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F134" w14:textId="77777777" w:rsidR="006A2224" w:rsidRPr="00A77A93" w:rsidRDefault="006A2224" w:rsidP="006A2224">
      <w:pPr>
        <w:shd w:val="clear" w:color="auto" w:fill="FFFFFF" w:themeFill="background1"/>
        <w:contextualSpacing/>
        <w:jc w:val="center"/>
        <w:rPr>
          <w:b/>
          <w:bCs/>
          <w:noProof/>
          <w:sz w:val="26"/>
          <w:szCs w:val="26"/>
          <w:lang w:val="lv-LV"/>
        </w:rPr>
      </w:pPr>
      <w:bookmarkStart w:id="0" w:name="OLE_LINK3"/>
      <w:bookmarkStart w:id="1" w:name="OLE_LINK1"/>
      <w:bookmarkStart w:id="2" w:name="OLE_LINK2"/>
      <w:r w:rsidRPr="00A77A93">
        <w:rPr>
          <w:b/>
          <w:bCs/>
          <w:noProof/>
          <w:sz w:val="26"/>
          <w:szCs w:val="26"/>
          <w:lang w:val="lv-LV"/>
        </w:rPr>
        <w:t>Ministru kabineta noteikumu projekta “Grozījumi Ministru kabineta 2020. gada 9. jūnija noteikumos Nr. 380 “</w:t>
      </w:r>
      <w:r w:rsidRPr="00A77A93">
        <w:rPr>
          <w:b/>
          <w:bCs/>
          <w:noProof/>
          <w:sz w:val="26"/>
          <w:szCs w:val="26"/>
          <w:shd w:val="clear" w:color="auto" w:fill="FFFFFF"/>
          <w:lang w:val="lv-LV"/>
        </w:rPr>
        <w:t>Noteikumi par prioritāro institūciju un vajadzību sarakstā iekļautajām institūcijām nepieciešamajiem epidemioloģiskās drošības nodrošināšanas resursiem</w:t>
      </w:r>
      <w:r w:rsidRPr="00A77A93">
        <w:rPr>
          <w:b/>
          <w:bCs/>
          <w:noProof/>
          <w:sz w:val="26"/>
          <w:szCs w:val="26"/>
          <w:lang w:val="lv-LV"/>
        </w:rPr>
        <w:t>”” sākotnējās ietekmes novērtējuma ziņojums (anotācija)</w:t>
      </w:r>
    </w:p>
    <w:p w14:paraId="027E12F0" w14:textId="77777777" w:rsidR="006A2224" w:rsidRPr="00A77A93" w:rsidRDefault="006A2224" w:rsidP="006A2224">
      <w:pPr>
        <w:shd w:val="clear" w:color="auto" w:fill="FFFFFF" w:themeFill="background1"/>
        <w:contextualSpacing/>
        <w:jc w:val="center"/>
        <w:rPr>
          <w:bCs/>
          <w:noProof/>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6A2224" w:rsidRPr="00A77A93" w14:paraId="2C19A6A4" w14:textId="77777777" w:rsidTr="009139C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A939C2" w14:textId="77777777" w:rsidR="006A2224" w:rsidRPr="00A77A93" w:rsidRDefault="006A2224" w:rsidP="009139C7">
            <w:pPr>
              <w:contextualSpacing/>
              <w:rPr>
                <w:rFonts w:eastAsia="Times New Roman"/>
                <w:b/>
                <w:bCs/>
                <w:iCs/>
                <w:noProof/>
                <w:sz w:val="26"/>
                <w:szCs w:val="26"/>
                <w:lang w:val="lv-LV" w:eastAsia="lv-LV"/>
              </w:rPr>
            </w:pPr>
            <w:r w:rsidRPr="00A77A93">
              <w:rPr>
                <w:rFonts w:eastAsia="Times New Roman"/>
                <w:b/>
                <w:bCs/>
                <w:iCs/>
                <w:noProof/>
                <w:sz w:val="26"/>
                <w:szCs w:val="26"/>
                <w:lang w:val="lv-LV" w:eastAsia="lv-LV"/>
              </w:rPr>
              <w:t>Tiesību akta projekta anotācijas kopsavilkums</w:t>
            </w:r>
          </w:p>
        </w:tc>
      </w:tr>
      <w:tr w:rsidR="006A2224" w:rsidRPr="00334FFF" w14:paraId="2312E517" w14:textId="77777777" w:rsidTr="009139C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6F1A9FEA" w14:textId="77777777" w:rsidR="006A2224" w:rsidRPr="00A77A93" w:rsidRDefault="006A2224" w:rsidP="009139C7">
            <w:pPr>
              <w:contextualSpacing/>
              <w:rPr>
                <w:rFonts w:eastAsia="Times New Roman"/>
                <w:bCs/>
                <w:iCs/>
                <w:noProof/>
                <w:sz w:val="26"/>
                <w:szCs w:val="26"/>
                <w:lang w:val="lv-LV" w:eastAsia="lv-LV"/>
              </w:rPr>
            </w:pPr>
            <w:r w:rsidRPr="00A77A93">
              <w:rPr>
                <w:rFonts w:eastAsia="Times New Roman"/>
                <w:bCs/>
                <w:iCs/>
                <w:noProof/>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6B75D901" w14:textId="2C6F241C" w:rsidR="006A2224" w:rsidRPr="00A77A93" w:rsidRDefault="006A2224" w:rsidP="009139C7">
            <w:pPr>
              <w:contextualSpacing/>
              <w:jc w:val="both"/>
              <w:rPr>
                <w:bCs/>
                <w:noProof/>
                <w:sz w:val="26"/>
                <w:szCs w:val="26"/>
                <w:lang w:val="lv-LV"/>
              </w:rPr>
            </w:pPr>
            <w:r w:rsidRPr="00A77A93">
              <w:rPr>
                <w:iCs/>
                <w:noProof/>
                <w:sz w:val="26"/>
                <w:szCs w:val="26"/>
                <w:lang w:val="lv-LV"/>
              </w:rPr>
              <w:t xml:space="preserve">Ministru kabineta noteikumu projekta “Grozījumi Ministru kabineta 2020. gada 9. jūnija noteikumos Nr. 380 “Noteikumi par prioritāro institūciju un vajadzību sarakstā iekļautajām institūcijām nepieciešamajiem epidemioloģiskās drošības nodrošināšanas resursiem”” (turpmāk </w:t>
            </w:r>
            <w:r>
              <w:rPr>
                <w:iCs/>
                <w:noProof/>
                <w:sz w:val="26"/>
                <w:szCs w:val="26"/>
                <w:lang w:val="lv-LV"/>
              </w:rPr>
              <w:t>–</w:t>
            </w:r>
            <w:r w:rsidRPr="00A77A93">
              <w:rPr>
                <w:iCs/>
                <w:noProof/>
                <w:sz w:val="26"/>
                <w:szCs w:val="26"/>
                <w:lang w:val="lv-LV"/>
              </w:rPr>
              <w:t xml:space="preserve"> </w:t>
            </w:r>
            <w:r>
              <w:rPr>
                <w:iCs/>
                <w:noProof/>
                <w:sz w:val="26"/>
                <w:szCs w:val="26"/>
                <w:lang w:val="lv-LV"/>
              </w:rPr>
              <w:t>n</w:t>
            </w:r>
            <w:r w:rsidRPr="00A77A93">
              <w:rPr>
                <w:iCs/>
                <w:noProof/>
                <w:sz w:val="26"/>
                <w:szCs w:val="26"/>
                <w:lang w:val="lv-LV"/>
              </w:rPr>
              <w:t xml:space="preserve">oteikumu projekts) mērķis ir </w:t>
            </w:r>
            <w:r>
              <w:rPr>
                <w:iCs/>
                <w:noProof/>
                <w:sz w:val="26"/>
                <w:szCs w:val="26"/>
                <w:lang w:val="lv-LV"/>
              </w:rPr>
              <w:t xml:space="preserve">paredzēt regulējumu, lai </w:t>
            </w:r>
            <w:r w:rsidR="0034310F">
              <w:rPr>
                <w:iCs/>
                <w:noProof/>
                <w:sz w:val="26"/>
                <w:szCs w:val="26"/>
                <w:lang w:val="lv-LV"/>
              </w:rPr>
              <w:t xml:space="preserve">pirmsskolas izglītības iestāžu </w:t>
            </w:r>
            <w:r>
              <w:rPr>
                <w:iCs/>
                <w:noProof/>
                <w:sz w:val="26"/>
                <w:szCs w:val="26"/>
                <w:lang w:val="lv-LV"/>
              </w:rPr>
              <w:t xml:space="preserve"> nodarbinātajiem</w:t>
            </w:r>
            <w:r w:rsidR="0034310F">
              <w:rPr>
                <w:iCs/>
                <w:noProof/>
                <w:sz w:val="26"/>
                <w:szCs w:val="26"/>
                <w:lang w:val="lv-LV"/>
              </w:rPr>
              <w:t>, kā arī citu izglītības iestāžu, kas īsteno pirmsskolas izglītības programmas, nodarbinātajiem</w:t>
            </w:r>
            <w:r>
              <w:rPr>
                <w:iCs/>
                <w:noProof/>
                <w:sz w:val="26"/>
                <w:szCs w:val="26"/>
                <w:lang w:val="lv-LV"/>
              </w:rPr>
              <w:t xml:space="preserve"> tiktu nodrošināti </w:t>
            </w:r>
            <w:r w:rsidRPr="00063DC2">
              <w:rPr>
                <w:iCs/>
                <w:noProof/>
                <w:sz w:val="26"/>
                <w:szCs w:val="26"/>
                <w:lang w:val="lv-LV"/>
              </w:rPr>
              <w:t>SARS-CoV-2 antigēna noteikšanas testi</w:t>
            </w:r>
            <w:r w:rsidR="00121C81">
              <w:rPr>
                <w:iCs/>
                <w:noProof/>
                <w:sz w:val="26"/>
                <w:szCs w:val="26"/>
                <w:lang w:val="lv-LV"/>
              </w:rPr>
              <w:t xml:space="preserve"> (turpmāk – Ag testi)</w:t>
            </w:r>
            <w:r w:rsidR="0069424C">
              <w:rPr>
                <w:iCs/>
                <w:noProof/>
                <w:sz w:val="26"/>
                <w:szCs w:val="26"/>
                <w:lang w:val="lv-LV"/>
              </w:rPr>
              <w:t>, kā arī veikt papildu Ag testu iepirkumu</w:t>
            </w:r>
            <w:r>
              <w:rPr>
                <w:iCs/>
                <w:noProof/>
                <w:sz w:val="26"/>
                <w:szCs w:val="26"/>
                <w:lang w:val="lv-LV"/>
              </w:rPr>
              <w:t>.</w:t>
            </w:r>
          </w:p>
        </w:tc>
      </w:tr>
      <w:bookmarkEnd w:id="0"/>
      <w:bookmarkEnd w:id="1"/>
      <w:bookmarkEnd w:id="2"/>
    </w:tbl>
    <w:p w14:paraId="26EB6239" w14:textId="77777777" w:rsidR="006A2224" w:rsidRPr="00A77A93" w:rsidRDefault="006A2224" w:rsidP="006A2224">
      <w:pPr>
        <w:tabs>
          <w:tab w:val="right" w:pos="9072"/>
        </w:tabs>
        <w:contextualSpacing/>
        <w:rPr>
          <w:bCs/>
          <w:noProof/>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6A2224" w:rsidRPr="00A77A93" w14:paraId="0F70DA7F" w14:textId="77777777" w:rsidTr="009139C7">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2F23E765" w14:textId="77777777" w:rsidR="006A2224" w:rsidRPr="00A77A93" w:rsidRDefault="006A2224" w:rsidP="009139C7">
            <w:pPr>
              <w:tabs>
                <w:tab w:val="left" w:pos="5888"/>
              </w:tabs>
              <w:contextualSpacing/>
              <w:jc w:val="center"/>
              <w:rPr>
                <w:rFonts w:eastAsia="Times New Roman"/>
                <w:b/>
                <w:bCs/>
                <w:noProof/>
                <w:sz w:val="26"/>
                <w:szCs w:val="26"/>
                <w:lang w:val="lv-LV" w:eastAsia="lv-LV"/>
              </w:rPr>
            </w:pPr>
            <w:r w:rsidRPr="00A77A93">
              <w:rPr>
                <w:b/>
                <w:bCs/>
                <w:noProof/>
                <w:sz w:val="26"/>
                <w:szCs w:val="26"/>
                <w:lang w:val="lv-LV"/>
              </w:rPr>
              <w:t>I. Tiesību akta projekta izstrādes nepieciešamība</w:t>
            </w:r>
          </w:p>
        </w:tc>
      </w:tr>
      <w:tr w:rsidR="006A2224" w:rsidRPr="00334FFF" w14:paraId="1C598A66" w14:textId="77777777" w:rsidTr="009139C7">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77AF494"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4305C5AE"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F7D7E0D" w14:textId="44890F88" w:rsidR="006A2224" w:rsidRPr="00A77A93" w:rsidRDefault="006A2224" w:rsidP="0069424C">
            <w:pPr>
              <w:jc w:val="both"/>
              <w:rPr>
                <w:noProof/>
                <w:sz w:val="26"/>
                <w:szCs w:val="26"/>
                <w:lang w:val="lv-LV"/>
              </w:rPr>
            </w:pPr>
            <w:r>
              <w:rPr>
                <w:bCs/>
                <w:noProof/>
                <w:sz w:val="26"/>
                <w:szCs w:val="26"/>
                <w:lang w:val="lv-LV"/>
              </w:rPr>
              <w:t>Noteikumu projekts izstrādāts pēc Izglītības un zinātnes ministrijas (turpmāk – ministrija) iniciatīvas.</w:t>
            </w:r>
          </w:p>
        </w:tc>
      </w:tr>
      <w:tr w:rsidR="006A2224" w:rsidRPr="00334FFF" w14:paraId="1ED5031A" w14:textId="77777777" w:rsidTr="009139C7">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321F1E15" w14:textId="77777777" w:rsidR="006A2224" w:rsidRPr="00A77A93" w:rsidRDefault="006A2224" w:rsidP="009139C7">
            <w:pPr>
              <w:contextualSpacing/>
              <w:jc w:val="both"/>
              <w:rPr>
                <w:rFonts w:eastAsia="Times New Roman"/>
                <w:bCs/>
                <w:noProof/>
                <w:sz w:val="26"/>
                <w:szCs w:val="26"/>
                <w:lang w:val="lv-LV" w:eastAsia="lv-LV"/>
              </w:rPr>
            </w:pPr>
            <w:bookmarkStart w:id="3" w:name="_Hlk49434295"/>
            <w:r w:rsidRPr="00A77A93">
              <w:rPr>
                <w:bCs/>
                <w:noProof/>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6ED1D9DA" w14:textId="77777777" w:rsidR="006A2224" w:rsidRPr="00A77A93" w:rsidRDefault="006A2224" w:rsidP="009139C7">
            <w:pPr>
              <w:contextualSpacing/>
              <w:jc w:val="both"/>
              <w:rPr>
                <w:bCs/>
                <w:noProof/>
                <w:sz w:val="26"/>
                <w:szCs w:val="26"/>
                <w:lang w:val="lv-LV"/>
              </w:rPr>
            </w:pPr>
            <w:r w:rsidRPr="00A77A93">
              <w:rPr>
                <w:bCs/>
                <w:noProof/>
                <w:sz w:val="26"/>
                <w:szCs w:val="26"/>
                <w:lang w:val="lv-LV"/>
              </w:rPr>
              <w:t>Pašreizējā situācija un problēmas, kuru risināšanai tiesību akta projekts izstrādāts, tiesiskā regulējuma mērķis un būtība</w:t>
            </w:r>
          </w:p>
          <w:p w14:paraId="039F7251" w14:textId="77777777" w:rsidR="006A2224" w:rsidRPr="00A77A93" w:rsidRDefault="006A2224" w:rsidP="009139C7">
            <w:pPr>
              <w:jc w:val="both"/>
              <w:rPr>
                <w:rFonts w:eastAsia="Times New Roman"/>
                <w:bCs/>
                <w:noProof/>
                <w:sz w:val="26"/>
                <w:szCs w:val="26"/>
                <w:lang w:val="lv-LV" w:eastAsia="lv-LV"/>
              </w:rPr>
            </w:pPr>
          </w:p>
          <w:p w14:paraId="16F1331E" w14:textId="77777777" w:rsidR="006A2224" w:rsidRPr="00A77A93" w:rsidRDefault="006A2224" w:rsidP="009139C7">
            <w:pPr>
              <w:jc w:val="both"/>
              <w:rPr>
                <w:rFonts w:eastAsia="Times New Roman"/>
                <w:bCs/>
                <w:noProof/>
                <w:sz w:val="26"/>
                <w:szCs w:val="26"/>
                <w:lang w:val="lv-LV" w:eastAsia="lv-LV"/>
              </w:rPr>
            </w:pPr>
          </w:p>
          <w:p w14:paraId="3E42C763" w14:textId="77777777" w:rsidR="006A2224" w:rsidRPr="00A77A93" w:rsidRDefault="006A2224" w:rsidP="009139C7">
            <w:pPr>
              <w:jc w:val="both"/>
              <w:rPr>
                <w:rFonts w:eastAsia="Times New Roman"/>
                <w:bCs/>
                <w:noProof/>
                <w:sz w:val="26"/>
                <w:szCs w:val="26"/>
                <w:lang w:val="lv-LV" w:eastAsia="lv-LV"/>
              </w:rPr>
            </w:pPr>
          </w:p>
          <w:p w14:paraId="22E7F15D" w14:textId="77777777" w:rsidR="006A2224" w:rsidRPr="00A77A93" w:rsidRDefault="006A2224" w:rsidP="009139C7">
            <w:pPr>
              <w:jc w:val="both"/>
              <w:rPr>
                <w:rFonts w:eastAsia="Times New Roman"/>
                <w:bCs/>
                <w:noProof/>
                <w:sz w:val="26"/>
                <w:szCs w:val="26"/>
                <w:lang w:val="lv-LV" w:eastAsia="lv-LV"/>
              </w:rPr>
            </w:pPr>
          </w:p>
          <w:p w14:paraId="372352CE" w14:textId="77777777" w:rsidR="006A2224" w:rsidRPr="00A77A93" w:rsidRDefault="006A2224" w:rsidP="009139C7">
            <w:pPr>
              <w:jc w:val="both"/>
              <w:rPr>
                <w:rFonts w:eastAsia="Times New Roman"/>
                <w:bCs/>
                <w:noProof/>
                <w:sz w:val="26"/>
                <w:szCs w:val="26"/>
                <w:lang w:val="lv-LV" w:eastAsia="lv-LV"/>
              </w:rPr>
            </w:pPr>
          </w:p>
          <w:p w14:paraId="612C7064" w14:textId="77777777" w:rsidR="006A2224" w:rsidRPr="00A77A93" w:rsidRDefault="006A2224" w:rsidP="009139C7">
            <w:pPr>
              <w:jc w:val="both"/>
              <w:rPr>
                <w:rFonts w:eastAsia="Times New Roman"/>
                <w:bCs/>
                <w:noProof/>
                <w:sz w:val="26"/>
                <w:szCs w:val="26"/>
                <w:lang w:val="lv-LV" w:eastAsia="lv-LV"/>
              </w:rPr>
            </w:pPr>
          </w:p>
          <w:p w14:paraId="00E09814" w14:textId="77777777" w:rsidR="006A2224" w:rsidRPr="00A77A93" w:rsidRDefault="006A2224" w:rsidP="009139C7">
            <w:pPr>
              <w:jc w:val="both"/>
              <w:rPr>
                <w:rFonts w:eastAsia="Times New Roman"/>
                <w:bCs/>
                <w:noProof/>
                <w:sz w:val="26"/>
                <w:szCs w:val="26"/>
                <w:lang w:val="lv-LV" w:eastAsia="lv-LV"/>
              </w:rPr>
            </w:pPr>
          </w:p>
          <w:p w14:paraId="4336F262" w14:textId="77777777" w:rsidR="006A2224" w:rsidRPr="00A77A93" w:rsidRDefault="006A2224" w:rsidP="009139C7">
            <w:pPr>
              <w:jc w:val="both"/>
              <w:rPr>
                <w:rFonts w:eastAsia="Times New Roman"/>
                <w:bCs/>
                <w:noProof/>
                <w:sz w:val="26"/>
                <w:szCs w:val="26"/>
                <w:lang w:val="lv-LV" w:eastAsia="lv-LV"/>
              </w:rPr>
            </w:pPr>
          </w:p>
          <w:p w14:paraId="2DFD7F82" w14:textId="77777777" w:rsidR="006A2224" w:rsidRPr="00A77A93" w:rsidRDefault="006A2224" w:rsidP="009139C7">
            <w:pPr>
              <w:jc w:val="both"/>
              <w:rPr>
                <w:rFonts w:eastAsia="Times New Roman"/>
                <w:bCs/>
                <w:noProof/>
                <w:sz w:val="26"/>
                <w:szCs w:val="26"/>
                <w:lang w:val="lv-LV" w:eastAsia="lv-LV"/>
              </w:rPr>
            </w:pPr>
          </w:p>
          <w:p w14:paraId="71115E5D" w14:textId="77777777" w:rsidR="006A2224" w:rsidRPr="00A77A93" w:rsidRDefault="006A2224" w:rsidP="009139C7">
            <w:pPr>
              <w:rPr>
                <w:rFonts w:eastAsia="Times New Roman"/>
                <w:bCs/>
                <w:noProof/>
                <w:sz w:val="26"/>
                <w:szCs w:val="26"/>
                <w:lang w:val="lv-LV" w:eastAsia="lv-LV"/>
              </w:rPr>
            </w:pPr>
          </w:p>
          <w:p w14:paraId="425E0235" w14:textId="77777777" w:rsidR="006A2224" w:rsidRPr="00A77A93" w:rsidRDefault="006A2224" w:rsidP="009139C7">
            <w:pPr>
              <w:jc w:val="both"/>
              <w:rPr>
                <w:rFonts w:eastAsia="Times New Roman"/>
                <w:bCs/>
                <w:noProof/>
                <w:sz w:val="26"/>
                <w:szCs w:val="26"/>
                <w:lang w:val="lv-LV" w:eastAsia="lv-LV"/>
              </w:rPr>
            </w:pPr>
          </w:p>
          <w:p w14:paraId="2B877ECD" w14:textId="77777777" w:rsidR="006A2224" w:rsidRPr="00A77A93" w:rsidRDefault="006A2224" w:rsidP="009139C7">
            <w:pPr>
              <w:jc w:val="both"/>
              <w:rPr>
                <w:rFonts w:eastAsia="Times New Roman"/>
                <w:bCs/>
                <w:noProof/>
                <w:sz w:val="26"/>
                <w:szCs w:val="26"/>
                <w:lang w:val="lv-LV" w:eastAsia="lv-LV"/>
              </w:rPr>
            </w:pPr>
          </w:p>
          <w:p w14:paraId="08184642" w14:textId="77777777" w:rsidR="006A2224" w:rsidRPr="00A77A93" w:rsidRDefault="006A2224" w:rsidP="009139C7">
            <w:pPr>
              <w:jc w:val="both"/>
              <w:rPr>
                <w:rFonts w:eastAsia="Times New Roman"/>
                <w:bCs/>
                <w:noProof/>
                <w:sz w:val="26"/>
                <w:szCs w:val="26"/>
                <w:lang w:val="lv-LV" w:eastAsia="lv-LV"/>
              </w:rPr>
            </w:pPr>
          </w:p>
          <w:p w14:paraId="264C05E7" w14:textId="77777777" w:rsidR="006A2224" w:rsidRPr="00A77A93" w:rsidRDefault="006A2224" w:rsidP="009139C7">
            <w:pPr>
              <w:jc w:val="both"/>
              <w:rPr>
                <w:rFonts w:eastAsia="Times New Roman"/>
                <w:bCs/>
                <w:noProof/>
                <w:sz w:val="26"/>
                <w:szCs w:val="26"/>
                <w:lang w:val="lv-LV" w:eastAsia="lv-LV"/>
              </w:rPr>
            </w:pPr>
          </w:p>
          <w:p w14:paraId="4D8B4409" w14:textId="77777777" w:rsidR="006A2224" w:rsidRPr="00A77A93" w:rsidRDefault="006A2224" w:rsidP="009139C7">
            <w:pPr>
              <w:jc w:val="both"/>
              <w:rPr>
                <w:rFonts w:eastAsia="Times New Roman"/>
                <w:bCs/>
                <w:noProof/>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72BDF44B" w14:textId="535B4DCA" w:rsidR="006A2224" w:rsidRPr="00117BB2" w:rsidRDefault="006A2224" w:rsidP="009139C7">
            <w:pPr>
              <w:pStyle w:val="ListParagraph"/>
              <w:autoSpaceDE w:val="0"/>
              <w:autoSpaceDN w:val="0"/>
              <w:adjustRightInd w:val="0"/>
              <w:ind w:left="0"/>
              <w:contextualSpacing w:val="0"/>
              <w:jc w:val="both"/>
              <w:rPr>
                <w:noProof/>
                <w:sz w:val="26"/>
                <w:szCs w:val="26"/>
                <w:lang w:val="lv-LV"/>
              </w:rPr>
            </w:pPr>
            <w:r w:rsidRPr="00117BB2">
              <w:rPr>
                <w:noProof/>
                <w:sz w:val="26"/>
                <w:szCs w:val="26"/>
                <w:lang w:val="lv-LV"/>
              </w:rPr>
              <w:t xml:space="preserve">Nepieciešams papildināt veicamos pasākumus Covid-19 izplatības mazināšanai </w:t>
            </w:r>
            <w:r w:rsidR="0034310F">
              <w:rPr>
                <w:noProof/>
                <w:sz w:val="26"/>
                <w:szCs w:val="26"/>
                <w:lang w:val="lv-LV"/>
              </w:rPr>
              <w:t>pirmsskolas</w:t>
            </w:r>
            <w:r>
              <w:rPr>
                <w:noProof/>
                <w:sz w:val="26"/>
                <w:szCs w:val="26"/>
                <w:lang w:val="lv-LV"/>
              </w:rPr>
              <w:t xml:space="preserve"> izglītības iestāžu</w:t>
            </w:r>
            <w:r w:rsidR="0034310F">
              <w:rPr>
                <w:noProof/>
                <w:sz w:val="26"/>
                <w:szCs w:val="26"/>
                <w:lang w:val="lv-LV"/>
              </w:rPr>
              <w:t xml:space="preserve">, </w:t>
            </w:r>
            <w:r w:rsidR="0034310F">
              <w:rPr>
                <w:iCs/>
                <w:noProof/>
                <w:sz w:val="26"/>
                <w:szCs w:val="26"/>
                <w:lang w:val="lv-LV"/>
              </w:rPr>
              <w:t>kā arī citu izglītības iestāžu, kas īsteno pirmsskolas izglītības programmas,</w:t>
            </w:r>
            <w:r w:rsidRPr="00117BB2">
              <w:rPr>
                <w:noProof/>
                <w:sz w:val="26"/>
                <w:szCs w:val="26"/>
                <w:lang w:val="lv-LV"/>
              </w:rPr>
              <w:t xml:space="preserve"> darbinieku vidū</w:t>
            </w:r>
            <w:r w:rsidR="0034310F">
              <w:rPr>
                <w:noProof/>
                <w:sz w:val="26"/>
                <w:szCs w:val="26"/>
                <w:lang w:val="lv-LV"/>
              </w:rPr>
              <w:t xml:space="preserve"> (turpmāk </w:t>
            </w:r>
            <w:r w:rsidR="006305DC">
              <w:rPr>
                <w:noProof/>
                <w:sz w:val="26"/>
                <w:szCs w:val="26"/>
                <w:lang w:val="lv-LV"/>
              </w:rPr>
              <w:t>–</w:t>
            </w:r>
            <w:r w:rsidR="0034310F">
              <w:rPr>
                <w:noProof/>
                <w:sz w:val="26"/>
                <w:szCs w:val="26"/>
                <w:lang w:val="lv-LV"/>
              </w:rPr>
              <w:t xml:space="preserve"> pirm</w:t>
            </w:r>
            <w:r w:rsidR="006305DC">
              <w:rPr>
                <w:noProof/>
                <w:sz w:val="26"/>
                <w:szCs w:val="26"/>
                <w:lang w:val="lv-LV"/>
              </w:rPr>
              <w:t>sskolas personāls)</w:t>
            </w:r>
            <w:r w:rsidRPr="00117BB2">
              <w:rPr>
                <w:noProof/>
                <w:sz w:val="26"/>
                <w:szCs w:val="26"/>
                <w:lang w:val="lv-LV"/>
              </w:rPr>
              <w:t xml:space="preserve">, </w:t>
            </w:r>
            <w:r>
              <w:rPr>
                <w:noProof/>
                <w:sz w:val="26"/>
                <w:szCs w:val="26"/>
                <w:lang w:val="lv-LV"/>
              </w:rPr>
              <w:t xml:space="preserve">tiem nodrošinot iespēju veikt </w:t>
            </w:r>
            <w:r w:rsidR="00121C81">
              <w:rPr>
                <w:noProof/>
                <w:sz w:val="26"/>
                <w:szCs w:val="26"/>
                <w:lang w:val="lv-LV"/>
              </w:rPr>
              <w:t>Ag testus</w:t>
            </w:r>
            <w:r w:rsidRPr="00117BB2">
              <w:rPr>
                <w:noProof/>
                <w:sz w:val="26"/>
                <w:szCs w:val="26"/>
                <w:lang w:val="lv-LV"/>
              </w:rPr>
              <w:t>.</w:t>
            </w:r>
          </w:p>
          <w:p w14:paraId="0779BB26" w14:textId="70820862" w:rsidR="007F2704" w:rsidRPr="0065200E" w:rsidRDefault="007F2704" w:rsidP="007F2704">
            <w:pPr>
              <w:spacing w:line="252" w:lineRule="auto"/>
              <w:jc w:val="both"/>
              <w:rPr>
                <w:noProof/>
                <w:color w:val="000000" w:themeColor="text1"/>
                <w:sz w:val="26"/>
                <w:szCs w:val="26"/>
                <w:lang w:val="lv-LV"/>
              </w:rPr>
            </w:pPr>
            <w:r w:rsidRPr="0065200E">
              <w:rPr>
                <w:noProof/>
                <w:color w:val="000000" w:themeColor="text1"/>
                <w:sz w:val="26"/>
                <w:szCs w:val="26"/>
                <w:lang w:val="lv-LV"/>
              </w:rPr>
              <w:t xml:space="preserve">Ministru kabineta 2020. gada 9. jūnija noteikumu Nr. 360 “Epidemioloģiskās drošības pasākumi Covid-19 infekcijas izplatības ierobežošanai” 4.2., 4.3., 4.4. apakšpunktos nostiprināti distancēšanās, higiēnas un personas veselības stāvokļa uzraudzības pamatprincipi, kuru ievērošana, pamatojoties uz Ministru kabineta 2020. gada 6. novembra rīkojumā Nr. 655 “Par ārkārtējās situācijas izsludināšanu” izsludināto ārkārtējo situāciju valstī, ir obligāti ievērojami, lai mazinātu infekcijas Covid-19 izplatību. </w:t>
            </w:r>
            <w:r w:rsidR="0065200E" w:rsidRPr="0065200E">
              <w:rPr>
                <w:noProof/>
                <w:color w:val="000000" w:themeColor="text1"/>
                <w:sz w:val="26"/>
                <w:szCs w:val="26"/>
                <w:lang w:val="lv-LV"/>
              </w:rPr>
              <w:t>Pirmsskolas izglītības programmu izglītojamajiem nav attīstītas pašaprūpes prasmes, un šiem izglītojamajiem ir</w:t>
            </w:r>
            <w:r w:rsidRPr="0065200E">
              <w:rPr>
                <w:noProof/>
                <w:color w:val="000000" w:themeColor="text1"/>
                <w:sz w:val="26"/>
                <w:szCs w:val="26"/>
                <w:lang w:val="lv-LV"/>
              </w:rPr>
              <w:t xml:space="preserve"> nepieciešama palīdzība no malas</w:t>
            </w:r>
            <w:r w:rsidR="0065200E" w:rsidRPr="0065200E">
              <w:rPr>
                <w:noProof/>
                <w:color w:val="000000" w:themeColor="text1"/>
                <w:sz w:val="26"/>
                <w:szCs w:val="26"/>
                <w:lang w:val="lv-LV"/>
              </w:rPr>
              <w:t>, lai, piemēram, nodrošinātu higiēnas procedūras, palīdzētu apģērbties u.tml</w:t>
            </w:r>
            <w:r w:rsidRPr="0065200E">
              <w:rPr>
                <w:noProof/>
                <w:color w:val="000000" w:themeColor="text1"/>
                <w:sz w:val="26"/>
                <w:szCs w:val="26"/>
                <w:lang w:val="lv-LV"/>
              </w:rPr>
              <w:t xml:space="preserve">. </w:t>
            </w:r>
            <w:r w:rsidR="0065200E" w:rsidRPr="0065200E">
              <w:rPr>
                <w:noProof/>
                <w:color w:val="000000" w:themeColor="text1"/>
                <w:sz w:val="26"/>
                <w:szCs w:val="26"/>
                <w:lang w:val="lv-LV"/>
              </w:rPr>
              <w:t>Jāņem vērā, ka jaunākā vecumposma bērni</w:t>
            </w:r>
            <w:r w:rsidRPr="0065200E">
              <w:rPr>
                <w:noProof/>
                <w:color w:val="000000" w:themeColor="text1"/>
                <w:sz w:val="26"/>
                <w:szCs w:val="26"/>
                <w:lang w:val="lv-LV"/>
              </w:rPr>
              <w:t xml:space="preserve"> nespēj ievērot distancēšanās un higiēnas pamatlietas tādā apjomā, lai izvairītos no tālākas Covid-19 infekcijas izplatīšanas.</w:t>
            </w:r>
          </w:p>
          <w:p w14:paraId="010182A8" w14:textId="5EF8424A" w:rsidR="006A2224" w:rsidRPr="00EA1175" w:rsidRDefault="00516832" w:rsidP="007F2704">
            <w:pPr>
              <w:spacing w:line="252" w:lineRule="auto"/>
              <w:jc w:val="both"/>
              <w:rPr>
                <w:noProof/>
                <w:sz w:val="26"/>
                <w:szCs w:val="26"/>
                <w:lang w:val="lv-LV"/>
              </w:rPr>
            </w:pPr>
            <w:r w:rsidRPr="00516832">
              <w:rPr>
                <w:noProof/>
                <w:sz w:val="26"/>
                <w:szCs w:val="26"/>
                <w:lang w:val="lv-LV"/>
              </w:rPr>
              <w:lastRenderedPageBreak/>
              <w:t xml:space="preserve">Ag testu veikšana </w:t>
            </w:r>
            <w:r w:rsidR="0034310F">
              <w:rPr>
                <w:noProof/>
                <w:sz w:val="26"/>
                <w:szCs w:val="26"/>
                <w:lang w:val="lv-LV"/>
              </w:rPr>
              <w:t>pirmsskolas</w:t>
            </w:r>
            <w:r w:rsidRPr="00516832">
              <w:rPr>
                <w:noProof/>
                <w:sz w:val="26"/>
                <w:szCs w:val="26"/>
                <w:lang w:val="lv-LV"/>
              </w:rPr>
              <w:t xml:space="preserve"> </w:t>
            </w:r>
            <w:r w:rsidR="006305DC">
              <w:rPr>
                <w:noProof/>
                <w:sz w:val="26"/>
                <w:szCs w:val="26"/>
                <w:lang w:val="lv-LV"/>
              </w:rPr>
              <w:t>personālam</w:t>
            </w:r>
            <w:r w:rsidR="007F2704" w:rsidRPr="00516832">
              <w:rPr>
                <w:noProof/>
                <w:sz w:val="26"/>
                <w:szCs w:val="26"/>
                <w:lang w:val="lv-LV"/>
              </w:rPr>
              <w:t xml:space="preserve"> ļautu ātrāk noteikt riska personas, kuras</w:t>
            </w:r>
            <w:r w:rsidRPr="00516832">
              <w:rPr>
                <w:noProof/>
                <w:sz w:val="26"/>
                <w:szCs w:val="26"/>
                <w:lang w:val="lv-LV"/>
              </w:rPr>
              <w:t>,</w:t>
            </w:r>
            <w:r w:rsidR="007F2704" w:rsidRPr="00516832">
              <w:rPr>
                <w:noProof/>
                <w:sz w:val="26"/>
                <w:szCs w:val="26"/>
                <w:lang w:val="lv-LV"/>
              </w:rPr>
              <w:t xml:space="preserve"> iespējams</w:t>
            </w:r>
            <w:r w:rsidRPr="00516832">
              <w:rPr>
                <w:noProof/>
                <w:sz w:val="26"/>
                <w:szCs w:val="26"/>
                <w:lang w:val="lv-LV"/>
              </w:rPr>
              <w:t>,</w:t>
            </w:r>
            <w:r w:rsidR="007F2704" w:rsidRPr="00516832">
              <w:rPr>
                <w:noProof/>
                <w:sz w:val="26"/>
                <w:szCs w:val="26"/>
                <w:lang w:val="lv-LV"/>
              </w:rPr>
              <w:t xml:space="preserve"> ir inficētas ar Covid-19, ņemot vērā</w:t>
            </w:r>
            <w:r w:rsidR="007F2704" w:rsidRPr="0065200E">
              <w:rPr>
                <w:noProof/>
                <w:color w:val="000000" w:themeColor="text1"/>
                <w:sz w:val="26"/>
                <w:szCs w:val="26"/>
                <w:lang w:val="lv-LV"/>
              </w:rPr>
              <w:t xml:space="preserve">, ka </w:t>
            </w:r>
            <w:r w:rsidR="0065200E" w:rsidRPr="0065200E">
              <w:rPr>
                <w:noProof/>
                <w:color w:val="000000" w:themeColor="text1"/>
                <w:sz w:val="26"/>
                <w:szCs w:val="26"/>
                <w:lang w:val="lv-LV"/>
              </w:rPr>
              <w:t>pirmsskolas personāla</w:t>
            </w:r>
            <w:r w:rsidR="007F2704" w:rsidRPr="0065200E">
              <w:rPr>
                <w:noProof/>
                <w:color w:val="000000" w:themeColor="text1"/>
                <w:sz w:val="26"/>
                <w:szCs w:val="26"/>
                <w:lang w:val="lv-LV"/>
              </w:rPr>
              <w:t xml:space="preserve"> ikdiena aizrit ne tikai nodrošinot izglītības procesa norisi, bet arī palīdzot bērniem veikt pašaprūpi</w:t>
            </w:r>
            <w:r w:rsidR="007F2704" w:rsidRPr="00516832">
              <w:rPr>
                <w:noProof/>
                <w:sz w:val="26"/>
                <w:szCs w:val="26"/>
                <w:lang w:val="lv-LV"/>
              </w:rPr>
              <w:t>.</w:t>
            </w:r>
            <w:r w:rsidRPr="00516832">
              <w:rPr>
                <w:noProof/>
                <w:sz w:val="26"/>
                <w:szCs w:val="26"/>
                <w:lang w:val="lv-LV"/>
              </w:rPr>
              <w:t xml:space="preserve"> </w:t>
            </w:r>
            <w:r w:rsidR="006A2224" w:rsidRPr="00EA1175">
              <w:rPr>
                <w:noProof/>
                <w:sz w:val="26"/>
                <w:szCs w:val="26"/>
                <w:lang w:val="lv-LV"/>
              </w:rPr>
              <w:t xml:space="preserve">Lai gan Covid-19 infekcijas diagnostikas </w:t>
            </w:r>
            <w:r w:rsidR="006A2224">
              <w:rPr>
                <w:noProof/>
                <w:sz w:val="26"/>
                <w:szCs w:val="26"/>
                <w:lang w:val="lv-LV"/>
              </w:rPr>
              <w:t>“</w:t>
            </w:r>
            <w:r w:rsidR="006A2224" w:rsidRPr="00EA1175">
              <w:rPr>
                <w:noProof/>
                <w:sz w:val="26"/>
                <w:szCs w:val="26"/>
                <w:lang w:val="lv-LV"/>
              </w:rPr>
              <w:t>zelta standarts</w:t>
            </w:r>
            <w:r w:rsidR="006A2224">
              <w:rPr>
                <w:noProof/>
                <w:sz w:val="26"/>
                <w:szCs w:val="26"/>
                <w:lang w:val="lv-LV"/>
              </w:rPr>
              <w:t>”</w:t>
            </w:r>
            <w:r w:rsidR="006A2224" w:rsidRPr="00EA1175">
              <w:rPr>
                <w:noProof/>
                <w:sz w:val="26"/>
                <w:szCs w:val="26"/>
                <w:lang w:val="lv-LV"/>
              </w:rPr>
              <w:t xml:space="preserve"> joprojām ir SARS-CoV-2 vīrusa ribonukleīnskābes (RNS) noteikšana ar Polimerāzes ķēdes reakciju (</w:t>
            </w:r>
            <w:r>
              <w:rPr>
                <w:noProof/>
                <w:sz w:val="26"/>
                <w:szCs w:val="26"/>
                <w:lang w:val="lv-LV"/>
              </w:rPr>
              <w:t xml:space="preserve">turpmāk – </w:t>
            </w:r>
            <w:r w:rsidR="006A2224" w:rsidRPr="00EA1175">
              <w:rPr>
                <w:noProof/>
                <w:sz w:val="26"/>
                <w:szCs w:val="26"/>
                <w:lang w:val="lv-LV"/>
              </w:rPr>
              <w:t>PĶR), ko gan Pasaules Veselības organizācija</w:t>
            </w:r>
            <w:r>
              <w:rPr>
                <w:noProof/>
                <w:sz w:val="26"/>
                <w:szCs w:val="26"/>
                <w:lang w:val="lv-LV"/>
              </w:rPr>
              <w:t>,</w:t>
            </w:r>
            <w:r w:rsidR="006A2224" w:rsidRPr="00EA1175">
              <w:rPr>
                <w:noProof/>
                <w:sz w:val="26"/>
                <w:szCs w:val="26"/>
                <w:lang w:val="lv-LV"/>
              </w:rPr>
              <w:t xml:space="preserve"> gan </w:t>
            </w:r>
            <w:r w:rsidRPr="00516832">
              <w:rPr>
                <w:noProof/>
                <w:sz w:val="26"/>
                <w:szCs w:val="26"/>
                <w:lang w:val="lv-LV"/>
              </w:rPr>
              <w:t>Eiropas Slimību profilakses un kontroles centrs</w:t>
            </w:r>
            <w:r>
              <w:rPr>
                <w:noProof/>
                <w:sz w:val="26"/>
                <w:szCs w:val="26"/>
                <w:lang w:val="lv-LV"/>
              </w:rPr>
              <w:t xml:space="preserve"> </w:t>
            </w:r>
            <w:r w:rsidR="006A2224" w:rsidRPr="00EA1175">
              <w:rPr>
                <w:noProof/>
                <w:sz w:val="26"/>
                <w:szCs w:val="26"/>
                <w:lang w:val="lv-LV"/>
              </w:rPr>
              <w:t xml:space="preserve">uzskata par visuzticamāko metodi, ar kādu testēt Covid-19 saslimušos un kontaktpersonas, </w:t>
            </w:r>
            <w:r w:rsidR="0034310F">
              <w:rPr>
                <w:noProof/>
                <w:sz w:val="26"/>
                <w:szCs w:val="26"/>
                <w:lang w:val="lv-LV"/>
              </w:rPr>
              <w:t>pirmsskolas</w:t>
            </w:r>
            <w:r w:rsidR="008C3D30">
              <w:rPr>
                <w:noProof/>
                <w:sz w:val="26"/>
                <w:szCs w:val="26"/>
                <w:lang w:val="lv-LV"/>
              </w:rPr>
              <w:t xml:space="preserve"> </w:t>
            </w:r>
            <w:r w:rsidR="006305DC">
              <w:rPr>
                <w:noProof/>
                <w:sz w:val="26"/>
                <w:szCs w:val="26"/>
                <w:lang w:val="lv-LV"/>
              </w:rPr>
              <w:t>personālam</w:t>
            </w:r>
            <w:r w:rsidR="008C3D30">
              <w:rPr>
                <w:noProof/>
                <w:sz w:val="26"/>
                <w:szCs w:val="26"/>
                <w:lang w:val="lv-LV"/>
              </w:rPr>
              <w:t xml:space="preserve"> nepieciešams nodrošināt iespēju veikt</w:t>
            </w:r>
            <w:r w:rsidR="006A2224" w:rsidRPr="00EA1175">
              <w:rPr>
                <w:noProof/>
                <w:sz w:val="26"/>
                <w:szCs w:val="26"/>
                <w:lang w:val="lv-LV"/>
              </w:rPr>
              <w:t xml:space="preserve"> Ag testu, kas ir mazāk jutīgs Covid-19 infekcijas diagnostikā, salīdzinot ar Covid-19 infekcijas diagnostikai izmantojamiem PĶR testiem, tomēr šādi – bieži testējot – ir iespējams veiksmīgi identificēt saslimušos </w:t>
            </w:r>
            <w:r w:rsidR="006305DC">
              <w:rPr>
                <w:noProof/>
                <w:sz w:val="26"/>
                <w:szCs w:val="26"/>
                <w:lang w:val="lv-LV"/>
              </w:rPr>
              <w:t xml:space="preserve">pirmsskolas </w:t>
            </w:r>
            <w:r w:rsidR="008779BE">
              <w:rPr>
                <w:noProof/>
                <w:sz w:val="26"/>
                <w:szCs w:val="26"/>
                <w:lang w:val="lv-LV"/>
              </w:rPr>
              <w:t>p</w:t>
            </w:r>
            <w:r w:rsidR="006305DC">
              <w:rPr>
                <w:noProof/>
                <w:sz w:val="26"/>
                <w:szCs w:val="26"/>
                <w:lang w:val="lv-LV"/>
              </w:rPr>
              <w:t>ersonālā</w:t>
            </w:r>
            <w:r w:rsidR="006A2224" w:rsidRPr="00EA1175">
              <w:rPr>
                <w:noProof/>
                <w:sz w:val="26"/>
                <w:szCs w:val="26"/>
                <w:lang w:val="lv-LV"/>
              </w:rPr>
              <w:t xml:space="preserve">, novēršot </w:t>
            </w:r>
            <w:r w:rsidR="008C3D30">
              <w:rPr>
                <w:noProof/>
                <w:sz w:val="26"/>
                <w:szCs w:val="26"/>
                <w:lang w:val="lv-LV"/>
              </w:rPr>
              <w:t>to</w:t>
            </w:r>
            <w:r w:rsidR="006A2224" w:rsidRPr="00EA1175">
              <w:rPr>
                <w:noProof/>
                <w:sz w:val="26"/>
                <w:szCs w:val="26"/>
                <w:lang w:val="lv-LV"/>
              </w:rPr>
              <w:t xml:space="preserve"> inficēšanos</w:t>
            </w:r>
            <w:r w:rsidR="008C3D30">
              <w:rPr>
                <w:noProof/>
                <w:sz w:val="26"/>
                <w:szCs w:val="26"/>
                <w:lang w:val="lv-LV"/>
              </w:rPr>
              <w:t>.</w:t>
            </w:r>
          </w:p>
          <w:p w14:paraId="0B67D20B" w14:textId="58F77F7D" w:rsidR="00825EBA" w:rsidRDefault="006305DC" w:rsidP="009139C7">
            <w:pPr>
              <w:spacing w:line="252" w:lineRule="auto"/>
              <w:jc w:val="both"/>
              <w:rPr>
                <w:noProof/>
                <w:sz w:val="26"/>
                <w:szCs w:val="26"/>
                <w:lang w:val="lv-LV"/>
              </w:rPr>
            </w:pPr>
            <w:r>
              <w:rPr>
                <w:noProof/>
                <w:sz w:val="26"/>
                <w:szCs w:val="26"/>
                <w:lang w:val="lv-LV"/>
              </w:rPr>
              <w:t xml:space="preserve">Jāņem vērā, ka pirmsskolas izglītības programmas tiek īstenotas gan pirmsskolas izglītības iestādēs, gan arī var tikt īstenotas citās izglītības iestādēs. </w:t>
            </w:r>
            <w:r w:rsidR="00C91831">
              <w:rPr>
                <w:noProof/>
                <w:sz w:val="26"/>
                <w:szCs w:val="26"/>
                <w:lang w:val="lv-LV"/>
              </w:rPr>
              <w:t>Pirmsskolas izglītības iestādēs un pārējās i</w:t>
            </w:r>
            <w:r>
              <w:rPr>
                <w:noProof/>
                <w:sz w:val="26"/>
                <w:szCs w:val="26"/>
                <w:lang w:val="lv-LV"/>
              </w:rPr>
              <w:t>zglītības iestādēs, kas īsteno pirmsskolas izglītības programmas, ir nodarbināti</w:t>
            </w:r>
            <w:r w:rsidR="00825EBA">
              <w:rPr>
                <w:noProof/>
                <w:sz w:val="26"/>
                <w:szCs w:val="26"/>
                <w:lang w:val="lv-LV"/>
              </w:rPr>
              <w:t xml:space="preserve"> </w:t>
            </w:r>
            <w:r w:rsidR="0034310F">
              <w:rPr>
                <w:noProof/>
                <w:sz w:val="26"/>
                <w:szCs w:val="26"/>
                <w:lang w:val="lv-LV"/>
              </w:rPr>
              <w:t xml:space="preserve">gan pirmsskolas </w:t>
            </w:r>
            <w:r>
              <w:rPr>
                <w:noProof/>
                <w:sz w:val="26"/>
                <w:szCs w:val="26"/>
                <w:lang w:val="lv-LV"/>
              </w:rPr>
              <w:t xml:space="preserve">izglītības </w:t>
            </w:r>
            <w:r w:rsidR="00825EBA">
              <w:rPr>
                <w:noProof/>
                <w:sz w:val="26"/>
                <w:szCs w:val="26"/>
                <w:lang w:val="lv-LV"/>
              </w:rPr>
              <w:t>pedagogi, gan</w:t>
            </w:r>
            <w:r w:rsidR="00516832">
              <w:rPr>
                <w:noProof/>
                <w:sz w:val="26"/>
                <w:szCs w:val="26"/>
                <w:lang w:val="lv-LV"/>
              </w:rPr>
              <w:t xml:space="preserve"> </w:t>
            </w:r>
            <w:r w:rsidR="00825EBA">
              <w:rPr>
                <w:noProof/>
                <w:sz w:val="26"/>
                <w:szCs w:val="26"/>
                <w:lang w:val="lv-LV"/>
              </w:rPr>
              <w:t xml:space="preserve">arī saimnieciskie, tehniskie un </w:t>
            </w:r>
            <w:r w:rsidR="00516832">
              <w:rPr>
                <w:noProof/>
                <w:sz w:val="26"/>
                <w:szCs w:val="26"/>
                <w:lang w:val="lv-LV"/>
              </w:rPr>
              <w:t xml:space="preserve">var būt nodarbināti </w:t>
            </w:r>
            <w:r w:rsidR="00825EBA">
              <w:rPr>
                <w:noProof/>
                <w:sz w:val="26"/>
                <w:szCs w:val="26"/>
                <w:lang w:val="lv-LV"/>
              </w:rPr>
              <w:t xml:space="preserve">medicīnas darbinieki. Tā kā </w:t>
            </w:r>
            <w:r w:rsidR="00825EBA" w:rsidRPr="00825EBA">
              <w:rPr>
                <w:noProof/>
                <w:sz w:val="26"/>
                <w:szCs w:val="26"/>
                <w:lang w:val="lv-LV"/>
              </w:rPr>
              <w:t>Ministru kabineta 2020.</w:t>
            </w:r>
            <w:r w:rsidR="00825EBA">
              <w:rPr>
                <w:noProof/>
                <w:sz w:val="26"/>
                <w:szCs w:val="26"/>
                <w:lang w:val="lv-LV"/>
              </w:rPr>
              <w:t> </w:t>
            </w:r>
            <w:r w:rsidR="00825EBA" w:rsidRPr="00825EBA">
              <w:rPr>
                <w:noProof/>
                <w:sz w:val="26"/>
                <w:szCs w:val="26"/>
                <w:lang w:val="lv-LV"/>
              </w:rPr>
              <w:t>gada 9.</w:t>
            </w:r>
            <w:r w:rsidR="00825EBA">
              <w:rPr>
                <w:noProof/>
                <w:sz w:val="26"/>
                <w:szCs w:val="26"/>
                <w:lang w:val="lv-LV"/>
              </w:rPr>
              <w:t> </w:t>
            </w:r>
            <w:r w:rsidR="00825EBA" w:rsidRPr="00825EBA">
              <w:rPr>
                <w:noProof/>
                <w:sz w:val="26"/>
                <w:szCs w:val="26"/>
                <w:lang w:val="lv-LV"/>
              </w:rPr>
              <w:t>jūnija noteikum</w:t>
            </w:r>
            <w:r w:rsidR="00825EBA">
              <w:rPr>
                <w:noProof/>
                <w:sz w:val="26"/>
                <w:szCs w:val="26"/>
                <w:lang w:val="lv-LV"/>
              </w:rPr>
              <w:t>u</w:t>
            </w:r>
            <w:r w:rsidR="00825EBA" w:rsidRPr="00825EBA">
              <w:rPr>
                <w:noProof/>
                <w:sz w:val="26"/>
                <w:szCs w:val="26"/>
                <w:lang w:val="lv-LV"/>
              </w:rPr>
              <w:t xml:space="preserve"> Nr.</w:t>
            </w:r>
            <w:r w:rsidR="00825EBA">
              <w:rPr>
                <w:noProof/>
                <w:sz w:val="26"/>
                <w:szCs w:val="26"/>
                <w:lang w:val="lv-LV"/>
              </w:rPr>
              <w:t> </w:t>
            </w:r>
            <w:r w:rsidR="00825EBA" w:rsidRPr="00825EBA">
              <w:rPr>
                <w:noProof/>
                <w:sz w:val="26"/>
                <w:szCs w:val="26"/>
                <w:lang w:val="lv-LV"/>
              </w:rPr>
              <w:t>380 “Noteikumi par prioritāro institūciju un vajadzību sarakstā iekļautajām institūcijām nepieciešamajiem epidemioloģiskās drošības nodrošināšanas resursiem”</w:t>
            </w:r>
            <w:r w:rsidR="00825EBA">
              <w:rPr>
                <w:noProof/>
                <w:sz w:val="26"/>
                <w:szCs w:val="26"/>
                <w:lang w:val="lv-LV"/>
              </w:rPr>
              <w:t xml:space="preserve"> (turpmāk – noteikumi Nr. 380) 2.5. apakšpunktā jau ir uzskaitīti pirmsskolas</w:t>
            </w:r>
            <w:r w:rsidR="0034310F">
              <w:rPr>
                <w:noProof/>
                <w:sz w:val="26"/>
                <w:szCs w:val="26"/>
                <w:lang w:val="lv-LV"/>
              </w:rPr>
              <w:t xml:space="preserve"> </w:t>
            </w:r>
            <w:r w:rsidR="00825EBA">
              <w:rPr>
                <w:noProof/>
                <w:sz w:val="26"/>
                <w:szCs w:val="26"/>
                <w:lang w:val="lv-LV"/>
              </w:rPr>
              <w:t xml:space="preserve">pedagogi, normu nepieciešams papildināt ar norādi uz </w:t>
            </w:r>
            <w:r w:rsidR="002535A2" w:rsidRPr="002535A2">
              <w:rPr>
                <w:noProof/>
                <w:sz w:val="26"/>
                <w:szCs w:val="26"/>
                <w:lang w:val="lv-LV"/>
              </w:rPr>
              <w:t>izglītības iestāžu, kas īsteno pirmsskolas izglītības programmas</w:t>
            </w:r>
            <w:r w:rsidR="002535A2">
              <w:rPr>
                <w:noProof/>
                <w:sz w:val="26"/>
                <w:szCs w:val="26"/>
                <w:lang w:val="lv-LV"/>
              </w:rPr>
              <w:t>,</w:t>
            </w:r>
            <w:r w:rsidR="002535A2" w:rsidRPr="002535A2">
              <w:rPr>
                <w:noProof/>
                <w:sz w:val="26"/>
                <w:szCs w:val="26"/>
                <w:lang w:val="lv-LV"/>
              </w:rPr>
              <w:t xml:space="preserve"> </w:t>
            </w:r>
            <w:r w:rsidR="00825EBA" w:rsidRPr="00825EBA">
              <w:rPr>
                <w:noProof/>
                <w:sz w:val="26"/>
                <w:szCs w:val="26"/>
                <w:lang w:val="lv-LV"/>
              </w:rPr>
              <w:t>saimniecisk</w:t>
            </w:r>
            <w:r w:rsidR="00825EBA">
              <w:rPr>
                <w:noProof/>
                <w:sz w:val="26"/>
                <w:szCs w:val="26"/>
                <w:lang w:val="lv-LV"/>
              </w:rPr>
              <w:t>aj</w:t>
            </w:r>
            <w:r w:rsidR="00825EBA" w:rsidRPr="00825EBA">
              <w:rPr>
                <w:noProof/>
                <w:sz w:val="26"/>
                <w:szCs w:val="26"/>
                <w:lang w:val="lv-LV"/>
              </w:rPr>
              <w:t>ie</w:t>
            </w:r>
            <w:r w:rsidR="00825EBA">
              <w:rPr>
                <w:noProof/>
                <w:sz w:val="26"/>
                <w:szCs w:val="26"/>
                <w:lang w:val="lv-LV"/>
              </w:rPr>
              <w:t>m</w:t>
            </w:r>
            <w:r w:rsidR="00825EBA" w:rsidRPr="00825EBA">
              <w:rPr>
                <w:noProof/>
                <w:sz w:val="26"/>
                <w:szCs w:val="26"/>
                <w:lang w:val="lv-LV"/>
              </w:rPr>
              <w:t>, tehnisk</w:t>
            </w:r>
            <w:r w:rsidR="00825EBA">
              <w:rPr>
                <w:noProof/>
                <w:sz w:val="26"/>
                <w:szCs w:val="26"/>
                <w:lang w:val="lv-LV"/>
              </w:rPr>
              <w:t>aj</w:t>
            </w:r>
            <w:r w:rsidR="00825EBA" w:rsidRPr="00825EBA">
              <w:rPr>
                <w:noProof/>
                <w:sz w:val="26"/>
                <w:szCs w:val="26"/>
                <w:lang w:val="lv-LV"/>
              </w:rPr>
              <w:t>ie</w:t>
            </w:r>
            <w:r w:rsidR="00825EBA">
              <w:rPr>
                <w:noProof/>
                <w:sz w:val="26"/>
                <w:szCs w:val="26"/>
                <w:lang w:val="lv-LV"/>
              </w:rPr>
              <w:t>m</w:t>
            </w:r>
            <w:r w:rsidR="00825EBA" w:rsidRPr="00825EBA">
              <w:rPr>
                <w:noProof/>
                <w:sz w:val="26"/>
                <w:szCs w:val="26"/>
                <w:lang w:val="lv-LV"/>
              </w:rPr>
              <w:t xml:space="preserve"> un medicīnas darbinieki</w:t>
            </w:r>
            <w:r w:rsidR="00825EBA">
              <w:rPr>
                <w:noProof/>
                <w:sz w:val="26"/>
                <w:szCs w:val="26"/>
                <w:lang w:val="lv-LV"/>
              </w:rPr>
              <w:t>em.</w:t>
            </w:r>
            <w:r w:rsidR="00825EBA" w:rsidRPr="00825EBA">
              <w:rPr>
                <w:noProof/>
                <w:sz w:val="26"/>
                <w:szCs w:val="26"/>
                <w:lang w:val="lv-LV"/>
              </w:rPr>
              <w:t xml:space="preserve"> </w:t>
            </w:r>
            <w:r w:rsidR="002535A2">
              <w:rPr>
                <w:noProof/>
                <w:sz w:val="26"/>
                <w:szCs w:val="26"/>
                <w:lang w:val="lv-LV"/>
              </w:rPr>
              <w:t>Ar šo normu tiktu saprasti pirmsskolas izglītības iestāžu saimnieciskie, tehniskie un medicīnas darbinieki, kā arī šādu amatu darbinieki attiecībā uz pirmsskolas izglītības programmu īstenošanu citās izglītības iestādēs.</w:t>
            </w:r>
          </w:p>
          <w:p w14:paraId="48489350" w14:textId="541AC482" w:rsidR="005442B9" w:rsidRDefault="006305DC" w:rsidP="009139C7">
            <w:pPr>
              <w:spacing w:line="252" w:lineRule="auto"/>
              <w:jc w:val="both"/>
              <w:rPr>
                <w:noProof/>
                <w:sz w:val="26"/>
                <w:szCs w:val="26"/>
                <w:lang w:val="lv-LV"/>
              </w:rPr>
            </w:pPr>
            <w:r>
              <w:rPr>
                <w:noProof/>
                <w:sz w:val="26"/>
                <w:szCs w:val="26"/>
                <w:lang w:val="lv-LV"/>
              </w:rPr>
              <w:t xml:space="preserve">Atbilstoši Valsts izglītības informācijas sistēmā pieejamajiem datiem uz 2021. gada 2. februāri pašvaldību un privātajās izglītības iestādēs (ne tikai pirmsskolas izglītības iestādēs) </w:t>
            </w:r>
            <w:r w:rsidR="00C91831">
              <w:rPr>
                <w:noProof/>
                <w:sz w:val="26"/>
                <w:szCs w:val="26"/>
                <w:lang w:val="lv-LV"/>
              </w:rPr>
              <w:t xml:space="preserve">pirmsskolas </w:t>
            </w:r>
            <w:r>
              <w:rPr>
                <w:noProof/>
                <w:sz w:val="26"/>
                <w:szCs w:val="26"/>
                <w:lang w:val="lv-LV"/>
              </w:rPr>
              <w:t>pedagoģiskajā personālā ir nodarbinātas 11 163 personas (p</w:t>
            </w:r>
            <w:r w:rsidRPr="006305DC">
              <w:rPr>
                <w:noProof/>
                <w:sz w:val="26"/>
                <w:szCs w:val="26"/>
                <w:lang w:val="lv-LV"/>
              </w:rPr>
              <w:t>irmsskolas izglītības skolotāj</w:t>
            </w:r>
            <w:r w:rsidR="00C91831">
              <w:rPr>
                <w:noProof/>
                <w:sz w:val="26"/>
                <w:szCs w:val="26"/>
                <w:lang w:val="lv-LV"/>
              </w:rPr>
              <w:t>i</w:t>
            </w:r>
            <w:r w:rsidRPr="006305DC">
              <w:rPr>
                <w:noProof/>
                <w:sz w:val="26"/>
                <w:szCs w:val="26"/>
                <w:lang w:val="lv-LV"/>
              </w:rPr>
              <w:t xml:space="preserve">, </w:t>
            </w:r>
            <w:r>
              <w:rPr>
                <w:noProof/>
                <w:sz w:val="26"/>
                <w:szCs w:val="26"/>
                <w:lang w:val="lv-LV"/>
              </w:rPr>
              <w:t>p</w:t>
            </w:r>
            <w:r w:rsidRPr="006305DC">
              <w:rPr>
                <w:noProof/>
                <w:sz w:val="26"/>
                <w:szCs w:val="26"/>
                <w:lang w:val="lv-LV"/>
              </w:rPr>
              <w:t>irmsskolas izglītības sporta skolotāj</w:t>
            </w:r>
            <w:r w:rsidR="00C91831">
              <w:rPr>
                <w:noProof/>
                <w:sz w:val="26"/>
                <w:szCs w:val="26"/>
                <w:lang w:val="lv-LV"/>
              </w:rPr>
              <w:t>i</w:t>
            </w:r>
            <w:r w:rsidRPr="006305DC">
              <w:rPr>
                <w:noProof/>
                <w:sz w:val="26"/>
                <w:szCs w:val="26"/>
                <w:lang w:val="lv-LV"/>
              </w:rPr>
              <w:t xml:space="preserve">, </w:t>
            </w:r>
            <w:r>
              <w:rPr>
                <w:noProof/>
                <w:sz w:val="26"/>
                <w:szCs w:val="26"/>
                <w:lang w:val="lv-LV"/>
              </w:rPr>
              <w:t>p</w:t>
            </w:r>
            <w:r w:rsidRPr="006305DC">
              <w:rPr>
                <w:noProof/>
                <w:sz w:val="26"/>
                <w:szCs w:val="26"/>
                <w:lang w:val="lv-LV"/>
              </w:rPr>
              <w:t>irmsskolas izglītības mūzikas skolotāj</w:t>
            </w:r>
            <w:r w:rsidR="00C91831">
              <w:rPr>
                <w:noProof/>
                <w:sz w:val="26"/>
                <w:szCs w:val="26"/>
                <w:lang w:val="lv-LV"/>
              </w:rPr>
              <w:t>i</w:t>
            </w:r>
            <w:r w:rsidRPr="006305DC">
              <w:rPr>
                <w:noProof/>
                <w:sz w:val="26"/>
                <w:szCs w:val="26"/>
                <w:lang w:val="lv-LV"/>
              </w:rPr>
              <w:t xml:space="preserve">, </w:t>
            </w:r>
            <w:r>
              <w:rPr>
                <w:noProof/>
                <w:sz w:val="26"/>
                <w:szCs w:val="26"/>
                <w:lang w:val="lv-LV"/>
              </w:rPr>
              <w:t>p</w:t>
            </w:r>
            <w:r w:rsidRPr="006305DC">
              <w:rPr>
                <w:noProof/>
                <w:sz w:val="26"/>
                <w:szCs w:val="26"/>
                <w:lang w:val="lv-LV"/>
              </w:rPr>
              <w:t>irmsskolas izglītības metodi</w:t>
            </w:r>
            <w:r w:rsidR="00C91831">
              <w:rPr>
                <w:noProof/>
                <w:sz w:val="26"/>
                <w:szCs w:val="26"/>
                <w:lang w:val="lv-LV"/>
              </w:rPr>
              <w:t>i</w:t>
            </w:r>
            <w:r w:rsidRPr="006305DC">
              <w:rPr>
                <w:noProof/>
                <w:sz w:val="26"/>
                <w:szCs w:val="26"/>
                <w:lang w:val="lv-LV"/>
              </w:rPr>
              <w:t xml:space="preserve">, </w:t>
            </w:r>
            <w:r>
              <w:rPr>
                <w:noProof/>
                <w:sz w:val="26"/>
                <w:szCs w:val="26"/>
                <w:lang w:val="lv-LV"/>
              </w:rPr>
              <w:t>p</w:t>
            </w:r>
            <w:r w:rsidRPr="006305DC">
              <w:rPr>
                <w:noProof/>
                <w:sz w:val="26"/>
                <w:szCs w:val="26"/>
                <w:lang w:val="lv-LV"/>
              </w:rPr>
              <w:t>irmsskolas skolotāja palīg</w:t>
            </w:r>
            <w:r w:rsidR="00C91831">
              <w:rPr>
                <w:noProof/>
                <w:sz w:val="26"/>
                <w:szCs w:val="26"/>
                <w:lang w:val="lv-LV"/>
              </w:rPr>
              <w:t>i</w:t>
            </w:r>
            <w:r>
              <w:rPr>
                <w:noProof/>
                <w:sz w:val="26"/>
                <w:szCs w:val="26"/>
                <w:lang w:val="lv-LV"/>
              </w:rPr>
              <w:t xml:space="preserve">). Savukārt </w:t>
            </w:r>
            <w:r>
              <w:rPr>
                <w:noProof/>
                <w:sz w:val="26"/>
                <w:szCs w:val="26"/>
                <w:lang w:val="lv-LV"/>
              </w:rPr>
              <w:lastRenderedPageBreak/>
              <w:t xml:space="preserve">tehniskā personāla (saimnieciskie, tehniskie, medicīnas darbinieki) skaits </w:t>
            </w:r>
            <w:r w:rsidR="00816692">
              <w:rPr>
                <w:noProof/>
                <w:sz w:val="26"/>
                <w:szCs w:val="26"/>
                <w:lang w:val="lv-LV"/>
              </w:rPr>
              <w:t xml:space="preserve">tieši </w:t>
            </w:r>
            <w:r>
              <w:rPr>
                <w:noProof/>
                <w:sz w:val="26"/>
                <w:szCs w:val="26"/>
                <w:lang w:val="lv-LV"/>
              </w:rPr>
              <w:t>pirmsskol</w:t>
            </w:r>
            <w:r w:rsidR="00C91831">
              <w:rPr>
                <w:noProof/>
                <w:sz w:val="26"/>
                <w:szCs w:val="26"/>
                <w:lang w:val="lv-LV"/>
              </w:rPr>
              <w:t>a</w:t>
            </w:r>
            <w:r>
              <w:rPr>
                <w:noProof/>
                <w:sz w:val="26"/>
                <w:szCs w:val="26"/>
                <w:lang w:val="lv-LV"/>
              </w:rPr>
              <w:t xml:space="preserve">s izglītības iestādēs uz 2021. gada 21. janvāri ir 11 741. Jāņem vērā, ka arī citās izglītības iestādēs, piemēram, pamatskolās, var tikt īstenotas pirmsskolas izglītības programmas, un šajās iestādēs tiek nodarbināts arī tehniskais personāls, taču šādā gadījumā nav iespējams pēc pieejamajiem datiem </w:t>
            </w:r>
            <w:r w:rsidR="00C91831">
              <w:rPr>
                <w:noProof/>
                <w:sz w:val="26"/>
                <w:szCs w:val="26"/>
                <w:lang w:val="lv-LV"/>
              </w:rPr>
              <w:t>nošķirt un precīzi aprēķināt</w:t>
            </w:r>
            <w:r w:rsidR="005442B9">
              <w:rPr>
                <w:noProof/>
                <w:sz w:val="26"/>
                <w:szCs w:val="26"/>
                <w:lang w:val="lv-LV"/>
              </w:rPr>
              <w:t>, kāda daļa tehniskā personāla attiecināma tikai uz pirmsskolas izglītības programmu īstenošanu.</w:t>
            </w:r>
            <w:r>
              <w:rPr>
                <w:noProof/>
                <w:sz w:val="26"/>
                <w:szCs w:val="26"/>
                <w:lang w:val="lv-LV"/>
              </w:rPr>
              <w:t xml:space="preserve"> </w:t>
            </w:r>
            <w:r w:rsidR="00816692">
              <w:rPr>
                <w:noProof/>
                <w:sz w:val="26"/>
                <w:szCs w:val="26"/>
                <w:lang w:val="lv-LV"/>
              </w:rPr>
              <w:t>Tomēr a</w:t>
            </w:r>
            <w:r w:rsidR="008779BE">
              <w:rPr>
                <w:noProof/>
                <w:sz w:val="26"/>
                <w:szCs w:val="26"/>
                <w:lang w:val="lv-LV"/>
              </w:rPr>
              <w:t xml:space="preserve">tbilstoši ministrijai pieejamajai informācijai, aprēķinot proporciju, kāda veidojas to pārējo izglītības iestāžu pirmsskolas pedagoģiskā personāla skaitam pret pirmsskolas izglītības iestāžu pedagoģiskā personāla skaitu, analogi ir aprēķināts arī pārējo izglītības iestāžu tehniskā personāla skaits pret pirmsskolas izglītības iestāžu tehniskā personāla skaitu, </w:t>
            </w:r>
            <w:r w:rsidR="00816692">
              <w:rPr>
                <w:noProof/>
                <w:sz w:val="26"/>
                <w:szCs w:val="26"/>
                <w:lang w:val="lv-LV"/>
              </w:rPr>
              <w:t xml:space="preserve">rezultātā </w:t>
            </w:r>
            <w:r w:rsidR="008779BE">
              <w:rPr>
                <w:noProof/>
                <w:sz w:val="26"/>
                <w:szCs w:val="26"/>
                <w:lang w:val="lv-LV"/>
              </w:rPr>
              <w:t xml:space="preserve">tam esot aptuveni 2762. Līdz ar to, 2762 pieskaitāms iepriekš minētajam tehniskā personāla skaitam pirmsskolas izglītības iestādēs (11 741), kopā – 14 503. Savukārt, pieskaitot pedagoģisko personālu, kopējais pirmsskolas personāla skaits ir 25 666.  </w:t>
            </w:r>
          </w:p>
          <w:p w14:paraId="0026A153" w14:textId="326F941B" w:rsidR="005442B9" w:rsidRDefault="005442B9" w:rsidP="009139C7">
            <w:pPr>
              <w:spacing w:line="252" w:lineRule="auto"/>
              <w:jc w:val="both"/>
              <w:rPr>
                <w:noProof/>
                <w:sz w:val="26"/>
                <w:szCs w:val="26"/>
                <w:lang w:val="lv-LV"/>
              </w:rPr>
            </w:pPr>
            <w:r>
              <w:rPr>
                <w:noProof/>
                <w:sz w:val="26"/>
                <w:szCs w:val="26"/>
                <w:lang w:val="lv-LV"/>
              </w:rPr>
              <w:t>Pieņemot, ka Ag tests tiek veikt</w:t>
            </w:r>
            <w:r w:rsidR="00C91831">
              <w:rPr>
                <w:noProof/>
                <w:sz w:val="26"/>
                <w:szCs w:val="26"/>
                <w:lang w:val="lv-LV"/>
              </w:rPr>
              <w:t>s</w:t>
            </w:r>
            <w:r>
              <w:rPr>
                <w:noProof/>
                <w:sz w:val="26"/>
                <w:szCs w:val="26"/>
                <w:lang w:val="lv-LV"/>
              </w:rPr>
              <w:t xml:space="preserve"> ne biežāk kā divas reizes nedēļā divus mēn</w:t>
            </w:r>
            <w:r w:rsidRPr="00816692">
              <w:rPr>
                <w:noProof/>
                <w:sz w:val="26"/>
                <w:szCs w:val="26"/>
                <w:lang w:val="lv-LV"/>
              </w:rPr>
              <w:t>ešus (astoņas nedēļas),</w:t>
            </w:r>
            <w:r w:rsidR="006A2224" w:rsidRPr="00816692">
              <w:rPr>
                <w:noProof/>
                <w:sz w:val="26"/>
                <w:szCs w:val="26"/>
                <w:lang w:val="lv-LV"/>
              </w:rPr>
              <w:t xml:space="preserve"> kopējais nepieciešamo testu skaits </w:t>
            </w:r>
            <w:r w:rsidRPr="00816692">
              <w:rPr>
                <w:noProof/>
                <w:sz w:val="26"/>
                <w:szCs w:val="26"/>
                <w:lang w:val="lv-LV"/>
              </w:rPr>
              <w:t>uz diviem mēnešiem</w:t>
            </w:r>
            <w:r w:rsidR="006A2224" w:rsidRPr="00816692">
              <w:rPr>
                <w:noProof/>
                <w:sz w:val="26"/>
                <w:szCs w:val="26"/>
                <w:lang w:val="lv-LV"/>
              </w:rPr>
              <w:t xml:space="preserve"> ir </w:t>
            </w:r>
            <w:r w:rsidR="00825EBA" w:rsidRPr="00816692">
              <w:rPr>
                <w:noProof/>
                <w:sz w:val="26"/>
                <w:szCs w:val="26"/>
                <w:lang w:val="lv-LV"/>
              </w:rPr>
              <w:t>aptuveni</w:t>
            </w:r>
            <w:r w:rsidR="006A2224" w:rsidRPr="00816692">
              <w:rPr>
                <w:noProof/>
                <w:sz w:val="26"/>
                <w:szCs w:val="26"/>
                <w:lang w:val="lv-LV"/>
              </w:rPr>
              <w:t xml:space="preserve"> </w:t>
            </w:r>
            <w:r w:rsidR="00816692" w:rsidRPr="00816692">
              <w:rPr>
                <w:noProof/>
                <w:sz w:val="26"/>
                <w:szCs w:val="26"/>
                <w:lang w:val="lv-LV"/>
              </w:rPr>
              <w:t>411 000</w:t>
            </w:r>
            <w:r w:rsidR="006A2224" w:rsidRPr="00816692">
              <w:rPr>
                <w:noProof/>
                <w:sz w:val="26"/>
                <w:szCs w:val="26"/>
                <w:lang w:val="lv-LV"/>
              </w:rPr>
              <w:t xml:space="preserve"> testu. </w:t>
            </w:r>
          </w:p>
          <w:p w14:paraId="31FE053B" w14:textId="12761380" w:rsidR="006A2224" w:rsidRPr="00EA1175" w:rsidRDefault="005442B9" w:rsidP="009139C7">
            <w:pPr>
              <w:spacing w:line="252" w:lineRule="auto"/>
              <w:jc w:val="both"/>
              <w:rPr>
                <w:noProof/>
                <w:sz w:val="26"/>
                <w:szCs w:val="26"/>
                <w:lang w:val="lv-LV"/>
              </w:rPr>
            </w:pPr>
            <w:r>
              <w:rPr>
                <w:noProof/>
                <w:sz w:val="26"/>
                <w:szCs w:val="26"/>
                <w:lang w:val="lv-LV"/>
              </w:rPr>
              <w:t>Vienlaikus ir nepieciešams izveidot Ag testu rezervi, lai gadījumos, kad</w:t>
            </w:r>
            <w:r w:rsidR="00816692">
              <w:rPr>
                <w:noProof/>
                <w:sz w:val="26"/>
                <w:szCs w:val="26"/>
                <w:lang w:val="lv-LV"/>
              </w:rPr>
              <w:t>, piemēram,</w:t>
            </w:r>
            <w:r>
              <w:rPr>
                <w:noProof/>
                <w:sz w:val="26"/>
                <w:szCs w:val="26"/>
                <w:lang w:val="lv-LV"/>
              </w:rPr>
              <w:t xml:space="preserve"> kādā izglītības iestādē rodas Covid-19 infekcijas uzliesmojums, būtu iespējams operatīvi saņemt jau iegādātus Ag testus tūlītējai to izmantošanai</w:t>
            </w:r>
            <w:r w:rsidR="0065200E">
              <w:rPr>
                <w:noProof/>
                <w:sz w:val="26"/>
                <w:szCs w:val="26"/>
                <w:lang w:val="lv-LV"/>
              </w:rPr>
              <w:t xml:space="preserve">, tostarp </w:t>
            </w:r>
            <w:r w:rsidR="0065200E" w:rsidRPr="00816692">
              <w:rPr>
                <w:noProof/>
                <w:sz w:val="26"/>
                <w:szCs w:val="26"/>
                <w:lang w:val="lv-LV"/>
              </w:rPr>
              <w:t>arī pēc minētajiem diviem pirmsskolas personāla testēšanas mēnešiem</w:t>
            </w:r>
            <w:r w:rsidRPr="00816692">
              <w:rPr>
                <w:noProof/>
                <w:sz w:val="26"/>
                <w:szCs w:val="26"/>
                <w:lang w:val="lv-LV"/>
              </w:rPr>
              <w:t xml:space="preserve">. </w:t>
            </w:r>
            <w:r w:rsidR="00816692" w:rsidRPr="00816692">
              <w:rPr>
                <w:noProof/>
                <w:sz w:val="26"/>
                <w:szCs w:val="26"/>
                <w:lang w:val="lv-LV"/>
              </w:rPr>
              <w:t>Šādi testi varētu tikt izmantoti arī jebkur</w:t>
            </w:r>
            <w:r w:rsidR="00816692">
              <w:rPr>
                <w:noProof/>
                <w:sz w:val="26"/>
                <w:szCs w:val="26"/>
                <w:lang w:val="lv-LV"/>
              </w:rPr>
              <w:t>ā</w:t>
            </w:r>
            <w:r w:rsidR="00816692" w:rsidRPr="00816692">
              <w:rPr>
                <w:noProof/>
                <w:sz w:val="26"/>
                <w:szCs w:val="26"/>
                <w:lang w:val="lv-LV"/>
              </w:rPr>
              <w:t xml:space="preserve"> cit</w:t>
            </w:r>
            <w:r w:rsidR="00816692">
              <w:rPr>
                <w:noProof/>
                <w:sz w:val="26"/>
                <w:szCs w:val="26"/>
                <w:lang w:val="lv-LV"/>
              </w:rPr>
              <w:t xml:space="preserve">ā </w:t>
            </w:r>
            <w:r w:rsidR="00816692" w:rsidRPr="00816692">
              <w:rPr>
                <w:noProof/>
                <w:sz w:val="26"/>
                <w:szCs w:val="26"/>
                <w:lang w:val="lv-LV"/>
              </w:rPr>
              <w:t>izglītības iestād</w:t>
            </w:r>
            <w:r w:rsidR="00816692">
              <w:rPr>
                <w:noProof/>
                <w:sz w:val="26"/>
                <w:szCs w:val="26"/>
                <w:lang w:val="lv-LV"/>
              </w:rPr>
              <w:t>ē</w:t>
            </w:r>
            <w:r w:rsidR="00816692" w:rsidRPr="00816692">
              <w:rPr>
                <w:noProof/>
                <w:sz w:val="26"/>
                <w:szCs w:val="26"/>
                <w:lang w:val="lv-LV"/>
              </w:rPr>
              <w:t xml:space="preserve">, piemēram, gadījumā, ja skolā tiek īstenotas individuālās konsultācijas ar izglītojamajiem. </w:t>
            </w:r>
            <w:r w:rsidRPr="00816692">
              <w:rPr>
                <w:noProof/>
                <w:sz w:val="26"/>
                <w:szCs w:val="26"/>
                <w:lang w:val="lv-LV"/>
              </w:rPr>
              <w:t xml:space="preserve">Ievērojot </w:t>
            </w:r>
            <w:r>
              <w:rPr>
                <w:noProof/>
                <w:sz w:val="26"/>
                <w:szCs w:val="26"/>
                <w:lang w:val="lv-LV"/>
              </w:rPr>
              <w:t xml:space="preserve">minēto, šādam mērķim varētu tikt iegādāts četrām </w:t>
            </w:r>
            <w:r w:rsidRPr="00C91831">
              <w:rPr>
                <w:noProof/>
                <w:sz w:val="26"/>
                <w:szCs w:val="26"/>
                <w:lang w:val="lv-LV"/>
              </w:rPr>
              <w:t xml:space="preserve">nedēļām (astoņām testēšanas reizēm) paredzēts Ag testu skaits atbilstoši iepriekš veiktajam </w:t>
            </w:r>
            <w:r w:rsidRPr="00816692">
              <w:rPr>
                <w:noProof/>
                <w:sz w:val="26"/>
                <w:szCs w:val="26"/>
                <w:lang w:val="lv-LV"/>
              </w:rPr>
              <w:t xml:space="preserve">aprēķinam, t.i., papildu </w:t>
            </w:r>
            <w:r w:rsidR="0065200E" w:rsidRPr="00816692">
              <w:rPr>
                <w:noProof/>
                <w:sz w:val="26"/>
                <w:szCs w:val="26"/>
                <w:lang w:val="lv-LV"/>
              </w:rPr>
              <w:t xml:space="preserve">aptuveni </w:t>
            </w:r>
            <w:r w:rsidR="00816692" w:rsidRPr="00816692">
              <w:rPr>
                <w:noProof/>
                <w:sz w:val="26"/>
                <w:szCs w:val="26"/>
                <w:lang w:val="lv-LV"/>
              </w:rPr>
              <w:t>205 500</w:t>
            </w:r>
            <w:r w:rsidRPr="00816692">
              <w:rPr>
                <w:noProof/>
                <w:sz w:val="26"/>
                <w:szCs w:val="26"/>
                <w:lang w:val="lv-LV"/>
              </w:rPr>
              <w:t xml:space="preserve"> testu.</w:t>
            </w:r>
            <w:r>
              <w:rPr>
                <w:noProof/>
                <w:color w:val="FF0000"/>
                <w:sz w:val="26"/>
                <w:szCs w:val="26"/>
                <w:lang w:val="lv-LV"/>
              </w:rPr>
              <w:t xml:space="preserve"> </w:t>
            </w:r>
            <w:r w:rsidR="00825EBA">
              <w:rPr>
                <w:noProof/>
                <w:sz w:val="26"/>
                <w:szCs w:val="26"/>
                <w:lang w:val="lv-LV"/>
              </w:rPr>
              <w:t>Līdz ar to, noteikumu Nr. 380 4.10. apakšpunktā nepi</w:t>
            </w:r>
            <w:r w:rsidR="00825EBA" w:rsidRPr="00816692">
              <w:rPr>
                <w:noProof/>
                <w:sz w:val="26"/>
                <w:szCs w:val="26"/>
                <w:lang w:val="lv-LV"/>
              </w:rPr>
              <w:t xml:space="preserve">eciešams precizēt Ag testu vienību skaitu, </w:t>
            </w:r>
            <w:r w:rsidR="00516832" w:rsidRPr="00816692">
              <w:rPr>
                <w:noProof/>
                <w:sz w:val="26"/>
                <w:szCs w:val="26"/>
                <w:lang w:val="lv-LV"/>
              </w:rPr>
              <w:t xml:space="preserve">tam pievienojot vēl </w:t>
            </w:r>
            <w:r w:rsidR="00816692" w:rsidRPr="00816692">
              <w:rPr>
                <w:noProof/>
                <w:sz w:val="26"/>
                <w:szCs w:val="26"/>
                <w:lang w:val="lv-LV"/>
              </w:rPr>
              <w:t>616 500</w:t>
            </w:r>
            <w:r w:rsidR="00516832" w:rsidRPr="00816692">
              <w:rPr>
                <w:noProof/>
                <w:sz w:val="26"/>
                <w:szCs w:val="26"/>
                <w:lang w:val="lv-LV"/>
              </w:rPr>
              <w:t xml:space="preserve"> vienības, kopumā</w:t>
            </w:r>
            <w:r w:rsidR="00825EBA" w:rsidRPr="00816692">
              <w:rPr>
                <w:noProof/>
                <w:sz w:val="26"/>
                <w:szCs w:val="26"/>
                <w:lang w:val="lv-LV"/>
              </w:rPr>
              <w:t xml:space="preserve"> nosakot </w:t>
            </w:r>
            <w:bookmarkStart w:id="4" w:name="_Hlk63686745"/>
            <w:r w:rsidR="00816692" w:rsidRPr="00816692">
              <w:rPr>
                <w:noProof/>
                <w:sz w:val="26"/>
                <w:szCs w:val="26"/>
                <w:lang w:val="lv-LV"/>
              </w:rPr>
              <w:t>751 500</w:t>
            </w:r>
            <w:bookmarkEnd w:id="4"/>
            <w:r w:rsidR="00825EBA" w:rsidRPr="00816692">
              <w:rPr>
                <w:noProof/>
                <w:sz w:val="26"/>
                <w:szCs w:val="26"/>
                <w:lang w:val="lv-LV"/>
              </w:rPr>
              <w:t>.</w:t>
            </w:r>
            <w:r w:rsidR="00516832" w:rsidRPr="00816692">
              <w:rPr>
                <w:noProof/>
                <w:sz w:val="26"/>
                <w:szCs w:val="26"/>
                <w:lang w:val="lv-LV"/>
              </w:rPr>
              <w:t xml:space="preserve"> </w:t>
            </w:r>
          </w:p>
          <w:p w14:paraId="791B63A0" w14:textId="43EAB320" w:rsidR="006A2224" w:rsidRPr="00EA1175" w:rsidRDefault="006A2224" w:rsidP="009139C7">
            <w:pPr>
              <w:spacing w:line="252" w:lineRule="auto"/>
              <w:jc w:val="both"/>
              <w:rPr>
                <w:noProof/>
                <w:sz w:val="26"/>
                <w:szCs w:val="26"/>
                <w:lang w:val="lv-LV"/>
              </w:rPr>
            </w:pPr>
            <w:r w:rsidRPr="00EA1175">
              <w:rPr>
                <w:noProof/>
                <w:sz w:val="26"/>
                <w:szCs w:val="26"/>
                <w:lang w:val="lv-LV"/>
              </w:rPr>
              <w:t xml:space="preserve">Ag testu veikšanai </w:t>
            </w:r>
            <w:r w:rsidR="00121C81">
              <w:rPr>
                <w:noProof/>
                <w:sz w:val="26"/>
                <w:szCs w:val="26"/>
                <w:lang w:val="lv-LV"/>
              </w:rPr>
              <w:t>izglītības iestādēs</w:t>
            </w:r>
            <w:r w:rsidRPr="00EA1175">
              <w:rPr>
                <w:noProof/>
                <w:sz w:val="26"/>
                <w:szCs w:val="26"/>
                <w:lang w:val="lv-LV"/>
              </w:rPr>
              <w:t xml:space="preserve"> ir nepieciešami apmācīti veselības aprūpes vai laboratorijas darbinieki, kas nodrošinās paraugu ņemšanu, testēšanu, rezultātu analīzi un ziņošanu par testa rezultātiem</w:t>
            </w:r>
            <w:r w:rsidR="00825EBA">
              <w:rPr>
                <w:noProof/>
                <w:sz w:val="26"/>
                <w:szCs w:val="26"/>
                <w:lang w:val="lv-LV"/>
              </w:rPr>
              <w:t xml:space="preserve">. Gadījumā, ja izglītības iestādē nav nodarbināta ārstniecības persona, </w:t>
            </w:r>
            <w:r w:rsidR="00825EBA">
              <w:rPr>
                <w:noProof/>
                <w:sz w:val="26"/>
                <w:szCs w:val="26"/>
                <w:lang w:val="lv-LV"/>
              </w:rPr>
              <w:lastRenderedPageBreak/>
              <w:t xml:space="preserve">nepieciešams </w:t>
            </w:r>
            <w:r w:rsidRPr="00EA1175">
              <w:rPr>
                <w:noProof/>
                <w:sz w:val="26"/>
                <w:szCs w:val="26"/>
                <w:lang w:val="lv-LV"/>
              </w:rPr>
              <w:t>piesaistīt citus pašvaldībā esošos laboratorijas speciālistus vai ģimenes ārstu medicīnas māsas.</w:t>
            </w:r>
          </w:p>
          <w:p w14:paraId="2AC9E980" w14:textId="77777777" w:rsidR="006A2224" w:rsidRPr="00EA1175" w:rsidRDefault="006A2224" w:rsidP="009139C7">
            <w:pPr>
              <w:spacing w:line="252" w:lineRule="auto"/>
              <w:jc w:val="both"/>
              <w:rPr>
                <w:noProof/>
                <w:sz w:val="26"/>
                <w:szCs w:val="26"/>
                <w:lang w:val="lv-LV"/>
              </w:rPr>
            </w:pPr>
            <w:r w:rsidRPr="00EA1175">
              <w:rPr>
                <w:noProof/>
                <w:sz w:val="26"/>
                <w:szCs w:val="26"/>
                <w:lang w:val="lv-LV"/>
              </w:rPr>
              <w:t>Pirms testa uzsākšanas jāievieš arī atbilstoši bioloģiskās drošības pasākumi. Veicot testēšanu, precīzi jāievēro ražotāja norādījumi par paraugu savākšanu, drošu apstrādi, atkritumu apsaimniekošanu un potenciāli bīstamo materiālu utilizāciju, telpu virsmu dezinfekciju, kā arī jānodrošina obligāta individuālo aizsardzības līdzekļu pareiza izmantošana un uzskaite.</w:t>
            </w:r>
          </w:p>
          <w:p w14:paraId="1F0F92D1" w14:textId="0DB6B5D9" w:rsidR="006A2224" w:rsidRPr="00EA1175" w:rsidRDefault="006A2224" w:rsidP="009139C7">
            <w:pPr>
              <w:spacing w:line="252" w:lineRule="auto"/>
              <w:jc w:val="both"/>
              <w:rPr>
                <w:noProof/>
                <w:sz w:val="26"/>
                <w:szCs w:val="26"/>
                <w:lang w:val="lv-LV"/>
              </w:rPr>
            </w:pPr>
            <w:r w:rsidRPr="00EA1175">
              <w:rPr>
                <w:noProof/>
                <w:sz w:val="26"/>
                <w:szCs w:val="26"/>
                <w:lang w:val="lv-LV"/>
              </w:rPr>
              <w:t>Ag testi ir pietiekami jūtīgi personām ar Covid-19 simptomiem, proti no pirmās simptomu parādīšanās dienas līdz 5</w:t>
            </w:r>
            <w:r w:rsidR="00121C81">
              <w:rPr>
                <w:noProof/>
                <w:sz w:val="26"/>
                <w:szCs w:val="26"/>
                <w:lang w:val="lv-LV"/>
              </w:rPr>
              <w:t>.</w:t>
            </w:r>
            <w:r w:rsidRPr="00EA1175">
              <w:rPr>
                <w:noProof/>
                <w:sz w:val="26"/>
                <w:szCs w:val="26"/>
                <w:lang w:val="lv-LV"/>
              </w:rPr>
              <w:t xml:space="preserve"> dienai. Tādēļ negatīva testa gadījumā personai bez slimības pazīmēm nevar gūt pietiekamu pārliecību, ka persona nav infekcioza. </w:t>
            </w:r>
            <w:r w:rsidR="00CB3984">
              <w:rPr>
                <w:noProof/>
                <w:sz w:val="26"/>
                <w:szCs w:val="26"/>
                <w:lang w:val="lv-LV"/>
              </w:rPr>
              <w:t xml:space="preserve">Ņemot vērā minēto, ir svarīgi </w:t>
            </w:r>
            <w:r w:rsidR="0065200E">
              <w:rPr>
                <w:noProof/>
                <w:sz w:val="26"/>
                <w:szCs w:val="26"/>
                <w:lang w:val="lv-LV"/>
              </w:rPr>
              <w:t>pirmsskol</w:t>
            </w:r>
            <w:r w:rsidR="00C91831">
              <w:rPr>
                <w:noProof/>
                <w:sz w:val="26"/>
                <w:szCs w:val="26"/>
                <w:lang w:val="lv-LV"/>
              </w:rPr>
              <w:t>a</w:t>
            </w:r>
            <w:r w:rsidR="0065200E">
              <w:rPr>
                <w:noProof/>
                <w:sz w:val="26"/>
                <w:szCs w:val="26"/>
                <w:lang w:val="lv-LV"/>
              </w:rPr>
              <w:t>s personālam</w:t>
            </w:r>
            <w:r w:rsidR="00CB3984">
              <w:rPr>
                <w:noProof/>
                <w:sz w:val="26"/>
                <w:szCs w:val="26"/>
                <w:lang w:val="lv-LV"/>
              </w:rPr>
              <w:t xml:space="preserve"> nepieciešamības gadījumā veikt PĶR testus, piemēram, ja konstatēti saslimšanas simptomi.</w:t>
            </w:r>
            <w:r w:rsidR="00CB3984" w:rsidRPr="00EA1175">
              <w:rPr>
                <w:noProof/>
                <w:sz w:val="26"/>
                <w:szCs w:val="26"/>
                <w:lang w:val="lv-LV"/>
              </w:rPr>
              <w:t xml:space="preserve"> </w:t>
            </w:r>
          </w:p>
          <w:p w14:paraId="3380220F" w14:textId="77777777" w:rsidR="006A2224" w:rsidRPr="00EA1175" w:rsidRDefault="006A2224" w:rsidP="009139C7">
            <w:pPr>
              <w:spacing w:line="252" w:lineRule="auto"/>
              <w:jc w:val="both"/>
              <w:rPr>
                <w:noProof/>
                <w:sz w:val="26"/>
                <w:szCs w:val="26"/>
                <w:lang w:val="lv-LV"/>
              </w:rPr>
            </w:pPr>
            <w:r w:rsidRPr="00EA1175">
              <w:rPr>
                <w:noProof/>
                <w:sz w:val="26"/>
                <w:szCs w:val="26"/>
                <w:lang w:val="lv-LV"/>
              </w:rPr>
              <w:t xml:space="preserve">Personām, kuras ir pārslimojušas Covid-19 trīs mēnešus pēc saslimšanas praktiski nav iespējas atkārtoti inficēties ar SARS-CoV-2, tādēļ šīm personām nav nepieciešamības veikt Covid-19 diagnostiku šajā laika periodā. </w:t>
            </w:r>
          </w:p>
          <w:p w14:paraId="55A773E3" w14:textId="63F7BDFE" w:rsidR="006A2224" w:rsidRDefault="006A2224" w:rsidP="009139C7">
            <w:pPr>
              <w:spacing w:line="252" w:lineRule="auto"/>
              <w:jc w:val="both"/>
              <w:rPr>
                <w:noProof/>
                <w:sz w:val="26"/>
                <w:szCs w:val="26"/>
                <w:lang w:val="lv-LV"/>
              </w:rPr>
            </w:pPr>
            <w:r w:rsidRPr="00EA1175">
              <w:rPr>
                <w:noProof/>
                <w:sz w:val="26"/>
                <w:szCs w:val="26"/>
                <w:lang w:val="lv-LV"/>
              </w:rPr>
              <w:t>Pozitīva SARS-CoV-2 ātrā antigēna testa gadījumā ir jāveic inficētās personas laboratoriskā izmeklēšana, izmantojot PĶR metodi, iespējami inficētajai personai ir jāuzsāk izolācija un jāuzsāk pretpidēmijas pasākumi, nosakot viņas kontaktpersonas. Šie pasākumi var būt pārtraukti, ja laboratoriskā izmeklēšana ar PĶR metodi neapstiprinās inficēšanos. Tāpēc apstiprinošā testēšana ir jāveic pēc iespējas ātrāk, vislabāk uzreiz pozitīva SARS-CoV-2 ātrā antigēna testa gadījumā, jo vēlāk apstiprinošā testēšana var aizkavēties dažādu apstākļu dēļ.</w:t>
            </w:r>
          </w:p>
          <w:p w14:paraId="1415AE86" w14:textId="783C3679" w:rsidR="006A2224" w:rsidRPr="00117BB2" w:rsidRDefault="00516832" w:rsidP="009139C7">
            <w:pPr>
              <w:spacing w:line="252" w:lineRule="auto"/>
              <w:jc w:val="both"/>
              <w:rPr>
                <w:noProof/>
                <w:sz w:val="26"/>
                <w:szCs w:val="26"/>
                <w:lang w:val="lv-LV"/>
              </w:rPr>
            </w:pPr>
            <w:r>
              <w:rPr>
                <w:noProof/>
                <w:sz w:val="26"/>
                <w:szCs w:val="26"/>
                <w:lang w:val="lv-LV"/>
              </w:rPr>
              <w:t xml:space="preserve">Plānots, ka </w:t>
            </w:r>
            <w:r w:rsidR="006A2224" w:rsidRPr="001325B1">
              <w:rPr>
                <w:noProof/>
                <w:sz w:val="26"/>
                <w:szCs w:val="26"/>
                <w:lang w:val="lv-LV"/>
              </w:rPr>
              <w:t xml:space="preserve">Valsts </w:t>
            </w:r>
            <w:r w:rsidR="006A2224" w:rsidRPr="00334FFF">
              <w:rPr>
                <w:noProof/>
                <w:sz w:val="26"/>
                <w:szCs w:val="26"/>
                <w:lang w:val="lv-LV"/>
              </w:rPr>
              <w:t xml:space="preserve">aizsardzības </w:t>
            </w:r>
            <w:r w:rsidR="006A2224" w:rsidRPr="00816692">
              <w:rPr>
                <w:noProof/>
                <w:sz w:val="26"/>
                <w:szCs w:val="26"/>
                <w:lang w:val="lv-LV"/>
              </w:rPr>
              <w:t>loģistikas un iepirkuma centrs (turpmāk – VALIC) organizēs A</w:t>
            </w:r>
            <w:r w:rsidR="00121C81" w:rsidRPr="00816692">
              <w:rPr>
                <w:noProof/>
                <w:sz w:val="26"/>
                <w:szCs w:val="26"/>
                <w:lang w:val="lv-LV"/>
              </w:rPr>
              <w:t>g</w:t>
            </w:r>
            <w:r w:rsidR="006A2224" w:rsidRPr="00816692">
              <w:rPr>
                <w:noProof/>
                <w:sz w:val="26"/>
                <w:szCs w:val="26"/>
                <w:lang w:val="lv-LV"/>
              </w:rPr>
              <w:t xml:space="preserve"> testu iepirkumu un iegādi, attiecīgi iegādājoties </w:t>
            </w:r>
            <w:r w:rsidR="00CB3984" w:rsidRPr="00816692">
              <w:rPr>
                <w:noProof/>
                <w:sz w:val="26"/>
                <w:szCs w:val="26"/>
                <w:lang w:val="lv-LV"/>
              </w:rPr>
              <w:t xml:space="preserve">papildu </w:t>
            </w:r>
            <w:r w:rsidR="00816692" w:rsidRPr="00816692">
              <w:rPr>
                <w:noProof/>
                <w:sz w:val="26"/>
                <w:szCs w:val="26"/>
                <w:lang w:val="lv-LV"/>
              </w:rPr>
              <w:t>616 500</w:t>
            </w:r>
            <w:r w:rsidR="006A2224" w:rsidRPr="00816692">
              <w:rPr>
                <w:noProof/>
                <w:sz w:val="26"/>
                <w:szCs w:val="26"/>
                <w:lang w:val="lv-LV"/>
              </w:rPr>
              <w:t xml:space="preserve"> A</w:t>
            </w:r>
            <w:r w:rsidR="00121C81" w:rsidRPr="00816692">
              <w:rPr>
                <w:noProof/>
                <w:sz w:val="26"/>
                <w:szCs w:val="26"/>
                <w:lang w:val="lv-LV"/>
              </w:rPr>
              <w:t>g</w:t>
            </w:r>
            <w:r w:rsidR="006A2224" w:rsidRPr="00816692">
              <w:rPr>
                <w:noProof/>
                <w:sz w:val="26"/>
                <w:szCs w:val="26"/>
                <w:lang w:val="lv-LV"/>
              </w:rPr>
              <w:t xml:space="preserve"> testus, savukārt Valsts ugunsdzēsības un glābšanas dienests (turpmāk</w:t>
            </w:r>
            <w:r w:rsidR="00CB3984" w:rsidRPr="00816692">
              <w:rPr>
                <w:noProof/>
                <w:sz w:val="26"/>
                <w:szCs w:val="26"/>
                <w:lang w:val="lv-LV"/>
              </w:rPr>
              <w:t xml:space="preserve"> – </w:t>
            </w:r>
            <w:r w:rsidR="006A2224" w:rsidRPr="00816692">
              <w:rPr>
                <w:noProof/>
                <w:sz w:val="26"/>
                <w:szCs w:val="26"/>
                <w:lang w:val="lv-LV"/>
              </w:rPr>
              <w:t>VUGD) nodrošinās A</w:t>
            </w:r>
            <w:r w:rsidR="00121C81" w:rsidRPr="00816692">
              <w:rPr>
                <w:noProof/>
                <w:sz w:val="26"/>
                <w:szCs w:val="26"/>
                <w:lang w:val="lv-LV"/>
              </w:rPr>
              <w:t>g</w:t>
            </w:r>
            <w:r w:rsidR="006A2224" w:rsidRPr="00816692">
              <w:rPr>
                <w:noProof/>
                <w:sz w:val="26"/>
                <w:szCs w:val="26"/>
                <w:lang w:val="lv-LV"/>
              </w:rPr>
              <w:t xml:space="preserve"> testu nogādāšanu </w:t>
            </w:r>
            <w:r w:rsidR="006A2224">
              <w:rPr>
                <w:noProof/>
                <w:sz w:val="26"/>
                <w:szCs w:val="26"/>
                <w:lang w:val="lv-LV"/>
              </w:rPr>
              <w:t xml:space="preserve">institūcijām. </w:t>
            </w:r>
          </w:p>
        </w:tc>
      </w:tr>
      <w:bookmarkEnd w:id="3"/>
      <w:tr w:rsidR="006A2224" w:rsidRPr="00A77A93" w14:paraId="4CF44B94" w14:textId="77777777" w:rsidTr="009139C7">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6CE4CDAA"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0B2EF11" w14:textId="77777777" w:rsidR="006A2224" w:rsidRPr="003B3464" w:rsidRDefault="006A2224" w:rsidP="009139C7">
            <w:pPr>
              <w:contextualSpacing/>
              <w:rPr>
                <w:rFonts w:eastAsia="Times New Roman"/>
                <w:bCs/>
                <w:noProof/>
                <w:sz w:val="26"/>
                <w:szCs w:val="26"/>
                <w:lang w:val="lv-LV" w:eastAsia="lv-LV"/>
              </w:rPr>
            </w:pPr>
            <w:r w:rsidRPr="003B3464">
              <w:rPr>
                <w:bCs/>
                <w:noProof/>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0B8A1FD8" w14:textId="26EFCA21" w:rsidR="006A2224" w:rsidRPr="003B3464" w:rsidRDefault="00121C81" w:rsidP="009139C7">
            <w:pPr>
              <w:ind w:left="-31"/>
              <w:contextualSpacing/>
              <w:rPr>
                <w:noProof/>
                <w:sz w:val="26"/>
                <w:szCs w:val="26"/>
                <w:lang w:val="lv-LV"/>
              </w:rPr>
            </w:pPr>
            <w:r>
              <w:rPr>
                <w:noProof/>
                <w:sz w:val="26"/>
                <w:szCs w:val="26"/>
                <w:lang w:val="lv-LV"/>
              </w:rPr>
              <w:t>Ministrija.</w:t>
            </w:r>
          </w:p>
        </w:tc>
      </w:tr>
      <w:tr w:rsidR="006A2224" w:rsidRPr="00A77A93" w14:paraId="4CB1DD25" w14:textId="77777777" w:rsidTr="009139C7">
        <w:tc>
          <w:tcPr>
            <w:tcW w:w="411" w:type="dxa"/>
            <w:tcBorders>
              <w:top w:val="outset" w:sz="6" w:space="0" w:color="414142"/>
              <w:left w:val="outset" w:sz="6" w:space="0" w:color="414142"/>
              <w:bottom w:val="outset" w:sz="6" w:space="0" w:color="414142"/>
              <w:right w:val="outset" w:sz="6" w:space="0" w:color="414142"/>
            </w:tcBorders>
            <w:hideMark/>
          </w:tcPr>
          <w:p w14:paraId="530449C0"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668E348C"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7882CAFA" w14:textId="77777777" w:rsidR="006A2224" w:rsidRPr="00A77A93" w:rsidRDefault="006A2224" w:rsidP="009139C7">
            <w:pPr>
              <w:contextualSpacing/>
              <w:rPr>
                <w:rFonts w:eastAsia="Times New Roman"/>
                <w:bCs/>
                <w:noProof/>
                <w:sz w:val="26"/>
                <w:szCs w:val="26"/>
                <w:lang w:val="lv-LV" w:eastAsia="lv-LV"/>
              </w:rPr>
            </w:pPr>
            <w:r w:rsidRPr="00A77A93">
              <w:rPr>
                <w:bCs/>
                <w:noProof/>
                <w:sz w:val="26"/>
                <w:szCs w:val="26"/>
                <w:lang w:val="lv-LV"/>
              </w:rPr>
              <w:t xml:space="preserve">Nav </w:t>
            </w:r>
          </w:p>
        </w:tc>
      </w:tr>
    </w:tbl>
    <w:p w14:paraId="5E7DA5E3" w14:textId="77777777" w:rsidR="006A2224" w:rsidRPr="00A77A93" w:rsidRDefault="006A2224" w:rsidP="006A2224">
      <w:pPr>
        <w:contextualSpacing/>
        <w:rPr>
          <w:rFonts w:eastAsia="Times New Roman"/>
          <w:bCs/>
          <w:noProof/>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6A2224" w:rsidRPr="00334FFF" w14:paraId="011737A8" w14:textId="77777777" w:rsidTr="009139C7">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1551E051" w14:textId="77777777" w:rsidR="006A2224" w:rsidRPr="00A77A93" w:rsidRDefault="006A2224" w:rsidP="009139C7">
            <w:pPr>
              <w:contextualSpacing/>
              <w:jc w:val="center"/>
              <w:rPr>
                <w:rFonts w:eastAsia="Times New Roman"/>
                <w:bCs/>
                <w:noProof/>
                <w:sz w:val="26"/>
                <w:szCs w:val="26"/>
                <w:lang w:val="lv-LV" w:eastAsia="lv-LV"/>
              </w:rPr>
            </w:pPr>
            <w:r w:rsidRPr="00A77A93">
              <w:rPr>
                <w:rFonts w:eastAsia="Times New Roman"/>
                <w:b/>
                <w:bCs/>
                <w:noProof/>
                <w:sz w:val="26"/>
                <w:szCs w:val="26"/>
                <w:lang w:val="lv-LV" w:eastAsia="lv-LV"/>
              </w:rPr>
              <w:lastRenderedPageBreak/>
              <w:t>II. Tiesību akta projekta ietekme uz sabiedrību, tautsaimniecības attīstību un administratīvo slogu</w:t>
            </w:r>
          </w:p>
        </w:tc>
      </w:tr>
      <w:tr w:rsidR="006A2224" w:rsidRPr="00A77A93" w14:paraId="17C507EF" w14:textId="77777777" w:rsidTr="009139C7">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72BECC4B"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1CB0562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3E5F3C1" w14:textId="356AF76F" w:rsidR="006A2224" w:rsidRPr="00A77A93" w:rsidRDefault="006A2224" w:rsidP="009139C7">
            <w:pPr>
              <w:ind w:right="201"/>
              <w:jc w:val="both"/>
              <w:rPr>
                <w:bCs/>
                <w:noProof/>
                <w:sz w:val="26"/>
                <w:szCs w:val="26"/>
                <w:lang w:val="lv-LV"/>
              </w:rPr>
            </w:pPr>
            <w:r w:rsidRPr="00A77A93">
              <w:rPr>
                <w:bCs/>
                <w:noProof/>
                <w:sz w:val="26"/>
                <w:szCs w:val="26"/>
                <w:lang w:val="lv-LV"/>
              </w:rPr>
              <w:t>Sabiedrība kopumā</w:t>
            </w:r>
            <w:r w:rsidR="00121C81">
              <w:rPr>
                <w:bCs/>
                <w:noProof/>
                <w:sz w:val="26"/>
                <w:szCs w:val="26"/>
                <w:lang w:val="lv-LV"/>
              </w:rPr>
              <w:t xml:space="preserve">, tostarp </w:t>
            </w:r>
            <w:r w:rsidR="0065200E">
              <w:rPr>
                <w:bCs/>
                <w:noProof/>
                <w:sz w:val="26"/>
                <w:szCs w:val="26"/>
                <w:lang w:val="lv-LV"/>
              </w:rPr>
              <w:t>pirmsskolas personāls</w:t>
            </w:r>
            <w:r w:rsidRPr="00A77A93">
              <w:rPr>
                <w:bCs/>
                <w:noProof/>
                <w:sz w:val="26"/>
                <w:szCs w:val="26"/>
                <w:lang w:val="lv-LV"/>
              </w:rPr>
              <w:t>.</w:t>
            </w:r>
          </w:p>
        </w:tc>
      </w:tr>
      <w:tr w:rsidR="006A2224" w:rsidRPr="00334FFF" w14:paraId="0CD76FEC" w14:textId="77777777" w:rsidTr="009139C7">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CCE26F9"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0BBA25C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7F481EED" w14:textId="2DFDD7C6" w:rsidR="006A2224" w:rsidRPr="00A77A93" w:rsidRDefault="006A2224" w:rsidP="009139C7">
            <w:pPr>
              <w:pStyle w:val="BodyText"/>
              <w:ind w:right="201"/>
              <w:contextualSpacing/>
              <w:rPr>
                <w:rFonts w:eastAsia="Calibri"/>
                <w:bCs/>
                <w:noProof/>
                <w:sz w:val="26"/>
                <w:szCs w:val="26"/>
                <w:lang w:eastAsia="en-US"/>
              </w:rPr>
            </w:pPr>
            <w:r w:rsidRPr="00A77A93">
              <w:rPr>
                <w:noProof/>
                <w:sz w:val="26"/>
                <w:szCs w:val="26"/>
              </w:rPr>
              <w:t xml:space="preserve">Covid – 19 infekcijas izplatību šobrīd nav iespējams prognozēt, tādēļ nav iespējams prognozēt </w:t>
            </w:r>
            <w:r w:rsidR="00121C81">
              <w:rPr>
                <w:noProof/>
                <w:sz w:val="26"/>
                <w:szCs w:val="26"/>
              </w:rPr>
              <w:t>n</w:t>
            </w:r>
            <w:r w:rsidRPr="00A77A93">
              <w:rPr>
                <w:noProof/>
                <w:sz w:val="26"/>
                <w:szCs w:val="26"/>
              </w:rPr>
              <w:t>oteikumu projekta ietekmi uz administratīvo slogu.</w:t>
            </w:r>
          </w:p>
        </w:tc>
      </w:tr>
      <w:tr w:rsidR="006A2224" w:rsidRPr="00A77A93" w14:paraId="67CECBA4" w14:textId="77777777" w:rsidTr="009139C7">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3FED7418"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138BA1E0"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6ECDCA17" w14:textId="6FA98E86" w:rsidR="006A2224" w:rsidRPr="00A77A93" w:rsidRDefault="00121C81" w:rsidP="009139C7">
            <w:pPr>
              <w:pStyle w:val="BodyText"/>
              <w:ind w:right="201"/>
              <w:contextualSpacing/>
              <w:rPr>
                <w:rFonts w:eastAsia="Calibri"/>
                <w:bCs/>
                <w:noProof/>
                <w:sz w:val="26"/>
                <w:szCs w:val="26"/>
                <w:lang w:eastAsia="en-US"/>
              </w:rPr>
            </w:pPr>
            <w:r>
              <w:rPr>
                <w:rFonts w:eastAsia="Calibri"/>
                <w:bCs/>
                <w:noProof/>
                <w:sz w:val="26"/>
                <w:szCs w:val="26"/>
                <w:lang w:eastAsia="en-US"/>
              </w:rPr>
              <w:t>Noteikumu p</w:t>
            </w:r>
            <w:r w:rsidR="006A2224" w:rsidRPr="00A77A93">
              <w:rPr>
                <w:rFonts w:eastAsia="Calibri"/>
                <w:bCs/>
                <w:noProof/>
                <w:sz w:val="26"/>
                <w:szCs w:val="26"/>
                <w:lang w:eastAsia="en-US"/>
              </w:rPr>
              <w:t>rojekts šo jomu neskar.</w:t>
            </w:r>
          </w:p>
        </w:tc>
      </w:tr>
      <w:tr w:rsidR="006A2224" w:rsidRPr="00A77A93" w14:paraId="44514389" w14:textId="77777777" w:rsidTr="009139C7">
        <w:trPr>
          <w:trHeight w:val="510"/>
        </w:trPr>
        <w:tc>
          <w:tcPr>
            <w:tcW w:w="421" w:type="dxa"/>
            <w:tcBorders>
              <w:top w:val="outset" w:sz="6" w:space="0" w:color="auto"/>
              <w:left w:val="outset" w:sz="6" w:space="0" w:color="auto"/>
              <w:bottom w:val="outset" w:sz="6" w:space="0" w:color="auto"/>
              <w:right w:val="outset" w:sz="6" w:space="0" w:color="auto"/>
            </w:tcBorders>
          </w:tcPr>
          <w:p w14:paraId="03673304"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291CCB2A"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50AAD243" w14:textId="12ACBA78" w:rsidR="006A2224" w:rsidRPr="00A77A93" w:rsidRDefault="00121C81" w:rsidP="009139C7">
            <w:pPr>
              <w:pStyle w:val="BodyText"/>
              <w:ind w:right="201"/>
              <w:contextualSpacing/>
              <w:rPr>
                <w:rFonts w:eastAsia="Calibri"/>
                <w:bCs/>
                <w:noProof/>
                <w:sz w:val="26"/>
                <w:szCs w:val="26"/>
                <w:lang w:eastAsia="en-US"/>
              </w:rPr>
            </w:pPr>
            <w:r>
              <w:rPr>
                <w:rFonts w:eastAsia="Calibri"/>
                <w:bCs/>
                <w:noProof/>
                <w:sz w:val="26"/>
                <w:szCs w:val="26"/>
                <w:lang w:eastAsia="en-US"/>
              </w:rPr>
              <w:t>Noteikumu p</w:t>
            </w:r>
            <w:r w:rsidR="006A2224" w:rsidRPr="00A77A93">
              <w:rPr>
                <w:rFonts w:eastAsia="Calibri"/>
                <w:bCs/>
                <w:noProof/>
                <w:sz w:val="26"/>
                <w:szCs w:val="26"/>
                <w:lang w:eastAsia="en-US"/>
              </w:rPr>
              <w:t>rojekts šo jomu neskar.</w:t>
            </w:r>
          </w:p>
        </w:tc>
      </w:tr>
      <w:tr w:rsidR="006A2224" w:rsidRPr="00A77A93" w14:paraId="1E050829" w14:textId="77777777" w:rsidTr="009139C7">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7C98A786"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075FA7D5" w14:textId="77777777" w:rsidR="006A2224" w:rsidRPr="00A77A93" w:rsidRDefault="006A2224" w:rsidP="009139C7">
            <w:pPr>
              <w:contextualSpacing/>
              <w:rPr>
                <w:rFonts w:eastAsia="Times New Roman"/>
                <w:bCs/>
                <w:noProof/>
                <w:sz w:val="26"/>
                <w:szCs w:val="26"/>
                <w:lang w:val="lv-LV" w:eastAsia="lv-LV"/>
              </w:rPr>
            </w:pPr>
            <w:r w:rsidRPr="00A77A93">
              <w:rPr>
                <w:rFonts w:eastAsia="Times New Roman"/>
                <w:bCs/>
                <w:noProof/>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BB65C6F" w14:textId="77777777" w:rsidR="006A2224" w:rsidRPr="00A77A93" w:rsidRDefault="006A2224" w:rsidP="009139C7">
            <w:pPr>
              <w:ind w:right="201"/>
              <w:contextualSpacing/>
              <w:jc w:val="both"/>
              <w:rPr>
                <w:bCs/>
                <w:noProof/>
                <w:sz w:val="26"/>
                <w:szCs w:val="26"/>
                <w:lang w:val="lv-LV"/>
              </w:rPr>
            </w:pPr>
            <w:r w:rsidRPr="00A77A93">
              <w:rPr>
                <w:bCs/>
                <w:noProof/>
                <w:sz w:val="26"/>
                <w:szCs w:val="26"/>
                <w:lang w:val="lv-LV"/>
              </w:rPr>
              <w:t>Nav</w:t>
            </w:r>
          </w:p>
        </w:tc>
      </w:tr>
    </w:tbl>
    <w:p w14:paraId="08C7E3A0" w14:textId="77777777" w:rsidR="006A2224" w:rsidRDefault="006A2224" w:rsidP="006A2224">
      <w:pPr>
        <w:pStyle w:val="NoSpacing"/>
        <w:rPr>
          <w:rFonts w:ascii="Times New Roman" w:hAnsi="Times New Roman" w:cs="Times New Roman"/>
          <w:iCs/>
          <w:color w:val="FF0000"/>
          <w:sz w:val="24"/>
          <w:szCs w:val="24"/>
          <w:lang w:eastAsia="lv-LV"/>
        </w:rPr>
      </w:pPr>
    </w:p>
    <w:p w14:paraId="777425DF" w14:textId="77777777" w:rsidR="006A2224" w:rsidRPr="00500F2B" w:rsidRDefault="006A2224" w:rsidP="006A2224">
      <w:pPr>
        <w:pStyle w:val="NoSpacing"/>
        <w:rPr>
          <w:rFonts w:ascii="Times New Roman" w:hAnsi="Times New Roman" w:cs="Times New Roman"/>
          <w:iCs/>
          <w:color w:val="FF0000"/>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6A2224" w:rsidRPr="00121C81" w14:paraId="029E0402" w14:textId="77777777" w:rsidTr="009139C7">
        <w:trPr>
          <w:cantSplit/>
        </w:trPr>
        <w:tc>
          <w:tcPr>
            <w:tcW w:w="9244" w:type="dxa"/>
            <w:gridSpan w:val="8"/>
            <w:shd w:val="clear" w:color="auto" w:fill="auto"/>
            <w:vAlign w:val="center"/>
            <w:hideMark/>
          </w:tcPr>
          <w:p w14:paraId="3DDDD76B" w14:textId="77777777" w:rsidR="006A2224" w:rsidRPr="00121C81" w:rsidRDefault="006A2224" w:rsidP="009139C7">
            <w:pPr>
              <w:jc w:val="center"/>
              <w:rPr>
                <w:rFonts w:eastAsiaTheme="minorHAnsi"/>
                <w:b/>
                <w:sz w:val="24"/>
                <w:szCs w:val="24"/>
                <w:lang w:val="lv-LV"/>
              </w:rPr>
            </w:pPr>
            <w:r w:rsidRPr="00121C81">
              <w:rPr>
                <w:rFonts w:eastAsiaTheme="minorHAnsi"/>
                <w:b/>
                <w:sz w:val="24"/>
                <w:szCs w:val="24"/>
                <w:lang w:val="lv-LV"/>
              </w:rPr>
              <w:t>III. Tiesību akta projekta ietekme uz valsts budžetu un pašvaldību budžetiem</w:t>
            </w:r>
          </w:p>
        </w:tc>
      </w:tr>
      <w:tr w:rsidR="006A2224" w:rsidRPr="00121C81" w14:paraId="265D9F97" w14:textId="77777777" w:rsidTr="009139C7">
        <w:trPr>
          <w:cantSplit/>
        </w:trPr>
        <w:tc>
          <w:tcPr>
            <w:tcW w:w="1306" w:type="dxa"/>
            <w:vMerge w:val="restart"/>
            <w:shd w:val="clear" w:color="auto" w:fill="FFFFFF"/>
            <w:vAlign w:val="center"/>
          </w:tcPr>
          <w:p w14:paraId="030C75E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Rādītāji</w:t>
            </w:r>
          </w:p>
        </w:tc>
        <w:tc>
          <w:tcPr>
            <w:tcW w:w="2410" w:type="dxa"/>
            <w:gridSpan w:val="2"/>
            <w:vMerge w:val="restart"/>
            <w:shd w:val="clear" w:color="auto" w:fill="FFFFFF"/>
            <w:vAlign w:val="center"/>
            <w:hideMark/>
          </w:tcPr>
          <w:p w14:paraId="1014DD98"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2021.gads</w:t>
            </w:r>
          </w:p>
        </w:tc>
        <w:tc>
          <w:tcPr>
            <w:tcW w:w="5528" w:type="dxa"/>
            <w:gridSpan w:val="5"/>
            <w:shd w:val="clear" w:color="auto" w:fill="FFFFFF"/>
            <w:vAlign w:val="center"/>
            <w:hideMark/>
          </w:tcPr>
          <w:p w14:paraId="0B85C830"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Turpmākie trīs gadi (</w:t>
            </w:r>
            <w:proofErr w:type="spellStart"/>
            <w:r w:rsidRPr="00121C81">
              <w:rPr>
                <w:rFonts w:eastAsiaTheme="minorHAnsi"/>
                <w:i/>
                <w:sz w:val="24"/>
                <w:szCs w:val="24"/>
                <w:lang w:val="lv-LV"/>
              </w:rPr>
              <w:t>euro</w:t>
            </w:r>
            <w:proofErr w:type="spellEnd"/>
            <w:r w:rsidRPr="00121C81">
              <w:rPr>
                <w:rFonts w:eastAsiaTheme="minorHAnsi"/>
                <w:sz w:val="24"/>
                <w:szCs w:val="24"/>
                <w:lang w:val="lv-LV"/>
              </w:rPr>
              <w:t>)</w:t>
            </w:r>
          </w:p>
        </w:tc>
      </w:tr>
      <w:tr w:rsidR="006A2224" w:rsidRPr="00121C81" w14:paraId="2F51CBC1" w14:textId="77777777" w:rsidTr="009139C7">
        <w:trPr>
          <w:cantSplit/>
        </w:trPr>
        <w:tc>
          <w:tcPr>
            <w:tcW w:w="1306" w:type="dxa"/>
            <w:vMerge/>
            <w:shd w:val="clear" w:color="auto" w:fill="auto"/>
            <w:vAlign w:val="center"/>
            <w:hideMark/>
          </w:tcPr>
          <w:p w14:paraId="70C03671" w14:textId="77777777" w:rsidR="006A2224" w:rsidRPr="00121C81" w:rsidRDefault="006A2224" w:rsidP="009139C7">
            <w:pPr>
              <w:jc w:val="both"/>
              <w:rPr>
                <w:rFonts w:eastAsiaTheme="minorHAnsi"/>
                <w:sz w:val="24"/>
                <w:szCs w:val="24"/>
                <w:lang w:val="lv-LV"/>
              </w:rPr>
            </w:pPr>
          </w:p>
        </w:tc>
        <w:tc>
          <w:tcPr>
            <w:tcW w:w="2410" w:type="dxa"/>
            <w:gridSpan w:val="2"/>
            <w:vMerge/>
            <w:shd w:val="clear" w:color="auto" w:fill="auto"/>
            <w:vAlign w:val="center"/>
            <w:hideMark/>
          </w:tcPr>
          <w:p w14:paraId="18F58BD5" w14:textId="77777777" w:rsidR="006A2224" w:rsidRPr="00121C81" w:rsidRDefault="006A2224" w:rsidP="009139C7">
            <w:pPr>
              <w:jc w:val="both"/>
              <w:rPr>
                <w:rFonts w:eastAsiaTheme="minorHAnsi"/>
                <w:sz w:val="24"/>
                <w:szCs w:val="24"/>
                <w:lang w:val="lv-LV"/>
              </w:rPr>
            </w:pPr>
          </w:p>
        </w:tc>
        <w:tc>
          <w:tcPr>
            <w:tcW w:w="2410" w:type="dxa"/>
            <w:gridSpan w:val="2"/>
            <w:shd w:val="clear" w:color="auto" w:fill="FFFFFF"/>
            <w:vAlign w:val="center"/>
            <w:hideMark/>
          </w:tcPr>
          <w:p w14:paraId="1F022ABF"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2022</w:t>
            </w:r>
          </w:p>
        </w:tc>
        <w:tc>
          <w:tcPr>
            <w:tcW w:w="1984" w:type="dxa"/>
            <w:gridSpan w:val="2"/>
            <w:shd w:val="clear" w:color="auto" w:fill="FFFFFF"/>
            <w:vAlign w:val="center"/>
            <w:hideMark/>
          </w:tcPr>
          <w:p w14:paraId="312E95F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2023</w:t>
            </w:r>
          </w:p>
        </w:tc>
        <w:tc>
          <w:tcPr>
            <w:tcW w:w="1134" w:type="dxa"/>
            <w:shd w:val="clear" w:color="auto" w:fill="FFFFFF"/>
            <w:vAlign w:val="center"/>
            <w:hideMark/>
          </w:tcPr>
          <w:p w14:paraId="633CD204"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2024</w:t>
            </w:r>
          </w:p>
        </w:tc>
      </w:tr>
      <w:tr w:rsidR="006A2224" w:rsidRPr="00121C81" w14:paraId="21104291" w14:textId="77777777" w:rsidTr="009139C7">
        <w:trPr>
          <w:cantSplit/>
        </w:trPr>
        <w:tc>
          <w:tcPr>
            <w:tcW w:w="1306" w:type="dxa"/>
            <w:vMerge/>
            <w:shd w:val="clear" w:color="auto" w:fill="auto"/>
            <w:vAlign w:val="center"/>
            <w:hideMark/>
          </w:tcPr>
          <w:p w14:paraId="70027EF5" w14:textId="77777777" w:rsidR="006A2224" w:rsidRPr="00121C81" w:rsidRDefault="006A2224" w:rsidP="009139C7">
            <w:pPr>
              <w:jc w:val="both"/>
              <w:rPr>
                <w:rFonts w:eastAsiaTheme="minorHAnsi"/>
                <w:sz w:val="24"/>
                <w:szCs w:val="24"/>
                <w:lang w:val="lv-LV"/>
              </w:rPr>
            </w:pPr>
          </w:p>
        </w:tc>
        <w:tc>
          <w:tcPr>
            <w:tcW w:w="1134" w:type="dxa"/>
            <w:shd w:val="clear" w:color="auto" w:fill="FFFFFF"/>
            <w:vAlign w:val="center"/>
            <w:hideMark/>
          </w:tcPr>
          <w:p w14:paraId="2ACD60A9"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saskaņā ar valsts budžetu kārtējam gadam</w:t>
            </w:r>
          </w:p>
        </w:tc>
        <w:tc>
          <w:tcPr>
            <w:tcW w:w="1276" w:type="dxa"/>
            <w:shd w:val="clear" w:color="auto" w:fill="FFFFFF"/>
            <w:vAlign w:val="center"/>
            <w:hideMark/>
          </w:tcPr>
          <w:p w14:paraId="2401FD5A"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izmaiņas kārtējā gadā, salīdzinot ar valsts budžetu kārtējam gadam</w:t>
            </w:r>
          </w:p>
        </w:tc>
        <w:tc>
          <w:tcPr>
            <w:tcW w:w="1134" w:type="dxa"/>
            <w:shd w:val="clear" w:color="auto" w:fill="FFFFFF"/>
            <w:vAlign w:val="center"/>
            <w:hideMark/>
          </w:tcPr>
          <w:p w14:paraId="7B6123E2"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saskaņā ar vidēja termiņa budžeta ietvaru</w:t>
            </w:r>
          </w:p>
        </w:tc>
        <w:tc>
          <w:tcPr>
            <w:tcW w:w="1276" w:type="dxa"/>
            <w:shd w:val="clear" w:color="auto" w:fill="FFFFFF"/>
            <w:vAlign w:val="center"/>
            <w:hideMark/>
          </w:tcPr>
          <w:p w14:paraId="58AA8C29"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izmaiņas, salīdzinot ar vidēja termiņa budžeta ietvaru 2022. gadam</w:t>
            </w:r>
          </w:p>
        </w:tc>
        <w:tc>
          <w:tcPr>
            <w:tcW w:w="992" w:type="dxa"/>
            <w:shd w:val="clear" w:color="auto" w:fill="FFFFFF"/>
            <w:vAlign w:val="center"/>
            <w:hideMark/>
          </w:tcPr>
          <w:p w14:paraId="21CFF2D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saskaņā ar vidēja termiņa budžeta ietvaru</w:t>
            </w:r>
          </w:p>
        </w:tc>
        <w:tc>
          <w:tcPr>
            <w:tcW w:w="992" w:type="dxa"/>
            <w:shd w:val="clear" w:color="auto" w:fill="FFFFFF"/>
            <w:vAlign w:val="center"/>
            <w:hideMark/>
          </w:tcPr>
          <w:p w14:paraId="41A4C653"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izmaiņas, salīdzinot ar vidēja termiņa budžeta ietvaru 2023. gadam</w:t>
            </w:r>
          </w:p>
        </w:tc>
        <w:tc>
          <w:tcPr>
            <w:tcW w:w="1134" w:type="dxa"/>
            <w:shd w:val="clear" w:color="auto" w:fill="FFFFFF"/>
            <w:vAlign w:val="center"/>
            <w:hideMark/>
          </w:tcPr>
          <w:p w14:paraId="69594746"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 xml:space="preserve">izmaiņas, salīdzinot ar vidēja termiņa budžeta ietvaru </w:t>
            </w:r>
            <w:r w:rsidRPr="00121C81">
              <w:rPr>
                <w:rFonts w:eastAsiaTheme="minorHAnsi"/>
                <w:sz w:val="24"/>
                <w:szCs w:val="24"/>
                <w:lang w:val="lv-LV"/>
              </w:rPr>
              <w:br/>
              <w:t>2023. gadam</w:t>
            </w:r>
          </w:p>
        </w:tc>
      </w:tr>
      <w:tr w:rsidR="006A2224" w:rsidRPr="00121C81" w14:paraId="501C4945" w14:textId="77777777" w:rsidTr="009139C7">
        <w:trPr>
          <w:cantSplit/>
        </w:trPr>
        <w:tc>
          <w:tcPr>
            <w:tcW w:w="1306" w:type="dxa"/>
            <w:shd w:val="clear" w:color="auto" w:fill="FFFFFF"/>
            <w:vAlign w:val="center"/>
            <w:hideMark/>
          </w:tcPr>
          <w:p w14:paraId="07D66B01"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1</w:t>
            </w:r>
          </w:p>
        </w:tc>
        <w:tc>
          <w:tcPr>
            <w:tcW w:w="1134" w:type="dxa"/>
            <w:shd w:val="clear" w:color="auto" w:fill="FFFFFF"/>
            <w:vAlign w:val="center"/>
            <w:hideMark/>
          </w:tcPr>
          <w:p w14:paraId="47D3ACE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2</w:t>
            </w:r>
          </w:p>
        </w:tc>
        <w:tc>
          <w:tcPr>
            <w:tcW w:w="1276" w:type="dxa"/>
            <w:shd w:val="clear" w:color="auto" w:fill="FFFFFF"/>
            <w:vAlign w:val="center"/>
            <w:hideMark/>
          </w:tcPr>
          <w:p w14:paraId="1E9DD658"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3</w:t>
            </w:r>
          </w:p>
        </w:tc>
        <w:tc>
          <w:tcPr>
            <w:tcW w:w="1134" w:type="dxa"/>
            <w:shd w:val="clear" w:color="auto" w:fill="FFFFFF"/>
            <w:vAlign w:val="center"/>
            <w:hideMark/>
          </w:tcPr>
          <w:p w14:paraId="2834A412"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4</w:t>
            </w:r>
          </w:p>
        </w:tc>
        <w:tc>
          <w:tcPr>
            <w:tcW w:w="1276" w:type="dxa"/>
            <w:shd w:val="clear" w:color="auto" w:fill="FFFFFF"/>
            <w:vAlign w:val="center"/>
            <w:hideMark/>
          </w:tcPr>
          <w:p w14:paraId="0686FF90"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5</w:t>
            </w:r>
          </w:p>
        </w:tc>
        <w:tc>
          <w:tcPr>
            <w:tcW w:w="992" w:type="dxa"/>
            <w:shd w:val="clear" w:color="auto" w:fill="FFFFFF"/>
            <w:vAlign w:val="center"/>
            <w:hideMark/>
          </w:tcPr>
          <w:p w14:paraId="0406F38F"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6</w:t>
            </w:r>
          </w:p>
        </w:tc>
        <w:tc>
          <w:tcPr>
            <w:tcW w:w="992" w:type="dxa"/>
            <w:shd w:val="clear" w:color="auto" w:fill="FFFFFF"/>
            <w:vAlign w:val="center"/>
            <w:hideMark/>
          </w:tcPr>
          <w:p w14:paraId="19BA69ED"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7</w:t>
            </w:r>
          </w:p>
        </w:tc>
        <w:tc>
          <w:tcPr>
            <w:tcW w:w="1134" w:type="dxa"/>
            <w:shd w:val="clear" w:color="auto" w:fill="FFFFFF"/>
            <w:vAlign w:val="center"/>
            <w:hideMark/>
          </w:tcPr>
          <w:p w14:paraId="1F7E6CAF" w14:textId="77777777" w:rsidR="006A2224" w:rsidRPr="00121C81" w:rsidRDefault="006A2224" w:rsidP="009139C7">
            <w:pPr>
              <w:jc w:val="center"/>
              <w:rPr>
                <w:rFonts w:eastAsiaTheme="minorHAnsi"/>
                <w:sz w:val="24"/>
                <w:szCs w:val="24"/>
                <w:lang w:val="lv-LV"/>
              </w:rPr>
            </w:pPr>
            <w:r w:rsidRPr="00121C81">
              <w:rPr>
                <w:rFonts w:eastAsiaTheme="minorHAnsi"/>
                <w:sz w:val="24"/>
                <w:szCs w:val="24"/>
                <w:lang w:val="lv-LV"/>
              </w:rPr>
              <w:t>8</w:t>
            </w:r>
          </w:p>
        </w:tc>
      </w:tr>
      <w:tr w:rsidR="006A2224" w:rsidRPr="00121C81" w14:paraId="31BE8C73" w14:textId="77777777" w:rsidTr="009139C7">
        <w:trPr>
          <w:cantSplit/>
        </w:trPr>
        <w:tc>
          <w:tcPr>
            <w:tcW w:w="1306" w:type="dxa"/>
            <w:shd w:val="clear" w:color="auto" w:fill="FFFFFF"/>
            <w:hideMark/>
          </w:tcPr>
          <w:p w14:paraId="6833B1C8"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1. Budžeta ieņēmumi</w:t>
            </w:r>
          </w:p>
        </w:tc>
        <w:tc>
          <w:tcPr>
            <w:tcW w:w="1134" w:type="dxa"/>
            <w:shd w:val="clear" w:color="auto" w:fill="FFFFFF"/>
            <w:vAlign w:val="center"/>
            <w:hideMark/>
          </w:tcPr>
          <w:p w14:paraId="22383E1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FFFFFF"/>
            <w:vAlign w:val="center"/>
            <w:hideMark/>
          </w:tcPr>
          <w:p w14:paraId="62B1E80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FFFFFF"/>
            <w:vAlign w:val="center"/>
            <w:hideMark/>
          </w:tcPr>
          <w:p w14:paraId="5E1FCDF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FFFFFF"/>
            <w:vAlign w:val="center"/>
            <w:hideMark/>
          </w:tcPr>
          <w:p w14:paraId="052DE3D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FFFFFF"/>
            <w:vAlign w:val="center"/>
            <w:hideMark/>
          </w:tcPr>
          <w:p w14:paraId="4C895CE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FFFFFF"/>
            <w:vAlign w:val="center"/>
            <w:hideMark/>
          </w:tcPr>
          <w:p w14:paraId="4CBF036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FFFFFF"/>
            <w:vAlign w:val="center"/>
            <w:hideMark/>
          </w:tcPr>
          <w:p w14:paraId="56F28AA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E4E95A4" w14:textId="77777777" w:rsidTr="009139C7">
        <w:trPr>
          <w:cantSplit/>
        </w:trPr>
        <w:tc>
          <w:tcPr>
            <w:tcW w:w="1306" w:type="dxa"/>
            <w:shd w:val="clear" w:color="auto" w:fill="auto"/>
            <w:hideMark/>
          </w:tcPr>
          <w:p w14:paraId="761EF8C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1.1. valsts pamatbudžets, tai skaitā ieņēmumi no maksas pakalpojumiem un citi pašu ieņēmumi</w:t>
            </w:r>
          </w:p>
        </w:tc>
        <w:tc>
          <w:tcPr>
            <w:tcW w:w="1134" w:type="dxa"/>
            <w:shd w:val="clear" w:color="auto" w:fill="auto"/>
            <w:vAlign w:val="center"/>
            <w:hideMark/>
          </w:tcPr>
          <w:p w14:paraId="1D3BFFA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1CB9D9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B6936E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E6BB9E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5C763B3"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D48BE3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6AB71FD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56E51117" w14:textId="77777777" w:rsidTr="009139C7">
        <w:trPr>
          <w:cantSplit/>
        </w:trPr>
        <w:tc>
          <w:tcPr>
            <w:tcW w:w="1306" w:type="dxa"/>
            <w:shd w:val="clear" w:color="auto" w:fill="auto"/>
            <w:hideMark/>
          </w:tcPr>
          <w:p w14:paraId="77CF7011"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1.2. valsts speciālais budžets</w:t>
            </w:r>
          </w:p>
        </w:tc>
        <w:tc>
          <w:tcPr>
            <w:tcW w:w="1134" w:type="dxa"/>
            <w:shd w:val="clear" w:color="auto" w:fill="auto"/>
            <w:vAlign w:val="center"/>
            <w:hideMark/>
          </w:tcPr>
          <w:p w14:paraId="6C0B44E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075FD83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02F7998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6FC9325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49E430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67F20B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2616E1E7"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E82151C" w14:textId="77777777" w:rsidTr="009139C7">
        <w:trPr>
          <w:cantSplit/>
        </w:trPr>
        <w:tc>
          <w:tcPr>
            <w:tcW w:w="1306" w:type="dxa"/>
            <w:shd w:val="clear" w:color="auto" w:fill="auto"/>
            <w:hideMark/>
          </w:tcPr>
          <w:p w14:paraId="2CCD85B6"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lastRenderedPageBreak/>
              <w:t>1.3. pašvaldību budžets</w:t>
            </w:r>
          </w:p>
        </w:tc>
        <w:tc>
          <w:tcPr>
            <w:tcW w:w="1134" w:type="dxa"/>
            <w:shd w:val="clear" w:color="auto" w:fill="auto"/>
            <w:vAlign w:val="center"/>
            <w:hideMark/>
          </w:tcPr>
          <w:p w14:paraId="638F4F3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0BDFB2E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FDDFB7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203DD2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94785A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7DFD7E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016B5AA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38E16E7D" w14:textId="77777777" w:rsidTr="009139C7">
        <w:trPr>
          <w:cantSplit/>
        </w:trPr>
        <w:tc>
          <w:tcPr>
            <w:tcW w:w="1306" w:type="dxa"/>
            <w:shd w:val="clear" w:color="auto" w:fill="auto"/>
            <w:hideMark/>
          </w:tcPr>
          <w:p w14:paraId="2F70957C"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 Budžeta izdevumi</w:t>
            </w:r>
          </w:p>
        </w:tc>
        <w:tc>
          <w:tcPr>
            <w:tcW w:w="1134" w:type="dxa"/>
            <w:shd w:val="clear" w:color="auto" w:fill="auto"/>
            <w:vAlign w:val="center"/>
            <w:hideMark/>
          </w:tcPr>
          <w:p w14:paraId="0D2391E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289FF5B6" w14:textId="4627BD30" w:rsidR="006A2224" w:rsidRPr="00121C81" w:rsidRDefault="00816692" w:rsidP="009139C7">
            <w:pPr>
              <w:jc w:val="right"/>
              <w:rPr>
                <w:bCs/>
                <w:sz w:val="24"/>
                <w:szCs w:val="24"/>
                <w:lang w:val="lv-LV"/>
              </w:rPr>
            </w:pPr>
            <w:r w:rsidRPr="00816692">
              <w:rPr>
                <w:bCs/>
                <w:sz w:val="24"/>
                <w:szCs w:val="24"/>
                <w:lang w:val="lv-LV"/>
              </w:rPr>
              <w:t>3 131 820</w:t>
            </w:r>
          </w:p>
        </w:tc>
        <w:tc>
          <w:tcPr>
            <w:tcW w:w="1134" w:type="dxa"/>
            <w:shd w:val="clear" w:color="auto" w:fill="auto"/>
            <w:vAlign w:val="center"/>
            <w:hideMark/>
          </w:tcPr>
          <w:p w14:paraId="1BA2133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3C7B06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EC7674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2D2CB2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BC9698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1B20BA13" w14:textId="77777777" w:rsidTr="009139C7">
        <w:trPr>
          <w:cantSplit/>
        </w:trPr>
        <w:tc>
          <w:tcPr>
            <w:tcW w:w="1306" w:type="dxa"/>
            <w:shd w:val="clear" w:color="auto" w:fill="auto"/>
            <w:hideMark/>
          </w:tcPr>
          <w:p w14:paraId="3B5893D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2.1. valsts pamatbudžets</w:t>
            </w:r>
          </w:p>
        </w:tc>
        <w:tc>
          <w:tcPr>
            <w:tcW w:w="1134" w:type="dxa"/>
            <w:shd w:val="clear" w:color="auto" w:fill="auto"/>
            <w:vAlign w:val="center"/>
            <w:hideMark/>
          </w:tcPr>
          <w:p w14:paraId="502D790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B89B38C" w14:textId="2A6225DA" w:rsidR="006A2224" w:rsidRPr="00121C81" w:rsidRDefault="00816692" w:rsidP="009139C7">
            <w:pPr>
              <w:jc w:val="right"/>
              <w:rPr>
                <w:bCs/>
                <w:sz w:val="24"/>
                <w:szCs w:val="24"/>
                <w:lang w:val="lv-LV"/>
              </w:rPr>
            </w:pPr>
            <w:r w:rsidRPr="00816692">
              <w:rPr>
                <w:bCs/>
                <w:sz w:val="24"/>
                <w:szCs w:val="24"/>
                <w:lang w:val="lv-LV"/>
              </w:rPr>
              <w:t>3 131 820</w:t>
            </w:r>
          </w:p>
        </w:tc>
        <w:tc>
          <w:tcPr>
            <w:tcW w:w="1134" w:type="dxa"/>
            <w:shd w:val="clear" w:color="auto" w:fill="auto"/>
            <w:vAlign w:val="center"/>
            <w:hideMark/>
          </w:tcPr>
          <w:p w14:paraId="6CB9FB2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5E57D7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400ACD7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9783D0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4C9C1E9"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49835948" w14:textId="77777777" w:rsidTr="009139C7">
        <w:trPr>
          <w:cantSplit/>
        </w:trPr>
        <w:tc>
          <w:tcPr>
            <w:tcW w:w="1306" w:type="dxa"/>
            <w:shd w:val="clear" w:color="auto" w:fill="auto"/>
            <w:hideMark/>
          </w:tcPr>
          <w:p w14:paraId="518F27BE"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2.2. valsts speciālais budžets</w:t>
            </w:r>
          </w:p>
        </w:tc>
        <w:tc>
          <w:tcPr>
            <w:tcW w:w="1134" w:type="dxa"/>
            <w:shd w:val="clear" w:color="auto" w:fill="auto"/>
            <w:vAlign w:val="center"/>
            <w:hideMark/>
          </w:tcPr>
          <w:p w14:paraId="7BF490B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061B85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6FEAC4F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1C940BD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696AFD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DE48D3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40972B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1F0F90F8" w14:textId="77777777" w:rsidTr="009139C7">
        <w:trPr>
          <w:cantSplit/>
        </w:trPr>
        <w:tc>
          <w:tcPr>
            <w:tcW w:w="1306" w:type="dxa"/>
            <w:shd w:val="clear" w:color="auto" w:fill="auto"/>
            <w:hideMark/>
          </w:tcPr>
          <w:p w14:paraId="4F0507D5"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2.3. pašvaldību budžets</w:t>
            </w:r>
          </w:p>
        </w:tc>
        <w:tc>
          <w:tcPr>
            <w:tcW w:w="1134" w:type="dxa"/>
            <w:shd w:val="clear" w:color="auto" w:fill="auto"/>
            <w:vAlign w:val="center"/>
            <w:hideMark/>
          </w:tcPr>
          <w:p w14:paraId="0F0A46B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18473671" w14:textId="77777777" w:rsidR="006A2224" w:rsidRPr="00121C81" w:rsidRDefault="006A2224" w:rsidP="009139C7">
            <w:pPr>
              <w:jc w:val="right"/>
              <w:rPr>
                <w:bCs/>
                <w:sz w:val="24"/>
                <w:szCs w:val="24"/>
                <w:lang w:val="lv-LV"/>
              </w:rPr>
            </w:pPr>
            <w:r w:rsidRPr="00121C81">
              <w:rPr>
                <w:bCs/>
                <w:sz w:val="24"/>
                <w:szCs w:val="24"/>
                <w:lang w:val="lv-LV"/>
              </w:rPr>
              <w:t>0</w:t>
            </w:r>
          </w:p>
        </w:tc>
        <w:tc>
          <w:tcPr>
            <w:tcW w:w="1134" w:type="dxa"/>
            <w:shd w:val="clear" w:color="auto" w:fill="auto"/>
            <w:vAlign w:val="center"/>
            <w:hideMark/>
          </w:tcPr>
          <w:p w14:paraId="7F0058B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4B58C2F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73B7CA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3029079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11573F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799A5FE2" w14:textId="77777777" w:rsidTr="009139C7">
        <w:trPr>
          <w:cantSplit/>
        </w:trPr>
        <w:tc>
          <w:tcPr>
            <w:tcW w:w="1306" w:type="dxa"/>
            <w:shd w:val="clear" w:color="auto" w:fill="auto"/>
            <w:hideMark/>
          </w:tcPr>
          <w:p w14:paraId="33394EB0"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 Finansiālā ietekme</w:t>
            </w:r>
          </w:p>
        </w:tc>
        <w:tc>
          <w:tcPr>
            <w:tcW w:w="1134" w:type="dxa"/>
            <w:shd w:val="clear" w:color="auto" w:fill="auto"/>
            <w:vAlign w:val="center"/>
            <w:hideMark/>
          </w:tcPr>
          <w:p w14:paraId="388C928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03DEF22F" w14:textId="70C0F307" w:rsidR="006A2224" w:rsidRPr="00121C81" w:rsidRDefault="006A2224" w:rsidP="009139C7">
            <w:pPr>
              <w:jc w:val="right"/>
              <w:rPr>
                <w:rFonts w:eastAsiaTheme="minorHAnsi"/>
                <w:sz w:val="24"/>
                <w:szCs w:val="24"/>
                <w:lang w:val="lv-LV"/>
              </w:rPr>
            </w:pPr>
            <w:r w:rsidRPr="00121C81">
              <w:rPr>
                <w:bCs/>
                <w:sz w:val="24"/>
                <w:szCs w:val="24"/>
                <w:lang w:val="lv-LV"/>
              </w:rPr>
              <w:t>-</w:t>
            </w:r>
            <w:r w:rsidR="00816692" w:rsidRPr="00816692">
              <w:rPr>
                <w:bCs/>
                <w:sz w:val="24"/>
                <w:szCs w:val="24"/>
                <w:lang w:val="lv-LV"/>
              </w:rPr>
              <w:t>3 131 820</w:t>
            </w:r>
          </w:p>
        </w:tc>
        <w:tc>
          <w:tcPr>
            <w:tcW w:w="1134" w:type="dxa"/>
            <w:shd w:val="clear" w:color="auto" w:fill="auto"/>
            <w:vAlign w:val="center"/>
            <w:hideMark/>
          </w:tcPr>
          <w:p w14:paraId="1AFDA91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104C19FE"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528DE1D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81CDFC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76C1886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74D3D8BB" w14:textId="77777777" w:rsidTr="009139C7">
        <w:trPr>
          <w:cantSplit/>
        </w:trPr>
        <w:tc>
          <w:tcPr>
            <w:tcW w:w="1306" w:type="dxa"/>
            <w:shd w:val="clear" w:color="auto" w:fill="auto"/>
            <w:hideMark/>
          </w:tcPr>
          <w:p w14:paraId="325D4F2C"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3.1. valsts pamatbudžets</w:t>
            </w:r>
          </w:p>
        </w:tc>
        <w:tc>
          <w:tcPr>
            <w:tcW w:w="1134" w:type="dxa"/>
            <w:shd w:val="clear" w:color="auto" w:fill="auto"/>
            <w:vAlign w:val="center"/>
            <w:hideMark/>
          </w:tcPr>
          <w:p w14:paraId="40B31E6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2A14F73" w14:textId="352DE498" w:rsidR="006A2224" w:rsidRPr="00121C81" w:rsidRDefault="006A2224" w:rsidP="009139C7">
            <w:pPr>
              <w:jc w:val="right"/>
              <w:rPr>
                <w:rFonts w:eastAsiaTheme="minorHAnsi"/>
                <w:sz w:val="24"/>
                <w:szCs w:val="24"/>
                <w:lang w:val="lv-LV"/>
              </w:rPr>
            </w:pPr>
            <w:r w:rsidRPr="00121C81">
              <w:rPr>
                <w:bCs/>
                <w:sz w:val="24"/>
                <w:szCs w:val="24"/>
                <w:lang w:val="lv-LV"/>
              </w:rPr>
              <w:t>-</w:t>
            </w:r>
            <w:r w:rsidR="00816692" w:rsidRPr="00816692">
              <w:rPr>
                <w:bCs/>
                <w:sz w:val="24"/>
                <w:szCs w:val="24"/>
                <w:lang w:val="lv-LV"/>
              </w:rPr>
              <w:t>3 131 820</w:t>
            </w:r>
          </w:p>
        </w:tc>
        <w:tc>
          <w:tcPr>
            <w:tcW w:w="1134" w:type="dxa"/>
            <w:shd w:val="clear" w:color="auto" w:fill="auto"/>
            <w:vAlign w:val="center"/>
            <w:hideMark/>
          </w:tcPr>
          <w:p w14:paraId="7171AAF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0B7DA49"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83DEA6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1A55462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54705759"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16F111F" w14:textId="77777777" w:rsidTr="009139C7">
        <w:trPr>
          <w:cantSplit/>
        </w:trPr>
        <w:tc>
          <w:tcPr>
            <w:tcW w:w="1306" w:type="dxa"/>
            <w:shd w:val="clear" w:color="auto" w:fill="auto"/>
            <w:hideMark/>
          </w:tcPr>
          <w:p w14:paraId="7E2E713F"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3.2. speciālais budžets</w:t>
            </w:r>
          </w:p>
        </w:tc>
        <w:tc>
          <w:tcPr>
            <w:tcW w:w="1134" w:type="dxa"/>
            <w:shd w:val="clear" w:color="auto" w:fill="auto"/>
            <w:vAlign w:val="center"/>
            <w:hideMark/>
          </w:tcPr>
          <w:p w14:paraId="56BB6CB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6F46281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717D712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46B650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571062E3"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AAE7D1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030211B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6A17C33" w14:textId="77777777" w:rsidTr="009139C7">
        <w:trPr>
          <w:cantSplit/>
        </w:trPr>
        <w:tc>
          <w:tcPr>
            <w:tcW w:w="1306" w:type="dxa"/>
            <w:shd w:val="clear" w:color="auto" w:fill="auto"/>
            <w:hideMark/>
          </w:tcPr>
          <w:p w14:paraId="1CF0921B"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3.3. pašvaldību budžets</w:t>
            </w:r>
          </w:p>
        </w:tc>
        <w:tc>
          <w:tcPr>
            <w:tcW w:w="1134" w:type="dxa"/>
            <w:shd w:val="clear" w:color="auto" w:fill="auto"/>
            <w:vAlign w:val="center"/>
            <w:hideMark/>
          </w:tcPr>
          <w:p w14:paraId="5421D6F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1419605" w14:textId="77777777" w:rsidR="006A2224" w:rsidRPr="00121C81" w:rsidRDefault="006A2224" w:rsidP="009139C7">
            <w:pPr>
              <w:jc w:val="right"/>
              <w:rPr>
                <w:rFonts w:eastAsiaTheme="minorHAnsi"/>
                <w:sz w:val="24"/>
                <w:szCs w:val="24"/>
                <w:lang w:val="lv-LV"/>
              </w:rPr>
            </w:pPr>
            <w:r w:rsidRPr="00121C81">
              <w:rPr>
                <w:bCs/>
                <w:sz w:val="24"/>
                <w:szCs w:val="24"/>
                <w:lang w:val="lv-LV"/>
              </w:rPr>
              <w:t>0</w:t>
            </w:r>
          </w:p>
        </w:tc>
        <w:tc>
          <w:tcPr>
            <w:tcW w:w="1134" w:type="dxa"/>
            <w:shd w:val="clear" w:color="auto" w:fill="auto"/>
            <w:vAlign w:val="center"/>
            <w:hideMark/>
          </w:tcPr>
          <w:p w14:paraId="3C250167"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72B3A01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0124E4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0950E5A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7F875A5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34FD6D4F" w14:textId="77777777" w:rsidTr="009139C7">
        <w:trPr>
          <w:cantSplit/>
        </w:trPr>
        <w:tc>
          <w:tcPr>
            <w:tcW w:w="1306" w:type="dxa"/>
            <w:shd w:val="clear" w:color="auto" w:fill="auto"/>
            <w:hideMark/>
          </w:tcPr>
          <w:p w14:paraId="7C2653D1"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4. Finanšu līdzekļi papildu izdevumu finansēšanai (kompensējošu izdevumu samazinājumu norāda ar "+" zīmi)</w:t>
            </w:r>
          </w:p>
        </w:tc>
        <w:tc>
          <w:tcPr>
            <w:tcW w:w="1134" w:type="dxa"/>
            <w:shd w:val="clear" w:color="auto" w:fill="auto"/>
            <w:vAlign w:val="center"/>
            <w:hideMark/>
          </w:tcPr>
          <w:p w14:paraId="656A67F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3E23766D" w14:textId="0DE1B041" w:rsidR="006A2224" w:rsidRPr="00121C81" w:rsidRDefault="00816692" w:rsidP="009139C7">
            <w:pPr>
              <w:jc w:val="right"/>
              <w:rPr>
                <w:rFonts w:eastAsiaTheme="minorHAnsi"/>
                <w:sz w:val="24"/>
                <w:szCs w:val="24"/>
                <w:lang w:val="lv-LV"/>
              </w:rPr>
            </w:pPr>
            <w:r w:rsidRPr="00816692">
              <w:rPr>
                <w:bCs/>
                <w:sz w:val="24"/>
                <w:szCs w:val="24"/>
                <w:lang w:val="lv-LV"/>
              </w:rPr>
              <w:t>3 131 820</w:t>
            </w:r>
          </w:p>
        </w:tc>
        <w:tc>
          <w:tcPr>
            <w:tcW w:w="1134" w:type="dxa"/>
            <w:shd w:val="clear" w:color="auto" w:fill="auto"/>
            <w:vAlign w:val="center"/>
            <w:hideMark/>
          </w:tcPr>
          <w:p w14:paraId="71830B9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276" w:type="dxa"/>
            <w:shd w:val="clear" w:color="auto" w:fill="auto"/>
            <w:vAlign w:val="center"/>
            <w:hideMark/>
          </w:tcPr>
          <w:p w14:paraId="4B5F769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2855729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shd w:val="clear" w:color="auto" w:fill="auto"/>
            <w:vAlign w:val="center"/>
            <w:hideMark/>
          </w:tcPr>
          <w:p w14:paraId="711B0996"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54BB8C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37DA50C8" w14:textId="77777777" w:rsidTr="009139C7">
        <w:trPr>
          <w:cantSplit/>
        </w:trPr>
        <w:tc>
          <w:tcPr>
            <w:tcW w:w="1306" w:type="dxa"/>
            <w:shd w:val="clear" w:color="auto" w:fill="auto"/>
            <w:hideMark/>
          </w:tcPr>
          <w:p w14:paraId="79574B8F"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5. Precizēta finansiālā ietekme</w:t>
            </w:r>
          </w:p>
        </w:tc>
        <w:tc>
          <w:tcPr>
            <w:tcW w:w="1134" w:type="dxa"/>
            <w:vMerge w:val="restart"/>
            <w:shd w:val="clear" w:color="auto" w:fill="auto"/>
            <w:vAlign w:val="center"/>
            <w:hideMark/>
          </w:tcPr>
          <w:p w14:paraId="24FAA15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x</w:t>
            </w:r>
          </w:p>
        </w:tc>
        <w:tc>
          <w:tcPr>
            <w:tcW w:w="1276" w:type="dxa"/>
            <w:shd w:val="clear" w:color="auto" w:fill="auto"/>
            <w:vAlign w:val="center"/>
            <w:hideMark/>
          </w:tcPr>
          <w:p w14:paraId="3E0B5759" w14:textId="77777777" w:rsidR="006A2224" w:rsidRPr="00121C81" w:rsidRDefault="006A2224" w:rsidP="009139C7">
            <w:pPr>
              <w:jc w:val="right"/>
              <w:rPr>
                <w:rFonts w:eastAsiaTheme="minorHAnsi"/>
                <w:sz w:val="24"/>
                <w:szCs w:val="24"/>
                <w:lang w:val="lv-LV"/>
              </w:rPr>
            </w:pPr>
            <w:r w:rsidRPr="00121C81">
              <w:rPr>
                <w:bCs/>
                <w:sz w:val="24"/>
                <w:szCs w:val="24"/>
                <w:lang w:val="lv-LV"/>
              </w:rPr>
              <w:t>0</w:t>
            </w:r>
          </w:p>
        </w:tc>
        <w:tc>
          <w:tcPr>
            <w:tcW w:w="1134" w:type="dxa"/>
            <w:vMerge w:val="restart"/>
            <w:shd w:val="clear" w:color="auto" w:fill="auto"/>
            <w:vAlign w:val="center"/>
            <w:hideMark/>
          </w:tcPr>
          <w:p w14:paraId="5422D0A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x</w:t>
            </w:r>
          </w:p>
        </w:tc>
        <w:tc>
          <w:tcPr>
            <w:tcW w:w="1276" w:type="dxa"/>
            <w:shd w:val="clear" w:color="auto" w:fill="auto"/>
            <w:vAlign w:val="center"/>
            <w:hideMark/>
          </w:tcPr>
          <w:p w14:paraId="56AAFF37"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val="restart"/>
            <w:shd w:val="clear" w:color="auto" w:fill="auto"/>
            <w:vAlign w:val="center"/>
            <w:hideMark/>
          </w:tcPr>
          <w:p w14:paraId="790DC07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x</w:t>
            </w:r>
          </w:p>
        </w:tc>
        <w:tc>
          <w:tcPr>
            <w:tcW w:w="992" w:type="dxa"/>
            <w:shd w:val="clear" w:color="auto" w:fill="auto"/>
            <w:vAlign w:val="center"/>
            <w:hideMark/>
          </w:tcPr>
          <w:p w14:paraId="1F9C7244"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4FD84BA1"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070F3380" w14:textId="77777777" w:rsidTr="009139C7">
        <w:trPr>
          <w:cantSplit/>
        </w:trPr>
        <w:tc>
          <w:tcPr>
            <w:tcW w:w="1306" w:type="dxa"/>
            <w:shd w:val="clear" w:color="auto" w:fill="auto"/>
            <w:hideMark/>
          </w:tcPr>
          <w:p w14:paraId="4D59D4B5"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5.1. valsts pamatbudžets</w:t>
            </w:r>
          </w:p>
        </w:tc>
        <w:tc>
          <w:tcPr>
            <w:tcW w:w="1134" w:type="dxa"/>
            <w:vMerge/>
            <w:shd w:val="clear" w:color="auto" w:fill="auto"/>
            <w:vAlign w:val="center"/>
            <w:hideMark/>
          </w:tcPr>
          <w:p w14:paraId="0A420B9C"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22C409B5"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vMerge/>
            <w:shd w:val="clear" w:color="auto" w:fill="auto"/>
            <w:vAlign w:val="center"/>
            <w:hideMark/>
          </w:tcPr>
          <w:p w14:paraId="55B53AC5"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249C857D"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shd w:val="clear" w:color="auto" w:fill="auto"/>
            <w:vAlign w:val="center"/>
            <w:hideMark/>
          </w:tcPr>
          <w:p w14:paraId="23B9D1CC" w14:textId="77777777" w:rsidR="006A2224" w:rsidRPr="00121C81" w:rsidRDefault="006A2224" w:rsidP="009139C7">
            <w:pPr>
              <w:jc w:val="right"/>
              <w:rPr>
                <w:rFonts w:eastAsiaTheme="minorHAnsi"/>
                <w:sz w:val="24"/>
                <w:szCs w:val="24"/>
                <w:lang w:val="lv-LV"/>
              </w:rPr>
            </w:pPr>
          </w:p>
        </w:tc>
        <w:tc>
          <w:tcPr>
            <w:tcW w:w="992" w:type="dxa"/>
            <w:shd w:val="clear" w:color="auto" w:fill="auto"/>
            <w:vAlign w:val="center"/>
            <w:hideMark/>
          </w:tcPr>
          <w:p w14:paraId="2AB23A3B"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270A8F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64293857" w14:textId="77777777" w:rsidTr="009139C7">
        <w:trPr>
          <w:cantSplit/>
        </w:trPr>
        <w:tc>
          <w:tcPr>
            <w:tcW w:w="1306" w:type="dxa"/>
            <w:shd w:val="clear" w:color="auto" w:fill="auto"/>
            <w:hideMark/>
          </w:tcPr>
          <w:p w14:paraId="6D375D36"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5.2. speciālais budžets</w:t>
            </w:r>
          </w:p>
        </w:tc>
        <w:tc>
          <w:tcPr>
            <w:tcW w:w="1134" w:type="dxa"/>
            <w:vMerge/>
            <w:shd w:val="clear" w:color="auto" w:fill="auto"/>
            <w:vAlign w:val="center"/>
            <w:hideMark/>
          </w:tcPr>
          <w:p w14:paraId="7FFFC4CB"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122D9A68"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vMerge/>
            <w:shd w:val="clear" w:color="auto" w:fill="auto"/>
            <w:vAlign w:val="center"/>
            <w:hideMark/>
          </w:tcPr>
          <w:p w14:paraId="7A894897"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7FB2CDA0"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shd w:val="clear" w:color="auto" w:fill="auto"/>
            <w:vAlign w:val="center"/>
            <w:hideMark/>
          </w:tcPr>
          <w:p w14:paraId="09876E3C" w14:textId="77777777" w:rsidR="006A2224" w:rsidRPr="00121C81" w:rsidRDefault="006A2224" w:rsidP="009139C7">
            <w:pPr>
              <w:jc w:val="right"/>
              <w:rPr>
                <w:rFonts w:eastAsiaTheme="minorHAnsi"/>
                <w:sz w:val="24"/>
                <w:szCs w:val="24"/>
                <w:lang w:val="lv-LV"/>
              </w:rPr>
            </w:pPr>
          </w:p>
        </w:tc>
        <w:tc>
          <w:tcPr>
            <w:tcW w:w="992" w:type="dxa"/>
            <w:shd w:val="clear" w:color="auto" w:fill="auto"/>
            <w:vAlign w:val="center"/>
            <w:hideMark/>
          </w:tcPr>
          <w:p w14:paraId="2B9CB80F"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364DDD22"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17A5B948" w14:textId="77777777" w:rsidTr="009139C7">
        <w:trPr>
          <w:cantSplit/>
        </w:trPr>
        <w:tc>
          <w:tcPr>
            <w:tcW w:w="1306" w:type="dxa"/>
            <w:shd w:val="clear" w:color="auto" w:fill="auto"/>
            <w:hideMark/>
          </w:tcPr>
          <w:p w14:paraId="1C635D64"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5.3. pašvaldību budžets</w:t>
            </w:r>
          </w:p>
        </w:tc>
        <w:tc>
          <w:tcPr>
            <w:tcW w:w="1134" w:type="dxa"/>
            <w:vMerge/>
            <w:shd w:val="clear" w:color="auto" w:fill="auto"/>
            <w:vAlign w:val="center"/>
            <w:hideMark/>
          </w:tcPr>
          <w:p w14:paraId="2B027B81"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1948C3DB" w14:textId="77777777" w:rsidR="006A2224" w:rsidRPr="00121C81" w:rsidRDefault="006A2224" w:rsidP="009139C7">
            <w:pPr>
              <w:jc w:val="right"/>
              <w:rPr>
                <w:rFonts w:eastAsiaTheme="minorHAnsi"/>
                <w:sz w:val="24"/>
                <w:szCs w:val="24"/>
                <w:lang w:val="lv-LV"/>
              </w:rPr>
            </w:pPr>
            <w:r w:rsidRPr="00121C81">
              <w:rPr>
                <w:bCs/>
                <w:sz w:val="24"/>
                <w:szCs w:val="24"/>
                <w:lang w:val="lv-LV"/>
              </w:rPr>
              <w:t>0</w:t>
            </w:r>
          </w:p>
        </w:tc>
        <w:tc>
          <w:tcPr>
            <w:tcW w:w="1134" w:type="dxa"/>
            <w:vMerge/>
            <w:shd w:val="clear" w:color="auto" w:fill="auto"/>
            <w:vAlign w:val="center"/>
            <w:hideMark/>
          </w:tcPr>
          <w:p w14:paraId="178E60AF" w14:textId="77777777" w:rsidR="006A2224" w:rsidRPr="00121C81" w:rsidRDefault="006A2224" w:rsidP="009139C7">
            <w:pPr>
              <w:jc w:val="right"/>
              <w:rPr>
                <w:rFonts w:eastAsiaTheme="minorHAnsi"/>
                <w:sz w:val="24"/>
                <w:szCs w:val="24"/>
                <w:lang w:val="lv-LV"/>
              </w:rPr>
            </w:pPr>
          </w:p>
        </w:tc>
        <w:tc>
          <w:tcPr>
            <w:tcW w:w="1276" w:type="dxa"/>
            <w:shd w:val="clear" w:color="auto" w:fill="auto"/>
            <w:vAlign w:val="center"/>
            <w:hideMark/>
          </w:tcPr>
          <w:p w14:paraId="4C1FCEEC"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992" w:type="dxa"/>
            <w:vMerge/>
            <w:shd w:val="clear" w:color="auto" w:fill="auto"/>
            <w:vAlign w:val="center"/>
            <w:hideMark/>
          </w:tcPr>
          <w:p w14:paraId="7B521A28" w14:textId="77777777" w:rsidR="006A2224" w:rsidRPr="00121C81" w:rsidRDefault="006A2224" w:rsidP="009139C7">
            <w:pPr>
              <w:jc w:val="right"/>
              <w:rPr>
                <w:rFonts w:eastAsiaTheme="minorHAnsi"/>
                <w:sz w:val="24"/>
                <w:szCs w:val="24"/>
                <w:lang w:val="lv-LV"/>
              </w:rPr>
            </w:pPr>
          </w:p>
        </w:tc>
        <w:tc>
          <w:tcPr>
            <w:tcW w:w="992" w:type="dxa"/>
            <w:shd w:val="clear" w:color="auto" w:fill="auto"/>
            <w:vAlign w:val="center"/>
            <w:hideMark/>
          </w:tcPr>
          <w:p w14:paraId="17C27C5A"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c>
          <w:tcPr>
            <w:tcW w:w="1134" w:type="dxa"/>
            <w:shd w:val="clear" w:color="auto" w:fill="auto"/>
            <w:vAlign w:val="center"/>
            <w:hideMark/>
          </w:tcPr>
          <w:p w14:paraId="1B293A13" w14:textId="77777777" w:rsidR="006A2224" w:rsidRPr="00121C81" w:rsidRDefault="006A2224" w:rsidP="009139C7">
            <w:pPr>
              <w:jc w:val="right"/>
              <w:rPr>
                <w:rFonts w:eastAsiaTheme="minorHAnsi"/>
                <w:sz w:val="24"/>
                <w:szCs w:val="24"/>
                <w:lang w:val="lv-LV"/>
              </w:rPr>
            </w:pPr>
            <w:r w:rsidRPr="00121C81">
              <w:rPr>
                <w:rFonts w:eastAsiaTheme="minorHAnsi"/>
                <w:sz w:val="24"/>
                <w:szCs w:val="24"/>
                <w:lang w:val="lv-LV"/>
              </w:rPr>
              <w:t>0</w:t>
            </w:r>
          </w:p>
        </w:tc>
      </w:tr>
      <w:tr w:rsidR="006A2224" w:rsidRPr="00121C81" w14:paraId="721AE2BD" w14:textId="77777777" w:rsidTr="009139C7">
        <w:trPr>
          <w:cantSplit/>
        </w:trPr>
        <w:tc>
          <w:tcPr>
            <w:tcW w:w="1306" w:type="dxa"/>
            <w:shd w:val="clear" w:color="auto" w:fill="auto"/>
            <w:hideMark/>
          </w:tcPr>
          <w:p w14:paraId="4BC1B27B"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lastRenderedPageBreak/>
              <w:t>6. Detalizēts ieņēmumu un izdevumu aprēķins (ja nepieciešams, detalizētu ieņēmumu un izdevumu aprēķinu var pievienot anotācijas pielikumā)</w:t>
            </w:r>
          </w:p>
        </w:tc>
        <w:tc>
          <w:tcPr>
            <w:tcW w:w="7938" w:type="dxa"/>
            <w:gridSpan w:val="7"/>
            <w:vMerge w:val="restart"/>
            <w:shd w:val="clear" w:color="auto" w:fill="auto"/>
            <w:vAlign w:val="center"/>
            <w:hideMark/>
          </w:tcPr>
          <w:p w14:paraId="661C9449" w14:textId="00F18CFE" w:rsidR="006A2224" w:rsidRPr="00CB3984" w:rsidRDefault="00121C81" w:rsidP="009139C7">
            <w:pPr>
              <w:pStyle w:val="tv213"/>
              <w:spacing w:before="0" w:beforeAutospacing="0" w:after="0" w:afterAutospacing="0"/>
              <w:jc w:val="both"/>
            </w:pPr>
            <w:r>
              <w:rPr>
                <w:noProof/>
              </w:rPr>
              <w:t>Noteikumu p</w:t>
            </w:r>
            <w:r w:rsidR="006A2224" w:rsidRPr="00121C81">
              <w:rPr>
                <w:noProof/>
              </w:rPr>
              <w:t xml:space="preserve">rojekts paredz </w:t>
            </w:r>
            <w:r w:rsidR="008779BE">
              <w:rPr>
                <w:noProof/>
              </w:rPr>
              <w:t>pirmsskolas personālam</w:t>
            </w:r>
            <w:r w:rsidRPr="00121C81">
              <w:rPr>
                <w:noProof/>
              </w:rPr>
              <w:t xml:space="preserve"> nodrošināt </w:t>
            </w:r>
            <w:r>
              <w:rPr>
                <w:noProof/>
              </w:rPr>
              <w:t>Ag testus.</w:t>
            </w:r>
            <w:r w:rsidRPr="00121C81">
              <w:rPr>
                <w:noProof/>
              </w:rPr>
              <w:t xml:space="preserve"> </w:t>
            </w:r>
            <w:r w:rsidR="006A2224" w:rsidRPr="00121C81">
              <w:t xml:space="preserve">Plānots, ka vidēji viena </w:t>
            </w:r>
            <w:proofErr w:type="spellStart"/>
            <w:r w:rsidR="006A2224" w:rsidRPr="00121C81">
              <w:t>A</w:t>
            </w:r>
            <w:r>
              <w:t>g</w:t>
            </w:r>
            <w:proofErr w:type="spellEnd"/>
            <w:r w:rsidR="006A2224" w:rsidRPr="00121C81">
              <w:t xml:space="preserve"> testa izdevumi ir 5</w:t>
            </w:r>
            <w:r>
              <w:t>,</w:t>
            </w:r>
            <w:r w:rsidR="006A2224" w:rsidRPr="00121C81">
              <w:t xml:space="preserve">08 </w:t>
            </w:r>
            <w:proofErr w:type="spellStart"/>
            <w:r w:rsidR="006A2224" w:rsidRPr="00121C81">
              <w:rPr>
                <w:i/>
                <w:iCs/>
              </w:rPr>
              <w:t>euro</w:t>
            </w:r>
            <w:proofErr w:type="spellEnd"/>
            <w:r w:rsidR="006A2224" w:rsidRPr="00121C81">
              <w:t xml:space="preserve"> (tirgū pieejamo </w:t>
            </w:r>
            <w:proofErr w:type="spellStart"/>
            <w:r w:rsidR="006A2224" w:rsidRPr="00121C81">
              <w:t>eksprestestu</w:t>
            </w:r>
            <w:proofErr w:type="spellEnd"/>
            <w:r w:rsidR="006A2224" w:rsidRPr="00121C81">
              <w:t xml:space="preserve"> </w:t>
            </w:r>
            <w:r w:rsidR="006A2224" w:rsidRPr="00CB3984">
              <w:t xml:space="preserve">cena 2021.gada janvāra sākumā), kopā nepieciešami </w:t>
            </w:r>
            <w:r w:rsidR="00816692" w:rsidRPr="00816692">
              <w:t>616</w:t>
            </w:r>
            <w:r w:rsidR="00816692">
              <w:t> </w:t>
            </w:r>
            <w:r w:rsidR="00816692" w:rsidRPr="00816692">
              <w:t>500</w:t>
            </w:r>
            <w:r w:rsidR="00816692">
              <w:t xml:space="preserve"> </w:t>
            </w:r>
            <w:r w:rsidR="006A2224" w:rsidRPr="00CB3984">
              <w:t xml:space="preserve">testi. </w:t>
            </w:r>
          </w:p>
          <w:p w14:paraId="7171A85B" w14:textId="5A9AC510" w:rsidR="006A2224" w:rsidRPr="00CB3984" w:rsidRDefault="006A2224" w:rsidP="009139C7">
            <w:pPr>
              <w:pStyle w:val="tv213"/>
              <w:spacing w:before="0" w:beforeAutospacing="0" w:after="0" w:afterAutospacing="0"/>
              <w:ind w:firstLine="418"/>
              <w:jc w:val="both"/>
            </w:pPr>
            <w:r w:rsidRPr="00CB3984">
              <w:t>5</w:t>
            </w:r>
            <w:r w:rsidR="00121C81" w:rsidRPr="00CB3984">
              <w:t>,</w:t>
            </w:r>
            <w:r w:rsidRPr="00CB3984">
              <w:t xml:space="preserve">08 </w:t>
            </w:r>
            <w:proofErr w:type="spellStart"/>
            <w:r w:rsidRPr="00CB3984">
              <w:rPr>
                <w:i/>
                <w:iCs/>
              </w:rPr>
              <w:t>euro</w:t>
            </w:r>
            <w:proofErr w:type="spellEnd"/>
            <w:r w:rsidRPr="00CB3984">
              <w:t xml:space="preserve"> x </w:t>
            </w:r>
            <w:r w:rsidR="00816692" w:rsidRPr="00816692">
              <w:t>616</w:t>
            </w:r>
            <w:r w:rsidR="00816692">
              <w:t> </w:t>
            </w:r>
            <w:r w:rsidR="00816692" w:rsidRPr="00816692">
              <w:t>500</w:t>
            </w:r>
            <w:r w:rsidR="00816692">
              <w:t xml:space="preserve"> </w:t>
            </w:r>
            <w:r w:rsidRPr="00CB3984">
              <w:t xml:space="preserve">testi = </w:t>
            </w:r>
            <w:r w:rsidR="00816692" w:rsidRPr="00816692">
              <w:rPr>
                <w:bCs/>
              </w:rPr>
              <w:t>3 131</w:t>
            </w:r>
            <w:r w:rsidR="00816692">
              <w:rPr>
                <w:bCs/>
              </w:rPr>
              <w:t> </w:t>
            </w:r>
            <w:r w:rsidR="00816692" w:rsidRPr="00816692">
              <w:rPr>
                <w:bCs/>
              </w:rPr>
              <w:t>820</w:t>
            </w:r>
            <w:r w:rsidR="00816692">
              <w:rPr>
                <w:bCs/>
              </w:rPr>
              <w:t xml:space="preserve"> </w:t>
            </w:r>
            <w:proofErr w:type="spellStart"/>
            <w:r w:rsidRPr="00CB3984">
              <w:rPr>
                <w:i/>
                <w:iCs/>
              </w:rPr>
              <w:t>euro</w:t>
            </w:r>
            <w:proofErr w:type="spellEnd"/>
            <w:r w:rsidRPr="00CB3984">
              <w:t xml:space="preserve"> (bez PVN)</w:t>
            </w:r>
          </w:p>
          <w:p w14:paraId="3054A438" w14:textId="2DAA0DEE" w:rsidR="006A2224" w:rsidRPr="00121C81" w:rsidRDefault="006A2224" w:rsidP="00121C81">
            <w:pPr>
              <w:pStyle w:val="tv213"/>
              <w:spacing w:before="0" w:beforeAutospacing="0" w:after="0" w:afterAutospacing="0"/>
              <w:jc w:val="both"/>
            </w:pPr>
            <w:proofErr w:type="spellStart"/>
            <w:r w:rsidRPr="00121C81">
              <w:t>A</w:t>
            </w:r>
            <w:r w:rsidR="00121C81">
              <w:t>g</w:t>
            </w:r>
            <w:proofErr w:type="spellEnd"/>
            <w:r w:rsidRPr="00121C81">
              <w:t xml:space="preserve"> testi attiecināmi </w:t>
            </w:r>
            <w:proofErr w:type="spellStart"/>
            <w:r w:rsidRPr="00121C81">
              <w:rPr>
                <w:i/>
              </w:rPr>
              <w:t>in</w:t>
            </w:r>
            <w:proofErr w:type="spellEnd"/>
            <w:r w:rsidRPr="00121C81">
              <w:rPr>
                <w:i/>
              </w:rPr>
              <w:t xml:space="preserve"> </w:t>
            </w:r>
            <w:proofErr w:type="spellStart"/>
            <w:r w:rsidRPr="00121C81">
              <w:rPr>
                <w:i/>
              </w:rPr>
              <w:t>vitro</w:t>
            </w:r>
            <w:proofErr w:type="spellEnd"/>
            <w:r w:rsidRPr="00121C81">
              <w:t xml:space="preserve"> diagnostikas medicīnisko ierīču grupai, tāpēc tiem piemērojama samazinātā PVN likme 0 procentu apmērā.</w:t>
            </w:r>
          </w:p>
          <w:p w14:paraId="3A2CC73E" w14:textId="77777777" w:rsidR="006A2224" w:rsidRPr="00121C81" w:rsidRDefault="006A2224" w:rsidP="009139C7">
            <w:pPr>
              <w:pStyle w:val="tv213"/>
              <w:spacing w:before="0" w:beforeAutospacing="0" w:after="0" w:afterAutospacing="0"/>
              <w:jc w:val="both"/>
            </w:pPr>
            <w:r w:rsidRPr="00121C81">
              <w:t>Gadījumā, ja veicot iepirkumu tiks piedāvāta augstāka cena, būs nepieciešams papildus finansējums Aizsardzības ministrijas pamatbudžeta programmā 99.00.00 “Līdzekļu neparedzētiem gadījumiem izlietojums”.</w:t>
            </w:r>
          </w:p>
          <w:p w14:paraId="62E479A0" w14:textId="77777777" w:rsidR="006A2224" w:rsidRPr="00121C81" w:rsidRDefault="006A2224" w:rsidP="009139C7">
            <w:pPr>
              <w:pStyle w:val="tv213"/>
              <w:spacing w:before="0" w:beforeAutospacing="0" w:after="0" w:afterAutospacing="0"/>
              <w:ind w:firstLine="418"/>
              <w:jc w:val="both"/>
            </w:pPr>
          </w:p>
        </w:tc>
      </w:tr>
      <w:tr w:rsidR="006A2224" w:rsidRPr="00121C81" w14:paraId="23DAA5EB" w14:textId="77777777" w:rsidTr="009139C7">
        <w:trPr>
          <w:cantSplit/>
        </w:trPr>
        <w:tc>
          <w:tcPr>
            <w:tcW w:w="1306" w:type="dxa"/>
            <w:shd w:val="clear" w:color="auto" w:fill="auto"/>
            <w:hideMark/>
          </w:tcPr>
          <w:p w14:paraId="0C7950EB"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6.1. detalizēts ieņēmumu aprēķins</w:t>
            </w:r>
          </w:p>
        </w:tc>
        <w:tc>
          <w:tcPr>
            <w:tcW w:w="7938" w:type="dxa"/>
            <w:gridSpan w:val="7"/>
            <w:vMerge/>
            <w:shd w:val="clear" w:color="auto" w:fill="auto"/>
            <w:vAlign w:val="center"/>
            <w:hideMark/>
          </w:tcPr>
          <w:p w14:paraId="2521FC59" w14:textId="77777777" w:rsidR="006A2224" w:rsidRPr="00121C81" w:rsidRDefault="006A2224" w:rsidP="009139C7">
            <w:pPr>
              <w:jc w:val="both"/>
              <w:rPr>
                <w:rFonts w:eastAsiaTheme="minorHAnsi"/>
                <w:color w:val="FF0000"/>
                <w:sz w:val="24"/>
                <w:szCs w:val="24"/>
                <w:lang w:val="lv-LV"/>
              </w:rPr>
            </w:pPr>
          </w:p>
        </w:tc>
      </w:tr>
      <w:tr w:rsidR="006A2224" w:rsidRPr="00121C81" w14:paraId="41303C3D" w14:textId="77777777" w:rsidTr="009139C7">
        <w:trPr>
          <w:cantSplit/>
        </w:trPr>
        <w:tc>
          <w:tcPr>
            <w:tcW w:w="1306" w:type="dxa"/>
            <w:shd w:val="clear" w:color="auto" w:fill="auto"/>
            <w:hideMark/>
          </w:tcPr>
          <w:p w14:paraId="161BFC12" w14:textId="77777777" w:rsidR="006A2224" w:rsidRPr="00121C81" w:rsidRDefault="006A2224" w:rsidP="009139C7">
            <w:pPr>
              <w:jc w:val="both"/>
              <w:rPr>
                <w:rFonts w:eastAsiaTheme="minorHAnsi"/>
                <w:color w:val="FF0000"/>
                <w:sz w:val="24"/>
                <w:szCs w:val="24"/>
                <w:lang w:val="lv-LV"/>
              </w:rPr>
            </w:pPr>
            <w:r w:rsidRPr="00121C81">
              <w:rPr>
                <w:rFonts w:eastAsiaTheme="minorHAnsi"/>
                <w:sz w:val="24"/>
                <w:szCs w:val="24"/>
                <w:lang w:val="lv-LV"/>
              </w:rPr>
              <w:t>6.2. detalizēts izdevumu aprēķins</w:t>
            </w:r>
          </w:p>
        </w:tc>
        <w:tc>
          <w:tcPr>
            <w:tcW w:w="7938" w:type="dxa"/>
            <w:gridSpan w:val="7"/>
            <w:vMerge/>
            <w:shd w:val="clear" w:color="auto" w:fill="auto"/>
            <w:vAlign w:val="center"/>
            <w:hideMark/>
          </w:tcPr>
          <w:p w14:paraId="4AA1EDE5" w14:textId="77777777" w:rsidR="006A2224" w:rsidRPr="00121C81" w:rsidRDefault="006A2224" w:rsidP="009139C7">
            <w:pPr>
              <w:jc w:val="both"/>
              <w:rPr>
                <w:rFonts w:eastAsiaTheme="minorHAnsi"/>
                <w:color w:val="FF0000"/>
                <w:sz w:val="24"/>
                <w:szCs w:val="24"/>
                <w:lang w:val="lv-LV"/>
              </w:rPr>
            </w:pPr>
          </w:p>
        </w:tc>
      </w:tr>
      <w:tr w:rsidR="006A2224" w:rsidRPr="00121C81" w14:paraId="6CDC3ABE" w14:textId="77777777" w:rsidTr="009139C7">
        <w:trPr>
          <w:cantSplit/>
        </w:trPr>
        <w:tc>
          <w:tcPr>
            <w:tcW w:w="1306" w:type="dxa"/>
            <w:tcBorders>
              <w:bottom w:val="single" w:sz="4" w:space="0" w:color="auto"/>
            </w:tcBorders>
            <w:shd w:val="clear" w:color="auto" w:fill="auto"/>
            <w:hideMark/>
          </w:tcPr>
          <w:p w14:paraId="7283C606"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7. Amata vietu skaita izmaiņas</w:t>
            </w:r>
          </w:p>
        </w:tc>
        <w:tc>
          <w:tcPr>
            <w:tcW w:w="7938" w:type="dxa"/>
            <w:gridSpan w:val="7"/>
            <w:tcBorders>
              <w:bottom w:val="single" w:sz="4" w:space="0" w:color="auto"/>
            </w:tcBorders>
            <w:shd w:val="clear" w:color="auto" w:fill="auto"/>
            <w:hideMark/>
          </w:tcPr>
          <w:p w14:paraId="4450DA87"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Nav</w:t>
            </w:r>
          </w:p>
        </w:tc>
      </w:tr>
      <w:tr w:rsidR="006A2224" w:rsidRPr="00121C81" w14:paraId="7BD66D2A" w14:textId="77777777" w:rsidTr="009139C7">
        <w:trPr>
          <w:cantSplit/>
        </w:trPr>
        <w:tc>
          <w:tcPr>
            <w:tcW w:w="1306" w:type="dxa"/>
            <w:tcBorders>
              <w:bottom w:val="single" w:sz="4" w:space="0" w:color="auto"/>
            </w:tcBorders>
            <w:shd w:val="clear" w:color="auto" w:fill="auto"/>
            <w:hideMark/>
          </w:tcPr>
          <w:p w14:paraId="57C672B9" w14:textId="77777777" w:rsidR="006A2224" w:rsidRPr="00121C81" w:rsidRDefault="006A2224" w:rsidP="009139C7">
            <w:pPr>
              <w:jc w:val="both"/>
              <w:rPr>
                <w:rFonts w:eastAsiaTheme="minorHAnsi"/>
                <w:sz w:val="24"/>
                <w:szCs w:val="24"/>
                <w:lang w:val="lv-LV"/>
              </w:rPr>
            </w:pPr>
            <w:r w:rsidRPr="00121C81">
              <w:rPr>
                <w:rFonts w:eastAsiaTheme="minorHAnsi"/>
                <w:sz w:val="24"/>
                <w:szCs w:val="24"/>
                <w:lang w:val="lv-LV"/>
              </w:rPr>
              <w:t>8. Cita informācija</w:t>
            </w:r>
          </w:p>
        </w:tc>
        <w:tc>
          <w:tcPr>
            <w:tcW w:w="7938" w:type="dxa"/>
            <w:gridSpan w:val="7"/>
            <w:tcBorders>
              <w:bottom w:val="single" w:sz="4" w:space="0" w:color="auto"/>
            </w:tcBorders>
            <w:shd w:val="clear" w:color="auto" w:fill="auto"/>
            <w:vAlign w:val="center"/>
          </w:tcPr>
          <w:p w14:paraId="732C0C07" w14:textId="62784BE1" w:rsidR="006A2224" w:rsidRPr="00121C81" w:rsidRDefault="006A2224" w:rsidP="009139C7">
            <w:pPr>
              <w:jc w:val="both"/>
              <w:rPr>
                <w:rFonts w:eastAsiaTheme="minorHAnsi"/>
                <w:sz w:val="24"/>
                <w:szCs w:val="24"/>
                <w:lang w:val="lv-LV"/>
              </w:rPr>
            </w:pPr>
            <w:r w:rsidRPr="00121C81">
              <w:rPr>
                <w:sz w:val="24"/>
                <w:szCs w:val="24"/>
                <w:lang w:val="lv-LV"/>
              </w:rPr>
              <w:t xml:space="preserve">Izdevumi tiks veikti Aizsardzības ministrijas pamatbudžeta programmas 99.00.00 “Līdzekļu neparedzētiem gadījumiem izlietojums” ietvaros, līdzekļus pārdalot no 74.resora </w:t>
            </w:r>
            <w:r w:rsidR="00CB3984">
              <w:rPr>
                <w:sz w:val="24"/>
                <w:szCs w:val="24"/>
                <w:lang w:val="lv-LV"/>
              </w:rPr>
              <w:t>“</w:t>
            </w:r>
            <w:r w:rsidRPr="00121C81">
              <w:rPr>
                <w:sz w:val="24"/>
                <w:szCs w:val="24"/>
                <w:lang w:val="lv-LV"/>
              </w:rPr>
              <w:t xml:space="preserve">Gadskārtējā valsts budžeta izpildes procesā pārdalāmais finansējums” programmas 02.00.00 </w:t>
            </w:r>
            <w:r w:rsidR="00CB3984">
              <w:rPr>
                <w:sz w:val="24"/>
                <w:szCs w:val="24"/>
                <w:lang w:val="lv-LV"/>
              </w:rPr>
              <w:t>“</w:t>
            </w:r>
            <w:r w:rsidRPr="00121C81">
              <w:rPr>
                <w:sz w:val="24"/>
                <w:szCs w:val="24"/>
                <w:lang w:val="lv-LV"/>
              </w:rPr>
              <w:t>Līdzekļi neparedzētiem gadījumiem”</w:t>
            </w:r>
            <w:r w:rsidR="00557CFB">
              <w:rPr>
                <w:sz w:val="24"/>
                <w:szCs w:val="24"/>
                <w:lang w:val="lv-LV"/>
              </w:rPr>
              <w:t>,</w:t>
            </w:r>
            <w:r w:rsidR="00557CFB">
              <w:t xml:space="preserve"> </w:t>
            </w:r>
            <w:r w:rsidR="00557CFB" w:rsidRPr="00557CFB">
              <w:rPr>
                <w:sz w:val="24"/>
                <w:szCs w:val="24"/>
                <w:lang w:val="lv-LV"/>
              </w:rPr>
              <w:t>Aizsardzības ministrijai sagatavojot Ministru kabineta rīkojumu par finanšu resursu pārdali</w:t>
            </w:r>
            <w:r w:rsidRPr="00121C81">
              <w:rPr>
                <w:sz w:val="24"/>
                <w:szCs w:val="24"/>
                <w:lang w:val="lv-LV"/>
              </w:rPr>
              <w:t>.</w:t>
            </w:r>
          </w:p>
        </w:tc>
      </w:tr>
    </w:tbl>
    <w:p w14:paraId="6C26D193" w14:textId="77777777" w:rsidR="006A2224" w:rsidRPr="00FD0735" w:rsidRDefault="006A2224" w:rsidP="006A2224">
      <w:pPr>
        <w:pStyle w:val="NoSpacing"/>
        <w:rPr>
          <w:rFonts w:ascii="Times New Roman" w:hAnsi="Times New Roman" w:cs="Times New Roman"/>
          <w:i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6A2224" w:rsidRPr="00334FFF" w14:paraId="2BC5AF06" w14:textId="77777777" w:rsidTr="009139C7">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842F535" w14:textId="77777777" w:rsidR="006A2224" w:rsidRPr="00A77A93" w:rsidRDefault="006A2224" w:rsidP="009139C7">
            <w:pPr>
              <w:ind w:firstLine="300"/>
              <w:contextualSpacing/>
              <w:rPr>
                <w:rFonts w:eastAsia="Times New Roman"/>
                <w:b/>
                <w:bCs/>
                <w:noProof/>
                <w:sz w:val="26"/>
                <w:szCs w:val="26"/>
                <w:lang w:val="lv-LV" w:eastAsia="lv-LV"/>
              </w:rPr>
            </w:pPr>
            <w:r w:rsidRPr="00A77A93">
              <w:rPr>
                <w:rFonts w:eastAsia="Times New Roman"/>
                <w:b/>
                <w:bCs/>
                <w:noProof/>
                <w:sz w:val="26"/>
                <w:szCs w:val="26"/>
                <w:lang w:val="lv-LV" w:eastAsia="lv-LV"/>
              </w:rPr>
              <w:t>IV. Tiesību akta projekta ietekme uz spēkā esošo tiesību normu sistēmu</w:t>
            </w:r>
          </w:p>
        </w:tc>
      </w:tr>
      <w:tr w:rsidR="00121C81" w:rsidRPr="00A77A93" w14:paraId="35272B1F" w14:textId="77777777" w:rsidTr="00121C81">
        <w:trPr>
          <w:trHeight w:val="335"/>
        </w:trPr>
        <w:tc>
          <w:tcPr>
            <w:tcW w:w="5000" w:type="pct"/>
            <w:tcBorders>
              <w:top w:val="outset" w:sz="6" w:space="0" w:color="414142"/>
              <w:left w:val="outset" w:sz="6" w:space="0" w:color="414142"/>
              <w:right w:val="outset" w:sz="6" w:space="0" w:color="414142"/>
            </w:tcBorders>
            <w:hideMark/>
          </w:tcPr>
          <w:p w14:paraId="1A667039" w14:textId="24C345C2" w:rsidR="00121C81" w:rsidRPr="00A77A93" w:rsidRDefault="00121C81" w:rsidP="00121C81">
            <w:pPr>
              <w:pStyle w:val="ListParagraph"/>
              <w:ind w:left="0"/>
              <w:contextualSpacing w:val="0"/>
              <w:jc w:val="center"/>
              <w:rPr>
                <w:bCs/>
                <w:iCs/>
                <w:noProof/>
                <w:sz w:val="26"/>
                <w:szCs w:val="26"/>
                <w:lang w:val="lv-LV"/>
              </w:rPr>
            </w:pPr>
            <w:r>
              <w:rPr>
                <w:bCs/>
                <w:iCs/>
                <w:noProof/>
                <w:sz w:val="26"/>
                <w:szCs w:val="26"/>
                <w:lang w:val="lv-LV"/>
              </w:rPr>
              <w:t>Noteikumu projekts šo jomu neskar.</w:t>
            </w:r>
          </w:p>
          <w:p w14:paraId="109B6966" w14:textId="77777777" w:rsidR="00121C81" w:rsidRPr="00A77A93" w:rsidRDefault="00121C81" w:rsidP="009139C7">
            <w:pPr>
              <w:ind w:left="577"/>
              <w:contextualSpacing/>
              <w:jc w:val="both"/>
              <w:rPr>
                <w:bCs/>
                <w:iCs/>
                <w:noProof/>
                <w:sz w:val="26"/>
                <w:szCs w:val="26"/>
                <w:lang w:val="lv-LV"/>
              </w:rPr>
            </w:pPr>
          </w:p>
        </w:tc>
      </w:tr>
    </w:tbl>
    <w:p w14:paraId="08F0A468" w14:textId="77777777" w:rsidR="006A2224" w:rsidRPr="00A77A93" w:rsidRDefault="006A2224" w:rsidP="006A2224">
      <w:pPr>
        <w:contextualSpacing/>
        <w:rPr>
          <w:rFonts w:eastAsia="Times New Roman"/>
          <w:noProof/>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6A2224" w:rsidRPr="00A77A93" w14:paraId="33854423" w14:textId="77777777" w:rsidTr="009139C7">
        <w:tc>
          <w:tcPr>
            <w:tcW w:w="0" w:type="auto"/>
            <w:tcBorders>
              <w:top w:val="outset" w:sz="6" w:space="0" w:color="414142"/>
              <w:left w:val="outset" w:sz="6" w:space="0" w:color="414142"/>
              <w:bottom w:val="outset" w:sz="6" w:space="0" w:color="414142"/>
              <w:right w:val="outset" w:sz="6" w:space="0" w:color="414142"/>
            </w:tcBorders>
            <w:hideMark/>
          </w:tcPr>
          <w:p w14:paraId="12DFEC9F" w14:textId="77777777" w:rsidR="006A2224" w:rsidRPr="00A77A93" w:rsidRDefault="006A2224" w:rsidP="009139C7">
            <w:pPr>
              <w:contextualSpacing/>
              <w:jc w:val="center"/>
              <w:rPr>
                <w:rFonts w:eastAsia="Times New Roman"/>
                <w:noProof/>
                <w:sz w:val="26"/>
                <w:szCs w:val="26"/>
                <w:lang w:val="lv-LV" w:eastAsia="lv-LV"/>
              </w:rPr>
            </w:pPr>
            <w:r w:rsidRPr="00A77A93">
              <w:rPr>
                <w:b/>
                <w:noProof/>
                <w:sz w:val="26"/>
                <w:lang w:val="lv-LV"/>
              </w:rPr>
              <w:t>V. Tiesību akta projekta atbilstība Latvijas Republikas starptautiskajām saistībām</w:t>
            </w:r>
          </w:p>
        </w:tc>
      </w:tr>
      <w:tr w:rsidR="006A2224" w:rsidRPr="00A77A93" w14:paraId="32EA5775" w14:textId="77777777" w:rsidTr="009139C7">
        <w:tc>
          <w:tcPr>
            <w:tcW w:w="5000" w:type="pct"/>
            <w:tcBorders>
              <w:top w:val="outset" w:sz="6" w:space="0" w:color="414142"/>
              <w:left w:val="outset" w:sz="6" w:space="0" w:color="414142"/>
              <w:bottom w:val="outset" w:sz="6" w:space="0" w:color="414142"/>
              <w:right w:val="outset" w:sz="6" w:space="0" w:color="414142"/>
            </w:tcBorders>
            <w:hideMark/>
          </w:tcPr>
          <w:p w14:paraId="1A93CB48" w14:textId="1DDD6CE0" w:rsidR="006A2224" w:rsidRPr="00A77A93" w:rsidRDefault="00121C81" w:rsidP="009139C7">
            <w:pPr>
              <w:contextualSpacing/>
              <w:jc w:val="center"/>
              <w:rPr>
                <w:rFonts w:eastAsia="Times New Roman"/>
                <w:noProof/>
                <w:sz w:val="26"/>
                <w:szCs w:val="26"/>
                <w:lang w:val="lv-LV" w:eastAsia="lv-LV"/>
              </w:rPr>
            </w:pPr>
            <w:r>
              <w:rPr>
                <w:rFonts w:eastAsia="Times New Roman"/>
                <w:noProof/>
                <w:sz w:val="26"/>
                <w:szCs w:val="26"/>
                <w:lang w:val="lv-LV" w:eastAsia="lv-LV"/>
              </w:rPr>
              <w:t>Noteikumu p</w:t>
            </w:r>
            <w:r w:rsidR="006A2224" w:rsidRPr="00A77A93">
              <w:rPr>
                <w:rFonts w:eastAsia="Times New Roman"/>
                <w:noProof/>
                <w:sz w:val="26"/>
                <w:szCs w:val="26"/>
                <w:lang w:val="lv-LV" w:eastAsia="lv-LV"/>
              </w:rPr>
              <w:t>rojekts šo jomu neskar.</w:t>
            </w:r>
          </w:p>
        </w:tc>
      </w:tr>
    </w:tbl>
    <w:p w14:paraId="6329F639" w14:textId="77777777" w:rsidR="006A2224" w:rsidRPr="00A77A93" w:rsidRDefault="006A2224" w:rsidP="006A2224">
      <w:pPr>
        <w:contextualSpacing/>
        <w:rPr>
          <w:noProof/>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A2224" w:rsidRPr="00334FFF" w14:paraId="025D235C" w14:textId="77777777" w:rsidTr="009139C7">
        <w:trPr>
          <w:trHeight w:val="421"/>
        </w:trPr>
        <w:tc>
          <w:tcPr>
            <w:tcW w:w="9211" w:type="dxa"/>
            <w:gridSpan w:val="3"/>
            <w:tcBorders>
              <w:top w:val="single" w:sz="2" w:space="0" w:color="auto"/>
            </w:tcBorders>
            <w:vAlign w:val="center"/>
          </w:tcPr>
          <w:p w14:paraId="5BD7D6ED" w14:textId="77777777" w:rsidR="006A2224" w:rsidRPr="00A77A93" w:rsidRDefault="006A2224" w:rsidP="009139C7">
            <w:pPr>
              <w:ind w:left="57" w:right="57"/>
              <w:contextualSpacing/>
              <w:jc w:val="center"/>
              <w:rPr>
                <w:rFonts w:eastAsia="Times New Roman"/>
                <w:noProof/>
                <w:sz w:val="25"/>
                <w:szCs w:val="25"/>
                <w:lang w:val="lv-LV"/>
              </w:rPr>
            </w:pPr>
            <w:r w:rsidRPr="00A77A93">
              <w:rPr>
                <w:rFonts w:eastAsia="Times New Roman"/>
                <w:b/>
                <w:noProof/>
                <w:sz w:val="25"/>
                <w:szCs w:val="25"/>
                <w:lang w:val="lv-LV"/>
              </w:rPr>
              <w:t>VI. Sabiedrības līdzdalība un komunikācijas aktivitātes</w:t>
            </w:r>
          </w:p>
        </w:tc>
      </w:tr>
      <w:tr w:rsidR="006A2224" w:rsidRPr="00A77A93" w14:paraId="0E3B6F77" w14:textId="77777777" w:rsidTr="009139C7">
        <w:trPr>
          <w:trHeight w:val="553"/>
        </w:trPr>
        <w:tc>
          <w:tcPr>
            <w:tcW w:w="426" w:type="dxa"/>
          </w:tcPr>
          <w:p w14:paraId="4A222B0E" w14:textId="77777777" w:rsidR="006A2224" w:rsidRPr="00A77A93" w:rsidRDefault="006A2224" w:rsidP="009139C7">
            <w:pPr>
              <w:ind w:left="57" w:right="57"/>
              <w:contextualSpacing/>
              <w:jc w:val="both"/>
              <w:rPr>
                <w:noProof/>
                <w:sz w:val="25"/>
                <w:lang w:val="lv-LV"/>
              </w:rPr>
            </w:pPr>
            <w:r w:rsidRPr="00A77A93">
              <w:rPr>
                <w:noProof/>
                <w:sz w:val="25"/>
                <w:lang w:val="lv-LV"/>
              </w:rPr>
              <w:t>1.</w:t>
            </w:r>
          </w:p>
        </w:tc>
        <w:tc>
          <w:tcPr>
            <w:tcW w:w="2551" w:type="dxa"/>
          </w:tcPr>
          <w:p w14:paraId="1BDA9F7E" w14:textId="77777777" w:rsidR="006A2224" w:rsidRPr="00A77A93" w:rsidRDefault="006A2224" w:rsidP="009139C7">
            <w:pPr>
              <w:tabs>
                <w:tab w:val="left" w:pos="170"/>
              </w:tabs>
              <w:ind w:left="57" w:right="57"/>
              <w:contextualSpacing/>
              <w:rPr>
                <w:rFonts w:eastAsia="PMingLiU"/>
                <w:noProof/>
                <w:sz w:val="26"/>
                <w:szCs w:val="26"/>
                <w:lang w:val="lv-LV" w:eastAsia="ja-JP"/>
              </w:rPr>
            </w:pPr>
            <w:r w:rsidRPr="00A77A93">
              <w:rPr>
                <w:rFonts w:eastAsia="PMingLiU"/>
                <w:noProof/>
                <w:sz w:val="26"/>
                <w:szCs w:val="26"/>
                <w:lang w:val="lv-LV" w:eastAsia="ja-JP"/>
              </w:rPr>
              <w:t>Plānotās sabiedrības līdzdalības un komunikācijas aktivitātes saistībā ar projektu</w:t>
            </w:r>
          </w:p>
        </w:tc>
        <w:tc>
          <w:tcPr>
            <w:tcW w:w="6234" w:type="dxa"/>
          </w:tcPr>
          <w:p w14:paraId="2D25625E" w14:textId="11D50DC2" w:rsidR="006A2224" w:rsidRPr="00A77A93" w:rsidRDefault="00121C81" w:rsidP="009139C7">
            <w:pPr>
              <w:shd w:val="clear" w:color="auto" w:fill="FFFFFF" w:themeFill="background1"/>
              <w:ind w:right="113"/>
              <w:contextualSpacing/>
              <w:jc w:val="both"/>
              <w:rPr>
                <w:rFonts w:eastAsia="Times New Roman"/>
                <w:noProof/>
                <w:sz w:val="26"/>
                <w:szCs w:val="26"/>
                <w:lang w:val="lv-LV" w:eastAsia="ja-JP"/>
              </w:rPr>
            </w:pPr>
            <w:r>
              <w:rPr>
                <w:rFonts w:eastAsia="Times New Roman"/>
                <w:noProof/>
                <w:sz w:val="26"/>
                <w:szCs w:val="26"/>
                <w:lang w:val="lv-LV" w:eastAsia="lv-LV"/>
              </w:rPr>
              <w:t>Noteikumu p</w:t>
            </w:r>
            <w:r w:rsidRPr="00A77A93">
              <w:rPr>
                <w:rFonts w:eastAsia="Times New Roman"/>
                <w:noProof/>
                <w:sz w:val="26"/>
                <w:szCs w:val="26"/>
                <w:lang w:val="lv-LV" w:eastAsia="lv-LV"/>
              </w:rPr>
              <w:t>rojekts šo jomu neskar.</w:t>
            </w:r>
          </w:p>
        </w:tc>
      </w:tr>
      <w:tr w:rsidR="006A2224" w:rsidRPr="00334FFF" w14:paraId="7F2AF09F" w14:textId="77777777" w:rsidTr="009139C7">
        <w:trPr>
          <w:trHeight w:val="339"/>
        </w:trPr>
        <w:tc>
          <w:tcPr>
            <w:tcW w:w="426" w:type="dxa"/>
          </w:tcPr>
          <w:p w14:paraId="192FEE5E" w14:textId="77777777" w:rsidR="006A2224" w:rsidRPr="00A77A93" w:rsidRDefault="006A2224" w:rsidP="009139C7">
            <w:pPr>
              <w:ind w:left="57" w:right="57"/>
              <w:contextualSpacing/>
              <w:jc w:val="both"/>
              <w:rPr>
                <w:noProof/>
                <w:sz w:val="25"/>
                <w:lang w:val="lv-LV"/>
              </w:rPr>
            </w:pPr>
            <w:r w:rsidRPr="00A77A93">
              <w:rPr>
                <w:noProof/>
                <w:sz w:val="25"/>
                <w:lang w:val="lv-LV"/>
              </w:rPr>
              <w:t>2.</w:t>
            </w:r>
          </w:p>
        </w:tc>
        <w:tc>
          <w:tcPr>
            <w:tcW w:w="2551" w:type="dxa"/>
          </w:tcPr>
          <w:p w14:paraId="5ED84039"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 projekta izstrādē</w:t>
            </w:r>
          </w:p>
        </w:tc>
        <w:tc>
          <w:tcPr>
            <w:tcW w:w="6234" w:type="dxa"/>
          </w:tcPr>
          <w:p w14:paraId="2924ADC4" w14:textId="5A1CCC2F" w:rsidR="006A2224" w:rsidRPr="00A77A93" w:rsidRDefault="006A2224" w:rsidP="009139C7">
            <w:pPr>
              <w:shd w:val="clear" w:color="auto" w:fill="FFFFFF" w:themeFill="background1"/>
              <w:ind w:left="57" w:right="113"/>
              <w:contextualSpacing/>
              <w:jc w:val="both"/>
              <w:rPr>
                <w:rFonts w:eastAsia="Times New Roman"/>
                <w:noProof/>
                <w:sz w:val="26"/>
                <w:szCs w:val="26"/>
                <w:shd w:val="clear" w:color="auto" w:fill="FFFFFF"/>
                <w:lang w:val="lv-LV" w:eastAsia="ja-JP"/>
              </w:rPr>
            </w:pPr>
            <w:r w:rsidRPr="00A77A93">
              <w:rPr>
                <w:rFonts w:eastAsia="Times New Roman"/>
                <w:noProof/>
                <w:sz w:val="26"/>
                <w:szCs w:val="26"/>
                <w:lang w:val="lv-LV" w:eastAsia="ja-JP"/>
              </w:rPr>
              <w:t xml:space="preserve">Ņemot vērā to, ka Noteikumu projekts tiek virzīts steidzamības kārtībā, sabiedrības iesaiste </w:t>
            </w:r>
            <w:r w:rsidR="00121C81">
              <w:rPr>
                <w:rFonts w:eastAsia="Times New Roman"/>
                <w:noProof/>
                <w:sz w:val="26"/>
                <w:szCs w:val="26"/>
                <w:lang w:val="lv-LV" w:eastAsia="ja-JP"/>
              </w:rPr>
              <w:t>n</w:t>
            </w:r>
            <w:r w:rsidRPr="00A77A93">
              <w:rPr>
                <w:rFonts w:eastAsia="Times New Roman"/>
                <w:noProof/>
                <w:sz w:val="26"/>
                <w:szCs w:val="26"/>
                <w:lang w:val="lv-LV" w:eastAsia="ja-JP"/>
              </w:rPr>
              <w:t>oteikumu projekta izstrādē netika organizēta.</w:t>
            </w:r>
          </w:p>
        </w:tc>
      </w:tr>
      <w:tr w:rsidR="006A2224" w:rsidRPr="00A77A93" w14:paraId="0969401C" w14:textId="77777777" w:rsidTr="009139C7">
        <w:trPr>
          <w:trHeight w:val="476"/>
        </w:trPr>
        <w:tc>
          <w:tcPr>
            <w:tcW w:w="426" w:type="dxa"/>
          </w:tcPr>
          <w:p w14:paraId="2D5DFB59" w14:textId="77777777" w:rsidR="006A2224" w:rsidRPr="00A77A93" w:rsidRDefault="006A2224" w:rsidP="009139C7">
            <w:pPr>
              <w:ind w:left="57" w:right="57"/>
              <w:contextualSpacing/>
              <w:jc w:val="both"/>
              <w:rPr>
                <w:noProof/>
                <w:sz w:val="25"/>
                <w:lang w:val="lv-LV"/>
              </w:rPr>
            </w:pPr>
            <w:r w:rsidRPr="00A77A93">
              <w:rPr>
                <w:noProof/>
                <w:sz w:val="25"/>
                <w:lang w:val="lv-LV"/>
              </w:rPr>
              <w:t>3.</w:t>
            </w:r>
          </w:p>
        </w:tc>
        <w:tc>
          <w:tcPr>
            <w:tcW w:w="2551" w:type="dxa"/>
          </w:tcPr>
          <w:p w14:paraId="09805B47"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līdzdalības rezultāti</w:t>
            </w:r>
          </w:p>
        </w:tc>
        <w:tc>
          <w:tcPr>
            <w:tcW w:w="6234" w:type="dxa"/>
          </w:tcPr>
          <w:p w14:paraId="1C3A7362" w14:textId="2D42285F" w:rsidR="006A2224" w:rsidRPr="00A77A93" w:rsidRDefault="00121C81" w:rsidP="009139C7">
            <w:pPr>
              <w:shd w:val="clear" w:color="auto" w:fill="FFFFFF"/>
              <w:ind w:left="57" w:right="113"/>
              <w:contextualSpacing/>
              <w:jc w:val="both"/>
              <w:rPr>
                <w:rFonts w:eastAsia="PMingLiU"/>
                <w:noProof/>
                <w:sz w:val="26"/>
                <w:szCs w:val="26"/>
                <w:shd w:val="clear" w:color="auto" w:fill="FFFFFF"/>
                <w:lang w:val="lv-LV" w:eastAsia="ja-JP"/>
              </w:rPr>
            </w:pPr>
            <w:r>
              <w:rPr>
                <w:rFonts w:eastAsia="Times New Roman"/>
                <w:noProof/>
                <w:sz w:val="26"/>
                <w:szCs w:val="26"/>
                <w:lang w:val="lv-LV" w:eastAsia="lv-LV"/>
              </w:rPr>
              <w:t>Noteikumu p</w:t>
            </w:r>
            <w:r w:rsidRPr="00A77A93">
              <w:rPr>
                <w:rFonts w:eastAsia="Times New Roman"/>
                <w:noProof/>
                <w:sz w:val="26"/>
                <w:szCs w:val="26"/>
                <w:lang w:val="lv-LV" w:eastAsia="lv-LV"/>
              </w:rPr>
              <w:t>rojekts šo jomu neskar.</w:t>
            </w:r>
          </w:p>
        </w:tc>
      </w:tr>
      <w:tr w:rsidR="006A2224" w:rsidRPr="00A77A93" w14:paraId="68550B82" w14:textId="77777777" w:rsidTr="009139C7">
        <w:trPr>
          <w:trHeight w:val="205"/>
        </w:trPr>
        <w:tc>
          <w:tcPr>
            <w:tcW w:w="426" w:type="dxa"/>
          </w:tcPr>
          <w:p w14:paraId="25CD2CEB" w14:textId="77777777" w:rsidR="006A2224" w:rsidRPr="00A77A93" w:rsidRDefault="006A2224" w:rsidP="009139C7">
            <w:pPr>
              <w:ind w:left="57" w:right="57"/>
              <w:contextualSpacing/>
              <w:jc w:val="both"/>
              <w:rPr>
                <w:noProof/>
                <w:sz w:val="25"/>
                <w:lang w:val="lv-LV"/>
              </w:rPr>
            </w:pPr>
            <w:r w:rsidRPr="00A77A93">
              <w:rPr>
                <w:noProof/>
                <w:sz w:val="25"/>
                <w:lang w:val="lv-LV"/>
              </w:rPr>
              <w:lastRenderedPageBreak/>
              <w:t>4.</w:t>
            </w:r>
          </w:p>
        </w:tc>
        <w:tc>
          <w:tcPr>
            <w:tcW w:w="2551" w:type="dxa"/>
          </w:tcPr>
          <w:p w14:paraId="4B40F66E" w14:textId="77777777" w:rsidR="006A2224" w:rsidRPr="00A77A93" w:rsidRDefault="006A2224" w:rsidP="009139C7">
            <w:pPr>
              <w:ind w:left="57" w:right="57"/>
              <w:contextualSpacing/>
              <w:rPr>
                <w:rFonts w:eastAsia="PMingLiU"/>
                <w:noProof/>
                <w:sz w:val="26"/>
                <w:szCs w:val="26"/>
                <w:lang w:val="lv-LV" w:eastAsia="ja-JP"/>
              </w:rPr>
            </w:pPr>
            <w:r w:rsidRPr="00A77A93">
              <w:rPr>
                <w:rFonts w:eastAsia="PMingLiU"/>
                <w:noProof/>
                <w:sz w:val="26"/>
                <w:szCs w:val="26"/>
                <w:lang w:val="lv-LV" w:eastAsia="ja-JP"/>
              </w:rPr>
              <w:t>Cita informācija</w:t>
            </w:r>
          </w:p>
        </w:tc>
        <w:tc>
          <w:tcPr>
            <w:tcW w:w="6234" w:type="dxa"/>
          </w:tcPr>
          <w:p w14:paraId="163AC99B" w14:textId="77777777" w:rsidR="006A2224" w:rsidRPr="00A77A93" w:rsidRDefault="006A2224" w:rsidP="009139C7">
            <w:pPr>
              <w:ind w:left="57" w:right="113"/>
              <w:contextualSpacing/>
              <w:jc w:val="both"/>
              <w:rPr>
                <w:rFonts w:eastAsia="PMingLiU"/>
                <w:noProof/>
                <w:sz w:val="26"/>
                <w:szCs w:val="26"/>
                <w:lang w:val="lv-LV" w:eastAsia="ja-JP"/>
              </w:rPr>
            </w:pPr>
            <w:r w:rsidRPr="00A77A93">
              <w:rPr>
                <w:rFonts w:eastAsia="PMingLiU"/>
                <w:noProof/>
                <w:sz w:val="26"/>
                <w:szCs w:val="26"/>
                <w:lang w:val="lv-LV" w:eastAsia="ja-JP"/>
              </w:rPr>
              <w:t>Nav</w:t>
            </w:r>
          </w:p>
        </w:tc>
      </w:tr>
    </w:tbl>
    <w:p w14:paraId="21A77004" w14:textId="77777777" w:rsidR="006A2224" w:rsidRPr="00A77A93" w:rsidRDefault="006A2224" w:rsidP="006A2224">
      <w:pPr>
        <w:contextualSpacing/>
        <w:rPr>
          <w:rFonts w:eastAsia="Times New Roman"/>
          <w:noProof/>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6A2224" w:rsidRPr="00334FFF" w14:paraId="058D6471" w14:textId="77777777" w:rsidTr="009139C7">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2F81119C" w14:textId="77777777" w:rsidR="006A2224" w:rsidRPr="00A77A93" w:rsidRDefault="006A2224" w:rsidP="009139C7">
            <w:pPr>
              <w:spacing w:before="100" w:beforeAutospacing="1" w:after="100" w:afterAutospacing="1"/>
              <w:ind w:firstLine="300"/>
              <w:jc w:val="center"/>
              <w:rPr>
                <w:rFonts w:eastAsia="Times New Roman"/>
                <w:noProof/>
                <w:sz w:val="26"/>
                <w:szCs w:val="26"/>
                <w:lang w:val="lv-LV" w:eastAsia="lv-LV"/>
              </w:rPr>
            </w:pPr>
            <w:r w:rsidRPr="00A77A93">
              <w:rPr>
                <w:b/>
                <w:noProof/>
                <w:sz w:val="26"/>
                <w:lang w:val="lv-LV"/>
              </w:rPr>
              <w:t>VII. Tiesību akta projekta izpildes nodrošināšana un tās ietekme uz institūcijām</w:t>
            </w:r>
          </w:p>
        </w:tc>
      </w:tr>
      <w:tr w:rsidR="006A2224" w:rsidRPr="00A77A93" w14:paraId="5EF2461E" w14:textId="77777777" w:rsidTr="009139C7">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C530391"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37BC9437" w14:textId="77777777" w:rsidR="006A2224" w:rsidRPr="003B3464" w:rsidRDefault="006A2224" w:rsidP="009139C7">
            <w:pPr>
              <w:ind w:right="112"/>
              <w:contextualSpacing/>
              <w:jc w:val="both"/>
              <w:rPr>
                <w:noProof/>
                <w:sz w:val="26"/>
                <w:szCs w:val="26"/>
                <w:lang w:val="lv-LV"/>
              </w:rPr>
            </w:pPr>
            <w:r w:rsidRPr="003B3464">
              <w:rPr>
                <w:noProof/>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88EC0D8" w14:textId="1177CD22" w:rsidR="006A2224" w:rsidRPr="003B3464" w:rsidRDefault="006A2224" w:rsidP="009139C7">
            <w:pPr>
              <w:jc w:val="both"/>
              <w:rPr>
                <w:rFonts w:eastAsia="Times New Roman"/>
                <w:iCs/>
                <w:noProof/>
                <w:sz w:val="24"/>
                <w:szCs w:val="24"/>
                <w:lang w:val="lv-LV" w:eastAsia="lv-LV"/>
              </w:rPr>
            </w:pPr>
            <w:r>
              <w:rPr>
                <w:rFonts w:eastAsia="Times New Roman"/>
                <w:noProof/>
                <w:sz w:val="26"/>
                <w:szCs w:val="26"/>
                <w:lang w:val="lv-LV" w:eastAsia="lv-LV"/>
              </w:rPr>
              <w:t>VALIC, VUGD</w:t>
            </w:r>
            <w:r w:rsidR="00CB3984">
              <w:rPr>
                <w:rFonts w:eastAsia="Times New Roman"/>
                <w:noProof/>
                <w:sz w:val="26"/>
                <w:szCs w:val="26"/>
                <w:lang w:val="lv-LV" w:eastAsia="lv-LV"/>
              </w:rPr>
              <w:t>.</w:t>
            </w:r>
          </w:p>
          <w:p w14:paraId="77890784" w14:textId="77777777" w:rsidR="006A2224" w:rsidRPr="003B3464" w:rsidRDefault="006A2224" w:rsidP="009139C7">
            <w:pPr>
              <w:ind w:left="82" w:right="161"/>
              <w:jc w:val="both"/>
              <w:rPr>
                <w:noProof/>
                <w:sz w:val="24"/>
                <w:szCs w:val="24"/>
                <w:lang w:val="lv-LV"/>
              </w:rPr>
            </w:pPr>
          </w:p>
        </w:tc>
      </w:tr>
      <w:tr w:rsidR="006A2224" w:rsidRPr="00A77A93" w14:paraId="5E99385A" w14:textId="77777777" w:rsidTr="009139C7">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0F78CDC9"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287B462D" w14:textId="77777777" w:rsidR="006A2224" w:rsidRPr="003B3464" w:rsidRDefault="006A2224" w:rsidP="009139C7">
            <w:pPr>
              <w:ind w:right="112"/>
              <w:contextualSpacing/>
              <w:jc w:val="both"/>
              <w:rPr>
                <w:noProof/>
                <w:sz w:val="26"/>
                <w:szCs w:val="26"/>
                <w:lang w:val="lv-LV"/>
              </w:rPr>
            </w:pPr>
            <w:r w:rsidRPr="003B3464">
              <w:rPr>
                <w:noProof/>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1C4001FE" w14:textId="0F82FEEC" w:rsidR="006A2224" w:rsidRPr="003B3464" w:rsidRDefault="00121C81" w:rsidP="009139C7">
            <w:pPr>
              <w:ind w:right="161"/>
              <w:jc w:val="both"/>
              <w:rPr>
                <w:noProof/>
                <w:sz w:val="26"/>
                <w:szCs w:val="26"/>
                <w:lang w:val="lv-LV"/>
              </w:rPr>
            </w:pPr>
            <w:r w:rsidRPr="00121C81">
              <w:rPr>
                <w:noProof/>
                <w:sz w:val="26"/>
                <w:szCs w:val="26"/>
                <w:lang w:val="lv-LV"/>
              </w:rPr>
              <w:t>Noteikumu projekta izpilde neietekmēs pārvaldes funkcijas vai institucionālo struktūru un cilvēkresursus.</w:t>
            </w:r>
          </w:p>
        </w:tc>
      </w:tr>
      <w:tr w:rsidR="006A2224" w:rsidRPr="00A77A93" w14:paraId="176E4CAF" w14:textId="77777777" w:rsidTr="009139C7">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3713AEAF" w14:textId="77777777" w:rsidR="006A2224" w:rsidRPr="00A77A93" w:rsidRDefault="006A2224" w:rsidP="009139C7">
            <w:pPr>
              <w:contextualSpacing/>
              <w:rPr>
                <w:rFonts w:eastAsia="Times New Roman"/>
                <w:noProof/>
                <w:sz w:val="26"/>
                <w:szCs w:val="26"/>
                <w:lang w:val="lv-LV" w:eastAsia="lv-LV"/>
              </w:rPr>
            </w:pPr>
            <w:r w:rsidRPr="00A77A93">
              <w:rPr>
                <w:noProof/>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09214F30" w14:textId="77777777" w:rsidR="006A2224" w:rsidRPr="00A77A93" w:rsidRDefault="006A2224" w:rsidP="009139C7">
            <w:pPr>
              <w:contextualSpacing/>
              <w:jc w:val="both"/>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DE78F38" w14:textId="2F7A6A51" w:rsidR="006A2224" w:rsidRPr="00A77A93" w:rsidRDefault="006A2224" w:rsidP="009139C7">
            <w:pPr>
              <w:jc w:val="both"/>
              <w:rPr>
                <w:rFonts w:eastAsiaTheme="minorHAnsi"/>
                <w:iCs/>
                <w:noProof/>
                <w:sz w:val="24"/>
                <w:szCs w:val="24"/>
                <w:lang w:val="lv-LV"/>
              </w:rPr>
            </w:pPr>
            <w:r w:rsidRPr="00A77A93">
              <w:rPr>
                <w:noProof/>
                <w:sz w:val="26"/>
                <w:szCs w:val="26"/>
                <w:lang w:val="lv-LV"/>
              </w:rPr>
              <w:t>Nav</w:t>
            </w:r>
            <w:r w:rsidR="00121C81">
              <w:rPr>
                <w:noProof/>
                <w:sz w:val="26"/>
                <w:szCs w:val="26"/>
                <w:lang w:val="lv-LV"/>
              </w:rPr>
              <w:t>.</w:t>
            </w:r>
          </w:p>
        </w:tc>
      </w:tr>
    </w:tbl>
    <w:p w14:paraId="33C92CAF" w14:textId="77777777" w:rsidR="00CB3984" w:rsidRDefault="00CB3984" w:rsidP="00121C81">
      <w:pPr>
        <w:tabs>
          <w:tab w:val="left" w:pos="6237"/>
        </w:tabs>
        <w:contextualSpacing/>
        <w:rPr>
          <w:noProof/>
          <w:sz w:val="28"/>
          <w:szCs w:val="24"/>
          <w:lang w:val="lv-LV"/>
        </w:rPr>
      </w:pPr>
    </w:p>
    <w:p w14:paraId="745B6971" w14:textId="77777777" w:rsidR="00377505" w:rsidRDefault="00377505" w:rsidP="00121C81">
      <w:pPr>
        <w:tabs>
          <w:tab w:val="left" w:pos="6237"/>
        </w:tabs>
        <w:contextualSpacing/>
        <w:rPr>
          <w:noProof/>
          <w:sz w:val="28"/>
          <w:szCs w:val="24"/>
          <w:lang w:val="lv-LV"/>
        </w:rPr>
      </w:pPr>
    </w:p>
    <w:p w14:paraId="4ACE865A" w14:textId="37A3730A" w:rsidR="00121C81" w:rsidRPr="00121C81" w:rsidRDefault="00121C81" w:rsidP="00121C81">
      <w:pPr>
        <w:tabs>
          <w:tab w:val="left" w:pos="6237"/>
        </w:tabs>
        <w:contextualSpacing/>
        <w:rPr>
          <w:noProof/>
          <w:sz w:val="28"/>
          <w:szCs w:val="24"/>
          <w:lang w:val="lv-LV"/>
        </w:rPr>
      </w:pPr>
      <w:r w:rsidRPr="00121C81">
        <w:rPr>
          <w:noProof/>
          <w:sz w:val="28"/>
          <w:szCs w:val="24"/>
          <w:lang w:val="lv-LV"/>
        </w:rPr>
        <w:t>Izglītības un zinātnes ministre</w:t>
      </w:r>
      <w:r w:rsidRPr="00121C81">
        <w:rPr>
          <w:noProof/>
          <w:sz w:val="28"/>
          <w:szCs w:val="24"/>
          <w:lang w:val="lv-LV"/>
        </w:rPr>
        <w:tab/>
      </w:r>
      <w:r w:rsidRPr="00121C81">
        <w:rPr>
          <w:noProof/>
          <w:sz w:val="28"/>
          <w:szCs w:val="24"/>
          <w:lang w:val="lv-LV"/>
        </w:rPr>
        <w:tab/>
      </w:r>
      <w:r w:rsidRPr="00121C81">
        <w:rPr>
          <w:noProof/>
          <w:sz w:val="28"/>
          <w:szCs w:val="24"/>
          <w:lang w:val="lv-LV"/>
        </w:rPr>
        <w:tab/>
        <w:t>I.</w:t>
      </w:r>
      <w:r w:rsidR="007C3DCF">
        <w:rPr>
          <w:noProof/>
          <w:sz w:val="28"/>
          <w:szCs w:val="24"/>
          <w:lang w:val="lv-LV"/>
        </w:rPr>
        <w:t> </w:t>
      </w:r>
      <w:r w:rsidRPr="00121C81">
        <w:rPr>
          <w:noProof/>
          <w:sz w:val="28"/>
          <w:szCs w:val="24"/>
          <w:lang w:val="lv-LV"/>
        </w:rPr>
        <w:t>Šuplinska</w:t>
      </w:r>
    </w:p>
    <w:p w14:paraId="70051697" w14:textId="77777777" w:rsidR="00121C81" w:rsidRPr="00121C81" w:rsidRDefault="00121C81" w:rsidP="00121C81">
      <w:pPr>
        <w:tabs>
          <w:tab w:val="left" w:pos="6237"/>
        </w:tabs>
        <w:contextualSpacing/>
        <w:rPr>
          <w:noProof/>
          <w:sz w:val="28"/>
          <w:szCs w:val="24"/>
          <w:lang w:val="lv-LV"/>
        </w:rPr>
      </w:pPr>
    </w:p>
    <w:p w14:paraId="0E408E47" w14:textId="77777777" w:rsidR="00121C81" w:rsidRPr="00121C81" w:rsidRDefault="00121C81" w:rsidP="00121C81">
      <w:pPr>
        <w:tabs>
          <w:tab w:val="left" w:pos="6237"/>
        </w:tabs>
        <w:contextualSpacing/>
        <w:rPr>
          <w:noProof/>
          <w:sz w:val="28"/>
          <w:szCs w:val="24"/>
          <w:lang w:val="lv-LV"/>
        </w:rPr>
      </w:pPr>
      <w:r w:rsidRPr="00121C81">
        <w:rPr>
          <w:noProof/>
          <w:sz w:val="28"/>
          <w:szCs w:val="24"/>
          <w:lang w:val="lv-LV"/>
        </w:rPr>
        <w:t>Vizē:</w:t>
      </w:r>
    </w:p>
    <w:p w14:paraId="72914B5D" w14:textId="66FD9367" w:rsidR="00121C81" w:rsidRPr="00121C81" w:rsidRDefault="00121C81" w:rsidP="00121C81">
      <w:pPr>
        <w:tabs>
          <w:tab w:val="left" w:pos="6237"/>
        </w:tabs>
        <w:contextualSpacing/>
        <w:rPr>
          <w:noProof/>
          <w:sz w:val="28"/>
          <w:szCs w:val="24"/>
          <w:lang w:val="lv-LV"/>
        </w:rPr>
      </w:pPr>
      <w:r w:rsidRPr="00121C81">
        <w:rPr>
          <w:noProof/>
          <w:sz w:val="28"/>
          <w:szCs w:val="24"/>
          <w:lang w:val="lv-LV"/>
        </w:rPr>
        <w:t>Valsts sekretārs</w:t>
      </w:r>
      <w:r w:rsidRPr="00121C81">
        <w:rPr>
          <w:noProof/>
          <w:sz w:val="28"/>
          <w:szCs w:val="24"/>
          <w:lang w:val="lv-LV"/>
        </w:rPr>
        <w:tab/>
      </w:r>
      <w:r w:rsidRPr="00121C81">
        <w:rPr>
          <w:noProof/>
          <w:sz w:val="28"/>
          <w:szCs w:val="24"/>
          <w:lang w:val="lv-LV"/>
        </w:rPr>
        <w:tab/>
      </w:r>
      <w:r w:rsidRPr="00121C81">
        <w:rPr>
          <w:noProof/>
          <w:sz w:val="28"/>
          <w:szCs w:val="24"/>
          <w:lang w:val="lv-LV"/>
        </w:rPr>
        <w:tab/>
        <w:t>J. Volberts</w:t>
      </w:r>
    </w:p>
    <w:p w14:paraId="28DCEEC1" w14:textId="77777777" w:rsidR="00B9191B" w:rsidRDefault="00B9191B" w:rsidP="00121C81">
      <w:pPr>
        <w:tabs>
          <w:tab w:val="left" w:pos="6237"/>
        </w:tabs>
        <w:contextualSpacing/>
        <w:rPr>
          <w:noProof/>
          <w:lang w:val="lv-LV"/>
        </w:rPr>
      </w:pPr>
    </w:p>
    <w:p w14:paraId="24A77CA5" w14:textId="77777777" w:rsidR="00B9191B" w:rsidRDefault="00B9191B" w:rsidP="00121C81">
      <w:pPr>
        <w:tabs>
          <w:tab w:val="left" w:pos="6237"/>
        </w:tabs>
        <w:contextualSpacing/>
        <w:rPr>
          <w:noProof/>
          <w:lang w:val="lv-LV"/>
        </w:rPr>
      </w:pPr>
    </w:p>
    <w:p w14:paraId="16B2083E" w14:textId="77777777" w:rsidR="00377505" w:rsidRDefault="00377505" w:rsidP="00121C81">
      <w:pPr>
        <w:tabs>
          <w:tab w:val="left" w:pos="6237"/>
        </w:tabs>
        <w:contextualSpacing/>
        <w:rPr>
          <w:noProof/>
          <w:lang w:val="lv-LV"/>
        </w:rPr>
      </w:pPr>
    </w:p>
    <w:p w14:paraId="6F0CA411" w14:textId="77777777" w:rsidR="00377505" w:rsidRDefault="00377505" w:rsidP="00121C81">
      <w:pPr>
        <w:tabs>
          <w:tab w:val="left" w:pos="6237"/>
        </w:tabs>
        <w:contextualSpacing/>
        <w:rPr>
          <w:noProof/>
          <w:lang w:val="lv-LV"/>
        </w:rPr>
      </w:pPr>
    </w:p>
    <w:p w14:paraId="4B05107E" w14:textId="46F2E374" w:rsidR="00121C81" w:rsidRPr="00B9191B" w:rsidRDefault="00121C81" w:rsidP="00121C81">
      <w:pPr>
        <w:tabs>
          <w:tab w:val="left" w:pos="6237"/>
        </w:tabs>
        <w:contextualSpacing/>
        <w:rPr>
          <w:noProof/>
          <w:lang w:val="lv-LV"/>
        </w:rPr>
      </w:pPr>
      <w:r w:rsidRPr="00B9191B">
        <w:rPr>
          <w:noProof/>
          <w:lang w:val="lv-LV"/>
        </w:rPr>
        <w:t>Rudzīte 67047807</w:t>
      </w:r>
    </w:p>
    <w:p w14:paraId="61B87B84" w14:textId="4F5C7461" w:rsidR="00262712" w:rsidRPr="00B9191B" w:rsidRDefault="00121C81" w:rsidP="00B9191B">
      <w:pPr>
        <w:tabs>
          <w:tab w:val="left" w:pos="6237"/>
        </w:tabs>
        <w:contextualSpacing/>
        <w:rPr>
          <w:noProof/>
          <w:lang w:val="lv-LV"/>
        </w:rPr>
      </w:pPr>
      <w:r w:rsidRPr="00B9191B">
        <w:rPr>
          <w:noProof/>
          <w:lang w:val="lv-LV"/>
        </w:rPr>
        <w:t>ance.rudzite@izm.gov.lv</w:t>
      </w:r>
    </w:p>
    <w:sectPr w:rsidR="00262712" w:rsidRPr="00B9191B" w:rsidSect="006A2224">
      <w:headerReference w:type="default" r:id="rId6"/>
      <w:footerReference w:type="default" r:id="rId7"/>
      <w:footerReference w:type="first" r:id="rId8"/>
      <w:endnotePr>
        <w:numFmt w:val="decimal"/>
      </w:endnotePr>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E7DC" w14:textId="77777777" w:rsidR="008E488F" w:rsidRDefault="008E488F" w:rsidP="006A2224">
      <w:r>
        <w:separator/>
      </w:r>
    </w:p>
  </w:endnote>
  <w:endnote w:type="continuationSeparator" w:id="0">
    <w:p w14:paraId="3CBC73D6" w14:textId="77777777" w:rsidR="008E488F" w:rsidRDefault="008E488F" w:rsidP="006A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A103" w14:textId="135635B3" w:rsidR="003051BA" w:rsidRPr="00510C57" w:rsidRDefault="006A2224" w:rsidP="005F31BE">
    <w:pPr>
      <w:pStyle w:val="Footer"/>
      <w:rPr>
        <w:sz w:val="24"/>
        <w:szCs w:val="24"/>
        <w:lang w:val="lv-LV"/>
      </w:rPr>
    </w:pPr>
    <w:r w:rsidRPr="00510C57">
      <w:rPr>
        <w:sz w:val="24"/>
        <w:szCs w:val="24"/>
        <w:lang w:val="lv-LV"/>
      </w:rPr>
      <w:t>IZMAnot_</w:t>
    </w:r>
    <w:r w:rsidR="00557CFB">
      <w:rPr>
        <w:sz w:val="24"/>
        <w:szCs w:val="24"/>
        <w:lang w:val="lv-LV"/>
      </w:rPr>
      <w:t>0</w:t>
    </w:r>
    <w:r w:rsidR="00816692">
      <w:rPr>
        <w:sz w:val="24"/>
        <w:szCs w:val="24"/>
        <w:lang w:val="lv-LV"/>
      </w:rPr>
      <w:t>8</w:t>
    </w:r>
    <w:r w:rsidR="00557CFB">
      <w:rPr>
        <w:sz w:val="24"/>
        <w:szCs w:val="24"/>
        <w:lang w:val="lv-LV"/>
      </w:rPr>
      <w:t>02</w:t>
    </w:r>
    <w:r w:rsidRPr="00510C57">
      <w:rPr>
        <w:sz w:val="24"/>
        <w:szCs w:val="24"/>
        <w:lang w:val="lv-LV"/>
      </w:rPr>
      <w:t>21_groz380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0C05" w14:textId="386C4C4A" w:rsidR="003051BA" w:rsidRPr="00510C57" w:rsidRDefault="006A2224" w:rsidP="005F31BE">
    <w:pPr>
      <w:pStyle w:val="Footer"/>
      <w:rPr>
        <w:sz w:val="24"/>
        <w:szCs w:val="24"/>
        <w:lang w:val="lv-LV"/>
      </w:rPr>
    </w:pPr>
    <w:r w:rsidRPr="00510C57">
      <w:rPr>
        <w:sz w:val="24"/>
        <w:szCs w:val="24"/>
        <w:lang w:val="lv-LV"/>
      </w:rPr>
      <w:t>IZMAnot_</w:t>
    </w:r>
    <w:r w:rsidR="00557CFB">
      <w:rPr>
        <w:sz w:val="24"/>
        <w:szCs w:val="24"/>
        <w:lang w:val="lv-LV"/>
      </w:rPr>
      <w:t>0</w:t>
    </w:r>
    <w:r w:rsidR="00816692">
      <w:rPr>
        <w:sz w:val="24"/>
        <w:szCs w:val="24"/>
        <w:lang w:val="lv-LV"/>
      </w:rPr>
      <w:t>8</w:t>
    </w:r>
    <w:r w:rsidR="00557CFB">
      <w:rPr>
        <w:sz w:val="24"/>
        <w:szCs w:val="24"/>
        <w:lang w:val="lv-LV"/>
      </w:rPr>
      <w:t>02</w:t>
    </w:r>
    <w:r w:rsidRPr="00510C57">
      <w:rPr>
        <w:sz w:val="24"/>
        <w:szCs w:val="24"/>
        <w:lang w:val="lv-LV"/>
      </w:rPr>
      <w:t>21_groz380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E069" w14:textId="77777777" w:rsidR="008E488F" w:rsidRDefault="008E488F" w:rsidP="006A2224">
      <w:r>
        <w:separator/>
      </w:r>
    </w:p>
  </w:footnote>
  <w:footnote w:type="continuationSeparator" w:id="0">
    <w:p w14:paraId="05BB6BB1" w14:textId="77777777" w:rsidR="008E488F" w:rsidRDefault="008E488F" w:rsidP="006A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627235"/>
      <w:docPartObj>
        <w:docPartGallery w:val="Page Numbers (Top of Page)"/>
        <w:docPartUnique/>
      </w:docPartObj>
    </w:sdtPr>
    <w:sdtEndPr>
      <w:rPr>
        <w:sz w:val="24"/>
        <w:szCs w:val="24"/>
      </w:rPr>
    </w:sdtEndPr>
    <w:sdtContent>
      <w:p w14:paraId="7B8038A8" w14:textId="77777777" w:rsidR="003051BA" w:rsidRPr="005A1518" w:rsidRDefault="006566DE"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4</w:t>
        </w:r>
        <w:r w:rsidRPr="00B014C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24"/>
    <w:rsid w:val="00121C81"/>
    <w:rsid w:val="002535A2"/>
    <w:rsid w:val="00262712"/>
    <w:rsid w:val="002C25FE"/>
    <w:rsid w:val="0034310F"/>
    <w:rsid w:val="00377505"/>
    <w:rsid w:val="00510C57"/>
    <w:rsid w:val="00516832"/>
    <w:rsid w:val="005442B9"/>
    <w:rsid w:val="00557CFB"/>
    <w:rsid w:val="00575381"/>
    <w:rsid w:val="006305DC"/>
    <w:rsid w:val="0065200E"/>
    <w:rsid w:val="006566DE"/>
    <w:rsid w:val="0069424C"/>
    <w:rsid w:val="006A2224"/>
    <w:rsid w:val="007C3DCF"/>
    <w:rsid w:val="007F2704"/>
    <w:rsid w:val="00816692"/>
    <w:rsid w:val="00825EBA"/>
    <w:rsid w:val="008779BE"/>
    <w:rsid w:val="008C3D30"/>
    <w:rsid w:val="008E488F"/>
    <w:rsid w:val="00B111EF"/>
    <w:rsid w:val="00B9191B"/>
    <w:rsid w:val="00C60197"/>
    <w:rsid w:val="00C91831"/>
    <w:rsid w:val="00CB3984"/>
    <w:rsid w:val="00D93661"/>
    <w:rsid w:val="00F62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D011"/>
  <w15:chartTrackingRefBased/>
  <w15:docId w15:val="{7FF36DBD-C1CD-4AE1-8242-577332A0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24"/>
    <w:pPr>
      <w:spacing w:after="0" w:line="240" w:lineRule="auto"/>
    </w:pPr>
    <w:rPr>
      <w:rFonts w:ascii="Times New Roman" w:eastAsia="Calibri" w:hAnsi="Times New Roman" w:cs="Times New Roman"/>
      <w:sz w:val="20"/>
      <w:szCs w:val="20"/>
      <w:lang w:val="en-AU"/>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val="lv-LV"/>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Footer">
    <w:name w:val="footer"/>
    <w:basedOn w:val="Normal"/>
    <w:link w:val="FooterChar"/>
    <w:uiPriority w:val="99"/>
    <w:unhideWhenUsed/>
    <w:rsid w:val="006A2224"/>
    <w:pPr>
      <w:tabs>
        <w:tab w:val="center" w:pos="4153"/>
        <w:tab w:val="right" w:pos="8306"/>
      </w:tabs>
    </w:pPr>
  </w:style>
  <w:style w:type="character" w:customStyle="1" w:styleId="FooterChar">
    <w:name w:val="Footer Char"/>
    <w:basedOn w:val="DefaultParagraphFont"/>
    <w:link w:val="Footer"/>
    <w:uiPriority w:val="99"/>
    <w:rsid w:val="006A2224"/>
    <w:rPr>
      <w:rFonts w:ascii="Times New Roman" w:eastAsia="Calibri" w:hAnsi="Times New Roman" w:cs="Times New Roman"/>
      <w:sz w:val="20"/>
      <w:szCs w:val="20"/>
      <w:lang w:val="en-AU"/>
    </w:rPr>
  </w:style>
  <w:style w:type="paragraph" w:styleId="BodyText">
    <w:name w:val="Body Text"/>
    <w:basedOn w:val="Normal"/>
    <w:link w:val="BodyTextChar"/>
    <w:unhideWhenUsed/>
    <w:rsid w:val="006A2224"/>
    <w:pPr>
      <w:jc w:val="both"/>
    </w:pPr>
    <w:rPr>
      <w:rFonts w:eastAsia="Times New Roman"/>
      <w:sz w:val="28"/>
      <w:lang w:val="lv-LV" w:eastAsia="lv-LV"/>
    </w:rPr>
  </w:style>
  <w:style w:type="character" w:customStyle="1" w:styleId="BodyTextChar">
    <w:name w:val="Body Text Char"/>
    <w:basedOn w:val="DefaultParagraphFont"/>
    <w:link w:val="BodyText"/>
    <w:rsid w:val="006A2224"/>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6A2224"/>
    <w:pPr>
      <w:tabs>
        <w:tab w:val="center" w:pos="4153"/>
        <w:tab w:val="right" w:pos="8306"/>
      </w:tabs>
    </w:pPr>
  </w:style>
  <w:style w:type="character" w:customStyle="1" w:styleId="HeaderChar">
    <w:name w:val="Header Char"/>
    <w:basedOn w:val="DefaultParagraphFont"/>
    <w:link w:val="Header"/>
    <w:rsid w:val="006A2224"/>
    <w:rPr>
      <w:rFonts w:ascii="Times New Roman" w:eastAsia="Calibri" w:hAnsi="Times New Roman" w:cs="Times New Roman"/>
      <w:sz w:val="20"/>
      <w:szCs w:val="20"/>
      <w:lang w:val="en-AU"/>
    </w:rPr>
  </w:style>
  <w:style w:type="paragraph" w:styleId="ListParagraph">
    <w:name w:val="List Paragraph"/>
    <w:aliases w:val="2,Strip,H&amp;P List Paragraph,Saraksta rindkopa1"/>
    <w:basedOn w:val="Normal"/>
    <w:link w:val="ListParagraphChar"/>
    <w:uiPriority w:val="34"/>
    <w:qFormat/>
    <w:rsid w:val="006A2224"/>
    <w:pPr>
      <w:ind w:left="720"/>
      <w:contextualSpacing/>
    </w:pPr>
  </w:style>
  <w:style w:type="character" w:styleId="Hyperlink">
    <w:name w:val="Hyperlink"/>
    <w:basedOn w:val="DefaultParagraphFont"/>
    <w:uiPriority w:val="99"/>
    <w:unhideWhenUsed/>
    <w:rsid w:val="006A2224"/>
    <w:rPr>
      <w:color w:val="0563C1" w:themeColor="hyperlink"/>
      <w:u w:val="single"/>
    </w:rPr>
  </w:style>
  <w:style w:type="character" w:customStyle="1" w:styleId="ListParagraphChar">
    <w:name w:val="List Paragraph Char"/>
    <w:aliases w:val="2 Char,Strip Char,H&amp;P List Paragraph Char,Saraksta rindkopa1 Char"/>
    <w:link w:val="ListParagraph"/>
    <w:uiPriority w:val="34"/>
    <w:locked/>
    <w:rsid w:val="006A2224"/>
    <w:rPr>
      <w:rFonts w:ascii="Times New Roman" w:eastAsia="Calibri" w:hAnsi="Times New Roman" w:cs="Times New Roman"/>
      <w:sz w:val="20"/>
      <w:szCs w:val="20"/>
      <w:lang w:val="en-AU"/>
    </w:rPr>
  </w:style>
  <w:style w:type="paragraph" w:customStyle="1" w:styleId="tv213">
    <w:name w:val="tv213"/>
    <w:basedOn w:val="Normal"/>
    <w:rsid w:val="006A2224"/>
    <w:pPr>
      <w:spacing w:before="100" w:beforeAutospacing="1" w:after="100" w:afterAutospacing="1"/>
    </w:pPr>
    <w:rPr>
      <w:rFonts w:eastAsia="Times New Roman"/>
      <w:sz w:val="24"/>
      <w:szCs w:val="24"/>
      <w:lang w:val="lv-LV" w:eastAsia="lv-LV"/>
    </w:rPr>
  </w:style>
  <w:style w:type="paragraph" w:styleId="NoSpacing">
    <w:name w:val="No Spacing"/>
    <w:link w:val="NoSpacingChar"/>
    <w:uiPriority w:val="1"/>
    <w:qFormat/>
    <w:rsid w:val="006A2224"/>
    <w:pPr>
      <w:spacing w:after="0" w:line="240" w:lineRule="auto"/>
    </w:pPr>
  </w:style>
  <w:style w:type="character" w:customStyle="1" w:styleId="NoSpacingChar">
    <w:name w:val="No Spacing Char"/>
    <w:link w:val="NoSpacing"/>
    <w:uiPriority w:val="1"/>
    <w:rsid w:val="006A2224"/>
  </w:style>
  <w:style w:type="character" w:styleId="CommentReference">
    <w:name w:val="annotation reference"/>
    <w:basedOn w:val="DefaultParagraphFont"/>
    <w:uiPriority w:val="99"/>
    <w:semiHidden/>
    <w:unhideWhenUsed/>
    <w:rsid w:val="008C3D30"/>
    <w:rPr>
      <w:sz w:val="16"/>
      <w:szCs w:val="16"/>
    </w:rPr>
  </w:style>
  <w:style w:type="paragraph" w:styleId="CommentText">
    <w:name w:val="annotation text"/>
    <w:basedOn w:val="Normal"/>
    <w:link w:val="CommentTextChar"/>
    <w:uiPriority w:val="99"/>
    <w:semiHidden/>
    <w:unhideWhenUsed/>
    <w:rsid w:val="008C3D30"/>
  </w:style>
  <w:style w:type="character" w:customStyle="1" w:styleId="CommentTextChar">
    <w:name w:val="Comment Text Char"/>
    <w:basedOn w:val="DefaultParagraphFont"/>
    <w:link w:val="CommentText"/>
    <w:uiPriority w:val="99"/>
    <w:semiHidden/>
    <w:rsid w:val="008C3D30"/>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C3D30"/>
    <w:rPr>
      <w:b/>
      <w:bCs/>
    </w:rPr>
  </w:style>
  <w:style w:type="character" w:customStyle="1" w:styleId="CommentSubjectChar">
    <w:name w:val="Comment Subject Char"/>
    <w:basedOn w:val="CommentTextChar"/>
    <w:link w:val="CommentSubject"/>
    <w:uiPriority w:val="99"/>
    <w:semiHidden/>
    <w:rsid w:val="008C3D30"/>
    <w:rPr>
      <w:rFonts w:ascii="Times New Roman" w:eastAsia="Calibri"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8969</Words>
  <Characters>5113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Ance Ance</cp:lastModifiedBy>
  <cp:revision>10</cp:revision>
  <dcterms:created xsi:type="dcterms:W3CDTF">2021-01-29T11:09:00Z</dcterms:created>
  <dcterms:modified xsi:type="dcterms:W3CDTF">2021-02-08T20:27:00Z</dcterms:modified>
</cp:coreProperties>
</file>