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89068" w14:textId="77777777" w:rsidR="00F93DBB" w:rsidRPr="003350F2" w:rsidRDefault="007F717E" w:rsidP="009E29B8">
      <w:pPr>
        <w:ind w:left="-284" w:right="-257"/>
        <w:jc w:val="center"/>
        <w:rPr>
          <w:b/>
          <w:sz w:val="26"/>
          <w:szCs w:val="26"/>
        </w:rPr>
      </w:pPr>
      <w:bookmarkStart w:id="0" w:name="OLE_LINK3"/>
      <w:bookmarkStart w:id="1" w:name="OLE_LINK4"/>
      <w:bookmarkStart w:id="2" w:name="OLE_LINK1"/>
      <w:r>
        <w:rPr>
          <w:b/>
          <w:sz w:val="26"/>
          <w:szCs w:val="26"/>
        </w:rPr>
        <w:t>Ministru</w:t>
      </w:r>
      <w:r w:rsidR="00F93DBB" w:rsidRPr="003350F2">
        <w:rPr>
          <w:b/>
          <w:sz w:val="26"/>
          <w:szCs w:val="26"/>
        </w:rPr>
        <w:t xml:space="preserve"> kabineta rīkojuma projekta</w:t>
      </w:r>
    </w:p>
    <w:p w14:paraId="7D98DEF0" w14:textId="77777777" w:rsidR="00761B03" w:rsidRDefault="00A95AA2" w:rsidP="009E29B8">
      <w:pPr>
        <w:ind w:left="-284" w:right="-257"/>
        <w:jc w:val="center"/>
        <w:rPr>
          <w:b/>
          <w:sz w:val="26"/>
          <w:szCs w:val="26"/>
        </w:rPr>
      </w:pPr>
      <w:r w:rsidRPr="003350F2">
        <w:rPr>
          <w:b/>
          <w:sz w:val="26"/>
          <w:szCs w:val="26"/>
        </w:rPr>
        <w:t>„</w:t>
      </w:r>
      <w:r w:rsidR="00E26C13">
        <w:rPr>
          <w:b/>
          <w:sz w:val="26"/>
          <w:szCs w:val="26"/>
        </w:rPr>
        <w:t xml:space="preserve">Par </w:t>
      </w:r>
      <w:r w:rsidR="00376610" w:rsidRPr="00376610">
        <w:rPr>
          <w:b/>
          <w:sz w:val="26"/>
          <w:szCs w:val="26"/>
        </w:rPr>
        <w:t>dāvinājuma pieņemšanu attālināta mācību procesa nodrošināšanai</w:t>
      </w:r>
      <w:r w:rsidR="00F93DBB" w:rsidRPr="003350F2">
        <w:rPr>
          <w:b/>
          <w:sz w:val="26"/>
          <w:szCs w:val="26"/>
        </w:rPr>
        <w:t>”</w:t>
      </w:r>
      <w:r w:rsidR="00376610">
        <w:rPr>
          <w:b/>
          <w:sz w:val="26"/>
          <w:szCs w:val="26"/>
        </w:rPr>
        <w:t xml:space="preserve"> </w:t>
      </w:r>
      <w:r w:rsidR="00F93DBB" w:rsidRPr="003350F2">
        <w:rPr>
          <w:b/>
          <w:sz w:val="26"/>
          <w:szCs w:val="26"/>
        </w:rPr>
        <w:t>sākotnējās ietekmes novērtējuma ziņojums (anotācija)</w:t>
      </w:r>
    </w:p>
    <w:p w14:paraId="6CAD925F" w14:textId="77777777"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14:paraId="66852689" w14:textId="77777777" w:rsidTr="00AF3BA2">
        <w:tc>
          <w:tcPr>
            <w:tcW w:w="9918" w:type="dxa"/>
            <w:gridSpan w:val="2"/>
            <w:vAlign w:val="center"/>
          </w:tcPr>
          <w:p w14:paraId="59D54A02" w14:textId="77777777" w:rsidR="00717D4B" w:rsidRPr="003350F2" w:rsidRDefault="00717D4B" w:rsidP="00AF3BA2">
            <w:pPr>
              <w:pStyle w:val="naisnod"/>
              <w:spacing w:before="0" w:after="0"/>
            </w:pPr>
            <w:r w:rsidRPr="003350F2">
              <w:t>Tiesību akta projekta anotācijas kopsavilkums</w:t>
            </w:r>
          </w:p>
        </w:tc>
      </w:tr>
      <w:tr w:rsidR="00667437" w:rsidRPr="003350F2" w14:paraId="4837FF8A" w14:textId="77777777" w:rsidTr="00AF3BA2">
        <w:trPr>
          <w:trHeight w:val="476"/>
        </w:trPr>
        <w:tc>
          <w:tcPr>
            <w:tcW w:w="3256" w:type="dxa"/>
            <w:tcBorders>
              <w:bottom w:val="single" w:sz="4" w:space="0" w:color="auto"/>
            </w:tcBorders>
          </w:tcPr>
          <w:p w14:paraId="1D24409F" w14:textId="77777777" w:rsidR="00667437" w:rsidRPr="00545CF0" w:rsidRDefault="00667437" w:rsidP="00667437">
            <w:pPr>
              <w:pStyle w:val="naiskr"/>
              <w:spacing w:before="0" w:after="0"/>
              <w:ind w:left="141"/>
            </w:pPr>
            <w:r w:rsidRPr="00545CF0">
              <w:t>Mērķis, risinājums un projekta spēkā stāšanās laiks (500 zīmes bez atstarpēm)</w:t>
            </w:r>
          </w:p>
        </w:tc>
        <w:tc>
          <w:tcPr>
            <w:tcW w:w="6662" w:type="dxa"/>
            <w:tcBorders>
              <w:bottom w:val="single" w:sz="4" w:space="0" w:color="auto"/>
            </w:tcBorders>
          </w:tcPr>
          <w:p w14:paraId="12CFC7FD" w14:textId="23032D30" w:rsidR="00A134C4" w:rsidRPr="00545CF0" w:rsidRDefault="002F1581" w:rsidP="00D549F7">
            <w:pPr>
              <w:ind w:left="82" w:right="141"/>
              <w:jc w:val="both"/>
            </w:pPr>
            <w:r w:rsidRPr="00545CF0">
              <w:t>Projekta mērķis ir</w:t>
            </w:r>
            <w:r w:rsidR="000A0866" w:rsidRPr="00545CF0">
              <w:t xml:space="preserve"> atļaut Izglītības un zinātnes ministrijai</w:t>
            </w:r>
            <w:r w:rsidRPr="00545CF0">
              <w:t xml:space="preserve"> </w:t>
            </w:r>
            <w:r w:rsidR="000A0866" w:rsidRPr="00545CF0">
              <w:t>pieņemt no</w:t>
            </w:r>
            <w:r w:rsidR="000A0866" w:rsidRPr="00545CF0">
              <w:rPr>
                <w:color w:val="000000"/>
              </w:rPr>
              <w:t xml:space="preserve"> sabiedrības ar ierobežotu atbildību „Baltijas Informācijas Tehnoloģijas”</w:t>
            </w:r>
            <w:r w:rsidR="00620EDA" w:rsidRPr="00545CF0">
              <w:t xml:space="preserve"> dāvinājumu 92 klēpjdatorus,</w:t>
            </w:r>
            <w:r w:rsidR="00620EDA" w:rsidRPr="00545CF0">
              <w:rPr>
                <w:color w:val="000000"/>
              </w:rPr>
              <w:t xml:space="preserve"> </w:t>
            </w:r>
            <w:r w:rsidR="000A0866" w:rsidRPr="00545CF0">
              <w:rPr>
                <w:color w:val="000000"/>
              </w:rPr>
              <w:t xml:space="preserve">lai </w:t>
            </w:r>
            <w:r w:rsidRPr="00545CF0">
              <w:t>rast</w:t>
            </w:r>
            <w:r w:rsidR="000A0866" w:rsidRPr="00545CF0">
              <w:t>u</w:t>
            </w:r>
            <w:r w:rsidRPr="00545CF0">
              <w:t xml:space="preserve"> risinājumu pašreizējai problemātikai saistībā ar</w:t>
            </w:r>
            <w:r w:rsidR="004A1FB5" w:rsidRPr="00545CF0">
              <w:t xml:space="preserve"> nepietiekamo materiāli tehnisko nodrošinājumu vispārējās pamat</w:t>
            </w:r>
            <w:r w:rsidR="00545CF0">
              <w:t>izglītības</w:t>
            </w:r>
            <w:r w:rsidR="004A1FB5" w:rsidRPr="00545CF0">
              <w:t xml:space="preserve"> un </w:t>
            </w:r>
            <w:r w:rsidR="00545CF0">
              <w:t xml:space="preserve">vispārējās </w:t>
            </w:r>
            <w:r w:rsidR="004A1FB5" w:rsidRPr="00545CF0">
              <w:t xml:space="preserve">vidējās izglītības iestāžu izglītojamiem, lai Covid-19 izplatības ierobežošanai visā valsts teritorijā izsludinātās ārkārtējās situācijas </w:t>
            </w:r>
            <w:r w:rsidR="00141676" w:rsidRPr="00545CF0">
              <w:t>(</w:t>
            </w:r>
            <w:r w:rsidR="000A0866" w:rsidRPr="00545CF0">
              <w:t xml:space="preserve">Ministru kabineta </w:t>
            </w:r>
            <w:r w:rsidR="000A0866" w:rsidRPr="00545CF0">
              <w:rPr>
                <w:bCs/>
              </w:rPr>
              <w:t>2020. gada 6. novembra rīkojum</w:t>
            </w:r>
            <w:r w:rsidR="00620EDA" w:rsidRPr="00545CF0">
              <w:rPr>
                <w:bCs/>
              </w:rPr>
              <w:t>s</w:t>
            </w:r>
            <w:r w:rsidR="000A0866" w:rsidRPr="00545CF0">
              <w:rPr>
                <w:bCs/>
              </w:rPr>
              <w:t xml:space="preserve"> Nr. 655 “</w:t>
            </w:r>
            <w:r w:rsidR="000A0866" w:rsidRPr="00545CF0">
              <w:t xml:space="preserve">Par ārkārtējās situācijas </w:t>
            </w:r>
            <w:r w:rsidR="000A0866" w:rsidRPr="004B6165">
              <w:t>izsludināšanu”</w:t>
            </w:r>
            <w:r w:rsidR="00040651" w:rsidRPr="004B6165">
              <w:t xml:space="preserve"> 5.13.2. apakšpunkts</w:t>
            </w:r>
            <w:r w:rsidR="00141676" w:rsidRPr="004B6165">
              <w:t xml:space="preserve">) </w:t>
            </w:r>
            <w:r w:rsidR="004A1FB5" w:rsidRPr="004B6165">
              <w:t>laikā varētu nodrošināt attālinātu mācību procesu</w:t>
            </w:r>
            <w:r w:rsidR="00620EDA" w:rsidRPr="004B6165">
              <w:t>.</w:t>
            </w:r>
            <w:r w:rsidR="00D549F7" w:rsidRPr="004B6165">
              <w:t xml:space="preserve"> </w:t>
            </w:r>
            <w:r w:rsidR="00A134C4" w:rsidRPr="004B6165">
              <w:rPr>
                <w:rFonts w:eastAsia="Times New Roman"/>
              </w:rPr>
              <w:t>Rīkojuma projekts stāsies spēkā pēc tā pieņemšanas Ministru kabinetā.</w:t>
            </w:r>
          </w:p>
        </w:tc>
      </w:tr>
    </w:tbl>
    <w:p w14:paraId="275327AD" w14:textId="77777777"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159"/>
      </w:tblGrid>
      <w:tr w:rsidR="00585B7B" w:rsidRPr="003350F2" w14:paraId="1587EC31" w14:textId="77777777" w:rsidTr="006B561A">
        <w:tc>
          <w:tcPr>
            <w:tcW w:w="9918" w:type="dxa"/>
            <w:gridSpan w:val="3"/>
            <w:vAlign w:val="center"/>
          </w:tcPr>
          <w:bookmarkEnd w:id="0"/>
          <w:bookmarkEnd w:id="1"/>
          <w:bookmarkEnd w:id="2"/>
          <w:p w14:paraId="3C25E9D2" w14:textId="77777777" w:rsidR="00585B7B" w:rsidRPr="003350F2" w:rsidRDefault="00585B7B" w:rsidP="00194A0F">
            <w:pPr>
              <w:pStyle w:val="naisnod"/>
              <w:spacing w:before="0" w:after="0"/>
            </w:pPr>
            <w:r w:rsidRPr="003350F2">
              <w:t>I. Tiesību akta projekta izstrādes nepieciešamība</w:t>
            </w:r>
          </w:p>
        </w:tc>
      </w:tr>
      <w:tr w:rsidR="00585B7B" w:rsidRPr="003350F2" w14:paraId="358EF9B2" w14:textId="77777777" w:rsidTr="00283C73">
        <w:trPr>
          <w:trHeight w:val="630"/>
        </w:trPr>
        <w:tc>
          <w:tcPr>
            <w:tcW w:w="491" w:type="dxa"/>
          </w:tcPr>
          <w:p w14:paraId="1A7CD18B" w14:textId="77777777" w:rsidR="00585B7B" w:rsidRPr="003350F2" w:rsidRDefault="00585B7B" w:rsidP="00BD696A">
            <w:pPr>
              <w:pStyle w:val="naiskr"/>
              <w:spacing w:before="0" w:after="0"/>
              <w:jc w:val="center"/>
            </w:pPr>
            <w:r w:rsidRPr="003350F2">
              <w:t>1.</w:t>
            </w:r>
          </w:p>
        </w:tc>
        <w:tc>
          <w:tcPr>
            <w:tcW w:w="2268" w:type="dxa"/>
          </w:tcPr>
          <w:p w14:paraId="417F8EBF" w14:textId="77777777"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7159" w:type="dxa"/>
          </w:tcPr>
          <w:p w14:paraId="559419A4" w14:textId="77777777" w:rsidR="00376610" w:rsidRDefault="00376610" w:rsidP="006F2E8A">
            <w:pPr>
              <w:pStyle w:val="ListParagraph"/>
              <w:numPr>
                <w:ilvl w:val="0"/>
                <w:numId w:val="26"/>
              </w:numPr>
              <w:ind w:right="142"/>
              <w:jc w:val="both"/>
            </w:pPr>
            <w:r>
              <w:t>Izglītības un zinātnes ministrijas iniciatīva.</w:t>
            </w:r>
          </w:p>
          <w:p w14:paraId="2DA883C4" w14:textId="77777777" w:rsidR="006F2E8A" w:rsidRDefault="006F2E8A" w:rsidP="006F2E8A">
            <w:pPr>
              <w:pStyle w:val="ListParagraph"/>
              <w:numPr>
                <w:ilvl w:val="0"/>
                <w:numId w:val="26"/>
              </w:numPr>
              <w:ind w:right="142"/>
              <w:jc w:val="both"/>
            </w:pPr>
            <w:r w:rsidRPr="00577F4A">
              <w:t xml:space="preserve">Nepieciešamība </w:t>
            </w:r>
            <w:r w:rsidR="000E2DC8">
              <w:t>Covid-19 izplatības ierobežošanai visā valsts teritorijā izsludinātās ārkārtējās situācijas laikā nodrošināt attālinātu mācību procesu</w:t>
            </w:r>
            <w:r>
              <w:t>.</w:t>
            </w:r>
          </w:p>
          <w:p w14:paraId="34D3D237" w14:textId="582D961E" w:rsidR="000A0866" w:rsidRDefault="000A0866" w:rsidP="00AC06F4">
            <w:pPr>
              <w:pStyle w:val="ListParagraph"/>
              <w:numPr>
                <w:ilvl w:val="0"/>
                <w:numId w:val="26"/>
              </w:numPr>
              <w:ind w:right="142"/>
              <w:jc w:val="both"/>
            </w:pPr>
            <w:r>
              <w:t xml:space="preserve">Ministru kabineta </w:t>
            </w:r>
            <w:r w:rsidRPr="00134E97">
              <w:rPr>
                <w:bCs/>
              </w:rPr>
              <w:t>2020. gada 6. novembra rīkojuma Nr.</w:t>
            </w:r>
            <w:r>
              <w:rPr>
                <w:bCs/>
              </w:rPr>
              <w:t> </w:t>
            </w:r>
            <w:r w:rsidRPr="00134E97">
              <w:rPr>
                <w:bCs/>
              </w:rPr>
              <w:t>655 “</w:t>
            </w:r>
            <w:r w:rsidRPr="00134E97">
              <w:t>Par ārkārtējās situācijas izsludināšanu</w:t>
            </w:r>
            <w:r w:rsidRPr="004B6165">
              <w:t>”</w:t>
            </w:r>
            <w:r w:rsidR="00EA6827" w:rsidRPr="004B6165">
              <w:t xml:space="preserve"> 5.13.2.apakšpunkts.</w:t>
            </w:r>
          </w:p>
          <w:p w14:paraId="3D3463EB" w14:textId="77777777" w:rsidR="00AC06F4" w:rsidRPr="00DF192A" w:rsidRDefault="00AC06F4" w:rsidP="00AC06F4">
            <w:pPr>
              <w:pStyle w:val="ListParagraph"/>
              <w:numPr>
                <w:ilvl w:val="0"/>
                <w:numId w:val="26"/>
              </w:numPr>
              <w:ind w:right="142"/>
              <w:jc w:val="both"/>
            </w:pPr>
            <w:r w:rsidRPr="00DF192A">
              <w:t>Likuma „Par ārkārtējo situāciju un izņēmuma stāvokli” 8. panta pirmās daļas 4. punkts.</w:t>
            </w:r>
          </w:p>
          <w:p w14:paraId="1DEA0358" w14:textId="6C716484" w:rsidR="006F2E8A" w:rsidRPr="003350F2" w:rsidRDefault="00376610" w:rsidP="00E26C13">
            <w:pPr>
              <w:pStyle w:val="ListParagraph"/>
              <w:numPr>
                <w:ilvl w:val="0"/>
                <w:numId w:val="26"/>
              </w:numPr>
              <w:ind w:right="142"/>
              <w:jc w:val="both"/>
            </w:pPr>
            <w:r>
              <w:t>Nepiec</w:t>
            </w:r>
            <w:r w:rsidR="00E26C13">
              <w:t>iešamība pieņemt dāvinājumu (92</w:t>
            </w:r>
            <w:r w:rsidR="00E60D40">
              <w:t xml:space="preserve"> klēpjdatorus</w:t>
            </w:r>
            <w:r>
              <w:t>).</w:t>
            </w:r>
            <w:r w:rsidRPr="00B24229">
              <w:t xml:space="preserve"> </w:t>
            </w:r>
          </w:p>
        </w:tc>
      </w:tr>
      <w:tr w:rsidR="00585B7B" w:rsidRPr="003350F2" w14:paraId="32308435" w14:textId="77777777" w:rsidTr="00283C73">
        <w:trPr>
          <w:trHeight w:val="562"/>
        </w:trPr>
        <w:tc>
          <w:tcPr>
            <w:tcW w:w="491" w:type="dxa"/>
          </w:tcPr>
          <w:p w14:paraId="490DFA61" w14:textId="77777777" w:rsidR="00585B7B" w:rsidRPr="003350F2" w:rsidRDefault="00585B7B" w:rsidP="00BD696A">
            <w:pPr>
              <w:pStyle w:val="naiskr"/>
              <w:spacing w:before="0" w:after="0"/>
              <w:jc w:val="center"/>
            </w:pPr>
            <w:r w:rsidRPr="003350F2">
              <w:t>2.</w:t>
            </w:r>
          </w:p>
        </w:tc>
        <w:tc>
          <w:tcPr>
            <w:tcW w:w="2268" w:type="dxa"/>
          </w:tcPr>
          <w:p w14:paraId="384B377A" w14:textId="77777777"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14:paraId="389C0DCD" w14:textId="77777777" w:rsidR="00955825" w:rsidRPr="003350F2" w:rsidRDefault="00955825" w:rsidP="00955825"/>
          <w:p w14:paraId="55CA3A14" w14:textId="77777777" w:rsidR="00585B7B" w:rsidRPr="003350F2" w:rsidRDefault="00585B7B" w:rsidP="00955825">
            <w:pPr>
              <w:ind w:firstLine="720"/>
            </w:pPr>
          </w:p>
        </w:tc>
        <w:tc>
          <w:tcPr>
            <w:tcW w:w="7159" w:type="dxa"/>
          </w:tcPr>
          <w:p w14:paraId="4A22EB7B" w14:textId="2C839EDA" w:rsidR="00DF192A" w:rsidRDefault="00052555" w:rsidP="00CB4752">
            <w:pPr>
              <w:ind w:left="106" w:right="142"/>
              <w:jc w:val="both"/>
            </w:pPr>
            <w:r>
              <w:tab/>
            </w:r>
            <w:r w:rsidR="005A30EC">
              <w:t xml:space="preserve">Lai ierobežotu </w:t>
            </w:r>
            <w:r w:rsidR="00501F0F" w:rsidRPr="00501F0F">
              <w:t>Covid-19 izplatību</w:t>
            </w:r>
            <w:r w:rsidR="00501F0F">
              <w:t xml:space="preserve">, ar </w:t>
            </w:r>
            <w:r w:rsidR="00DF192A" w:rsidRPr="00134E97">
              <w:rPr>
                <w:bCs/>
              </w:rPr>
              <w:t>2020. gada 6. novembra rīkojuma Nr.</w:t>
            </w:r>
            <w:r w:rsidR="00DF192A">
              <w:rPr>
                <w:bCs/>
              </w:rPr>
              <w:t> </w:t>
            </w:r>
            <w:r w:rsidR="00DF192A" w:rsidRPr="00134E97">
              <w:rPr>
                <w:bCs/>
              </w:rPr>
              <w:t>655 “</w:t>
            </w:r>
            <w:r w:rsidR="00DF192A" w:rsidRPr="00134E97">
              <w:t>Par ārkārtējās situācijas izsludināšanu</w:t>
            </w:r>
            <w:r w:rsidR="00DF192A" w:rsidRPr="00141676">
              <w:t xml:space="preserve"> </w:t>
            </w:r>
            <w:r w:rsidR="00501F0F" w:rsidRPr="00141676">
              <w:t>”</w:t>
            </w:r>
            <w:r w:rsidR="00501F0F">
              <w:t xml:space="preserve"> (turpmāk – Rīkojums) </w:t>
            </w:r>
            <w:r w:rsidR="00501F0F" w:rsidRPr="00501F0F">
              <w:t>līdz 202</w:t>
            </w:r>
            <w:r w:rsidR="00DF192A">
              <w:t>1</w:t>
            </w:r>
            <w:r w:rsidR="00501F0F" w:rsidRPr="00501F0F">
              <w:t xml:space="preserve">. gada </w:t>
            </w:r>
            <w:r w:rsidR="00DF192A">
              <w:t>7.februārim</w:t>
            </w:r>
            <w:r w:rsidR="00501F0F" w:rsidRPr="00501F0F">
              <w:t xml:space="preserve"> </w:t>
            </w:r>
            <w:r w:rsidR="00501F0F">
              <w:t xml:space="preserve">visā valsts teritorijā ir izsludināta ārkārtējā situācija. </w:t>
            </w:r>
            <w:r w:rsidR="00894C82">
              <w:t>Ar</w:t>
            </w:r>
            <w:r w:rsidR="005A30EC">
              <w:t xml:space="preserve"> </w:t>
            </w:r>
            <w:r w:rsidR="00501F0F">
              <w:t xml:space="preserve">Rīkojuma </w:t>
            </w:r>
            <w:r w:rsidR="00DF192A">
              <w:t>5</w:t>
            </w:r>
            <w:r w:rsidR="00501F0F" w:rsidRPr="00501F0F">
              <w:t>.</w:t>
            </w:r>
            <w:r w:rsidR="00DF192A">
              <w:t>1</w:t>
            </w:r>
            <w:r w:rsidR="00501F0F" w:rsidRPr="00501F0F">
              <w:t>3.</w:t>
            </w:r>
            <w:r w:rsidR="00DF192A">
              <w:t>2</w:t>
            </w:r>
            <w:r w:rsidR="000F0255">
              <w:t>. </w:t>
            </w:r>
            <w:r w:rsidR="005A30EC">
              <w:t xml:space="preserve">apakšpunktu ārkārtējās situācijas laikā ir </w:t>
            </w:r>
            <w:r w:rsidR="00501F0F" w:rsidRPr="00501F0F">
              <w:t>pārtraukt</w:t>
            </w:r>
            <w:r w:rsidR="005A30EC">
              <w:t>a mācību procesa norise</w:t>
            </w:r>
            <w:r w:rsidR="00501F0F" w:rsidRPr="00501F0F">
              <w:t xml:space="preserve"> klātienē visās izglītības iestādēs un </w:t>
            </w:r>
            <w:r w:rsidR="005A30EC">
              <w:t xml:space="preserve">uzdots </w:t>
            </w:r>
            <w:r w:rsidR="00501F0F" w:rsidRPr="00501F0F">
              <w:t xml:space="preserve">nodrošināt mācības </w:t>
            </w:r>
            <w:r w:rsidR="005A30EC">
              <w:t xml:space="preserve">īstenot </w:t>
            </w:r>
            <w:r w:rsidR="00501F0F" w:rsidRPr="00501F0F">
              <w:t xml:space="preserve">attālināti. </w:t>
            </w:r>
          </w:p>
          <w:p w14:paraId="6A572586" w14:textId="7EB86A18" w:rsidR="000F0255" w:rsidRDefault="00894C82" w:rsidP="00C050EB">
            <w:pPr>
              <w:ind w:left="106" w:right="142"/>
              <w:jc w:val="both"/>
              <w:rPr>
                <w:rFonts w:ascii="Arial" w:hAnsi="Arial" w:cs="Arial"/>
                <w:color w:val="414142"/>
                <w:sz w:val="20"/>
                <w:szCs w:val="20"/>
              </w:rPr>
            </w:pPr>
            <w:r w:rsidRPr="00894C82">
              <w:t>Būtisks faktors veiksmīg</w:t>
            </w:r>
            <w:r>
              <w:t>a attālināta</w:t>
            </w:r>
            <w:r w:rsidRPr="00894C82">
              <w:t xml:space="preserve"> mācību</w:t>
            </w:r>
            <w:r>
              <w:t xml:space="preserve"> procesa īstenošanai ir </w:t>
            </w:r>
            <w:r w:rsidR="00455240">
              <w:t>iekārtu</w:t>
            </w:r>
            <w:r w:rsidRPr="00894C82">
              <w:t xml:space="preserve"> pieejamība izglītojamiem un pedagogiem.</w:t>
            </w:r>
            <w:r>
              <w:t xml:space="preserve"> </w:t>
            </w:r>
            <w:r w:rsidR="000F0255">
              <w:t>Izglītības un zinātnes ministrija</w:t>
            </w:r>
            <w:r w:rsidR="00C050EB">
              <w:t>,</w:t>
            </w:r>
            <w:r w:rsidR="000F0255">
              <w:t xml:space="preserve"> pam</w:t>
            </w:r>
            <w:r w:rsidR="00C050EB">
              <w:t>a</w:t>
            </w:r>
            <w:r w:rsidR="000F0255">
              <w:t>tojoties uz Min</w:t>
            </w:r>
            <w:r w:rsidR="00620EDA">
              <w:t>is</w:t>
            </w:r>
            <w:r w:rsidR="003445C6">
              <w:t>tru kabi</w:t>
            </w:r>
            <w:r w:rsidR="000F0255">
              <w:t>n</w:t>
            </w:r>
            <w:r w:rsidR="003445C6">
              <w:t>e</w:t>
            </w:r>
            <w:r w:rsidR="000F0255">
              <w:t>ta 202</w:t>
            </w:r>
            <w:r w:rsidR="007E6B2F">
              <w:t>0</w:t>
            </w:r>
            <w:r w:rsidR="000F0255">
              <w:t>.gada 16.septemb</w:t>
            </w:r>
            <w:r w:rsidR="00620EDA">
              <w:t>r</w:t>
            </w:r>
            <w:r w:rsidR="000F0255">
              <w:t>a rīkojumu N</w:t>
            </w:r>
            <w:r w:rsidR="00ED366E">
              <w:t>r. </w:t>
            </w:r>
            <w:r w:rsidR="00C050EB">
              <w:t xml:space="preserve">507 </w:t>
            </w:r>
            <w:r w:rsidR="00ED366E">
              <w:t>“</w:t>
            </w:r>
            <w:r w:rsidR="000F0255" w:rsidRPr="00C050EB">
              <w:t>Par finanšu līdzekļu piešķiršanu no valsts budžeta programmas "Līdzekļi neparedzētiem gadījumiem"</w:t>
            </w:r>
            <w:r w:rsidR="00620EDA">
              <w:t>”</w:t>
            </w:r>
            <w:r w:rsidR="00C050EB" w:rsidRPr="00C050EB">
              <w:t xml:space="preserve">, lai </w:t>
            </w:r>
            <w:r w:rsidR="000F0255" w:rsidRPr="00C050EB">
              <w:t>uzlabotu tehnoloģisko nodrošinājumu vispārējās izglītības iestādēs un mazinātu Covid-19 krīzes radīto negatīvo seku ietekmi uz izglītības nozari</w:t>
            </w:r>
            <w:r w:rsidR="00C050EB">
              <w:t xml:space="preserve">, iegādājās un 2020.gada decembrī un janvārī nodeva pašvaldībām </w:t>
            </w:r>
            <w:r w:rsidR="00C050EB" w:rsidRPr="00C558E7">
              <w:t>kopumā 626</w:t>
            </w:r>
            <w:r w:rsidR="00F05B17" w:rsidRPr="00C558E7">
              <w:t>1</w:t>
            </w:r>
            <w:r w:rsidR="00C050EB" w:rsidRPr="00C558E7">
              <w:t xml:space="preserve"> portatīvos datorus.</w:t>
            </w:r>
          </w:p>
          <w:p w14:paraId="2C477C25" w14:textId="77777777" w:rsidR="000F0255" w:rsidRDefault="000F0255" w:rsidP="00CB4752">
            <w:pPr>
              <w:ind w:left="106" w:right="142"/>
              <w:jc w:val="both"/>
            </w:pPr>
          </w:p>
          <w:p w14:paraId="367566D9" w14:textId="7EB4325D" w:rsidR="00F05B17" w:rsidRDefault="00F05B17" w:rsidP="003445C6">
            <w:pPr>
              <w:ind w:firstLine="212"/>
              <w:jc w:val="both"/>
            </w:pPr>
            <w:r>
              <w:t xml:space="preserve">Izglītības un zinātnes ministrija </w:t>
            </w:r>
            <w:r w:rsidR="00620EDA">
              <w:t xml:space="preserve">2021.gada 22.janvārī saņēma </w:t>
            </w:r>
            <w:r w:rsidR="00620EDA">
              <w:rPr>
                <w:color w:val="000000"/>
              </w:rPr>
              <w:t xml:space="preserve"> s</w:t>
            </w:r>
            <w:r w:rsidR="00620EDA" w:rsidRPr="000E1D70">
              <w:rPr>
                <w:color w:val="000000"/>
              </w:rPr>
              <w:t>abiedrības ar ierobežotu atbildību „Baltijas Informācijas Tehnoloģijas</w:t>
            </w:r>
            <w:r w:rsidR="00620EDA">
              <w:rPr>
                <w:color w:val="000000"/>
              </w:rPr>
              <w:t xml:space="preserve">” vēstuli “Par iekārtu dāvinājumu”, kurā uzņēmums norāda, ka dāvina 92 klēpjdatorus. </w:t>
            </w:r>
            <w:r w:rsidR="00620EDA">
              <w:t xml:space="preserve"> Izglītības un zinātnes ministrija  </w:t>
            </w:r>
            <w:r>
              <w:t xml:space="preserve">rosina dāvinājumā saņemtos klēpjdatorus piešķirt pašvaldībām (divās grupās – republikas pilsētas un novadu pašvaldības), kas nesaņēma atbalstu vai saņēma mazu atbalstu atbilstoši Rīkojuma anotācijā noteiktajam. Piešķirot šo papildus atbalstu Izglītības un zinātnes ministrija vērtēja, lai kopā pašvaldībai piešķirtu </w:t>
            </w:r>
            <w:r>
              <w:lastRenderedPageBreak/>
              <w:t xml:space="preserve">vismaz 11 portatīvās datortehnikas vienības (ja 11 vienības novadu pašvaldībām bija piešķirtas jau iepriekš, tad papildus atbalstu dāvinājuma ietvaros novadu pašvaldības nesaņem), bet tiek piešķirta datortehnika, lai datortehnikas vienību skaits vienā novadā nepārsniegtu 16% novada izglītības iestādēs reģistrēto izglītojamo 7.-12. klašu grupā uz 2020. gada 1.septembri. </w:t>
            </w:r>
          </w:p>
          <w:p w14:paraId="50F75465" w14:textId="77777777" w:rsidR="00F05B17" w:rsidRDefault="00F05B17" w:rsidP="003445C6">
            <w:pPr>
              <w:ind w:firstLine="212"/>
              <w:jc w:val="both"/>
            </w:pPr>
            <w:r>
              <w:t>Ventspils pilsētai, kura nesaņēma atbalstu atbilstoši rīkojumam, tiek piešķirtas 11 portatīvās datortehnikas vienības un 8 portatīvās datortehnikas tiek piešķirtas Liepājas pilsētai, kur datortehnikas vienības saņēma  mazāk kā 2%  no pilsētas izglītības iestādēs reģistrēto izglītojamo skaita</w:t>
            </w:r>
          </w:p>
          <w:p w14:paraId="7289D758" w14:textId="3F6E758D" w:rsidR="00F05B17" w:rsidRDefault="00F05B17" w:rsidP="00F05B17">
            <w:pPr>
              <w:ind w:firstLine="212"/>
              <w:jc w:val="both"/>
            </w:pPr>
            <w:r w:rsidRPr="004B6165">
              <w:t xml:space="preserve">Šos datorus </w:t>
            </w:r>
            <w:r w:rsidR="003D7186" w:rsidRPr="004B6165">
              <w:t xml:space="preserve">pašvaldības </w:t>
            </w:r>
            <w:r w:rsidRPr="004B6165">
              <w:t>nodod lietošanā pašvaldību dibinātajām izglītības iestādēm</w:t>
            </w:r>
            <w:r w:rsidR="003D7186" w:rsidRPr="004B6165">
              <w:t>.</w:t>
            </w:r>
            <w:r w:rsidR="00040651" w:rsidRPr="004B6165">
              <w:t xml:space="preserve"> Ministrija dāvinājumu</w:t>
            </w:r>
            <w:r w:rsidRPr="004B6165">
              <w:t xml:space="preserve"> nod</w:t>
            </w:r>
            <w:r w:rsidR="00040651" w:rsidRPr="004B6165">
              <w:t>o</w:t>
            </w:r>
            <w:r w:rsidRPr="004B6165">
              <w:t>s</w:t>
            </w:r>
            <w:r>
              <w:t xml:space="preserve"> pašvaldībām atbilstoši šādam </w:t>
            </w:r>
            <w:r w:rsidR="00C558E7">
              <w:t>sadalījumam</w:t>
            </w:r>
            <w:r>
              <w:t>:</w:t>
            </w:r>
          </w:p>
          <w:tbl>
            <w:tblPr>
              <w:tblW w:w="3965" w:type="dxa"/>
              <w:tblLook w:val="04A0" w:firstRow="1" w:lastRow="0" w:firstColumn="1" w:lastColumn="0" w:noHBand="0" w:noVBand="1"/>
            </w:tblPr>
            <w:tblGrid>
              <w:gridCol w:w="2405"/>
              <w:gridCol w:w="1560"/>
            </w:tblGrid>
            <w:tr w:rsidR="00F05B17" w:rsidRPr="00944154" w14:paraId="6DB5328D" w14:textId="77777777" w:rsidTr="0034199A">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73944"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Pašvaldība</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EFCA790" w14:textId="77777777" w:rsidR="00F05B17" w:rsidRPr="00944154" w:rsidRDefault="00F05B17" w:rsidP="0034286C">
                  <w:pPr>
                    <w:framePr w:hSpace="180" w:wrap="around" w:vAnchor="text" w:hAnchor="margin" w:xAlign="center" w:y="149"/>
                    <w:jc w:val="center"/>
                    <w:rPr>
                      <w:rFonts w:eastAsia="Times New Roman"/>
                      <w:lang w:val="en-GB" w:eastAsia="en-GB"/>
                    </w:rPr>
                  </w:pPr>
                  <w:proofErr w:type="spellStart"/>
                  <w:r w:rsidRPr="00944154">
                    <w:rPr>
                      <w:rFonts w:eastAsia="Times New Roman"/>
                      <w:lang w:val="en-GB" w:eastAsia="en-GB"/>
                    </w:rPr>
                    <w:t>Datoru</w:t>
                  </w:r>
                  <w:proofErr w:type="spellEnd"/>
                  <w:r w:rsidRPr="00944154">
                    <w:rPr>
                      <w:rFonts w:eastAsia="Times New Roman"/>
                      <w:lang w:val="en-GB" w:eastAsia="en-GB"/>
                    </w:rPr>
                    <w:t xml:space="preserve"> </w:t>
                  </w:r>
                  <w:proofErr w:type="spellStart"/>
                  <w:r w:rsidRPr="00944154">
                    <w:rPr>
                      <w:rFonts w:eastAsia="Times New Roman"/>
                      <w:lang w:val="en-GB" w:eastAsia="en-GB"/>
                    </w:rPr>
                    <w:t>skaits</w:t>
                  </w:r>
                  <w:proofErr w:type="spellEnd"/>
                </w:p>
              </w:tc>
            </w:tr>
            <w:tr w:rsidR="00F05B17" w:rsidRPr="00944154" w14:paraId="402019C1" w14:textId="77777777" w:rsidTr="0034199A">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13326"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Ādažu</w:t>
                  </w:r>
                  <w:proofErr w:type="spellEnd"/>
                  <w:r w:rsidRPr="00944154">
                    <w:rPr>
                      <w:rFonts w:eastAsia="Times New Roman"/>
                      <w:lang w:val="en-GB" w:eastAsia="en-GB"/>
                    </w:rPr>
                    <w:t xml:space="preserve"> </w:t>
                  </w:r>
                  <w:proofErr w:type="spellStart"/>
                  <w:r w:rsidRPr="00944154">
                    <w:rPr>
                      <w:rFonts w:eastAsia="Times New Roman"/>
                      <w:lang w:val="en-GB" w:eastAsia="en-GB"/>
                    </w:rPr>
                    <w:t>novads</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F4103F"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11</w:t>
                  </w:r>
                </w:p>
              </w:tc>
            </w:tr>
            <w:tr w:rsidR="00F05B17" w:rsidRPr="00944154" w14:paraId="401CFE99" w14:textId="77777777" w:rsidTr="0034199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A88C4ED"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Pr>
                      <w:rFonts w:eastAsia="Times New Roman"/>
                      <w:lang w:val="en-GB" w:eastAsia="en-GB"/>
                    </w:rPr>
                    <w:t>Lu</w:t>
                  </w:r>
                  <w:r w:rsidRPr="00944154">
                    <w:rPr>
                      <w:rFonts w:eastAsia="Times New Roman"/>
                      <w:lang w:val="en-GB" w:eastAsia="en-GB"/>
                    </w:rPr>
                    <w:t>dzas</w:t>
                  </w:r>
                  <w:proofErr w:type="spellEnd"/>
                  <w:r w:rsidRPr="00944154">
                    <w:rPr>
                      <w:rFonts w:eastAsia="Times New Roman"/>
                      <w:lang w:val="en-GB" w:eastAsia="en-GB"/>
                    </w:rPr>
                    <w:t xml:space="preserve"> </w:t>
                  </w:r>
                  <w:proofErr w:type="spellStart"/>
                  <w:r w:rsidRPr="00944154">
                    <w:rPr>
                      <w:rFonts w:eastAsia="Times New Roman"/>
                      <w:lang w:val="en-GB" w:eastAsia="en-GB"/>
                    </w:rPr>
                    <w:t>novads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5BF77A55"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7</w:t>
                  </w:r>
                </w:p>
              </w:tc>
            </w:tr>
            <w:tr w:rsidR="00F05B17" w:rsidRPr="00944154" w14:paraId="5F410266" w14:textId="77777777" w:rsidTr="0034199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36006C1"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Krāslavas</w:t>
                  </w:r>
                  <w:proofErr w:type="spellEnd"/>
                  <w:r w:rsidRPr="00944154">
                    <w:rPr>
                      <w:rFonts w:eastAsia="Times New Roman"/>
                      <w:lang w:val="en-GB" w:eastAsia="en-GB"/>
                    </w:rPr>
                    <w:t xml:space="preserve"> </w:t>
                  </w:r>
                  <w:proofErr w:type="spellStart"/>
                  <w:r w:rsidRPr="00944154">
                    <w:rPr>
                      <w:rFonts w:eastAsia="Times New Roman"/>
                      <w:lang w:val="en-GB" w:eastAsia="en-GB"/>
                    </w:rPr>
                    <w:t>novads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05EFE56C"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7</w:t>
                  </w:r>
                </w:p>
              </w:tc>
            </w:tr>
            <w:tr w:rsidR="00F05B17" w:rsidRPr="00944154" w14:paraId="56FE6F51" w14:textId="77777777" w:rsidTr="0034199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C05FCA9"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Ikšķiles</w:t>
                  </w:r>
                  <w:proofErr w:type="spellEnd"/>
                  <w:r w:rsidRPr="00944154">
                    <w:rPr>
                      <w:rFonts w:eastAsia="Times New Roman"/>
                      <w:lang w:val="en-GB" w:eastAsia="en-GB"/>
                    </w:rPr>
                    <w:t xml:space="preserve"> </w:t>
                  </w:r>
                  <w:proofErr w:type="spellStart"/>
                  <w:r w:rsidRPr="00944154">
                    <w:rPr>
                      <w:rFonts w:eastAsia="Times New Roman"/>
                      <w:lang w:val="en-GB" w:eastAsia="en-GB"/>
                    </w:rPr>
                    <w:t>novads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6CBAD807"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11</w:t>
                  </w:r>
                </w:p>
              </w:tc>
            </w:tr>
            <w:tr w:rsidR="00F05B17" w:rsidRPr="00944154" w14:paraId="7D4CDB3A" w14:textId="77777777" w:rsidTr="0034199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014A1E"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Aizkraukles</w:t>
                  </w:r>
                  <w:proofErr w:type="spellEnd"/>
                  <w:r w:rsidRPr="00944154">
                    <w:rPr>
                      <w:rFonts w:eastAsia="Times New Roman"/>
                      <w:lang w:val="en-GB" w:eastAsia="en-GB"/>
                    </w:rPr>
                    <w:t xml:space="preserve"> </w:t>
                  </w:r>
                  <w:proofErr w:type="spellStart"/>
                  <w:r w:rsidRPr="00944154">
                    <w:rPr>
                      <w:rFonts w:eastAsia="Times New Roman"/>
                      <w:lang w:val="en-GB" w:eastAsia="en-GB"/>
                    </w:rPr>
                    <w:t>novads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1E855CFB"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11</w:t>
                  </w:r>
                </w:p>
              </w:tc>
            </w:tr>
            <w:tr w:rsidR="00F05B17" w:rsidRPr="00944154" w14:paraId="6901855E" w14:textId="77777777" w:rsidTr="0034199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8833C4E"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Valkas</w:t>
                  </w:r>
                  <w:proofErr w:type="spellEnd"/>
                  <w:r w:rsidRPr="00944154">
                    <w:rPr>
                      <w:rFonts w:eastAsia="Times New Roman"/>
                      <w:lang w:val="en-GB" w:eastAsia="en-GB"/>
                    </w:rPr>
                    <w:t xml:space="preserve"> </w:t>
                  </w:r>
                  <w:proofErr w:type="spellStart"/>
                  <w:r w:rsidRPr="00944154">
                    <w:rPr>
                      <w:rFonts w:eastAsia="Times New Roman"/>
                      <w:lang w:val="en-GB" w:eastAsia="en-GB"/>
                    </w:rPr>
                    <w:t>novads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2DAD361B"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10</w:t>
                  </w:r>
                </w:p>
              </w:tc>
            </w:tr>
            <w:tr w:rsidR="00F05B17" w:rsidRPr="00944154" w14:paraId="27BBB282" w14:textId="77777777" w:rsidTr="0034199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666600"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Carnikavas</w:t>
                  </w:r>
                  <w:proofErr w:type="spellEnd"/>
                  <w:r w:rsidRPr="00944154">
                    <w:rPr>
                      <w:rFonts w:eastAsia="Times New Roman"/>
                      <w:lang w:val="en-GB" w:eastAsia="en-GB"/>
                    </w:rPr>
                    <w:t xml:space="preserve"> </w:t>
                  </w:r>
                  <w:proofErr w:type="spellStart"/>
                  <w:r w:rsidRPr="00944154">
                    <w:rPr>
                      <w:rFonts w:eastAsia="Times New Roman"/>
                      <w:lang w:val="en-GB" w:eastAsia="en-GB"/>
                    </w:rPr>
                    <w:t>novads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4563FBB2"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11</w:t>
                  </w:r>
                </w:p>
              </w:tc>
            </w:tr>
            <w:tr w:rsidR="00F05B17" w:rsidRPr="00944154" w14:paraId="640B0702" w14:textId="77777777" w:rsidTr="0034199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6BBECB5"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Rucavas</w:t>
                  </w:r>
                  <w:proofErr w:type="spellEnd"/>
                  <w:r w:rsidRPr="00944154">
                    <w:rPr>
                      <w:rFonts w:eastAsia="Times New Roman"/>
                      <w:lang w:val="en-GB" w:eastAsia="en-GB"/>
                    </w:rPr>
                    <w:t xml:space="preserve"> </w:t>
                  </w:r>
                  <w:proofErr w:type="spellStart"/>
                  <w:r w:rsidRPr="00944154">
                    <w:rPr>
                      <w:rFonts w:eastAsia="Times New Roman"/>
                      <w:lang w:val="en-GB" w:eastAsia="en-GB"/>
                    </w:rPr>
                    <w:t>novads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5274C088"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5</w:t>
                  </w:r>
                </w:p>
              </w:tc>
            </w:tr>
            <w:tr w:rsidR="00F05B17" w:rsidRPr="00944154" w14:paraId="6D678BAA" w14:textId="77777777" w:rsidTr="0034199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18BD42"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Liepāja</w:t>
                  </w:r>
                  <w:r>
                    <w:rPr>
                      <w:rFonts w:eastAsia="Times New Roman"/>
                      <w:lang w:val="en-GB" w:eastAsia="en-GB"/>
                    </w:rPr>
                    <w:t>s</w:t>
                  </w:r>
                  <w:proofErr w:type="spellEnd"/>
                  <w:r>
                    <w:rPr>
                      <w:rFonts w:eastAsia="Times New Roman"/>
                      <w:lang w:val="en-GB" w:eastAsia="en-GB"/>
                    </w:rPr>
                    <w:t xml:space="preserve"> </w:t>
                  </w:r>
                  <w:proofErr w:type="spellStart"/>
                  <w:r>
                    <w:rPr>
                      <w:rFonts w:eastAsia="Times New Roman"/>
                      <w:lang w:val="en-GB" w:eastAsia="en-GB"/>
                    </w:rPr>
                    <w:t>pilsēta</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4E21452C"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8</w:t>
                  </w:r>
                </w:p>
              </w:tc>
            </w:tr>
            <w:tr w:rsidR="00F05B17" w:rsidRPr="00944154" w14:paraId="147D99A7" w14:textId="77777777" w:rsidTr="0034199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865DB11" w14:textId="77777777" w:rsidR="00F05B17" w:rsidRPr="00944154" w:rsidRDefault="00F05B17" w:rsidP="0034286C">
                  <w:pPr>
                    <w:framePr w:hSpace="180" w:wrap="around" w:vAnchor="text" w:hAnchor="margin" w:xAlign="center" w:y="149"/>
                    <w:rPr>
                      <w:rFonts w:eastAsia="Times New Roman"/>
                      <w:lang w:val="en-GB" w:eastAsia="en-GB"/>
                    </w:rPr>
                  </w:pPr>
                  <w:proofErr w:type="spellStart"/>
                  <w:r w:rsidRPr="00944154">
                    <w:rPr>
                      <w:rFonts w:eastAsia="Times New Roman"/>
                      <w:lang w:val="en-GB" w:eastAsia="en-GB"/>
                    </w:rPr>
                    <w:t>Ventspils</w:t>
                  </w:r>
                  <w:proofErr w:type="spellEnd"/>
                  <w:r>
                    <w:rPr>
                      <w:rFonts w:eastAsia="Times New Roman"/>
                      <w:lang w:val="en-GB" w:eastAsia="en-GB"/>
                    </w:rPr>
                    <w:t xml:space="preserve"> </w:t>
                  </w:r>
                  <w:proofErr w:type="spellStart"/>
                  <w:r>
                    <w:rPr>
                      <w:rFonts w:eastAsia="Times New Roman"/>
                      <w:lang w:val="en-GB" w:eastAsia="en-GB"/>
                    </w:rPr>
                    <w:t>pilsēta</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3691DAA4" w14:textId="77777777" w:rsidR="00F05B17" w:rsidRPr="00944154" w:rsidRDefault="00F05B17" w:rsidP="0034286C">
                  <w:pPr>
                    <w:framePr w:hSpace="180" w:wrap="around" w:vAnchor="text" w:hAnchor="margin" w:xAlign="center" w:y="149"/>
                    <w:jc w:val="center"/>
                    <w:rPr>
                      <w:rFonts w:eastAsia="Times New Roman"/>
                      <w:lang w:val="en-GB" w:eastAsia="en-GB"/>
                    </w:rPr>
                  </w:pPr>
                  <w:r w:rsidRPr="00944154">
                    <w:rPr>
                      <w:rFonts w:eastAsia="Times New Roman"/>
                      <w:lang w:val="en-GB" w:eastAsia="en-GB"/>
                    </w:rPr>
                    <w:t>11</w:t>
                  </w:r>
                </w:p>
              </w:tc>
            </w:tr>
          </w:tbl>
          <w:p w14:paraId="3360D190" w14:textId="77777777" w:rsidR="00F05B17" w:rsidRDefault="00F05B17" w:rsidP="0060310F">
            <w:pPr>
              <w:ind w:left="106" w:right="142"/>
              <w:jc w:val="both"/>
            </w:pPr>
          </w:p>
          <w:p w14:paraId="09042ADC" w14:textId="251B0CBD" w:rsidR="00E87016" w:rsidRDefault="00376610" w:rsidP="00C558E7">
            <w:pPr>
              <w:ind w:left="106" w:right="142"/>
              <w:jc w:val="both"/>
            </w:pPr>
            <w:r w:rsidRPr="00B24229">
              <w:t>Atbilstoši Civillikuma 1912. un 1913.pantam, kā arī 1915.</w:t>
            </w:r>
            <w:r>
              <w:t xml:space="preserve"> </w:t>
            </w:r>
            <w:r w:rsidRPr="00B24229">
              <w:t xml:space="preserve">panta pirmajai daļai valstij kā apdāvināmajam jānosaka iestāde, kura tās vārdā pieņemtu dāvinājumu, lai tas būtu spēkā. Ievērojot to, ka Latvijas normatīvajos aktos nav tieši regulēta </w:t>
            </w:r>
            <w:r>
              <w:t xml:space="preserve">kustamās mantas </w:t>
            </w:r>
            <w:r w:rsidRPr="00B24229">
              <w:t xml:space="preserve">pieņemšana dāvinājumā valsts vārdā, un, tā kā atbilstoši publisko tiesību pamatprincipiem valsts iestādes drīkst rīkoties tikai normatīvajos aktos noteikto pilnvaru ietvaros (darīt to, kas ir tieši atļauts), </w:t>
            </w:r>
            <w:r>
              <w:t>ministrija</w:t>
            </w:r>
            <w:r w:rsidRPr="00B24229">
              <w:t xml:space="preserve"> nevar patstāvīgi (ar savu lēmumu) pieņemt dāvinājumā </w:t>
            </w:r>
            <w:r w:rsidR="005F2A03" w:rsidRPr="000E1D70">
              <w:rPr>
                <w:color w:val="000000"/>
              </w:rPr>
              <w:t xml:space="preserve"> </w:t>
            </w:r>
            <w:r w:rsidR="001A3F52">
              <w:rPr>
                <w:color w:val="000000"/>
              </w:rPr>
              <w:t>s</w:t>
            </w:r>
            <w:r w:rsidR="005F2A03" w:rsidRPr="000E1D70">
              <w:rPr>
                <w:color w:val="000000"/>
              </w:rPr>
              <w:t xml:space="preserve">abiedrības ar ierobežotu atbildību „Baltijas Informācijas Tehnoloģijas” </w:t>
            </w:r>
            <w:r w:rsidR="005F2A03">
              <w:rPr>
                <w:color w:val="000000"/>
              </w:rPr>
              <w:t xml:space="preserve">92 klēpjdatorus </w:t>
            </w:r>
            <w:r w:rsidR="005F2A03">
              <w:rPr>
                <w:color w:val="222222"/>
                <w:shd w:val="clear" w:color="auto" w:fill="FFFFFF"/>
              </w:rPr>
              <w:t xml:space="preserve"> </w:t>
            </w:r>
            <w:r w:rsidR="005F2A03" w:rsidRPr="005F2A03">
              <w:rPr>
                <w:i/>
                <w:iCs/>
                <w:color w:val="222222"/>
                <w:shd w:val="clear" w:color="auto" w:fill="FFFFFF"/>
              </w:rPr>
              <w:t xml:space="preserve">Acer </w:t>
            </w:r>
            <w:proofErr w:type="spellStart"/>
            <w:r w:rsidR="005F2A03" w:rsidRPr="005F2A03">
              <w:rPr>
                <w:i/>
                <w:iCs/>
                <w:color w:val="222222"/>
                <w:shd w:val="clear" w:color="auto" w:fill="FFFFFF"/>
              </w:rPr>
              <w:t>TravelMate</w:t>
            </w:r>
            <w:proofErr w:type="spellEnd"/>
            <w:r w:rsidR="005F2A03" w:rsidRPr="005F2A03">
              <w:rPr>
                <w:i/>
                <w:iCs/>
                <w:color w:val="222222"/>
                <w:shd w:val="clear" w:color="auto" w:fill="FFFFFF"/>
              </w:rPr>
              <w:t xml:space="preserve"> P2</w:t>
            </w:r>
            <w:r>
              <w:t>.</w:t>
            </w:r>
            <w:r w:rsidR="005F2A03">
              <w:t xml:space="preserve"> </w:t>
            </w:r>
            <w:r w:rsidR="005F2A03">
              <w:rPr>
                <w:color w:val="000000"/>
                <w:shd w:val="clear" w:color="auto" w:fill="FFFFFF"/>
              </w:rPr>
              <w:t xml:space="preserve"> </w:t>
            </w:r>
            <w:proofErr w:type="spellStart"/>
            <w:r w:rsidR="005F2A03">
              <w:rPr>
                <w:color w:val="000000"/>
                <w:shd w:val="clear" w:color="auto" w:fill="FFFFFF"/>
              </w:rPr>
              <w:t>Klēpdatori</w:t>
            </w:r>
            <w:proofErr w:type="spellEnd"/>
            <w:r w:rsidR="005F2A03">
              <w:rPr>
                <w:color w:val="000000"/>
                <w:shd w:val="clear" w:color="auto" w:fill="FFFFFF"/>
              </w:rPr>
              <w:t xml:space="preserve"> aprīkot</w:t>
            </w:r>
            <w:r w:rsidR="001A3F52">
              <w:rPr>
                <w:color w:val="000000"/>
                <w:shd w:val="clear" w:color="auto" w:fill="FFFFFF"/>
              </w:rPr>
              <w:t>i</w:t>
            </w:r>
            <w:r w:rsidR="005F2A03">
              <w:rPr>
                <w:color w:val="000000"/>
                <w:shd w:val="clear" w:color="auto" w:fill="FFFFFF"/>
              </w:rPr>
              <w:t xml:space="preserve"> ar: Intel I3 procesors, 8 GB operatīvā atmiņa, 128 GB </w:t>
            </w:r>
            <w:proofErr w:type="spellStart"/>
            <w:r w:rsidR="005F2A03">
              <w:rPr>
                <w:color w:val="000000"/>
                <w:shd w:val="clear" w:color="auto" w:fill="FFFFFF"/>
              </w:rPr>
              <w:t>pusvaldītāju</w:t>
            </w:r>
            <w:proofErr w:type="spellEnd"/>
            <w:r w:rsidR="005F2A03">
              <w:rPr>
                <w:color w:val="000000"/>
                <w:shd w:val="clear" w:color="auto" w:fill="FFFFFF"/>
              </w:rPr>
              <w:t xml:space="preserve"> (SSD) disks, 15.6 collu </w:t>
            </w:r>
            <w:proofErr w:type="spellStart"/>
            <w:r w:rsidR="005F2A03">
              <w:rPr>
                <w:color w:val="000000"/>
                <w:shd w:val="clear" w:color="auto" w:fill="FFFFFF"/>
              </w:rPr>
              <w:t>bezatspīduma</w:t>
            </w:r>
            <w:proofErr w:type="spellEnd"/>
            <w:r w:rsidR="005F2A03">
              <w:rPr>
                <w:color w:val="000000"/>
                <w:shd w:val="clear" w:color="auto" w:fill="FFFFFF"/>
              </w:rPr>
              <w:t xml:space="preserve"> ekrāns, Windows 10 </w:t>
            </w:r>
            <w:proofErr w:type="spellStart"/>
            <w:r w:rsidR="005F2A03">
              <w:rPr>
                <w:color w:val="000000"/>
                <w:shd w:val="clear" w:color="auto" w:fill="FFFFFF"/>
              </w:rPr>
              <w:t>Pro</w:t>
            </w:r>
            <w:proofErr w:type="spellEnd"/>
            <w:r w:rsidR="005F2A03">
              <w:rPr>
                <w:color w:val="000000"/>
                <w:shd w:val="clear" w:color="auto" w:fill="FFFFFF"/>
              </w:rPr>
              <w:t xml:space="preserve"> </w:t>
            </w:r>
            <w:proofErr w:type="spellStart"/>
            <w:r w:rsidR="005F2A03">
              <w:rPr>
                <w:color w:val="000000"/>
                <w:shd w:val="clear" w:color="auto" w:fill="FFFFFF"/>
              </w:rPr>
              <w:t>operātājsistēma</w:t>
            </w:r>
            <w:proofErr w:type="spellEnd"/>
            <w:r w:rsidR="005F2A03">
              <w:rPr>
                <w:color w:val="000000"/>
                <w:shd w:val="clear" w:color="auto" w:fill="FFFFFF"/>
              </w:rPr>
              <w:t xml:space="preserve"> ar EDU licenci</w:t>
            </w:r>
            <w:r w:rsidR="005F2A03" w:rsidRPr="00416C6F">
              <w:rPr>
                <w:color w:val="000000"/>
                <w:shd w:val="clear" w:color="auto" w:fill="FFFFFF"/>
              </w:rPr>
              <w:t>.</w:t>
            </w:r>
            <w:r w:rsidRPr="00416C6F">
              <w:t xml:space="preserve"> </w:t>
            </w:r>
            <w:r w:rsidR="00416C6F" w:rsidRPr="00416C6F">
              <w:t xml:space="preserve">Viena </w:t>
            </w:r>
            <w:proofErr w:type="spellStart"/>
            <w:r w:rsidR="00416C6F" w:rsidRPr="00416C6F">
              <w:t>kl</w:t>
            </w:r>
            <w:r w:rsidR="00416C6F" w:rsidRPr="00416C6F">
              <w:rPr>
                <w:lang w:val="en-US"/>
              </w:rPr>
              <w:t>ēpjdatora</w:t>
            </w:r>
            <w:proofErr w:type="spellEnd"/>
            <w:r w:rsidR="00416C6F" w:rsidRPr="00416C6F">
              <w:rPr>
                <w:lang w:val="en-US"/>
              </w:rPr>
              <w:t xml:space="preserve"> </w:t>
            </w:r>
            <w:proofErr w:type="spellStart"/>
            <w:r w:rsidR="00416C6F" w:rsidRPr="00416C6F">
              <w:rPr>
                <w:lang w:val="en-US"/>
              </w:rPr>
              <w:t>cen</w:t>
            </w:r>
            <w:r w:rsidR="00416C6F">
              <w:rPr>
                <w:lang w:val="en-US"/>
              </w:rPr>
              <w:t>a</w:t>
            </w:r>
            <w:proofErr w:type="spellEnd"/>
            <w:r w:rsidR="00416C6F" w:rsidRPr="00416C6F">
              <w:rPr>
                <w:lang w:val="en-US"/>
              </w:rPr>
              <w:t xml:space="preserve"> 524,00</w:t>
            </w:r>
            <w:r w:rsidR="00416C6F">
              <w:rPr>
                <w:lang w:val="en-US"/>
              </w:rPr>
              <w:t xml:space="preserve"> </w:t>
            </w:r>
            <w:r w:rsidR="00416C6F" w:rsidRPr="00416C6F">
              <w:rPr>
                <w:i/>
                <w:lang w:val="en-US"/>
              </w:rPr>
              <w:t>euro</w:t>
            </w:r>
            <w:r w:rsidR="00416C6F" w:rsidRPr="00416C6F">
              <w:rPr>
                <w:lang w:val="en-US"/>
              </w:rPr>
              <w:t xml:space="preserve"> (bez PVN), </w:t>
            </w:r>
            <w:proofErr w:type="spellStart"/>
            <w:r w:rsidR="00416C6F" w:rsidRPr="00416C6F">
              <w:rPr>
                <w:lang w:val="en-US"/>
              </w:rPr>
              <w:t>kopā</w:t>
            </w:r>
            <w:proofErr w:type="spellEnd"/>
            <w:r w:rsidR="00416C6F" w:rsidRPr="00416C6F">
              <w:rPr>
                <w:lang w:val="en-US"/>
              </w:rPr>
              <w:t xml:space="preserve"> </w:t>
            </w:r>
            <w:proofErr w:type="spellStart"/>
            <w:r w:rsidR="00416C6F" w:rsidRPr="00416C6F">
              <w:rPr>
                <w:lang w:val="en-US"/>
              </w:rPr>
              <w:t>ar</w:t>
            </w:r>
            <w:proofErr w:type="spellEnd"/>
            <w:r w:rsidR="00416C6F" w:rsidRPr="00416C6F">
              <w:rPr>
                <w:lang w:val="en-US"/>
              </w:rPr>
              <w:t xml:space="preserve"> PVN 634,04 </w:t>
            </w:r>
            <w:r w:rsidR="00416C6F" w:rsidRPr="00416C6F">
              <w:rPr>
                <w:i/>
                <w:lang w:val="en-US"/>
              </w:rPr>
              <w:t>euro</w:t>
            </w:r>
            <w:r w:rsidR="00416C6F" w:rsidRPr="00416C6F">
              <w:rPr>
                <w:lang w:val="en-US"/>
              </w:rPr>
              <w:t xml:space="preserve">. </w:t>
            </w:r>
            <w:r w:rsidR="00B82332" w:rsidRPr="00416C6F">
              <w:t xml:space="preserve">Dāvinājuma summa – </w:t>
            </w:r>
            <w:r w:rsidR="00E87016" w:rsidRPr="00416C6F">
              <w:t>58331,68</w:t>
            </w:r>
            <w:r w:rsidR="00B82332" w:rsidRPr="00416C6F">
              <w:t xml:space="preserve"> </w:t>
            </w:r>
            <w:proofErr w:type="spellStart"/>
            <w:r w:rsidR="00B82332" w:rsidRPr="00416C6F">
              <w:rPr>
                <w:i/>
              </w:rPr>
              <w:t>euro</w:t>
            </w:r>
            <w:proofErr w:type="spellEnd"/>
            <w:r w:rsidR="00E87016" w:rsidRPr="00416C6F">
              <w:t xml:space="preserve"> (tai skaitā PVN 10 123,68</w:t>
            </w:r>
            <w:r w:rsidR="00B82332" w:rsidRPr="00416C6F">
              <w:t xml:space="preserve"> </w:t>
            </w:r>
            <w:proofErr w:type="spellStart"/>
            <w:r w:rsidR="00B82332" w:rsidRPr="00416C6F">
              <w:rPr>
                <w:i/>
              </w:rPr>
              <w:t>euro</w:t>
            </w:r>
            <w:proofErr w:type="spellEnd"/>
            <w:r w:rsidR="00B82332" w:rsidRPr="00416C6F">
              <w:t>)</w:t>
            </w:r>
            <w:r w:rsidR="00382185" w:rsidRPr="00416C6F">
              <w:t>.</w:t>
            </w:r>
            <w:r w:rsidR="00382185">
              <w:t xml:space="preserve"> </w:t>
            </w:r>
          </w:p>
          <w:p w14:paraId="2D933A8B" w14:textId="12E2954A" w:rsidR="001905EB" w:rsidRDefault="00376610" w:rsidP="00C558E7">
            <w:pPr>
              <w:ind w:left="106" w:right="142"/>
              <w:jc w:val="both"/>
              <w:rPr>
                <w:color w:val="000000"/>
              </w:rPr>
            </w:pPr>
            <w:r w:rsidRPr="00B24229">
              <w:t>Saskaņā ar Latvijas Republikas Satversmes 58.</w:t>
            </w:r>
            <w:r w:rsidR="00B82332">
              <w:t xml:space="preserve"> </w:t>
            </w:r>
            <w:r w:rsidRPr="00B24229">
              <w:t xml:space="preserve">pantu valsts pārvaldes iestādes ir padotas Ministru kabinetam, kurš ir tiesīgs rīkoties valsts vārdā – nolemt pieņemt dāvinājumu un pilnvarot </w:t>
            </w:r>
            <w:r>
              <w:t xml:space="preserve">ministriju </w:t>
            </w:r>
            <w:r w:rsidRPr="00B24229">
              <w:t>veikt darbības, lai nostiprinātu valsts īpašuma tiesības uz dāvinājuma priekšmetu.</w:t>
            </w:r>
            <w:r w:rsidR="00830024">
              <w:t xml:space="preserve"> Papildus minētam ministrijas i</w:t>
            </w:r>
            <w:r w:rsidR="00830024" w:rsidRPr="00830024">
              <w:t xml:space="preserve">eskatā uz dāvinājuma pieņemšanu </w:t>
            </w:r>
            <w:r w:rsidR="00830024" w:rsidRPr="001A3F52">
              <w:t xml:space="preserve">no </w:t>
            </w:r>
            <w:r w:rsidR="001A3F52">
              <w:rPr>
                <w:color w:val="000000"/>
              </w:rPr>
              <w:t>s</w:t>
            </w:r>
            <w:r w:rsidR="001A3F52" w:rsidRPr="000E1D70">
              <w:rPr>
                <w:color w:val="000000"/>
              </w:rPr>
              <w:t>abiedrības ar ierobežotu atbildību „Baltijas Informācijas Tehnoloģijas”</w:t>
            </w:r>
            <w:r w:rsidR="001A3F52">
              <w:rPr>
                <w:color w:val="000000"/>
              </w:rPr>
              <w:t xml:space="preserve"> </w:t>
            </w:r>
            <w:r w:rsidR="00830024" w:rsidRPr="00830024">
              <w:t>neattiecas likuma „Par interešu konflikta novēršanu valsts amatpersonu darbībā” 14.</w:t>
            </w:r>
            <w:r w:rsidR="00830024">
              <w:t xml:space="preserve"> </w:t>
            </w:r>
            <w:r w:rsidR="00830024" w:rsidRPr="00830024">
              <w:t xml:space="preserve">panta otrajā daļā noteiktais aizliegums valsts amatpersonai vai koleģiālajai institūcijai prasīt vai pieņemt no fiziskās vai juridiskās personas ziedojumu, kā arī cita veida mantisku palīdzību </w:t>
            </w:r>
            <w:r w:rsidR="00830024" w:rsidRPr="00830024">
              <w:lastRenderedPageBreak/>
              <w:t>publiskām vajadzībām, ja ziedojums vai palīdzība ietekmē lēmuma pieņemšanu attiecībā uz šo fizisko vai juridisko personu</w:t>
            </w:r>
            <w:r w:rsidR="004B6165">
              <w:t xml:space="preserve">, jo attiecībā uz šo sabiedrību </w:t>
            </w:r>
            <w:r w:rsidR="004B6165" w:rsidRPr="004B6165">
              <w:t>nav jāpieņem nekādi lēmumi</w:t>
            </w:r>
            <w:r w:rsidR="00830024" w:rsidRPr="004B6165">
              <w:t>.</w:t>
            </w:r>
            <w:r w:rsidR="001905EB" w:rsidRPr="004B6165">
              <w:t xml:space="preserve"> Likuma “Par interešu konflikta novēršanu valsts amatpersonu darbībā” 14. panta trešajā daļā ir noteikts, ka </w:t>
            </w:r>
            <w:r w:rsidR="001905EB" w:rsidRPr="004B6165">
              <w:rPr>
                <w:shd w:val="clear" w:color="auto" w:fill="FFFFFF"/>
              </w:rPr>
              <w:t>publiskas personas institūcija var pieņemt ziedojumu un citāda veida mantisko palīdzību publiskas personas institūcijas vajadzībām — personāla apmācības vai darba organizācijas un tehniskā nodrošinājuma uzlabošanai, ja to sniedz kāda neiesaistīta trešā persona un tas tiek pieņemts, ievērojot šā panta otrajā daļā noteiktos ierobežojumus, kā arī neveicina valsts amatpersonas nokļūšanu interešu konflikta situācijā. Pirms ziedojuma vai mantiskās palīdzības saņemšanas nepieciešama augstākas amatpersonas vai koleģiālās institūcijas atļauja.</w:t>
            </w:r>
            <w:r w:rsidR="001905EB" w:rsidRPr="004B6165">
              <w:t xml:space="preserve"> </w:t>
            </w:r>
            <w:r w:rsidR="003D7186" w:rsidRPr="004B6165">
              <w:t xml:space="preserve">Ministrijas ieskatā, </w:t>
            </w:r>
            <w:r w:rsidR="003D7186" w:rsidRPr="004B6165">
              <w:rPr>
                <w:color w:val="000000"/>
              </w:rPr>
              <w:t xml:space="preserve"> s</w:t>
            </w:r>
            <w:r w:rsidR="00040651" w:rsidRPr="004B6165">
              <w:rPr>
                <w:color w:val="000000"/>
              </w:rPr>
              <w:t>abiedrība</w:t>
            </w:r>
            <w:r w:rsidR="003D7186" w:rsidRPr="004B6165">
              <w:rPr>
                <w:color w:val="000000"/>
              </w:rPr>
              <w:t xml:space="preserve"> ar ierobežotu atbildību „Baltijas Informācijas Tehnoloģijas” ir neiesaistīta treš</w:t>
            </w:r>
            <w:r w:rsidR="004B6165">
              <w:rPr>
                <w:color w:val="000000"/>
              </w:rPr>
              <w:t>ā persona,</w:t>
            </w:r>
            <w:r w:rsidR="003D7186" w:rsidRPr="004B6165">
              <w:rPr>
                <w:color w:val="000000"/>
              </w:rPr>
              <w:t xml:space="preserve"> šāda dāvinājuma pieņemšana</w:t>
            </w:r>
            <w:r w:rsidR="00040651" w:rsidRPr="004B6165">
              <w:rPr>
                <w:color w:val="000000"/>
              </w:rPr>
              <w:t xml:space="preserve"> un tālāk nodošana pašvaldībām īpašumā</w:t>
            </w:r>
            <w:r w:rsidR="003D7186" w:rsidRPr="004B6165">
              <w:rPr>
                <w:color w:val="000000"/>
              </w:rPr>
              <w:t xml:space="preserve"> neveicina valsts amatpersonas nokļūša</w:t>
            </w:r>
            <w:r w:rsidR="004B6165">
              <w:rPr>
                <w:color w:val="000000"/>
              </w:rPr>
              <w:t>nu interešu konflikta situācijā, kā arī ir ievēroti šā likuma 14.pantā noteiktie ierobežojumi.</w:t>
            </w:r>
          </w:p>
          <w:p w14:paraId="52B43075" w14:textId="38A3BE8F" w:rsidR="00283C73" w:rsidRDefault="00612906" w:rsidP="00B1390A">
            <w:pPr>
              <w:ind w:left="106" w:right="142"/>
              <w:jc w:val="both"/>
            </w:pPr>
            <w:r>
              <w:tab/>
            </w:r>
            <w:r w:rsidR="00382185">
              <w:t>Pēc</w:t>
            </w:r>
            <w:r w:rsidR="00B1390A">
              <w:t xml:space="preserve"> dāvinājuma pieņemšanas tās plānots nodot </w:t>
            </w:r>
            <w:r w:rsidR="00B1390A" w:rsidRPr="00B1390A">
              <w:t>bez atlīdzības pašvaldību īpašumā</w:t>
            </w:r>
            <w:r w:rsidR="00B1390A">
              <w:t xml:space="preserve"> (atbilstoši </w:t>
            </w:r>
            <w:r w:rsidR="00382185">
              <w:t>ministrijas veiktajiem aprēķiniem</w:t>
            </w:r>
            <w:r w:rsidR="001A3F52">
              <w:t xml:space="preserve"> un šajā </w:t>
            </w:r>
            <w:r w:rsidR="00DB2CE6">
              <w:t>a</w:t>
            </w:r>
            <w:r w:rsidR="001A3F52">
              <w:t>notācijā norādītajā tabulā</w:t>
            </w:r>
            <w:r w:rsidR="00382185">
              <w:t>)</w:t>
            </w:r>
            <w:r w:rsidR="00B1390A" w:rsidRPr="00B1390A">
              <w:t xml:space="preserve">, </w:t>
            </w:r>
            <w:r w:rsidR="00B1390A">
              <w:t xml:space="preserve">kas tālāk nodrošinās to nodošanu izglītojamiem. Ministrijas ieskatā, ņemot vērā ārkārtējo situāciju, kā arī, lai sasniegtu dāvinājuma pieņemšanas mērķi – ārkārtējā situācijā </w:t>
            </w:r>
            <w:r w:rsidR="00B1390A" w:rsidRPr="00B1390A">
              <w:t>nodrošinātu attālināta mācību procesam nepieciešamo iekārtu pieejamību pašvaldību vispārējās pamat</w:t>
            </w:r>
            <w:r w:rsidR="00EA6827">
              <w:t>izglītības</w:t>
            </w:r>
            <w:r w:rsidR="00B1390A" w:rsidRPr="00B1390A">
              <w:t xml:space="preserve"> un </w:t>
            </w:r>
            <w:r w:rsidR="00EA6827">
              <w:t>vispār</w:t>
            </w:r>
            <w:r w:rsidR="00D549F7">
              <w:t>ē</w:t>
            </w:r>
            <w:r w:rsidR="00EA6827">
              <w:t xml:space="preserve">jās </w:t>
            </w:r>
            <w:r w:rsidR="00B1390A" w:rsidRPr="00B1390A">
              <w:t>vidējās izglītības iestāžu izglītojamiem</w:t>
            </w:r>
            <w:r w:rsidR="00B1390A">
              <w:t>, šajā gadījumā pirms iekārtu nodošanas</w:t>
            </w:r>
            <w:r w:rsidR="00B1390A" w:rsidRPr="00B1390A">
              <w:t xml:space="preserve"> bez atlīdzības pašvaldību īpašumā</w:t>
            </w:r>
            <w:r w:rsidR="00B1390A">
              <w:t xml:space="preserve"> nav veicama </w:t>
            </w:r>
            <w:r w:rsidR="00B1390A" w:rsidRPr="00B1390A">
              <w:t>citu publisku personu vai tās iestāžu vajadzību</w:t>
            </w:r>
            <w:r w:rsidR="00B1390A">
              <w:t xml:space="preserve"> noskaidrošana</w:t>
            </w:r>
            <w:r w:rsidR="00B1390A" w:rsidRPr="00B1390A">
              <w:t>.</w:t>
            </w:r>
            <w:r w:rsidR="00283C73">
              <w:t xml:space="preserve"> </w:t>
            </w:r>
            <w:r w:rsidR="00283C73" w:rsidRPr="001A3F52">
              <w:t>Minētais pamatojams arī ar likuma „Par ārkārtējo situāciju un izņēmuma stāvokli” 8. panta pirmās daļas 4.</w:t>
            </w:r>
            <w:r w:rsidR="00C558E7">
              <w:t> </w:t>
            </w:r>
            <w:r w:rsidR="00283C73" w:rsidRPr="001A3F52">
              <w:t>punktā noteikto, ka, izsludinot ārkārtējo situāciju, Ministru kabinetam ir tiesības noteikt īpašu kārtību arī preču un</w:t>
            </w:r>
            <w:r w:rsidR="00283C73">
              <w:t xml:space="preserve"> </w:t>
            </w:r>
            <w:r w:rsidR="00283C73" w:rsidRPr="00283C73">
              <w:t>citu mater</w:t>
            </w:r>
            <w:r w:rsidR="00283C73">
              <w:t>iāltehnisko resursu pieejamībai.</w:t>
            </w:r>
          </w:p>
          <w:p w14:paraId="04670AF2" w14:textId="7013ACD4" w:rsidR="00F05B17" w:rsidRDefault="00F05B17" w:rsidP="00F05B17">
            <w:pPr>
              <w:ind w:left="106" w:right="142"/>
              <w:jc w:val="both"/>
            </w:pPr>
            <w:r>
              <w:t xml:space="preserve"> </w:t>
            </w:r>
            <w:r w:rsidR="001A3F52">
              <w:t>Ņ</w:t>
            </w:r>
            <w:r>
              <w:t xml:space="preserve">emot vērā ārkārtējās situācijas radītos apstākļus un jautājuma steidzamību, </w:t>
            </w:r>
            <w:r w:rsidR="001A3F52">
              <w:t xml:space="preserve">ministrija </w:t>
            </w:r>
            <w:r>
              <w:t xml:space="preserve">atzīst </w:t>
            </w:r>
            <w:r w:rsidR="001A3F52">
              <w:t>šo jautājumu</w:t>
            </w:r>
            <w:r>
              <w:t xml:space="preserve"> par atbilstoš</w:t>
            </w:r>
            <w:r w:rsidR="001A3F52">
              <w:t>u</w:t>
            </w:r>
            <w:r>
              <w:t xml:space="preserve"> valsts interesēm un aicina to atbalstīt.</w:t>
            </w:r>
          </w:p>
          <w:p w14:paraId="41456CDC" w14:textId="3DDA4497" w:rsidR="00B1390A" w:rsidRDefault="00795432" w:rsidP="001A3F52">
            <w:pPr>
              <w:ind w:right="142" w:firstLine="212"/>
              <w:jc w:val="both"/>
            </w:pPr>
            <w:r w:rsidRPr="00B1390A">
              <w:t xml:space="preserve">Ievērojot minēto, </w:t>
            </w:r>
            <w:r w:rsidR="00B1390A" w:rsidRPr="00B1390A">
              <w:t>m</w:t>
            </w:r>
            <w:r w:rsidR="00834D22" w:rsidRPr="00B1390A">
              <w:t>inistrija</w:t>
            </w:r>
            <w:r w:rsidRPr="00B1390A">
              <w:t xml:space="preserve"> ir izstrādājusi Ministru kabineta rīkojuma projektu </w:t>
            </w:r>
            <w:r w:rsidR="00204842" w:rsidRPr="00B1390A">
              <w:t>„</w:t>
            </w:r>
            <w:r w:rsidR="00382185">
              <w:t xml:space="preserve">Par </w:t>
            </w:r>
            <w:r w:rsidR="00B1390A" w:rsidRPr="00B1390A">
              <w:t>dāvinājuma pieņemšanu attālināta mācību procesa nodrošināšanai”, kurš paredz</w:t>
            </w:r>
            <w:r w:rsidR="001A3F52">
              <w:t>:</w:t>
            </w:r>
          </w:p>
          <w:p w14:paraId="1F6E1DF3" w14:textId="14A12261" w:rsidR="00B1390A" w:rsidRDefault="00B1390A" w:rsidP="00416C6F">
            <w:pPr>
              <w:pStyle w:val="ListParagraph"/>
              <w:numPr>
                <w:ilvl w:val="0"/>
                <w:numId w:val="43"/>
              </w:numPr>
              <w:ind w:right="142"/>
              <w:jc w:val="both"/>
            </w:pPr>
            <w:r>
              <w:t>a</w:t>
            </w:r>
            <w:r w:rsidRPr="00B1390A">
              <w:t xml:space="preserve">tļaut ministrijai pieņemt </w:t>
            </w:r>
            <w:r w:rsidR="001A3F52" w:rsidRPr="00416C6F">
              <w:rPr>
                <w:color w:val="000000"/>
              </w:rPr>
              <w:t xml:space="preserve"> sabiedrības ar ierobežotu atbildību „Baltijas Informācijas Tehnoloģijas” </w:t>
            </w:r>
            <w:r w:rsidR="001A3F52">
              <w:t xml:space="preserve"> dāvinājumu</w:t>
            </w:r>
            <w:r w:rsidR="001A3F52" w:rsidRPr="00416C6F">
              <w:rPr>
                <w:color w:val="000000"/>
              </w:rPr>
              <w:t xml:space="preserve"> 92 klēpjdatorus </w:t>
            </w:r>
            <w:r w:rsidR="001A3F52" w:rsidRPr="00416C6F">
              <w:rPr>
                <w:color w:val="222222"/>
                <w:shd w:val="clear" w:color="auto" w:fill="FFFFFF"/>
              </w:rPr>
              <w:t xml:space="preserve"> </w:t>
            </w:r>
            <w:r w:rsidR="001A3F52" w:rsidRPr="00416C6F">
              <w:rPr>
                <w:i/>
                <w:iCs/>
                <w:color w:val="222222"/>
                <w:shd w:val="clear" w:color="auto" w:fill="FFFFFF"/>
              </w:rPr>
              <w:t xml:space="preserve">Acer </w:t>
            </w:r>
            <w:proofErr w:type="spellStart"/>
            <w:r w:rsidR="001A3F52" w:rsidRPr="00416C6F">
              <w:rPr>
                <w:i/>
                <w:iCs/>
                <w:color w:val="222222"/>
                <w:shd w:val="clear" w:color="auto" w:fill="FFFFFF"/>
              </w:rPr>
              <w:t>TravelMate</w:t>
            </w:r>
            <w:proofErr w:type="spellEnd"/>
            <w:r w:rsidR="001A3F52" w:rsidRPr="00416C6F">
              <w:rPr>
                <w:i/>
                <w:iCs/>
                <w:color w:val="222222"/>
                <w:shd w:val="clear" w:color="auto" w:fill="FFFFFF"/>
              </w:rPr>
              <w:t xml:space="preserve"> P2 </w:t>
            </w:r>
            <w:r w:rsidR="00416C6F" w:rsidRPr="00416C6F">
              <w:t xml:space="preserve">58331,68 </w:t>
            </w:r>
            <w:proofErr w:type="spellStart"/>
            <w:r w:rsidR="00416C6F" w:rsidRPr="00416C6F">
              <w:rPr>
                <w:i/>
              </w:rPr>
              <w:t>euro</w:t>
            </w:r>
            <w:proofErr w:type="spellEnd"/>
            <w:r w:rsidR="00416C6F" w:rsidRPr="00416C6F">
              <w:t xml:space="preserve"> (tai skaitā PVN 10 123,68 </w:t>
            </w:r>
            <w:proofErr w:type="spellStart"/>
            <w:r w:rsidR="00416C6F" w:rsidRPr="00416C6F">
              <w:rPr>
                <w:i/>
              </w:rPr>
              <w:t>euro</w:t>
            </w:r>
            <w:proofErr w:type="spellEnd"/>
            <w:r w:rsidRPr="00416C6F">
              <w:t>);</w:t>
            </w:r>
          </w:p>
          <w:p w14:paraId="5E7FA793" w14:textId="77777777" w:rsidR="00B1390A" w:rsidRDefault="00B1390A" w:rsidP="00B1390A">
            <w:pPr>
              <w:pStyle w:val="ListParagraph"/>
              <w:numPr>
                <w:ilvl w:val="0"/>
                <w:numId w:val="43"/>
              </w:numPr>
              <w:ind w:right="142"/>
              <w:jc w:val="both"/>
            </w:pPr>
            <w:r>
              <w:t xml:space="preserve">pilnvarojumu </w:t>
            </w:r>
            <w:r w:rsidRPr="00B1390A">
              <w:t>ministrijas valsts sekretārei parakstīt dāvinājuma līgumu par dāvinājuma pieņemšanu</w:t>
            </w:r>
            <w:r>
              <w:t>;</w:t>
            </w:r>
          </w:p>
          <w:p w14:paraId="624CAA5C" w14:textId="77777777" w:rsidR="0067265A" w:rsidRPr="00204842" w:rsidRDefault="00B1390A" w:rsidP="00B1390A">
            <w:pPr>
              <w:pStyle w:val="ListParagraph"/>
              <w:numPr>
                <w:ilvl w:val="0"/>
                <w:numId w:val="43"/>
              </w:numPr>
              <w:ind w:right="142"/>
              <w:jc w:val="both"/>
            </w:pPr>
            <w:r>
              <w:t xml:space="preserve">atļauju ministrijai </w:t>
            </w:r>
            <w:r>
              <w:rPr>
                <w:rFonts w:eastAsia="Times New Roman"/>
              </w:rPr>
              <w:t xml:space="preserve">pēc </w:t>
            </w:r>
            <w:r w:rsidRPr="00B1390A">
              <w:t>iekārtu iegādes un iekārtu pieņemšanas dāvinājumā</w:t>
            </w:r>
            <w:r>
              <w:t xml:space="preserve"> </w:t>
            </w:r>
            <w:r w:rsidRPr="00B1390A">
              <w:t xml:space="preserve">nodot </w:t>
            </w:r>
            <w:r>
              <w:t>tās</w:t>
            </w:r>
            <w:r w:rsidRPr="00B1390A">
              <w:t xml:space="preserve"> bez atlīdzības pašvaldību īpašumā, nenoskaidrojot citu publisku personu vai tās iestāžu vajadzību.</w:t>
            </w:r>
          </w:p>
        </w:tc>
      </w:tr>
      <w:tr w:rsidR="00585B7B" w:rsidRPr="003350F2" w14:paraId="55F062CB" w14:textId="77777777" w:rsidTr="00283C73">
        <w:trPr>
          <w:trHeight w:val="476"/>
        </w:trPr>
        <w:tc>
          <w:tcPr>
            <w:tcW w:w="491" w:type="dxa"/>
            <w:tcBorders>
              <w:bottom w:val="single" w:sz="4" w:space="0" w:color="auto"/>
            </w:tcBorders>
          </w:tcPr>
          <w:p w14:paraId="0A4CB79B" w14:textId="5D26259F" w:rsidR="00585B7B" w:rsidRPr="003350F2" w:rsidRDefault="00005A9D" w:rsidP="00BD696A">
            <w:pPr>
              <w:pStyle w:val="naiskr"/>
              <w:spacing w:before="0" w:after="0"/>
              <w:jc w:val="center"/>
            </w:pPr>
            <w:r w:rsidRPr="003350F2">
              <w:lastRenderedPageBreak/>
              <w:t>3.</w:t>
            </w:r>
          </w:p>
        </w:tc>
        <w:tc>
          <w:tcPr>
            <w:tcW w:w="2268" w:type="dxa"/>
            <w:tcBorders>
              <w:bottom w:val="single" w:sz="4" w:space="0" w:color="auto"/>
            </w:tcBorders>
          </w:tcPr>
          <w:p w14:paraId="3C2C5A53" w14:textId="77777777"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7159" w:type="dxa"/>
            <w:tcBorders>
              <w:bottom w:val="single" w:sz="4" w:space="0" w:color="auto"/>
            </w:tcBorders>
          </w:tcPr>
          <w:p w14:paraId="0C91F1A8" w14:textId="77777777" w:rsidR="00643E6C" w:rsidRPr="003350F2" w:rsidRDefault="00204842" w:rsidP="00382185">
            <w:pPr>
              <w:ind w:left="82" w:right="141"/>
              <w:jc w:val="both"/>
            </w:pPr>
            <w:r>
              <w:t xml:space="preserve">Rīkojuma projektu </w:t>
            </w:r>
            <w:r w:rsidRPr="00317B6A">
              <w:t xml:space="preserve">izstrādāja </w:t>
            </w:r>
            <w:r w:rsidR="00B1390A">
              <w:t>m</w:t>
            </w:r>
            <w:r>
              <w:t>inistrija</w:t>
            </w:r>
            <w:r w:rsidR="00382185">
              <w:t>.</w:t>
            </w:r>
          </w:p>
        </w:tc>
      </w:tr>
      <w:tr w:rsidR="00585B7B" w:rsidRPr="003350F2" w14:paraId="7314CD10" w14:textId="77777777" w:rsidTr="00283C73">
        <w:tc>
          <w:tcPr>
            <w:tcW w:w="491" w:type="dxa"/>
            <w:tcBorders>
              <w:top w:val="single" w:sz="4" w:space="0" w:color="auto"/>
              <w:left w:val="single" w:sz="4" w:space="0" w:color="auto"/>
              <w:bottom w:val="single" w:sz="4" w:space="0" w:color="auto"/>
              <w:right w:val="single" w:sz="4" w:space="0" w:color="auto"/>
            </w:tcBorders>
          </w:tcPr>
          <w:p w14:paraId="020AD865" w14:textId="77777777" w:rsidR="00585B7B" w:rsidRPr="003350F2" w:rsidRDefault="00005A9D" w:rsidP="00BD696A">
            <w:pPr>
              <w:pStyle w:val="naiskr"/>
              <w:spacing w:before="0" w:after="0"/>
              <w:jc w:val="center"/>
            </w:pPr>
            <w:r w:rsidRPr="003350F2">
              <w:t>4</w:t>
            </w:r>
            <w:r w:rsidR="00585B7B" w:rsidRPr="003350F2">
              <w:t>.</w:t>
            </w:r>
          </w:p>
        </w:tc>
        <w:tc>
          <w:tcPr>
            <w:tcW w:w="2268" w:type="dxa"/>
            <w:tcBorders>
              <w:top w:val="single" w:sz="4" w:space="0" w:color="auto"/>
              <w:left w:val="single" w:sz="4" w:space="0" w:color="auto"/>
              <w:bottom w:val="single" w:sz="4" w:space="0" w:color="auto"/>
              <w:right w:val="single" w:sz="4" w:space="0" w:color="auto"/>
            </w:tcBorders>
          </w:tcPr>
          <w:p w14:paraId="751C5B94" w14:textId="77777777" w:rsidR="00585B7B" w:rsidRPr="003350F2" w:rsidRDefault="00585B7B" w:rsidP="00916055">
            <w:pPr>
              <w:pStyle w:val="naiskr"/>
              <w:spacing w:before="0" w:after="0"/>
              <w:ind w:left="141"/>
            </w:pPr>
            <w:r w:rsidRPr="003350F2">
              <w:t>Cita informācija</w:t>
            </w:r>
          </w:p>
        </w:tc>
        <w:tc>
          <w:tcPr>
            <w:tcW w:w="7159" w:type="dxa"/>
            <w:tcBorders>
              <w:top w:val="single" w:sz="4" w:space="0" w:color="auto"/>
              <w:left w:val="single" w:sz="4" w:space="0" w:color="auto"/>
              <w:bottom w:val="single" w:sz="4" w:space="0" w:color="auto"/>
              <w:right w:val="single" w:sz="4" w:space="0" w:color="auto"/>
            </w:tcBorders>
          </w:tcPr>
          <w:p w14:paraId="5BF22225" w14:textId="77777777" w:rsidR="002D5B95" w:rsidRPr="003350F2" w:rsidRDefault="00BB3C51" w:rsidP="00382185">
            <w:pPr>
              <w:ind w:left="114" w:right="127"/>
              <w:jc w:val="both"/>
            </w:pPr>
            <w:r w:rsidRPr="003350F2">
              <w:t xml:space="preserve">Rīkojuma </w:t>
            </w:r>
            <w:r w:rsidR="0052685D" w:rsidRPr="003350F2">
              <w:t>projekts tiešā veidā attiecas uz</w:t>
            </w:r>
            <w:r w:rsidR="000F14D1">
              <w:t xml:space="preserve"> izglītības un zinātnes politiku (v</w:t>
            </w:r>
            <w:r w:rsidR="000F14D1" w:rsidRPr="000F14D1">
              <w:t>ispārējās izglītības sistēmas attīstīb</w:t>
            </w:r>
            <w:r w:rsidR="000F14D1">
              <w:t>u).</w:t>
            </w:r>
          </w:p>
        </w:tc>
      </w:tr>
    </w:tbl>
    <w:p w14:paraId="63AB006F" w14:textId="44CE2FD0" w:rsidR="00965F71" w:rsidRDefault="00965F71">
      <w:pPr>
        <w:rPr>
          <w:b/>
          <w:bCs/>
        </w:rPr>
      </w:pPr>
    </w:p>
    <w:tbl>
      <w:tblPr>
        <w:tblW w:w="5302"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7"/>
        <w:gridCol w:w="2551"/>
        <w:gridCol w:w="6804"/>
      </w:tblGrid>
      <w:tr w:rsidR="00D549F7" w:rsidRPr="00C670DE" w14:paraId="6A57026A" w14:textId="77777777" w:rsidTr="00D549F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9D2311" w14:textId="77777777" w:rsidR="00D549F7" w:rsidRPr="00C670DE" w:rsidRDefault="00D549F7">
            <w:pPr>
              <w:spacing w:before="100" w:beforeAutospacing="1" w:after="100" w:afterAutospacing="1" w:line="293" w:lineRule="atLeast"/>
              <w:jc w:val="center"/>
              <w:rPr>
                <w:rFonts w:eastAsia="Times New Roman"/>
                <w:b/>
                <w:bCs/>
              </w:rPr>
            </w:pPr>
            <w:r w:rsidRPr="00C670DE">
              <w:rPr>
                <w:rFonts w:eastAsia="Times New Roman"/>
                <w:b/>
                <w:bCs/>
              </w:rPr>
              <w:lastRenderedPageBreak/>
              <w:t>II. Tiesību akta projekta ietekme uz sabiedrību, tautsaimniecības attīstību un administratīvo slogu</w:t>
            </w:r>
          </w:p>
        </w:tc>
      </w:tr>
      <w:tr w:rsidR="00CA2A9E" w:rsidRPr="00D549F7" w14:paraId="4F94F30B" w14:textId="77777777" w:rsidTr="00CA2A9E">
        <w:trPr>
          <w:trHeight w:val="372"/>
        </w:trPr>
        <w:tc>
          <w:tcPr>
            <w:tcW w:w="218" w:type="pct"/>
            <w:tcBorders>
              <w:top w:val="outset" w:sz="6" w:space="0" w:color="414142"/>
              <w:left w:val="outset" w:sz="6" w:space="0" w:color="414142"/>
              <w:bottom w:val="outset" w:sz="6" w:space="0" w:color="414142"/>
              <w:right w:val="outset" w:sz="6" w:space="0" w:color="414142"/>
            </w:tcBorders>
            <w:hideMark/>
          </w:tcPr>
          <w:p w14:paraId="2704820A" w14:textId="77777777" w:rsidR="00D549F7" w:rsidRPr="00D549F7" w:rsidRDefault="00D549F7">
            <w:pPr>
              <w:rPr>
                <w:rFonts w:eastAsia="Times New Roman"/>
              </w:rPr>
            </w:pPr>
            <w:r w:rsidRPr="00D549F7">
              <w:rPr>
                <w:rFonts w:eastAsia="Times New Roman"/>
              </w:rPr>
              <w:t>1.</w:t>
            </w:r>
          </w:p>
        </w:tc>
        <w:tc>
          <w:tcPr>
            <w:tcW w:w="1304" w:type="pct"/>
            <w:tcBorders>
              <w:top w:val="outset" w:sz="6" w:space="0" w:color="414142"/>
              <w:left w:val="outset" w:sz="6" w:space="0" w:color="414142"/>
              <w:bottom w:val="outset" w:sz="6" w:space="0" w:color="414142"/>
              <w:right w:val="outset" w:sz="6" w:space="0" w:color="414142"/>
            </w:tcBorders>
            <w:hideMark/>
          </w:tcPr>
          <w:p w14:paraId="72FD71D4" w14:textId="77777777" w:rsidR="00D549F7" w:rsidRPr="00D549F7" w:rsidRDefault="00D549F7">
            <w:pPr>
              <w:rPr>
                <w:rFonts w:eastAsia="Times New Roman"/>
              </w:rPr>
            </w:pPr>
            <w:r w:rsidRPr="00D549F7">
              <w:rPr>
                <w:rFonts w:eastAsia="Times New Roman"/>
              </w:rPr>
              <w:t xml:space="preserve">Sabiedrības </w:t>
            </w:r>
            <w:proofErr w:type="spellStart"/>
            <w:r w:rsidRPr="00D549F7">
              <w:rPr>
                <w:rFonts w:eastAsia="Times New Roman"/>
              </w:rPr>
              <w:t>mērķgrupas</w:t>
            </w:r>
            <w:proofErr w:type="spellEnd"/>
            <w:r w:rsidRPr="00D549F7">
              <w:rPr>
                <w:rFonts w:eastAsia="Times New Roman"/>
              </w:rPr>
              <w:t>, kuras tiesiskais regulējums ietekmē vai varētu ietekmēt</w:t>
            </w:r>
          </w:p>
        </w:tc>
        <w:tc>
          <w:tcPr>
            <w:tcW w:w="3478" w:type="pct"/>
            <w:tcBorders>
              <w:top w:val="outset" w:sz="6" w:space="0" w:color="414142"/>
              <w:left w:val="outset" w:sz="6" w:space="0" w:color="414142"/>
              <w:bottom w:val="outset" w:sz="6" w:space="0" w:color="414142"/>
              <w:right w:val="outset" w:sz="6" w:space="0" w:color="414142"/>
            </w:tcBorders>
            <w:hideMark/>
          </w:tcPr>
          <w:p w14:paraId="0004B4B3" w14:textId="4D24A070" w:rsidR="00D549F7" w:rsidRPr="00D549F7" w:rsidRDefault="00C670DE" w:rsidP="00D549F7">
            <w:pPr>
              <w:ind w:right="110"/>
              <w:jc w:val="both"/>
              <w:rPr>
                <w:rFonts w:eastAsia="Times New Roman"/>
              </w:rPr>
            </w:pPr>
            <w:r>
              <w:t>I sadaļas 2.punktā minētās p</w:t>
            </w:r>
            <w:r w:rsidR="0034286C">
              <w:t>ašvaldības un to dibinātās</w:t>
            </w:r>
            <w:r w:rsidR="00D549F7" w:rsidRPr="00B1390A">
              <w:t xml:space="preserve"> vispārējās pamat</w:t>
            </w:r>
            <w:r w:rsidR="00D549F7">
              <w:t>izglītības</w:t>
            </w:r>
            <w:r w:rsidR="00D549F7" w:rsidRPr="00B1390A">
              <w:t xml:space="preserve"> un </w:t>
            </w:r>
            <w:r w:rsidR="00D549F7">
              <w:t xml:space="preserve">vispārējās </w:t>
            </w:r>
            <w:r w:rsidR="00D549F7" w:rsidRPr="00B1390A">
              <w:t>vidējās izglītības iestā</w:t>
            </w:r>
            <w:r w:rsidR="00D549F7">
              <w:t>des un to</w:t>
            </w:r>
            <w:r w:rsidR="00D549F7" w:rsidRPr="00B1390A">
              <w:t xml:space="preserve"> izglītojam</w:t>
            </w:r>
            <w:r w:rsidR="00D549F7">
              <w:t>os</w:t>
            </w:r>
            <w:r w:rsidR="00D549F7" w:rsidRPr="00D549F7">
              <w:rPr>
                <w:rFonts w:eastAsia="Times New Roman"/>
              </w:rPr>
              <w:t>.</w:t>
            </w:r>
          </w:p>
        </w:tc>
      </w:tr>
      <w:tr w:rsidR="00CA2A9E" w:rsidRPr="00D549F7" w14:paraId="506416DA" w14:textId="77777777" w:rsidTr="00CA2A9E">
        <w:trPr>
          <w:trHeight w:val="408"/>
        </w:trPr>
        <w:tc>
          <w:tcPr>
            <w:tcW w:w="218" w:type="pct"/>
            <w:tcBorders>
              <w:top w:val="outset" w:sz="6" w:space="0" w:color="414142"/>
              <w:left w:val="outset" w:sz="6" w:space="0" w:color="414142"/>
              <w:bottom w:val="outset" w:sz="6" w:space="0" w:color="414142"/>
              <w:right w:val="outset" w:sz="6" w:space="0" w:color="414142"/>
            </w:tcBorders>
            <w:hideMark/>
          </w:tcPr>
          <w:p w14:paraId="203CD9CC" w14:textId="77777777" w:rsidR="00D549F7" w:rsidRPr="00D549F7" w:rsidRDefault="00D549F7">
            <w:pPr>
              <w:rPr>
                <w:rFonts w:eastAsia="Times New Roman"/>
              </w:rPr>
            </w:pPr>
            <w:r w:rsidRPr="00D549F7">
              <w:rPr>
                <w:rFonts w:eastAsia="Times New Roman"/>
              </w:rPr>
              <w:t>2.</w:t>
            </w:r>
          </w:p>
        </w:tc>
        <w:tc>
          <w:tcPr>
            <w:tcW w:w="1304" w:type="pct"/>
            <w:tcBorders>
              <w:top w:val="outset" w:sz="6" w:space="0" w:color="414142"/>
              <w:left w:val="outset" w:sz="6" w:space="0" w:color="414142"/>
              <w:bottom w:val="outset" w:sz="6" w:space="0" w:color="414142"/>
              <w:right w:val="outset" w:sz="6" w:space="0" w:color="414142"/>
            </w:tcBorders>
            <w:hideMark/>
          </w:tcPr>
          <w:p w14:paraId="597C1E8E" w14:textId="77777777" w:rsidR="00D549F7" w:rsidRPr="00D549F7" w:rsidRDefault="00D549F7">
            <w:pPr>
              <w:rPr>
                <w:rFonts w:eastAsia="Times New Roman"/>
              </w:rPr>
            </w:pPr>
            <w:r w:rsidRPr="00D549F7">
              <w:rPr>
                <w:rFonts w:eastAsia="Times New Roman"/>
              </w:rPr>
              <w:t>Tiesiskā regulējuma ietekme uz tautsaimniecību un administratīvo slogu</w:t>
            </w:r>
          </w:p>
        </w:tc>
        <w:tc>
          <w:tcPr>
            <w:tcW w:w="3478" w:type="pct"/>
            <w:tcBorders>
              <w:top w:val="outset" w:sz="6" w:space="0" w:color="414142"/>
              <w:left w:val="outset" w:sz="6" w:space="0" w:color="414142"/>
              <w:bottom w:val="outset" w:sz="6" w:space="0" w:color="414142"/>
              <w:right w:val="outset" w:sz="6" w:space="0" w:color="414142"/>
            </w:tcBorders>
            <w:hideMark/>
          </w:tcPr>
          <w:p w14:paraId="09AD1750" w14:textId="63F9B121" w:rsidR="00D549F7" w:rsidRPr="00D549F7" w:rsidRDefault="00583F64" w:rsidP="00D549F7">
            <w:pPr>
              <w:ind w:right="118"/>
              <w:jc w:val="both"/>
              <w:rPr>
                <w:rFonts w:eastAsia="Times New Roman"/>
              </w:rPr>
            </w:pPr>
            <w:r w:rsidRPr="00D549F7">
              <w:t>Projekts šo jomu neskar.</w:t>
            </w:r>
            <w:bookmarkStart w:id="3" w:name="_GoBack"/>
            <w:bookmarkEnd w:id="3"/>
          </w:p>
        </w:tc>
      </w:tr>
      <w:tr w:rsidR="00CA2A9E" w:rsidRPr="00D549F7" w14:paraId="11C54915" w14:textId="77777777" w:rsidTr="00CA2A9E">
        <w:trPr>
          <w:trHeight w:val="408"/>
        </w:trPr>
        <w:tc>
          <w:tcPr>
            <w:tcW w:w="218" w:type="pct"/>
            <w:tcBorders>
              <w:top w:val="outset" w:sz="6" w:space="0" w:color="414142"/>
              <w:left w:val="outset" w:sz="6" w:space="0" w:color="414142"/>
              <w:bottom w:val="outset" w:sz="6" w:space="0" w:color="414142"/>
              <w:right w:val="outset" w:sz="6" w:space="0" w:color="414142"/>
            </w:tcBorders>
            <w:hideMark/>
          </w:tcPr>
          <w:p w14:paraId="2ACD8B47" w14:textId="77777777" w:rsidR="00D549F7" w:rsidRPr="00D549F7" w:rsidRDefault="00D549F7">
            <w:pPr>
              <w:rPr>
                <w:rFonts w:eastAsia="Times New Roman"/>
              </w:rPr>
            </w:pPr>
            <w:r w:rsidRPr="00D549F7">
              <w:rPr>
                <w:rFonts w:eastAsia="Times New Roman"/>
              </w:rPr>
              <w:t>3.</w:t>
            </w:r>
          </w:p>
        </w:tc>
        <w:tc>
          <w:tcPr>
            <w:tcW w:w="1304" w:type="pct"/>
            <w:tcBorders>
              <w:top w:val="outset" w:sz="6" w:space="0" w:color="414142"/>
              <w:left w:val="outset" w:sz="6" w:space="0" w:color="414142"/>
              <w:bottom w:val="outset" w:sz="6" w:space="0" w:color="414142"/>
              <w:right w:val="outset" w:sz="6" w:space="0" w:color="414142"/>
            </w:tcBorders>
            <w:hideMark/>
          </w:tcPr>
          <w:p w14:paraId="2A64F3B8" w14:textId="77777777" w:rsidR="00D549F7" w:rsidRPr="00D549F7" w:rsidRDefault="00D549F7">
            <w:pPr>
              <w:rPr>
                <w:rFonts w:eastAsia="Times New Roman"/>
              </w:rPr>
            </w:pPr>
            <w:r w:rsidRPr="00D549F7">
              <w:rPr>
                <w:rFonts w:eastAsia="Times New Roman"/>
              </w:rPr>
              <w:t>Administratīvo izmaksu monetārs novērtējums</w:t>
            </w:r>
          </w:p>
        </w:tc>
        <w:tc>
          <w:tcPr>
            <w:tcW w:w="3478" w:type="pct"/>
            <w:tcBorders>
              <w:top w:val="outset" w:sz="6" w:space="0" w:color="414142"/>
              <w:left w:val="outset" w:sz="6" w:space="0" w:color="414142"/>
              <w:bottom w:val="outset" w:sz="6" w:space="0" w:color="414142"/>
              <w:right w:val="outset" w:sz="6" w:space="0" w:color="414142"/>
            </w:tcBorders>
            <w:hideMark/>
          </w:tcPr>
          <w:p w14:paraId="7DE693E9" w14:textId="77777777" w:rsidR="00D549F7" w:rsidRPr="00D549F7" w:rsidRDefault="00D549F7" w:rsidP="00D549F7">
            <w:pPr>
              <w:rPr>
                <w:rFonts w:eastAsia="Times New Roman"/>
              </w:rPr>
            </w:pPr>
            <w:r w:rsidRPr="00D549F7">
              <w:t>Projekts šo jomu neskar.</w:t>
            </w:r>
          </w:p>
        </w:tc>
      </w:tr>
      <w:tr w:rsidR="00CA2A9E" w:rsidRPr="00D549F7" w14:paraId="0510A218" w14:textId="77777777" w:rsidTr="00CA2A9E">
        <w:trPr>
          <w:trHeight w:val="408"/>
        </w:trPr>
        <w:tc>
          <w:tcPr>
            <w:tcW w:w="218" w:type="pct"/>
            <w:tcBorders>
              <w:top w:val="outset" w:sz="6" w:space="0" w:color="414142"/>
              <w:left w:val="outset" w:sz="6" w:space="0" w:color="414142"/>
              <w:bottom w:val="outset" w:sz="6" w:space="0" w:color="414142"/>
              <w:right w:val="outset" w:sz="6" w:space="0" w:color="414142"/>
            </w:tcBorders>
            <w:hideMark/>
          </w:tcPr>
          <w:p w14:paraId="589172C9" w14:textId="77777777" w:rsidR="00D549F7" w:rsidRPr="00D549F7" w:rsidRDefault="00D549F7">
            <w:pPr>
              <w:rPr>
                <w:rFonts w:eastAsia="Times New Roman"/>
              </w:rPr>
            </w:pPr>
            <w:r w:rsidRPr="00D549F7">
              <w:rPr>
                <w:rFonts w:eastAsia="Times New Roman"/>
              </w:rPr>
              <w:t>4.</w:t>
            </w:r>
          </w:p>
        </w:tc>
        <w:tc>
          <w:tcPr>
            <w:tcW w:w="1304" w:type="pct"/>
            <w:tcBorders>
              <w:top w:val="outset" w:sz="6" w:space="0" w:color="414142"/>
              <w:left w:val="outset" w:sz="6" w:space="0" w:color="414142"/>
              <w:bottom w:val="outset" w:sz="6" w:space="0" w:color="414142"/>
              <w:right w:val="outset" w:sz="6" w:space="0" w:color="414142"/>
            </w:tcBorders>
            <w:hideMark/>
          </w:tcPr>
          <w:p w14:paraId="5EED5FC9" w14:textId="77777777" w:rsidR="00D549F7" w:rsidRPr="00D549F7" w:rsidRDefault="00D549F7">
            <w:pPr>
              <w:rPr>
                <w:rFonts w:eastAsia="Times New Roman"/>
              </w:rPr>
            </w:pPr>
            <w:r w:rsidRPr="00D549F7">
              <w:rPr>
                <w:rFonts w:eastAsia="Times New Roman"/>
              </w:rPr>
              <w:t>Atbilstības izmaksu monetārs novērtējums</w:t>
            </w:r>
          </w:p>
        </w:tc>
        <w:tc>
          <w:tcPr>
            <w:tcW w:w="3478" w:type="pct"/>
            <w:tcBorders>
              <w:top w:val="outset" w:sz="6" w:space="0" w:color="414142"/>
              <w:left w:val="outset" w:sz="6" w:space="0" w:color="414142"/>
              <w:bottom w:val="outset" w:sz="6" w:space="0" w:color="414142"/>
              <w:right w:val="outset" w:sz="6" w:space="0" w:color="414142"/>
            </w:tcBorders>
            <w:hideMark/>
          </w:tcPr>
          <w:p w14:paraId="538088E5" w14:textId="047FFE0B" w:rsidR="00D549F7" w:rsidRPr="00D549F7" w:rsidRDefault="00583F64" w:rsidP="00D549F7">
            <w:pPr>
              <w:ind w:right="118"/>
              <w:jc w:val="both"/>
              <w:rPr>
                <w:rFonts w:eastAsiaTheme="minorHAnsi"/>
              </w:rPr>
            </w:pPr>
            <w:r w:rsidRPr="00D549F7">
              <w:t>Projekts šo jomu neskar.</w:t>
            </w:r>
          </w:p>
        </w:tc>
      </w:tr>
      <w:tr w:rsidR="00CA2A9E" w:rsidRPr="00D549F7" w14:paraId="474DA979" w14:textId="77777777" w:rsidTr="00CA2A9E">
        <w:trPr>
          <w:trHeight w:val="276"/>
        </w:trPr>
        <w:tc>
          <w:tcPr>
            <w:tcW w:w="218" w:type="pct"/>
            <w:tcBorders>
              <w:top w:val="outset" w:sz="6" w:space="0" w:color="414142"/>
              <w:left w:val="outset" w:sz="6" w:space="0" w:color="414142"/>
              <w:bottom w:val="outset" w:sz="6" w:space="0" w:color="414142"/>
              <w:right w:val="outset" w:sz="6" w:space="0" w:color="414142"/>
            </w:tcBorders>
            <w:hideMark/>
          </w:tcPr>
          <w:p w14:paraId="6A273195" w14:textId="77777777" w:rsidR="00D549F7" w:rsidRPr="00D549F7" w:rsidRDefault="00D549F7">
            <w:pPr>
              <w:rPr>
                <w:rFonts w:eastAsia="Times New Roman"/>
              </w:rPr>
            </w:pPr>
            <w:r w:rsidRPr="00D549F7">
              <w:rPr>
                <w:rFonts w:eastAsia="Times New Roman"/>
              </w:rPr>
              <w:t>5.</w:t>
            </w:r>
          </w:p>
        </w:tc>
        <w:tc>
          <w:tcPr>
            <w:tcW w:w="1304" w:type="pct"/>
            <w:tcBorders>
              <w:top w:val="outset" w:sz="6" w:space="0" w:color="414142"/>
              <w:left w:val="outset" w:sz="6" w:space="0" w:color="414142"/>
              <w:bottom w:val="outset" w:sz="6" w:space="0" w:color="414142"/>
              <w:right w:val="outset" w:sz="6" w:space="0" w:color="414142"/>
            </w:tcBorders>
            <w:hideMark/>
          </w:tcPr>
          <w:p w14:paraId="7CA60A2D" w14:textId="77777777" w:rsidR="00D549F7" w:rsidRPr="00D549F7" w:rsidRDefault="00D549F7">
            <w:pPr>
              <w:rPr>
                <w:rFonts w:eastAsia="Times New Roman"/>
              </w:rPr>
            </w:pPr>
            <w:r w:rsidRPr="00D549F7">
              <w:rPr>
                <w:rFonts w:eastAsia="Times New Roman"/>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14:paraId="08E15384" w14:textId="77777777" w:rsidR="00D549F7" w:rsidRPr="00D549F7" w:rsidRDefault="00D549F7" w:rsidP="00D549F7">
            <w:pPr>
              <w:jc w:val="both"/>
              <w:rPr>
                <w:rFonts w:eastAsia="Times New Roman"/>
              </w:rPr>
            </w:pPr>
            <w:r w:rsidRPr="00D549F7">
              <w:rPr>
                <w:rFonts w:eastAsia="Times New Roman"/>
              </w:rPr>
              <w:t>Nav.</w:t>
            </w:r>
          </w:p>
        </w:tc>
      </w:tr>
    </w:tbl>
    <w:p w14:paraId="3D730936" w14:textId="77777777" w:rsidR="00E52881" w:rsidRDefault="00E52881"/>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80"/>
        <w:gridCol w:w="1248"/>
        <w:gridCol w:w="1138"/>
        <w:gridCol w:w="1185"/>
        <w:gridCol w:w="1139"/>
        <w:gridCol w:w="1150"/>
        <w:gridCol w:w="1150"/>
      </w:tblGrid>
      <w:tr w:rsidR="00183338" w:rsidRPr="003350F2" w14:paraId="6FCD8B50" w14:textId="77777777" w:rsidTr="000F14D1">
        <w:trPr>
          <w:trHeight w:val="361"/>
          <w:jc w:val="center"/>
        </w:trPr>
        <w:tc>
          <w:tcPr>
            <w:tcW w:w="10549" w:type="dxa"/>
            <w:gridSpan w:val="8"/>
            <w:vAlign w:val="center"/>
          </w:tcPr>
          <w:p w14:paraId="01352B5F" w14:textId="77777777"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14:paraId="31A6BA39" w14:textId="77777777" w:rsidTr="000F14D1">
        <w:trPr>
          <w:jc w:val="center"/>
        </w:trPr>
        <w:tc>
          <w:tcPr>
            <w:tcW w:w="2359" w:type="dxa"/>
            <w:vMerge w:val="restart"/>
            <w:vAlign w:val="center"/>
          </w:tcPr>
          <w:p w14:paraId="3B6677EC" w14:textId="77777777" w:rsidR="00183338" w:rsidRPr="003350F2" w:rsidRDefault="00183338" w:rsidP="00AF3BA2">
            <w:pPr>
              <w:jc w:val="center"/>
              <w:rPr>
                <w:b/>
              </w:rPr>
            </w:pPr>
            <w:r w:rsidRPr="003350F2">
              <w:rPr>
                <w:b/>
              </w:rPr>
              <w:t>Rādītāji</w:t>
            </w:r>
          </w:p>
        </w:tc>
        <w:tc>
          <w:tcPr>
            <w:tcW w:w="2428" w:type="dxa"/>
            <w:gridSpan w:val="2"/>
            <w:vMerge w:val="restart"/>
            <w:vAlign w:val="center"/>
          </w:tcPr>
          <w:p w14:paraId="6513617D" w14:textId="11EFDE89" w:rsidR="00183338" w:rsidRPr="003350F2" w:rsidRDefault="0015693E" w:rsidP="00AF3BA2">
            <w:pPr>
              <w:jc w:val="center"/>
              <w:rPr>
                <w:b/>
              </w:rPr>
            </w:pPr>
            <w:r>
              <w:rPr>
                <w:b/>
              </w:rPr>
              <w:t>2021</w:t>
            </w:r>
          </w:p>
        </w:tc>
        <w:tc>
          <w:tcPr>
            <w:tcW w:w="5762" w:type="dxa"/>
            <w:gridSpan w:val="5"/>
            <w:vAlign w:val="center"/>
          </w:tcPr>
          <w:p w14:paraId="338FE090" w14:textId="77777777" w:rsidR="00183338" w:rsidRPr="003350F2" w:rsidRDefault="00183338" w:rsidP="00AF3BA2">
            <w:pPr>
              <w:jc w:val="center"/>
            </w:pPr>
            <w:r w:rsidRPr="003350F2">
              <w:t>Turpmākie trīs gadi (</w:t>
            </w:r>
            <w:proofErr w:type="spellStart"/>
            <w:r w:rsidRPr="003350F2">
              <w:rPr>
                <w:i/>
              </w:rPr>
              <w:t>euro</w:t>
            </w:r>
            <w:proofErr w:type="spellEnd"/>
            <w:r w:rsidRPr="003350F2">
              <w:t>)</w:t>
            </w:r>
          </w:p>
        </w:tc>
      </w:tr>
      <w:tr w:rsidR="00183338" w:rsidRPr="003350F2" w14:paraId="33DFE49F" w14:textId="77777777" w:rsidTr="000F14D1">
        <w:trPr>
          <w:jc w:val="center"/>
        </w:trPr>
        <w:tc>
          <w:tcPr>
            <w:tcW w:w="2359" w:type="dxa"/>
            <w:vMerge/>
            <w:vAlign w:val="center"/>
          </w:tcPr>
          <w:p w14:paraId="6442E23D" w14:textId="77777777" w:rsidR="00183338" w:rsidRPr="003350F2" w:rsidRDefault="00183338" w:rsidP="00AF3BA2">
            <w:pPr>
              <w:jc w:val="center"/>
              <w:rPr>
                <w:b/>
                <w:i/>
              </w:rPr>
            </w:pPr>
          </w:p>
        </w:tc>
        <w:tc>
          <w:tcPr>
            <w:tcW w:w="2428" w:type="dxa"/>
            <w:gridSpan w:val="2"/>
            <w:vMerge/>
            <w:vAlign w:val="center"/>
          </w:tcPr>
          <w:p w14:paraId="74EE2D93" w14:textId="77777777" w:rsidR="00183338" w:rsidRPr="003350F2" w:rsidRDefault="00183338" w:rsidP="00AF3BA2">
            <w:pPr>
              <w:jc w:val="center"/>
              <w:rPr>
                <w:b/>
                <w:i/>
              </w:rPr>
            </w:pPr>
          </w:p>
        </w:tc>
        <w:tc>
          <w:tcPr>
            <w:tcW w:w="2323" w:type="dxa"/>
            <w:gridSpan w:val="2"/>
            <w:vAlign w:val="center"/>
          </w:tcPr>
          <w:p w14:paraId="7057646C" w14:textId="357624EB" w:rsidR="00183338" w:rsidRPr="003350F2" w:rsidRDefault="0015693E" w:rsidP="00183338">
            <w:pPr>
              <w:jc w:val="center"/>
              <w:rPr>
                <w:b/>
                <w:i/>
              </w:rPr>
            </w:pPr>
            <w:r>
              <w:rPr>
                <w:b/>
                <w:bCs/>
              </w:rPr>
              <w:t>2022</w:t>
            </w:r>
          </w:p>
        </w:tc>
        <w:tc>
          <w:tcPr>
            <w:tcW w:w="2289" w:type="dxa"/>
            <w:gridSpan w:val="2"/>
            <w:vAlign w:val="center"/>
          </w:tcPr>
          <w:p w14:paraId="63B48588" w14:textId="2B98639A" w:rsidR="00183338" w:rsidRPr="003350F2" w:rsidRDefault="0015693E" w:rsidP="00183338">
            <w:pPr>
              <w:jc w:val="center"/>
              <w:rPr>
                <w:b/>
                <w:bCs/>
              </w:rPr>
            </w:pPr>
            <w:r>
              <w:rPr>
                <w:b/>
                <w:bCs/>
              </w:rPr>
              <w:t>2023</w:t>
            </w:r>
          </w:p>
        </w:tc>
        <w:tc>
          <w:tcPr>
            <w:tcW w:w="1150" w:type="dxa"/>
            <w:vAlign w:val="center"/>
          </w:tcPr>
          <w:p w14:paraId="1F73ADD1" w14:textId="638A970E" w:rsidR="00183338" w:rsidRPr="003350F2" w:rsidRDefault="0015693E" w:rsidP="00183338">
            <w:pPr>
              <w:jc w:val="center"/>
              <w:rPr>
                <w:b/>
                <w:bCs/>
              </w:rPr>
            </w:pPr>
            <w:r>
              <w:rPr>
                <w:b/>
                <w:bCs/>
              </w:rPr>
              <w:t>2024</w:t>
            </w:r>
          </w:p>
        </w:tc>
      </w:tr>
      <w:tr w:rsidR="00183338" w:rsidRPr="003350F2" w14:paraId="7889FA3E" w14:textId="77777777" w:rsidTr="000F14D1">
        <w:trPr>
          <w:jc w:val="center"/>
        </w:trPr>
        <w:tc>
          <w:tcPr>
            <w:tcW w:w="2359" w:type="dxa"/>
            <w:vMerge/>
            <w:vAlign w:val="center"/>
          </w:tcPr>
          <w:p w14:paraId="2F527C5B" w14:textId="77777777" w:rsidR="00183338" w:rsidRPr="003350F2" w:rsidRDefault="00183338" w:rsidP="00183338">
            <w:pPr>
              <w:jc w:val="center"/>
              <w:rPr>
                <w:b/>
                <w:i/>
              </w:rPr>
            </w:pPr>
          </w:p>
        </w:tc>
        <w:tc>
          <w:tcPr>
            <w:tcW w:w="1180" w:type="dxa"/>
            <w:vAlign w:val="center"/>
          </w:tcPr>
          <w:p w14:paraId="0A798BAC" w14:textId="77777777" w:rsidR="00183338" w:rsidRPr="003350F2" w:rsidRDefault="00183338" w:rsidP="00183338">
            <w:pPr>
              <w:jc w:val="center"/>
              <w:rPr>
                <w:b/>
                <w:i/>
              </w:rPr>
            </w:pPr>
            <w:r w:rsidRPr="003350F2">
              <w:t>saskaņā ar valsts budžetu kārtējam gadam</w:t>
            </w:r>
          </w:p>
        </w:tc>
        <w:tc>
          <w:tcPr>
            <w:tcW w:w="1248" w:type="dxa"/>
            <w:vAlign w:val="center"/>
          </w:tcPr>
          <w:p w14:paraId="73F00C70" w14:textId="77777777" w:rsidR="00183338" w:rsidRPr="003350F2" w:rsidRDefault="00183338" w:rsidP="00183338">
            <w:pPr>
              <w:jc w:val="center"/>
              <w:rPr>
                <w:b/>
                <w:i/>
              </w:rPr>
            </w:pPr>
            <w:r w:rsidRPr="003350F2">
              <w:t>izmaiņas kārtējā gadā, salīdzinot ar budžetu kārtējam gadam</w:t>
            </w:r>
          </w:p>
        </w:tc>
        <w:tc>
          <w:tcPr>
            <w:tcW w:w="1138" w:type="dxa"/>
            <w:vAlign w:val="center"/>
          </w:tcPr>
          <w:p w14:paraId="5B1A256A" w14:textId="77777777" w:rsidR="00183338" w:rsidRPr="003350F2" w:rsidRDefault="00183338" w:rsidP="00183338">
            <w:pPr>
              <w:jc w:val="center"/>
            </w:pPr>
            <w:r w:rsidRPr="003350F2">
              <w:t>saskaņā ar vidēja termiņa budžeta ietvaru</w:t>
            </w:r>
          </w:p>
        </w:tc>
        <w:tc>
          <w:tcPr>
            <w:tcW w:w="1185" w:type="dxa"/>
            <w:vAlign w:val="center"/>
          </w:tcPr>
          <w:p w14:paraId="151A2FBF" w14:textId="4B3A3EBC" w:rsidR="00183338" w:rsidRPr="003350F2" w:rsidRDefault="00183338" w:rsidP="00183338">
            <w:pPr>
              <w:jc w:val="center"/>
            </w:pPr>
            <w:r w:rsidRPr="003350F2">
              <w:t>izmaiņas, salīdzinot ar vid</w:t>
            </w:r>
            <w:r w:rsidR="00896B42" w:rsidRPr="003350F2">
              <w:t>ēja termiņa budžeta ietvaru 202</w:t>
            </w:r>
            <w:r w:rsidR="0015693E">
              <w:t>2</w:t>
            </w:r>
            <w:r w:rsidRPr="003350F2">
              <w:t>.</w:t>
            </w:r>
          </w:p>
          <w:p w14:paraId="28A67CDE" w14:textId="77777777" w:rsidR="00183338" w:rsidRPr="003350F2" w:rsidRDefault="00183338" w:rsidP="00183338">
            <w:pPr>
              <w:jc w:val="center"/>
            </w:pPr>
            <w:r w:rsidRPr="003350F2">
              <w:t>gadam</w:t>
            </w:r>
          </w:p>
        </w:tc>
        <w:tc>
          <w:tcPr>
            <w:tcW w:w="1139" w:type="dxa"/>
            <w:vAlign w:val="center"/>
          </w:tcPr>
          <w:p w14:paraId="16111942" w14:textId="77777777" w:rsidR="00183338" w:rsidRPr="003350F2" w:rsidRDefault="00183338" w:rsidP="00183338">
            <w:pPr>
              <w:jc w:val="center"/>
            </w:pPr>
            <w:r w:rsidRPr="003350F2">
              <w:t>saskaņā ar vidēja termiņa budžeta ietvaru</w:t>
            </w:r>
          </w:p>
        </w:tc>
        <w:tc>
          <w:tcPr>
            <w:tcW w:w="1150" w:type="dxa"/>
            <w:vAlign w:val="center"/>
          </w:tcPr>
          <w:p w14:paraId="2902ACD4" w14:textId="6075425F" w:rsidR="00183338" w:rsidRPr="003350F2" w:rsidRDefault="00183338" w:rsidP="00183338">
            <w:pPr>
              <w:jc w:val="center"/>
            </w:pPr>
            <w:r w:rsidRPr="003350F2">
              <w:t>izmaiņas, salīdzinot ar vid</w:t>
            </w:r>
            <w:r w:rsidR="00896B42" w:rsidRPr="003350F2">
              <w:t xml:space="preserve">ēja termiņa budžeta ietvaru </w:t>
            </w:r>
            <w:r w:rsidR="006F3202">
              <w:t>202</w:t>
            </w:r>
            <w:r w:rsidR="0015693E">
              <w:t>3</w:t>
            </w:r>
            <w:r w:rsidRPr="003350F2">
              <w:t>.</w:t>
            </w:r>
          </w:p>
          <w:p w14:paraId="66AD0F2A" w14:textId="77777777" w:rsidR="00183338" w:rsidRPr="003350F2" w:rsidRDefault="00183338" w:rsidP="00183338">
            <w:pPr>
              <w:jc w:val="center"/>
            </w:pPr>
            <w:r w:rsidRPr="003350F2">
              <w:t>gadam</w:t>
            </w:r>
          </w:p>
        </w:tc>
        <w:tc>
          <w:tcPr>
            <w:tcW w:w="1150" w:type="dxa"/>
            <w:vAlign w:val="center"/>
          </w:tcPr>
          <w:p w14:paraId="182BA968" w14:textId="5BC435C6" w:rsidR="00183338" w:rsidRPr="003350F2" w:rsidRDefault="00183338" w:rsidP="00183338">
            <w:pPr>
              <w:jc w:val="center"/>
            </w:pPr>
            <w:r w:rsidRPr="003350F2">
              <w:t xml:space="preserve">izmaiņas, salīdzinot ar vidēja termiņa budžeta ietvaru </w:t>
            </w:r>
            <w:r w:rsidR="006F3202">
              <w:t>202</w:t>
            </w:r>
            <w:r w:rsidR="0033030B">
              <w:t>3</w:t>
            </w:r>
            <w:r w:rsidRPr="003350F2">
              <w:t>.</w:t>
            </w:r>
          </w:p>
          <w:p w14:paraId="5E0ECAE1" w14:textId="77777777" w:rsidR="00183338" w:rsidRPr="003350F2" w:rsidRDefault="00183338" w:rsidP="00183338">
            <w:pPr>
              <w:jc w:val="center"/>
            </w:pPr>
            <w:r w:rsidRPr="003350F2">
              <w:t>gadam</w:t>
            </w:r>
          </w:p>
        </w:tc>
      </w:tr>
      <w:tr w:rsidR="00183338" w:rsidRPr="003350F2" w14:paraId="4EEFE72D" w14:textId="77777777" w:rsidTr="000F14D1">
        <w:trPr>
          <w:jc w:val="center"/>
        </w:trPr>
        <w:tc>
          <w:tcPr>
            <w:tcW w:w="2359" w:type="dxa"/>
            <w:vAlign w:val="center"/>
          </w:tcPr>
          <w:p w14:paraId="60521AED" w14:textId="77777777" w:rsidR="00183338" w:rsidRPr="003350F2" w:rsidRDefault="00183338" w:rsidP="00AF3BA2">
            <w:pPr>
              <w:jc w:val="center"/>
              <w:rPr>
                <w:bCs/>
              </w:rPr>
            </w:pPr>
            <w:r w:rsidRPr="003350F2">
              <w:rPr>
                <w:bCs/>
              </w:rPr>
              <w:t>1</w:t>
            </w:r>
          </w:p>
        </w:tc>
        <w:tc>
          <w:tcPr>
            <w:tcW w:w="1180" w:type="dxa"/>
            <w:vAlign w:val="center"/>
          </w:tcPr>
          <w:p w14:paraId="48DFE06C" w14:textId="77777777" w:rsidR="00183338" w:rsidRPr="003350F2" w:rsidRDefault="00183338" w:rsidP="00AF3BA2">
            <w:pPr>
              <w:jc w:val="center"/>
              <w:rPr>
                <w:bCs/>
              </w:rPr>
            </w:pPr>
            <w:r w:rsidRPr="003350F2">
              <w:rPr>
                <w:bCs/>
              </w:rPr>
              <w:t>2</w:t>
            </w:r>
          </w:p>
        </w:tc>
        <w:tc>
          <w:tcPr>
            <w:tcW w:w="1248" w:type="dxa"/>
            <w:vAlign w:val="center"/>
          </w:tcPr>
          <w:p w14:paraId="4FB15F68" w14:textId="77777777" w:rsidR="00183338" w:rsidRPr="003350F2" w:rsidRDefault="00183338" w:rsidP="00AF3BA2">
            <w:pPr>
              <w:jc w:val="center"/>
              <w:rPr>
                <w:bCs/>
              </w:rPr>
            </w:pPr>
            <w:r w:rsidRPr="003350F2">
              <w:rPr>
                <w:bCs/>
              </w:rPr>
              <w:t>3</w:t>
            </w:r>
          </w:p>
        </w:tc>
        <w:tc>
          <w:tcPr>
            <w:tcW w:w="1138" w:type="dxa"/>
            <w:vAlign w:val="center"/>
          </w:tcPr>
          <w:p w14:paraId="62A60041" w14:textId="77777777" w:rsidR="00183338" w:rsidRPr="003350F2" w:rsidRDefault="00183338" w:rsidP="00AF3BA2">
            <w:pPr>
              <w:jc w:val="center"/>
              <w:rPr>
                <w:bCs/>
              </w:rPr>
            </w:pPr>
            <w:r w:rsidRPr="003350F2">
              <w:rPr>
                <w:bCs/>
              </w:rPr>
              <w:t>4</w:t>
            </w:r>
          </w:p>
        </w:tc>
        <w:tc>
          <w:tcPr>
            <w:tcW w:w="1185" w:type="dxa"/>
            <w:vAlign w:val="center"/>
          </w:tcPr>
          <w:p w14:paraId="1564B7E6" w14:textId="77777777" w:rsidR="00183338" w:rsidRPr="003350F2" w:rsidRDefault="00183338" w:rsidP="00AF3BA2">
            <w:pPr>
              <w:jc w:val="center"/>
              <w:rPr>
                <w:bCs/>
              </w:rPr>
            </w:pPr>
            <w:r w:rsidRPr="003350F2">
              <w:rPr>
                <w:bCs/>
              </w:rPr>
              <w:t>5</w:t>
            </w:r>
          </w:p>
        </w:tc>
        <w:tc>
          <w:tcPr>
            <w:tcW w:w="1139" w:type="dxa"/>
            <w:vAlign w:val="center"/>
          </w:tcPr>
          <w:p w14:paraId="53EFB6D0" w14:textId="77777777" w:rsidR="00183338" w:rsidRPr="003350F2" w:rsidRDefault="00183338" w:rsidP="00AF3BA2">
            <w:pPr>
              <w:jc w:val="center"/>
              <w:rPr>
                <w:bCs/>
              </w:rPr>
            </w:pPr>
            <w:r w:rsidRPr="003350F2">
              <w:rPr>
                <w:bCs/>
              </w:rPr>
              <w:t>6</w:t>
            </w:r>
          </w:p>
        </w:tc>
        <w:tc>
          <w:tcPr>
            <w:tcW w:w="1150" w:type="dxa"/>
          </w:tcPr>
          <w:p w14:paraId="2E45359C" w14:textId="77777777" w:rsidR="00183338" w:rsidRPr="003350F2" w:rsidRDefault="00183338" w:rsidP="00AF3BA2">
            <w:pPr>
              <w:jc w:val="center"/>
              <w:rPr>
                <w:bCs/>
              </w:rPr>
            </w:pPr>
            <w:r w:rsidRPr="003350F2">
              <w:rPr>
                <w:bCs/>
              </w:rPr>
              <w:t>7</w:t>
            </w:r>
          </w:p>
        </w:tc>
        <w:tc>
          <w:tcPr>
            <w:tcW w:w="1150" w:type="dxa"/>
          </w:tcPr>
          <w:p w14:paraId="302678AA" w14:textId="77777777" w:rsidR="00183338" w:rsidRPr="003350F2" w:rsidRDefault="00183338" w:rsidP="00AF3BA2">
            <w:pPr>
              <w:jc w:val="center"/>
              <w:rPr>
                <w:bCs/>
              </w:rPr>
            </w:pPr>
            <w:r w:rsidRPr="003350F2">
              <w:rPr>
                <w:bCs/>
              </w:rPr>
              <w:t>8</w:t>
            </w:r>
          </w:p>
        </w:tc>
      </w:tr>
      <w:tr w:rsidR="00183338" w:rsidRPr="003350F2" w14:paraId="295EEA1E" w14:textId="77777777" w:rsidTr="000F14D1">
        <w:trPr>
          <w:jc w:val="center"/>
        </w:trPr>
        <w:tc>
          <w:tcPr>
            <w:tcW w:w="2359" w:type="dxa"/>
          </w:tcPr>
          <w:p w14:paraId="648485E2" w14:textId="77777777" w:rsidR="00183338" w:rsidRPr="003350F2" w:rsidRDefault="00183338" w:rsidP="00AF3BA2">
            <w:pPr>
              <w:rPr>
                <w:i/>
              </w:rPr>
            </w:pPr>
            <w:r w:rsidRPr="003350F2">
              <w:t>1. Budžeta ieņēmumi:</w:t>
            </w:r>
          </w:p>
        </w:tc>
        <w:tc>
          <w:tcPr>
            <w:tcW w:w="1180" w:type="dxa"/>
          </w:tcPr>
          <w:p w14:paraId="4B111574" w14:textId="77777777" w:rsidR="00183338" w:rsidRPr="003350F2" w:rsidRDefault="00183338" w:rsidP="00AF3BA2">
            <w:pPr>
              <w:jc w:val="center"/>
              <w:rPr>
                <w:b/>
              </w:rPr>
            </w:pPr>
            <w:r w:rsidRPr="003350F2">
              <w:rPr>
                <w:b/>
              </w:rPr>
              <w:t>0</w:t>
            </w:r>
          </w:p>
        </w:tc>
        <w:tc>
          <w:tcPr>
            <w:tcW w:w="1248" w:type="dxa"/>
          </w:tcPr>
          <w:p w14:paraId="6970E19F" w14:textId="77777777" w:rsidR="00183338" w:rsidRPr="003350F2" w:rsidRDefault="00183338" w:rsidP="00AF3BA2">
            <w:pPr>
              <w:jc w:val="center"/>
              <w:rPr>
                <w:b/>
              </w:rPr>
            </w:pPr>
            <w:r w:rsidRPr="003350F2">
              <w:rPr>
                <w:b/>
              </w:rPr>
              <w:t>0</w:t>
            </w:r>
          </w:p>
        </w:tc>
        <w:tc>
          <w:tcPr>
            <w:tcW w:w="1138" w:type="dxa"/>
          </w:tcPr>
          <w:p w14:paraId="2A8C92D7" w14:textId="77777777" w:rsidR="00183338" w:rsidRPr="003350F2" w:rsidRDefault="00183338" w:rsidP="00AF3BA2">
            <w:pPr>
              <w:jc w:val="center"/>
              <w:rPr>
                <w:b/>
              </w:rPr>
            </w:pPr>
            <w:r w:rsidRPr="003350F2">
              <w:rPr>
                <w:b/>
              </w:rPr>
              <w:t>0</w:t>
            </w:r>
          </w:p>
        </w:tc>
        <w:tc>
          <w:tcPr>
            <w:tcW w:w="1185" w:type="dxa"/>
          </w:tcPr>
          <w:p w14:paraId="6DEA022B" w14:textId="77777777" w:rsidR="00183338" w:rsidRPr="003350F2" w:rsidRDefault="00183338" w:rsidP="00AF3BA2">
            <w:pPr>
              <w:jc w:val="center"/>
              <w:rPr>
                <w:b/>
              </w:rPr>
            </w:pPr>
            <w:r w:rsidRPr="003350F2">
              <w:rPr>
                <w:b/>
              </w:rPr>
              <w:t>0</w:t>
            </w:r>
          </w:p>
        </w:tc>
        <w:tc>
          <w:tcPr>
            <w:tcW w:w="1139" w:type="dxa"/>
          </w:tcPr>
          <w:p w14:paraId="45621113" w14:textId="77777777" w:rsidR="00183338" w:rsidRPr="003350F2" w:rsidRDefault="00183338" w:rsidP="00AF3BA2">
            <w:pPr>
              <w:jc w:val="center"/>
              <w:rPr>
                <w:b/>
              </w:rPr>
            </w:pPr>
            <w:r w:rsidRPr="003350F2">
              <w:rPr>
                <w:b/>
              </w:rPr>
              <w:t>0</w:t>
            </w:r>
          </w:p>
        </w:tc>
        <w:tc>
          <w:tcPr>
            <w:tcW w:w="1150" w:type="dxa"/>
          </w:tcPr>
          <w:p w14:paraId="5E35DDA4" w14:textId="77777777" w:rsidR="00183338" w:rsidRPr="003350F2" w:rsidRDefault="00183338" w:rsidP="00AF3BA2">
            <w:pPr>
              <w:jc w:val="center"/>
              <w:rPr>
                <w:b/>
              </w:rPr>
            </w:pPr>
            <w:r w:rsidRPr="003350F2">
              <w:rPr>
                <w:b/>
              </w:rPr>
              <w:t>0</w:t>
            </w:r>
          </w:p>
        </w:tc>
        <w:tc>
          <w:tcPr>
            <w:tcW w:w="1150" w:type="dxa"/>
          </w:tcPr>
          <w:p w14:paraId="5384D151" w14:textId="77777777" w:rsidR="00183338" w:rsidRPr="003350F2" w:rsidRDefault="00183338" w:rsidP="00AF3BA2">
            <w:pPr>
              <w:jc w:val="center"/>
              <w:rPr>
                <w:b/>
              </w:rPr>
            </w:pPr>
            <w:r w:rsidRPr="003350F2">
              <w:rPr>
                <w:b/>
              </w:rPr>
              <w:t>0</w:t>
            </w:r>
          </w:p>
        </w:tc>
      </w:tr>
      <w:tr w:rsidR="0015693E" w:rsidRPr="003350F2" w14:paraId="5CC37F00" w14:textId="77777777" w:rsidTr="000F14D1">
        <w:trPr>
          <w:jc w:val="center"/>
        </w:trPr>
        <w:tc>
          <w:tcPr>
            <w:tcW w:w="2359" w:type="dxa"/>
          </w:tcPr>
          <w:p w14:paraId="394844A2" w14:textId="77777777" w:rsidR="0015693E" w:rsidRPr="003350F2" w:rsidRDefault="0015693E" w:rsidP="0015693E">
            <w:pPr>
              <w:rPr>
                <w:i/>
              </w:rPr>
            </w:pPr>
            <w:r w:rsidRPr="003350F2">
              <w:t>1.1. valsts pamatbudžets, tai skaitā ieņēmumi no maksas pakalpojumiem un citi pašu ieņēmumi</w:t>
            </w:r>
          </w:p>
        </w:tc>
        <w:tc>
          <w:tcPr>
            <w:tcW w:w="1180" w:type="dxa"/>
          </w:tcPr>
          <w:p w14:paraId="247DDC7C" w14:textId="614CD86E" w:rsidR="0015693E" w:rsidRPr="003350F2" w:rsidRDefault="0015693E" w:rsidP="0015693E">
            <w:pPr>
              <w:jc w:val="center"/>
              <w:rPr>
                <w:i/>
              </w:rPr>
            </w:pPr>
            <w:r w:rsidRPr="003350F2">
              <w:rPr>
                <w:i/>
              </w:rPr>
              <w:t>0</w:t>
            </w:r>
          </w:p>
        </w:tc>
        <w:tc>
          <w:tcPr>
            <w:tcW w:w="1248" w:type="dxa"/>
          </w:tcPr>
          <w:p w14:paraId="0B804E87" w14:textId="5C17E301" w:rsidR="0015693E" w:rsidRPr="003350F2" w:rsidRDefault="0015693E" w:rsidP="0015693E">
            <w:pPr>
              <w:jc w:val="center"/>
              <w:rPr>
                <w:i/>
              </w:rPr>
            </w:pPr>
            <w:r>
              <w:rPr>
                <w:i/>
              </w:rPr>
              <w:t>0</w:t>
            </w:r>
          </w:p>
        </w:tc>
        <w:tc>
          <w:tcPr>
            <w:tcW w:w="1138" w:type="dxa"/>
          </w:tcPr>
          <w:p w14:paraId="54513D79" w14:textId="1B6C7E8C" w:rsidR="0015693E" w:rsidRPr="003350F2" w:rsidRDefault="0015693E" w:rsidP="0015693E">
            <w:pPr>
              <w:jc w:val="center"/>
              <w:rPr>
                <w:i/>
              </w:rPr>
            </w:pPr>
            <w:r w:rsidRPr="003350F2">
              <w:rPr>
                <w:i/>
              </w:rPr>
              <w:t>0</w:t>
            </w:r>
          </w:p>
        </w:tc>
        <w:tc>
          <w:tcPr>
            <w:tcW w:w="1185" w:type="dxa"/>
          </w:tcPr>
          <w:p w14:paraId="4BB04025" w14:textId="2C3F8AE4" w:rsidR="0015693E" w:rsidRPr="003350F2" w:rsidRDefault="0015693E" w:rsidP="0015693E">
            <w:pPr>
              <w:jc w:val="center"/>
              <w:rPr>
                <w:i/>
              </w:rPr>
            </w:pPr>
            <w:r w:rsidRPr="003350F2">
              <w:rPr>
                <w:i/>
              </w:rPr>
              <w:t>0</w:t>
            </w:r>
          </w:p>
        </w:tc>
        <w:tc>
          <w:tcPr>
            <w:tcW w:w="1139" w:type="dxa"/>
          </w:tcPr>
          <w:p w14:paraId="4399A894" w14:textId="1CC011FD" w:rsidR="0015693E" w:rsidRPr="003350F2" w:rsidRDefault="0015693E" w:rsidP="0015693E">
            <w:pPr>
              <w:jc w:val="center"/>
              <w:rPr>
                <w:i/>
              </w:rPr>
            </w:pPr>
            <w:r w:rsidRPr="003350F2">
              <w:rPr>
                <w:i/>
              </w:rPr>
              <w:t>0</w:t>
            </w:r>
          </w:p>
        </w:tc>
        <w:tc>
          <w:tcPr>
            <w:tcW w:w="1150" w:type="dxa"/>
          </w:tcPr>
          <w:p w14:paraId="78E50722" w14:textId="0F7EE37D" w:rsidR="0015693E" w:rsidRPr="003350F2" w:rsidRDefault="0015693E" w:rsidP="0015693E">
            <w:pPr>
              <w:jc w:val="center"/>
              <w:rPr>
                <w:i/>
              </w:rPr>
            </w:pPr>
            <w:r w:rsidRPr="003350F2">
              <w:rPr>
                <w:i/>
              </w:rPr>
              <w:t>0</w:t>
            </w:r>
          </w:p>
        </w:tc>
        <w:tc>
          <w:tcPr>
            <w:tcW w:w="1150" w:type="dxa"/>
          </w:tcPr>
          <w:p w14:paraId="054FAD99" w14:textId="11E9FE51" w:rsidR="0015693E" w:rsidRPr="003350F2" w:rsidRDefault="0015693E" w:rsidP="0015693E">
            <w:pPr>
              <w:jc w:val="center"/>
              <w:rPr>
                <w:i/>
              </w:rPr>
            </w:pPr>
            <w:r w:rsidRPr="003350F2">
              <w:rPr>
                <w:i/>
              </w:rPr>
              <w:t>0</w:t>
            </w:r>
          </w:p>
        </w:tc>
      </w:tr>
      <w:tr w:rsidR="0015693E" w:rsidRPr="003350F2" w14:paraId="69998D60" w14:textId="77777777" w:rsidTr="000F14D1">
        <w:trPr>
          <w:jc w:val="center"/>
        </w:trPr>
        <w:tc>
          <w:tcPr>
            <w:tcW w:w="2359" w:type="dxa"/>
          </w:tcPr>
          <w:p w14:paraId="52EC1A96" w14:textId="77777777" w:rsidR="0015693E" w:rsidRPr="003350F2" w:rsidRDefault="0015693E" w:rsidP="0015693E">
            <w:pPr>
              <w:rPr>
                <w:i/>
              </w:rPr>
            </w:pPr>
            <w:r w:rsidRPr="003350F2">
              <w:t>1.2. valsts speciālais budžets</w:t>
            </w:r>
          </w:p>
        </w:tc>
        <w:tc>
          <w:tcPr>
            <w:tcW w:w="1180" w:type="dxa"/>
          </w:tcPr>
          <w:p w14:paraId="46C4C26F" w14:textId="4D416F66" w:rsidR="0015693E" w:rsidRPr="003350F2" w:rsidRDefault="0015693E" w:rsidP="0015693E">
            <w:pPr>
              <w:jc w:val="center"/>
            </w:pPr>
            <w:r w:rsidRPr="003350F2">
              <w:rPr>
                <w:i/>
              </w:rPr>
              <w:t>0</w:t>
            </w:r>
          </w:p>
        </w:tc>
        <w:tc>
          <w:tcPr>
            <w:tcW w:w="1248" w:type="dxa"/>
          </w:tcPr>
          <w:p w14:paraId="05640348" w14:textId="625B718C" w:rsidR="0015693E" w:rsidRPr="003350F2" w:rsidRDefault="0015693E" w:rsidP="0015693E">
            <w:pPr>
              <w:jc w:val="center"/>
            </w:pPr>
            <w:r>
              <w:rPr>
                <w:i/>
              </w:rPr>
              <w:t>0</w:t>
            </w:r>
          </w:p>
        </w:tc>
        <w:tc>
          <w:tcPr>
            <w:tcW w:w="1138" w:type="dxa"/>
          </w:tcPr>
          <w:p w14:paraId="68DE844C" w14:textId="691FEB5D" w:rsidR="0015693E" w:rsidRPr="003350F2" w:rsidRDefault="0015693E" w:rsidP="0015693E">
            <w:pPr>
              <w:jc w:val="center"/>
            </w:pPr>
            <w:r w:rsidRPr="003350F2">
              <w:rPr>
                <w:i/>
              </w:rPr>
              <w:t>0</w:t>
            </w:r>
          </w:p>
        </w:tc>
        <w:tc>
          <w:tcPr>
            <w:tcW w:w="1185" w:type="dxa"/>
          </w:tcPr>
          <w:p w14:paraId="3B8638B8" w14:textId="08953105" w:rsidR="0015693E" w:rsidRPr="003350F2" w:rsidRDefault="0015693E" w:rsidP="0015693E">
            <w:pPr>
              <w:jc w:val="center"/>
            </w:pPr>
            <w:r w:rsidRPr="003350F2">
              <w:rPr>
                <w:i/>
              </w:rPr>
              <w:t>0</w:t>
            </w:r>
          </w:p>
        </w:tc>
        <w:tc>
          <w:tcPr>
            <w:tcW w:w="1139" w:type="dxa"/>
          </w:tcPr>
          <w:p w14:paraId="273AADE8" w14:textId="5E864550" w:rsidR="0015693E" w:rsidRPr="003350F2" w:rsidRDefault="0015693E" w:rsidP="0015693E">
            <w:pPr>
              <w:jc w:val="center"/>
            </w:pPr>
            <w:r w:rsidRPr="003350F2">
              <w:rPr>
                <w:i/>
              </w:rPr>
              <w:t>0</w:t>
            </w:r>
          </w:p>
        </w:tc>
        <w:tc>
          <w:tcPr>
            <w:tcW w:w="1150" w:type="dxa"/>
          </w:tcPr>
          <w:p w14:paraId="112E6690" w14:textId="601DE640" w:rsidR="0015693E" w:rsidRPr="003350F2" w:rsidRDefault="0015693E" w:rsidP="0015693E">
            <w:pPr>
              <w:jc w:val="center"/>
            </w:pPr>
            <w:r w:rsidRPr="003350F2">
              <w:rPr>
                <w:i/>
              </w:rPr>
              <w:t>0</w:t>
            </w:r>
          </w:p>
        </w:tc>
        <w:tc>
          <w:tcPr>
            <w:tcW w:w="1150" w:type="dxa"/>
          </w:tcPr>
          <w:p w14:paraId="3C216E84" w14:textId="76171D6F" w:rsidR="0015693E" w:rsidRPr="003350F2" w:rsidRDefault="0015693E" w:rsidP="0015693E">
            <w:pPr>
              <w:jc w:val="center"/>
            </w:pPr>
            <w:r w:rsidRPr="003350F2">
              <w:rPr>
                <w:i/>
              </w:rPr>
              <w:t>0</w:t>
            </w:r>
          </w:p>
        </w:tc>
      </w:tr>
      <w:tr w:rsidR="0015693E" w:rsidRPr="003350F2" w14:paraId="5145431F" w14:textId="77777777" w:rsidTr="000F14D1">
        <w:trPr>
          <w:jc w:val="center"/>
        </w:trPr>
        <w:tc>
          <w:tcPr>
            <w:tcW w:w="2359" w:type="dxa"/>
          </w:tcPr>
          <w:p w14:paraId="42D18A65" w14:textId="77777777" w:rsidR="0015693E" w:rsidRPr="003350F2" w:rsidRDefault="0015693E" w:rsidP="0015693E">
            <w:pPr>
              <w:rPr>
                <w:i/>
              </w:rPr>
            </w:pPr>
            <w:r w:rsidRPr="003350F2">
              <w:t>1.3. pašvaldību budžets</w:t>
            </w:r>
          </w:p>
        </w:tc>
        <w:tc>
          <w:tcPr>
            <w:tcW w:w="1180" w:type="dxa"/>
          </w:tcPr>
          <w:p w14:paraId="7BB71B74" w14:textId="47F79480" w:rsidR="0015693E" w:rsidRPr="003350F2" w:rsidRDefault="0015693E" w:rsidP="0015693E">
            <w:pPr>
              <w:jc w:val="center"/>
            </w:pPr>
            <w:r w:rsidRPr="003350F2">
              <w:rPr>
                <w:i/>
              </w:rPr>
              <w:t>0</w:t>
            </w:r>
          </w:p>
        </w:tc>
        <w:tc>
          <w:tcPr>
            <w:tcW w:w="1248" w:type="dxa"/>
          </w:tcPr>
          <w:p w14:paraId="3AA53E62" w14:textId="0008C79F" w:rsidR="0015693E" w:rsidRPr="003350F2" w:rsidRDefault="0015693E" w:rsidP="0015693E">
            <w:pPr>
              <w:jc w:val="center"/>
            </w:pPr>
            <w:r>
              <w:rPr>
                <w:i/>
              </w:rPr>
              <w:t>0</w:t>
            </w:r>
          </w:p>
        </w:tc>
        <w:tc>
          <w:tcPr>
            <w:tcW w:w="1138" w:type="dxa"/>
          </w:tcPr>
          <w:p w14:paraId="7056F836" w14:textId="6BDEDF6C" w:rsidR="0015693E" w:rsidRPr="003350F2" w:rsidRDefault="0015693E" w:rsidP="0015693E">
            <w:pPr>
              <w:jc w:val="center"/>
            </w:pPr>
            <w:r w:rsidRPr="003350F2">
              <w:rPr>
                <w:i/>
              </w:rPr>
              <w:t>0</w:t>
            </w:r>
          </w:p>
        </w:tc>
        <w:tc>
          <w:tcPr>
            <w:tcW w:w="1185" w:type="dxa"/>
          </w:tcPr>
          <w:p w14:paraId="537D1BD0" w14:textId="602E2912" w:rsidR="0015693E" w:rsidRPr="003350F2" w:rsidRDefault="0015693E" w:rsidP="0015693E">
            <w:pPr>
              <w:jc w:val="center"/>
            </w:pPr>
            <w:r w:rsidRPr="003350F2">
              <w:rPr>
                <w:i/>
              </w:rPr>
              <w:t>0</w:t>
            </w:r>
          </w:p>
        </w:tc>
        <w:tc>
          <w:tcPr>
            <w:tcW w:w="1139" w:type="dxa"/>
          </w:tcPr>
          <w:p w14:paraId="01A0DF7F" w14:textId="65EA824F" w:rsidR="0015693E" w:rsidRPr="003350F2" w:rsidRDefault="0015693E" w:rsidP="0015693E">
            <w:pPr>
              <w:jc w:val="center"/>
            </w:pPr>
            <w:r w:rsidRPr="003350F2">
              <w:rPr>
                <w:i/>
              </w:rPr>
              <w:t>0</w:t>
            </w:r>
          </w:p>
        </w:tc>
        <w:tc>
          <w:tcPr>
            <w:tcW w:w="1150" w:type="dxa"/>
          </w:tcPr>
          <w:p w14:paraId="13AAB1F4" w14:textId="70960AAE" w:rsidR="0015693E" w:rsidRPr="003350F2" w:rsidRDefault="0015693E" w:rsidP="0015693E">
            <w:pPr>
              <w:jc w:val="center"/>
            </w:pPr>
            <w:r w:rsidRPr="003350F2">
              <w:rPr>
                <w:i/>
              </w:rPr>
              <w:t>0</w:t>
            </w:r>
          </w:p>
        </w:tc>
        <w:tc>
          <w:tcPr>
            <w:tcW w:w="1150" w:type="dxa"/>
          </w:tcPr>
          <w:p w14:paraId="16799491" w14:textId="4724AA53" w:rsidR="0015693E" w:rsidRPr="003350F2" w:rsidRDefault="0015693E" w:rsidP="0015693E">
            <w:pPr>
              <w:jc w:val="center"/>
            </w:pPr>
            <w:r w:rsidRPr="003350F2">
              <w:rPr>
                <w:i/>
              </w:rPr>
              <w:t>0</w:t>
            </w:r>
          </w:p>
        </w:tc>
      </w:tr>
      <w:tr w:rsidR="00183338" w:rsidRPr="003350F2" w14:paraId="0E827CC6" w14:textId="77777777" w:rsidTr="000F14D1">
        <w:trPr>
          <w:jc w:val="center"/>
        </w:trPr>
        <w:tc>
          <w:tcPr>
            <w:tcW w:w="2359" w:type="dxa"/>
          </w:tcPr>
          <w:p w14:paraId="692CE68C" w14:textId="77777777" w:rsidR="00183338" w:rsidRPr="003350F2" w:rsidRDefault="00183338" w:rsidP="00582BD7">
            <w:r w:rsidRPr="003350F2">
              <w:t>2. Budžeta izdevumi:</w:t>
            </w:r>
          </w:p>
        </w:tc>
        <w:tc>
          <w:tcPr>
            <w:tcW w:w="1180" w:type="dxa"/>
          </w:tcPr>
          <w:p w14:paraId="7A9568C4" w14:textId="77777777" w:rsidR="00183338" w:rsidRPr="003350F2" w:rsidRDefault="00183338" w:rsidP="00582BD7">
            <w:pPr>
              <w:jc w:val="center"/>
              <w:rPr>
                <w:b/>
              </w:rPr>
            </w:pPr>
            <w:r w:rsidRPr="003350F2">
              <w:rPr>
                <w:b/>
              </w:rPr>
              <w:t>0</w:t>
            </w:r>
          </w:p>
        </w:tc>
        <w:tc>
          <w:tcPr>
            <w:tcW w:w="1248" w:type="dxa"/>
          </w:tcPr>
          <w:p w14:paraId="50E11439" w14:textId="77777777" w:rsidR="00183338" w:rsidRPr="003350F2" w:rsidRDefault="00E26C13" w:rsidP="006E49B0">
            <w:pPr>
              <w:jc w:val="center"/>
              <w:rPr>
                <w:b/>
              </w:rPr>
            </w:pPr>
            <w:r>
              <w:rPr>
                <w:b/>
              </w:rPr>
              <w:t>0</w:t>
            </w:r>
          </w:p>
        </w:tc>
        <w:tc>
          <w:tcPr>
            <w:tcW w:w="1138" w:type="dxa"/>
          </w:tcPr>
          <w:p w14:paraId="65D1B3A2" w14:textId="77777777" w:rsidR="00183338" w:rsidRPr="003350F2" w:rsidRDefault="00183338" w:rsidP="00582BD7">
            <w:pPr>
              <w:jc w:val="center"/>
              <w:rPr>
                <w:b/>
              </w:rPr>
            </w:pPr>
            <w:r w:rsidRPr="003350F2">
              <w:rPr>
                <w:b/>
              </w:rPr>
              <w:t>0</w:t>
            </w:r>
          </w:p>
        </w:tc>
        <w:tc>
          <w:tcPr>
            <w:tcW w:w="1185" w:type="dxa"/>
          </w:tcPr>
          <w:p w14:paraId="38E54164" w14:textId="77777777" w:rsidR="00183338" w:rsidRPr="003350F2" w:rsidRDefault="00183338" w:rsidP="00582BD7">
            <w:pPr>
              <w:jc w:val="center"/>
              <w:rPr>
                <w:b/>
              </w:rPr>
            </w:pPr>
            <w:r w:rsidRPr="003350F2">
              <w:rPr>
                <w:b/>
              </w:rPr>
              <w:t>0</w:t>
            </w:r>
          </w:p>
        </w:tc>
        <w:tc>
          <w:tcPr>
            <w:tcW w:w="1139" w:type="dxa"/>
          </w:tcPr>
          <w:p w14:paraId="4E0A769D" w14:textId="77777777" w:rsidR="00183338" w:rsidRPr="003350F2" w:rsidRDefault="00183338" w:rsidP="00582BD7">
            <w:pPr>
              <w:jc w:val="center"/>
              <w:rPr>
                <w:b/>
              </w:rPr>
            </w:pPr>
            <w:r w:rsidRPr="003350F2">
              <w:rPr>
                <w:b/>
              </w:rPr>
              <w:t>0</w:t>
            </w:r>
          </w:p>
        </w:tc>
        <w:tc>
          <w:tcPr>
            <w:tcW w:w="1150" w:type="dxa"/>
          </w:tcPr>
          <w:p w14:paraId="02754459" w14:textId="77777777" w:rsidR="00183338" w:rsidRPr="003350F2" w:rsidRDefault="00183338" w:rsidP="00582BD7">
            <w:pPr>
              <w:jc w:val="center"/>
              <w:rPr>
                <w:b/>
              </w:rPr>
            </w:pPr>
            <w:r w:rsidRPr="003350F2">
              <w:rPr>
                <w:b/>
              </w:rPr>
              <w:t>0</w:t>
            </w:r>
          </w:p>
        </w:tc>
        <w:tc>
          <w:tcPr>
            <w:tcW w:w="1150" w:type="dxa"/>
          </w:tcPr>
          <w:p w14:paraId="67CBBF9B" w14:textId="77777777" w:rsidR="00183338" w:rsidRPr="003350F2" w:rsidRDefault="00183338" w:rsidP="00582BD7">
            <w:pPr>
              <w:jc w:val="center"/>
              <w:rPr>
                <w:b/>
              </w:rPr>
            </w:pPr>
            <w:r w:rsidRPr="003350F2">
              <w:rPr>
                <w:b/>
              </w:rPr>
              <w:t>0</w:t>
            </w:r>
          </w:p>
        </w:tc>
      </w:tr>
      <w:tr w:rsidR="00183338" w:rsidRPr="003350F2" w14:paraId="5AA0456D" w14:textId="77777777" w:rsidTr="000F14D1">
        <w:trPr>
          <w:jc w:val="center"/>
        </w:trPr>
        <w:tc>
          <w:tcPr>
            <w:tcW w:w="2359" w:type="dxa"/>
          </w:tcPr>
          <w:p w14:paraId="3EF96BC8" w14:textId="77777777" w:rsidR="00183338" w:rsidRPr="003350F2" w:rsidRDefault="00183338" w:rsidP="00582BD7">
            <w:r w:rsidRPr="003350F2">
              <w:t>2.1. valsts pamatbudžets</w:t>
            </w:r>
          </w:p>
        </w:tc>
        <w:tc>
          <w:tcPr>
            <w:tcW w:w="1180" w:type="dxa"/>
          </w:tcPr>
          <w:p w14:paraId="01A8A5D0" w14:textId="77777777" w:rsidR="00183338" w:rsidRPr="003350F2" w:rsidRDefault="00183338" w:rsidP="00582BD7">
            <w:pPr>
              <w:jc w:val="center"/>
              <w:rPr>
                <w:i/>
              </w:rPr>
            </w:pPr>
            <w:r w:rsidRPr="003350F2">
              <w:rPr>
                <w:i/>
              </w:rPr>
              <w:t>0</w:t>
            </w:r>
          </w:p>
        </w:tc>
        <w:tc>
          <w:tcPr>
            <w:tcW w:w="1248" w:type="dxa"/>
          </w:tcPr>
          <w:p w14:paraId="3DEDBAFC" w14:textId="77777777" w:rsidR="00183338" w:rsidRPr="003350F2" w:rsidRDefault="00E26C13" w:rsidP="00204842">
            <w:pPr>
              <w:jc w:val="center"/>
              <w:rPr>
                <w:i/>
              </w:rPr>
            </w:pPr>
            <w:r>
              <w:rPr>
                <w:i/>
              </w:rPr>
              <w:t>0</w:t>
            </w:r>
          </w:p>
        </w:tc>
        <w:tc>
          <w:tcPr>
            <w:tcW w:w="1138" w:type="dxa"/>
          </w:tcPr>
          <w:p w14:paraId="642B25A5" w14:textId="77777777" w:rsidR="00183338" w:rsidRPr="003350F2" w:rsidRDefault="00183338" w:rsidP="00582BD7">
            <w:pPr>
              <w:jc w:val="center"/>
              <w:rPr>
                <w:i/>
              </w:rPr>
            </w:pPr>
            <w:r w:rsidRPr="003350F2">
              <w:rPr>
                <w:i/>
              </w:rPr>
              <w:t>0</w:t>
            </w:r>
          </w:p>
        </w:tc>
        <w:tc>
          <w:tcPr>
            <w:tcW w:w="1185" w:type="dxa"/>
          </w:tcPr>
          <w:p w14:paraId="665016E9" w14:textId="77777777" w:rsidR="00183338" w:rsidRPr="003350F2" w:rsidRDefault="00183338" w:rsidP="00582BD7">
            <w:pPr>
              <w:jc w:val="center"/>
              <w:rPr>
                <w:i/>
              </w:rPr>
            </w:pPr>
            <w:r w:rsidRPr="003350F2">
              <w:rPr>
                <w:i/>
              </w:rPr>
              <w:t>0</w:t>
            </w:r>
          </w:p>
        </w:tc>
        <w:tc>
          <w:tcPr>
            <w:tcW w:w="1139" w:type="dxa"/>
          </w:tcPr>
          <w:p w14:paraId="298BDF08" w14:textId="77777777" w:rsidR="00183338" w:rsidRPr="003350F2" w:rsidRDefault="00183338" w:rsidP="00582BD7">
            <w:pPr>
              <w:jc w:val="center"/>
              <w:rPr>
                <w:i/>
              </w:rPr>
            </w:pPr>
            <w:r w:rsidRPr="003350F2">
              <w:rPr>
                <w:i/>
              </w:rPr>
              <w:t>0</w:t>
            </w:r>
          </w:p>
        </w:tc>
        <w:tc>
          <w:tcPr>
            <w:tcW w:w="1150" w:type="dxa"/>
          </w:tcPr>
          <w:p w14:paraId="75F80F71" w14:textId="77777777" w:rsidR="00183338" w:rsidRPr="003350F2" w:rsidRDefault="00183338" w:rsidP="00582BD7">
            <w:pPr>
              <w:jc w:val="center"/>
              <w:rPr>
                <w:i/>
              </w:rPr>
            </w:pPr>
            <w:r w:rsidRPr="003350F2">
              <w:rPr>
                <w:i/>
              </w:rPr>
              <w:t>0</w:t>
            </w:r>
          </w:p>
        </w:tc>
        <w:tc>
          <w:tcPr>
            <w:tcW w:w="1150" w:type="dxa"/>
          </w:tcPr>
          <w:p w14:paraId="48756493" w14:textId="77777777" w:rsidR="00183338" w:rsidRPr="003350F2" w:rsidRDefault="00183338" w:rsidP="00582BD7">
            <w:pPr>
              <w:jc w:val="center"/>
              <w:rPr>
                <w:i/>
              </w:rPr>
            </w:pPr>
            <w:r w:rsidRPr="003350F2">
              <w:rPr>
                <w:i/>
              </w:rPr>
              <w:t>0</w:t>
            </w:r>
          </w:p>
        </w:tc>
      </w:tr>
      <w:tr w:rsidR="0015693E" w:rsidRPr="003350F2" w14:paraId="1C07B3CF" w14:textId="77777777" w:rsidTr="000F14D1">
        <w:trPr>
          <w:jc w:val="center"/>
        </w:trPr>
        <w:tc>
          <w:tcPr>
            <w:tcW w:w="2359" w:type="dxa"/>
          </w:tcPr>
          <w:p w14:paraId="1453271D" w14:textId="77777777" w:rsidR="0015693E" w:rsidRPr="003350F2" w:rsidRDefault="0015693E" w:rsidP="0015693E">
            <w:r w:rsidRPr="003350F2">
              <w:t>2.2. valsts speciālais budžets</w:t>
            </w:r>
          </w:p>
        </w:tc>
        <w:tc>
          <w:tcPr>
            <w:tcW w:w="1180" w:type="dxa"/>
          </w:tcPr>
          <w:p w14:paraId="551034E9" w14:textId="07C7D37C" w:rsidR="0015693E" w:rsidRPr="003350F2" w:rsidRDefault="0015693E" w:rsidP="0015693E">
            <w:pPr>
              <w:jc w:val="center"/>
            </w:pPr>
            <w:r w:rsidRPr="003350F2">
              <w:rPr>
                <w:i/>
              </w:rPr>
              <w:t>0</w:t>
            </w:r>
          </w:p>
        </w:tc>
        <w:tc>
          <w:tcPr>
            <w:tcW w:w="1248" w:type="dxa"/>
          </w:tcPr>
          <w:p w14:paraId="69CAC361" w14:textId="18090016" w:rsidR="0015693E" w:rsidRPr="003350F2" w:rsidRDefault="0015693E" w:rsidP="0015693E">
            <w:pPr>
              <w:jc w:val="center"/>
            </w:pPr>
            <w:r>
              <w:rPr>
                <w:i/>
              </w:rPr>
              <w:t>0</w:t>
            </w:r>
          </w:p>
        </w:tc>
        <w:tc>
          <w:tcPr>
            <w:tcW w:w="1138" w:type="dxa"/>
          </w:tcPr>
          <w:p w14:paraId="22B6604B" w14:textId="2C54FCC6" w:rsidR="0015693E" w:rsidRPr="003350F2" w:rsidRDefault="0015693E" w:rsidP="0015693E">
            <w:pPr>
              <w:jc w:val="center"/>
            </w:pPr>
            <w:r w:rsidRPr="003350F2">
              <w:rPr>
                <w:i/>
              </w:rPr>
              <w:t>0</w:t>
            </w:r>
          </w:p>
        </w:tc>
        <w:tc>
          <w:tcPr>
            <w:tcW w:w="1185" w:type="dxa"/>
          </w:tcPr>
          <w:p w14:paraId="4998E0FB" w14:textId="5371F4EC" w:rsidR="0015693E" w:rsidRPr="003350F2" w:rsidRDefault="0015693E" w:rsidP="0015693E">
            <w:pPr>
              <w:jc w:val="center"/>
            </w:pPr>
            <w:r w:rsidRPr="003350F2">
              <w:rPr>
                <w:i/>
              </w:rPr>
              <w:t>0</w:t>
            </w:r>
          </w:p>
        </w:tc>
        <w:tc>
          <w:tcPr>
            <w:tcW w:w="1139" w:type="dxa"/>
          </w:tcPr>
          <w:p w14:paraId="08FBDED2" w14:textId="55CDD607" w:rsidR="0015693E" w:rsidRPr="003350F2" w:rsidRDefault="0015693E" w:rsidP="0015693E">
            <w:pPr>
              <w:jc w:val="center"/>
            </w:pPr>
            <w:r w:rsidRPr="003350F2">
              <w:rPr>
                <w:i/>
              </w:rPr>
              <w:t>0</w:t>
            </w:r>
          </w:p>
        </w:tc>
        <w:tc>
          <w:tcPr>
            <w:tcW w:w="1150" w:type="dxa"/>
          </w:tcPr>
          <w:p w14:paraId="419FC567" w14:textId="5498B1A5" w:rsidR="0015693E" w:rsidRPr="003350F2" w:rsidRDefault="0015693E" w:rsidP="0015693E">
            <w:pPr>
              <w:jc w:val="center"/>
            </w:pPr>
            <w:r w:rsidRPr="003350F2">
              <w:rPr>
                <w:i/>
              </w:rPr>
              <w:t>0</w:t>
            </w:r>
          </w:p>
        </w:tc>
        <w:tc>
          <w:tcPr>
            <w:tcW w:w="1150" w:type="dxa"/>
          </w:tcPr>
          <w:p w14:paraId="2964D337" w14:textId="00E3DE63" w:rsidR="0015693E" w:rsidRPr="003350F2" w:rsidRDefault="0015693E" w:rsidP="0015693E">
            <w:pPr>
              <w:jc w:val="center"/>
            </w:pPr>
            <w:r w:rsidRPr="003350F2">
              <w:rPr>
                <w:i/>
              </w:rPr>
              <w:t>0</w:t>
            </w:r>
          </w:p>
        </w:tc>
      </w:tr>
      <w:tr w:rsidR="0015693E" w:rsidRPr="003350F2" w14:paraId="68AC47A3" w14:textId="77777777" w:rsidTr="000F14D1">
        <w:trPr>
          <w:jc w:val="center"/>
        </w:trPr>
        <w:tc>
          <w:tcPr>
            <w:tcW w:w="2359" w:type="dxa"/>
          </w:tcPr>
          <w:p w14:paraId="6E89C2F8" w14:textId="77777777" w:rsidR="0015693E" w:rsidRPr="003350F2" w:rsidRDefault="0015693E" w:rsidP="0015693E">
            <w:r w:rsidRPr="003350F2">
              <w:t xml:space="preserve">2.3. pašvaldību budžets </w:t>
            </w:r>
          </w:p>
        </w:tc>
        <w:tc>
          <w:tcPr>
            <w:tcW w:w="1180" w:type="dxa"/>
          </w:tcPr>
          <w:p w14:paraId="36099BD5" w14:textId="40D72E77" w:rsidR="0015693E" w:rsidRPr="003350F2" w:rsidRDefault="0015693E" w:rsidP="0015693E">
            <w:pPr>
              <w:jc w:val="center"/>
            </w:pPr>
            <w:r w:rsidRPr="003350F2">
              <w:rPr>
                <w:i/>
              </w:rPr>
              <w:t>0</w:t>
            </w:r>
          </w:p>
        </w:tc>
        <w:tc>
          <w:tcPr>
            <w:tcW w:w="1248" w:type="dxa"/>
          </w:tcPr>
          <w:p w14:paraId="29ABF80C" w14:textId="1A1E7568" w:rsidR="0015693E" w:rsidRPr="003350F2" w:rsidRDefault="0015693E" w:rsidP="0015693E">
            <w:pPr>
              <w:jc w:val="center"/>
            </w:pPr>
            <w:r>
              <w:rPr>
                <w:i/>
              </w:rPr>
              <w:t>0</w:t>
            </w:r>
          </w:p>
        </w:tc>
        <w:tc>
          <w:tcPr>
            <w:tcW w:w="1138" w:type="dxa"/>
          </w:tcPr>
          <w:p w14:paraId="4557AAA4" w14:textId="1D8AE47C" w:rsidR="0015693E" w:rsidRPr="003350F2" w:rsidRDefault="0015693E" w:rsidP="0015693E">
            <w:pPr>
              <w:jc w:val="center"/>
            </w:pPr>
            <w:r w:rsidRPr="003350F2">
              <w:rPr>
                <w:i/>
              </w:rPr>
              <w:t>0</w:t>
            </w:r>
          </w:p>
        </w:tc>
        <w:tc>
          <w:tcPr>
            <w:tcW w:w="1185" w:type="dxa"/>
          </w:tcPr>
          <w:p w14:paraId="4F3A3DF4" w14:textId="746C2A62" w:rsidR="0015693E" w:rsidRPr="003350F2" w:rsidRDefault="0015693E" w:rsidP="0015693E">
            <w:pPr>
              <w:jc w:val="center"/>
            </w:pPr>
            <w:r w:rsidRPr="003350F2">
              <w:rPr>
                <w:i/>
              </w:rPr>
              <w:t>0</w:t>
            </w:r>
          </w:p>
        </w:tc>
        <w:tc>
          <w:tcPr>
            <w:tcW w:w="1139" w:type="dxa"/>
          </w:tcPr>
          <w:p w14:paraId="08679475" w14:textId="74A2DA6C" w:rsidR="0015693E" w:rsidRPr="003350F2" w:rsidRDefault="0015693E" w:rsidP="0015693E">
            <w:pPr>
              <w:jc w:val="center"/>
            </w:pPr>
            <w:r w:rsidRPr="003350F2">
              <w:rPr>
                <w:i/>
              </w:rPr>
              <w:t>0</w:t>
            </w:r>
          </w:p>
        </w:tc>
        <w:tc>
          <w:tcPr>
            <w:tcW w:w="1150" w:type="dxa"/>
          </w:tcPr>
          <w:p w14:paraId="08B705AE" w14:textId="26A265EF" w:rsidR="0015693E" w:rsidRPr="003350F2" w:rsidRDefault="0015693E" w:rsidP="0015693E">
            <w:pPr>
              <w:jc w:val="center"/>
            </w:pPr>
            <w:r w:rsidRPr="003350F2">
              <w:rPr>
                <w:i/>
              </w:rPr>
              <w:t>0</w:t>
            </w:r>
          </w:p>
        </w:tc>
        <w:tc>
          <w:tcPr>
            <w:tcW w:w="1150" w:type="dxa"/>
          </w:tcPr>
          <w:p w14:paraId="70618806" w14:textId="3F2D4FAD" w:rsidR="0015693E" w:rsidRPr="003350F2" w:rsidRDefault="0015693E" w:rsidP="0015693E">
            <w:pPr>
              <w:jc w:val="center"/>
            </w:pPr>
            <w:r w:rsidRPr="003350F2">
              <w:rPr>
                <w:i/>
              </w:rPr>
              <w:t>0</w:t>
            </w:r>
          </w:p>
        </w:tc>
      </w:tr>
      <w:tr w:rsidR="000F14D1" w:rsidRPr="003350F2" w14:paraId="1CD97C47" w14:textId="77777777" w:rsidTr="000F14D1">
        <w:trPr>
          <w:jc w:val="center"/>
        </w:trPr>
        <w:tc>
          <w:tcPr>
            <w:tcW w:w="2359" w:type="dxa"/>
          </w:tcPr>
          <w:p w14:paraId="344522FD" w14:textId="77777777" w:rsidR="000F14D1" w:rsidRPr="003350F2" w:rsidRDefault="000F14D1" w:rsidP="000F14D1">
            <w:r w:rsidRPr="003350F2">
              <w:t>3. Finansiālā ietekme:</w:t>
            </w:r>
          </w:p>
        </w:tc>
        <w:tc>
          <w:tcPr>
            <w:tcW w:w="1180" w:type="dxa"/>
            <w:shd w:val="clear" w:color="auto" w:fill="auto"/>
          </w:tcPr>
          <w:p w14:paraId="5B5C1787" w14:textId="77777777" w:rsidR="000F14D1" w:rsidRPr="003350F2" w:rsidRDefault="000F14D1" w:rsidP="000F14D1">
            <w:pPr>
              <w:jc w:val="center"/>
              <w:rPr>
                <w:b/>
              </w:rPr>
            </w:pPr>
            <w:r w:rsidRPr="003350F2">
              <w:rPr>
                <w:b/>
              </w:rPr>
              <w:t>0</w:t>
            </w:r>
          </w:p>
        </w:tc>
        <w:tc>
          <w:tcPr>
            <w:tcW w:w="1248" w:type="dxa"/>
          </w:tcPr>
          <w:p w14:paraId="76FF8B27" w14:textId="77777777" w:rsidR="000F14D1" w:rsidRPr="003350F2" w:rsidRDefault="00E26C13" w:rsidP="000F14D1">
            <w:pPr>
              <w:jc w:val="center"/>
              <w:rPr>
                <w:b/>
              </w:rPr>
            </w:pPr>
            <w:r>
              <w:rPr>
                <w:b/>
              </w:rPr>
              <w:t>0</w:t>
            </w:r>
          </w:p>
        </w:tc>
        <w:tc>
          <w:tcPr>
            <w:tcW w:w="1138" w:type="dxa"/>
          </w:tcPr>
          <w:p w14:paraId="448A53B3" w14:textId="77777777" w:rsidR="000F14D1" w:rsidRPr="003350F2" w:rsidRDefault="000F14D1" w:rsidP="000F14D1">
            <w:pPr>
              <w:jc w:val="center"/>
              <w:rPr>
                <w:b/>
              </w:rPr>
            </w:pPr>
            <w:r w:rsidRPr="003350F2">
              <w:rPr>
                <w:b/>
              </w:rPr>
              <w:t>0</w:t>
            </w:r>
          </w:p>
        </w:tc>
        <w:tc>
          <w:tcPr>
            <w:tcW w:w="1185" w:type="dxa"/>
          </w:tcPr>
          <w:p w14:paraId="09B9CFAD" w14:textId="77777777" w:rsidR="000F14D1" w:rsidRPr="003350F2" w:rsidRDefault="000F14D1" w:rsidP="000F14D1">
            <w:pPr>
              <w:jc w:val="center"/>
              <w:rPr>
                <w:b/>
              </w:rPr>
            </w:pPr>
            <w:r w:rsidRPr="003350F2">
              <w:rPr>
                <w:b/>
              </w:rPr>
              <w:t>0</w:t>
            </w:r>
          </w:p>
        </w:tc>
        <w:tc>
          <w:tcPr>
            <w:tcW w:w="1139" w:type="dxa"/>
          </w:tcPr>
          <w:p w14:paraId="3860C490" w14:textId="77777777" w:rsidR="000F14D1" w:rsidRPr="003350F2" w:rsidRDefault="000F14D1" w:rsidP="000F14D1">
            <w:pPr>
              <w:jc w:val="center"/>
              <w:rPr>
                <w:b/>
              </w:rPr>
            </w:pPr>
            <w:r w:rsidRPr="003350F2">
              <w:rPr>
                <w:b/>
              </w:rPr>
              <w:t>0</w:t>
            </w:r>
          </w:p>
        </w:tc>
        <w:tc>
          <w:tcPr>
            <w:tcW w:w="1150" w:type="dxa"/>
          </w:tcPr>
          <w:p w14:paraId="7361A24C" w14:textId="77777777" w:rsidR="000F14D1" w:rsidRPr="003350F2" w:rsidRDefault="000F14D1" w:rsidP="000F14D1">
            <w:pPr>
              <w:jc w:val="center"/>
              <w:rPr>
                <w:b/>
              </w:rPr>
            </w:pPr>
            <w:r w:rsidRPr="003350F2">
              <w:rPr>
                <w:b/>
              </w:rPr>
              <w:t>0</w:t>
            </w:r>
          </w:p>
        </w:tc>
        <w:tc>
          <w:tcPr>
            <w:tcW w:w="1150" w:type="dxa"/>
          </w:tcPr>
          <w:p w14:paraId="039C4396" w14:textId="77777777" w:rsidR="000F14D1" w:rsidRPr="003350F2" w:rsidRDefault="000F14D1" w:rsidP="000F14D1">
            <w:pPr>
              <w:jc w:val="center"/>
              <w:rPr>
                <w:b/>
              </w:rPr>
            </w:pPr>
            <w:r w:rsidRPr="003350F2">
              <w:rPr>
                <w:b/>
              </w:rPr>
              <w:t>0</w:t>
            </w:r>
          </w:p>
        </w:tc>
      </w:tr>
      <w:tr w:rsidR="000F14D1" w:rsidRPr="003350F2" w14:paraId="5456DA9F" w14:textId="77777777" w:rsidTr="000F14D1">
        <w:trPr>
          <w:jc w:val="center"/>
        </w:trPr>
        <w:tc>
          <w:tcPr>
            <w:tcW w:w="2359" w:type="dxa"/>
          </w:tcPr>
          <w:p w14:paraId="5E817EC4" w14:textId="77777777" w:rsidR="000F14D1" w:rsidRPr="003350F2" w:rsidRDefault="000F14D1" w:rsidP="000F14D1">
            <w:r w:rsidRPr="003350F2">
              <w:t>3.1. valsts pamatbudžets</w:t>
            </w:r>
          </w:p>
        </w:tc>
        <w:tc>
          <w:tcPr>
            <w:tcW w:w="1180" w:type="dxa"/>
            <w:shd w:val="clear" w:color="auto" w:fill="auto"/>
          </w:tcPr>
          <w:p w14:paraId="28E91047" w14:textId="77777777" w:rsidR="000F14D1" w:rsidRPr="003350F2" w:rsidRDefault="000F14D1" w:rsidP="000F14D1">
            <w:pPr>
              <w:jc w:val="center"/>
              <w:rPr>
                <w:i/>
              </w:rPr>
            </w:pPr>
            <w:r w:rsidRPr="003350F2">
              <w:rPr>
                <w:i/>
              </w:rPr>
              <w:t>0</w:t>
            </w:r>
          </w:p>
        </w:tc>
        <w:tc>
          <w:tcPr>
            <w:tcW w:w="1248" w:type="dxa"/>
          </w:tcPr>
          <w:p w14:paraId="10223CED" w14:textId="77777777" w:rsidR="000F14D1" w:rsidRPr="003350F2" w:rsidRDefault="00E26C13" w:rsidP="000F14D1">
            <w:pPr>
              <w:jc w:val="center"/>
              <w:rPr>
                <w:i/>
              </w:rPr>
            </w:pPr>
            <w:r>
              <w:rPr>
                <w:i/>
              </w:rPr>
              <w:t>0</w:t>
            </w:r>
          </w:p>
        </w:tc>
        <w:tc>
          <w:tcPr>
            <w:tcW w:w="1138" w:type="dxa"/>
          </w:tcPr>
          <w:p w14:paraId="0C880E5E" w14:textId="77777777" w:rsidR="000F14D1" w:rsidRPr="003350F2" w:rsidRDefault="000F14D1" w:rsidP="000F14D1">
            <w:pPr>
              <w:jc w:val="center"/>
              <w:rPr>
                <w:i/>
              </w:rPr>
            </w:pPr>
            <w:r w:rsidRPr="003350F2">
              <w:rPr>
                <w:i/>
              </w:rPr>
              <w:t>0</w:t>
            </w:r>
          </w:p>
        </w:tc>
        <w:tc>
          <w:tcPr>
            <w:tcW w:w="1185" w:type="dxa"/>
          </w:tcPr>
          <w:p w14:paraId="5A9BDD73" w14:textId="77777777" w:rsidR="000F14D1" w:rsidRPr="003350F2" w:rsidRDefault="000F14D1" w:rsidP="000F14D1">
            <w:pPr>
              <w:jc w:val="center"/>
              <w:rPr>
                <w:i/>
              </w:rPr>
            </w:pPr>
            <w:r w:rsidRPr="003350F2">
              <w:rPr>
                <w:i/>
              </w:rPr>
              <w:t>0</w:t>
            </w:r>
          </w:p>
        </w:tc>
        <w:tc>
          <w:tcPr>
            <w:tcW w:w="1139" w:type="dxa"/>
          </w:tcPr>
          <w:p w14:paraId="288B728D" w14:textId="77777777" w:rsidR="000F14D1" w:rsidRPr="003350F2" w:rsidRDefault="000F14D1" w:rsidP="000F14D1">
            <w:pPr>
              <w:jc w:val="center"/>
              <w:rPr>
                <w:i/>
              </w:rPr>
            </w:pPr>
            <w:r w:rsidRPr="003350F2">
              <w:rPr>
                <w:i/>
              </w:rPr>
              <w:t>0</w:t>
            </w:r>
          </w:p>
        </w:tc>
        <w:tc>
          <w:tcPr>
            <w:tcW w:w="1150" w:type="dxa"/>
          </w:tcPr>
          <w:p w14:paraId="08B642AC" w14:textId="77777777" w:rsidR="000F14D1" w:rsidRPr="003350F2" w:rsidRDefault="000F14D1" w:rsidP="000F14D1">
            <w:pPr>
              <w:jc w:val="center"/>
              <w:rPr>
                <w:i/>
              </w:rPr>
            </w:pPr>
            <w:r w:rsidRPr="003350F2">
              <w:rPr>
                <w:i/>
              </w:rPr>
              <w:t>0</w:t>
            </w:r>
          </w:p>
        </w:tc>
        <w:tc>
          <w:tcPr>
            <w:tcW w:w="1150" w:type="dxa"/>
          </w:tcPr>
          <w:p w14:paraId="532883D8" w14:textId="77777777" w:rsidR="000F14D1" w:rsidRPr="003350F2" w:rsidRDefault="000F14D1" w:rsidP="000F14D1">
            <w:pPr>
              <w:jc w:val="center"/>
              <w:rPr>
                <w:i/>
              </w:rPr>
            </w:pPr>
            <w:r w:rsidRPr="003350F2">
              <w:rPr>
                <w:i/>
              </w:rPr>
              <w:t>0</w:t>
            </w:r>
          </w:p>
        </w:tc>
      </w:tr>
      <w:tr w:rsidR="0015693E" w:rsidRPr="003350F2" w14:paraId="08E3120A" w14:textId="77777777" w:rsidTr="000F14D1">
        <w:trPr>
          <w:jc w:val="center"/>
        </w:trPr>
        <w:tc>
          <w:tcPr>
            <w:tcW w:w="2359" w:type="dxa"/>
          </w:tcPr>
          <w:p w14:paraId="230DE7D8" w14:textId="77777777" w:rsidR="0015693E" w:rsidRPr="003350F2" w:rsidRDefault="0015693E" w:rsidP="0015693E">
            <w:r w:rsidRPr="003350F2">
              <w:lastRenderedPageBreak/>
              <w:t>3.2. speciālais budžets</w:t>
            </w:r>
          </w:p>
        </w:tc>
        <w:tc>
          <w:tcPr>
            <w:tcW w:w="1180" w:type="dxa"/>
            <w:shd w:val="clear" w:color="auto" w:fill="auto"/>
          </w:tcPr>
          <w:p w14:paraId="67841A64" w14:textId="1322C94D" w:rsidR="0015693E" w:rsidRPr="003350F2" w:rsidRDefault="0015693E" w:rsidP="0015693E">
            <w:pPr>
              <w:jc w:val="center"/>
            </w:pPr>
            <w:r w:rsidRPr="003350F2">
              <w:rPr>
                <w:i/>
              </w:rPr>
              <w:t>0</w:t>
            </w:r>
          </w:p>
        </w:tc>
        <w:tc>
          <w:tcPr>
            <w:tcW w:w="1248" w:type="dxa"/>
          </w:tcPr>
          <w:p w14:paraId="51F54EC3" w14:textId="3891557B" w:rsidR="0015693E" w:rsidRPr="003350F2" w:rsidRDefault="0015693E" w:rsidP="0015693E">
            <w:pPr>
              <w:jc w:val="center"/>
            </w:pPr>
            <w:r>
              <w:rPr>
                <w:i/>
              </w:rPr>
              <w:t>0</w:t>
            </w:r>
          </w:p>
        </w:tc>
        <w:tc>
          <w:tcPr>
            <w:tcW w:w="1138" w:type="dxa"/>
          </w:tcPr>
          <w:p w14:paraId="4ADB5FE9" w14:textId="3A89269A" w:rsidR="0015693E" w:rsidRPr="003350F2" w:rsidRDefault="0015693E" w:rsidP="0015693E">
            <w:pPr>
              <w:jc w:val="center"/>
            </w:pPr>
            <w:r w:rsidRPr="003350F2">
              <w:rPr>
                <w:i/>
              </w:rPr>
              <w:t>0</w:t>
            </w:r>
          </w:p>
        </w:tc>
        <w:tc>
          <w:tcPr>
            <w:tcW w:w="1185" w:type="dxa"/>
          </w:tcPr>
          <w:p w14:paraId="5CFB5C03" w14:textId="3A9AB065" w:rsidR="0015693E" w:rsidRPr="003350F2" w:rsidRDefault="0015693E" w:rsidP="0015693E">
            <w:pPr>
              <w:jc w:val="center"/>
            </w:pPr>
            <w:r w:rsidRPr="003350F2">
              <w:rPr>
                <w:i/>
              </w:rPr>
              <w:t>0</w:t>
            </w:r>
          </w:p>
        </w:tc>
        <w:tc>
          <w:tcPr>
            <w:tcW w:w="1139" w:type="dxa"/>
          </w:tcPr>
          <w:p w14:paraId="3205CE49" w14:textId="5B6DF359" w:rsidR="0015693E" w:rsidRPr="003350F2" w:rsidRDefault="0015693E" w:rsidP="0015693E">
            <w:pPr>
              <w:jc w:val="center"/>
            </w:pPr>
            <w:r w:rsidRPr="003350F2">
              <w:rPr>
                <w:i/>
              </w:rPr>
              <w:t>0</w:t>
            </w:r>
          </w:p>
        </w:tc>
        <w:tc>
          <w:tcPr>
            <w:tcW w:w="1150" w:type="dxa"/>
          </w:tcPr>
          <w:p w14:paraId="23C78F47" w14:textId="241D8350" w:rsidR="0015693E" w:rsidRPr="003350F2" w:rsidRDefault="0015693E" w:rsidP="0015693E">
            <w:pPr>
              <w:jc w:val="center"/>
            </w:pPr>
            <w:r w:rsidRPr="003350F2">
              <w:rPr>
                <w:i/>
              </w:rPr>
              <w:t>0</w:t>
            </w:r>
          </w:p>
        </w:tc>
        <w:tc>
          <w:tcPr>
            <w:tcW w:w="1150" w:type="dxa"/>
          </w:tcPr>
          <w:p w14:paraId="39D05895" w14:textId="1B434FB5" w:rsidR="0015693E" w:rsidRPr="003350F2" w:rsidRDefault="0015693E" w:rsidP="0015693E">
            <w:pPr>
              <w:jc w:val="center"/>
            </w:pPr>
            <w:r w:rsidRPr="003350F2">
              <w:rPr>
                <w:i/>
              </w:rPr>
              <w:t>0</w:t>
            </w:r>
          </w:p>
        </w:tc>
      </w:tr>
      <w:tr w:rsidR="0015693E" w:rsidRPr="003350F2" w14:paraId="7B797FAD" w14:textId="77777777" w:rsidTr="000F14D1">
        <w:trPr>
          <w:jc w:val="center"/>
        </w:trPr>
        <w:tc>
          <w:tcPr>
            <w:tcW w:w="2359" w:type="dxa"/>
          </w:tcPr>
          <w:p w14:paraId="0A37CF2B" w14:textId="77777777" w:rsidR="0015693E" w:rsidRPr="003350F2" w:rsidRDefault="0015693E" w:rsidP="0015693E">
            <w:r w:rsidRPr="003350F2">
              <w:t xml:space="preserve">3.3. pašvaldību budžets </w:t>
            </w:r>
          </w:p>
        </w:tc>
        <w:tc>
          <w:tcPr>
            <w:tcW w:w="1180" w:type="dxa"/>
            <w:shd w:val="clear" w:color="auto" w:fill="auto"/>
          </w:tcPr>
          <w:p w14:paraId="1A136DAE" w14:textId="02AFCB9C" w:rsidR="0015693E" w:rsidRPr="003350F2" w:rsidRDefault="0015693E" w:rsidP="0015693E">
            <w:pPr>
              <w:jc w:val="center"/>
            </w:pPr>
            <w:r w:rsidRPr="003350F2">
              <w:rPr>
                <w:i/>
              </w:rPr>
              <w:t>0</w:t>
            </w:r>
          </w:p>
        </w:tc>
        <w:tc>
          <w:tcPr>
            <w:tcW w:w="1248" w:type="dxa"/>
          </w:tcPr>
          <w:p w14:paraId="76636381" w14:textId="2D22CA75" w:rsidR="0015693E" w:rsidRPr="003350F2" w:rsidRDefault="0015693E" w:rsidP="0015693E">
            <w:pPr>
              <w:jc w:val="center"/>
            </w:pPr>
            <w:r>
              <w:rPr>
                <w:i/>
              </w:rPr>
              <w:t>0</w:t>
            </w:r>
          </w:p>
        </w:tc>
        <w:tc>
          <w:tcPr>
            <w:tcW w:w="1138" w:type="dxa"/>
          </w:tcPr>
          <w:p w14:paraId="5DED4E03" w14:textId="2ABDB97B" w:rsidR="0015693E" w:rsidRPr="003350F2" w:rsidRDefault="0015693E" w:rsidP="0015693E">
            <w:pPr>
              <w:jc w:val="center"/>
            </w:pPr>
            <w:r w:rsidRPr="003350F2">
              <w:rPr>
                <w:i/>
              </w:rPr>
              <w:t>0</w:t>
            </w:r>
          </w:p>
        </w:tc>
        <w:tc>
          <w:tcPr>
            <w:tcW w:w="1185" w:type="dxa"/>
          </w:tcPr>
          <w:p w14:paraId="73D6B68F" w14:textId="4B817F65" w:rsidR="0015693E" w:rsidRPr="003350F2" w:rsidRDefault="0015693E" w:rsidP="0015693E">
            <w:pPr>
              <w:jc w:val="center"/>
            </w:pPr>
            <w:r w:rsidRPr="003350F2">
              <w:rPr>
                <w:i/>
              </w:rPr>
              <w:t>0</w:t>
            </w:r>
          </w:p>
        </w:tc>
        <w:tc>
          <w:tcPr>
            <w:tcW w:w="1139" w:type="dxa"/>
          </w:tcPr>
          <w:p w14:paraId="0F267441" w14:textId="42012C1E" w:rsidR="0015693E" w:rsidRPr="003350F2" w:rsidRDefault="0015693E" w:rsidP="0015693E">
            <w:pPr>
              <w:jc w:val="center"/>
            </w:pPr>
            <w:r w:rsidRPr="003350F2">
              <w:rPr>
                <w:i/>
              </w:rPr>
              <w:t>0</w:t>
            </w:r>
          </w:p>
        </w:tc>
        <w:tc>
          <w:tcPr>
            <w:tcW w:w="1150" w:type="dxa"/>
          </w:tcPr>
          <w:p w14:paraId="51468F18" w14:textId="4206605A" w:rsidR="0015693E" w:rsidRPr="003350F2" w:rsidRDefault="0015693E" w:rsidP="0015693E">
            <w:pPr>
              <w:jc w:val="center"/>
            </w:pPr>
            <w:r w:rsidRPr="003350F2">
              <w:rPr>
                <w:i/>
              </w:rPr>
              <w:t>0</w:t>
            </w:r>
          </w:p>
        </w:tc>
        <w:tc>
          <w:tcPr>
            <w:tcW w:w="1150" w:type="dxa"/>
          </w:tcPr>
          <w:p w14:paraId="1AEC6F60" w14:textId="09AB344A" w:rsidR="0015693E" w:rsidRPr="003350F2" w:rsidRDefault="0015693E" w:rsidP="0015693E">
            <w:pPr>
              <w:jc w:val="center"/>
            </w:pPr>
            <w:r w:rsidRPr="003350F2">
              <w:rPr>
                <w:i/>
              </w:rPr>
              <w:t>0</w:t>
            </w:r>
          </w:p>
        </w:tc>
      </w:tr>
      <w:tr w:rsidR="000F14D1" w:rsidRPr="003350F2" w14:paraId="6B3DE64B" w14:textId="77777777" w:rsidTr="000F14D1">
        <w:trPr>
          <w:jc w:val="center"/>
        </w:trPr>
        <w:tc>
          <w:tcPr>
            <w:tcW w:w="2359" w:type="dxa"/>
            <w:vMerge w:val="restart"/>
          </w:tcPr>
          <w:p w14:paraId="7F240CD3" w14:textId="77777777" w:rsidR="000F14D1" w:rsidRPr="003350F2" w:rsidRDefault="000F14D1" w:rsidP="000F14D1">
            <w:r w:rsidRPr="003350F2">
              <w:t>4. Finanšu līdzekļi papildu izdevumu finansēšanai (kompensējošu izdevumu samazinājumu norāda ar „+” zīmi)</w:t>
            </w:r>
          </w:p>
        </w:tc>
        <w:tc>
          <w:tcPr>
            <w:tcW w:w="1180" w:type="dxa"/>
            <w:vMerge w:val="restart"/>
          </w:tcPr>
          <w:p w14:paraId="250CF9F5" w14:textId="77777777" w:rsidR="000F14D1" w:rsidRPr="003350F2" w:rsidRDefault="000F14D1" w:rsidP="000F14D1">
            <w:pPr>
              <w:jc w:val="center"/>
              <w:rPr>
                <w:i/>
              </w:rPr>
            </w:pPr>
            <w:r w:rsidRPr="003350F2">
              <w:t>X</w:t>
            </w:r>
          </w:p>
        </w:tc>
        <w:tc>
          <w:tcPr>
            <w:tcW w:w="1248" w:type="dxa"/>
          </w:tcPr>
          <w:p w14:paraId="7DDDF6DB" w14:textId="77777777" w:rsidR="000F14D1" w:rsidRPr="003350F2" w:rsidRDefault="00E26C13" w:rsidP="00E26C13">
            <w:pPr>
              <w:jc w:val="center"/>
            </w:pPr>
            <w:r>
              <w:t>0</w:t>
            </w:r>
          </w:p>
        </w:tc>
        <w:tc>
          <w:tcPr>
            <w:tcW w:w="1138" w:type="dxa"/>
          </w:tcPr>
          <w:p w14:paraId="47541B01" w14:textId="77777777" w:rsidR="000F14D1" w:rsidRPr="003350F2" w:rsidRDefault="000F14D1" w:rsidP="000F14D1">
            <w:pPr>
              <w:jc w:val="center"/>
            </w:pPr>
            <w:r w:rsidRPr="003350F2">
              <w:t>0</w:t>
            </w:r>
          </w:p>
        </w:tc>
        <w:tc>
          <w:tcPr>
            <w:tcW w:w="1185" w:type="dxa"/>
          </w:tcPr>
          <w:p w14:paraId="009CE17D" w14:textId="77777777" w:rsidR="000F14D1" w:rsidRPr="003350F2" w:rsidRDefault="000F14D1" w:rsidP="000F14D1">
            <w:pPr>
              <w:jc w:val="center"/>
            </w:pPr>
            <w:r w:rsidRPr="003350F2">
              <w:t>0</w:t>
            </w:r>
          </w:p>
        </w:tc>
        <w:tc>
          <w:tcPr>
            <w:tcW w:w="1139" w:type="dxa"/>
          </w:tcPr>
          <w:p w14:paraId="1D833002" w14:textId="77777777" w:rsidR="000F14D1" w:rsidRPr="003350F2" w:rsidRDefault="000F14D1" w:rsidP="000F14D1">
            <w:pPr>
              <w:jc w:val="center"/>
            </w:pPr>
            <w:r w:rsidRPr="003350F2">
              <w:t>0</w:t>
            </w:r>
          </w:p>
        </w:tc>
        <w:tc>
          <w:tcPr>
            <w:tcW w:w="1150" w:type="dxa"/>
          </w:tcPr>
          <w:p w14:paraId="4CD58E06" w14:textId="77777777" w:rsidR="000F14D1" w:rsidRPr="003350F2" w:rsidRDefault="000F14D1" w:rsidP="000F14D1">
            <w:pPr>
              <w:jc w:val="center"/>
            </w:pPr>
            <w:r w:rsidRPr="003350F2">
              <w:t>0</w:t>
            </w:r>
          </w:p>
        </w:tc>
        <w:tc>
          <w:tcPr>
            <w:tcW w:w="1150" w:type="dxa"/>
          </w:tcPr>
          <w:p w14:paraId="37B66498" w14:textId="77777777" w:rsidR="000F14D1" w:rsidRPr="003350F2" w:rsidRDefault="000F14D1" w:rsidP="000F14D1">
            <w:pPr>
              <w:jc w:val="center"/>
            </w:pPr>
            <w:r w:rsidRPr="003350F2">
              <w:t>0</w:t>
            </w:r>
          </w:p>
        </w:tc>
      </w:tr>
      <w:tr w:rsidR="0015693E" w:rsidRPr="003350F2" w14:paraId="206658E9" w14:textId="77777777" w:rsidTr="000F14D1">
        <w:trPr>
          <w:jc w:val="center"/>
        </w:trPr>
        <w:tc>
          <w:tcPr>
            <w:tcW w:w="2359" w:type="dxa"/>
            <w:vMerge/>
          </w:tcPr>
          <w:p w14:paraId="40B8CB99" w14:textId="77777777" w:rsidR="0015693E" w:rsidRPr="003350F2" w:rsidRDefault="0015693E" w:rsidP="0015693E"/>
        </w:tc>
        <w:tc>
          <w:tcPr>
            <w:tcW w:w="1180" w:type="dxa"/>
            <w:vMerge/>
          </w:tcPr>
          <w:p w14:paraId="0C678C45" w14:textId="77777777" w:rsidR="0015693E" w:rsidRPr="003350F2" w:rsidRDefault="0015693E" w:rsidP="0015693E">
            <w:pPr>
              <w:jc w:val="center"/>
              <w:rPr>
                <w:i/>
              </w:rPr>
            </w:pPr>
          </w:p>
        </w:tc>
        <w:tc>
          <w:tcPr>
            <w:tcW w:w="1248" w:type="dxa"/>
          </w:tcPr>
          <w:p w14:paraId="7B7CE4D1" w14:textId="244C4467" w:rsidR="0015693E" w:rsidRPr="003350F2" w:rsidRDefault="0015693E" w:rsidP="0015693E">
            <w:pPr>
              <w:jc w:val="center"/>
            </w:pPr>
            <w:r>
              <w:t>0</w:t>
            </w:r>
          </w:p>
        </w:tc>
        <w:tc>
          <w:tcPr>
            <w:tcW w:w="1138" w:type="dxa"/>
          </w:tcPr>
          <w:p w14:paraId="01631726" w14:textId="1CE8E62E" w:rsidR="0015693E" w:rsidRPr="003350F2" w:rsidRDefault="0015693E" w:rsidP="0015693E">
            <w:pPr>
              <w:jc w:val="center"/>
            </w:pPr>
            <w:r w:rsidRPr="003350F2">
              <w:t>0</w:t>
            </w:r>
          </w:p>
        </w:tc>
        <w:tc>
          <w:tcPr>
            <w:tcW w:w="1185" w:type="dxa"/>
          </w:tcPr>
          <w:p w14:paraId="517BAB99" w14:textId="2DD3467B" w:rsidR="0015693E" w:rsidRPr="003350F2" w:rsidRDefault="0015693E" w:rsidP="0015693E">
            <w:pPr>
              <w:jc w:val="center"/>
            </w:pPr>
            <w:r w:rsidRPr="003350F2">
              <w:t>0</w:t>
            </w:r>
          </w:p>
        </w:tc>
        <w:tc>
          <w:tcPr>
            <w:tcW w:w="1139" w:type="dxa"/>
          </w:tcPr>
          <w:p w14:paraId="1072FF87" w14:textId="1D43B95F" w:rsidR="0015693E" w:rsidRPr="003350F2" w:rsidRDefault="0015693E" w:rsidP="0015693E">
            <w:pPr>
              <w:jc w:val="center"/>
            </w:pPr>
            <w:r w:rsidRPr="003350F2">
              <w:t>0</w:t>
            </w:r>
          </w:p>
        </w:tc>
        <w:tc>
          <w:tcPr>
            <w:tcW w:w="1150" w:type="dxa"/>
          </w:tcPr>
          <w:p w14:paraId="26C18F0C" w14:textId="4A2B3F70" w:rsidR="0015693E" w:rsidRPr="003350F2" w:rsidRDefault="0015693E" w:rsidP="0015693E">
            <w:pPr>
              <w:jc w:val="center"/>
            </w:pPr>
            <w:r w:rsidRPr="003350F2">
              <w:t>0</w:t>
            </w:r>
          </w:p>
        </w:tc>
        <w:tc>
          <w:tcPr>
            <w:tcW w:w="1150" w:type="dxa"/>
          </w:tcPr>
          <w:p w14:paraId="6A999141" w14:textId="782D81ED" w:rsidR="0015693E" w:rsidRPr="003350F2" w:rsidRDefault="0015693E" w:rsidP="0015693E">
            <w:pPr>
              <w:jc w:val="center"/>
            </w:pPr>
            <w:r w:rsidRPr="003350F2">
              <w:t>0</w:t>
            </w:r>
          </w:p>
        </w:tc>
      </w:tr>
      <w:tr w:rsidR="0015693E" w:rsidRPr="003350F2" w14:paraId="1ED51C55" w14:textId="77777777" w:rsidTr="000F14D1">
        <w:trPr>
          <w:jc w:val="center"/>
        </w:trPr>
        <w:tc>
          <w:tcPr>
            <w:tcW w:w="2359" w:type="dxa"/>
            <w:vMerge/>
          </w:tcPr>
          <w:p w14:paraId="116DA482" w14:textId="77777777" w:rsidR="0015693E" w:rsidRPr="003350F2" w:rsidRDefault="0015693E" w:rsidP="0015693E"/>
        </w:tc>
        <w:tc>
          <w:tcPr>
            <w:tcW w:w="1180" w:type="dxa"/>
            <w:vMerge/>
          </w:tcPr>
          <w:p w14:paraId="364CDC1B" w14:textId="77777777" w:rsidR="0015693E" w:rsidRPr="003350F2" w:rsidRDefault="0015693E" w:rsidP="0015693E">
            <w:pPr>
              <w:jc w:val="center"/>
              <w:rPr>
                <w:i/>
              </w:rPr>
            </w:pPr>
          </w:p>
        </w:tc>
        <w:tc>
          <w:tcPr>
            <w:tcW w:w="1248" w:type="dxa"/>
          </w:tcPr>
          <w:p w14:paraId="73628922" w14:textId="04DE63ED" w:rsidR="0015693E" w:rsidRPr="003350F2" w:rsidRDefault="0015693E" w:rsidP="0015693E">
            <w:pPr>
              <w:jc w:val="center"/>
            </w:pPr>
            <w:r>
              <w:t>0</w:t>
            </w:r>
          </w:p>
        </w:tc>
        <w:tc>
          <w:tcPr>
            <w:tcW w:w="1138" w:type="dxa"/>
          </w:tcPr>
          <w:p w14:paraId="2633DDDB" w14:textId="62AC3444" w:rsidR="0015693E" w:rsidRPr="003350F2" w:rsidRDefault="0015693E" w:rsidP="0015693E">
            <w:pPr>
              <w:jc w:val="center"/>
            </w:pPr>
            <w:r w:rsidRPr="003350F2">
              <w:t>0</w:t>
            </w:r>
          </w:p>
        </w:tc>
        <w:tc>
          <w:tcPr>
            <w:tcW w:w="1185" w:type="dxa"/>
          </w:tcPr>
          <w:p w14:paraId="2ED2E1D1" w14:textId="035E0540" w:rsidR="0015693E" w:rsidRPr="003350F2" w:rsidRDefault="0015693E" w:rsidP="0015693E">
            <w:pPr>
              <w:jc w:val="center"/>
            </w:pPr>
            <w:r w:rsidRPr="003350F2">
              <w:t>0</w:t>
            </w:r>
          </w:p>
        </w:tc>
        <w:tc>
          <w:tcPr>
            <w:tcW w:w="1139" w:type="dxa"/>
          </w:tcPr>
          <w:p w14:paraId="6B2DDECC" w14:textId="48FC14FB" w:rsidR="0015693E" w:rsidRPr="003350F2" w:rsidRDefault="0015693E" w:rsidP="0015693E">
            <w:pPr>
              <w:jc w:val="center"/>
            </w:pPr>
            <w:r w:rsidRPr="003350F2">
              <w:t>0</w:t>
            </w:r>
          </w:p>
        </w:tc>
        <w:tc>
          <w:tcPr>
            <w:tcW w:w="1150" w:type="dxa"/>
          </w:tcPr>
          <w:p w14:paraId="59C92A13" w14:textId="09BDCBE3" w:rsidR="0015693E" w:rsidRPr="003350F2" w:rsidRDefault="0015693E" w:rsidP="0015693E">
            <w:pPr>
              <w:jc w:val="center"/>
            </w:pPr>
            <w:r w:rsidRPr="003350F2">
              <w:t>0</w:t>
            </w:r>
          </w:p>
        </w:tc>
        <w:tc>
          <w:tcPr>
            <w:tcW w:w="1150" w:type="dxa"/>
          </w:tcPr>
          <w:p w14:paraId="155FFF62" w14:textId="514369C1" w:rsidR="0015693E" w:rsidRPr="003350F2" w:rsidRDefault="0015693E" w:rsidP="0015693E">
            <w:pPr>
              <w:jc w:val="center"/>
            </w:pPr>
            <w:r w:rsidRPr="003350F2">
              <w:t>0</w:t>
            </w:r>
          </w:p>
        </w:tc>
      </w:tr>
      <w:tr w:rsidR="000F14D1" w:rsidRPr="003350F2" w14:paraId="2F5F2187" w14:textId="77777777" w:rsidTr="000F14D1">
        <w:trPr>
          <w:jc w:val="center"/>
        </w:trPr>
        <w:tc>
          <w:tcPr>
            <w:tcW w:w="2359" w:type="dxa"/>
          </w:tcPr>
          <w:p w14:paraId="70ACB886" w14:textId="77777777" w:rsidR="000F14D1" w:rsidRPr="003350F2" w:rsidRDefault="000F14D1" w:rsidP="000F14D1">
            <w:r w:rsidRPr="003350F2">
              <w:t>5. Precizēta finansiālā ietekme:</w:t>
            </w:r>
          </w:p>
        </w:tc>
        <w:tc>
          <w:tcPr>
            <w:tcW w:w="1180" w:type="dxa"/>
            <w:vMerge w:val="restart"/>
          </w:tcPr>
          <w:p w14:paraId="2D2FF01B" w14:textId="77777777" w:rsidR="000F14D1" w:rsidRPr="003350F2" w:rsidRDefault="000F14D1" w:rsidP="000F14D1">
            <w:pPr>
              <w:jc w:val="center"/>
              <w:rPr>
                <w:i/>
              </w:rPr>
            </w:pPr>
            <w:r w:rsidRPr="003350F2">
              <w:t>X</w:t>
            </w:r>
          </w:p>
          <w:p w14:paraId="231B065D" w14:textId="77777777" w:rsidR="000F14D1" w:rsidRPr="003350F2" w:rsidRDefault="000F14D1" w:rsidP="000F14D1">
            <w:pPr>
              <w:jc w:val="center"/>
              <w:rPr>
                <w:i/>
              </w:rPr>
            </w:pPr>
          </w:p>
        </w:tc>
        <w:tc>
          <w:tcPr>
            <w:tcW w:w="1248" w:type="dxa"/>
          </w:tcPr>
          <w:p w14:paraId="5ECFED5C" w14:textId="77777777" w:rsidR="000F14D1" w:rsidRPr="003350F2" w:rsidRDefault="000F14D1" w:rsidP="000F14D1">
            <w:pPr>
              <w:jc w:val="center"/>
            </w:pPr>
            <w:r w:rsidRPr="003350F2">
              <w:t>0</w:t>
            </w:r>
          </w:p>
        </w:tc>
        <w:tc>
          <w:tcPr>
            <w:tcW w:w="1138" w:type="dxa"/>
          </w:tcPr>
          <w:p w14:paraId="69D1B883" w14:textId="77777777" w:rsidR="000F14D1" w:rsidRPr="003350F2" w:rsidRDefault="000F14D1" w:rsidP="000F14D1">
            <w:pPr>
              <w:jc w:val="center"/>
            </w:pPr>
            <w:r w:rsidRPr="003350F2">
              <w:t>0</w:t>
            </w:r>
          </w:p>
        </w:tc>
        <w:tc>
          <w:tcPr>
            <w:tcW w:w="1185" w:type="dxa"/>
          </w:tcPr>
          <w:p w14:paraId="2DA06E7B" w14:textId="77777777" w:rsidR="000F14D1" w:rsidRPr="003350F2" w:rsidRDefault="000F14D1" w:rsidP="000F14D1">
            <w:pPr>
              <w:jc w:val="center"/>
            </w:pPr>
            <w:r w:rsidRPr="003350F2">
              <w:t>0</w:t>
            </w:r>
          </w:p>
        </w:tc>
        <w:tc>
          <w:tcPr>
            <w:tcW w:w="1139" w:type="dxa"/>
          </w:tcPr>
          <w:p w14:paraId="7EBB25F1" w14:textId="77777777" w:rsidR="000F14D1" w:rsidRPr="003350F2" w:rsidRDefault="000F14D1" w:rsidP="000F14D1">
            <w:pPr>
              <w:jc w:val="center"/>
            </w:pPr>
            <w:r w:rsidRPr="003350F2">
              <w:t>0</w:t>
            </w:r>
          </w:p>
        </w:tc>
        <w:tc>
          <w:tcPr>
            <w:tcW w:w="1150" w:type="dxa"/>
          </w:tcPr>
          <w:p w14:paraId="6CAB96C5" w14:textId="77777777" w:rsidR="000F14D1" w:rsidRPr="003350F2" w:rsidRDefault="000F14D1" w:rsidP="000F14D1">
            <w:pPr>
              <w:jc w:val="center"/>
            </w:pPr>
            <w:r w:rsidRPr="003350F2">
              <w:t>0</w:t>
            </w:r>
          </w:p>
        </w:tc>
        <w:tc>
          <w:tcPr>
            <w:tcW w:w="1150" w:type="dxa"/>
          </w:tcPr>
          <w:p w14:paraId="0DC3E61A" w14:textId="77777777" w:rsidR="000F14D1" w:rsidRPr="003350F2" w:rsidRDefault="000F14D1" w:rsidP="000F14D1">
            <w:pPr>
              <w:jc w:val="center"/>
            </w:pPr>
            <w:r w:rsidRPr="003350F2">
              <w:t>0</w:t>
            </w:r>
          </w:p>
        </w:tc>
      </w:tr>
      <w:tr w:rsidR="0015693E" w:rsidRPr="003350F2" w14:paraId="1D17B3D6" w14:textId="77777777" w:rsidTr="000F14D1">
        <w:trPr>
          <w:jc w:val="center"/>
        </w:trPr>
        <w:tc>
          <w:tcPr>
            <w:tcW w:w="2359" w:type="dxa"/>
          </w:tcPr>
          <w:p w14:paraId="6F9606B7" w14:textId="77777777" w:rsidR="0015693E" w:rsidRPr="003350F2" w:rsidRDefault="0015693E" w:rsidP="0015693E">
            <w:r w:rsidRPr="003350F2">
              <w:t>5.1. valsts pamatbudžets</w:t>
            </w:r>
          </w:p>
        </w:tc>
        <w:tc>
          <w:tcPr>
            <w:tcW w:w="1180" w:type="dxa"/>
            <w:vMerge/>
            <w:vAlign w:val="center"/>
          </w:tcPr>
          <w:p w14:paraId="698C900A" w14:textId="77777777" w:rsidR="0015693E" w:rsidRPr="003350F2" w:rsidRDefault="0015693E" w:rsidP="0015693E">
            <w:pPr>
              <w:jc w:val="center"/>
              <w:rPr>
                <w:i/>
              </w:rPr>
            </w:pPr>
          </w:p>
        </w:tc>
        <w:tc>
          <w:tcPr>
            <w:tcW w:w="1248" w:type="dxa"/>
          </w:tcPr>
          <w:p w14:paraId="507ECFAF" w14:textId="77777777" w:rsidR="0015693E" w:rsidRPr="003350F2" w:rsidRDefault="0015693E" w:rsidP="0015693E">
            <w:pPr>
              <w:jc w:val="center"/>
            </w:pPr>
            <w:r w:rsidRPr="003350F2">
              <w:t>0</w:t>
            </w:r>
          </w:p>
        </w:tc>
        <w:tc>
          <w:tcPr>
            <w:tcW w:w="1138" w:type="dxa"/>
          </w:tcPr>
          <w:p w14:paraId="2BF256AD" w14:textId="77777777" w:rsidR="0015693E" w:rsidRPr="003350F2" w:rsidRDefault="0015693E" w:rsidP="0015693E">
            <w:pPr>
              <w:jc w:val="center"/>
            </w:pPr>
            <w:r w:rsidRPr="003350F2">
              <w:t>0</w:t>
            </w:r>
          </w:p>
        </w:tc>
        <w:tc>
          <w:tcPr>
            <w:tcW w:w="1185" w:type="dxa"/>
          </w:tcPr>
          <w:p w14:paraId="0AF3E61F" w14:textId="77777777" w:rsidR="0015693E" w:rsidRPr="003350F2" w:rsidRDefault="0015693E" w:rsidP="0015693E">
            <w:pPr>
              <w:jc w:val="center"/>
            </w:pPr>
            <w:r w:rsidRPr="003350F2">
              <w:t>0</w:t>
            </w:r>
          </w:p>
        </w:tc>
        <w:tc>
          <w:tcPr>
            <w:tcW w:w="1139" w:type="dxa"/>
          </w:tcPr>
          <w:p w14:paraId="49CFDA60" w14:textId="77777777" w:rsidR="0015693E" w:rsidRPr="003350F2" w:rsidRDefault="0015693E" w:rsidP="0015693E">
            <w:pPr>
              <w:jc w:val="center"/>
            </w:pPr>
            <w:r w:rsidRPr="003350F2">
              <w:t>0</w:t>
            </w:r>
          </w:p>
        </w:tc>
        <w:tc>
          <w:tcPr>
            <w:tcW w:w="1150" w:type="dxa"/>
          </w:tcPr>
          <w:p w14:paraId="45F967AC" w14:textId="51B3CEA3" w:rsidR="0015693E" w:rsidRPr="003350F2" w:rsidRDefault="0015693E" w:rsidP="0015693E">
            <w:pPr>
              <w:spacing w:before="240"/>
              <w:jc w:val="center"/>
            </w:pPr>
            <w:r w:rsidRPr="003350F2">
              <w:t>0</w:t>
            </w:r>
          </w:p>
        </w:tc>
        <w:tc>
          <w:tcPr>
            <w:tcW w:w="1150" w:type="dxa"/>
          </w:tcPr>
          <w:p w14:paraId="0C0B0050" w14:textId="7A0B1F99" w:rsidR="0015693E" w:rsidRPr="003350F2" w:rsidRDefault="0015693E" w:rsidP="0015693E">
            <w:pPr>
              <w:jc w:val="center"/>
            </w:pPr>
            <w:r w:rsidRPr="003350F2">
              <w:t>0</w:t>
            </w:r>
          </w:p>
        </w:tc>
      </w:tr>
      <w:tr w:rsidR="0015693E" w:rsidRPr="003350F2" w14:paraId="5B577458" w14:textId="77777777" w:rsidTr="000F14D1">
        <w:trPr>
          <w:jc w:val="center"/>
        </w:trPr>
        <w:tc>
          <w:tcPr>
            <w:tcW w:w="2359" w:type="dxa"/>
          </w:tcPr>
          <w:p w14:paraId="315AEA1E" w14:textId="77777777" w:rsidR="0015693E" w:rsidRPr="003350F2" w:rsidRDefault="0015693E" w:rsidP="0015693E">
            <w:r w:rsidRPr="003350F2">
              <w:t>5.2. speciālais budžets</w:t>
            </w:r>
          </w:p>
        </w:tc>
        <w:tc>
          <w:tcPr>
            <w:tcW w:w="1180" w:type="dxa"/>
            <w:vMerge/>
            <w:vAlign w:val="center"/>
          </w:tcPr>
          <w:p w14:paraId="07D43E6B" w14:textId="77777777" w:rsidR="0015693E" w:rsidRPr="003350F2" w:rsidRDefault="0015693E" w:rsidP="0015693E">
            <w:pPr>
              <w:jc w:val="center"/>
              <w:rPr>
                <w:i/>
              </w:rPr>
            </w:pPr>
          </w:p>
        </w:tc>
        <w:tc>
          <w:tcPr>
            <w:tcW w:w="1248" w:type="dxa"/>
          </w:tcPr>
          <w:p w14:paraId="746B4737" w14:textId="6B0C36A4" w:rsidR="0015693E" w:rsidRPr="003350F2" w:rsidRDefault="0015693E" w:rsidP="0015693E">
            <w:pPr>
              <w:jc w:val="center"/>
            </w:pPr>
            <w:r w:rsidRPr="003350F2">
              <w:rPr>
                <w:i/>
              </w:rPr>
              <w:t>0</w:t>
            </w:r>
          </w:p>
        </w:tc>
        <w:tc>
          <w:tcPr>
            <w:tcW w:w="1138" w:type="dxa"/>
          </w:tcPr>
          <w:p w14:paraId="5297F999" w14:textId="4E9926FD" w:rsidR="0015693E" w:rsidRPr="003350F2" w:rsidRDefault="0015693E" w:rsidP="0015693E">
            <w:pPr>
              <w:jc w:val="center"/>
            </w:pPr>
            <w:r>
              <w:rPr>
                <w:i/>
              </w:rPr>
              <w:t>0</w:t>
            </w:r>
          </w:p>
        </w:tc>
        <w:tc>
          <w:tcPr>
            <w:tcW w:w="1185" w:type="dxa"/>
          </w:tcPr>
          <w:p w14:paraId="2B4F3CB9" w14:textId="6479AA06" w:rsidR="0015693E" w:rsidRPr="003350F2" w:rsidRDefault="0015693E" w:rsidP="0015693E">
            <w:pPr>
              <w:jc w:val="center"/>
            </w:pPr>
            <w:r w:rsidRPr="003350F2">
              <w:rPr>
                <w:i/>
              </w:rPr>
              <w:t>0</w:t>
            </w:r>
          </w:p>
        </w:tc>
        <w:tc>
          <w:tcPr>
            <w:tcW w:w="1139" w:type="dxa"/>
          </w:tcPr>
          <w:p w14:paraId="19D94C64" w14:textId="2A7C9A86" w:rsidR="0015693E" w:rsidRPr="003350F2" w:rsidRDefault="0015693E" w:rsidP="0015693E">
            <w:pPr>
              <w:jc w:val="center"/>
            </w:pPr>
            <w:r w:rsidRPr="003350F2">
              <w:rPr>
                <w:i/>
              </w:rPr>
              <w:t>0</w:t>
            </w:r>
          </w:p>
        </w:tc>
        <w:tc>
          <w:tcPr>
            <w:tcW w:w="1150" w:type="dxa"/>
          </w:tcPr>
          <w:p w14:paraId="4054613C" w14:textId="0940C134" w:rsidR="0015693E" w:rsidRPr="003350F2" w:rsidRDefault="0015693E" w:rsidP="0015693E">
            <w:pPr>
              <w:jc w:val="center"/>
            </w:pPr>
            <w:r w:rsidRPr="003350F2">
              <w:rPr>
                <w:i/>
              </w:rPr>
              <w:t>0</w:t>
            </w:r>
          </w:p>
        </w:tc>
        <w:tc>
          <w:tcPr>
            <w:tcW w:w="1150" w:type="dxa"/>
          </w:tcPr>
          <w:p w14:paraId="00230A86" w14:textId="4D034B2F" w:rsidR="0015693E" w:rsidRPr="003350F2" w:rsidRDefault="0015693E" w:rsidP="0015693E">
            <w:pPr>
              <w:jc w:val="center"/>
            </w:pPr>
            <w:r>
              <w:t>0</w:t>
            </w:r>
          </w:p>
        </w:tc>
      </w:tr>
      <w:tr w:rsidR="0015693E" w:rsidRPr="003350F2" w14:paraId="1D1349D0" w14:textId="77777777" w:rsidTr="000F14D1">
        <w:trPr>
          <w:jc w:val="center"/>
        </w:trPr>
        <w:tc>
          <w:tcPr>
            <w:tcW w:w="2359" w:type="dxa"/>
          </w:tcPr>
          <w:p w14:paraId="4517409E" w14:textId="77777777" w:rsidR="0015693E" w:rsidRPr="003350F2" w:rsidRDefault="0015693E" w:rsidP="0015693E">
            <w:r w:rsidRPr="003350F2">
              <w:t xml:space="preserve">5.3. pašvaldību budžets </w:t>
            </w:r>
          </w:p>
        </w:tc>
        <w:tc>
          <w:tcPr>
            <w:tcW w:w="1180" w:type="dxa"/>
            <w:vMerge/>
          </w:tcPr>
          <w:p w14:paraId="2816BDCC" w14:textId="77777777" w:rsidR="0015693E" w:rsidRPr="003350F2" w:rsidRDefault="0015693E" w:rsidP="0015693E">
            <w:pPr>
              <w:jc w:val="center"/>
              <w:rPr>
                <w:i/>
              </w:rPr>
            </w:pPr>
          </w:p>
        </w:tc>
        <w:tc>
          <w:tcPr>
            <w:tcW w:w="1248" w:type="dxa"/>
          </w:tcPr>
          <w:p w14:paraId="0B7C1121" w14:textId="38A6E15A" w:rsidR="0015693E" w:rsidRPr="003350F2" w:rsidRDefault="0015693E" w:rsidP="0015693E">
            <w:pPr>
              <w:jc w:val="center"/>
            </w:pPr>
            <w:r w:rsidRPr="003350F2">
              <w:rPr>
                <w:i/>
              </w:rPr>
              <w:t>0</w:t>
            </w:r>
          </w:p>
        </w:tc>
        <w:tc>
          <w:tcPr>
            <w:tcW w:w="1138" w:type="dxa"/>
          </w:tcPr>
          <w:p w14:paraId="31A9E68C" w14:textId="75201BB3" w:rsidR="0015693E" w:rsidRPr="003350F2" w:rsidRDefault="0015693E" w:rsidP="0015693E">
            <w:pPr>
              <w:jc w:val="center"/>
            </w:pPr>
            <w:r>
              <w:rPr>
                <w:i/>
              </w:rPr>
              <w:t>0</w:t>
            </w:r>
          </w:p>
        </w:tc>
        <w:tc>
          <w:tcPr>
            <w:tcW w:w="1185" w:type="dxa"/>
          </w:tcPr>
          <w:p w14:paraId="5DFE4E3E" w14:textId="6BD39258" w:rsidR="0015693E" w:rsidRPr="003350F2" w:rsidRDefault="0015693E" w:rsidP="0015693E">
            <w:pPr>
              <w:jc w:val="center"/>
            </w:pPr>
            <w:r w:rsidRPr="003350F2">
              <w:rPr>
                <w:i/>
              </w:rPr>
              <w:t>0</w:t>
            </w:r>
          </w:p>
        </w:tc>
        <w:tc>
          <w:tcPr>
            <w:tcW w:w="1139" w:type="dxa"/>
          </w:tcPr>
          <w:p w14:paraId="000C8202" w14:textId="2EA21E99" w:rsidR="0015693E" w:rsidRPr="003350F2" w:rsidRDefault="0015693E" w:rsidP="0015693E">
            <w:pPr>
              <w:jc w:val="center"/>
            </w:pPr>
            <w:r w:rsidRPr="003350F2">
              <w:rPr>
                <w:i/>
              </w:rPr>
              <w:t>0</w:t>
            </w:r>
          </w:p>
        </w:tc>
        <w:tc>
          <w:tcPr>
            <w:tcW w:w="1150" w:type="dxa"/>
          </w:tcPr>
          <w:p w14:paraId="7AE44643" w14:textId="1C7CAB53" w:rsidR="0015693E" w:rsidRPr="003350F2" w:rsidRDefault="0015693E" w:rsidP="0015693E">
            <w:pPr>
              <w:jc w:val="center"/>
            </w:pPr>
            <w:r w:rsidRPr="003350F2">
              <w:rPr>
                <w:i/>
              </w:rPr>
              <w:t>0</w:t>
            </w:r>
          </w:p>
        </w:tc>
        <w:tc>
          <w:tcPr>
            <w:tcW w:w="1150" w:type="dxa"/>
          </w:tcPr>
          <w:p w14:paraId="226879BF" w14:textId="75C55D86" w:rsidR="0015693E" w:rsidRPr="003350F2" w:rsidRDefault="0015693E" w:rsidP="0015693E">
            <w:pPr>
              <w:jc w:val="center"/>
            </w:pPr>
            <w:r>
              <w:t>0</w:t>
            </w:r>
          </w:p>
        </w:tc>
      </w:tr>
      <w:tr w:rsidR="000F14D1" w:rsidRPr="003350F2" w14:paraId="64997030" w14:textId="77777777" w:rsidTr="000F14D1">
        <w:trPr>
          <w:jc w:val="center"/>
        </w:trPr>
        <w:tc>
          <w:tcPr>
            <w:tcW w:w="2359" w:type="dxa"/>
          </w:tcPr>
          <w:p w14:paraId="08037799" w14:textId="77777777" w:rsidR="000F14D1" w:rsidRPr="003350F2" w:rsidRDefault="000F14D1" w:rsidP="000F14D1">
            <w:r w:rsidRPr="003350F2">
              <w:t>6. Detalizēts ieņēmumu un izdevumu aprēķins (ja nepie</w:t>
            </w:r>
            <w:r w:rsidRPr="003350F2">
              <w:softHyphen/>
              <w:t>ciešams, detalizētu ieņēmumu un izdevumu aprēķinu var pievienot anotācijas pielikumā):</w:t>
            </w:r>
          </w:p>
        </w:tc>
        <w:tc>
          <w:tcPr>
            <w:tcW w:w="8190" w:type="dxa"/>
            <w:gridSpan w:val="7"/>
            <w:vMerge w:val="restart"/>
            <w:shd w:val="clear" w:color="auto" w:fill="auto"/>
          </w:tcPr>
          <w:p w14:paraId="080FE38E" w14:textId="77777777" w:rsidR="000F14D1" w:rsidRPr="003350F2" w:rsidRDefault="000F14D1" w:rsidP="00283C73">
            <w:pPr>
              <w:ind w:right="142"/>
              <w:jc w:val="both"/>
            </w:pPr>
          </w:p>
        </w:tc>
      </w:tr>
      <w:tr w:rsidR="000F14D1" w:rsidRPr="003350F2" w14:paraId="1F0520D9" w14:textId="77777777" w:rsidTr="000F14D1">
        <w:trPr>
          <w:jc w:val="center"/>
        </w:trPr>
        <w:tc>
          <w:tcPr>
            <w:tcW w:w="2359" w:type="dxa"/>
          </w:tcPr>
          <w:p w14:paraId="6D71C4B7" w14:textId="77777777" w:rsidR="000F14D1" w:rsidRPr="003350F2" w:rsidRDefault="000F14D1" w:rsidP="000F14D1">
            <w:r w:rsidRPr="003350F2">
              <w:t>6.1. detalizēts ieņēmumu aprēķins</w:t>
            </w:r>
          </w:p>
        </w:tc>
        <w:tc>
          <w:tcPr>
            <w:tcW w:w="8190" w:type="dxa"/>
            <w:gridSpan w:val="7"/>
            <w:vMerge/>
            <w:shd w:val="clear" w:color="auto" w:fill="auto"/>
          </w:tcPr>
          <w:p w14:paraId="4094942C" w14:textId="77777777" w:rsidR="000F14D1" w:rsidRPr="003350F2" w:rsidRDefault="000F14D1" w:rsidP="000F14D1">
            <w:pPr>
              <w:rPr>
                <w:b/>
                <w:i/>
              </w:rPr>
            </w:pPr>
          </w:p>
        </w:tc>
      </w:tr>
      <w:tr w:rsidR="000F14D1" w:rsidRPr="003350F2" w14:paraId="28C567F3" w14:textId="77777777" w:rsidTr="000F14D1">
        <w:trPr>
          <w:jc w:val="center"/>
        </w:trPr>
        <w:tc>
          <w:tcPr>
            <w:tcW w:w="2359" w:type="dxa"/>
          </w:tcPr>
          <w:p w14:paraId="22C9D58A" w14:textId="77777777" w:rsidR="000F14D1" w:rsidRPr="003350F2" w:rsidRDefault="000F14D1" w:rsidP="000F14D1">
            <w:r w:rsidRPr="003350F2">
              <w:t>6.2. detalizēts izdevumu aprēķins</w:t>
            </w:r>
          </w:p>
        </w:tc>
        <w:tc>
          <w:tcPr>
            <w:tcW w:w="8190" w:type="dxa"/>
            <w:gridSpan w:val="7"/>
            <w:vMerge/>
            <w:shd w:val="clear" w:color="auto" w:fill="auto"/>
          </w:tcPr>
          <w:p w14:paraId="3411C528" w14:textId="77777777" w:rsidR="000F14D1" w:rsidRPr="003350F2" w:rsidRDefault="000F14D1" w:rsidP="000F14D1">
            <w:pPr>
              <w:rPr>
                <w:b/>
                <w:i/>
              </w:rPr>
            </w:pPr>
          </w:p>
        </w:tc>
      </w:tr>
      <w:tr w:rsidR="000F14D1" w:rsidRPr="003350F2" w14:paraId="6AFD8E9A" w14:textId="77777777" w:rsidTr="000F14D1">
        <w:trPr>
          <w:trHeight w:val="399"/>
          <w:jc w:val="center"/>
        </w:trPr>
        <w:tc>
          <w:tcPr>
            <w:tcW w:w="2359" w:type="dxa"/>
          </w:tcPr>
          <w:p w14:paraId="383195A4" w14:textId="77777777" w:rsidR="000F14D1" w:rsidRPr="003350F2" w:rsidRDefault="000F14D1" w:rsidP="000F14D1">
            <w:r w:rsidRPr="003350F2">
              <w:t>7. Amata vietu skaita izmaiņas</w:t>
            </w:r>
          </w:p>
        </w:tc>
        <w:tc>
          <w:tcPr>
            <w:tcW w:w="8190" w:type="dxa"/>
            <w:gridSpan w:val="7"/>
            <w:shd w:val="clear" w:color="auto" w:fill="auto"/>
          </w:tcPr>
          <w:p w14:paraId="61468F8A" w14:textId="77777777" w:rsidR="000F14D1" w:rsidRPr="003350F2" w:rsidRDefault="000F14D1" w:rsidP="000F14D1">
            <w:pPr>
              <w:ind w:right="34"/>
              <w:jc w:val="both"/>
            </w:pPr>
            <w:r w:rsidRPr="003350F2">
              <w:t>Projektam nav ietekme uz amata vietu skaita izmaiņām.</w:t>
            </w:r>
          </w:p>
        </w:tc>
      </w:tr>
      <w:tr w:rsidR="000F14D1" w:rsidRPr="003350F2" w14:paraId="5C883F96" w14:textId="77777777" w:rsidTr="000F14D1">
        <w:trPr>
          <w:trHeight w:val="399"/>
          <w:jc w:val="center"/>
        </w:trPr>
        <w:tc>
          <w:tcPr>
            <w:tcW w:w="2359" w:type="dxa"/>
          </w:tcPr>
          <w:p w14:paraId="1C54923F" w14:textId="77777777" w:rsidR="000F14D1" w:rsidRPr="003350F2" w:rsidRDefault="000F14D1" w:rsidP="000F14D1">
            <w:r w:rsidRPr="003350F2">
              <w:t>8. Cita informācija</w:t>
            </w:r>
          </w:p>
        </w:tc>
        <w:tc>
          <w:tcPr>
            <w:tcW w:w="8190" w:type="dxa"/>
            <w:gridSpan w:val="7"/>
            <w:shd w:val="clear" w:color="auto" w:fill="auto"/>
          </w:tcPr>
          <w:p w14:paraId="737B4EBB" w14:textId="77777777" w:rsidR="000F14D1" w:rsidRPr="003350F2" w:rsidRDefault="00E26C13" w:rsidP="00CB3E4F">
            <w:pPr>
              <w:ind w:right="34"/>
              <w:jc w:val="both"/>
            </w:pPr>
            <w:r>
              <w:t>Nav</w:t>
            </w:r>
          </w:p>
        </w:tc>
      </w:tr>
    </w:tbl>
    <w:p w14:paraId="71FC4DCF" w14:textId="77777777"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35A4D6F6" w14:textId="77777777" w:rsidTr="00D228F9">
        <w:tc>
          <w:tcPr>
            <w:tcW w:w="10060" w:type="dxa"/>
            <w:tcBorders>
              <w:bottom w:val="single" w:sz="4" w:space="0" w:color="auto"/>
            </w:tcBorders>
            <w:vAlign w:val="center"/>
          </w:tcPr>
          <w:p w14:paraId="7741E2C0" w14:textId="77777777" w:rsidR="00C3572A" w:rsidRPr="003350F2" w:rsidRDefault="00C3572A" w:rsidP="00AF3BA2">
            <w:pPr>
              <w:pStyle w:val="naisnod"/>
              <w:spacing w:before="0" w:after="0"/>
            </w:pPr>
            <w:r w:rsidRPr="003350F2">
              <w:t>IV. Tiesību akta projekta ietekme uz spēkā esošo tiesību normu sistēmu</w:t>
            </w:r>
          </w:p>
        </w:tc>
      </w:tr>
      <w:tr w:rsidR="00C3572A" w:rsidRPr="003350F2" w14:paraId="57ACC471"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0FD774E9" w14:textId="77777777" w:rsidR="00C3572A" w:rsidRPr="003350F2" w:rsidRDefault="00C3572A" w:rsidP="00AF3BA2">
            <w:pPr>
              <w:ind w:right="127"/>
              <w:jc w:val="center"/>
            </w:pPr>
            <w:r w:rsidRPr="003350F2">
              <w:t>Projekts šo jomu neskar</w:t>
            </w:r>
          </w:p>
        </w:tc>
      </w:tr>
    </w:tbl>
    <w:p w14:paraId="19F90CED"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5DFFF47D" w14:textId="77777777" w:rsidTr="00AF3BA2">
        <w:tc>
          <w:tcPr>
            <w:tcW w:w="10060" w:type="dxa"/>
            <w:vAlign w:val="center"/>
          </w:tcPr>
          <w:p w14:paraId="0271ACD4" w14:textId="77777777"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14:paraId="7B4EA0CE" w14:textId="77777777" w:rsidTr="00AF3BA2">
        <w:trPr>
          <w:trHeight w:val="273"/>
        </w:trPr>
        <w:tc>
          <w:tcPr>
            <w:tcW w:w="10060" w:type="dxa"/>
          </w:tcPr>
          <w:p w14:paraId="3F535773" w14:textId="77777777" w:rsidR="00C3572A" w:rsidRPr="003350F2" w:rsidRDefault="00C3572A" w:rsidP="00AF3BA2">
            <w:pPr>
              <w:ind w:right="127"/>
              <w:jc w:val="center"/>
            </w:pPr>
            <w:r w:rsidRPr="003350F2">
              <w:t>Projekts šo jomu neskar</w:t>
            </w:r>
          </w:p>
        </w:tc>
      </w:tr>
    </w:tbl>
    <w:p w14:paraId="127BEA5C"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7B08E3C5" w14:textId="77777777" w:rsidTr="00555D35">
        <w:tc>
          <w:tcPr>
            <w:tcW w:w="10060" w:type="dxa"/>
            <w:tcBorders>
              <w:bottom w:val="single" w:sz="4" w:space="0" w:color="auto"/>
            </w:tcBorders>
            <w:vAlign w:val="center"/>
          </w:tcPr>
          <w:p w14:paraId="36DA9813" w14:textId="77777777" w:rsidR="00C3572A" w:rsidRPr="003350F2" w:rsidRDefault="00C3572A" w:rsidP="00AF3BA2">
            <w:pPr>
              <w:pStyle w:val="naisnod"/>
              <w:spacing w:before="0" w:after="0"/>
            </w:pPr>
            <w:r w:rsidRPr="003350F2">
              <w:t>VI. Sabiedrības līdzdalība un komunikācijas aktivitātes</w:t>
            </w:r>
          </w:p>
        </w:tc>
      </w:tr>
      <w:tr w:rsidR="00C3572A" w:rsidRPr="003350F2" w14:paraId="4F50AA4C" w14:textId="77777777" w:rsidTr="00555D35">
        <w:trPr>
          <w:trHeight w:val="273"/>
        </w:trPr>
        <w:tc>
          <w:tcPr>
            <w:tcW w:w="10060" w:type="dxa"/>
            <w:tcBorders>
              <w:top w:val="single" w:sz="4" w:space="0" w:color="auto"/>
              <w:left w:val="single" w:sz="4" w:space="0" w:color="auto"/>
              <w:bottom w:val="single" w:sz="4" w:space="0" w:color="auto"/>
              <w:right w:val="single" w:sz="4" w:space="0" w:color="auto"/>
            </w:tcBorders>
          </w:tcPr>
          <w:p w14:paraId="1F16F8BA" w14:textId="77777777" w:rsidR="0099068A" w:rsidRPr="003350F2" w:rsidRDefault="00C3572A" w:rsidP="0099068A">
            <w:pPr>
              <w:ind w:right="127"/>
              <w:jc w:val="center"/>
            </w:pPr>
            <w:r w:rsidRPr="003350F2">
              <w:t>Projekts šo jomu neskar</w:t>
            </w:r>
          </w:p>
        </w:tc>
      </w:tr>
    </w:tbl>
    <w:p w14:paraId="64A1FE53" w14:textId="7EC830C8" w:rsidR="00554CAC" w:rsidRDefault="00554CAC"/>
    <w:tbl>
      <w:tblPr>
        <w:tblW w:w="538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0"/>
        <w:gridCol w:w="3827"/>
        <w:gridCol w:w="5539"/>
      </w:tblGrid>
      <w:tr w:rsidR="00CA2A9E" w:rsidRPr="00CA2A9E" w14:paraId="7452187B" w14:textId="77777777" w:rsidTr="00CA2A9E">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03D011" w14:textId="77777777" w:rsidR="00CA2A9E" w:rsidRPr="00CA2A9E" w:rsidRDefault="00CA2A9E">
            <w:pPr>
              <w:spacing w:before="100" w:beforeAutospacing="1" w:after="100" w:afterAutospacing="1" w:line="293" w:lineRule="atLeast"/>
              <w:jc w:val="center"/>
              <w:rPr>
                <w:rFonts w:eastAsia="Times New Roman"/>
                <w:b/>
                <w:bCs/>
              </w:rPr>
            </w:pPr>
            <w:r w:rsidRPr="00CA2A9E">
              <w:rPr>
                <w:rFonts w:eastAsia="Times New Roman"/>
                <w:b/>
                <w:bCs/>
              </w:rPr>
              <w:t>VII. Tiesību akta projekta izpildes nodrošināšana un tās ietekme uz institūcijām</w:t>
            </w:r>
          </w:p>
        </w:tc>
      </w:tr>
      <w:tr w:rsidR="00CA2A9E" w:rsidRPr="00CA2A9E" w14:paraId="0E4F7BF3" w14:textId="77777777" w:rsidTr="00CA2A9E">
        <w:trPr>
          <w:trHeight w:val="336"/>
          <w:jc w:val="center"/>
        </w:trPr>
        <w:tc>
          <w:tcPr>
            <w:tcW w:w="282" w:type="pct"/>
            <w:tcBorders>
              <w:top w:val="outset" w:sz="6" w:space="0" w:color="414142"/>
              <w:left w:val="outset" w:sz="6" w:space="0" w:color="414142"/>
              <w:bottom w:val="outset" w:sz="6" w:space="0" w:color="414142"/>
              <w:right w:val="outset" w:sz="6" w:space="0" w:color="414142"/>
            </w:tcBorders>
            <w:hideMark/>
          </w:tcPr>
          <w:p w14:paraId="0C820DB7" w14:textId="77777777" w:rsidR="00CA2A9E" w:rsidRPr="00CA2A9E" w:rsidRDefault="00CA2A9E">
            <w:pPr>
              <w:rPr>
                <w:rFonts w:eastAsia="Times New Roman"/>
              </w:rPr>
            </w:pPr>
            <w:r w:rsidRPr="00CA2A9E">
              <w:rPr>
                <w:rFonts w:eastAsia="Times New Roman"/>
              </w:rPr>
              <w:t>1.</w:t>
            </w:r>
          </w:p>
        </w:tc>
        <w:tc>
          <w:tcPr>
            <w:tcW w:w="1928" w:type="pct"/>
            <w:tcBorders>
              <w:top w:val="outset" w:sz="6" w:space="0" w:color="414142"/>
              <w:left w:val="outset" w:sz="6" w:space="0" w:color="414142"/>
              <w:bottom w:val="outset" w:sz="6" w:space="0" w:color="414142"/>
              <w:right w:val="outset" w:sz="6" w:space="0" w:color="414142"/>
            </w:tcBorders>
            <w:hideMark/>
          </w:tcPr>
          <w:p w14:paraId="7454CFAA" w14:textId="77777777" w:rsidR="00CA2A9E" w:rsidRPr="00CA2A9E" w:rsidRDefault="00CA2A9E">
            <w:pPr>
              <w:jc w:val="both"/>
              <w:rPr>
                <w:rFonts w:eastAsia="Times New Roman"/>
              </w:rPr>
            </w:pPr>
            <w:r w:rsidRPr="00CA2A9E">
              <w:rPr>
                <w:rFonts w:eastAsia="Times New Roman"/>
              </w:rPr>
              <w:t>Projekta izpildē iesaistītās institūcijas</w:t>
            </w:r>
          </w:p>
        </w:tc>
        <w:tc>
          <w:tcPr>
            <w:tcW w:w="2790" w:type="pct"/>
            <w:tcBorders>
              <w:top w:val="outset" w:sz="6" w:space="0" w:color="414142"/>
              <w:left w:val="outset" w:sz="6" w:space="0" w:color="414142"/>
              <w:bottom w:val="outset" w:sz="6" w:space="0" w:color="414142"/>
              <w:right w:val="outset" w:sz="6" w:space="0" w:color="414142"/>
            </w:tcBorders>
            <w:hideMark/>
          </w:tcPr>
          <w:p w14:paraId="74AF90B6" w14:textId="3565383F" w:rsidR="00CA2A9E" w:rsidRPr="00CA2A9E" w:rsidRDefault="00CA2A9E" w:rsidP="00CA2A9E">
            <w:pPr>
              <w:ind w:right="110"/>
              <w:jc w:val="both"/>
              <w:rPr>
                <w:rFonts w:eastAsia="Times New Roman"/>
              </w:rPr>
            </w:pPr>
            <w:r w:rsidRPr="00CA2A9E">
              <w:rPr>
                <w:rFonts w:eastAsia="Times New Roman"/>
              </w:rPr>
              <w:t>Ministrija,</w:t>
            </w:r>
            <w:r>
              <w:rPr>
                <w:rFonts w:eastAsia="Times New Roman"/>
              </w:rPr>
              <w:t xml:space="preserve"> Anotācijas I sadaļas 2.punktā minētās pašvaldības</w:t>
            </w:r>
            <w:r w:rsidRPr="00CA2A9E">
              <w:rPr>
                <w:rFonts w:eastAsia="Times New Roman"/>
              </w:rPr>
              <w:t>.</w:t>
            </w:r>
          </w:p>
        </w:tc>
      </w:tr>
      <w:tr w:rsidR="00CA2A9E" w:rsidRPr="00CA2A9E" w14:paraId="07320F2C" w14:textId="77777777" w:rsidTr="00CA2A9E">
        <w:trPr>
          <w:trHeight w:val="360"/>
          <w:jc w:val="center"/>
        </w:trPr>
        <w:tc>
          <w:tcPr>
            <w:tcW w:w="282" w:type="pct"/>
            <w:tcBorders>
              <w:top w:val="outset" w:sz="6" w:space="0" w:color="414142"/>
              <w:left w:val="outset" w:sz="6" w:space="0" w:color="414142"/>
              <w:bottom w:val="outset" w:sz="6" w:space="0" w:color="414142"/>
              <w:right w:val="outset" w:sz="6" w:space="0" w:color="414142"/>
            </w:tcBorders>
            <w:hideMark/>
          </w:tcPr>
          <w:p w14:paraId="1A52C710" w14:textId="77777777" w:rsidR="00CA2A9E" w:rsidRPr="00CA2A9E" w:rsidRDefault="00CA2A9E">
            <w:pPr>
              <w:rPr>
                <w:rFonts w:eastAsia="Times New Roman"/>
              </w:rPr>
            </w:pPr>
            <w:r w:rsidRPr="00CA2A9E">
              <w:rPr>
                <w:rFonts w:eastAsia="Times New Roman"/>
              </w:rPr>
              <w:lastRenderedPageBreak/>
              <w:t>2.</w:t>
            </w:r>
          </w:p>
        </w:tc>
        <w:tc>
          <w:tcPr>
            <w:tcW w:w="1928" w:type="pct"/>
            <w:tcBorders>
              <w:top w:val="outset" w:sz="6" w:space="0" w:color="414142"/>
              <w:left w:val="outset" w:sz="6" w:space="0" w:color="414142"/>
              <w:bottom w:val="outset" w:sz="6" w:space="0" w:color="414142"/>
              <w:right w:val="outset" w:sz="6" w:space="0" w:color="414142"/>
            </w:tcBorders>
            <w:hideMark/>
          </w:tcPr>
          <w:p w14:paraId="74AB639C" w14:textId="77777777" w:rsidR="00CA2A9E" w:rsidRPr="00CA2A9E" w:rsidRDefault="00CA2A9E">
            <w:pPr>
              <w:jc w:val="both"/>
              <w:rPr>
                <w:rFonts w:eastAsia="Times New Roman"/>
              </w:rPr>
            </w:pPr>
            <w:r w:rsidRPr="00CA2A9E">
              <w:rPr>
                <w:rFonts w:eastAsia="Times New Roman"/>
              </w:rPr>
              <w:t xml:space="preserve">Projekta izpildes ietekme uz pārvaldes funkcijām un institucionālo struktūru. </w:t>
            </w:r>
          </w:p>
          <w:p w14:paraId="6E195DB7" w14:textId="77777777" w:rsidR="00CA2A9E" w:rsidRPr="00CA2A9E" w:rsidRDefault="00CA2A9E">
            <w:pPr>
              <w:jc w:val="both"/>
              <w:rPr>
                <w:rFonts w:eastAsia="Times New Roman"/>
              </w:rPr>
            </w:pPr>
            <w:r w:rsidRPr="00CA2A9E">
              <w:rPr>
                <w:rFonts w:eastAsia="Times New Roman"/>
              </w:rPr>
              <w:t>Jaunu institūciju izveide, esošu institūciju likvidācija vai reorganizācija, to ietekme uz institūcijas cilvēkresursiem</w:t>
            </w:r>
          </w:p>
        </w:tc>
        <w:tc>
          <w:tcPr>
            <w:tcW w:w="2790" w:type="pct"/>
            <w:tcBorders>
              <w:top w:val="outset" w:sz="6" w:space="0" w:color="414142"/>
              <w:left w:val="outset" w:sz="6" w:space="0" w:color="414142"/>
              <w:bottom w:val="outset" w:sz="6" w:space="0" w:color="414142"/>
              <w:right w:val="outset" w:sz="6" w:space="0" w:color="414142"/>
            </w:tcBorders>
            <w:hideMark/>
          </w:tcPr>
          <w:p w14:paraId="5E2D3408" w14:textId="7DEA318F" w:rsidR="00CA2A9E" w:rsidRPr="00CA2A9E" w:rsidRDefault="00EC7F3A" w:rsidP="00CA2A9E">
            <w:pPr>
              <w:rPr>
                <w:rFonts w:eastAsia="Times New Roman"/>
              </w:rPr>
            </w:pPr>
            <w:r>
              <w:rPr>
                <w:iCs/>
              </w:rPr>
              <w:t>Projekta izpilde notiks esošo pārvaldes funkciju ietvaros. Projekts neparedz jaunu institūciju izveidi, esošo likvidēšanu vai reorganizāciju.</w:t>
            </w:r>
          </w:p>
        </w:tc>
      </w:tr>
      <w:tr w:rsidR="00CA2A9E" w:rsidRPr="00CA2A9E" w14:paraId="7A6C4371" w14:textId="77777777" w:rsidTr="00CA2A9E">
        <w:trPr>
          <w:trHeight w:val="312"/>
          <w:jc w:val="center"/>
        </w:trPr>
        <w:tc>
          <w:tcPr>
            <w:tcW w:w="282" w:type="pct"/>
            <w:tcBorders>
              <w:top w:val="outset" w:sz="6" w:space="0" w:color="414142"/>
              <w:left w:val="outset" w:sz="6" w:space="0" w:color="414142"/>
              <w:bottom w:val="outset" w:sz="6" w:space="0" w:color="414142"/>
              <w:right w:val="outset" w:sz="6" w:space="0" w:color="414142"/>
            </w:tcBorders>
            <w:hideMark/>
          </w:tcPr>
          <w:p w14:paraId="267CAC8E" w14:textId="77777777" w:rsidR="00CA2A9E" w:rsidRPr="00CA2A9E" w:rsidRDefault="00CA2A9E">
            <w:pPr>
              <w:rPr>
                <w:rFonts w:eastAsia="Times New Roman"/>
              </w:rPr>
            </w:pPr>
            <w:r w:rsidRPr="00CA2A9E">
              <w:rPr>
                <w:rFonts w:eastAsia="Times New Roman"/>
              </w:rPr>
              <w:t>3.</w:t>
            </w:r>
          </w:p>
        </w:tc>
        <w:tc>
          <w:tcPr>
            <w:tcW w:w="1928" w:type="pct"/>
            <w:tcBorders>
              <w:top w:val="outset" w:sz="6" w:space="0" w:color="414142"/>
              <w:left w:val="outset" w:sz="6" w:space="0" w:color="414142"/>
              <w:bottom w:val="outset" w:sz="6" w:space="0" w:color="414142"/>
              <w:right w:val="outset" w:sz="6" w:space="0" w:color="414142"/>
            </w:tcBorders>
            <w:hideMark/>
          </w:tcPr>
          <w:p w14:paraId="17F48573" w14:textId="77777777" w:rsidR="00CA2A9E" w:rsidRPr="00CA2A9E" w:rsidRDefault="00CA2A9E">
            <w:pPr>
              <w:rPr>
                <w:rFonts w:eastAsia="Times New Roman"/>
              </w:rPr>
            </w:pPr>
            <w:r w:rsidRPr="00CA2A9E">
              <w:rPr>
                <w:rFonts w:eastAsia="Times New Roman"/>
              </w:rPr>
              <w:t>Cita informācija</w:t>
            </w:r>
          </w:p>
        </w:tc>
        <w:tc>
          <w:tcPr>
            <w:tcW w:w="2790" w:type="pct"/>
            <w:tcBorders>
              <w:top w:val="outset" w:sz="6" w:space="0" w:color="414142"/>
              <w:left w:val="outset" w:sz="6" w:space="0" w:color="414142"/>
              <w:bottom w:val="outset" w:sz="6" w:space="0" w:color="414142"/>
              <w:right w:val="outset" w:sz="6" w:space="0" w:color="414142"/>
            </w:tcBorders>
            <w:hideMark/>
          </w:tcPr>
          <w:p w14:paraId="1AB059A8" w14:textId="77777777" w:rsidR="00CA2A9E" w:rsidRPr="00CA2A9E" w:rsidRDefault="00CA2A9E" w:rsidP="00CA2A9E">
            <w:pPr>
              <w:rPr>
                <w:rFonts w:eastAsia="Times New Roman"/>
              </w:rPr>
            </w:pPr>
            <w:r w:rsidRPr="00CA2A9E">
              <w:rPr>
                <w:rFonts w:eastAsia="Times New Roman"/>
              </w:rPr>
              <w:t>Nav.</w:t>
            </w:r>
          </w:p>
        </w:tc>
      </w:tr>
    </w:tbl>
    <w:p w14:paraId="1419FAE0" w14:textId="77777777" w:rsidR="00932A30" w:rsidRPr="003350F2" w:rsidRDefault="00932A30" w:rsidP="00C7220E">
      <w:pPr>
        <w:pStyle w:val="BodyText2"/>
        <w:spacing w:after="0" w:line="240" w:lineRule="auto"/>
        <w:ind w:firstLine="720"/>
        <w:jc w:val="both"/>
      </w:pPr>
    </w:p>
    <w:p w14:paraId="43BA2829" w14:textId="77777777" w:rsidR="00932A30" w:rsidRPr="003350F2" w:rsidRDefault="00932A30"/>
    <w:p w14:paraId="57A393FF" w14:textId="77777777"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14:paraId="39717514" w14:textId="77777777" w:rsidR="00712CCE" w:rsidRPr="003350F2" w:rsidRDefault="00712CCE" w:rsidP="00E71639">
      <w:pPr>
        <w:rPr>
          <w:sz w:val="22"/>
          <w:szCs w:val="22"/>
        </w:rPr>
      </w:pPr>
    </w:p>
    <w:p w14:paraId="50A55921" w14:textId="77777777" w:rsidR="005E259D" w:rsidRDefault="005E259D" w:rsidP="00896B42">
      <w:pPr>
        <w:ind w:left="720"/>
        <w:rPr>
          <w:sz w:val="22"/>
          <w:szCs w:val="22"/>
        </w:rPr>
      </w:pPr>
    </w:p>
    <w:p w14:paraId="635D4D6F" w14:textId="77777777" w:rsidR="00382185" w:rsidRPr="000F7769" w:rsidRDefault="00382185" w:rsidP="00382185">
      <w:pPr>
        <w:ind w:firstLine="851"/>
        <w:rPr>
          <w:noProof/>
          <w:sz w:val="20"/>
          <w:szCs w:val="20"/>
        </w:rPr>
      </w:pPr>
      <w:r w:rsidRPr="000F7769">
        <w:rPr>
          <w:sz w:val="20"/>
          <w:szCs w:val="20"/>
        </w:rPr>
        <w:t xml:space="preserve">Dambīte, </w:t>
      </w:r>
      <w:r w:rsidRPr="000F7769">
        <w:rPr>
          <w:noProof/>
          <w:sz w:val="20"/>
          <w:szCs w:val="20"/>
        </w:rPr>
        <w:t>65804934</w:t>
      </w:r>
    </w:p>
    <w:p w14:paraId="0D707817" w14:textId="77777777" w:rsidR="00382185" w:rsidRPr="000F7769" w:rsidRDefault="003E6791" w:rsidP="00382185">
      <w:pPr>
        <w:ind w:firstLine="851"/>
        <w:rPr>
          <w:sz w:val="20"/>
          <w:szCs w:val="20"/>
        </w:rPr>
      </w:pPr>
      <w:hyperlink r:id="rId8" w:history="1">
        <w:r w:rsidR="00382185" w:rsidRPr="000F7769">
          <w:rPr>
            <w:rStyle w:val="Hyperlink"/>
            <w:sz w:val="20"/>
            <w:szCs w:val="20"/>
          </w:rPr>
          <w:t>daiga.dambite@izm.gov.lv</w:t>
        </w:r>
      </w:hyperlink>
      <w:r w:rsidR="00382185" w:rsidRPr="000F7769">
        <w:rPr>
          <w:sz w:val="20"/>
          <w:szCs w:val="20"/>
        </w:rPr>
        <w:t xml:space="preserve"> </w:t>
      </w:r>
    </w:p>
    <w:sectPr w:rsidR="00382185" w:rsidRPr="000F7769" w:rsidSect="005E717E">
      <w:headerReference w:type="default" r:id="rId9"/>
      <w:footerReference w:type="default" r:id="rId10"/>
      <w:footerReference w:type="first" r:id="rId11"/>
      <w:pgSz w:w="11906" w:h="16838" w:code="9"/>
      <w:pgMar w:top="1134" w:right="1134" w:bottom="992"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B18B" w14:textId="77777777" w:rsidR="003E6791" w:rsidRDefault="003E6791" w:rsidP="00123E9B">
      <w:r>
        <w:separator/>
      </w:r>
    </w:p>
  </w:endnote>
  <w:endnote w:type="continuationSeparator" w:id="0">
    <w:p w14:paraId="7DCD8BCD" w14:textId="77777777" w:rsidR="003E6791" w:rsidRDefault="003E679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691A" w14:textId="17C486C8" w:rsidR="00283C73" w:rsidRPr="009733D3" w:rsidRDefault="00283C73" w:rsidP="009733D3">
    <w:pPr>
      <w:pStyle w:val="Footer"/>
      <w:jc w:val="both"/>
    </w:pPr>
    <w:r>
      <w:rPr>
        <w:sz w:val="22"/>
        <w:szCs w:val="22"/>
      </w:rPr>
      <w:t>IZMAnot_</w:t>
    </w:r>
    <w:r w:rsidR="009606F0">
      <w:rPr>
        <w:sz w:val="22"/>
        <w:szCs w:val="22"/>
      </w:rPr>
      <w:t>2</w:t>
    </w:r>
    <w:r w:rsidR="008A6CF1">
      <w:rPr>
        <w:sz w:val="22"/>
        <w:szCs w:val="22"/>
      </w:rPr>
      <w:t>9</w:t>
    </w:r>
    <w:r w:rsidR="00C558E7">
      <w:rPr>
        <w:sz w:val="22"/>
        <w:szCs w:val="22"/>
      </w:rPr>
      <w:t>01</w:t>
    </w:r>
    <w:r>
      <w:rPr>
        <w:sz w:val="22"/>
        <w:szCs w:val="22"/>
      </w:rPr>
      <w:t>2</w:t>
    </w:r>
    <w:r w:rsidR="00C558E7">
      <w:rPr>
        <w:sz w:val="22"/>
        <w:szCs w:val="22"/>
      </w:rPr>
      <w:t>1</w:t>
    </w:r>
    <w:r w:rsidRPr="00896B42">
      <w:rPr>
        <w:sz w:val="22"/>
        <w:szCs w:val="22"/>
      </w:rPr>
      <w:t>_</w:t>
    </w:r>
    <w:r w:rsidR="00C558E7">
      <w:rPr>
        <w:sz w:val="22"/>
        <w:szCs w:val="22"/>
      </w:rPr>
      <w:t>datori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1F19" w14:textId="04343179" w:rsidR="00283C73" w:rsidRPr="00896B42" w:rsidRDefault="00283C73" w:rsidP="00062E0E">
    <w:pPr>
      <w:pStyle w:val="Footer"/>
      <w:jc w:val="both"/>
    </w:pPr>
    <w:r>
      <w:rPr>
        <w:sz w:val="22"/>
        <w:szCs w:val="22"/>
      </w:rPr>
      <w:t>IZMAnot_</w:t>
    </w:r>
    <w:r w:rsidR="009606F0">
      <w:rPr>
        <w:sz w:val="22"/>
        <w:szCs w:val="22"/>
      </w:rPr>
      <w:t>2</w:t>
    </w:r>
    <w:r w:rsidR="008A6CF1">
      <w:rPr>
        <w:sz w:val="22"/>
        <w:szCs w:val="22"/>
      </w:rPr>
      <w:t>9</w:t>
    </w:r>
    <w:r w:rsidR="00C558E7">
      <w:rPr>
        <w:sz w:val="22"/>
        <w:szCs w:val="22"/>
      </w:rPr>
      <w:t>01</w:t>
    </w:r>
    <w:r>
      <w:rPr>
        <w:sz w:val="22"/>
        <w:szCs w:val="22"/>
      </w:rPr>
      <w:t>2</w:t>
    </w:r>
    <w:r w:rsidR="00C558E7">
      <w:rPr>
        <w:sz w:val="22"/>
        <w:szCs w:val="22"/>
      </w:rPr>
      <w:t>1</w:t>
    </w:r>
    <w:r w:rsidRPr="00896B42">
      <w:rPr>
        <w:sz w:val="22"/>
        <w:szCs w:val="22"/>
      </w:rPr>
      <w:t>_</w:t>
    </w:r>
    <w:r w:rsidR="00C558E7">
      <w:rPr>
        <w:sz w:val="22"/>
        <w:szCs w:val="22"/>
      </w:rPr>
      <w:t>datori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52012" w14:textId="77777777" w:rsidR="003E6791" w:rsidRDefault="003E6791" w:rsidP="00123E9B">
      <w:r>
        <w:separator/>
      </w:r>
    </w:p>
  </w:footnote>
  <w:footnote w:type="continuationSeparator" w:id="0">
    <w:p w14:paraId="61C1EA3D" w14:textId="77777777" w:rsidR="003E6791" w:rsidRDefault="003E6791"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9CC1" w14:textId="77777777" w:rsidR="00283C73" w:rsidRDefault="00283C73">
    <w:pPr>
      <w:pStyle w:val="Header"/>
      <w:jc w:val="center"/>
    </w:pPr>
    <w:r>
      <w:fldChar w:fldCharType="begin"/>
    </w:r>
    <w:r>
      <w:instrText xml:space="preserve"> PAGE   \* MERGEFORMAT </w:instrText>
    </w:r>
    <w:r>
      <w:fldChar w:fldCharType="separate"/>
    </w:r>
    <w:r w:rsidR="00583F64">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15:restartNumberingAfterBreak="0">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1FC50C28"/>
    <w:multiLevelType w:val="hybridMultilevel"/>
    <w:tmpl w:val="0960091A"/>
    <w:lvl w:ilvl="0" w:tplc="73668508">
      <w:start w:val="1"/>
      <w:numFmt w:val="decimal"/>
      <w:lvlText w:val="(%1)"/>
      <w:lvlJc w:val="left"/>
      <w:pPr>
        <w:ind w:left="481" w:hanging="375"/>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9"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3A3CC2"/>
    <w:multiLevelType w:val="hybridMultilevel"/>
    <w:tmpl w:val="5CE67956"/>
    <w:lvl w:ilvl="0" w:tplc="824C36DE">
      <w:start w:val="1"/>
      <w:numFmt w:val="decimal"/>
      <w:lvlText w:val="(%1)"/>
      <w:lvlJc w:val="left"/>
      <w:pPr>
        <w:ind w:left="481" w:hanging="375"/>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2"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6355BAA"/>
    <w:multiLevelType w:val="hybridMultilevel"/>
    <w:tmpl w:val="E190F53A"/>
    <w:lvl w:ilvl="0" w:tplc="E5404636">
      <w:start w:val="1"/>
      <w:numFmt w:val="decimal"/>
      <w:lvlText w:val="%1)"/>
      <w:lvlJc w:val="left"/>
      <w:pPr>
        <w:ind w:left="526" w:hanging="42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9" w15:restartNumberingAfterBreak="0">
    <w:nsid w:val="36F05235"/>
    <w:multiLevelType w:val="hybridMultilevel"/>
    <w:tmpl w:val="062ACE7A"/>
    <w:lvl w:ilvl="0" w:tplc="F4E8F476">
      <w:start w:val="1"/>
      <w:numFmt w:val="decimal"/>
      <w:lvlText w:val="%1."/>
      <w:lvlJc w:val="left"/>
      <w:pPr>
        <w:ind w:left="466" w:hanging="36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0"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1"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5"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7"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15:restartNumberingAfterBreak="0">
    <w:nsid w:val="51CD6BC2"/>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9"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0"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2"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3"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7"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0"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1"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2" w15:restartNumberingAfterBreak="0">
    <w:nsid w:val="727B2719"/>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43" w15:restartNumberingAfterBreak="0">
    <w:nsid w:val="76545357"/>
    <w:multiLevelType w:val="hybridMultilevel"/>
    <w:tmpl w:val="ECC602E4"/>
    <w:lvl w:ilvl="0" w:tplc="6A548B9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5"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0"/>
  </w:num>
  <w:num w:numId="2">
    <w:abstractNumId w:val="33"/>
  </w:num>
  <w:num w:numId="3">
    <w:abstractNumId w:val="32"/>
  </w:num>
  <w:num w:numId="4">
    <w:abstractNumId w:val="38"/>
  </w:num>
  <w:num w:numId="5">
    <w:abstractNumId w:val="29"/>
  </w:num>
  <w:num w:numId="6">
    <w:abstractNumId w:val="31"/>
  </w:num>
  <w:num w:numId="7">
    <w:abstractNumId w:val="6"/>
  </w:num>
  <w:num w:numId="8">
    <w:abstractNumId w:val="1"/>
  </w:num>
  <w:num w:numId="9">
    <w:abstractNumId w:val="17"/>
  </w:num>
  <w:num w:numId="10">
    <w:abstractNumId w:val="44"/>
  </w:num>
  <w:num w:numId="11">
    <w:abstractNumId w:val="36"/>
  </w:num>
  <w:num w:numId="12">
    <w:abstractNumId w:val="12"/>
  </w:num>
  <w:num w:numId="13">
    <w:abstractNumId w:val="2"/>
  </w:num>
  <w:num w:numId="14">
    <w:abstractNumId w:val="4"/>
  </w:num>
  <w:num w:numId="15">
    <w:abstractNumId w:val="35"/>
  </w:num>
  <w:num w:numId="16">
    <w:abstractNumId w:val="45"/>
  </w:num>
  <w:num w:numId="17">
    <w:abstractNumId w:val="22"/>
  </w:num>
  <w:num w:numId="18">
    <w:abstractNumId w:val="23"/>
  </w:num>
  <w:num w:numId="19">
    <w:abstractNumId w:val="21"/>
  </w:num>
  <w:num w:numId="20">
    <w:abstractNumId w:val="13"/>
  </w:num>
  <w:num w:numId="21">
    <w:abstractNumId w:val="26"/>
  </w:num>
  <w:num w:numId="22">
    <w:abstractNumId w:val="40"/>
  </w:num>
  <w:num w:numId="23">
    <w:abstractNumId w:val="25"/>
  </w:num>
  <w:num w:numId="24">
    <w:abstractNumId w:val="0"/>
  </w:num>
  <w:num w:numId="25">
    <w:abstractNumId w:val="27"/>
  </w:num>
  <w:num w:numId="26">
    <w:abstractNumId w:val="16"/>
  </w:num>
  <w:num w:numId="27">
    <w:abstractNumId w:val="34"/>
  </w:num>
  <w:num w:numId="28">
    <w:abstractNumId w:val="24"/>
  </w:num>
  <w:num w:numId="29">
    <w:abstractNumId w:val="10"/>
  </w:num>
  <w:num w:numId="30">
    <w:abstractNumId w:val="37"/>
  </w:num>
  <w:num w:numId="31">
    <w:abstractNumId w:val="9"/>
  </w:num>
  <w:num w:numId="32">
    <w:abstractNumId w:val="15"/>
  </w:num>
  <w:num w:numId="33">
    <w:abstractNumId w:val="30"/>
  </w:num>
  <w:num w:numId="34">
    <w:abstractNumId w:val="7"/>
  </w:num>
  <w:num w:numId="35">
    <w:abstractNumId w:val="41"/>
  </w:num>
  <w:num w:numId="36">
    <w:abstractNumId w:val="14"/>
  </w:num>
  <w:num w:numId="37">
    <w:abstractNumId w:val="5"/>
  </w:num>
  <w:num w:numId="38">
    <w:abstractNumId w:val="39"/>
  </w:num>
  <w:num w:numId="39">
    <w:abstractNumId w:val="3"/>
  </w:num>
  <w:num w:numId="40">
    <w:abstractNumId w:val="19"/>
  </w:num>
  <w:num w:numId="41">
    <w:abstractNumId w:val="28"/>
  </w:num>
  <w:num w:numId="42">
    <w:abstractNumId w:val="18"/>
  </w:num>
  <w:num w:numId="43">
    <w:abstractNumId w:val="8"/>
  </w:num>
  <w:num w:numId="44">
    <w:abstractNumId w:val="11"/>
  </w:num>
  <w:num w:numId="45">
    <w:abstractNumId w:val="4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651"/>
    <w:rsid w:val="00040D4E"/>
    <w:rsid w:val="00041777"/>
    <w:rsid w:val="00041F61"/>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866"/>
    <w:rsid w:val="000A0EFA"/>
    <w:rsid w:val="000A152C"/>
    <w:rsid w:val="000A208E"/>
    <w:rsid w:val="000A2237"/>
    <w:rsid w:val="000A2634"/>
    <w:rsid w:val="000A4403"/>
    <w:rsid w:val="000A6188"/>
    <w:rsid w:val="000A671B"/>
    <w:rsid w:val="000A77DA"/>
    <w:rsid w:val="000A7C97"/>
    <w:rsid w:val="000B0834"/>
    <w:rsid w:val="000B0DC4"/>
    <w:rsid w:val="000B1367"/>
    <w:rsid w:val="000B1B4E"/>
    <w:rsid w:val="000B3147"/>
    <w:rsid w:val="000B3B3C"/>
    <w:rsid w:val="000B3EC8"/>
    <w:rsid w:val="000B3FF6"/>
    <w:rsid w:val="000B51C9"/>
    <w:rsid w:val="000B62CA"/>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F0255"/>
    <w:rsid w:val="000F14D1"/>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CBF"/>
    <w:rsid w:val="00147D9A"/>
    <w:rsid w:val="00150690"/>
    <w:rsid w:val="00150ACB"/>
    <w:rsid w:val="00150D62"/>
    <w:rsid w:val="0015243B"/>
    <w:rsid w:val="00152C87"/>
    <w:rsid w:val="00156760"/>
    <w:rsid w:val="0015693E"/>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5EB"/>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52"/>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719"/>
    <w:rsid w:val="00221A1C"/>
    <w:rsid w:val="00222727"/>
    <w:rsid w:val="00222917"/>
    <w:rsid w:val="002239AB"/>
    <w:rsid w:val="002241ED"/>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C73"/>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6C0"/>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030B"/>
    <w:rsid w:val="00331B78"/>
    <w:rsid w:val="00332AD8"/>
    <w:rsid w:val="00334502"/>
    <w:rsid w:val="003350F2"/>
    <w:rsid w:val="00335F59"/>
    <w:rsid w:val="00337C76"/>
    <w:rsid w:val="00341757"/>
    <w:rsid w:val="003418C3"/>
    <w:rsid w:val="0034191F"/>
    <w:rsid w:val="0034286C"/>
    <w:rsid w:val="00342AFA"/>
    <w:rsid w:val="003435FA"/>
    <w:rsid w:val="003445A2"/>
    <w:rsid w:val="003445AC"/>
    <w:rsid w:val="003445C6"/>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6610"/>
    <w:rsid w:val="00376CEF"/>
    <w:rsid w:val="003770AC"/>
    <w:rsid w:val="003773F8"/>
    <w:rsid w:val="00377A66"/>
    <w:rsid w:val="00377A82"/>
    <w:rsid w:val="00380F2A"/>
    <w:rsid w:val="00381A75"/>
    <w:rsid w:val="0038218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2496"/>
    <w:rsid w:val="003C2CE7"/>
    <w:rsid w:val="003C691E"/>
    <w:rsid w:val="003D01AF"/>
    <w:rsid w:val="003D089C"/>
    <w:rsid w:val="003D0D5D"/>
    <w:rsid w:val="003D4908"/>
    <w:rsid w:val="003D5EAB"/>
    <w:rsid w:val="003D7186"/>
    <w:rsid w:val="003D725A"/>
    <w:rsid w:val="003D7335"/>
    <w:rsid w:val="003E0B83"/>
    <w:rsid w:val="003E1FF4"/>
    <w:rsid w:val="003E40B5"/>
    <w:rsid w:val="003E4A67"/>
    <w:rsid w:val="003E4DD8"/>
    <w:rsid w:val="003E612F"/>
    <w:rsid w:val="003E6791"/>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C6F"/>
    <w:rsid w:val="00416FC9"/>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240"/>
    <w:rsid w:val="00455959"/>
    <w:rsid w:val="00455F41"/>
    <w:rsid w:val="00455F8A"/>
    <w:rsid w:val="004560F5"/>
    <w:rsid w:val="004569F4"/>
    <w:rsid w:val="00456BC1"/>
    <w:rsid w:val="00460D5B"/>
    <w:rsid w:val="00460DD3"/>
    <w:rsid w:val="0046135E"/>
    <w:rsid w:val="0046200B"/>
    <w:rsid w:val="00463D46"/>
    <w:rsid w:val="00463FD8"/>
    <w:rsid w:val="00464CD0"/>
    <w:rsid w:val="00466E6C"/>
    <w:rsid w:val="004678D4"/>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50F"/>
    <w:rsid w:val="004B6165"/>
    <w:rsid w:val="004B617C"/>
    <w:rsid w:val="004B723A"/>
    <w:rsid w:val="004B7C13"/>
    <w:rsid w:val="004C0D01"/>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2FA"/>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7F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72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CF0"/>
    <w:rsid w:val="00545E59"/>
    <w:rsid w:val="005462AF"/>
    <w:rsid w:val="005469FE"/>
    <w:rsid w:val="005511F9"/>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3F64"/>
    <w:rsid w:val="005848B1"/>
    <w:rsid w:val="00585B7B"/>
    <w:rsid w:val="00587C74"/>
    <w:rsid w:val="00590DD0"/>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717E"/>
    <w:rsid w:val="005F117A"/>
    <w:rsid w:val="005F11FC"/>
    <w:rsid w:val="005F22A7"/>
    <w:rsid w:val="005F2399"/>
    <w:rsid w:val="005F2A03"/>
    <w:rsid w:val="005F2BCF"/>
    <w:rsid w:val="005F3204"/>
    <w:rsid w:val="005F3AA1"/>
    <w:rsid w:val="005F58A9"/>
    <w:rsid w:val="005F5E32"/>
    <w:rsid w:val="005F6A42"/>
    <w:rsid w:val="005F710E"/>
    <w:rsid w:val="005F7C0B"/>
    <w:rsid w:val="00600DCE"/>
    <w:rsid w:val="00600E72"/>
    <w:rsid w:val="00602085"/>
    <w:rsid w:val="0060231D"/>
    <w:rsid w:val="0060310F"/>
    <w:rsid w:val="00604944"/>
    <w:rsid w:val="00605A33"/>
    <w:rsid w:val="00606918"/>
    <w:rsid w:val="006107D6"/>
    <w:rsid w:val="0061090E"/>
    <w:rsid w:val="00612906"/>
    <w:rsid w:val="0061490B"/>
    <w:rsid w:val="00615FD8"/>
    <w:rsid w:val="00616477"/>
    <w:rsid w:val="0061650C"/>
    <w:rsid w:val="00616E6F"/>
    <w:rsid w:val="0061759F"/>
    <w:rsid w:val="006176E5"/>
    <w:rsid w:val="00617D7A"/>
    <w:rsid w:val="00620CAE"/>
    <w:rsid w:val="00620ED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BEA"/>
    <w:rsid w:val="00667079"/>
    <w:rsid w:val="00667437"/>
    <w:rsid w:val="00670B6E"/>
    <w:rsid w:val="00671666"/>
    <w:rsid w:val="0067238F"/>
    <w:rsid w:val="0067265A"/>
    <w:rsid w:val="006727AE"/>
    <w:rsid w:val="00672827"/>
    <w:rsid w:val="00672923"/>
    <w:rsid w:val="00672CAB"/>
    <w:rsid w:val="006738A3"/>
    <w:rsid w:val="006738C7"/>
    <w:rsid w:val="00675E4E"/>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6E90"/>
    <w:rsid w:val="006B746E"/>
    <w:rsid w:val="006B76EE"/>
    <w:rsid w:val="006B7D9B"/>
    <w:rsid w:val="006C1D18"/>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28DA"/>
    <w:rsid w:val="006F2E8A"/>
    <w:rsid w:val="006F31EF"/>
    <w:rsid w:val="006F3202"/>
    <w:rsid w:val="006F3DD2"/>
    <w:rsid w:val="006F5778"/>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11DB"/>
    <w:rsid w:val="0073235F"/>
    <w:rsid w:val="00732686"/>
    <w:rsid w:val="00732A32"/>
    <w:rsid w:val="00733818"/>
    <w:rsid w:val="00733E34"/>
    <w:rsid w:val="00734D65"/>
    <w:rsid w:val="007351BE"/>
    <w:rsid w:val="007357D6"/>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C0C"/>
    <w:rsid w:val="007D7688"/>
    <w:rsid w:val="007E150B"/>
    <w:rsid w:val="007E21D7"/>
    <w:rsid w:val="007E2464"/>
    <w:rsid w:val="007E36FC"/>
    <w:rsid w:val="007E4C84"/>
    <w:rsid w:val="007E5095"/>
    <w:rsid w:val="007E529F"/>
    <w:rsid w:val="007E6314"/>
    <w:rsid w:val="007E6B2F"/>
    <w:rsid w:val="007E71C1"/>
    <w:rsid w:val="007E7F9D"/>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17C1A"/>
    <w:rsid w:val="008202CC"/>
    <w:rsid w:val="008212A7"/>
    <w:rsid w:val="008221C8"/>
    <w:rsid w:val="0082231A"/>
    <w:rsid w:val="00823CD9"/>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60A4"/>
    <w:rsid w:val="008A6943"/>
    <w:rsid w:val="008A6CF1"/>
    <w:rsid w:val="008A7795"/>
    <w:rsid w:val="008B1D70"/>
    <w:rsid w:val="008B2279"/>
    <w:rsid w:val="008B27BF"/>
    <w:rsid w:val="008B3C16"/>
    <w:rsid w:val="008B50AE"/>
    <w:rsid w:val="008B53EA"/>
    <w:rsid w:val="008B55F4"/>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3759"/>
    <w:rsid w:val="009542E6"/>
    <w:rsid w:val="0095432B"/>
    <w:rsid w:val="00955825"/>
    <w:rsid w:val="00955AF6"/>
    <w:rsid w:val="00955D2A"/>
    <w:rsid w:val="0095616A"/>
    <w:rsid w:val="00956847"/>
    <w:rsid w:val="00957BFE"/>
    <w:rsid w:val="009606F0"/>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54A7"/>
    <w:rsid w:val="0097689E"/>
    <w:rsid w:val="00976CDB"/>
    <w:rsid w:val="00977F8A"/>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BB0"/>
    <w:rsid w:val="00A1231E"/>
    <w:rsid w:val="00A13034"/>
    <w:rsid w:val="00A1339D"/>
    <w:rsid w:val="00A13445"/>
    <w:rsid w:val="00A134C4"/>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A7A"/>
    <w:rsid w:val="00A562C5"/>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06F4"/>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F0996"/>
    <w:rsid w:val="00AF0CC2"/>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2332"/>
    <w:rsid w:val="00B835B7"/>
    <w:rsid w:val="00B857B3"/>
    <w:rsid w:val="00B862CD"/>
    <w:rsid w:val="00B86487"/>
    <w:rsid w:val="00B87192"/>
    <w:rsid w:val="00B9187A"/>
    <w:rsid w:val="00B92E1A"/>
    <w:rsid w:val="00B93654"/>
    <w:rsid w:val="00B93D23"/>
    <w:rsid w:val="00B94951"/>
    <w:rsid w:val="00B95D33"/>
    <w:rsid w:val="00B96178"/>
    <w:rsid w:val="00B96B5F"/>
    <w:rsid w:val="00B96B6E"/>
    <w:rsid w:val="00B96CA3"/>
    <w:rsid w:val="00B97591"/>
    <w:rsid w:val="00B97B6E"/>
    <w:rsid w:val="00BA006C"/>
    <w:rsid w:val="00BA080D"/>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50EB"/>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58E7"/>
    <w:rsid w:val="00C562FD"/>
    <w:rsid w:val="00C57261"/>
    <w:rsid w:val="00C57732"/>
    <w:rsid w:val="00C60214"/>
    <w:rsid w:val="00C602CC"/>
    <w:rsid w:val="00C62163"/>
    <w:rsid w:val="00C63403"/>
    <w:rsid w:val="00C635E7"/>
    <w:rsid w:val="00C6402C"/>
    <w:rsid w:val="00C640E8"/>
    <w:rsid w:val="00C64EA4"/>
    <w:rsid w:val="00C65610"/>
    <w:rsid w:val="00C670DE"/>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721C"/>
    <w:rsid w:val="00C979E0"/>
    <w:rsid w:val="00C97F1B"/>
    <w:rsid w:val="00CA1169"/>
    <w:rsid w:val="00CA1EB4"/>
    <w:rsid w:val="00CA284A"/>
    <w:rsid w:val="00CA2964"/>
    <w:rsid w:val="00CA2A9E"/>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3E4F"/>
    <w:rsid w:val="00CB475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49F7"/>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2CE6"/>
    <w:rsid w:val="00DB64D7"/>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192A"/>
    <w:rsid w:val="00DF31E6"/>
    <w:rsid w:val="00DF4493"/>
    <w:rsid w:val="00DF44D5"/>
    <w:rsid w:val="00DF4AB3"/>
    <w:rsid w:val="00DF5003"/>
    <w:rsid w:val="00DF5204"/>
    <w:rsid w:val="00DF5249"/>
    <w:rsid w:val="00DF5903"/>
    <w:rsid w:val="00DF5932"/>
    <w:rsid w:val="00E000FD"/>
    <w:rsid w:val="00E01AAB"/>
    <w:rsid w:val="00E03E05"/>
    <w:rsid w:val="00E0777F"/>
    <w:rsid w:val="00E07D6D"/>
    <w:rsid w:val="00E1046D"/>
    <w:rsid w:val="00E10EA9"/>
    <w:rsid w:val="00E110EE"/>
    <w:rsid w:val="00E1136E"/>
    <w:rsid w:val="00E1182B"/>
    <w:rsid w:val="00E14286"/>
    <w:rsid w:val="00E14FC8"/>
    <w:rsid w:val="00E157F8"/>
    <w:rsid w:val="00E167E0"/>
    <w:rsid w:val="00E16A35"/>
    <w:rsid w:val="00E16D38"/>
    <w:rsid w:val="00E16FC1"/>
    <w:rsid w:val="00E21455"/>
    <w:rsid w:val="00E216EA"/>
    <w:rsid w:val="00E21B4B"/>
    <w:rsid w:val="00E244D0"/>
    <w:rsid w:val="00E25793"/>
    <w:rsid w:val="00E26C1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D40"/>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54E7"/>
    <w:rsid w:val="00E75C2F"/>
    <w:rsid w:val="00E80F7A"/>
    <w:rsid w:val="00E81CA7"/>
    <w:rsid w:val="00E82EFE"/>
    <w:rsid w:val="00E83297"/>
    <w:rsid w:val="00E836A6"/>
    <w:rsid w:val="00E83DCC"/>
    <w:rsid w:val="00E86C41"/>
    <w:rsid w:val="00E87016"/>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6827"/>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C7F3A"/>
    <w:rsid w:val="00ED0CF6"/>
    <w:rsid w:val="00ED1710"/>
    <w:rsid w:val="00ED29EB"/>
    <w:rsid w:val="00ED2B30"/>
    <w:rsid w:val="00ED2DBD"/>
    <w:rsid w:val="00ED366E"/>
    <w:rsid w:val="00ED5A68"/>
    <w:rsid w:val="00ED6681"/>
    <w:rsid w:val="00ED675F"/>
    <w:rsid w:val="00ED6E3A"/>
    <w:rsid w:val="00EE0F72"/>
    <w:rsid w:val="00EE3881"/>
    <w:rsid w:val="00EE3959"/>
    <w:rsid w:val="00EE3C77"/>
    <w:rsid w:val="00EE4748"/>
    <w:rsid w:val="00EE47BE"/>
    <w:rsid w:val="00EE4FC1"/>
    <w:rsid w:val="00EE550E"/>
    <w:rsid w:val="00EE5687"/>
    <w:rsid w:val="00EE676B"/>
    <w:rsid w:val="00EE681B"/>
    <w:rsid w:val="00EE74D9"/>
    <w:rsid w:val="00EE7D3E"/>
    <w:rsid w:val="00EF0015"/>
    <w:rsid w:val="00EF13F3"/>
    <w:rsid w:val="00EF48F6"/>
    <w:rsid w:val="00EF5381"/>
    <w:rsid w:val="00EF58DD"/>
    <w:rsid w:val="00EF6FDB"/>
    <w:rsid w:val="00F00F9F"/>
    <w:rsid w:val="00F01660"/>
    <w:rsid w:val="00F039D2"/>
    <w:rsid w:val="00F03A50"/>
    <w:rsid w:val="00F04465"/>
    <w:rsid w:val="00F04C75"/>
    <w:rsid w:val="00F05B17"/>
    <w:rsid w:val="00F05C65"/>
    <w:rsid w:val="00F06077"/>
    <w:rsid w:val="00F06483"/>
    <w:rsid w:val="00F06528"/>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66A9E"/>
    <w:rsid w:val="00F70A6B"/>
    <w:rsid w:val="00F71637"/>
    <w:rsid w:val="00F71E34"/>
    <w:rsid w:val="00F72CE7"/>
    <w:rsid w:val="00F73E58"/>
    <w:rsid w:val="00F755C7"/>
    <w:rsid w:val="00F765A2"/>
    <w:rsid w:val="00F81A9F"/>
    <w:rsid w:val="00F82221"/>
    <w:rsid w:val="00F83581"/>
    <w:rsid w:val="00F8549E"/>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1C4"/>
    <w:rsid w:val="00FC1724"/>
    <w:rsid w:val="00FC27DB"/>
    <w:rsid w:val="00FC59E5"/>
    <w:rsid w:val="00FC6855"/>
    <w:rsid w:val="00FC6911"/>
    <w:rsid w:val="00FC73D9"/>
    <w:rsid w:val="00FC7A5E"/>
    <w:rsid w:val="00FD0807"/>
    <w:rsid w:val="00FD120E"/>
    <w:rsid w:val="00FD1F87"/>
    <w:rsid w:val="00FD35D0"/>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53EBB"/>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3">
    <w:name w:val="heading 3"/>
    <w:basedOn w:val="Normal"/>
    <w:next w:val="Normal"/>
    <w:link w:val="Heading3Char"/>
    <w:semiHidden/>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semiHidden/>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semiHidden/>
    <w:unhideWhenUsed/>
    <w:rsid w:val="000F025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38051909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49645871">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169908568">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9679">
      <w:bodyDiv w:val="1"/>
      <w:marLeft w:val="0"/>
      <w:marRight w:val="0"/>
      <w:marTop w:val="0"/>
      <w:marBottom w:val="0"/>
      <w:divBdr>
        <w:top w:val="none" w:sz="0" w:space="0" w:color="auto"/>
        <w:left w:val="none" w:sz="0" w:space="0" w:color="auto"/>
        <w:bottom w:val="none" w:sz="0" w:space="0" w:color="auto"/>
        <w:right w:val="none" w:sz="0" w:space="0" w:color="auto"/>
      </w:divBdr>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724522818">
          <w:marLeft w:val="0"/>
          <w:marRight w:val="0"/>
          <w:marTop w:val="0"/>
          <w:marBottom w:val="0"/>
          <w:divBdr>
            <w:top w:val="none" w:sz="0" w:space="0" w:color="auto"/>
            <w:left w:val="none" w:sz="0" w:space="0" w:color="auto"/>
            <w:bottom w:val="none" w:sz="0" w:space="0" w:color="auto"/>
            <w:right w:val="none" w:sz="0" w:space="0" w:color="auto"/>
          </w:divBdr>
        </w:div>
        <w:div w:id="377823804">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damb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BEFF-CF73-4B4B-9435-D860369B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Daiga Dambīte</cp:lastModifiedBy>
  <cp:revision>8</cp:revision>
  <cp:lastPrinted>2018-03-22T14:28:00Z</cp:lastPrinted>
  <dcterms:created xsi:type="dcterms:W3CDTF">2021-01-29T08:31:00Z</dcterms:created>
  <dcterms:modified xsi:type="dcterms:W3CDTF">2021-01-29T13:36:00Z</dcterms:modified>
</cp:coreProperties>
</file>