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4AA0" w14:textId="77777777" w:rsidR="007356B4" w:rsidRPr="00A02DD8" w:rsidRDefault="007356B4" w:rsidP="00C4242D">
      <w:pPr>
        <w:pStyle w:val="naisnod"/>
        <w:spacing w:before="60" w:after="60"/>
      </w:pPr>
      <w:r w:rsidRPr="00A02DD8">
        <w:t xml:space="preserve">Izziņa par atzinumos sniegtajiem iebildumiem par Ministru kabineta noteikumu projektu </w:t>
      </w:r>
      <w:bookmarkStart w:id="0" w:name="OLE_LINK3"/>
      <w:bookmarkStart w:id="1" w:name="OLE_LINK4"/>
      <w:bookmarkStart w:id="2" w:name="OLE_LINK7"/>
    </w:p>
    <w:p w14:paraId="65D7861F" w14:textId="4F9ECA42" w:rsidR="007356B4" w:rsidRPr="00A02DD8" w:rsidRDefault="007356B4" w:rsidP="00C4242D">
      <w:pPr>
        <w:pStyle w:val="naisnod"/>
        <w:spacing w:before="60" w:after="60"/>
      </w:pPr>
      <w:r w:rsidRPr="00A02DD8">
        <w:t>"</w:t>
      </w:r>
      <w:bookmarkEnd w:id="0"/>
      <w:bookmarkEnd w:id="1"/>
      <w:bookmarkEnd w:id="2"/>
      <w:r w:rsidR="00381921" w:rsidRPr="00A02DD8">
        <w:t>Grozījumi Ministru kabineta 2016. gada 16. augusta noteikumos Nr. 561 "Darbības programmas "Izaugsme un nodarbinātība" 8.1.1. specifiskā atbalsta mērķa "Palielināt modernizēto STEM, tajā skaitā medicīnas un radošās industrijas, studiju programmu skaitu</w:t>
      </w:r>
      <w:r w:rsidR="00D15494" w:rsidRPr="00A02DD8">
        <w:t>"</w:t>
      </w:r>
      <w:r w:rsidR="00381921" w:rsidRPr="00A02DD8">
        <w:t xml:space="preserve"> īstenošanas noteikumi</w:t>
      </w:r>
      <w:r w:rsidRPr="00A02DD8">
        <w:t>"</w:t>
      </w:r>
    </w:p>
    <w:p w14:paraId="30BD6108" w14:textId="77777777" w:rsidR="0023626A" w:rsidRPr="00A02DD8" w:rsidRDefault="0023626A" w:rsidP="00C4242D">
      <w:pPr>
        <w:pStyle w:val="naisf"/>
        <w:spacing w:before="60" w:after="60"/>
        <w:rPr>
          <w:b/>
        </w:rPr>
      </w:pPr>
      <w:r w:rsidRPr="00A02DD8">
        <w:rPr>
          <w:b/>
        </w:rPr>
        <w:t>I. Jautājumi, par kuriem saskaņošanā vienošanās nav panākta</w:t>
      </w: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41"/>
        <w:gridCol w:w="2736"/>
        <w:gridCol w:w="3169"/>
        <w:gridCol w:w="1695"/>
        <w:gridCol w:w="3189"/>
      </w:tblGrid>
      <w:tr w:rsidR="00F83B42" w:rsidRPr="00A02DD8" w14:paraId="67AB741B" w14:textId="77777777" w:rsidTr="00C4242D">
        <w:trPr>
          <w:trHeight w:val="1230"/>
        </w:trPr>
        <w:tc>
          <w:tcPr>
            <w:tcW w:w="234" w:type="pct"/>
            <w:vAlign w:val="center"/>
          </w:tcPr>
          <w:p w14:paraId="6C404E3D" w14:textId="77777777" w:rsidR="0023626A" w:rsidRPr="00A02DD8" w:rsidRDefault="0023626A" w:rsidP="00C4242D">
            <w:pPr>
              <w:pStyle w:val="naisc"/>
              <w:spacing w:before="60" w:after="60"/>
              <w:jc w:val="both"/>
            </w:pPr>
            <w:r w:rsidRPr="00A02DD8">
              <w:t>Nr.</w:t>
            </w:r>
            <w:r w:rsidR="0050794A" w:rsidRPr="00A02DD8">
              <w:t xml:space="preserve"> </w:t>
            </w:r>
            <w:r w:rsidRPr="00A02DD8">
              <w:t>p.k.</w:t>
            </w:r>
          </w:p>
        </w:tc>
        <w:tc>
          <w:tcPr>
            <w:tcW w:w="1048" w:type="pct"/>
            <w:vAlign w:val="center"/>
          </w:tcPr>
          <w:p w14:paraId="7A066E4C" w14:textId="77777777" w:rsidR="0023626A" w:rsidRPr="00A02DD8" w:rsidRDefault="0023626A" w:rsidP="00C4242D">
            <w:pPr>
              <w:pStyle w:val="naisc"/>
              <w:spacing w:before="60" w:after="60"/>
              <w:jc w:val="both"/>
            </w:pPr>
            <w:r w:rsidRPr="00A02DD8">
              <w:t>Saskaņošanai nosūtītā projekta redakcija (konkrēta vērtēšanas kritērija redakcija)</w:t>
            </w:r>
          </w:p>
        </w:tc>
        <w:tc>
          <w:tcPr>
            <w:tcW w:w="943" w:type="pct"/>
            <w:vAlign w:val="center"/>
          </w:tcPr>
          <w:p w14:paraId="63C2486D" w14:textId="77777777" w:rsidR="0023626A" w:rsidRPr="00A02DD8" w:rsidRDefault="0023626A" w:rsidP="00C4242D">
            <w:pPr>
              <w:pStyle w:val="naisc"/>
              <w:spacing w:before="60" w:after="60"/>
              <w:jc w:val="both"/>
            </w:pPr>
            <w:r w:rsidRPr="00A02DD8">
              <w:t>Atzinumā norādītais ministrijas (citas institūcijas) iebildums, kā arī saskaņošanā papildus izteiktais iebildums par projekta konkrēto punktu (pantu)</w:t>
            </w:r>
          </w:p>
        </w:tc>
        <w:tc>
          <w:tcPr>
            <w:tcW w:w="1092" w:type="pct"/>
            <w:vAlign w:val="center"/>
          </w:tcPr>
          <w:p w14:paraId="2F617050" w14:textId="77777777" w:rsidR="0023626A" w:rsidRPr="00A02DD8" w:rsidRDefault="0023626A" w:rsidP="00C4242D">
            <w:pPr>
              <w:pStyle w:val="naisc"/>
              <w:spacing w:before="60" w:after="60"/>
              <w:jc w:val="both"/>
            </w:pPr>
            <w:r w:rsidRPr="00A02DD8">
              <w:t>Atbildīgās ministrijas pamatojums iebilduma noraidījumam</w:t>
            </w:r>
          </w:p>
        </w:tc>
        <w:tc>
          <w:tcPr>
            <w:tcW w:w="584" w:type="pct"/>
          </w:tcPr>
          <w:p w14:paraId="481E8A6C" w14:textId="77777777" w:rsidR="0023626A" w:rsidRPr="00A02DD8" w:rsidRDefault="0023626A" w:rsidP="00C4242D">
            <w:pPr>
              <w:pStyle w:val="naisc"/>
              <w:spacing w:before="60" w:after="60"/>
              <w:jc w:val="both"/>
            </w:pPr>
            <w:r w:rsidRPr="00A02DD8">
              <w:t>Atzinuma sniedzēja uzturētais iebildums, ja tas atšķiras no atzinumā norādītā iebilduma pamatojuma</w:t>
            </w:r>
          </w:p>
        </w:tc>
        <w:tc>
          <w:tcPr>
            <w:tcW w:w="1099" w:type="pct"/>
            <w:vAlign w:val="center"/>
          </w:tcPr>
          <w:p w14:paraId="56B13783" w14:textId="77777777" w:rsidR="0023626A" w:rsidRPr="00A02DD8" w:rsidRDefault="0023626A" w:rsidP="00C4242D">
            <w:pPr>
              <w:pStyle w:val="naisc"/>
              <w:spacing w:before="60" w:after="60"/>
              <w:jc w:val="both"/>
            </w:pPr>
            <w:r w:rsidRPr="00A02DD8">
              <w:t>Projekta attiecīgā punkta (panta) galīgā redakcija</w:t>
            </w:r>
          </w:p>
        </w:tc>
      </w:tr>
      <w:tr w:rsidR="00F83B42" w:rsidRPr="00A02DD8" w14:paraId="05F33605" w14:textId="77777777" w:rsidTr="00C4242D">
        <w:trPr>
          <w:trHeight w:val="285"/>
        </w:trPr>
        <w:tc>
          <w:tcPr>
            <w:tcW w:w="234" w:type="pct"/>
            <w:shd w:val="clear" w:color="auto" w:fill="auto"/>
            <w:vAlign w:val="center"/>
          </w:tcPr>
          <w:p w14:paraId="37920FA5" w14:textId="77777777" w:rsidR="0023626A" w:rsidRPr="00A02DD8" w:rsidRDefault="0023626A" w:rsidP="00C4242D">
            <w:pPr>
              <w:pStyle w:val="naisc"/>
              <w:spacing w:before="60" w:after="60"/>
            </w:pPr>
            <w:r w:rsidRPr="00A02DD8">
              <w:t>1.</w:t>
            </w:r>
          </w:p>
        </w:tc>
        <w:tc>
          <w:tcPr>
            <w:tcW w:w="1048" w:type="pct"/>
            <w:shd w:val="clear" w:color="auto" w:fill="auto"/>
            <w:vAlign w:val="center"/>
          </w:tcPr>
          <w:p w14:paraId="796EECA1" w14:textId="77777777" w:rsidR="0023626A" w:rsidRPr="00A02DD8" w:rsidRDefault="0023626A" w:rsidP="00C4242D">
            <w:pPr>
              <w:pStyle w:val="naisc"/>
              <w:spacing w:before="60" w:after="60"/>
            </w:pPr>
            <w:r w:rsidRPr="00A02DD8">
              <w:t>2.</w:t>
            </w:r>
          </w:p>
        </w:tc>
        <w:tc>
          <w:tcPr>
            <w:tcW w:w="943" w:type="pct"/>
            <w:shd w:val="clear" w:color="auto" w:fill="auto"/>
            <w:vAlign w:val="center"/>
          </w:tcPr>
          <w:p w14:paraId="2F78C577" w14:textId="77777777" w:rsidR="0023626A" w:rsidRPr="00A02DD8" w:rsidRDefault="0023626A" w:rsidP="00C4242D">
            <w:pPr>
              <w:pStyle w:val="naisc"/>
              <w:spacing w:before="60" w:after="60"/>
            </w:pPr>
            <w:r w:rsidRPr="00A02DD8">
              <w:t>3.</w:t>
            </w:r>
          </w:p>
        </w:tc>
        <w:tc>
          <w:tcPr>
            <w:tcW w:w="1092" w:type="pct"/>
            <w:shd w:val="clear" w:color="auto" w:fill="auto"/>
            <w:vAlign w:val="center"/>
          </w:tcPr>
          <w:p w14:paraId="473C2C23" w14:textId="77777777" w:rsidR="0023626A" w:rsidRPr="00A02DD8" w:rsidRDefault="0023626A" w:rsidP="00C4242D">
            <w:pPr>
              <w:pStyle w:val="naisc"/>
              <w:spacing w:before="60" w:after="60"/>
            </w:pPr>
            <w:r w:rsidRPr="00A02DD8">
              <w:t>4.</w:t>
            </w:r>
          </w:p>
        </w:tc>
        <w:tc>
          <w:tcPr>
            <w:tcW w:w="584" w:type="pct"/>
            <w:shd w:val="clear" w:color="auto" w:fill="auto"/>
          </w:tcPr>
          <w:p w14:paraId="6A76269C" w14:textId="77777777" w:rsidR="0023626A" w:rsidRPr="00A02DD8" w:rsidRDefault="0023626A" w:rsidP="00C4242D">
            <w:pPr>
              <w:pStyle w:val="naisc"/>
              <w:spacing w:before="60" w:after="60"/>
            </w:pPr>
            <w:r w:rsidRPr="00A02DD8">
              <w:t>5.</w:t>
            </w:r>
          </w:p>
        </w:tc>
        <w:tc>
          <w:tcPr>
            <w:tcW w:w="1099" w:type="pct"/>
            <w:shd w:val="clear" w:color="auto" w:fill="auto"/>
            <w:vAlign w:val="center"/>
          </w:tcPr>
          <w:p w14:paraId="51B41E17" w14:textId="77777777" w:rsidR="0023626A" w:rsidRPr="00A02DD8" w:rsidRDefault="0023626A" w:rsidP="00C4242D">
            <w:pPr>
              <w:pStyle w:val="naisc"/>
              <w:spacing w:before="60" w:after="60"/>
            </w:pPr>
            <w:r w:rsidRPr="00A02DD8">
              <w:t>6.</w:t>
            </w:r>
          </w:p>
        </w:tc>
      </w:tr>
      <w:tr w:rsidR="00F83B42" w:rsidRPr="00A02DD8" w14:paraId="75CC7CC9" w14:textId="77777777" w:rsidTr="00C4242D">
        <w:trPr>
          <w:trHeight w:val="212"/>
        </w:trPr>
        <w:tc>
          <w:tcPr>
            <w:tcW w:w="234" w:type="pct"/>
          </w:tcPr>
          <w:p w14:paraId="5E6C133D" w14:textId="77777777" w:rsidR="00441CD7" w:rsidRPr="00A02DD8" w:rsidRDefault="00441CD7" w:rsidP="00C4242D">
            <w:pPr>
              <w:pStyle w:val="naisc"/>
              <w:spacing w:before="60" w:after="60"/>
              <w:jc w:val="both"/>
            </w:pPr>
          </w:p>
        </w:tc>
        <w:tc>
          <w:tcPr>
            <w:tcW w:w="1048" w:type="pct"/>
          </w:tcPr>
          <w:p w14:paraId="732AF88D" w14:textId="77777777" w:rsidR="00441CD7" w:rsidRPr="00A02DD8" w:rsidRDefault="00441CD7" w:rsidP="00C4242D">
            <w:pPr>
              <w:tabs>
                <w:tab w:val="left" w:pos="993"/>
                <w:tab w:val="left" w:pos="1418"/>
              </w:tabs>
              <w:spacing w:before="60" w:after="60"/>
              <w:jc w:val="both"/>
              <w:rPr>
                <w:bCs/>
              </w:rPr>
            </w:pPr>
          </w:p>
        </w:tc>
        <w:tc>
          <w:tcPr>
            <w:tcW w:w="943" w:type="pct"/>
          </w:tcPr>
          <w:p w14:paraId="528E40EB" w14:textId="7A7B0E4E" w:rsidR="001B3824" w:rsidRPr="00A02DD8" w:rsidRDefault="001B3824" w:rsidP="00C4242D">
            <w:pPr>
              <w:spacing w:before="60" w:after="60"/>
              <w:jc w:val="both"/>
              <w:rPr>
                <w:i/>
              </w:rPr>
            </w:pPr>
          </w:p>
        </w:tc>
        <w:tc>
          <w:tcPr>
            <w:tcW w:w="1092" w:type="pct"/>
          </w:tcPr>
          <w:p w14:paraId="365D4F6A" w14:textId="77777777" w:rsidR="00441CD7" w:rsidRPr="00A02DD8" w:rsidRDefault="00441CD7" w:rsidP="00C4242D">
            <w:pPr>
              <w:pStyle w:val="ListParagraph"/>
              <w:spacing w:before="60" w:after="60"/>
              <w:ind w:left="0"/>
              <w:jc w:val="both"/>
              <w:rPr>
                <w:rFonts w:ascii="Times New Roman" w:hAnsi="Times New Roman"/>
                <w:sz w:val="24"/>
                <w:szCs w:val="24"/>
              </w:rPr>
            </w:pPr>
          </w:p>
        </w:tc>
        <w:tc>
          <w:tcPr>
            <w:tcW w:w="584" w:type="pct"/>
          </w:tcPr>
          <w:p w14:paraId="34BC5965" w14:textId="77777777" w:rsidR="00441CD7" w:rsidRPr="00A02DD8" w:rsidRDefault="00441CD7" w:rsidP="00C4242D">
            <w:pPr>
              <w:tabs>
                <w:tab w:val="left" w:pos="284"/>
              </w:tabs>
              <w:spacing w:before="60" w:after="60"/>
              <w:contextualSpacing/>
              <w:jc w:val="both"/>
            </w:pPr>
          </w:p>
        </w:tc>
        <w:tc>
          <w:tcPr>
            <w:tcW w:w="1099" w:type="pct"/>
          </w:tcPr>
          <w:p w14:paraId="38BE40E6" w14:textId="77777777" w:rsidR="00441CD7" w:rsidRPr="00A02DD8" w:rsidRDefault="00441CD7" w:rsidP="00C4242D">
            <w:pPr>
              <w:spacing w:before="60" w:after="60"/>
              <w:jc w:val="both"/>
            </w:pPr>
          </w:p>
        </w:tc>
      </w:tr>
    </w:tbl>
    <w:p w14:paraId="40DC24EE" w14:textId="2505F37C" w:rsidR="0023626A" w:rsidRPr="00A02DD8" w:rsidRDefault="0023626A" w:rsidP="00C4242D">
      <w:pPr>
        <w:pStyle w:val="naisf"/>
        <w:spacing w:before="60" w:after="60"/>
        <w:rPr>
          <w:b/>
        </w:rPr>
      </w:pPr>
    </w:p>
    <w:p w14:paraId="58818651" w14:textId="77777777" w:rsidR="0023626A" w:rsidRPr="00A02DD8" w:rsidRDefault="0023626A" w:rsidP="00C4242D">
      <w:pPr>
        <w:pStyle w:val="naisf"/>
        <w:spacing w:before="60" w:after="60"/>
        <w:rPr>
          <w:b/>
        </w:rPr>
      </w:pPr>
      <w:r w:rsidRPr="00A02DD8">
        <w:rPr>
          <w:b/>
        </w:rPr>
        <w:t xml:space="preserve">Informācija par </w:t>
      </w:r>
      <w:proofErr w:type="spellStart"/>
      <w:r w:rsidRPr="00A02DD8">
        <w:rPr>
          <w:b/>
        </w:rPr>
        <w:t>starpministriju</w:t>
      </w:r>
      <w:proofErr w:type="spellEnd"/>
      <w:r w:rsidRPr="00A02DD8">
        <w:rPr>
          <w:b/>
        </w:rPr>
        <w:t xml:space="preserve"> (starpinstitūciju) sanāksmi vai </w:t>
      </w:r>
      <w:r w:rsidRPr="00A02DD8">
        <w:rPr>
          <w:b/>
          <w:u w:val="single"/>
        </w:rPr>
        <w:t>elektronisko saskaņošanu</w:t>
      </w:r>
    </w:p>
    <w:p w14:paraId="7C0AB2AE" w14:textId="77777777" w:rsidR="00796743" w:rsidRPr="00A02DD8" w:rsidRDefault="00796743" w:rsidP="00C4242D">
      <w:pPr>
        <w:pStyle w:val="naisf"/>
        <w:spacing w:before="60" w:after="60"/>
        <w:rPr>
          <w:b/>
        </w:rPr>
      </w:pPr>
    </w:p>
    <w:tbl>
      <w:tblPr>
        <w:tblW w:w="14601" w:type="dxa"/>
        <w:tblInd w:w="-459" w:type="dxa"/>
        <w:tblLook w:val="00A0" w:firstRow="1" w:lastRow="0" w:firstColumn="1" w:lastColumn="0" w:noHBand="0" w:noVBand="0"/>
      </w:tblPr>
      <w:tblGrid>
        <w:gridCol w:w="7371"/>
        <w:gridCol w:w="282"/>
        <w:gridCol w:w="6948"/>
      </w:tblGrid>
      <w:tr w:rsidR="00F83B42" w:rsidRPr="00A02DD8" w14:paraId="37C197E0" w14:textId="77777777" w:rsidTr="00C4242D">
        <w:trPr>
          <w:trHeight w:val="201"/>
        </w:trPr>
        <w:tc>
          <w:tcPr>
            <w:tcW w:w="7371" w:type="dxa"/>
          </w:tcPr>
          <w:p w14:paraId="4175B492" w14:textId="720F0D2A" w:rsidR="0023626A" w:rsidRPr="00A02DD8" w:rsidRDefault="0023626A" w:rsidP="007E0DD5">
            <w:pPr>
              <w:pStyle w:val="naisf"/>
              <w:spacing w:before="60" w:after="60"/>
            </w:pPr>
            <w:r w:rsidRPr="00A02DD8">
              <w:t>Datums</w:t>
            </w:r>
            <w:r w:rsidR="00B12E7E" w:rsidRPr="00A02DD8">
              <w:t xml:space="preserve"> </w:t>
            </w:r>
            <w:r w:rsidR="007E0DD5">
              <w:t>08.12</w:t>
            </w:r>
            <w:r w:rsidR="00BF6EE5" w:rsidRPr="00A02DD8">
              <w:t>.20</w:t>
            </w:r>
            <w:r w:rsidR="00D15494" w:rsidRPr="00A02DD8">
              <w:t>20</w:t>
            </w:r>
            <w:r w:rsidR="00032BE2" w:rsidRPr="00A02DD8">
              <w:t>.</w:t>
            </w:r>
          </w:p>
        </w:tc>
        <w:tc>
          <w:tcPr>
            <w:tcW w:w="7230" w:type="dxa"/>
            <w:gridSpan w:val="2"/>
            <w:tcBorders>
              <w:bottom w:val="single" w:sz="4" w:space="0" w:color="auto"/>
            </w:tcBorders>
          </w:tcPr>
          <w:p w14:paraId="5B9D2C84" w14:textId="77777777" w:rsidR="0023626A" w:rsidRPr="00A02DD8" w:rsidRDefault="0023626A" w:rsidP="00C4242D">
            <w:pPr>
              <w:pStyle w:val="NormalWeb"/>
              <w:spacing w:before="60" w:beforeAutospacing="0" w:after="60" w:afterAutospacing="0"/>
              <w:jc w:val="both"/>
            </w:pPr>
          </w:p>
        </w:tc>
      </w:tr>
      <w:tr w:rsidR="00F83B42" w:rsidRPr="00A02DD8" w14:paraId="3E00288C" w14:textId="77777777" w:rsidTr="00C4242D">
        <w:trPr>
          <w:trHeight w:val="201"/>
        </w:trPr>
        <w:tc>
          <w:tcPr>
            <w:tcW w:w="7371" w:type="dxa"/>
          </w:tcPr>
          <w:p w14:paraId="18EC30A3" w14:textId="77777777" w:rsidR="0023626A" w:rsidRPr="00A02DD8" w:rsidRDefault="0023626A" w:rsidP="00C4242D">
            <w:pPr>
              <w:pStyle w:val="naisf"/>
              <w:spacing w:before="60" w:after="60"/>
            </w:pPr>
          </w:p>
        </w:tc>
        <w:tc>
          <w:tcPr>
            <w:tcW w:w="7230" w:type="dxa"/>
            <w:gridSpan w:val="2"/>
            <w:tcBorders>
              <w:top w:val="single" w:sz="4" w:space="0" w:color="auto"/>
            </w:tcBorders>
          </w:tcPr>
          <w:p w14:paraId="3812A2E6" w14:textId="77777777" w:rsidR="0023626A" w:rsidRPr="00A02DD8" w:rsidRDefault="0023626A" w:rsidP="00C4242D">
            <w:pPr>
              <w:pStyle w:val="NormalWeb"/>
              <w:spacing w:before="60" w:beforeAutospacing="0" w:after="60" w:afterAutospacing="0"/>
              <w:ind w:firstLine="720"/>
              <w:jc w:val="both"/>
            </w:pPr>
          </w:p>
        </w:tc>
      </w:tr>
      <w:tr w:rsidR="00F83B42" w:rsidRPr="00A02DD8" w14:paraId="310014DE" w14:textId="77777777" w:rsidTr="00C4242D">
        <w:trPr>
          <w:trHeight w:val="201"/>
        </w:trPr>
        <w:tc>
          <w:tcPr>
            <w:tcW w:w="7371" w:type="dxa"/>
          </w:tcPr>
          <w:p w14:paraId="27205848" w14:textId="77777777" w:rsidR="0023626A" w:rsidRPr="00A02DD8" w:rsidRDefault="0023626A" w:rsidP="00C4242D">
            <w:pPr>
              <w:pStyle w:val="naiskr"/>
              <w:spacing w:before="60" w:after="60"/>
              <w:jc w:val="both"/>
            </w:pPr>
            <w:r w:rsidRPr="00A02DD8">
              <w:t>Saskaņošanas dalībnieki</w:t>
            </w:r>
            <w:r w:rsidR="00DF26D2" w:rsidRPr="00A02DD8">
              <w:t xml:space="preserve"> </w:t>
            </w:r>
          </w:p>
        </w:tc>
        <w:tc>
          <w:tcPr>
            <w:tcW w:w="7230" w:type="dxa"/>
            <w:gridSpan w:val="2"/>
            <w:tcBorders>
              <w:bottom w:val="single" w:sz="4" w:space="0" w:color="auto"/>
            </w:tcBorders>
          </w:tcPr>
          <w:p w14:paraId="1EE77855" w14:textId="13474CA5" w:rsidR="00B14A57" w:rsidRPr="00A02DD8" w:rsidRDefault="0008799E" w:rsidP="00C4242D">
            <w:pPr>
              <w:pStyle w:val="naiskr"/>
              <w:spacing w:before="60" w:after="60"/>
              <w:jc w:val="both"/>
            </w:pPr>
            <w:r w:rsidRPr="00A02DD8">
              <w:t xml:space="preserve">Tieslietu ministrija, Finanšu ministrija </w:t>
            </w:r>
          </w:p>
        </w:tc>
      </w:tr>
      <w:tr w:rsidR="00F83B42" w:rsidRPr="00A02DD8" w14:paraId="38843C9D" w14:textId="77777777" w:rsidTr="00C4242D">
        <w:trPr>
          <w:trHeight w:val="210"/>
        </w:trPr>
        <w:tc>
          <w:tcPr>
            <w:tcW w:w="7371" w:type="dxa"/>
          </w:tcPr>
          <w:p w14:paraId="6B2D6721" w14:textId="77777777" w:rsidR="0023626A" w:rsidRPr="00A02DD8" w:rsidRDefault="0023626A" w:rsidP="00C4242D">
            <w:pPr>
              <w:pStyle w:val="naiskr"/>
              <w:spacing w:before="60" w:after="60"/>
              <w:jc w:val="both"/>
            </w:pPr>
          </w:p>
        </w:tc>
        <w:tc>
          <w:tcPr>
            <w:tcW w:w="282" w:type="dxa"/>
          </w:tcPr>
          <w:p w14:paraId="47DA5F10" w14:textId="77777777" w:rsidR="0023626A" w:rsidRPr="00A02DD8" w:rsidRDefault="0023626A" w:rsidP="00C4242D">
            <w:pPr>
              <w:pStyle w:val="naiskr"/>
              <w:spacing w:before="60" w:after="60"/>
              <w:ind w:firstLine="720"/>
              <w:jc w:val="both"/>
            </w:pPr>
          </w:p>
        </w:tc>
        <w:tc>
          <w:tcPr>
            <w:tcW w:w="6948" w:type="dxa"/>
          </w:tcPr>
          <w:p w14:paraId="1F7DCF3E" w14:textId="77777777" w:rsidR="0023626A" w:rsidRPr="00A02DD8" w:rsidRDefault="0023626A" w:rsidP="00C4242D">
            <w:pPr>
              <w:pStyle w:val="naiskr"/>
              <w:spacing w:before="60" w:after="60"/>
              <w:ind w:firstLine="12"/>
              <w:jc w:val="both"/>
            </w:pPr>
          </w:p>
        </w:tc>
      </w:tr>
      <w:tr w:rsidR="00F83B42" w:rsidRPr="00A02DD8" w14:paraId="1759B5E5" w14:textId="77777777" w:rsidTr="00C4242D">
        <w:trPr>
          <w:trHeight w:val="210"/>
        </w:trPr>
        <w:tc>
          <w:tcPr>
            <w:tcW w:w="7371" w:type="dxa"/>
          </w:tcPr>
          <w:p w14:paraId="44162AA0" w14:textId="77777777" w:rsidR="0023626A" w:rsidRPr="00A02DD8" w:rsidRDefault="0023626A" w:rsidP="00C4242D">
            <w:pPr>
              <w:pStyle w:val="naiskr"/>
              <w:spacing w:before="60" w:after="60"/>
              <w:jc w:val="both"/>
            </w:pPr>
            <w:r w:rsidRPr="00A02DD8">
              <w:br w:type="page"/>
              <w:t>Saskaņošanas dalībnieki izskatīja šādu ministriju (citu institūciju) iebildumus</w:t>
            </w:r>
          </w:p>
        </w:tc>
        <w:tc>
          <w:tcPr>
            <w:tcW w:w="282" w:type="dxa"/>
            <w:tcBorders>
              <w:bottom w:val="single" w:sz="4" w:space="0" w:color="auto"/>
            </w:tcBorders>
          </w:tcPr>
          <w:p w14:paraId="216E22EE" w14:textId="77777777" w:rsidR="0023626A" w:rsidRPr="00A02DD8" w:rsidRDefault="0023626A" w:rsidP="00C4242D">
            <w:pPr>
              <w:pStyle w:val="naiskr"/>
              <w:spacing w:before="60" w:after="60"/>
              <w:ind w:firstLine="720"/>
              <w:jc w:val="both"/>
            </w:pPr>
          </w:p>
        </w:tc>
        <w:tc>
          <w:tcPr>
            <w:tcW w:w="6948" w:type="dxa"/>
            <w:tcBorders>
              <w:bottom w:val="single" w:sz="4" w:space="0" w:color="auto"/>
            </w:tcBorders>
            <w:vAlign w:val="bottom"/>
          </w:tcPr>
          <w:p w14:paraId="193EC008" w14:textId="4697B662" w:rsidR="00FF1A42" w:rsidRPr="00A02DD8" w:rsidRDefault="006D0FEC" w:rsidP="00C4242D">
            <w:pPr>
              <w:pStyle w:val="naiskr"/>
              <w:spacing w:before="60" w:after="60"/>
              <w:jc w:val="both"/>
            </w:pPr>
            <w:r w:rsidRPr="00A02DD8">
              <w:t>Finanšu ministrija</w:t>
            </w:r>
            <w:r w:rsidR="00EA4C95" w:rsidRPr="00A02DD8">
              <w:t xml:space="preserve"> </w:t>
            </w:r>
          </w:p>
        </w:tc>
      </w:tr>
      <w:tr w:rsidR="00F83B42" w:rsidRPr="00A02DD8" w14:paraId="131C2931" w14:textId="77777777" w:rsidTr="00C4242D">
        <w:trPr>
          <w:trHeight w:val="343"/>
        </w:trPr>
        <w:tc>
          <w:tcPr>
            <w:tcW w:w="14601" w:type="dxa"/>
            <w:gridSpan w:val="3"/>
          </w:tcPr>
          <w:p w14:paraId="67A3D480" w14:textId="77777777" w:rsidR="0023626A" w:rsidRPr="00A02DD8" w:rsidRDefault="0023626A" w:rsidP="00C4242D">
            <w:pPr>
              <w:pStyle w:val="naisc"/>
              <w:spacing w:before="60" w:after="60"/>
              <w:jc w:val="both"/>
            </w:pPr>
          </w:p>
        </w:tc>
      </w:tr>
      <w:tr w:rsidR="00F83B42" w:rsidRPr="00A02DD8" w14:paraId="54D70F5D" w14:textId="77777777" w:rsidTr="00C4242D">
        <w:trPr>
          <w:trHeight w:val="612"/>
        </w:trPr>
        <w:tc>
          <w:tcPr>
            <w:tcW w:w="7371" w:type="dxa"/>
          </w:tcPr>
          <w:p w14:paraId="3A64E57D" w14:textId="77777777" w:rsidR="0023626A" w:rsidRPr="00A02DD8" w:rsidRDefault="0023626A" w:rsidP="00C4242D">
            <w:pPr>
              <w:pStyle w:val="naiskr"/>
              <w:spacing w:before="60" w:after="60"/>
              <w:jc w:val="both"/>
            </w:pPr>
            <w:r w:rsidRPr="00A02DD8">
              <w:t>Ministrijas (citas institūcijas), kuras nav ieradušās uz sanāksmi vai kuras nav atbildējušas uz uzaicinājumu piedalīties elektroniskajā saskaņošanā</w:t>
            </w:r>
          </w:p>
        </w:tc>
        <w:tc>
          <w:tcPr>
            <w:tcW w:w="7230" w:type="dxa"/>
            <w:gridSpan w:val="2"/>
            <w:vAlign w:val="bottom"/>
          </w:tcPr>
          <w:p w14:paraId="4BC4B816" w14:textId="5C569F5B" w:rsidR="0023626A" w:rsidRPr="00A02DD8" w:rsidRDefault="0023626A" w:rsidP="00C4242D">
            <w:pPr>
              <w:pStyle w:val="naiskr"/>
              <w:spacing w:before="60" w:after="60"/>
              <w:jc w:val="both"/>
            </w:pPr>
          </w:p>
        </w:tc>
      </w:tr>
      <w:tr w:rsidR="00F83B42" w:rsidRPr="00A02DD8" w14:paraId="2AFEE836" w14:textId="77777777" w:rsidTr="00C4242D">
        <w:trPr>
          <w:trHeight w:val="210"/>
        </w:trPr>
        <w:tc>
          <w:tcPr>
            <w:tcW w:w="7371" w:type="dxa"/>
          </w:tcPr>
          <w:p w14:paraId="597547CA" w14:textId="77777777" w:rsidR="0023626A" w:rsidRPr="00A02DD8" w:rsidRDefault="0023626A" w:rsidP="00C4242D">
            <w:pPr>
              <w:pStyle w:val="naiskr"/>
              <w:spacing w:before="60" w:after="60"/>
              <w:ind w:firstLine="720"/>
              <w:jc w:val="both"/>
            </w:pPr>
            <w:r w:rsidRPr="00A02DD8">
              <w:lastRenderedPageBreak/>
              <w:t>  </w:t>
            </w:r>
          </w:p>
        </w:tc>
        <w:tc>
          <w:tcPr>
            <w:tcW w:w="7230" w:type="dxa"/>
            <w:gridSpan w:val="2"/>
            <w:tcBorders>
              <w:top w:val="single" w:sz="6" w:space="0" w:color="000000"/>
              <w:bottom w:val="single" w:sz="6" w:space="0" w:color="000000"/>
            </w:tcBorders>
          </w:tcPr>
          <w:p w14:paraId="034FE488" w14:textId="77777777" w:rsidR="0023626A" w:rsidRPr="00A02DD8" w:rsidRDefault="0023626A" w:rsidP="00C4242D">
            <w:pPr>
              <w:pStyle w:val="naiskr"/>
              <w:spacing w:before="60" w:after="60"/>
              <w:ind w:firstLine="720"/>
              <w:jc w:val="both"/>
            </w:pPr>
          </w:p>
        </w:tc>
      </w:tr>
      <w:tr w:rsidR="00F83B42" w:rsidRPr="00A02DD8" w14:paraId="5CCC2DFD" w14:textId="77777777" w:rsidTr="00C4242D">
        <w:trPr>
          <w:trHeight w:val="210"/>
        </w:trPr>
        <w:tc>
          <w:tcPr>
            <w:tcW w:w="7371" w:type="dxa"/>
          </w:tcPr>
          <w:p w14:paraId="101F18F1" w14:textId="24C38EC0" w:rsidR="00237834" w:rsidRPr="00A02DD8" w:rsidRDefault="00237834" w:rsidP="00C4242D">
            <w:pPr>
              <w:pStyle w:val="naiskr"/>
              <w:spacing w:before="60" w:after="60"/>
              <w:ind w:firstLine="720"/>
              <w:jc w:val="both"/>
            </w:pPr>
          </w:p>
          <w:p w14:paraId="72E75A52" w14:textId="77777777" w:rsidR="00237834" w:rsidRPr="00A02DD8" w:rsidRDefault="00237834" w:rsidP="00C4242D">
            <w:pPr>
              <w:pStyle w:val="naiskr"/>
              <w:spacing w:before="60" w:after="60"/>
              <w:ind w:firstLine="720"/>
              <w:jc w:val="both"/>
            </w:pPr>
          </w:p>
        </w:tc>
        <w:tc>
          <w:tcPr>
            <w:tcW w:w="7230" w:type="dxa"/>
            <w:gridSpan w:val="2"/>
          </w:tcPr>
          <w:p w14:paraId="3080EB35" w14:textId="77777777" w:rsidR="00237834" w:rsidRPr="00A02DD8" w:rsidRDefault="00237834" w:rsidP="00C4242D">
            <w:pPr>
              <w:pStyle w:val="naiskr"/>
              <w:spacing w:before="60" w:after="60"/>
              <w:ind w:firstLine="720"/>
              <w:jc w:val="both"/>
            </w:pPr>
          </w:p>
        </w:tc>
      </w:tr>
    </w:tbl>
    <w:p w14:paraId="200D25AB" w14:textId="77777777" w:rsidR="007B4C0F" w:rsidRPr="00A02DD8" w:rsidRDefault="007B4C0F" w:rsidP="00C4242D">
      <w:pPr>
        <w:pStyle w:val="naisf"/>
        <w:spacing w:before="60" w:after="60"/>
        <w:ind w:firstLine="0"/>
        <w:rPr>
          <w:b/>
        </w:rPr>
      </w:pPr>
      <w:r w:rsidRPr="00A02DD8">
        <w:rPr>
          <w:b/>
        </w:rPr>
        <w:t>II. </w:t>
      </w:r>
      <w:r w:rsidR="00134188" w:rsidRPr="00A02DD8">
        <w:rPr>
          <w:b/>
        </w:rPr>
        <w:t>Jautājumi, par kuriem saskaņošanā vienošan</w:t>
      </w:r>
      <w:r w:rsidR="00144622" w:rsidRPr="00A02DD8">
        <w:rPr>
          <w:b/>
        </w:rPr>
        <w:t>ā</w:t>
      </w:r>
      <w:r w:rsidR="00134188" w:rsidRPr="00A02DD8">
        <w:rPr>
          <w:b/>
        </w:rPr>
        <w:t>s ir panākta</w:t>
      </w:r>
    </w:p>
    <w:tbl>
      <w:tblPr>
        <w:tblpPr w:leftFromText="180" w:rightFromText="180" w:vertAnchor="text" w:tblpX="-123" w:tblpY="1"/>
        <w:tblOverlap w:val="never"/>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3467"/>
        <w:gridCol w:w="3827"/>
        <w:gridCol w:w="2787"/>
        <w:gridCol w:w="4039"/>
        <w:gridCol w:w="102"/>
      </w:tblGrid>
      <w:tr w:rsidR="008E2CD9" w:rsidRPr="00A02DD8" w14:paraId="1AE1E91F" w14:textId="77777777" w:rsidTr="007E0DD5">
        <w:trPr>
          <w:gridAfter w:val="1"/>
          <w:wAfter w:w="102" w:type="dxa"/>
          <w:trHeight w:val="148"/>
        </w:trPr>
        <w:tc>
          <w:tcPr>
            <w:tcW w:w="644" w:type="dxa"/>
            <w:shd w:val="clear" w:color="auto" w:fill="FFFFFF" w:themeFill="background1"/>
            <w:vAlign w:val="center"/>
          </w:tcPr>
          <w:p w14:paraId="336AD408" w14:textId="77777777" w:rsidR="00134188" w:rsidRPr="00A02DD8" w:rsidRDefault="003903CE" w:rsidP="00C4242D">
            <w:pPr>
              <w:pStyle w:val="naisc"/>
              <w:spacing w:before="60" w:after="60"/>
              <w:jc w:val="both"/>
            </w:pPr>
            <w:r w:rsidRPr="00A02DD8">
              <w:t>Nr.</w:t>
            </w:r>
            <w:r w:rsidR="00690E99" w:rsidRPr="00A02DD8">
              <w:t xml:space="preserve"> </w:t>
            </w:r>
            <w:r w:rsidR="00134188" w:rsidRPr="00A02DD8">
              <w:t>p.k.</w:t>
            </w:r>
          </w:p>
        </w:tc>
        <w:tc>
          <w:tcPr>
            <w:tcW w:w="3467" w:type="dxa"/>
            <w:vAlign w:val="center"/>
          </w:tcPr>
          <w:p w14:paraId="2455189D" w14:textId="77777777" w:rsidR="00134188" w:rsidRPr="00A02DD8" w:rsidRDefault="00134188" w:rsidP="00C4242D">
            <w:pPr>
              <w:pStyle w:val="naisc"/>
              <w:spacing w:before="60" w:after="60"/>
              <w:ind w:firstLine="12"/>
              <w:jc w:val="both"/>
            </w:pPr>
            <w:r w:rsidRPr="00A02DD8">
              <w:t>Saskaņošanai nosūtītā projekta redakcija (konkrēta punkta (panta) redakcija)</w:t>
            </w:r>
          </w:p>
        </w:tc>
        <w:tc>
          <w:tcPr>
            <w:tcW w:w="3827" w:type="dxa"/>
            <w:vAlign w:val="center"/>
          </w:tcPr>
          <w:p w14:paraId="6F9E137A" w14:textId="77777777" w:rsidR="00134188" w:rsidRPr="00A02DD8" w:rsidRDefault="00134188" w:rsidP="00C4242D">
            <w:pPr>
              <w:pStyle w:val="naisc"/>
              <w:spacing w:before="60" w:after="60"/>
              <w:jc w:val="both"/>
            </w:pPr>
            <w:r w:rsidRPr="00A02DD8">
              <w:t>Atzinumā norādītais ministrijas (citas institūcijas) iebildums, kā arī saskaņošanā papildus izteiktais iebildums par projekta konkrēto punktu (pantu)</w:t>
            </w:r>
          </w:p>
        </w:tc>
        <w:tc>
          <w:tcPr>
            <w:tcW w:w="2787" w:type="dxa"/>
            <w:vAlign w:val="center"/>
          </w:tcPr>
          <w:p w14:paraId="1E5E245C" w14:textId="77777777" w:rsidR="00134188" w:rsidRPr="00A02DD8" w:rsidRDefault="00134188" w:rsidP="00C4242D">
            <w:pPr>
              <w:pStyle w:val="naisc"/>
              <w:spacing w:before="60" w:after="60"/>
              <w:ind w:firstLine="21"/>
              <w:jc w:val="both"/>
            </w:pPr>
            <w:r w:rsidRPr="00A02DD8">
              <w:t>Atbildīgās ministrijas norāde</w:t>
            </w:r>
            <w:r w:rsidR="006C1C48" w:rsidRPr="00A02DD8">
              <w:t xml:space="preserve"> par to, ka </w:t>
            </w:r>
            <w:r w:rsidRPr="00A02DD8">
              <w:t>iebildums ir ņemts vērā</w:t>
            </w:r>
            <w:r w:rsidR="006455E7" w:rsidRPr="00A02DD8">
              <w:t>,</w:t>
            </w:r>
            <w:r w:rsidRPr="00A02DD8">
              <w:t xml:space="preserve"> vai </w:t>
            </w:r>
            <w:r w:rsidR="006C1C48" w:rsidRPr="00A02DD8">
              <w:t xml:space="preserve">informācija par saskaņošanā </w:t>
            </w:r>
            <w:r w:rsidR="00022B0F" w:rsidRPr="00A02DD8">
              <w:t>panākto alternatīvo risinājumu</w:t>
            </w:r>
          </w:p>
        </w:tc>
        <w:tc>
          <w:tcPr>
            <w:tcW w:w="4039" w:type="dxa"/>
            <w:vAlign w:val="center"/>
          </w:tcPr>
          <w:p w14:paraId="1CA5ACC6" w14:textId="77777777" w:rsidR="00134188" w:rsidRPr="00A02DD8" w:rsidRDefault="00134188" w:rsidP="00C4242D">
            <w:pPr>
              <w:spacing w:before="60" w:after="60"/>
              <w:jc w:val="both"/>
            </w:pPr>
            <w:r w:rsidRPr="00A02DD8">
              <w:t>Projekta attiecīgā punkta (panta) galīgā redakcija</w:t>
            </w:r>
          </w:p>
        </w:tc>
      </w:tr>
      <w:tr w:rsidR="008E2CD9" w:rsidRPr="00A02DD8" w14:paraId="270351AB" w14:textId="77777777" w:rsidTr="007E0DD5">
        <w:trPr>
          <w:gridAfter w:val="1"/>
          <w:wAfter w:w="102" w:type="dxa"/>
          <w:trHeight w:val="283"/>
        </w:trPr>
        <w:tc>
          <w:tcPr>
            <w:tcW w:w="644" w:type="dxa"/>
            <w:shd w:val="clear" w:color="auto" w:fill="FFFFFF" w:themeFill="background1"/>
          </w:tcPr>
          <w:p w14:paraId="67B8FEC9" w14:textId="77777777" w:rsidR="00134188" w:rsidRPr="00A02DD8" w:rsidRDefault="003B71E0" w:rsidP="00C4242D">
            <w:pPr>
              <w:pStyle w:val="naisc"/>
              <w:spacing w:before="60" w:after="60"/>
            </w:pPr>
            <w:r w:rsidRPr="00A02DD8">
              <w:t>1</w:t>
            </w:r>
          </w:p>
        </w:tc>
        <w:tc>
          <w:tcPr>
            <w:tcW w:w="3467" w:type="dxa"/>
          </w:tcPr>
          <w:p w14:paraId="3F134B86" w14:textId="77777777" w:rsidR="00134188" w:rsidRPr="00A02DD8" w:rsidRDefault="00F34AAB" w:rsidP="00C4242D">
            <w:pPr>
              <w:pStyle w:val="naisc"/>
              <w:spacing w:before="60" w:after="60"/>
              <w:ind w:firstLine="720"/>
            </w:pPr>
            <w:r w:rsidRPr="00A02DD8">
              <w:t>2</w:t>
            </w:r>
          </w:p>
        </w:tc>
        <w:tc>
          <w:tcPr>
            <w:tcW w:w="3827" w:type="dxa"/>
          </w:tcPr>
          <w:p w14:paraId="624519BC" w14:textId="77777777" w:rsidR="00134188" w:rsidRPr="00A02DD8" w:rsidRDefault="003B71E0" w:rsidP="00C4242D">
            <w:pPr>
              <w:pStyle w:val="naisc"/>
              <w:spacing w:before="60" w:after="60"/>
              <w:ind w:firstLine="720"/>
            </w:pPr>
            <w:r w:rsidRPr="00A02DD8">
              <w:t>3</w:t>
            </w:r>
          </w:p>
        </w:tc>
        <w:tc>
          <w:tcPr>
            <w:tcW w:w="2787" w:type="dxa"/>
          </w:tcPr>
          <w:p w14:paraId="0FF93B22" w14:textId="77777777" w:rsidR="00134188" w:rsidRPr="00A02DD8" w:rsidRDefault="003B71E0" w:rsidP="00C4242D">
            <w:pPr>
              <w:pStyle w:val="naisc"/>
              <w:spacing w:before="60" w:after="60"/>
            </w:pPr>
            <w:r w:rsidRPr="00A02DD8">
              <w:t>4</w:t>
            </w:r>
          </w:p>
        </w:tc>
        <w:tc>
          <w:tcPr>
            <w:tcW w:w="4039" w:type="dxa"/>
          </w:tcPr>
          <w:p w14:paraId="675E482A" w14:textId="77777777" w:rsidR="00134188" w:rsidRPr="00A02DD8" w:rsidRDefault="003B71E0" w:rsidP="00C4242D">
            <w:pPr>
              <w:spacing w:before="60" w:after="60"/>
              <w:jc w:val="center"/>
            </w:pPr>
            <w:r w:rsidRPr="00A02DD8">
              <w:t>5</w:t>
            </w:r>
          </w:p>
        </w:tc>
      </w:tr>
      <w:tr w:rsidR="00F83B42" w:rsidRPr="00A02DD8" w14:paraId="30C5C5D6" w14:textId="77777777" w:rsidTr="007E0DD5">
        <w:trPr>
          <w:gridAfter w:val="1"/>
          <w:wAfter w:w="102" w:type="dxa"/>
          <w:trHeight w:val="583"/>
        </w:trPr>
        <w:tc>
          <w:tcPr>
            <w:tcW w:w="14764" w:type="dxa"/>
            <w:gridSpan w:val="5"/>
            <w:shd w:val="clear" w:color="auto" w:fill="FFFFFF" w:themeFill="background1"/>
            <w:vAlign w:val="center"/>
          </w:tcPr>
          <w:p w14:paraId="4560E1DD" w14:textId="1A5A39AE" w:rsidR="0066159A" w:rsidRPr="00A02DD8" w:rsidRDefault="005807A2" w:rsidP="00C4242D">
            <w:pPr>
              <w:spacing w:before="60" w:after="60"/>
              <w:jc w:val="center"/>
            </w:pPr>
            <w:r w:rsidRPr="00A02DD8">
              <w:rPr>
                <w:b/>
              </w:rPr>
              <w:t>Iebildumi par</w:t>
            </w:r>
            <w:r w:rsidR="0066159A" w:rsidRPr="00A02DD8">
              <w:rPr>
                <w:b/>
              </w:rPr>
              <w:t xml:space="preserve"> </w:t>
            </w:r>
            <w:r w:rsidR="002E1E81" w:rsidRPr="00A02DD8">
              <w:rPr>
                <w:b/>
              </w:rPr>
              <w:t>Ministru kabineta noteikumu</w:t>
            </w:r>
            <w:r w:rsidR="0066159A" w:rsidRPr="00A02DD8">
              <w:rPr>
                <w:b/>
              </w:rPr>
              <w:t xml:space="preserve"> projektu</w:t>
            </w:r>
          </w:p>
        </w:tc>
      </w:tr>
      <w:tr w:rsidR="003D52E8" w:rsidRPr="00A02DD8" w14:paraId="02862BEC" w14:textId="77777777" w:rsidTr="007E0DD5">
        <w:trPr>
          <w:gridAfter w:val="1"/>
          <w:wAfter w:w="102" w:type="dxa"/>
          <w:trHeight w:val="274"/>
        </w:trPr>
        <w:tc>
          <w:tcPr>
            <w:tcW w:w="644" w:type="dxa"/>
            <w:shd w:val="clear" w:color="auto" w:fill="FFFFFF" w:themeFill="background1"/>
          </w:tcPr>
          <w:p w14:paraId="2D2820D9" w14:textId="77777777" w:rsidR="003D52E8" w:rsidRPr="00A02DD8" w:rsidRDefault="003D52E8" w:rsidP="003D52E8">
            <w:pPr>
              <w:numPr>
                <w:ilvl w:val="0"/>
                <w:numId w:val="1"/>
              </w:numPr>
              <w:tabs>
                <w:tab w:val="center" w:pos="284"/>
              </w:tabs>
              <w:spacing w:before="60" w:after="60"/>
              <w:ind w:left="0" w:firstLine="0"/>
            </w:pPr>
          </w:p>
        </w:tc>
        <w:tc>
          <w:tcPr>
            <w:tcW w:w="3467" w:type="dxa"/>
            <w:shd w:val="clear" w:color="auto" w:fill="auto"/>
          </w:tcPr>
          <w:p w14:paraId="1AE9D5C5" w14:textId="77777777" w:rsidR="003D52E8" w:rsidRPr="00A02DD8" w:rsidRDefault="003D52E8" w:rsidP="003D52E8">
            <w:pPr>
              <w:spacing w:before="60" w:after="60"/>
              <w:jc w:val="both"/>
            </w:pPr>
            <w:r w:rsidRPr="00A02DD8">
              <w:t>35.</w:t>
            </w:r>
            <w:r w:rsidRPr="00A02DD8">
              <w:rPr>
                <w:vertAlign w:val="superscript"/>
              </w:rPr>
              <w:t>1</w:t>
            </w:r>
            <w:r w:rsidRPr="00A02DD8">
              <w:t> Lai atbalsts projekta īstenošanai netiktu kvalificēts kā komercdarbības atbalsts, projekta ietvaros modernizēto infrastruktūru tās amortizācijas periodā izmanto šādu darbību īstenošanai: (…)</w:t>
            </w:r>
          </w:p>
          <w:p w14:paraId="4AD0B124" w14:textId="77777777" w:rsidR="003D52E8" w:rsidRPr="00A02DD8" w:rsidRDefault="003D52E8" w:rsidP="003D52E8">
            <w:pPr>
              <w:spacing w:before="60" w:after="60"/>
              <w:jc w:val="both"/>
            </w:pPr>
            <w:r w:rsidRPr="00A02DD8">
              <w:t>35.</w:t>
            </w:r>
            <w:r w:rsidRPr="00A02DD8">
              <w:rPr>
                <w:vertAlign w:val="superscript"/>
              </w:rPr>
              <w:t>3</w:t>
            </w:r>
            <w:r w:rsidRPr="00A02DD8">
              <w:t xml:space="preserve"> Šo noteikumu 35.</w:t>
            </w:r>
            <w:r w:rsidRPr="00A02DD8">
              <w:rPr>
                <w:vertAlign w:val="superscript"/>
              </w:rPr>
              <w:t>1</w:t>
            </w:r>
            <w:r w:rsidRPr="00A02DD8">
              <w:t> 2. un 35.</w:t>
            </w:r>
            <w:r w:rsidRPr="00A02DD8">
              <w:rPr>
                <w:vertAlign w:val="superscript"/>
              </w:rPr>
              <w:t>1</w:t>
            </w:r>
            <w:r w:rsidRPr="00A02DD8">
              <w:t> 3. apakšpunktā minētajā gadījumā sadarbības iestāde veic projektu ikgadēju uzraudzību un uzkrāj datus visā projektu ietvaros modernizētās infrastruktūras amortizācijas periodā, kuru nosaka:</w:t>
            </w:r>
          </w:p>
          <w:p w14:paraId="432884F3" w14:textId="77777777" w:rsidR="003D52E8" w:rsidRPr="00A02DD8" w:rsidRDefault="003D52E8" w:rsidP="003D52E8">
            <w:pPr>
              <w:spacing w:before="60" w:after="60"/>
              <w:jc w:val="both"/>
            </w:pPr>
            <w:r w:rsidRPr="00A02DD8">
              <w:t>35.</w:t>
            </w:r>
            <w:r w:rsidRPr="00A02DD8">
              <w:rPr>
                <w:vertAlign w:val="superscript"/>
              </w:rPr>
              <w:t>3</w:t>
            </w:r>
            <w:r w:rsidRPr="00A02DD8">
              <w:t xml:space="preserve">1. atbilstoši noteikumiem par grāmatvedības uzskaites kārtību budžeta iestādēs, ja projekta </w:t>
            </w:r>
            <w:r w:rsidRPr="00A02DD8">
              <w:lastRenderedPageBreak/>
              <w:t xml:space="preserve">ietvaros veic šo noteikumu 21.2., 21.3. vai 21.4. apakšpunktā minēto materiālo aktīvu iegādi vai izveidi; </w:t>
            </w:r>
          </w:p>
          <w:p w14:paraId="7780F3A7" w14:textId="5DB1102C" w:rsidR="003D52E8" w:rsidRPr="00A02DD8" w:rsidRDefault="003D52E8" w:rsidP="004B0CD1">
            <w:pPr>
              <w:spacing w:before="60" w:after="60"/>
              <w:jc w:val="both"/>
            </w:pPr>
            <w:r w:rsidRPr="00A02DD8">
              <w:t>35.</w:t>
            </w:r>
            <w:r w:rsidRPr="00A02DD8">
              <w:rPr>
                <w:vertAlign w:val="superscript"/>
              </w:rPr>
              <w:t>3</w:t>
            </w:r>
            <w:r w:rsidRPr="00A02DD8">
              <w:t> 2. ievērojot šo noteikumu 34.1. apakšpunktā noteikto projekta dzīves cikla periodu, ja projekta ietvaros veic šo noteikumu 21.1., 21.2. vai 21.3. apakšpunktā minētās infrastruktūras modernizāciju.</w:t>
            </w:r>
          </w:p>
        </w:tc>
        <w:tc>
          <w:tcPr>
            <w:tcW w:w="3827" w:type="dxa"/>
            <w:shd w:val="clear" w:color="auto" w:fill="auto"/>
          </w:tcPr>
          <w:p w14:paraId="54C95784" w14:textId="77777777" w:rsidR="003D52E8" w:rsidRPr="00A02DD8" w:rsidRDefault="003D52E8" w:rsidP="003D52E8">
            <w:pPr>
              <w:jc w:val="both"/>
              <w:rPr>
                <w:b/>
              </w:rPr>
            </w:pPr>
            <w:r w:rsidRPr="00A02DD8">
              <w:rPr>
                <w:b/>
              </w:rPr>
              <w:lastRenderedPageBreak/>
              <w:t>FM</w:t>
            </w:r>
          </w:p>
          <w:p w14:paraId="5179B8D4" w14:textId="4B2F37FF" w:rsidR="003D52E8" w:rsidRPr="00A02DD8" w:rsidRDefault="003D52E8" w:rsidP="003D52E8">
            <w:pPr>
              <w:jc w:val="both"/>
            </w:pPr>
            <w:r w:rsidRPr="00A02DD8">
              <w:t xml:space="preserve">Vēršam uzmanību, ka noteikumu projektā tiek lietots termins, kuram noteikumu projektā nav sniegts definējums, proti, noteikumu projekta 1.punktā minētais termins “amortizācijas periods”. Lai izvairītos no nekorektas interpretācijas riska, lūdzam šī termina skaidrojumu noteikumu projektā, vienlaikus ievērojot, ka infrastruktūras amortizācijas periods var atšķirties no Komisijas 2014.gada 3.marta Deleģētās regulas Nr.480/2014, I pielikumā noteiktā projekta infrastruktūras dzīves cikla perioda. </w:t>
            </w:r>
          </w:p>
          <w:p w14:paraId="2910512B" w14:textId="27F3DD33" w:rsidR="003D52E8" w:rsidRPr="00A02DD8" w:rsidRDefault="003D52E8" w:rsidP="003D52E8">
            <w:pPr>
              <w:spacing w:before="60" w:after="60"/>
              <w:contextualSpacing/>
              <w:jc w:val="both"/>
            </w:pPr>
          </w:p>
        </w:tc>
        <w:tc>
          <w:tcPr>
            <w:tcW w:w="2787" w:type="dxa"/>
            <w:shd w:val="clear" w:color="auto" w:fill="auto"/>
          </w:tcPr>
          <w:p w14:paraId="664AD9C0" w14:textId="77777777" w:rsidR="003D52E8" w:rsidRPr="00A02DD8" w:rsidRDefault="003D52E8" w:rsidP="003D52E8">
            <w:pPr>
              <w:spacing w:before="60" w:after="60"/>
              <w:jc w:val="both"/>
              <w:rPr>
                <w:b/>
              </w:rPr>
            </w:pPr>
            <w:r w:rsidRPr="00A02DD8">
              <w:rPr>
                <w:b/>
              </w:rPr>
              <w:t>Ņemts vērā</w:t>
            </w:r>
            <w:r w:rsidR="00DF23BA" w:rsidRPr="00A02DD8">
              <w:rPr>
                <w:b/>
              </w:rPr>
              <w:t>.</w:t>
            </w:r>
          </w:p>
          <w:p w14:paraId="12244947" w14:textId="17E82732" w:rsidR="00DF23BA" w:rsidRPr="00A02DD8" w:rsidRDefault="00DF23BA" w:rsidP="003D52E8">
            <w:pPr>
              <w:spacing w:before="60" w:after="60"/>
              <w:jc w:val="both"/>
            </w:pPr>
            <w:r w:rsidRPr="00A02DD8">
              <w:t xml:space="preserve">Skaidrojam, ka infrastruktūras amortizācijas perioda </w:t>
            </w:r>
            <w:r w:rsidR="007E1D15" w:rsidRPr="00A02DD8">
              <w:t>tvērums</w:t>
            </w:r>
            <w:r w:rsidRPr="00A02DD8">
              <w:t xml:space="preserve"> </w:t>
            </w:r>
            <w:r w:rsidR="007E1D15" w:rsidRPr="00A02DD8">
              <w:t>norādīts</w:t>
            </w:r>
            <w:r w:rsidRPr="00A02DD8">
              <w:t xml:space="preserve"> MK noteikumu Nr. 561 35.</w:t>
            </w:r>
            <w:r w:rsidRPr="00A02DD8">
              <w:rPr>
                <w:vertAlign w:val="superscript"/>
              </w:rPr>
              <w:t>3</w:t>
            </w:r>
            <w:r w:rsidRPr="00A02DD8">
              <w:t xml:space="preserve"> punktā.</w:t>
            </w:r>
          </w:p>
          <w:p w14:paraId="151BE663" w14:textId="2FDDAFB1" w:rsidR="00802628" w:rsidRPr="00A02DD8" w:rsidRDefault="00802628" w:rsidP="003D52E8">
            <w:pPr>
              <w:spacing w:before="60" w:after="60"/>
              <w:jc w:val="both"/>
            </w:pPr>
            <w:r w:rsidRPr="00A02DD8">
              <w:t>MK noteikumu Nr. 561 35.</w:t>
            </w:r>
            <w:r w:rsidRPr="00A02DD8">
              <w:rPr>
                <w:vertAlign w:val="superscript"/>
              </w:rPr>
              <w:t>1</w:t>
            </w:r>
            <w:r w:rsidRPr="00A02DD8">
              <w:t> punktā sniegta atsauce uz 35.</w:t>
            </w:r>
            <w:r w:rsidRPr="00A02DD8">
              <w:rPr>
                <w:vertAlign w:val="superscript"/>
              </w:rPr>
              <w:t>3</w:t>
            </w:r>
            <w:r w:rsidRPr="00A02DD8">
              <w:t> punktu.</w:t>
            </w:r>
          </w:p>
          <w:p w14:paraId="7206B011" w14:textId="6C3D4BEA" w:rsidR="00802628" w:rsidRPr="00A02DD8" w:rsidRDefault="00802628" w:rsidP="003D52E8">
            <w:pPr>
              <w:spacing w:before="60" w:after="60"/>
              <w:jc w:val="both"/>
            </w:pPr>
          </w:p>
        </w:tc>
        <w:tc>
          <w:tcPr>
            <w:tcW w:w="4039" w:type="dxa"/>
            <w:shd w:val="clear" w:color="auto" w:fill="auto"/>
          </w:tcPr>
          <w:p w14:paraId="291C5F4E" w14:textId="3F5C27C0" w:rsidR="003D52E8" w:rsidRPr="00A02DD8" w:rsidRDefault="003D52E8" w:rsidP="003D52E8">
            <w:pPr>
              <w:spacing w:before="60" w:after="60"/>
              <w:jc w:val="both"/>
            </w:pPr>
            <w:r w:rsidRPr="00A02DD8">
              <w:t>35.</w:t>
            </w:r>
            <w:r w:rsidRPr="00A02DD8">
              <w:rPr>
                <w:vertAlign w:val="superscript"/>
              </w:rPr>
              <w:t>1</w:t>
            </w:r>
            <w:r w:rsidRPr="00A02DD8">
              <w:t> Lai atbalsts projekta īstenošanai netiktu kvalificēts kā komercdarbības atbalsts, projekta ietvaros modernizēto infrastruktūru tās amortizācijas periodā, kuru nosaka atbilstoši šo noteikumu  35.</w:t>
            </w:r>
            <w:r w:rsidRPr="00A02DD8">
              <w:rPr>
                <w:vertAlign w:val="superscript"/>
              </w:rPr>
              <w:t>3</w:t>
            </w:r>
            <w:r w:rsidRPr="00A02DD8">
              <w:t xml:space="preserve"> punktam, izmanto šādu darbību īstenošanai: (…)</w:t>
            </w:r>
          </w:p>
          <w:p w14:paraId="4080FF2A" w14:textId="77777777" w:rsidR="003D52E8" w:rsidRPr="00A02DD8" w:rsidRDefault="003D52E8" w:rsidP="003D52E8">
            <w:pPr>
              <w:spacing w:before="60" w:after="60"/>
              <w:jc w:val="both"/>
            </w:pPr>
            <w:r w:rsidRPr="00A02DD8">
              <w:t>35.</w:t>
            </w:r>
            <w:r w:rsidRPr="00A02DD8">
              <w:rPr>
                <w:vertAlign w:val="superscript"/>
              </w:rPr>
              <w:t>3</w:t>
            </w:r>
            <w:r w:rsidRPr="00A02DD8">
              <w:t xml:space="preserve"> Šo noteikumu 35.</w:t>
            </w:r>
            <w:r w:rsidRPr="00A02DD8">
              <w:rPr>
                <w:vertAlign w:val="superscript"/>
              </w:rPr>
              <w:t>1</w:t>
            </w:r>
            <w:r w:rsidRPr="00A02DD8">
              <w:t> 2. un 35.</w:t>
            </w:r>
            <w:r w:rsidRPr="00A02DD8">
              <w:rPr>
                <w:vertAlign w:val="superscript"/>
              </w:rPr>
              <w:t>1</w:t>
            </w:r>
            <w:r w:rsidRPr="00A02DD8">
              <w:t> 3. apakšpunktā minētajā gadījumā sadarbības iestāde veic projektu ikgadēju uzraudzību un uzkrāj datus visā projektu ietvaros modernizētās infrastruktūras amortizācijas periodā, kuru nosaka:</w:t>
            </w:r>
          </w:p>
          <w:p w14:paraId="2FC9C134" w14:textId="77777777" w:rsidR="003D52E8" w:rsidRPr="00A02DD8" w:rsidRDefault="003D52E8" w:rsidP="003D52E8">
            <w:pPr>
              <w:spacing w:before="60" w:after="60"/>
              <w:jc w:val="both"/>
            </w:pPr>
            <w:r w:rsidRPr="00A02DD8">
              <w:t>35.</w:t>
            </w:r>
            <w:r w:rsidRPr="00A02DD8">
              <w:rPr>
                <w:vertAlign w:val="superscript"/>
              </w:rPr>
              <w:t>3</w:t>
            </w:r>
            <w:r w:rsidRPr="00A02DD8">
              <w:t xml:space="preserve">1. atbilstoši noteikumiem par grāmatvedības uzskaites kārtību budžeta iestādēs, ja projekta ietvaros veic šo noteikumu 21.2., 21.3. vai </w:t>
            </w:r>
            <w:r w:rsidRPr="00A02DD8">
              <w:lastRenderedPageBreak/>
              <w:t xml:space="preserve">21.4. apakšpunktā minēto materiālo aktīvu iegādi vai izveidi; </w:t>
            </w:r>
          </w:p>
          <w:p w14:paraId="6A05C4A6" w14:textId="77777777" w:rsidR="003D52E8" w:rsidRPr="00A02DD8" w:rsidRDefault="003D52E8" w:rsidP="003D52E8">
            <w:pPr>
              <w:spacing w:before="60" w:after="60"/>
              <w:jc w:val="both"/>
            </w:pPr>
            <w:r w:rsidRPr="00A02DD8">
              <w:t>35.</w:t>
            </w:r>
            <w:r w:rsidRPr="00A02DD8">
              <w:rPr>
                <w:vertAlign w:val="superscript"/>
              </w:rPr>
              <w:t>3</w:t>
            </w:r>
            <w:r w:rsidRPr="00A02DD8">
              <w:t> 2. ievērojot šo noteikumu 34.1. apakšpunktā noteikto projekta dzīves cikla periodu, ja projekta ietvaros veic šo noteikumu 21.1., 21.2. vai 21.3. apakšpunktā minētās infrastruktūras modernizāciju.</w:t>
            </w:r>
          </w:p>
          <w:p w14:paraId="059D6707" w14:textId="77777777" w:rsidR="003D52E8" w:rsidRPr="00A02DD8" w:rsidRDefault="003D52E8" w:rsidP="003D52E8">
            <w:pPr>
              <w:tabs>
                <w:tab w:val="left" w:pos="1276"/>
              </w:tabs>
              <w:spacing w:before="60" w:after="60"/>
              <w:jc w:val="both"/>
            </w:pPr>
          </w:p>
        </w:tc>
      </w:tr>
      <w:tr w:rsidR="00652F88" w:rsidRPr="00A02DD8" w14:paraId="34F7F1FC" w14:textId="77777777" w:rsidTr="007E0DD5">
        <w:trPr>
          <w:gridAfter w:val="1"/>
          <w:wAfter w:w="102" w:type="dxa"/>
          <w:trHeight w:val="274"/>
        </w:trPr>
        <w:tc>
          <w:tcPr>
            <w:tcW w:w="644" w:type="dxa"/>
            <w:shd w:val="clear" w:color="auto" w:fill="FFFFFF" w:themeFill="background1"/>
          </w:tcPr>
          <w:p w14:paraId="5089126C" w14:textId="77777777" w:rsidR="00652F88" w:rsidRPr="00A02DD8" w:rsidRDefault="00652F88" w:rsidP="003D52E8">
            <w:pPr>
              <w:numPr>
                <w:ilvl w:val="0"/>
                <w:numId w:val="1"/>
              </w:numPr>
              <w:tabs>
                <w:tab w:val="center" w:pos="284"/>
              </w:tabs>
              <w:spacing w:before="60" w:after="60"/>
              <w:ind w:left="0" w:firstLine="0"/>
            </w:pPr>
          </w:p>
        </w:tc>
        <w:tc>
          <w:tcPr>
            <w:tcW w:w="3467" w:type="dxa"/>
            <w:shd w:val="clear" w:color="auto" w:fill="auto"/>
          </w:tcPr>
          <w:p w14:paraId="6E4D4F68" w14:textId="539C2266" w:rsidR="004B0CD1" w:rsidRPr="00A02DD8" w:rsidRDefault="004B0CD1" w:rsidP="004B0CD1">
            <w:pPr>
              <w:jc w:val="both"/>
              <w:rPr>
                <w:color w:val="000000"/>
              </w:rPr>
            </w:pPr>
            <w:r w:rsidRPr="00A02DD8">
              <w:rPr>
                <w:color w:val="000000"/>
              </w:rPr>
              <w:t>35.</w:t>
            </w:r>
            <w:r w:rsidRPr="00A02DD8">
              <w:rPr>
                <w:color w:val="000000"/>
                <w:vertAlign w:val="superscript"/>
              </w:rPr>
              <w:t>4</w:t>
            </w:r>
            <w:r w:rsidRPr="00A02DD8">
              <w:rPr>
                <w:color w:val="000000"/>
              </w:rPr>
              <w:t> Ja infrastr</w:t>
            </w:r>
            <w:r w:rsidR="007E0DD5">
              <w:rPr>
                <w:color w:val="000000"/>
              </w:rPr>
              <w:t>u</w:t>
            </w:r>
            <w:r w:rsidRPr="00A02DD8">
              <w:rPr>
                <w:color w:val="000000"/>
              </w:rPr>
              <w:t>ktūras amortizācijas periodā konstatē, ka nav ievēroti šo noteikumu 35.</w:t>
            </w:r>
            <w:r w:rsidRPr="00A02DD8">
              <w:rPr>
                <w:color w:val="000000"/>
                <w:vertAlign w:val="superscript"/>
              </w:rPr>
              <w:t>1</w:t>
            </w:r>
            <w:r w:rsidRPr="00A02DD8">
              <w:rPr>
                <w:color w:val="000000"/>
              </w:rPr>
              <w:t> 3.  un 35.</w:t>
            </w:r>
            <w:r w:rsidRPr="00A02DD8">
              <w:rPr>
                <w:color w:val="000000"/>
                <w:vertAlign w:val="superscript"/>
              </w:rPr>
              <w:t>1</w:t>
            </w:r>
            <w:r w:rsidRPr="00A02DD8">
              <w:rPr>
                <w:color w:val="000000"/>
              </w:rPr>
              <w:t xml:space="preserve"> 4 apakšpunktā minētie nosacījumi, finansējuma saņēmējam ir pienākums atmaksāt sadarbības iestādei visu projekta ietvaros attiecīgajā gadā saņemto nelikumīgo komercdarbības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w:t>
            </w:r>
            <w:r w:rsidRPr="00A02DD8">
              <w:rPr>
                <w:color w:val="000000"/>
              </w:rPr>
              <w:lastRenderedPageBreak/>
              <w:t>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3594A2A9" w14:textId="77777777" w:rsidR="00652F88" w:rsidRPr="00A02DD8" w:rsidRDefault="00652F88" w:rsidP="003D52E8">
            <w:pPr>
              <w:spacing w:before="60" w:after="60"/>
              <w:jc w:val="both"/>
            </w:pPr>
          </w:p>
        </w:tc>
        <w:tc>
          <w:tcPr>
            <w:tcW w:w="3827" w:type="dxa"/>
            <w:shd w:val="clear" w:color="auto" w:fill="auto"/>
          </w:tcPr>
          <w:p w14:paraId="13075AA2" w14:textId="77777777" w:rsidR="00652F88" w:rsidRPr="00A02DD8" w:rsidRDefault="00652F88" w:rsidP="003D52E8">
            <w:pPr>
              <w:jc w:val="both"/>
              <w:rPr>
                <w:b/>
              </w:rPr>
            </w:pPr>
            <w:r w:rsidRPr="00A02DD8">
              <w:rPr>
                <w:b/>
              </w:rPr>
              <w:lastRenderedPageBreak/>
              <w:t>FM 19.09.2020. izteiktais iebildums</w:t>
            </w:r>
          </w:p>
          <w:p w14:paraId="22310224" w14:textId="66E2CBEB" w:rsidR="00652F88" w:rsidRPr="00A02DD8" w:rsidRDefault="00652F88" w:rsidP="003D52E8">
            <w:pPr>
              <w:jc w:val="both"/>
              <w:rPr>
                <w:b/>
              </w:rPr>
            </w:pPr>
            <w:r w:rsidRPr="00A02DD8">
              <w:t>Lūdzam papildināt noteikumu projektu, nosakot, kādas sekas iestāsies, kā arī kas un kādas darbības veiks gadījumā, ja netiks ievērots noteikumu projekta 1.punktā izteiktajos 35.</w:t>
            </w:r>
            <w:r w:rsidRPr="00A02DD8">
              <w:rPr>
                <w:vertAlign w:val="superscript"/>
              </w:rPr>
              <w:t>1</w:t>
            </w:r>
            <w:r w:rsidRPr="00A02DD8">
              <w:t xml:space="preserve"> 1. un 35.</w:t>
            </w:r>
            <w:r w:rsidRPr="00A02DD8">
              <w:rPr>
                <w:vertAlign w:val="superscript"/>
              </w:rPr>
              <w:t>1</w:t>
            </w:r>
            <w:r w:rsidRPr="00A02DD8">
              <w:t xml:space="preserve"> 2.apakšpunktos noteiktais (piemēram, sākotnēji infrastruktūra tikusi kvalificēta kā nesaimnieciska, tomēr tās amortizācijas periodā tiek konstatēts, ka tā ir saimnieciska, vai arī sākotnēji infrastruktūra kvalificēta kā saimnieciska, bet kas neietekmē tirdzniecību starp Eiropas Savienības (turpmāk – ES) dalībvalstīm, tomēr amortizācijas periodā tiek konstatēts, ka attiecībā uz to nevar pierādīt vietējo ietekmi). Vienlaikus lūdzam papildināt arī anotāciju ar attiecīgo skaidrojumu.</w:t>
            </w:r>
          </w:p>
        </w:tc>
        <w:tc>
          <w:tcPr>
            <w:tcW w:w="2787" w:type="dxa"/>
            <w:shd w:val="clear" w:color="auto" w:fill="auto"/>
          </w:tcPr>
          <w:p w14:paraId="104052DD" w14:textId="77777777" w:rsidR="004B0CD1" w:rsidRPr="00A02DD8" w:rsidRDefault="004B0CD1" w:rsidP="004B0CD1">
            <w:pPr>
              <w:spacing w:before="60" w:after="60"/>
              <w:jc w:val="both"/>
              <w:rPr>
                <w:b/>
              </w:rPr>
            </w:pPr>
            <w:r w:rsidRPr="00A02DD8">
              <w:rPr>
                <w:b/>
              </w:rPr>
              <w:t>Ņemts vērā.</w:t>
            </w:r>
          </w:p>
          <w:p w14:paraId="4F7D46D2" w14:textId="77777777" w:rsidR="00652F88" w:rsidRPr="00A02DD8" w:rsidRDefault="004B0CD1" w:rsidP="003D52E8">
            <w:pPr>
              <w:spacing w:before="60" w:after="60"/>
              <w:jc w:val="both"/>
            </w:pPr>
            <w:r w:rsidRPr="00A02DD8">
              <w:t>Precizēts MK noteikumu Nr. 561 35.</w:t>
            </w:r>
            <w:r w:rsidRPr="00A02DD8">
              <w:rPr>
                <w:vertAlign w:val="superscript"/>
              </w:rPr>
              <w:t>4</w:t>
            </w:r>
            <w:r w:rsidRPr="00A02DD8">
              <w:t> punkts.</w:t>
            </w:r>
          </w:p>
          <w:p w14:paraId="101E86AA" w14:textId="77777777" w:rsidR="004B0CD1" w:rsidRPr="00A02DD8" w:rsidRDefault="004B0CD1" w:rsidP="00C15BEA">
            <w:pPr>
              <w:spacing w:before="60" w:after="60"/>
              <w:jc w:val="both"/>
            </w:pPr>
            <w:r w:rsidRPr="00A02DD8">
              <w:t>MK noteikumu Nr. 561  35.</w:t>
            </w:r>
            <w:r w:rsidRPr="00A02DD8">
              <w:rPr>
                <w:vertAlign w:val="superscript"/>
              </w:rPr>
              <w:t>1</w:t>
            </w:r>
            <w:r w:rsidRPr="00A02DD8">
              <w:t> 1. un 35.</w:t>
            </w:r>
            <w:r w:rsidRPr="00A02DD8">
              <w:rPr>
                <w:vertAlign w:val="superscript"/>
              </w:rPr>
              <w:t>1</w:t>
            </w:r>
            <w:r w:rsidRPr="00A02DD8">
              <w:t> 2.punktā minētaj</w:t>
            </w:r>
            <w:r w:rsidR="00C15BEA" w:rsidRPr="00A02DD8">
              <w:t>os</w:t>
            </w:r>
            <w:r w:rsidRPr="00A02DD8">
              <w:t xml:space="preserve"> gadījum</w:t>
            </w:r>
            <w:r w:rsidR="00C15BEA" w:rsidRPr="00A02DD8">
              <w:t>os</w:t>
            </w:r>
            <w:r w:rsidRPr="00A02DD8">
              <w:t xml:space="preserve"> attiecīg</w:t>
            </w:r>
            <w:r w:rsidR="00C15BEA" w:rsidRPr="00A02DD8">
              <w:t>ās</w:t>
            </w:r>
            <w:r w:rsidRPr="00A02DD8">
              <w:t xml:space="preserve"> infrastruktūr</w:t>
            </w:r>
            <w:r w:rsidR="00C15BEA" w:rsidRPr="00A02DD8">
              <w:t>as izmantošanu</w:t>
            </w:r>
            <w:r w:rsidRPr="00A02DD8">
              <w:t xml:space="preserve"> uzrauga visā tās amortizācijas periodā kopumā un</w:t>
            </w:r>
            <w:r w:rsidR="00C15BEA" w:rsidRPr="00A02DD8">
              <w:t xml:space="preserve"> gadījumā</w:t>
            </w:r>
            <w:r w:rsidRPr="00A02DD8">
              <w:t>, ja tiek konstatēts pārkāpums, tad nelikumīga atbalsta atgūšana tiks veikta par visu nelikumības periodu.</w:t>
            </w:r>
          </w:p>
          <w:p w14:paraId="4D2BE343" w14:textId="5468ACC0" w:rsidR="0037179D" w:rsidRPr="00A02DD8" w:rsidRDefault="0037179D" w:rsidP="00C15BEA">
            <w:pPr>
              <w:spacing w:before="60" w:after="60"/>
              <w:jc w:val="both"/>
              <w:rPr>
                <w:b/>
              </w:rPr>
            </w:pPr>
            <w:r w:rsidRPr="00A02DD8">
              <w:t xml:space="preserve">Vienlaikus papildināta anotācijā sniegtā informācija (skat. anotācijas 9. </w:t>
            </w:r>
            <w:proofErr w:type="spellStart"/>
            <w:r w:rsidRPr="00A02DD8">
              <w:t>lp</w:t>
            </w:r>
            <w:proofErr w:type="spellEnd"/>
            <w:r w:rsidRPr="00A02DD8">
              <w:t>.)</w:t>
            </w:r>
          </w:p>
        </w:tc>
        <w:tc>
          <w:tcPr>
            <w:tcW w:w="4039" w:type="dxa"/>
            <w:shd w:val="clear" w:color="auto" w:fill="auto"/>
          </w:tcPr>
          <w:p w14:paraId="3DD51EE8" w14:textId="77777777" w:rsidR="004B0CD1" w:rsidRPr="00A02DD8" w:rsidRDefault="004B0CD1" w:rsidP="004B0CD1">
            <w:pPr>
              <w:spacing w:before="60" w:after="60"/>
              <w:jc w:val="both"/>
            </w:pPr>
            <w:r w:rsidRPr="00A02DD8">
              <w:t>35.</w:t>
            </w:r>
            <w:r w:rsidRPr="00A02DD8">
              <w:rPr>
                <w:vertAlign w:val="superscript"/>
              </w:rPr>
              <w:t>4</w:t>
            </w:r>
            <w:r w:rsidRPr="00A02DD8">
              <w:t> Ja infrastruktūras amortizācijas periodā konstatē, ka nav ievēroti šo noteikumu 35.</w:t>
            </w:r>
            <w:r w:rsidRPr="00A02DD8">
              <w:rPr>
                <w:vertAlign w:val="superscript"/>
              </w:rPr>
              <w:t>1</w:t>
            </w:r>
            <w:r w:rsidRPr="00A02DD8">
              <w:t xml:space="preserve"> punktā minētie nosacījumi, finansējuma saņēmējam ir pienākums atmaksāt sadarbības iestādei visu projekta ietvaros saņemto nelikumīgo komercdarbības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w:t>
            </w:r>
            <w:r w:rsidRPr="00A02DD8">
              <w:lastRenderedPageBreak/>
              <w:t>Savienības darbību 108. panta piemērošanai, 11. pantā noteikto procentu likmes piemērošanas metodi.</w:t>
            </w:r>
          </w:p>
          <w:p w14:paraId="27BA666B" w14:textId="77777777" w:rsidR="00652F88" w:rsidRPr="00A02DD8" w:rsidRDefault="00652F88" w:rsidP="003D52E8">
            <w:pPr>
              <w:spacing w:before="60" w:after="60"/>
              <w:jc w:val="both"/>
            </w:pPr>
          </w:p>
        </w:tc>
      </w:tr>
      <w:tr w:rsidR="004B5FE4" w:rsidRPr="00A02DD8" w14:paraId="78CD9292" w14:textId="77777777" w:rsidTr="007E0DD5">
        <w:trPr>
          <w:gridAfter w:val="1"/>
          <w:wAfter w:w="102" w:type="dxa"/>
          <w:trHeight w:val="274"/>
        </w:trPr>
        <w:tc>
          <w:tcPr>
            <w:tcW w:w="644" w:type="dxa"/>
            <w:shd w:val="clear" w:color="auto" w:fill="FFFFFF" w:themeFill="background1"/>
          </w:tcPr>
          <w:p w14:paraId="08BB645D" w14:textId="1412CCF2" w:rsidR="004B5FE4" w:rsidRPr="00A02DD8" w:rsidRDefault="004B5FE4" w:rsidP="003D52E8">
            <w:pPr>
              <w:numPr>
                <w:ilvl w:val="0"/>
                <w:numId w:val="1"/>
              </w:numPr>
              <w:tabs>
                <w:tab w:val="center" w:pos="284"/>
              </w:tabs>
              <w:spacing w:before="60" w:after="60"/>
              <w:ind w:left="0" w:firstLine="0"/>
            </w:pPr>
          </w:p>
        </w:tc>
        <w:tc>
          <w:tcPr>
            <w:tcW w:w="3467" w:type="dxa"/>
            <w:vMerge w:val="restart"/>
            <w:shd w:val="clear" w:color="auto" w:fill="auto"/>
          </w:tcPr>
          <w:p w14:paraId="1805EBBA" w14:textId="213C34CF" w:rsidR="004B5FE4" w:rsidRPr="00A02DD8" w:rsidRDefault="004B5FE4" w:rsidP="003D52E8">
            <w:pPr>
              <w:spacing w:before="60" w:after="60"/>
              <w:jc w:val="both"/>
            </w:pPr>
            <w:r w:rsidRPr="00A02DD8">
              <w:t>35.</w:t>
            </w:r>
            <w:r w:rsidRPr="00A02DD8">
              <w:rPr>
                <w:vertAlign w:val="superscript"/>
              </w:rPr>
              <w:t>1</w:t>
            </w:r>
            <w:r w:rsidRPr="00A02DD8">
              <w:t xml:space="preserve"> 4. papildpakalpojumi, tai skaitā ēdināšanas, autostāvvietu, kopēšanas un citi pakalpojumi, kurus sniedz izglītojamajiem vai akadēmiskajam personālam, lai finansējuma saņēmējs vai sadarbības partneris nodrošinātu ar saimniecisku darbību nesaistītas pamatdarbības īstenošanu, ja minētie papildpakalpojumi neietekmē tirdzniecību starp Eiropas Savienības dalībvalstīm (pakalpojumi ir vietēji)."</w:t>
            </w:r>
          </w:p>
        </w:tc>
        <w:tc>
          <w:tcPr>
            <w:tcW w:w="3827" w:type="dxa"/>
            <w:shd w:val="clear" w:color="auto" w:fill="auto"/>
          </w:tcPr>
          <w:p w14:paraId="56EE41CA" w14:textId="0D5ED46D" w:rsidR="004B5FE4" w:rsidRPr="00A02DD8" w:rsidRDefault="004B5FE4" w:rsidP="003D52E8">
            <w:pPr>
              <w:spacing w:before="60" w:after="60"/>
              <w:contextualSpacing/>
              <w:jc w:val="both"/>
              <w:rPr>
                <w:b/>
              </w:rPr>
            </w:pPr>
            <w:r w:rsidRPr="00A02DD8">
              <w:rPr>
                <w:b/>
              </w:rPr>
              <w:t>FM</w:t>
            </w:r>
          </w:p>
          <w:p w14:paraId="3630EAEE" w14:textId="61CED5D5" w:rsidR="004B5FE4" w:rsidRPr="00A02DD8" w:rsidRDefault="004B5FE4" w:rsidP="003D52E8">
            <w:pPr>
              <w:spacing w:before="60" w:after="60"/>
              <w:contextualSpacing/>
              <w:jc w:val="both"/>
            </w:pPr>
            <w:r w:rsidRPr="00A02DD8">
              <w:t>Vēršam uzmanību, ka ar saimniecisko darbību nesaistītā infrastruktūrā sniegto pakalpojumu raksturam ir jābūt tādam, lai tiktu nodrošināts tas, ka šos papildpakalpojumus sniedz, ievērojot sasaisti ar saimniecisko darbību nesaistītās infrastruktūras pamata pielietojumu, piemēram, kafejnīca augstskolas studentu un pasniedzēju vajadzībām. Ievērojot minēto, lūdzam pārskatīt un precizēt noteikumu projekta 1.punktā izteikto 35.</w:t>
            </w:r>
            <w:r w:rsidRPr="00A02DD8">
              <w:rPr>
                <w:vertAlign w:val="superscript"/>
              </w:rPr>
              <w:t>1</w:t>
            </w:r>
            <w:r w:rsidRPr="00A02DD8">
              <w:t xml:space="preserve"> 4.apakšpunktu.</w:t>
            </w:r>
          </w:p>
        </w:tc>
        <w:tc>
          <w:tcPr>
            <w:tcW w:w="2787" w:type="dxa"/>
            <w:shd w:val="clear" w:color="auto" w:fill="auto"/>
          </w:tcPr>
          <w:p w14:paraId="47E20851" w14:textId="77A29F72" w:rsidR="004B5FE4" w:rsidRPr="00A02DD8" w:rsidRDefault="007E1D15" w:rsidP="00802628">
            <w:pPr>
              <w:spacing w:before="60" w:after="60"/>
              <w:jc w:val="both"/>
            </w:pPr>
            <w:r w:rsidRPr="00A02DD8">
              <w:rPr>
                <w:b/>
              </w:rPr>
              <w:t>IZM skaidrojums:</w:t>
            </w:r>
            <w:r w:rsidRPr="00A02DD8">
              <w:t xml:space="preserve"> </w:t>
            </w:r>
            <w:r w:rsidR="004B5FE4" w:rsidRPr="00A02DD8">
              <w:t xml:space="preserve">noteikumu projekta 1.punktā izteiktajā </w:t>
            </w:r>
            <w:r w:rsidR="00E72B32" w:rsidRPr="00A02DD8">
              <w:t xml:space="preserve">MK noteikumu Nr. 561 </w:t>
            </w:r>
            <w:r w:rsidR="004B5FE4" w:rsidRPr="00A02DD8">
              <w:t>35.</w:t>
            </w:r>
            <w:r w:rsidR="004B5FE4" w:rsidRPr="00A02DD8">
              <w:rPr>
                <w:vertAlign w:val="superscript"/>
              </w:rPr>
              <w:t>1</w:t>
            </w:r>
            <w:r w:rsidRPr="00A02DD8">
              <w:rPr>
                <w:vertAlign w:val="superscript"/>
              </w:rPr>
              <w:t> </w:t>
            </w:r>
            <w:r w:rsidR="004B5FE4" w:rsidRPr="00A02DD8">
              <w:t xml:space="preserve">4.apakšpunktā jau </w:t>
            </w:r>
            <w:r w:rsidRPr="00A02DD8">
              <w:t>sniegta norāde uz</w:t>
            </w:r>
            <w:r w:rsidR="004B5FE4" w:rsidRPr="00A02DD8">
              <w:t xml:space="preserve">  saimniecisko darbību nesaistītās infrastruktūras pamata pielietojumu, proti, norādīts, ka pakalpojumus sniedz izglītojamajiem un akadēmiskajam personālam.</w:t>
            </w:r>
          </w:p>
          <w:p w14:paraId="0CE7BCC8" w14:textId="77777777" w:rsidR="004B5FE4" w:rsidRPr="00A02DD8" w:rsidRDefault="004B5FE4" w:rsidP="001D503F">
            <w:pPr>
              <w:spacing w:before="60" w:after="60"/>
              <w:jc w:val="both"/>
            </w:pPr>
            <w:r w:rsidRPr="00A02DD8">
              <w:t>Saskaņā ar Augstskolu likuma 26. pantu akadēmiskais personāls ir attiecīgās augstskolas akadēmiskajos amatos ievēlētie darbinieki, tai skaitā pasniedzēji.</w:t>
            </w:r>
          </w:p>
          <w:p w14:paraId="0DB17452" w14:textId="34DBE798" w:rsidR="004B5FE4" w:rsidRPr="00A02DD8" w:rsidRDefault="004B5FE4" w:rsidP="007E1D15">
            <w:pPr>
              <w:spacing w:before="60" w:after="60"/>
              <w:jc w:val="both"/>
            </w:pPr>
            <w:r w:rsidRPr="00A02DD8">
              <w:t xml:space="preserve">Atbilstoši Izglītības likumam Termins </w:t>
            </w:r>
            <w:r w:rsidRPr="00A02DD8">
              <w:lastRenderedPageBreak/>
              <w:t xml:space="preserve">„izglītojamie” ietver izglītojamo visos izglītības klasifikācijas līmeņos, tai skaitā </w:t>
            </w:r>
            <w:r w:rsidR="007E1D15" w:rsidRPr="00A02DD8">
              <w:t>izglītojamie augstākās izglītības studiju programmās.</w:t>
            </w:r>
            <w:r w:rsidRPr="00A02DD8">
              <w:t xml:space="preserve"> Termins izglītojamie lietots ar mērķi, jo augstākās izglītības infrastruktūru racionālas izmantošanas nolūkos var </w:t>
            </w:r>
            <w:r w:rsidR="007E1D15" w:rsidRPr="00A02DD8">
              <w:t>lietot</w:t>
            </w:r>
            <w:r w:rsidRPr="00A02DD8">
              <w:t xml:space="preserve"> arī izglītojamie citos izglītības klasifik</w:t>
            </w:r>
            <w:r w:rsidR="007E1D15" w:rsidRPr="00A02DD8">
              <w:t>ācijas lī</w:t>
            </w:r>
            <w:r w:rsidRPr="00A02DD8">
              <w:t xml:space="preserve">meņos, piemēram izglītojamie vispārējās vai profesionālās vidējās izglītības iestādēs. </w:t>
            </w:r>
            <w:r w:rsidR="007E1D15" w:rsidRPr="00A02DD8">
              <w:t>Tas sekmē studējošo piesaisti, kas īpaši būtiski demogrāfiskās krīzes un COVID-izraisīto seku apstākļos</w:t>
            </w:r>
            <w:r w:rsidRPr="00A02DD8">
              <w:t xml:space="preserve"> </w:t>
            </w:r>
            <w:r w:rsidR="007E1D15" w:rsidRPr="00A02DD8">
              <w:t>.</w:t>
            </w:r>
            <w:r w:rsidRPr="00A02DD8">
              <w:t>.</w:t>
            </w:r>
          </w:p>
        </w:tc>
        <w:tc>
          <w:tcPr>
            <w:tcW w:w="4039" w:type="dxa"/>
            <w:vMerge w:val="restart"/>
            <w:shd w:val="clear" w:color="auto" w:fill="auto"/>
          </w:tcPr>
          <w:p w14:paraId="6BC828AE" w14:textId="1A213C8E" w:rsidR="004B5FE4" w:rsidRPr="00A02DD8" w:rsidRDefault="004B5FE4" w:rsidP="004B5FE4">
            <w:pPr>
              <w:tabs>
                <w:tab w:val="left" w:pos="1276"/>
              </w:tabs>
              <w:spacing w:before="60" w:after="60"/>
              <w:jc w:val="both"/>
            </w:pPr>
            <w:r w:rsidRPr="00A02DD8">
              <w:lastRenderedPageBreak/>
              <w:t>35.</w:t>
            </w:r>
            <w:r w:rsidRPr="00A02DD8">
              <w:rPr>
                <w:vertAlign w:val="superscript"/>
              </w:rPr>
              <w:t>1</w:t>
            </w:r>
            <w:r w:rsidRPr="00A02DD8">
              <w:t xml:space="preserve"> 4. papildpakalpojumi, tai skaitā ēdināšanas, autostāvvietu, kopēšanas un citi pakalpojumi, kurus sniedz izglītojamajiem vai akadēmiskajam personālam, lai finansējuma saņēmējs vai sadarbības partneris nodrošinātu ar saimniecisku darbību nesaistītas pamatdarbības īstenošanu, ja minētie papildpakalpojumi ir vietēji un tie neietekmē tirdzniecību starp Eiropas Savienības dalībvalstīm. </w:t>
            </w:r>
          </w:p>
        </w:tc>
      </w:tr>
      <w:tr w:rsidR="004B5FE4" w:rsidRPr="00A02DD8" w14:paraId="01FB63EB" w14:textId="77777777" w:rsidTr="007E0DD5">
        <w:trPr>
          <w:gridAfter w:val="1"/>
          <w:wAfter w:w="102" w:type="dxa"/>
          <w:trHeight w:val="274"/>
        </w:trPr>
        <w:tc>
          <w:tcPr>
            <w:tcW w:w="644" w:type="dxa"/>
            <w:shd w:val="clear" w:color="auto" w:fill="FFFFFF" w:themeFill="background1"/>
          </w:tcPr>
          <w:p w14:paraId="692CEC33" w14:textId="3141EE3E" w:rsidR="004B5FE4" w:rsidRPr="00A02DD8" w:rsidRDefault="004B5FE4" w:rsidP="003D52E8">
            <w:pPr>
              <w:numPr>
                <w:ilvl w:val="0"/>
                <w:numId w:val="1"/>
              </w:numPr>
              <w:tabs>
                <w:tab w:val="center" w:pos="284"/>
              </w:tabs>
              <w:spacing w:before="60" w:after="60"/>
              <w:ind w:left="0" w:firstLine="0"/>
            </w:pPr>
          </w:p>
        </w:tc>
        <w:tc>
          <w:tcPr>
            <w:tcW w:w="3467" w:type="dxa"/>
            <w:vMerge/>
            <w:shd w:val="clear" w:color="auto" w:fill="auto"/>
          </w:tcPr>
          <w:p w14:paraId="7B6E5D34" w14:textId="77777777" w:rsidR="004B5FE4" w:rsidRPr="00A02DD8" w:rsidRDefault="004B5FE4" w:rsidP="003D52E8">
            <w:pPr>
              <w:spacing w:before="60" w:after="60"/>
              <w:jc w:val="both"/>
            </w:pPr>
          </w:p>
        </w:tc>
        <w:tc>
          <w:tcPr>
            <w:tcW w:w="3827" w:type="dxa"/>
            <w:shd w:val="clear" w:color="auto" w:fill="auto"/>
          </w:tcPr>
          <w:p w14:paraId="24DF6FBC" w14:textId="1A24F6E0" w:rsidR="004B5FE4" w:rsidRPr="00A02DD8" w:rsidRDefault="004B5FE4" w:rsidP="003D52E8">
            <w:pPr>
              <w:spacing w:before="60" w:after="60"/>
              <w:contextualSpacing/>
              <w:jc w:val="both"/>
              <w:rPr>
                <w:b/>
              </w:rPr>
            </w:pPr>
            <w:r w:rsidRPr="00A02DD8">
              <w:rPr>
                <w:b/>
              </w:rPr>
              <w:t>Tieslietu ministrija (TM)</w:t>
            </w:r>
          </w:p>
          <w:p w14:paraId="53FA9DAF" w14:textId="2ACE4D39" w:rsidR="004B5FE4" w:rsidRPr="00A02DD8" w:rsidRDefault="004B5FE4" w:rsidP="003D52E8">
            <w:pPr>
              <w:spacing w:before="60" w:after="60"/>
              <w:contextualSpacing/>
              <w:jc w:val="both"/>
            </w:pPr>
            <w:r w:rsidRPr="00A02DD8">
              <w:t>Lūdzam noteikumu projekta 1. punktā izteiktajā noteikumu 35.</w:t>
            </w:r>
            <w:r w:rsidRPr="00A02DD8">
              <w:rPr>
                <w:vertAlign w:val="superscript"/>
              </w:rPr>
              <w:t>1</w:t>
            </w:r>
            <w:r w:rsidRPr="00A02DD8">
              <w:t xml:space="preserve">4. apakšpunktā izvērtēt pieturzīmes iekavas lietojumu, jo šajā gadījumā iekavu lietošana padara tiesību normu neskaidru un apgrūtina tās viennozīmīgu uztveri. Norādām, ka šajā gadījumā iekavās ietvertais skaidrojums sašaurina tiesību normas tvērumu. Attiecīgi lūdzam precizēt noteikumu projekta 4. punktā izteikto </w:t>
            </w:r>
            <w:r w:rsidRPr="00A02DD8">
              <w:lastRenderedPageBreak/>
              <w:t>noteikumu 35.</w:t>
            </w:r>
            <w:r w:rsidRPr="00A02DD8">
              <w:rPr>
                <w:vertAlign w:val="superscript"/>
              </w:rPr>
              <w:t>1</w:t>
            </w:r>
            <w:r w:rsidRPr="00A02DD8">
              <w:t>4. apakšpunktu, dzēšot pieturzīmi iekavas un vārdus "pakalpojumi ir vietēji".</w:t>
            </w:r>
          </w:p>
        </w:tc>
        <w:tc>
          <w:tcPr>
            <w:tcW w:w="2787" w:type="dxa"/>
            <w:shd w:val="clear" w:color="auto" w:fill="auto"/>
          </w:tcPr>
          <w:p w14:paraId="0F4BEAD3" w14:textId="77777777" w:rsidR="004B5FE4" w:rsidRPr="00A02DD8" w:rsidRDefault="004B5FE4" w:rsidP="003D52E8">
            <w:pPr>
              <w:spacing w:before="60" w:after="60"/>
              <w:jc w:val="both"/>
              <w:rPr>
                <w:b/>
              </w:rPr>
            </w:pPr>
            <w:r w:rsidRPr="00A02DD8">
              <w:rPr>
                <w:b/>
              </w:rPr>
              <w:lastRenderedPageBreak/>
              <w:t>Ņemts vērā.</w:t>
            </w:r>
          </w:p>
          <w:p w14:paraId="50801DE9" w14:textId="34E4CE71" w:rsidR="007E1D15" w:rsidRPr="00A02DD8" w:rsidRDefault="007E1D15" w:rsidP="003D52E8">
            <w:pPr>
              <w:spacing w:before="60" w:after="60"/>
              <w:jc w:val="both"/>
            </w:pPr>
            <w:r w:rsidRPr="00A02DD8">
              <w:t>Dzēsts iekavu lietojums.</w:t>
            </w:r>
          </w:p>
        </w:tc>
        <w:tc>
          <w:tcPr>
            <w:tcW w:w="4039" w:type="dxa"/>
            <w:vMerge/>
            <w:shd w:val="clear" w:color="auto" w:fill="auto"/>
          </w:tcPr>
          <w:p w14:paraId="5E085D97" w14:textId="77777777" w:rsidR="004B5FE4" w:rsidRPr="00A02DD8" w:rsidRDefault="004B5FE4" w:rsidP="003D52E8">
            <w:pPr>
              <w:tabs>
                <w:tab w:val="left" w:pos="1276"/>
              </w:tabs>
              <w:spacing w:before="60" w:after="60"/>
              <w:jc w:val="both"/>
            </w:pPr>
          </w:p>
        </w:tc>
      </w:tr>
      <w:tr w:rsidR="003D52E8" w:rsidRPr="00A02DD8" w14:paraId="7C8F682F" w14:textId="77777777" w:rsidTr="007E0DD5">
        <w:trPr>
          <w:gridAfter w:val="1"/>
          <w:wAfter w:w="102" w:type="dxa"/>
          <w:trHeight w:val="274"/>
        </w:trPr>
        <w:tc>
          <w:tcPr>
            <w:tcW w:w="644" w:type="dxa"/>
            <w:shd w:val="clear" w:color="auto" w:fill="FFFFFF" w:themeFill="background1"/>
          </w:tcPr>
          <w:p w14:paraId="72032A9A" w14:textId="77777777" w:rsidR="003D52E8" w:rsidRPr="00A02DD8" w:rsidRDefault="003D52E8" w:rsidP="003D52E8">
            <w:pPr>
              <w:numPr>
                <w:ilvl w:val="0"/>
                <w:numId w:val="1"/>
              </w:numPr>
              <w:tabs>
                <w:tab w:val="center" w:pos="284"/>
              </w:tabs>
              <w:spacing w:before="60" w:after="60"/>
              <w:ind w:left="0" w:firstLine="0"/>
            </w:pPr>
          </w:p>
        </w:tc>
        <w:tc>
          <w:tcPr>
            <w:tcW w:w="3467" w:type="dxa"/>
            <w:shd w:val="clear" w:color="auto" w:fill="auto"/>
          </w:tcPr>
          <w:p w14:paraId="0E0F619F" w14:textId="5295C6B5" w:rsidR="003D52E8" w:rsidRPr="00A02DD8" w:rsidRDefault="003D52E8" w:rsidP="003D52E8">
            <w:pPr>
              <w:spacing w:before="60" w:after="60"/>
              <w:jc w:val="both"/>
            </w:pPr>
            <w:r w:rsidRPr="00A02DD8">
              <w:t>35.</w:t>
            </w:r>
            <w:r w:rsidRPr="00A02DD8">
              <w:rPr>
                <w:vertAlign w:val="superscript"/>
              </w:rPr>
              <w:t>3</w:t>
            </w:r>
            <w:r w:rsidRPr="00A02DD8">
              <w:t xml:space="preserve"> Šo noteikumu 35.</w:t>
            </w:r>
            <w:r w:rsidRPr="00A02DD8">
              <w:rPr>
                <w:vertAlign w:val="superscript"/>
              </w:rPr>
              <w:t>1</w:t>
            </w:r>
            <w:r w:rsidRPr="00A02DD8">
              <w:t xml:space="preserve"> 2. un 35.</w:t>
            </w:r>
            <w:r w:rsidRPr="00A02DD8">
              <w:rPr>
                <w:vertAlign w:val="superscript"/>
              </w:rPr>
              <w:t>1</w:t>
            </w:r>
            <w:r w:rsidRPr="00A02DD8">
              <w:t xml:space="preserve"> 3. apakšpunktā minētajā gadījumā sadarbības iestāde veic projektu ikgadēju uzraudzību un uzkrāj datus visā projektu ietvaros modernizētās infrastruktūras amortizācijas periodā, kuru nosaka:</w:t>
            </w:r>
            <w:r w:rsidR="000B0E35" w:rsidRPr="00A02DD8">
              <w:t xml:space="preserve"> (…)</w:t>
            </w:r>
          </w:p>
          <w:p w14:paraId="7E8646B5" w14:textId="2195E008" w:rsidR="003D52E8" w:rsidRPr="00A02DD8" w:rsidRDefault="003D52E8" w:rsidP="000B0E35">
            <w:pPr>
              <w:spacing w:before="60" w:after="60"/>
              <w:jc w:val="both"/>
            </w:pPr>
            <w:r w:rsidRPr="00A02DD8">
              <w:t>35.</w:t>
            </w:r>
            <w:r w:rsidRPr="00A02DD8">
              <w:rPr>
                <w:vertAlign w:val="superscript"/>
              </w:rPr>
              <w:t>4</w:t>
            </w:r>
            <w:r w:rsidRPr="00A02DD8">
              <w:t xml:space="preserve"> Ja infrastruktūras amortizācijas periodā konstatē, ka nav ievēroti šo noteikumu 35.</w:t>
            </w:r>
            <w:r w:rsidRPr="00A02DD8">
              <w:rPr>
                <w:vertAlign w:val="superscript"/>
              </w:rPr>
              <w:t>1</w:t>
            </w:r>
            <w:r w:rsidRPr="00A02DD8">
              <w:t xml:space="preserve"> 2.  un 35.</w:t>
            </w:r>
            <w:r w:rsidRPr="00A02DD8">
              <w:rPr>
                <w:vertAlign w:val="superscript"/>
              </w:rPr>
              <w:t>1</w:t>
            </w:r>
            <w:r w:rsidRPr="00A02DD8">
              <w:t xml:space="preserve"> 3. apakšpunktā minētie nosacījumi, </w:t>
            </w:r>
            <w:r w:rsidR="000B0E35" w:rsidRPr="00A02DD8">
              <w:t>(…)</w:t>
            </w:r>
          </w:p>
        </w:tc>
        <w:tc>
          <w:tcPr>
            <w:tcW w:w="3827" w:type="dxa"/>
            <w:shd w:val="clear" w:color="auto" w:fill="auto"/>
          </w:tcPr>
          <w:p w14:paraId="706E0AAD" w14:textId="77777777" w:rsidR="003D52E8" w:rsidRPr="00A02DD8" w:rsidRDefault="003D52E8" w:rsidP="003D52E8">
            <w:pPr>
              <w:spacing w:before="60" w:after="60"/>
              <w:contextualSpacing/>
              <w:jc w:val="both"/>
              <w:rPr>
                <w:b/>
              </w:rPr>
            </w:pPr>
            <w:r w:rsidRPr="00A02DD8">
              <w:rPr>
                <w:b/>
              </w:rPr>
              <w:t>FM</w:t>
            </w:r>
          </w:p>
          <w:p w14:paraId="00539C32" w14:textId="489C744D" w:rsidR="003D52E8" w:rsidRPr="00A02DD8" w:rsidRDefault="003D52E8" w:rsidP="003D52E8">
            <w:pPr>
              <w:spacing w:before="60" w:after="60"/>
              <w:contextualSpacing/>
              <w:jc w:val="both"/>
            </w:pPr>
            <w:r w:rsidRPr="00A02DD8">
              <w:t>Lūdzam pārskatīt noteikumu projekta 2.punktā izteiktajā 35.</w:t>
            </w:r>
            <w:r w:rsidRPr="00A02DD8">
              <w:rPr>
                <w:vertAlign w:val="superscript"/>
              </w:rPr>
              <w:t>3</w:t>
            </w:r>
            <w:r w:rsidRPr="00A02DD8">
              <w:t xml:space="preserve"> un 35.</w:t>
            </w:r>
            <w:r w:rsidRPr="00A02DD8">
              <w:rPr>
                <w:vertAlign w:val="superscript"/>
              </w:rPr>
              <w:t>4</w:t>
            </w:r>
            <w:r w:rsidRPr="00A02DD8">
              <w:t xml:space="preserve"> punktā lietotās atsauces uz citiem MK noteikumu Nr.561 punktiem, vēršam uzmanību, ka sniegtais atbalsts būtu atgūstams, ja tiek pārkāpti papildinošas saimnieciskās darbības un papildpakalpojumu sniegšanas nosacījumi, tādejādi nodrošinot atbilstību līdzšinējam  8.1.1.SAM mērķim.</w:t>
            </w:r>
          </w:p>
        </w:tc>
        <w:tc>
          <w:tcPr>
            <w:tcW w:w="2787" w:type="dxa"/>
            <w:shd w:val="clear" w:color="auto" w:fill="auto"/>
          </w:tcPr>
          <w:p w14:paraId="229BE92E" w14:textId="66132BDD" w:rsidR="003D52E8" w:rsidRPr="00A02DD8" w:rsidRDefault="000B0E35" w:rsidP="003D52E8">
            <w:pPr>
              <w:spacing w:before="60" w:after="60"/>
              <w:jc w:val="both"/>
              <w:rPr>
                <w:b/>
              </w:rPr>
            </w:pPr>
            <w:r w:rsidRPr="00A02DD8">
              <w:rPr>
                <w:b/>
              </w:rPr>
              <w:t>Ņemts vērā.</w:t>
            </w:r>
          </w:p>
        </w:tc>
        <w:tc>
          <w:tcPr>
            <w:tcW w:w="4039" w:type="dxa"/>
            <w:shd w:val="clear" w:color="auto" w:fill="auto"/>
          </w:tcPr>
          <w:p w14:paraId="7FD9D981" w14:textId="77777777" w:rsidR="003D52E8" w:rsidRPr="00A02DD8" w:rsidRDefault="000B0E35" w:rsidP="003D52E8">
            <w:pPr>
              <w:tabs>
                <w:tab w:val="left" w:pos="1276"/>
              </w:tabs>
              <w:spacing w:before="60" w:after="60"/>
              <w:jc w:val="both"/>
            </w:pPr>
            <w:r w:rsidRPr="00A02DD8">
              <w:t>35.</w:t>
            </w:r>
            <w:r w:rsidRPr="00A02DD8">
              <w:rPr>
                <w:vertAlign w:val="superscript"/>
              </w:rPr>
              <w:t>3</w:t>
            </w:r>
            <w:r w:rsidRPr="00A02DD8">
              <w:t xml:space="preserve"> Šo noteikumu 35.</w:t>
            </w:r>
            <w:r w:rsidRPr="00A02DD8">
              <w:rPr>
                <w:vertAlign w:val="superscript"/>
              </w:rPr>
              <w:t>1</w:t>
            </w:r>
            <w:r w:rsidRPr="00A02DD8">
              <w:t xml:space="preserve"> 3. un 35.</w:t>
            </w:r>
            <w:r w:rsidRPr="00A02DD8">
              <w:rPr>
                <w:vertAlign w:val="superscript"/>
              </w:rPr>
              <w:t>1</w:t>
            </w:r>
            <w:r w:rsidRPr="00A02DD8">
              <w:t xml:space="preserve"> 4. apakšpunktā minētajā gadījumā sadarbības iestāde veic projektu ikgadēju uzraudzību un uzkrāj datus visā projektu ietvaros modernizētās infrastruktūras amortizācijas periodā, kuru nosaka: (…)</w:t>
            </w:r>
          </w:p>
          <w:p w14:paraId="524D5A56" w14:textId="41276049" w:rsidR="000B0E35" w:rsidRPr="00A02DD8" w:rsidRDefault="000B0E35" w:rsidP="003D52E8">
            <w:pPr>
              <w:tabs>
                <w:tab w:val="left" w:pos="1276"/>
              </w:tabs>
              <w:spacing w:before="60" w:after="60"/>
              <w:jc w:val="both"/>
            </w:pPr>
            <w:r w:rsidRPr="00A02DD8">
              <w:t>35.</w:t>
            </w:r>
            <w:r w:rsidRPr="00A02DD8">
              <w:rPr>
                <w:vertAlign w:val="superscript"/>
              </w:rPr>
              <w:t>4</w:t>
            </w:r>
            <w:r w:rsidRPr="00A02DD8">
              <w:t> Ja infrastr</w:t>
            </w:r>
            <w:r w:rsidR="00CF5C06" w:rsidRPr="00A02DD8">
              <w:t>u</w:t>
            </w:r>
            <w:r w:rsidRPr="00A02DD8">
              <w:t>ktūras amortizācijas periodā konstatē, ka nav ievēroti šo noteikumu 35.</w:t>
            </w:r>
            <w:r w:rsidRPr="00A02DD8">
              <w:rPr>
                <w:vertAlign w:val="superscript"/>
              </w:rPr>
              <w:t>1</w:t>
            </w:r>
            <w:r w:rsidRPr="00A02DD8">
              <w:t> 3.  un 35.</w:t>
            </w:r>
            <w:r w:rsidRPr="00A02DD8">
              <w:rPr>
                <w:vertAlign w:val="superscript"/>
              </w:rPr>
              <w:t>1</w:t>
            </w:r>
            <w:r w:rsidRPr="00A02DD8">
              <w:t> 4</w:t>
            </w:r>
            <w:r w:rsidR="00CF5C06" w:rsidRPr="00A02DD8">
              <w:t>.</w:t>
            </w:r>
            <w:r w:rsidRPr="00A02DD8">
              <w:t xml:space="preserve"> apakšpunktā minētie nosacījumi (…)</w:t>
            </w:r>
          </w:p>
        </w:tc>
      </w:tr>
      <w:tr w:rsidR="00652F88" w:rsidRPr="00A02DD8" w14:paraId="3476DAF1" w14:textId="77777777" w:rsidTr="007E0DD5">
        <w:trPr>
          <w:gridAfter w:val="1"/>
          <w:wAfter w:w="102" w:type="dxa"/>
          <w:trHeight w:val="274"/>
        </w:trPr>
        <w:tc>
          <w:tcPr>
            <w:tcW w:w="644" w:type="dxa"/>
            <w:shd w:val="clear" w:color="auto" w:fill="FFFFFF" w:themeFill="background1"/>
          </w:tcPr>
          <w:p w14:paraId="23B1E3E1" w14:textId="77777777" w:rsidR="00652F88" w:rsidRPr="00A02DD8" w:rsidRDefault="00652F88" w:rsidP="003D52E8">
            <w:pPr>
              <w:numPr>
                <w:ilvl w:val="0"/>
                <w:numId w:val="1"/>
              </w:numPr>
              <w:tabs>
                <w:tab w:val="center" w:pos="284"/>
              </w:tabs>
              <w:spacing w:before="60" w:after="60"/>
              <w:ind w:left="0" w:firstLine="0"/>
            </w:pPr>
          </w:p>
        </w:tc>
        <w:tc>
          <w:tcPr>
            <w:tcW w:w="3467" w:type="dxa"/>
            <w:shd w:val="clear" w:color="auto" w:fill="auto"/>
          </w:tcPr>
          <w:p w14:paraId="5DF22B48" w14:textId="77777777" w:rsidR="00CF5C06" w:rsidRPr="00A02DD8" w:rsidRDefault="00CF5C06" w:rsidP="00CF5C06">
            <w:pPr>
              <w:jc w:val="both"/>
              <w:rPr>
                <w:color w:val="000000"/>
              </w:rPr>
            </w:pPr>
            <w:r w:rsidRPr="00A02DD8">
              <w:rPr>
                <w:color w:val="000000"/>
              </w:rPr>
              <w:t>35.</w:t>
            </w:r>
            <w:r w:rsidRPr="00A02DD8">
              <w:rPr>
                <w:color w:val="000000"/>
                <w:vertAlign w:val="superscript"/>
              </w:rPr>
              <w:t>3</w:t>
            </w:r>
            <w:r w:rsidRPr="00A02DD8">
              <w:rPr>
                <w:color w:val="000000"/>
              </w:rPr>
              <w:t xml:space="preserve"> Šo noteikumu 35.</w:t>
            </w:r>
            <w:r w:rsidRPr="00A02DD8">
              <w:rPr>
                <w:color w:val="000000"/>
                <w:vertAlign w:val="superscript"/>
              </w:rPr>
              <w:t>1</w:t>
            </w:r>
            <w:r w:rsidRPr="00A02DD8">
              <w:rPr>
                <w:color w:val="000000"/>
              </w:rPr>
              <w:t> 3. un 35.</w:t>
            </w:r>
            <w:r w:rsidRPr="00A02DD8">
              <w:rPr>
                <w:color w:val="000000"/>
                <w:vertAlign w:val="superscript"/>
              </w:rPr>
              <w:t>1</w:t>
            </w:r>
            <w:r w:rsidRPr="00A02DD8">
              <w:rPr>
                <w:color w:val="000000"/>
              </w:rPr>
              <w:t> 4. apakšpunktā minētajā gadījumā sadarbības iestāde veic projektu ikgadēju uzraudzību un uzkrāj datus visā projektu ietvaros modernizētās infrastruktūras amortizācijas periodā, kuru nosaka:</w:t>
            </w:r>
          </w:p>
          <w:p w14:paraId="2E7358A7" w14:textId="77777777" w:rsidR="00CF5C06" w:rsidRPr="00A02DD8" w:rsidRDefault="00CF5C06" w:rsidP="00CF5C06">
            <w:pPr>
              <w:jc w:val="both"/>
              <w:rPr>
                <w:color w:val="000000"/>
              </w:rPr>
            </w:pPr>
            <w:r w:rsidRPr="00A02DD8">
              <w:rPr>
                <w:color w:val="000000"/>
              </w:rPr>
              <w:t>35.</w:t>
            </w:r>
            <w:r w:rsidRPr="00A02DD8">
              <w:rPr>
                <w:color w:val="000000"/>
                <w:vertAlign w:val="superscript"/>
              </w:rPr>
              <w:t>3</w:t>
            </w:r>
            <w:r w:rsidRPr="00A02DD8">
              <w:rPr>
                <w:color w:val="000000"/>
              </w:rPr>
              <w:t xml:space="preserve">1. atbilstoši noteikumiem par grāmatvedības uzskaites kārtību budžeta iestādēs, ja projekta ietvaros veic šo noteikumu 21.2., 21.3. vai </w:t>
            </w:r>
            <w:r w:rsidRPr="00A02DD8">
              <w:t>21.4. apakšpunktā minēto</w:t>
            </w:r>
            <w:r w:rsidRPr="00A02DD8">
              <w:rPr>
                <w:color w:val="000000"/>
              </w:rPr>
              <w:t xml:space="preserve"> materiālo aktīvu iegādi vai izveidi; </w:t>
            </w:r>
          </w:p>
          <w:p w14:paraId="7A7FF432" w14:textId="1A1CBCF0" w:rsidR="00652F88" w:rsidRPr="00A02DD8" w:rsidRDefault="00CF5C06" w:rsidP="00CF5C06">
            <w:pPr>
              <w:spacing w:before="60" w:after="60"/>
              <w:jc w:val="both"/>
            </w:pPr>
            <w:r w:rsidRPr="00A02DD8">
              <w:rPr>
                <w:color w:val="000000"/>
              </w:rPr>
              <w:lastRenderedPageBreak/>
              <w:t>35.</w:t>
            </w:r>
            <w:r w:rsidRPr="00A02DD8">
              <w:rPr>
                <w:color w:val="000000"/>
                <w:vertAlign w:val="superscript"/>
              </w:rPr>
              <w:t>3</w:t>
            </w:r>
            <w:r w:rsidRPr="00A02DD8">
              <w:rPr>
                <w:color w:val="000000"/>
              </w:rPr>
              <w:t> 2. ievērojot šo noteikumu 34.1. apakšpunktā noteikto projekta dzīves cikla periodu, ja projekta ietvaros veic šo noteikumu 21.1., 21.2. vai 21.3. apakšpunktā minētās infrastruktūras modernizāciju.</w:t>
            </w:r>
          </w:p>
        </w:tc>
        <w:tc>
          <w:tcPr>
            <w:tcW w:w="3827" w:type="dxa"/>
            <w:shd w:val="clear" w:color="auto" w:fill="auto"/>
          </w:tcPr>
          <w:p w14:paraId="7AB660CC" w14:textId="77777777" w:rsidR="00652F88" w:rsidRPr="00A02DD8" w:rsidRDefault="00652F88" w:rsidP="003D52E8">
            <w:pPr>
              <w:spacing w:before="60" w:after="60"/>
              <w:contextualSpacing/>
              <w:jc w:val="both"/>
              <w:rPr>
                <w:b/>
              </w:rPr>
            </w:pPr>
            <w:r w:rsidRPr="00A02DD8">
              <w:rPr>
                <w:b/>
              </w:rPr>
              <w:lastRenderedPageBreak/>
              <w:t>FM 17.09.2020. izteiktais iebildums</w:t>
            </w:r>
          </w:p>
          <w:p w14:paraId="19C80A9E" w14:textId="3C3AD363" w:rsidR="00652F88" w:rsidRPr="00A02DD8" w:rsidRDefault="00652F88" w:rsidP="003D52E8">
            <w:pPr>
              <w:spacing w:before="60" w:after="60"/>
              <w:contextualSpacing/>
              <w:jc w:val="both"/>
              <w:rPr>
                <w:b/>
              </w:rPr>
            </w:pPr>
            <w:r w:rsidRPr="00A02DD8">
              <w:t>Vēršam uzmanību, ka no noteikumu projekta 2.punktā izteiktajām 35.</w:t>
            </w:r>
            <w:r w:rsidRPr="00A02DD8">
              <w:rPr>
                <w:vertAlign w:val="superscript"/>
              </w:rPr>
              <w:t>3</w:t>
            </w:r>
            <w:r w:rsidRPr="00A02DD8">
              <w:t xml:space="preserve"> punkta redakcijām šobrīd nav skaidri saprotams, kādu pieeju infrastruktūras amortizācijas perioda noteikšanā būtu jāizmanto MK noteikumu Nr.561</w:t>
            </w:r>
            <w:r w:rsidRPr="00A02DD8">
              <w:rPr>
                <w:rStyle w:val="FootnoteReference"/>
              </w:rPr>
              <w:footnoteReference w:id="1"/>
            </w:r>
            <w:r w:rsidRPr="00A02DD8">
              <w:t xml:space="preserve"> 21.2. un 21.3.apakšpunktā minētajos gadījumos. Atsauce uz MK noteikumu Nr.561 21.2. un 21.3.apakšpunktu minēta gan noteikumu projekta 35.</w:t>
            </w:r>
            <w:r w:rsidRPr="00A02DD8">
              <w:rPr>
                <w:vertAlign w:val="superscript"/>
              </w:rPr>
              <w:t>3</w:t>
            </w:r>
            <w:r w:rsidRPr="00A02DD8">
              <w:t xml:space="preserve"> punkta 1.apakšpunktā, kas paredz piemērot noteikumus par grāmatvedības </w:t>
            </w:r>
            <w:r w:rsidRPr="00A02DD8">
              <w:lastRenderedPageBreak/>
              <w:t>uzskaites kārtību budžeta iestādēs, gan noteikumu projekta 35.</w:t>
            </w:r>
            <w:r w:rsidRPr="00A02DD8">
              <w:rPr>
                <w:vertAlign w:val="superscript"/>
              </w:rPr>
              <w:t>3</w:t>
            </w:r>
            <w:r w:rsidRPr="00A02DD8">
              <w:t xml:space="preserve"> punkta 2.apakšpunktā, kas paredz piemērot projekta dzīves cikla periodu. Ņemot vērā izteikto iebildumu, lūdzam precizēt noteikumu projektu.</w:t>
            </w:r>
          </w:p>
        </w:tc>
        <w:tc>
          <w:tcPr>
            <w:tcW w:w="2787" w:type="dxa"/>
            <w:shd w:val="clear" w:color="auto" w:fill="auto"/>
          </w:tcPr>
          <w:p w14:paraId="11957A5F" w14:textId="77777777" w:rsidR="00CF5C06" w:rsidRPr="00A02DD8" w:rsidRDefault="00CF5C06" w:rsidP="00CF5C06">
            <w:pPr>
              <w:spacing w:before="60" w:after="60"/>
              <w:jc w:val="both"/>
              <w:rPr>
                <w:b/>
              </w:rPr>
            </w:pPr>
            <w:r w:rsidRPr="00A02DD8">
              <w:rPr>
                <w:b/>
              </w:rPr>
              <w:lastRenderedPageBreak/>
              <w:t>Ņemts vērā.</w:t>
            </w:r>
          </w:p>
          <w:p w14:paraId="2A4C0AF8" w14:textId="6EAEE66A" w:rsidR="00652F88" w:rsidRPr="00A02DD8" w:rsidRDefault="00CF5C06" w:rsidP="003D52E8">
            <w:pPr>
              <w:spacing w:before="60" w:after="60"/>
              <w:jc w:val="both"/>
            </w:pPr>
            <w:r w:rsidRPr="00A02DD8">
              <w:t>Precizētas atsauces uz MK noteikumu Nr. 561 punktiem.</w:t>
            </w:r>
          </w:p>
        </w:tc>
        <w:tc>
          <w:tcPr>
            <w:tcW w:w="4039" w:type="dxa"/>
            <w:shd w:val="clear" w:color="auto" w:fill="auto"/>
          </w:tcPr>
          <w:p w14:paraId="54301B57" w14:textId="77777777" w:rsidR="00CF5C06" w:rsidRPr="00A02DD8" w:rsidRDefault="00CF5C06" w:rsidP="00CF5C06">
            <w:pPr>
              <w:tabs>
                <w:tab w:val="left" w:pos="1276"/>
              </w:tabs>
              <w:spacing w:before="60" w:after="60"/>
              <w:jc w:val="both"/>
            </w:pPr>
            <w:r w:rsidRPr="00A02DD8">
              <w:t>35.</w:t>
            </w:r>
            <w:r w:rsidRPr="00A02DD8">
              <w:rPr>
                <w:vertAlign w:val="superscript"/>
              </w:rPr>
              <w:t>3</w:t>
            </w:r>
            <w:r w:rsidRPr="00A02DD8">
              <w:t xml:space="preserve"> Šo noteikumu 35.</w:t>
            </w:r>
            <w:r w:rsidRPr="00A02DD8">
              <w:rPr>
                <w:vertAlign w:val="superscript"/>
              </w:rPr>
              <w:t>1</w:t>
            </w:r>
            <w:r w:rsidRPr="00A02DD8">
              <w:t> punktā minētajos gadījumos sadarbības iestāde veic projektu ikgadēju uzraudzību un uzkrāj datus visā projektu ietvaros modernizētās infrastruktūras amortizācijas periodā, kuru nosaka:</w:t>
            </w:r>
          </w:p>
          <w:p w14:paraId="5495B837" w14:textId="77777777" w:rsidR="00CF5C06" w:rsidRPr="00A02DD8" w:rsidRDefault="00CF5C06" w:rsidP="00CF5C06">
            <w:pPr>
              <w:tabs>
                <w:tab w:val="left" w:pos="1276"/>
              </w:tabs>
              <w:spacing w:before="60" w:after="60"/>
              <w:jc w:val="both"/>
            </w:pPr>
            <w:r w:rsidRPr="00A02DD8">
              <w:t>35.</w:t>
            </w:r>
            <w:r w:rsidRPr="00A02DD8">
              <w:rPr>
                <w:vertAlign w:val="superscript"/>
              </w:rPr>
              <w:t>3</w:t>
            </w:r>
            <w:r w:rsidRPr="00A02DD8">
              <w:t xml:space="preserve">1. atbilstoši noteikumiem par grāmatvedības uzskaites kārtību budžeta iestādēs, ja projekta ietvaros veic šo noteikumu 21.2., 21.3. vai 21.4. apakšpunktā minēto materiālo aktīvu iegādi vai izveidi; </w:t>
            </w:r>
          </w:p>
          <w:p w14:paraId="0EC8E722" w14:textId="77777777" w:rsidR="00CF5C06" w:rsidRPr="00A02DD8" w:rsidRDefault="00CF5C06" w:rsidP="00CF5C06">
            <w:pPr>
              <w:tabs>
                <w:tab w:val="left" w:pos="1276"/>
              </w:tabs>
              <w:spacing w:before="60" w:after="60"/>
              <w:jc w:val="both"/>
            </w:pPr>
            <w:r w:rsidRPr="00A02DD8">
              <w:t>35.</w:t>
            </w:r>
            <w:r w:rsidRPr="00A02DD8">
              <w:rPr>
                <w:vertAlign w:val="superscript"/>
              </w:rPr>
              <w:t>3</w:t>
            </w:r>
            <w:r w:rsidRPr="00A02DD8">
              <w:t xml:space="preserve"> 2. ievērojot šo noteikumu 34.1. apakšpunktā noteikto projekta dzīves </w:t>
            </w:r>
            <w:r w:rsidRPr="00A02DD8">
              <w:lastRenderedPageBreak/>
              <w:t>cikla periodu, ja projekta ietvaros veic šo noteikumu 21.1. apakšpunktā minētās infrastruktūras modernizāciju.</w:t>
            </w:r>
          </w:p>
          <w:p w14:paraId="424D8F14" w14:textId="77777777" w:rsidR="00652F88" w:rsidRPr="00A02DD8" w:rsidRDefault="00652F88" w:rsidP="003D52E8">
            <w:pPr>
              <w:tabs>
                <w:tab w:val="left" w:pos="1276"/>
              </w:tabs>
              <w:spacing w:before="60" w:after="60"/>
              <w:jc w:val="both"/>
            </w:pPr>
          </w:p>
        </w:tc>
      </w:tr>
      <w:tr w:rsidR="0037479D" w:rsidRPr="00A02DD8" w14:paraId="3A26D10C" w14:textId="77777777" w:rsidTr="007E0DD5">
        <w:trPr>
          <w:gridAfter w:val="1"/>
          <w:wAfter w:w="102" w:type="dxa"/>
          <w:trHeight w:val="274"/>
        </w:trPr>
        <w:tc>
          <w:tcPr>
            <w:tcW w:w="644" w:type="dxa"/>
            <w:shd w:val="clear" w:color="auto" w:fill="FFFFFF" w:themeFill="background1"/>
          </w:tcPr>
          <w:p w14:paraId="0A2D2784" w14:textId="41AC7D7A" w:rsidR="0037479D" w:rsidRPr="00A02DD8" w:rsidRDefault="0037479D" w:rsidP="0037479D">
            <w:pPr>
              <w:numPr>
                <w:ilvl w:val="0"/>
                <w:numId w:val="1"/>
              </w:numPr>
              <w:tabs>
                <w:tab w:val="center" w:pos="284"/>
              </w:tabs>
              <w:spacing w:before="60" w:after="60"/>
              <w:ind w:left="0" w:firstLine="0"/>
            </w:pPr>
          </w:p>
        </w:tc>
        <w:tc>
          <w:tcPr>
            <w:tcW w:w="3467" w:type="dxa"/>
            <w:shd w:val="clear" w:color="auto" w:fill="auto"/>
          </w:tcPr>
          <w:p w14:paraId="6923AC1E" w14:textId="77777777" w:rsidR="0037479D" w:rsidRPr="00A02DD8" w:rsidRDefault="0037479D" w:rsidP="0037479D">
            <w:pPr>
              <w:spacing w:before="60" w:after="60"/>
              <w:jc w:val="both"/>
            </w:pPr>
            <w:r w:rsidRPr="00A02DD8">
              <w:t>35.</w:t>
            </w:r>
            <w:r w:rsidRPr="00A02DD8">
              <w:rPr>
                <w:vertAlign w:val="superscript"/>
              </w:rPr>
              <w:t>4</w:t>
            </w:r>
            <w:r w:rsidRPr="00A02DD8">
              <w:t xml:space="preserve"> Ja infrastruktūras amortizācijas periodā konstatē, ka nav ievēroti šo noteikumu 35.</w:t>
            </w:r>
            <w:r w:rsidRPr="00A02DD8">
              <w:rPr>
                <w:vertAlign w:val="superscript"/>
              </w:rPr>
              <w:t>1</w:t>
            </w:r>
            <w:r w:rsidRPr="00A02DD8">
              <w:t xml:space="preserve"> 2.  un 35.</w:t>
            </w:r>
            <w:r w:rsidRPr="00A02DD8">
              <w:rPr>
                <w:vertAlign w:val="superscript"/>
              </w:rPr>
              <w:t>1</w:t>
            </w:r>
            <w:r w:rsidRPr="00A02DD8">
              <w:t xml:space="preserve"> 3. apakšpunktā minētie nosacījumi, finansējuma saņēmējam ir pienākums atmaksāt sadarbības iestādei visu projekta ietvaros attiecīgajā gadā saņemto nelikumīgo komercdarbības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w:t>
            </w:r>
            <w:r w:rsidRPr="00A02DD8">
              <w:lastRenderedPageBreak/>
              <w:t>2015/1589, ar ko nosaka sīki izstrādātus noteikumus Līguma par Eiropas Savienības darbību 108. panta piemērošanai, 11. pantā noteikto procentu likmes piemērošanas metodi.</w:t>
            </w:r>
          </w:p>
          <w:p w14:paraId="0151A310" w14:textId="7D6A94AC" w:rsidR="0037479D" w:rsidRPr="00A02DD8" w:rsidRDefault="0037479D" w:rsidP="0037479D">
            <w:pPr>
              <w:spacing w:before="60" w:after="60"/>
              <w:jc w:val="both"/>
            </w:pPr>
            <w:r w:rsidRPr="00A02DD8">
              <w:t>35.</w:t>
            </w:r>
            <w:r w:rsidRPr="00A02DD8">
              <w:rPr>
                <w:vertAlign w:val="superscript"/>
              </w:rPr>
              <w:t>5</w:t>
            </w:r>
            <w:r w:rsidRPr="00A02DD8">
              <w:t> Atbildīgā iestāde, ievērojot šo noteikumu 35.</w:t>
            </w:r>
            <w:r w:rsidRPr="00A02DD8">
              <w:rPr>
                <w:vertAlign w:val="superscript"/>
              </w:rPr>
              <w:t>4</w:t>
            </w:r>
            <w:r w:rsidRPr="00A02DD8">
              <w:t xml:space="preserve"> punkta nosacījumus, izstrādā publiskā finansējuma atgūšanas mehānismu, kuru sadarbības iestāde piemēro infrastruktūras amortizācijas periodā, ja konstatē, ka nav ievēroti šo noteikumu 35.</w:t>
            </w:r>
            <w:r w:rsidRPr="00A02DD8">
              <w:rPr>
                <w:vertAlign w:val="superscript"/>
              </w:rPr>
              <w:t>1</w:t>
            </w:r>
            <w:r w:rsidRPr="00A02DD8">
              <w:t> 2.  un 35.</w:t>
            </w:r>
            <w:r w:rsidRPr="00A02DD8">
              <w:rPr>
                <w:vertAlign w:val="superscript"/>
              </w:rPr>
              <w:t>1</w:t>
            </w:r>
            <w:r w:rsidRPr="00A02DD8">
              <w:t> 3. apakšpunktā minētie nosacījumi.</w:t>
            </w:r>
          </w:p>
        </w:tc>
        <w:tc>
          <w:tcPr>
            <w:tcW w:w="3827" w:type="dxa"/>
            <w:shd w:val="clear" w:color="auto" w:fill="auto"/>
          </w:tcPr>
          <w:p w14:paraId="20F7C258" w14:textId="5BE76DDA" w:rsidR="0037479D" w:rsidRPr="00A02DD8" w:rsidRDefault="0037479D" w:rsidP="0037479D">
            <w:pPr>
              <w:spacing w:before="60" w:after="60"/>
              <w:contextualSpacing/>
              <w:jc w:val="both"/>
              <w:rPr>
                <w:b/>
              </w:rPr>
            </w:pPr>
            <w:r w:rsidRPr="00A02DD8">
              <w:rPr>
                <w:b/>
              </w:rPr>
              <w:lastRenderedPageBreak/>
              <w:t>FM</w:t>
            </w:r>
          </w:p>
          <w:p w14:paraId="33E94174" w14:textId="5AC3B4B1" w:rsidR="0037479D" w:rsidRPr="00A02DD8" w:rsidRDefault="0037479D" w:rsidP="0037479D">
            <w:pPr>
              <w:spacing w:before="60" w:after="60"/>
              <w:contextualSpacing/>
              <w:jc w:val="both"/>
            </w:pPr>
            <w:r w:rsidRPr="00A02DD8">
              <w:t>Vēršam uzmanību, ka noteikumu projekta 2.punktā izteiktajā 35.</w:t>
            </w:r>
            <w:r w:rsidRPr="00A02DD8">
              <w:rPr>
                <w:vertAlign w:val="superscript"/>
              </w:rPr>
              <w:t>4</w:t>
            </w:r>
            <w:r w:rsidRPr="00A02DD8">
              <w:t xml:space="preserve"> punktā nekāda atgūšanas mehānisma izstrāde nav paredzēta, jo 35.</w:t>
            </w:r>
            <w:r w:rsidRPr="00A02DD8">
              <w:rPr>
                <w:vertAlign w:val="superscript"/>
              </w:rPr>
              <w:t>4</w:t>
            </w:r>
            <w:r w:rsidRPr="00A02DD8">
              <w:t xml:space="preserve"> punkts paredz atbalsta atgūšanas nosacījumu, ja infrastruktūras amortizācijas periodā konstatē atbalsta sniegšanas pārkāpumu. Ievērojot minēto, pārskatīt un precizēt 1.punktā izteikto 35. </w:t>
            </w:r>
            <w:r w:rsidRPr="00A02DD8">
              <w:rPr>
                <w:vertAlign w:val="superscript"/>
              </w:rPr>
              <w:t>5</w:t>
            </w:r>
            <w:r w:rsidRPr="00A02DD8">
              <w:t xml:space="preserve"> punktu.</w:t>
            </w:r>
          </w:p>
        </w:tc>
        <w:tc>
          <w:tcPr>
            <w:tcW w:w="2787" w:type="dxa"/>
            <w:shd w:val="clear" w:color="auto" w:fill="auto"/>
          </w:tcPr>
          <w:p w14:paraId="52FCDAFD" w14:textId="77777777" w:rsidR="0037479D" w:rsidRPr="00A02DD8" w:rsidRDefault="0037479D" w:rsidP="0037479D">
            <w:pPr>
              <w:spacing w:before="60" w:after="60"/>
              <w:jc w:val="both"/>
              <w:rPr>
                <w:b/>
              </w:rPr>
            </w:pPr>
            <w:r w:rsidRPr="00A02DD8">
              <w:rPr>
                <w:b/>
              </w:rPr>
              <w:t>Ņemts vērā.</w:t>
            </w:r>
          </w:p>
          <w:p w14:paraId="360D2A22" w14:textId="19113A8A" w:rsidR="00BC1E34" w:rsidRPr="00A02DD8" w:rsidRDefault="00BC1E34" w:rsidP="0037479D">
            <w:pPr>
              <w:spacing w:before="60" w:after="60"/>
              <w:jc w:val="both"/>
            </w:pPr>
            <w:r w:rsidRPr="00A02DD8">
              <w:t>35.</w:t>
            </w:r>
            <w:r w:rsidRPr="00A02DD8">
              <w:rPr>
                <w:vertAlign w:val="superscript"/>
              </w:rPr>
              <w:t>3</w:t>
            </w:r>
            <w:r w:rsidRPr="00A02DD8">
              <w:t xml:space="preserve"> punktā sniegta norāde uz 35.</w:t>
            </w:r>
            <w:r w:rsidRPr="00A02DD8">
              <w:rPr>
                <w:vertAlign w:val="superscript"/>
              </w:rPr>
              <w:t>4</w:t>
            </w:r>
            <w:r w:rsidRPr="00A02DD8">
              <w:t xml:space="preserve"> punkta nosacījumiem par procentu likmes piemērošanas metodi.</w:t>
            </w:r>
          </w:p>
          <w:p w14:paraId="1680D22A" w14:textId="08C1024D" w:rsidR="0037479D" w:rsidRPr="00A02DD8" w:rsidRDefault="00BC1E34" w:rsidP="00BC1E34">
            <w:pPr>
              <w:spacing w:before="60" w:after="60"/>
              <w:jc w:val="both"/>
            </w:pPr>
            <w:r w:rsidRPr="00A02DD8">
              <w:t>Papildus vēršam uzmanību, ka</w:t>
            </w:r>
            <w:r w:rsidR="0037479D" w:rsidRPr="00A02DD8">
              <w:t xml:space="preserve"> atbilstoši MK noteikumu nr. 561 35.</w:t>
            </w:r>
            <w:r w:rsidR="0037479D" w:rsidRPr="00A02DD8">
              <w:rPr>
                <w:vertAlign w:val="superscript"/>
              </w:rPr>
              <w:t>5</w:t>
            </w:r>
            <w:r w:rsidR="0037479D" w:rsidRPr="00A02DD8">
              <w:t xml:space="preserve"> punktam Atbildīgā iestāde izstrādā publiskā finansējuma </w:t>
            </w:r>
            <w:r w:rsidR="00E72B32" w:rsidRPr="00A02DD8">
              <w:t xml:space="preserve">uzraudzības un </w:t>
            </w:r>
            <w:r w:rsidR="0037479D" w:rsidRPr="00A02DD8">
              <w:t>atgūšanas mehānismu, ņemot vērā 35.</w:t>
            </w:r>
            <w:r w:rsidR="0037479D" w:rsidRPr="00A02DD8">
              <w:rPr>
                <w:vertAlign w:val="superscript"/>
              </w:rPr>
              <w:t>4</w:t>
            </w:r>
            <w:r w:rsidR="0037479D" w:rsidRPr="00A02DD8">
              <w:t xml:space="preserve"> punkta nosacījumus par procentu likmes piemērošanas metodi.</w:t>
            </w:r>
          </w:p>
        </w:tc>
        <w:tc>
          <w:tcPr>
            <w:tcW w:w="4039" w:type="dxa"/>
            <w:shd w:val="clear" w:color="auto" w:fill="auto"/>
          </w:tcPr>
          <w:p w14:paraId="0ACCFEAC" w14:textId="35CC1586" w:rsidR="0037479D" w:rsidRPr="00A02DD8" w:rsidRDefault="0037479D" w:rsidP="0037479D">
            <w:pPr>
              <w:spacing w:before="60" w:after="60"/>
              <w:jc w:val="both"/>
            </w:pPr>
            <w:r w:rsidRPr="00A02DD8">
              <w:t>35.</w:t>
            </w:r>
            <w:r w:rsidRPr="00A02DD8">
              <w:rPr>
                <w:vertAlign w:val="superscript"/>
              </w:rPr>
              <w:t>4</w:t>
            </w:r>
            <w:r w:rsidRPr="00A02DD8">
              <w:t xml:space="preserve"> </w:t>
            </w:r>
            <w:r w:rsidR="00D07FC6" w:rsidRPr="00A02DD8">
              <w:rPr>
                <w:color w:val="000000"/>
                <w:sz w:val="28"/>
                <w:szCs w:val="28"/>
              </w:rPr>
              <w:t xml:space="preserve"> </w:t>
            </w:r>
            <w:r w:rsidR="00D07FC6" w:rsidRPr="00A02DD8">
              <w:t>Ja infrastruktūras amortizācijas periodā konstatē, ka nav ievēroti šo noteikumu 35.</w:t>
            </w:r>
            <w:r w:rsidR="00D07FC6" w:rsidRPr="00A02DD8">
              <w:rPr>
                <w:vertAlign w:val="superscript"/>
              </w:rPr>
              <w:t>1</w:t>
            </w:r>
            <w:r w:rsidR="00D07FC6" w:rsidRPr="00A02DD8">
              <w:t> punktā minētie nosacījumi, finansējuma saņēmējam ir pienākums atmaksāt sadarbības iestādei visu projekta ietvaros saņemto nelikumīgo komercdarbības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r w:rsidRPr="00A02DD8">
              <w:t>.</w:t>
            </w:r>
          </w:p>
          <w:p w14:paraId="670B5E20" w14:textId="606EE004" w:rsidR="0037479D" w:rsidRPr="00A02DD8" w:rsidRDefault="0037479D" w:rsidP="00F56017">
            <w:pPr>
              <w:tabs>
                <w:tab w:val="left" w:pos="1276"/>
              </w:tabs>
              <w:spacing w:before="60" w:after="60"/>
              <w:jc w:val="both"/>
            </w:pPr>
            <w:r w:rsidRPr="00A02DD8">
              <w:lastRenderedPageBreak/>
              <w:t>35.</w:t>
            </w:r>
            <w:r w:rsidRPr="00A02DD8">
              <w:rPr>
                <w:vertAlign w:val="superscript"/>
              </w:rPr>
              <w:t>5</w:t>
            </w:r>
            <w:r w:rsidRPr="00A02DD8">
              <w:t> </w:t>
            </w:r>
            <w:r w:rsidR="00DA6877" w:rsidRPr="00A02DD8">
              <w:t>Lai ievērotu šo noteikumu 35.</w:t>
            </w:r>
            <w:r w:rsidR="00DA6877" w:rsidRPr="00A02DD8">
              <w:rPr>
                <w:vertAlign w:val="superscript"/>
              </w:rPr>
              <w:t>1</w:t>
            </w:r>
            <w:r w:rsidR="00DA6877" w:rsidRPr="00A02DD8">
              <w:t xml:space="preserve"> un 35.</w:t>
            </w:r>
            <w:r w:rsidR="00DA6877" w:rsidRPr="00A02DD8">
              <w:rPr>
                <w:vertAlign w:val="superscript"/>
              </w:rPr>
              <w:t>4</w:t>
            </w:r>
            <w:r w:rsidR="00DA6877" w:rsidRPr="00A02DD8">
              <w:t xml:space="preserve"> punkta nosacījumus, atbildīgā iestāde izstrādā publiskā finansējuma uzraudzības un atgūšanas mehānismu, kuru sadarbības iestāde piemēro infrastruktūras amortizācijas periodā, ja konstatē, ka nav ievēroti šo noteikumu 35.</w:t>
            </w:r>
            <w:r w:rsidR="00DA6877" w:rsidRPr="00A02DD8">
              <w:rPr>
                <w:vertAlign w:val="superscript"/>
              </w:rPr>
              <w:t>1</w:t>
            </w:r>
            <w:r w:rsidR="00DA6877" w:rsidRPr="00A02DD8">
              <w:t> punktā minētie nosacījumi</w:t>
            </w:r>
            <w:r w:rsidRPr="00A02DD8">
              <w:t>.</w:t>
            </w:r>
          </w:p>
        </w:tc>
      </w:tr>
      <w:tr w:rsidR="007E0DD5" w:rsidRPr="00A02DD8" w14:paraId="388835C6" w14:textId="77777777" w:rsidTr="007E0DD5">
        <w:trPr>
          <w:gridAfter w:val="1"/>
          <w:wAfter w:w="102" w:type="dxa"/>
          <w:trHeight w:val="274"/>
        </w:trPr>
        <w:tc>
          <w:tcPr>
            <w:tcW w:w="644" w:type="dxa"/>
            <w:shd w:val="clear" w:color="auto" w:fill="FFFFFF" w:themeFill="background1"/>
          </w:tcPr>
          <w:p w14:paraId="330318BF" w14:textId="77777777" w:rsidR="007E0DD5" w:rsidRPr="00A02DD8" w:rsidRDefault="007E0DD5" w:rsidP="007E0DD5">
            <w:pPr>
              <w:numPr>
                <w:ilvl w:val="0"/>
                <w:numId w:val="1"/>
              </w:numPr>
              <w:tabs>
                <w:tab w:val="center" w:pos="284"/>
              </w:tabs>
              <w:spacing w:before="60" w:after="60"/>
              <w:ind w:left="0" w:firstLine="0"/>
            </w:pPr>
          </w:p>
        </w:tc>
        <w:tc>
          <w:tcPr>
            <w:tcW w:w="3467" w:type="dxa"/>
            <w:vMerge w:val="restart"/>
            <w:shd w:val="clear" w:color="auto" w:fill="auto"/>
          </w:tcPr>
          <w:p w14:paraId="35135608" w14:textId="77777777" w:rsidR="007E0DD5" w:rsidRPr="00A02DD8" w:rsidRDefault="007E0DD5" w:rsidP="007E0DD5">
            <w:pPr>
              <w:spacing w:before="60" w:after="60"/>
              <w:jc w:val="both"/>
            </w:pPr>
            <w:r w:rsidRPr="00A02DD8">
              <w:t>35.</w:t>
            </w:r>
            <w:r w:rsidRPr="00A02DD8">
              <w:rPr>
                <w:vertAlign w:val="superscript"/>
              </w:rPr>
              <w:t>5</w:t>
            </w:r>
            <w:r w:rsidRPr="00A02DD8">
              <w:t> Lai ievērotu šo noteikumu 35.</w:t>
            </w:r>
            <w:r w:rsidRPr="00A02DD8">
              <w:rPr>
                <w:vertAlign w:val="superscript"/>
              </w:rPr>
              <w:t>1</w:t>
            </w:r>
            <w:r w:rsidRPr="00A02DD8">
              <w:t xml:space="preserve"> un 35.</w:t>
            </w:r>
            <w:r w:rsidRPr="00A02DD8">
              <w:rPr>
                <w:vertAlign w:val="superscript"/>
              </w:rPr>
              <w:t>4</w:t>
            </w:r>
            <w:r w:rsidRPr="00A02DD8">
              <w:t xml:space="preserve"> punkta nosacījumus, atbildīgā iestāde izstrādā publiskā finansējuma uzraudzības un atgūšanas mehānismu, kuru sadarbības iestāde piemēro infrastruktūras amortizācijas periodā, ja konstatē, ka nav ievēroti šo noteikumu 35.</w:t>
            </w:r>
            <w:r w:rsidRPr="00A02DD8">
              <w:rPr>
                <w:vertAlign w:val="superscript"/>
              </w:rPr>
              <w:t>1</w:t>
            </w:r>
            <w:r w:rsidRPr="00A02DD8">
              <w:t> punktā minētie nosacījumi.</w:t>
            </w:r>
          </w:p>
          <w:p w14:paraId="41D83D69" w14:textId="77777777" w:rsidR="007E0DD5" w:rsidRPr="00A02DD8" w:rsidRDefault="007E0DD5" w:rsidP="007E0DD5">
            <w:pPr>
              <w:tabs>
                <w:tab w:val="left" w:pos="1276"/>
              </w:tabs>
              <w:spacing w:before="60" w:after="60"/>
              <w:jc w:val="both"/>
            </w:pPr>
            <w:r w:rsidRPr="00A02DD8">
              <w:t>35.</w:t>
            </w:r>
            <w:r w:rsidRPr="00A02DD8">
              <w:rPr>
                <w:vertAlign w:val="superscript"/>
              </w:rPr>
              <w:t>6</w:t>
            </w:r>
            <w:r w:rsidRPr="00A02DD8">
              <w:t xml:space="preserve"> Finansējuma saņēmējs un sadarbības partneris var nodrošināt piekļuvi projekta ietvaros modernizētai infrastruktūrai, ja augstākās izglītības institūcijas pamatdarbības ietvaros sniegto </w:t>
            </w:r>
            <w:r w:rsidRPr="00A02DD8">
              <w:lastRenderedPageBreak/>
              <w:t xml:space="preserve">izglītības pakalpojumu izmaksas vairāk par 50 procentiem sedz no publiskiem finanšu resursiem </w:t>
            </w:r>
            <w:r>
              <w:t xml:space="preserve">un </w:t>
            </w:r>
            <w:r w:rsidRPr="00A02DD8">
              <w:t>tiek ievēroti šādi nosacījumi:</w:t>
            </w:r>
          </w:p>
          <w:p w14:paraId="1FB8AA15" w14:textId="77777777" w:rsidR="007E0DD5" w:rsidRPr="00A02DD8" w:rsidRDefault="007E0DD5" w:rsidP="007E0DD5">
            <w:pPr>
              <w:tabs>
                <w:tab w:val="left" w:pos="1276"/>
              </w:tabs>
              <w:spacing w:before="60" w:after="60"/>
              <w:jc w:val="both"/>
            </w:pPr>
            <w:r w:rsidRPr="00A02DD8">
              <w:t>35.</w:t>
            </w:r>
            <w:r w:rsidRPr="00A02DD8">
              <w:rPr>
                <w:vertAlign w:val="superscript"/>
              </w:rPr>
              <w:t>6</w:t>
            </w:r>
            <w:r w:rsidRPr="00A02DD8">
              <w:t> </w:t>
            </w:r>
            <w:r>
              <w:t>1</w:t>
            </w:r>
            <w:r w:rsidRPr="00A02DD8">
              <w:t>. nomas pakalpojumu sniedz par pašizmaksu, neietverot to nolietojuma izmaksu daļu, kas tiek segta no publiskā finansējuma, un neiekļaujot uzcenojumu, ja infrastruktūras lietotājs (trešā puse) infrastruktūru izmanto valsts izglītības sistēmas ietvaros ar saimniecisku darbību nesaistītas pamatdarbības veikšanai;</w:t>
            </w:r>
          </w:p>
          <w:p w14:paraId="0A619F4E" w14:textId="77777777" w:rsidR="007E0DD5" w:rsidRPr="00A02DD8" w:rsidRDefault="007E0DD5" w:rsidP="007E0DD5">
            <w:pPr>
              <w:tabs>
                <w:tab w:val="left" w:pos="1276"/>
              </w:tabs>
              <w:spacing w:before="60" w:after="60"/>
              <w:jc w:val="both"/>
            </w:pPr>
            <w:r w:rsidRPr="00A02DD8">
              <w:t>35.</w:t>
            </w:r>
            <w:r w:rsidRPr="00A02DD8">
              <w:rPr>
                <w:vertAlign w:val="superscript"/>
              </w:rPr>
              <w:t>6</w:t>
            </w:r>
            <w:r w:rsidRPr="00A02DD8">
              <w:t> </w:t>
            </w:r>
            <w:r>
              <w:t>2</w:t>
            </w:r>
            <w:r w:rsidRPr="00A02DD8">
              <w:t>. nomas pakalpojumu sniedz par tirgus cenu, ja infrastruktūras lietotājs (trešā puse) infrastruktūru izmanto saimnieciskās darbības veikšanai.</w:t>
            </w:r>
          </w:p>
          <w:p w14:paraId="5E29253D" w14:textId="77777777" w:rsidR="007E0DD5" w:rsidRPr="00A02DD8" w:rsidRDefault="007E0DD5" w:rsidP="007E0DD5">
            <w:pPr>
              <w:tabs>
                <w:tab w:val="left" w:pos="1276"/>
              </w:tabs>
              <w:spacing w:before="60" w:after="60"/>
              <w:jc w:val="both"/>
            </w:pPr>
          </w:p>
          <w:p w14:paraId="6B866DF3" w14:textId="77777777" w:rsidR="007E0DD5" w:rsidRPr="00A02DD8" w:rsidRDefault="007E0DD5" w:rsidP="007E0DD5">
            <w:pPr>
              <w:tabs>
                <w:tab w:val="left" w:pos="1276"/>
              </w:tabs>
              <w:spacing w:before="60" w:after="60"/>
              <w:jc w:val="both"/>
            </w:pPr>
            <w:r w:rsidRPr="00A02DD8">
              <w:t>35.</w:t>
            </w:r>
            <w:r w:rsidRPr="00A02DD8">
              <w:rPr>
                <w:vertAlign w:val="superscript"/>
              </w:rPr>
              <w:t>7</w:t>
            </w:r>
            <w:r w:rsidRPr="00A02DD8">
              <w:t xml:space="preserve"> Šo noteikumu 35.</w:t>
            </w:r>
            <w:r w:rsidRPr="00A02DD8">
              <w:rPr>
                <w:vertAlign w:val="superscript"/>
              </w:rPr>
              <w:t>6 </w:t>
            </w:r>
            <w:r w:rsidRPr="00A02DD8">
              <w:t>2. apakšpunktā minēto tirgus cenu nosaka, ievērojot tirgus nosacījumus. Ja tirgus cena nav nosakāma, finansējuma saņēmējs sniedz savu pakalpojumu par tādu cenu, kas atbilst vismaz vienam no šādiem nosacījumiem:</w:t>
            </w:r>
          </w:p>
          <w:p w14:paraId="1F34E67C" w14:textId="77777777" w:rsidR="007E0DD5" w:rsidRPr="00A02DD8" w:rsidRDefault="007E0DD5" w:rsidP="007E0DD5">
            <w:pPr>
              <w:tabs>
                <w:tab w:val="left" w:pos="1276"/>
              </w:tabs>
              <w:spacing w:before="60" w:after="60"/>
              <w:jc w:val="both"/>
            </w:pPr>
            <w:r w:rsidRPr="00A02DD8">
              <w:lastRenderedPageBreak/>
              <w:t>35.</w:t>
            </w:r>
            <w:r w:rsidRPr="00A02DD8">
              <w:rPr>
                <w:vertAlign w:val="superscript"/>
              </w:rPr>
              <w:t>7 </w:t>
            </w:r>
            <w:r w:rsidRPr="00A02DD8">
              <w:t>1. cena ietver pilnas pakalpojuma izmaksas un uzcenojumu, kas noteikts, pamatojoties uz tādiem uzcenojumiem, ko piemēro saimnieciskās darbības veicēji, kuri darbojas attiecīgajā pakalpojuma nozarē;</w:t>
            </w:r>
          </w:p>
          <w:p w14:paraId="18D921F1" w14:textId="4B7AE967" w:rsidR="007E0DD5" w:rsidRPr="00A02DD8" w:rsidRDefault="007E0DD5" w:rsidP="007E0DD5">
            <w:pPr>
              <w:jc w:val="both"/>
            </w:pPr>
            <w:r w:rsidRPr="00A02DD8">
              <w:t>35.</w:t>
            </w:r>
            <w:r w:rsidRPr="00A02DD8">
              <w:rPr>
                <w:vertAlign w:val="superscript"/>
              </w:rPr>
              <w:t>7</w:t>
            </w:r>
            <w:r w:rsidRPr="00A02DD8">
              <w:t xml:space="preserve"> 2. cena ir godīgas konkurences sarunu rezultāts, lai iegūtu maksimālo saimniecisko labumu brīdī, kad tiek noslēgts līgums, un tā sedz vismaz </w:t>
            </w:r>
            <w:proofErr w:type="spellStart"/>
            <w:r w:rsidRPr="00A02DD8">
              <w:t>robežizmaksas</w:t>
            </w:r>
            <w:proofErr w:type="spellEnd"/>
            <w:r w:rsidRPr="00A02DD8">
              <w:t>.</w:t>
            </w:r>
          </w:p>
        </w:tc>
        <w:tc>
          <w:tcPr>
            <w:tcW w:w="3827" w:type="dxa"/>
            <w:shd w:val="clear" w:color="auto" w:fill="auto"/>
          </w:tcPr>
          <w:p w14:paraId="5F9F7610" w14:textId="77777777" w:rsidR="007E0DD5" w:rsidRPr="00A02DD8" w:rsidRDefault="007E0DD5" w:rsidP="007E0DD5">
            <w:pPr>
              <w:spacing w:before="60" w:after="60"/>
              <w:contextualSpacing/>
              <w:jc w:val="both"/>
              <w:rPr>
                <w:b/>
              </w:rPr>
            </w:pPr>
            <w:r w:rsidRPr="00A02DD8">
              <w:rPr>
                <w:b/>
              </w:rPr>
              <w:lastRenderedPageBreak/>
              <w:t>FM 17.09.2020. izteiktais iebildums</w:t>
            </w:r>
          </w:p>
          <w:p w14:paraId="13ED45A7" w14:textId="4829012C" w:rsidR="007E0DD5" w:rsidRPr="00A02DD8" w:rsidRDefault="007E0DD5" w:rsidP="007E0DD5">
            <w:pPr>
              <w:contextualSpacing/>
              <w:jc w:val="both"/>
            </w:pPr>
            <w:r w:rsidRPr="00A02DD8">
              <w:t>Vēršam uzmanību, ka publiskā finansējuma uzraudzības un atgūšanas mehānisms ir jāizstrādā, lai varētu nodrošināt korektu ierobežotas jomas darbību uzraudzību. Attiecīgi aicinām noteikumu projekta 2.punktā ietvertajā 35.</w:t>
            </w:r>
            <w:r w:rsidRPr="00A02DD8">
              <w:rPr>
                <w:vertAlign w:val="superscript"/>
              </w:rPr>
              <w:t>5</w:t>
            </w:r>
            <w:r w:rsidRPr="00A02DD8">
              <w:t xml:space="preserve"> punktā vārdu “ievērojot” aizstāt ar vārdiem “lai ievērotu”. Vienlaikus lūdzam ņemt vērā, ka sniegtais atbalsts būtu atgūstams arī tad, ja netiek ievērots noteikumu projekta 1.punktā ietvertajā 35.</w:t>
            </w:r>
            <w:r w:rsidRPr="00A02DD8">
              <w:rPr>
                <w:vertAlign w:val="superscript"/>
              </w:rPr>
              <w:t>1 </w:t>
            </w:r>
            <w:r w:rsidRPr="00A02DD8">
              <w:t>1. un 35.</w:t>
            </w:r>
            <w:r w:rsidRPr="00A02DD8">
              <w:rPr>
                <w:vertAlign w:val="superscript"/>
              </w:rPr>
              <w:t>1 </w:t>
            </w:r>
            <w:r w:rsidRPr="00A02DD8">
              <w:t xml:space="preserve">2.apakšpunktā noteiktais. </w:t>
            </w:r>
          </w:p>
          <w:p w14:paraId="5CF7EA20" w14:textId="63CA4F9C" w:rsidR="007E0DD5" w:rsidRPr="00A02DD8" w:rsidRDefault="007E0DD5" w:rsidP="007E0DD5">
            <w:pPr>
              <w:spacing w:before="60" w:after="60"/>
              <w:contextualSpacing/>
              <w:jc w:val="both"/>
            </w:pPr>
          </w:p>
        </w:tc>
        <w:tc>
          <w:tcPr>
            <w:tcW w:w="2787" w:type="dxa"/>
            <w:shd w:val="clear" w:color="auto" w:fill="auto"/>
          </w:tcPr>
          <w:p w14:paraId="4B78A27C" w14:textId="77777777" w:rsidR="007E0DD5" w:rsidRPr="00A02DD8" w:rsidRDefault="007E0DD5" w:rsidP="007E0DD5">
            <w:pPr>
              <w:spacing w:before="60" w:after="60"/>
              <w:jc w:val="both"/>
              <w:rPr>
                <w:b/>
              </w:rPr>
            </w:pPr>
            <w:r w:rsidRPr="00A02DD8">
              <w:rPr>
                <w:b/>
              </w:rPr>
              <w:t>Ņemts vērā.</w:t>
            </w:r>
          </w:p>
          <w:p w14:paraId="2DDDA3B8" w14:textId="77777777" w:rsidR="007E0DD5" w:rsidRPr="00A02DD8" w:rsidRDefault="007E0DD5" w:rsidP="007E0DD5">
            <w:pPr>
              <w:spacing w:before="60" w:after="60"/>
              <w:jc w:val="both"/>
              <w:rPr>
                <w:b/>
              </w:rPr>
            </w:pPr>
          </w:p>
        </w:tc>
        <w:tc>
          <w:tcPr>
            <w:tcW w:w="4039" w:type="dxa"/>
            <w:vMerge w:val="restart"/>
            <w:shd w:val="clear" w:color="auto" w:fill="auto"/>
          </w:tcPr>
          <w:p w14:paraId="3F5128E9" w14:textId="77777777" w:rsidR="007E0DD5" w:rsidRPr="00A02DD8" w:rsidRDefault="007E0DD5" w:rsidP="007E0DD5">
            <w:pPr>
              <w:spacing w:before="60" w:after="60"/>
              <w:jc w:val="both"/>
            </w:pPr>
            <w:r w:rsidRPr="00A02DD8">
              <w:t>35.</w:t>
            </w:r>
            <w:r w:rsidRPr="00A02DD8">
              <w:rPr>
                <w:vertAlign w:val="superscript"/>
              </w:rPr>
              <w:t>5</w:t>
            </w:r>
            <w:r w:rsidRPr="00A02DD8">
              <w:t> Lai ievērotu šo noteikumu 35.</w:t>
            </w:r>
            <w:r w:rsidRPr="00A02DD8">
              <w:rPr>
                <w:vertAlign w:val="superscript"/>
              </w:rPr>
              <w:t>1</w:t>
            </w:r>
            <w:r w:rsidRPr="00A02DD8">
              <w:t xml:space="preserve"> un 35.</w:t>
            </w:r>
            <w:r w:rsidRPr="00A02DD8">
              <w:rPr>
                <w:vertAlign w:val="superscript"/>
              </w:rPr>
              <w:t>4</w:t>
            </w:r>
            <w:r w:rsidRPr="00A02DD8">
              <w:t xml:space="preserve"> punkta nosacījumus, atbildīgā iestāde izstrādā publiskā finansējuma uzraudzības un atgūšanas mehānismu, kuru sadarbības iestāde piemēro infrastruktūras amortizācijas periodā, ja konstatē, ka nav ievēroti šo noteikumu 35.</w:t>
            </w:r>
            <w:r w:rsidRPr="00A02DD8">
              <w:rPr>
                <w:vertAlign w:val="superscript"/>
              </w:rPr>
              <w:t>1</w:t>
            </w:r>
            <w:r w:rsidRPr="00A02DD8">
              <w:t> punktā minētie nosacījumi.</w:t>
            </w:r>
          </w:p>
          <w:p w14:paraId="279B3721" w14:textId="640C31EB" w:rsidR="007E0DD5" w:rsidRPr="00A02DD8" w:rsidRDefault="007E0DD5" w:rsidP="007E0DD5">
            <w:pPr>
              <w:tabs>
                <w:tab w:val="left" w:pos="1276"/>
              </w:tabs>
              <w:spacing w:before="60" w:after="60"/>
              <w:jc w:val="both"/>
            </w:pPr>
            <w:r w:rsidRPr="00A02DD8">
              <w:t>35.</w:t>
            </w:r>
            <w:r w:rsidRPr="00A02DD8">
              <w:rPr>
                <w:vertAlign w:val="superscript"/>
              </w:rPr>
              <w:t>6</w:t>
            </w:r>
            <w:r w:rsidRPr="00A02DD8">
              <w:t xml:space="preserve"> </w:t>
            </w:r>
            <w:r w:rsidR="0087169B" w:rsidRPr="0087169B">
              <w:t>Finansējuma saņēmējs un sadarbības partneris var nodrošināt piekļuvi projekta ietvaros modernizētai infrastruktūrai, ja institūcija īsteno šo noteikumu 35.</w:t>
            </w:r>
            <w:r w:rsidR="0087169B" w:rsidRPr="0087169B">
              <w:rPr>
                <w:vertAlign w:val="superscript"/>
              </w:rPr>
              <w:t>1 </w:t>
            </w:r>
            <w:r w:rsidR="0087169B" w:rsidRPr="0087169B">
              <w:t>1. apakšpunktā minētās darbības un tiek ievērots viens no šādiem nosacījumiem</w:t>
            </w:r>
            <w:r w:rsidRPr="00A02DD8">
              <w:t>:</w:t>
            </w:r>
          </w:p>
          <w:p w14:paraId="4E5B4365" w14:textId="7A9C408F" w:rsidR="007E0DD5" w:rsidRPr="00A02DD8" w:rsidRDefault="007E0DD5" w:rsidP="007E0DD5">
            <w:pPr>
              <w:tabs>
                <w:tab w:val="left" w:pos="1276"/>
              </w:tabs>
              <w:spacing w:before="60" w:after="60"/>
              <w:jc w:val="both"/>
            </w:pPr>
            <w:r w:rsidRPr="00A02DD8">
              <w:lastRenderedPageBreak/>
              <w:t>35.</w:t>
            </w:r>
            <w:r w:rsidRPr="00A02DD8">
              <w:rPr>
                <w:vertAlign w:val="superscript"/>
              </w:rPr>
              <w:t>6</w:t>
            </w:r>
            <w:r w:rsidRPr="00A02DD8">
              <w:t> </w:t>
            </w:r>
            <w:r>
              <w:t>1</w:t>
            </w:r>
            <w:r w:rsidRPr="00A02DD8">
              <w:t>. nomas pakalpojumu sniedz par pašizmaksu, neietverot to nolietojuma izmaksu daļu, kas tiek segta no publiskā finansējuma, un neiekļaujot uzcenojumu, ja infrastruktūras lietotājs (trešā puse) infrastruktūru izmanto valsts izglītības sistēmas ietvaros ar saimniecisku darbību nesaistītas pamatdarbības veikšanai;</w:t>
            </w:r>
          </w:p>
          <w:p w14:paraId="1E35503C" w14:textId="705B9C91" w:rsidR="007E0DD5" w:rsidRPr="00A02DD8" w:rsidRDefault="007E0DD5" w:rsidP="007E0DD5">
            <w:pPr>
              <w:tabs>
                <w:tab w:val="left" w:pos="1276"/>
              </w:tabs>
              <w:spacing w:before="60" w:after="60"/>
              <w:jc w:val="both"/>
            </w:pPr>
            <w:r w:rsidRPr="00A02DD8">
              <w:t>35.</w:t>
            </w:r>
            <w:r w:rsidRPr="00A02DD8">
              <w:rPr>
                <w:vertAlign w:val="superscript"/>
              </w:rPr>
              <w:t>6</w:t>
            </w:r>
            <w:r w:rsidRPr="00A02DD8">
              <w:t> </w:t>
            </w:r>
            <w:r>
              <w:t>2</w:t>
            </w:r>
            <w:r w:rsidRPr="00A02DD8">
              <w:t>. nomas pakalpojumu sniedz par tirgus cenu, ja infrastruktūras lietotājs (trešā puse) infrastruktūru izmanto saimnieciskās darbības veikšanai.</w:t>
            </w:r>
          </w:p>
          <w:p w14:paraId="7E53DFC4" w14:textId="77777777" w:rsidR="007E0DD5" w:rsidRPr="00A02DD8" w:rsidRDefault="007E0DD5" w:rsidP="007E0DD5">
            <w:pPr>
              <w:tabs>
                <w:tab w:val="left" w:pos="1276"/>
              </w:tabs>
              <w:spacing w:before="60" w:after="60"/>
              <w:jc w:val="both"/>
            </w:pPr>
          </w:p>
          <w:p w14:paraId="72BC5777" w14:textId="77777777" w:rsidR="007E0DD5" w:rsidRPr="00A02DD8" w:rsidRDefault="007E0DD5" w:rsidP="007E0DD5">
            <w:pPr>
              <w:tabs>
                <w:tab w:val="left" w:pos="1276"/>
              </w:tabs>
              <w:spacing w:before="60" w:after="60"/>
              <w:jc w:val="both"/>
            </w:pPr>
            <w:r w:rsidRPr="00A02DD8">
              <w:t>35.</w:t>
            </w:r>
            <w:r w:rsidRPr="00A02DD8">
              <w:rPr>
                <w:vertAlign w:val="superscript"/>
              </w:rPr>
              <w:t>7</w:t>
            </w:r>
            <w:r w:rsidRPr="00A02DD8">
              <w:t xml:space="preserve"> Šo noteikumu 35.</w:t>
            </w:r>
            <w:r w:rsidRPr="00A02DD8">
              <w:rPr>
                <w:vertAlign w:val="superscript"/>
              </w:rPr>
              <w:t>6 </w:t>
            </w:r>
            <w:r w:rsidRPr="00A02DD8">
              <w:t>2. apakšpunktā minēto tirgus cenu nosaka, ievērojot tirgus nosacījumus. Ja tirgus cena nav nosakāma, finansējuma saņēmējs sniedz savu pakalpojumu par tādu cenu, kas atbilst vismaz vienam no šādiem nosacījumiem:</w:t>
            </w:r>
          </w:p>
          <w:p w14:paraId="3E745469" w14:textId="77777777" w:rsidR="007E0DD5" w:rsidRPr="00A02DD8" w:rsidRDefault="007E0DD5" w:rsidP="007E0DD5">
            <w:pPr>
              <w:tabs>
                <w:tab w:val="left" w:pos="1276"/>
              </w:tabs>
              <w:spacing w:before="60" w:after="60"/>
              <w:jc w:val="both"/>
            </w:pPr>
            <w:r w:rsidRPr="00A02DD8">
              <w:t>35.</w:t>
            </w:r>
            <w:r w:rsidRPr="00A02DD8">
              <w:rPr>
                <w:vertAlign w:val="superscript"/>
              </w:rPr>
              <w:t>7 </w:t>
            </w:r>
            <w:r w:rsidRPr="00A02DD8">
              <w:t>1. cena ietver pilnas pakalpojuma izmaksas un uzcenojumu, kas noteikts, pamatojoties uz tādiem uzcenojumiem, ko piemēro saimnieciskās darbības veicēji, kuri darbojas attiecīgajā pakalpojuma nozarē;</w:t>
            </w:r>
          </w:p>
          <w:p w14:paraId="2ADE985F" w14:textId="0FD71471" w:rsidR="007E0DD5" w:rsidRPr="00A02DD8" w:rsidRDefault="007E0DD5" w:rsidP="007E0DD5">
            <w:pPr>
              <w:spacing w:before="60" w:after="60"/>
              <w:jc w:val="both"/>
            </w:pPr>
            <w:r w:rsidRPr="00A02DD8">
              <w:t>35.</w:t>
            </w:r>
            <w:r w:rsidRPr="00A02DD8">
              <w:rPr>
                <w:vertAlign w:val="superscript"/>
              </w:rPr>
              <w:t>7</w:t>
            </w:r>
            <w:r w:rsidRPr="00A02DD8">
              <w:t xml:space="preserve"> 2. cena ir godīgas konkurences sarunu rezultāts, lai iegūtu maksimālo saimniecisko labumu brīdī, kad tiek </w:t>
            </w:r>
            <w:r w:rsidRPr="00A02DD8">
              <w:lastRenderedPageBreak/>
              <w:t xml:space="preserve">noslēgts līgums, un tā sedz vismaz </w:t>
            </w:r>
            <w:proofErr w:type="spellStart"/>
            <w:r w:rsidRPr="00A02DD8">
              <w:t>robežizmaksas</w:t>
            </w:r>
            <w:proofErr w:type="spellEnd"/>
            <w:r w:rsidRPr="00A02DD8">
              <w:t>.</w:t>
            </w:r>
          </w:p>
        </w:tc>
      </w:tr>
      <w:tr w:rsidR="007E0DD5" w:rsidRPr="00A02DD8" w14:paraId="671EE0CC" w14:textId="77777777" w:rsidTr="007E0DD5">
        <w:trPr>
          <w:gridAfter w:val="1"/>
          <w:wAfter w:w="102" w:type="dxa"/>
          <w:trHeight w:val="274"/>
        </w:trPr>
        <w:tc>
          <w:tcPr>
            <w:tcW w:w="644" w:type="dxa"/>
            <w:shd w:val="clear" w:color="auto" w:fill="FFFFFF" w:themeFill="background1"/>
          </w:tcPr>
          <w:p w14:paraId="1681D3CE" w14:textId="77777777" w:rsidR="007E0DD5" w:rsidRPr="00A02DD8" w:rsidRDefault="007E0DD5" w:rsidP="00A02DD8">
            <w:pPr>
              <w:numPr>
                <w:ilvl w:val="0"/>
                <w:numId w:val="1"/>
              </w:numPr>
              <w:tabs>
                <w:tab w:val="center" w:pos="284"/>
              </w:tabs>
              <w:spacing w:before="60" w:after="60"/>
              <w:ind w:left="0" w:firstLine="0"/>
            </w:pPr>
          </w:p>
        </w:tc>
        <w:tc>
          <w:tcPr>
            <w:tcW w:w="3467" w:type="dxa"/>
            <w:vMerge/>
            <w:shd w:val="clear" w:color="auto" w:fill="auto"/>
          </w:tcPr>
          <w:p w14:paraId="0DA754E4" w14:textId="3EB1525D" w:rsidR="007E0DD5" w:rsidRPr="00A02DD8" w:rsidRDefault="007E0DD5" w:rsidP="00A02DD8">
            <w:pPr>
              <w:jc w:val="both"/>
              <w:rPr>
                <w:color w:val="000000"/>
              </w:rPr>
            </w:pPr>
          </w:p>
        </w:tc>
        <w:tc>
          <w:tcPr>
            <w:tcW w:w="3827" w:type="dxa"/>
            <w:shd w:val="clear" w:color="auto" w:fill="auto"/>
          </w:tcPr>
          <w:p w14:paraId="5AFAA67B" w14:textId="77777777" w:rsidR="007E0DD5" w:rsidRPr="00A02DD8" w:rsidRDefault="007E0DD5" w:rsidP="00A02DD8">
            <w:pPr>
              <w:jc w:val="both"/>
              <w:rPr>
                <w:b/>
              </w:rPr>
            </w:pPr>
            <w:r w:rsidRPr="00A02DD8">
              <w:rPr>
                <w:b/>
              </w:rPr>
              <w:t>Finanšu ministrija (FM)</w:t>
            </w:r>
          </w:p>
          <w:p w14:paraId="67705424" w14:textId="4CABC5AC" w:rsidR="007E0DD5" w:rsidRPr="00A02DD8" w:rsidRDefault="007E0DD5" w:rsidP="00F7473A">
            <w:pPr>
              <w:spacing w:before="60" w:after="60"/>
              <w:contextualSpacing/>
              <w:jc w:val="both"/>
              <w:rPr>
                <w:b/>
              </w:rPr>
            </w:pPr>
            <w:r w:rsidRPr="00A02DD8">
              <w:lastRenderedPageBreak/>
              <w:t xml:space="preserve">Ievērojot to, ka MK noteikumu Nr.561 </w:t>
            </w:r>
            <w:bookmarkStart w:id="3" w:name="_GoBack"/>
            <w:bookmarkEnd w:id="3"/>
            <w:r w:rsidRPr="00A02DD8">
              <w:t>2.punktā kā 8.1.1.SAM  mērķis ir minēts palielināt modernizēto STEM studiju programmu skaitu, nav skaidra nepieciešamība šobrīd grozīt MK noteikumu Nr.561 35.</w:t>
            </w:r>
            <w:r w:rsidRPr="00A02DD8">
              <w:rPr>
                <w:vertAlign w:val="superscript"/>
              </w:rPr>
              <w:t>1</w:t>
            </w:r>
            <w:r w:rsidRPr="00A02DD8">
              <w:t xml:space="preserve"> punktu, kā tas šobrīd paredzēts noteikumu projekta 1.punktā. Vēršam uzmanību, ka jau šobrīd MK noteikumu Nr.561 35.</w:t>
            </w:r>
            <w:r w:rsidRPr="00A02DD8">
              <w:rPr>
                <w:vertAlign w:val="superscript"/>
              </w:rPr>
              <w:t>1</w:t>
            </w:r>
            <w:r w:rsidRPr="00A02DD8">
              <w:t xml:space="preserve"> punktā ir paredzēta papildinošas saimnieciskās darbības piemērošanas iespēja, attiecīgi, lai viennozīmīgi būtu skaidra papildinošas saimnieciskās darbības uzraudzības kārtība, tai skaitā noteikts, kas veic uzraudzību un uzraudzības periods, MK noteikumi Nr.561 būtu papildināmi ar normām, kas nosaka atbildīgo/</w:t>
            </w:r>
            <w:proofErr w:type="spellStart"/>
            <w:r w:rsidRPr="00A02DD8">
              <w:t>ās</w:t>
            </w:r>
            <w:proofErr w:type="spellEnd"/>
            <w:r w:rsidRPr="00A02DD8">
              <w:t xml:space="preserve"> iestādi/es par projektu uzraudzību projekta pārskata periodā (projekta dzīves ciklā). Papildus ņemot vērā esošo 8.1.1.SAM mērķi, kas ir saistīts ar augstākās izglītības nodrošināšanu, nevis pētniecības darbību veikšanu, nav saprotama noteikumu projektā, kā arī anotācijā ietvertā sasaiste ar komercdarbības atbalsta nosacījumiem, kas ir attiecināmi uz pētniecības darbībām, t.sk., noteikumu projekta 2.punktā iekļauto 35.</w:t>
            </w:r>
            <w:r w:rsidRPr="00A02DD8">
              <w:rPr>
                <w:vertAlign w:val="superscript"/>
              </w:rPr>
              <w:t>6</w:t>
            </w:r>
            <w:r w:rsidRPr="00A02DD8">
              <w:t xml:space="preserve"> un 35.</w:t>
            </w:r>
            <w:r w:rsidRPr="00A02DD8">
              <w:rPr>
                <w:vertAlign w:val="superscript"/>
              </w:rPr>
              <w:t>7</w:t>
            </w:r>
            <w:r w:rsidRPr="00A02DD8">
              <w:t xml:space="preserve"> punktu </w:t>
            </w:r>
            <w:r w:rsidRPr="00A02DD8">
              <w:lastRenderedPageBreak/>
              <w:t>nepieciešamība. Lūdzam attiecīgi pārskatīt noteikumu projektu un anotācijā ietvertos skaidrojumus.</w:t>
            </w:r>
          </w:p>
        </w:tc>
        <w:tc>
          <w:tcPr>
            <w:tcW w:w="2787" w:type="dxa"/>
            <w:shd w:val="clear" w:color="auto" w:fill="auto"/>
          </w:tcPr>
          <w:p w14:paraId="723A4550" w14:textId="77777777" w:rsidR="007E0DD5" w:rsidRPr="00A02DD8" w:rsidRDefault="007E0DD5" w:rsidP="00A02DD8">
            <w:pPr>
              <w:spacing w:before="60" w:after="60"/>
              <w:jc w:val="both"/>
              <w:rPr>
                <w:b/>
              </w:rPr>
            </w:pPr>
            <w:r w:rsidRPr="00A02DD8">
              <w:rPr>
                <w:b/>
              </w:rPr>
              <w:lastRenderedPageBreak/>
              <w:t>Ņemts vērā.</w:t>
            </w:r>
          </w:p>
          <w:p w14:paraId="4081EFD8" w14:textId="525254B5" w:rsidR="007E0DD5" w:rsidRPr="00A02DD8" w:rsidRDefault="007E0DD5" w:rsidP="00A02DD8">
            <w:pPr>
              <w:spacing w:before="60" w:after="60"/>
              <w:jc w:val="both"/>
            </w:pPr>
            <w:r w:rsidRPr="00A02DD8">
              <w:lastRenderedPageBreak/>
              <w:t>Precizēti noteikumu projektā iekļautie nosacījumi un anotācijā sniegtā informācija, izslēdzot atsauces uz pētniecības organizāciju.</w:t>
            </w:r>
          </w:p>
          <w:p w14:paraId="5B58D473" w14:textId="53DB0CF5" w:rsidR="007E0DD5" w:rsidRPr="00A02DD8" w:rsidRDefault="007E0DD5" w:rsidP="00A02DD8">
            <w:pPr>
              <w:spacing w:before="60" w:after="60"/>
              <w:jc w:val="both"/>
              <w:rPr>
                <w:b/>
              </w:rPr>
            </w:pPr>
            <w:r w:rsidRPr="00A02DD8">
              <w:t>Skaidrojam, ka MK noteikumu projekta 35.</w:t>
            </w:r>
            <w:r w:rsidRPr="00A02DD8">
              <w:rPr>
                <w:vertAlign w:val="superscript"/>
              </w:rPr>
              <w:t>6</w:t>
            </w:r>
            <w:r w:rsidRPr="00A02DD8">
              <w:t xml:space="preserve"> un 35.</w:t>
            </w:r>
            <w:r w:rsidRPr="00A02DD8">
              <w:rPr>
                <w:vertAlign w:val="superscript"/>
              </w:rPr>
              <w:t>7</w:t>
            </w:r>
            <w:r w:rsidRPr="00A02DD8">
              <w:t xml:space="preserve"> punktā ietvertas normas paredzēts ieviest, lai nodrošinātu racionālu modernizētās augstākās izglītības infrastruktūras izmantošanu atbilstoši nacionālajai tiesību sistēmai</w:t>
            </w:r>
            <w:r w:rsidRPr="00A02DD8">
              <w:rPr>
                <w:rStyle w:val="FootnoteReference"/>
              </w:rPr>
              <w:footnoteReference w:id="2"/>
            </w:r>
            <w:r w:rsidRPr="00A02DD8">
              <w:t>, vienlaikus izslēdzot izglītības pakalpojumu tirgus kropļošanu un nepamatotas priekšrocības saimnieciskās darbības veicējiem.</w:t>
            </w:r>
          </w:p>
        </w:tc>
        <w:tc>
          <w:tcPr>
            <w:tcW w:w="4039" w:type="dxa"/>
            <w:vMerge/>
            <w:shd w:val="clear" w:color="auto" w:fill="auto"/>
          </w:tcPr>
          <w:p w14:paraId="79DB24C7" w14:textId="177D2EF0" w:rsidR="007E0DD5" w:rsidRPr="00A02DD8" w:rsidRDefault="007E0DD5" w:rsidP="00A02DD8">
            <w:pPr>
              <w:spacing w:before="60" w:after="60"/>
              <w:jc w:val="both"/>
            </w:pPr>
          </w:p>
        </w:tc>
      </w:tr>
      <w:tr w:rsidR="007E0DD5" w:rsidRPr="00A02DD8" w14:paraId="4ECE50CA" w14:textId="77777777" w:rsidTr="007E0DD5">
        <w:trPr>
          <w:gridAfter w:val="1"/>
          <w:wAfter w:w="102" w:type="dxa"/>
          <w:trHeight w:val="274"/>
        </w:trPr>
        <w:tc>
          <w:tcPr>
            <w:tcW w:w="644" w:type="dxa"/>
            <w:shd w:val="clear" w:color="auto" w:fill="FFFFFF" w:themeFill="background1"/>
          </w:tcPr>
          <w:p w14:paraId="43098761" w14:textId="77777777" w:rsidR="007E0DD5" w:rsidRPr="00A02DD8" w:rsidRDefault="007E0DD5" w:rsidP="00A02DD8">
            <w:pPr>
              <w:numPr>
                <w:ilvl w:val="0"/>
                <w:numId w:val="1"/>
              </w:numPr>
              <w:tabs>
                <w:tab w:val="center" w:pos="284"/>
              </w:tabs>
              <w:spacing w:before="60" w:after="60"/>
              <w:ind w:left="0" w:firstLine="0"/>
            </w:pPr>
          </w:p>
        </w:tc>
        <w:tc>
          <w:tcPr>
            <w:tcW w:w="3467" w:type="dxa"/>
            <w:vMerge/>
            <w:shd w:val="clear" w:color="auto" w:fill="auto"/>
          </w:tcPr>
          <w:p w14:paraId="5F9B60D0" w14:textId="0F5722E8" w:rsidR="007E0DD5" w:rsidRPr="00A02DD8" w:rsidRDefault="007E0DD5" w:rsidP="00A02DD8">
            <w:pPr>
              <w:spacing w:before="60" w:after="60"/>
              <w:jc w:val="both"/>
            </w:pPr>
          </w:p>
        </w:tc>
        <w:tc>
          <w:tcPr>
            <w:tcW w:w="3827" w:type="dxa"/>
            <w:shd w:val="clear" w:color="auto" w:fill="auto"/>
          </w:tcPr>
          <w:p w14:paraId="61A8D733" w14:textId="38FC0918" w:rsidR="007E0DD5" w:rsidRPr="00A02DD8" w:rsidRDefault="007E0DD5" w:rsidP="00A02DD8">
            <w:pPr>
              <w:spacing w:before="60" w:after="60"/>
              <w:contextualSpacing/>
              <w:jc w:val="both"/>
              <w:rPr>
                <w:b/>
              </w:rPr>
            </w:pPr>
            <w:r w:rsidRPr="00A02DD8">
              <w:rPr>
                <w:b/>
              </w:rPr>
              <w:t>FM 17.09.2020. izteiktais iebildums</w:t>
            </w:r>
          </w:p>
          <w:p w14:paraId="66DDFDD3" w14:textId="1305D429" w:rsidR="007E0DD5" w:rsidRPr="00A02DD8" w:rsidRDefault="007E0DD5" w:rsidP="00A02DD8">
            <w:pPr>
              <w:spacing w:before="60" w:after="60"/>
              <w:contextualSpacing/>
              <w:jc w:val="both"/>
              <w:rPr>
                <w:b/>
              </w:rPr>
            </w:pPr>
            <w:r w:rsidRPr="00A02DD8">
              <w:t>Vēršam uzmanību uz noteikumu projekta 2.punktā izteiktajiem 35.</w:t>
            </w:r>
            <w:r w:rsidRPr="00A02DD8">
              <w:rPr>
                <w:vertAlign w:val="superscript"/>
              </w:rPr>
              <w:t xml:space="preserve">6 </w:t>
            </w:r>
            <w:r w:rsidRPr="00A02DD8">
              <w:t>un 35.</w:t>
            </w:r>
            <w:r w:rsidRPr="00A02DD8">
              <w:rPr>
                <w:vertAlign w:val="superscript"/>
              </w:rPr>
              <w:t>7</w:t>
            </w:r>
            <w:r w:rsidRPr="00A02DD8">
              <w:t xml:space="preserve"> punktiem, anotācijas I sadaļas “Tiesību akta projekta izstrādes nepieciešamība” 1.punktā “Pašreizējā situācija un problēmas, kuru risināšanai tiesību akta projekts izstrādāts, tiesiskā regulējuma mērķis un būtība” (turpmāk – I sadaļas 1.punkts)  (10.lpp) sniegto skaidrojumu, kā arī pavadvēstulē (1.lpp.) minēto. Atkārtoti vēršam uzmanību, ka ar MK noteikumiem Nr.561 ieviestā atbalsta programma nav bijusi izstrādāta atbilstoši pētniecības mērķim saskaņā ar Eiropas Komisijas (turpmāk – EK) (ES OV) 2014.gada 27.jūnija paziņojumu Nr.C198/1 “Nostādnes par valsts atbalstu pētniecībai, izstrādei un inovācijai”, līdz ar to tās ietvaros nav paredzēts sniegt atbalstu pētniecības infrastruktūrai. Papildus attiecībā uz pavadvēstules 2.lpp. minēto, ka “ja jautājums netiks izskatīts iespējami tuvākā laika periodā, netiks nodrošinātas Latvijas Republikas saistības pret ES, kas izriet no EK 2014.gada 17.jūnija Regulas Nr.651/2014, ar kuru </w:t>
            </w:r>
            <w:r w:rsidRPr="00A02DD8">
              <w:lastRenderedPageBreak/>
              <w:t>noteiktas atbalsta kategorijas atzīst par saderīgām ar iekšējo tirgu, piemērojot Līguma 107. un 108.pantu” (turpmāk – regula Nr.651/2014) un attiecīgi anotācijas I sadaļas 1.punktā (7.lpp. pēdējā rindkopa), skaidrojam, ka minētā atbalsta programma neparedz atbalsta sniegšanu saskaņā ar regulu Nr.651/2014, attiecīgi tajā ietvertie nosacījumi nav attiecināmi uz šo atbalsta programmu. Ņemot vērā iepriekš minēto, lūdzam dzēst noteikumu projekta 2.punktā ietverto noteikumu 35.</w:t>
            </w:r>
            <w:r w:rsidRPr="00A02DD8">
              <w:rPr>
                <w:vertAlign w:val="superscript"/>
              </w:rPr>
              <w:t>6</w:t>
            </w:r>
            <w:r w:rsidRPr="00A02DD8">
              <w:t xml:space="preserve"> un 35.</w:t>
            </w:r>
            <w:r w:rsidRPr="00A02DD8">
              <w:rPr>
                <w:vertAlign w:val="superscript"/>
              </w:rPr>
              <w:t>7</w:t>
            </w:r>
            <w:r w:rsidRPr="00A02DD8">
              <w:t xml:space="preserve"> punktu, kā arī attiecīgos skaidrojumus anotācijā</w:t>
            </w:r>
          </w:p>
        </w:tc>
        <w:tc>
          <w:tcPr>
            <w:tcW w:w="2787" w:type="dxa"/>
            <w:shd w:val="clear" w:color="auto" w:fill="auto"/>
          </w:tcPr>
          <w:p w14:paraId="6D5F87ED" w14:textId="6C74759E" w:rsidR="007E0DD5" w:rsidRPr="00A02DD8" w:rsidRDefault="007E0DD5" w:rsidP="00A02DD8">
            <w:pPr>
              <w:spacing w:before="60" w:after="60"/>
              <w:jc w:val="both"/>
              <w:rPr>
                <w:b/>
              </w:rPr>
            </w:pPr>
            <w:r w:rsidRPr="00A02DD8">
              <w:rPr>
                <w:b/>
              </w:rPr>
              <w:lastRenderedPageBreak/>
              <w:t>28.09.2020. starpinstitūciju saskaņošanas sanāksmē panākta vienošanās.</w:t>
            </w:r>
          </w:p>
        </w:tc>
        <w:tc>
          <w:tcPr>
            <w:tcW w:w="4039" w:type="dxa"/>
            <w:vMerge/>
            <w:shd w:val="clear" w:color="auto" w:fill="auto"/>
          </w:tcPr>
          <w:p w14:paraId="04EE8E1B" w14:textId="77777777" w:rsidR="007E0DD5" w:rsidRPr="00A02DD8" w:rsidRDefault="007E0DD5" w:rsidP="00A02DD8">
            <w:pPr>
              <w:spacing w:before="60" w:after="60"/>
              <w:jc w:val="both"/>
            </w:pPr>
          </w:p>
        </w:tc>
      </w:tr>
      <w:tr w:rsidR="007E0DD5" w:rsidRPr="00A02DD8" w14:paraId="12398B09" w14:textId="77777777" w:rsidTr="007E0DD5">
        <w:trPr>
          <w:gridAfter w:val="1"/>
          <w:wAfter w:w="102" w:type="dxa"/>
          <w:trHeight w:val="274"/>
        </w:trPr>
        <w:tc>
          <w:tcPr>
            <w:tcW w:w="644" w:type="dxa"/>
            <w:shd w:val="clear" w:color="auto" w:fill="FFFFFF" w:themeFill="background1"/>
          </w:tcPr>
          <w:p w14:paraId="29B5A5F6" w14:textId="77777777" w:rsidR="007E0DD5" w:rsidRPr="00A02DD8" w:rsidRDefault="007E0DD5" w:rsidP="00A02DD8">
            <w:pPr>
              <w:numPr>
                <w:ilvl w:val="0"/>
                <w:numId w:val="1"/>
              </w:numPr>
              <w:tabs>
                <w:tab w:val="center" w:pos="284"/>
              </w:tabs>
              <w:spacing w:before="60" w:after="60"/>
              <w:ind w:left="0" w:firstLine="0"/>
            </w:pPr>
          </w:p>
        </w:tc>
        <w:tc>
          <w:tcPr>
            <w:tcW w:w="3467" w:type="dxa"/>
            <w:vMerge/>
            <w:shd w:val="clear" w:color="auto" w:fill="auto"/>
          </w:tcPr>
          <w:p w14:paraId="38ACA2BD" w14:textId="77777777" w:rsidR="007E0DD5" w:rsidRPr="00A02DD8" w:rsidRDefault="007E0DD5" w:rsidP="00A02DD8">
            <w:pPr>
              <w:spacing w:before="60" w:after="60"/>
              <w:jc w:val="both"/>
            </w:pPr>
          </w:p>
        </w:tc>
        <w:tc>
          <w:tcPr>
            <w:tcW w:w="3827" w:type="dxa"/>
            <w:shd w:val="clear" w:color="auto" w:fill="auto"/>
          </w:tcPr>
          <w:p w14:paraId="2DCABFA1" w14:textId="4072CCAB" w:rsidR="007E0DD5" w:rsidRPr="00A02DD8" w:rsidRDefault="007E0DD5" w:rsidP="00A02DD8">
            <w:pPr>
              <w:spacing w:before="60" w:after="60"/>
              <w:contextualSpacing/>
              <w:jc w:val="both"/>
            </w:pPr>
            <w:r w:rsidRPr="007E0DD5">
              <w:rPr>
                <w:b/>
              </w:rPr>
              <w:t>FM 16.11.2020. izteiktais iebildums</w:t>
            </w:r>
            <w:r w:rsidRPr="007E0DD5">
              <w:t>:</w:t>
            </w:r>
          </w:p>
          <w:p w14:paraId="4059B54D" w14:textId="42E1FB2C" w:rsidR="007E0DD5" w:rsidRPr="00A02DD8" w:rsidRDefault="007E0DD5" w:rsidP="00A02DD8">
            <w:pPr>
              <w:spacing w:before="60" w:after="60"/>
              <w:contextualSpacing/>
              <w:jc w:val="both"/>
            </w:pPr>
            <w:r>
              <w:t>1. </w:t>
            </w:r>
            <w:r w:rsidRPr="00A02DD8">
              <w:t>Vēršam uzmanību, ka noteikumu projekta 2.punktā ietvertajā MK noteikumu Nr.561</w:t>
            </w:r>
            <w:r w:rsidRPr="00A02DD8">
              <w:rPr>
                <w:vertAlign w:val="superscript"/>
              </w:rPr>
              <w:footnoteReference w:id="3"/>
            </w:r>
            <w:r w:rsidRPr="00A02DD8">
              <w:t xml:space="preserve"> 35.</w:t>
            </w:r>
            <w:r w:rsidRPr="00A02DD8">
              <w:rPr>
                <w:vertAlign w:val="superscript"/>
              </w:rPr>
              <w:t>6</w:t>
            </w:r>
            <w:r w:rsidRPr="00A02DD8">
              <w:t xml:space="preserve"> apakšpunktā minētie kritēriji ir attiecināmi tikai uz gadījumu, kad izglītības institūcija veic ar saimniecisku darbību nesaistītas pamatdarbības. Attiecīgi noteikumu projektā ietvertajam 35.</w:t>
            </w:r>
            <w:r w:rsidRPr="00A02DD8">
              <w:rPr>
                <w:vertAlign w:val="superscript"/>
              </w:rPr>
              <w:t>6</w:t>
            </w:r>
            <w:r w:rsidRPr="00A02DD8">
              <w:t xml:space="preserve"> 1.apakšpunktam ir jāizpildās visos gadījumos, līdz ar to šis nosacījums ir iestrādājams 35.</w:t>
            </w:r>
            <w:r w:rsidRPr="00A02DD8">
              <w:rPr>
                <w:vertAlign w:val="superscript"/>
              </w:rPr>
              <w:t>6</w:t>
            </w:r>
            <w:r w:rsidRPr="00A02DD8">
              <w:t xml:space="preserve"> punkta ievaddaļā, un noteikumu projekta 35.</w:t>
            </w:r>
            <w:r w:rsidRPr="00A02DD8">
              <w:rPr>
                <w:vertAlign w:val="superscript"/>
              </w:rPr>
              <w:t>6</w:t>
            </w:r>
            <w:r w:rsidRPr="00A02DD8">
              <w:t xml:space="preserve"> 2. un 35.</w:t>
            </w:r>
            <w:r w:rsidRPr="00A02DD8">
              <w:rPr>
                <w:vertAlign w:val="superscript"/>
              </w:rPr>
              <w:t>6</w:t>
            </w:r>
            <w:r w:rsidRPr="00A02DD8">
              <w:t xml:space="preserve"> 3.apakšpunktā minētie gadījumi ir saglabājami kā divi alternatīvie </w:t>
            </w:r>
            <w:r w:rsidRPr="00A02DD8">
              <w:lastRenderedPageBreak/>
              <w:t>scenāriji. Lūdzam veikt attiecīgus precizējumus noteikumu projekta 35.</w:t>
            </w:r>
            <w:r w:rsidRPr="00A02DD8">
              <w:rPr>
                <w:vertAlign w:val="superscript"/>
              </w:rPr>
              <w:t>6</w:t>
            </w:r>
            <w:r w:rsidRPr="00A02DD8">
              <w:t xml:space="preserve"> punktā un precizēt sniegto skaidrojumu par šo punktu anotācijā.</w:t>
            </w:r>
          </w:p>
          <w:p w14:paraId="51EBF45E" w14:textId="5D08B17B" w:rsidR="007E0DD5" w:rsidRPr="00A02DD8" w:rsidRDefault="007E0DD5" w:rsidP="00A02DD8">
            <w:pPr>
              <w:spacing w:before="60" w:after="60"/>
              <w:contextualSpacing/>
              <w:jc w:val="both"/>
            </w:pPr>
            <w:r>
              <w:t>2. </w:t>
            </w:r>
            <w:r w:rsidRPr="00A02DD8">
              <w:t>Lūdzam precizēt noteikumu projekta 2.punktā ietverto MK noteikumu Nr.561 jaunajā 35.</w:t>
            </w:r>
            <w:r w:rsidRPr="00A02DD8">
              <w:rPr>
                <w:vertAlign w:val="superscript"/>
              </w:rPr>
              <w:t>7</w:t>
            </w:r>
            <w:r w:rsidRPr="00A02DD8">
              <w:t xml:space="preserve"> punkta ievaddaļā minēto atsauci, ņemot vērā, ka nosacījums par nomas pakalpojumu sniegšanu par tirgus cenu, ja infrastruktūras lietotājs (trešā puse) infrastruktūru izmanto saimnieciskās darbības veikšanai, ir noteikts noteikumu projekta 2.punktā ietvertajā MK noteikumu Nr.561 35.</w:t>
            </w:r>
            <w:r w:rsidRPr="00A02DD8">
              <w:rPr>
                <w:vertAlign w:val="superscript"/>
              </w:rPr>
              <w:t>6</w:t>
            </w:r>
            <w:r w:rsidRPr="00A02DD8">
              <w:t xml:space="preserve"> 3.apakšpunktā, nevis 35.</w:t>
            </w:r>
            <w:r w:rsidRPr="00A02DD8">
              <w:rPr>
                <w:vertAlign w:val="superscript"/>
              </w:rPr>
              <w:t>6</w:t>
            </w:r>
            <w:r w:rsidRPr="00A02DD8">
              <w:t xml:space="preserve"> 2.apakšpunktā. </w:t>
            </w:r>
          </w:p>
        </w:tc>
        <w:tc>
          <w:tcPr>
            <w:tcW w:w="2787" w:type="dxa"/>
            <w:shd w:val="clear" w:color="auto" w:fill="auto"/>
          </w:tcPr>
          <w:p w14:paraId="7426F785" w14:textId="77777777" w:rsidR="007E0DD5" w:rsidRDefault="007E0DD5" w:rsidP="00A02DD8">
            <w:pPr>
              <w:spacing w:before="60" w:after="60"/>
              <w:jc w:val="both"/>
              <w:rPr>
                <w:b/>
              </w:rPr>
            </w:pPr>
            <w:r>
              <w:rPr>
                <w:b/>
              </w:rPr>
              <w:lastRenderedPageBreak/>
              <w:t>Ņemts vērā.</w:t>
            </w:r>
          </w:p>
          <w:p w14:paraId="640A8D78" w14:textId="5C841B35" w:rsidR="007E0DD5" w:rsidRPr="00A02DD8" w:rsidRDefault="007E0DD5" w:rsidP="0087169B">
            <w:pPr>
              <w:spacing w:before="60" w:after="60"/>
              <w:jc w:val="both"/>
              <w:rPr>
                <w:b/>
              </w:rPr>
            </w:pPr>
            <w:r w:rsidRPr="00A02DD8">
              <w:t>35.</w:t>
            </w:r>
            <w:r w:rsidRPr="00A02DD8">
              <w:rPr>
                <w:vertAlign w:val="superscript"/>
              </w:rPr>
              <w:t>6</w:t>
            </w:r>
            <w:r w:rsidR="0087169B">
              <w:t> </w:t>
            </w:r>
            <w:r>
              <w:t xml:space="preserve">1.apakšpunkts integrēts </w:t>
            </w:r>
            <w:r w:rsidRPr="00A02DD8">
              <w:t>35.</w:t>
            </w:r>
            <w:r w:rsidRPr="00A02DD8">
              <w:rPr>
                <w:vertAlign w:val="superscript"/>
              </w:rPr>
              <w:t>6</w:t>
            </w:r>
            <w:r w:rsidR="0087169B">
              <w:t> </w:t>
            </w:r>
            <w:r w:rsidRPr="00A02DD8">
              <w:t>punkta</w:t>
            </w:r>
            <w:r>
              <w:t xml:space="preserve"> ievaddaļā.</w:t>
            </w:r>
          </w:p>
        </w:tc>
        <w:tc>
          <w:tcPr>
            <w:tcW w:w="4039" w:type="dxa"/>
            <w:vMerge/>
            <w:shd w:val="clear" w:color="auto" w:fill="auto"/>
          </w:tcPr>
          <w:p w14:paraId="03E20DD6" w14:textId="77777777" w:rsidR="007E0DD5" w:rsidRPr="00A02DD8" w:rsidRDefault="007E0DD5" w:rsidP="00A02DD8">
            <w:pPr>
              <w:spacing w:before="60" w:after="60"/>
              <w:jc w:val="both"/>
            </w:pPr>
          </w:p>
        </w:tc>
      </w:tr>
      <w:tr w:rsidR="007E0DD5" w:rsidRPr="00A02DD8" w14:paraId="36634051" w14:textId="77777777" w:rsidTr="007E0DD5">
        <w:trPr>
          <w:gridAfter w:val="1"/>
          <w:wAfter w:w="102" w:type="dxa"/>
          <w:trHeight w:val="274"/>
        </w:trPr>
        <w:tc>
          <w:tcPr>
            <w:tcW w:w="644" w:type="dxa"/>
            <w:shd w:val="clear" w:color="auto" w:fill="FFFFFF" w:themeFill="background1"/>
          </w:tcPr>
          <w:p w14:paraId="1600A8BB" w14:textId="77777777" w:rsidR="007E0DD5" w:rsidRPr="00A02DD8" w:rsidRDefault="007E0DD5" w:rsidP="00A02DD8">
            <w:pPr>
              <w:numPr>
                <w:ilvl w:val="0"/>
                <w:numId w:val="1"/>
              </w:numPr>
              <w:tabs>
                <w:tab w:val="center" w:pos="284"/>
              </w:tabs>
              <w:spacing w:before="60" w:after="60"/>
              <w:ind w:left="0" w:firstLine="0"/>
            </w:pPr>
          </w:p>
        </w:tc>
        <w:tc>
          <w:tcPr>
            <w:tcW w:w="3467" w:type="dxa"/>
            <w:vMerge/>
            <w:shd w:val="clear" w:color="auto" w:fill="auto"/>
          </w:tcPr>
          <w:p w14:paraId="3255CF33" w14:textId="77777777" w:rsidR="007E0DD5" w:rsidRPr="00A02DD8" w:rsidRDefault="007E0DD5" w:rsidP="00A02DD8">
            <w:pPr>
              <w:spacing w:before="60" w:after="60"/>
              <w:jc w:val="both"/>
            </w:pPr>
          </w:p>
        </w:tc>
        <w:tc>
          <w:tcPr>
            <w:tcW w:w="3827" w:type="dxa"/>
            <w:shd w:val="clear" w:color="auto" w:fill="auto"/>
          </w:tcPr>
          <w:p w14:paraId="61CF57EB" w14:textId="77777777" w:rsidR="007E0DD5" w:rsidRDefault="007E0DD5" w:rsidP="00A02DD8">
            <w:pPr>
              <w:spacing w:before="60" w:after="60"/>
              <w:contextualSpacing/>
              <w:jc w:val="both"/>
              <w:rPr>
                <w:b/>
              </w:rPr>
            </w:pPr>
            <w:r>
              <w:rPr>
                <w:b/>
              </w:rPr>
              <w:t>FM 04.12.2020. priekšlikums</w:t>
            </w:r>
          </w:p>
          <w:p w14:paraId="20FA9306" w14:textId="6319373F" w:rsidR="007E0DD5" w:rsidRPr="007E0DD5" w:rsidRDefault="007E0DD5" w:rsidP="00A02DD8">
            <w:pPr>
              <w:spacing w:before="60" w:after="60"/>
              <w:contextualSpacing/>
              <w:jc w:val="both"/>
            </w:pPr>
            <w:r w:rsidRPr="007E0DD5">
              <w:t>1.</w:t>
            </w:r>
            <w:r w:rsidRPr="007E0DD5">
              <w:tab/>
              <w:t>Ņemot vērā, ka nosacījumi, kuriem izpildoties augstākās izglītības iestādes pamatdarbība ir kvalificējama kā nesaimnieciska, ir definēti noteikumu projekta 1.punktā ietvertajā 35.</w:t>
            </w:r>
            <w:r w:rsidRPr="007E0DD5">
              <w:rPr>
                <w:vertAlign w:val="superscript"/>
              </w:rPr>
              <w:t>1</w:t>
            </w:r>
            <w:r w:rsidRPr="007E0DD5">
              <w:t xml:space="preserve"> 1.apakšpunktā, kā arī, ievērojot, ka no noteikumu projekta 4.punktā ietvertā 35.</w:t>
            </w:r>
            <w:r w:rsidRPr="007E0DD5">
              <w:rPr>
                <w:vertAlign w:val="superscript"/>
              </w:rPr>
              <w:t>6</w:t>
            </w:r>
            <w:r w:rsidRPr="007E0DD5">
              <w:t xml:space="preserve"> punkta būtības izriet, ka ir jāizpildās vienam no tā apakšpunktiem, nevis abiem vienlaikus, lūdzam noteikumu projekta 4.punktā iekļauto 35.</w:t>
            </w:r>
            <w:r w:rsidRPr="007E0DD5">
              <w:rPr>
                <w:vertAlign w:val="superscript"/>
              </w:rPr>
              <w:t>6</w:t>
            </w:r>
            <w:r w:rsidRPr="007E0DD5">
              <w:t xml:space="preserve"> punkta ievaddaļu izteikt šādā redakcijā: “Finansējuma saņēmējs un sadarbības partneris var nodrošināt piekļuvi projekta ietvaros modernizētajai </w:t>
            </w:r>
            <w:r w:rsidRPr="007E0DD5">
              <w:lastRenderedPageBreak/>
              <w:t>infrastruktūrai, ja tas atbilst šo noteikumu 35.</w:t>
            </w:r>
            <w:r w:rsidRPr="007E0DD5">
              <w:rPr>
                <w:vertAlign w:val="superscript"/>
              </w:rPr>
              <w:t xml:space="preserve">1 </w:t>
            </w:r>
            <w:r w:rsidRPr="007E0DD5">
              <w:t>1.apakšpunktā noteiktajam un tiek ievērots viens no šādiem nosacījumiem:”.</w:t>
            </w:r>
          </w:p>
        </w:tc>
        <w:tc>
          <w:tcPr>
            <w:tcW w:w="2787" w:type="dxa"/>
            <w:shd w:val="clear" w:color="auto" w:fill="auto"/>
          </w:tcPr>
          <w:p w14:paraId="6D6C3FFC" w14:textId="77777777" w:rsidR="007E0DD5" w:rsidRDefault="007E0DD5" w:rsidP="00A02DD8">
            <w:pPr>
              <w:spacing w:before="60" w:after="60"/>
              <w:jc w:val="both"/>
              <w:rPr>
                <w:b/>
              </w:rPr>
            </w:pPr>
            <w:r>
              <w:rPr>
                <w:b/>
              </w:rPr>
              <w:lastRenderedPageBreak/>
              <w:t>Ņemts vērā.</w:t>
            </w:r>
          </w:p>
          <w:p w14:paraId="47E70932" w14:textId="250DC079" w:rsidR="007E0DD5" w:rsidRPr="007E0DD5" w:rsidRDefault="007E0DD5" w:rsidP="00A02DD8">
            <w:pPr>
              <w:spacing w:before="60" w:after="60"/>
              <w:jc w:val="both"/>
            </w:pPr>
            <w:r>
              <w:t xml:space="preserve">Precizēta </w:t>
            </w:r>
            <w:r w:rsidRPr="007E0DD5">
              <w:t>35.</w:t>
            </w:r>
            <w:r w:rsidRPr="007E0DD5">
              <w:rPr>
                <w:vertAlign w:val="superscript"/>
              </w:rPr>
              <w:t>6</w:t>
            </w:r>
            <w:r w:rsidRPr="007E0DD5">
              <w:t xml:space="preserve"> punkta</w:t>
            </w:r>
            <w:r>
              <w:t xml:space="preserve"> ievaddaļa</w:t>
            </w:r>
          </w:p>
        </w:tc>
        <w:tc>
          <w:tcPr>
            <w:tcW w:w="4039" w:type="dxa"/>
            <w:vMerge/>
            <w:shd w:val="clear" w:color="auto" w:fill="auto"/>
          </w:tcPr>
          <w:p w14:paraId="0558AFF7" w14:textId="77777777" w:rsidR="007E0DD5" w:rsidRPr="00A02DD8" w:rsidRDefault="007E0DD5" w:rsidP="00A02DD8">
            <w:pPr>
              <w:spacing w:before="60" w:after="60"/>
              <w:jc w:val="both"/>
            </w:pPr>
          </w:p>
        </w:tc>
      </w:tr>
      <w:tr w:rsidR="00A02DD8" w:rsidRPr="00A02DD8" w14:paraId="6F38F89B" w14:textId="77777777" w:rsidTr="007E0DD5">
        <w:trPr>
          <w:gridAfter w:val="1"/>
          <w:wAfter w:w="102" w:type="dxa"/>
          <w:trHeight w:val="274"/>
        </w:trPr>
        <w:tc>
          <w:tcPr>
            <w:tcW w:w="14764" w:type="dxa"/>
            <w:gridSpan w:val="5"/>
            <w:shd w:val="clear" w:color="auto" w:fill="FFFFFF" w:themeFill="background1"/>
          </w:tcPr>
          <w:p w14:paraId="11D338DC" w14:textId="6CDF93CB" w:rsidR="00A02DD8" w:rsidRPr="00A02DD8" w:rsidRDefault="00A02DD8" w:rsidP="00A02DD8">
            <w:pPr>
              <w:tabs>
                <w:tab w:val="left" w:pos="1276"/>
              </w:tabs>
              <w:spacing w:before="60" w:after="60"/>
              <w:jc w:val="both"/>
            </w:pPr>
            <w:r w:rsidRPr="00A02DD8">
              <w:lastRenderedPageBreak/>
              <w:t>Anotācija</w:t>
            </w:r>
          </w:p>
        </w:tc>
      </w:tr>
      <w:tr w:rsidR="00A02DD8" w:rsidRPr="00A02DD8" w14:paraId="153D5688" w14:textId="77777777" w:rsidTr="007E0DD5">
        <w:trPr>
          <w:gridAfter w:val="1"/>
          <w:wAfter w:w="102" w:type="dxa"/>
          <w:trHeight w:val="274"/>
        </w:trPr>
        <w:tc>
          <w:tcPr>
            <w:tcW w:w="644" w:type="dxa"/>
            <w:shd w:val="clear" w:color="auto" w:fill="FFFFFF" w:themeFill="background1"/>
          </w:tcPr>
          <w:p w14:paraId="662BCA2D" w14:textId="77777777" w:rsidR="00A02DD8" w:rsidRPr="00A02DD8" w:rsidRDefault="00A02DD8" w:rsidP="00A02DD8">
            <w:pPr>
              <w:numPr>
                <w:ilvl w:val="0"/>
                <w:numId w:val="1"/>
              </w:numPr>
              <w:tabs>
                <w:tab w:val="center" w:pos="284"/>
              </w:tabs>
              <w:spacing w:before="60" w:after="60"/>
              <w:ind w:left="0" w:firstLine="0"/>
            </w:pPr>
          </w:p>
        </w:tc>
        <w:tc>
          <w:tcPr>
            <w:tcW w:w="3467" w:type="dxa"/>
            <w:shd w:val="clear" w:color="auto" w:fill="auto"/>
          </w:tcPr>
          <w:p w14:paraId="38F8098C" w14:textId="77777777" w:rsidR="00A02DD8" w:rsidRPr="00A02DD8" w:rsidRDefault="00A02DD8" w:rsidP="00A02DD8">
            <w:pPr>
              <w:spacing w:before="60" w:after="60"/>
              <w:jc w:val="both"/>
            </w:pPr>
          </w:p>
        </w:tc>
        <w:tc>
          <w:tcPr>
            <w:tcW w:w="3827" w:type="dxa"/>
            <w:shd w:val="clear" w:color="auto" w:fill="auto"/>
          </w:tcPr>
          <w:p w14:paraId="2C06328A" w14:textId="77777777" w:rsidR="00A02DD8" w:rsidRPr="00A02DD8" w:rsidRDefault="00A02DD8" w:rsidP="00A02DD8">
            <w:pPr>
              <w:spacing w:before="60" w:after="60"/>
              <w:contextualSpacing/>
              <w:jc w:val="both"/>
              <w:rPr>
                <w:b/>
              </w:rPr>
            </w:pPr>
            <w:r w:rsidRPr="00A02DD8">
              <w:rPr>
                <w:b/>
              </w:rPr>
              <w:t xml:space="preserve">FM </w:t>
            </w:r>
          </w:p>
          <w:p w14:paraId="1E931A9A" w14:textId="04CDAC22" w:rsidR="00A02DD8" w:rsidRPr="00A02DD8" w:rsidRDefault="00A02DD8" w:rsidP="00A02DD8">
            <w:pPr>
              <w:spacing w:before="60" w:after="60"/>
              <w:contextualSpacing/>
              <w:jc w:val="both"/>
            </w:pPr>
            <w:r w:rsidRPr="00A02DD8">
              <w:t>Ņemot vērā, ka 8.1.1.SAM jau sākotnēji ir bijis izstrādāts tādējādi, ka tā ietvaros vispār netiek sniegts komercdarbības atbalsts, lūdzam skaidrot jaunā noteikumu projekta 35.</w:t>
            </w:r>
            <w:r w:rsidRPr="00A02DD8">
              <w:rPr>
                <w:vertAlign w:val="superscript"/>
              </w:rPr>
              <w:t>1</w:t>
            </w:r>
            <w:r w:rsidRPr="00A02DD8">
              <w:t xml:space="preserve"> 2.apakšpunkta mērķi. Vienlaikus attiecībā uz anotācijas I sadaļas “Tiesību akta projekta izstrādes nepieciešamība” 2.punktā “Pašreizējā situācija un problēmas, kuru risināšanai tiesību akta projekts izstrādāts, tiesiskā regulējuma mērķis un būtība” (turpmāk – I sadaļas 2.punkts) sniegto skaidrojumu, ka “saimniecisko darbību atbalstam ir vienīgi vietēja mēroga ietekme, ja izglītības pakalpojumu [..] mērķauditorija vairāk kā 85% apmērā ir vietējie iedzīvotāji”, skaidrojam, ka gadījumā, ja ārvalstu studējošo īpatsvars kādā augstskolā pārsniedz 15% slieksni, vietējās ietekmes pamatošanai var izmantot, piemēram, tādus argumentus kā augstskolas vieta pasaules augstskolu reitingos un izmantotā mācību valoda.  Līdz ar to, lūdzam attiecīgi precizēt un </w:t>
            </w:r>
            <w:r w:rsidRPr="00A02DD8">
              <w:lastRenderedPageBreak/>
              <w:t>papildināt anotācijā minēto skaidrojumu.</w:t>
            </w:r>
          </w:p>
        </w:tc>
        <w:tc>
          <w:tcPr>
            <w:tcW w:w="2787" w:type="dxa"/>
            <w:shd w:val="clear" w:color="auto" w:fill="auto"/>
          </w:tcPr>
          <w:p w14:paraId="42B7CCD1" w14:textId="77777777" w:rsidR="00A02DD8" w:rsidRPr="00A02DD8" w:rsidRDefault="00A02DD8" w:rsidP="00A02DD8">
            <w:pPr>
              <w:spacing w:before="60" w:after="60"/>
              <w:jc w:val="both"/>
              <w:rPr>
                <w:b/>
              </w:rPr>
            </w:pPr>
            <w:r w:rsidRPr="00A02DD8">
              <w:rPr>
                <w:b/>
              </w:rPr>
              <w:lastRenderedPageBreak/>
              <w:t>Ņemts vērā.</w:t>
            </w:r>
          </w:p>
          <w:p w14:paraId="0C703827" w14:textId="07F059EF" w:rsidR="00A02DD8" w:rsidRPr="00A02DD8" w:rsidRDefault="00A02DD8" w:rsidP="00A02DD8">
            <w:pPr>
              <w:spacing w:before="60" w:after="60"/>
              <w:jc w:val="both"/>
            </w:pPr>
            <w:r w:rsidRPr="00A02DD8">
              <w:t>Papildināta un precizēta anotācija.</w:t>
            </w:r>
          </w:p>
        </w:tc>
        <w:tc>
          <w:tcPr>
            <w:tcW w:w="4039" w:type="dxa"/>
            <w:shd w:val="clear" w:color="auto" w:fill="auto"/>
          </w:tcPr>
          <w:p w14:paraId="6BC1836E" w14:textId="6F8CDB66" w:rsidR="00A02DD8" w:rsidRPr="00A02DD8" w:rsidRDefault="00A02DD8" w:rsidP="00A02DD8">
            <w:pPr>
              <w:tabs>
                <w:tab w:val="left" w:pos="1276"/>
              </w:tabs>
              <w:spacing w:before="60" w:after="60"/>
              <w:jc w:val="both"/>
            </w:pPr>
            <w:r w:rsidRPr="00A02DD8">
              <w:t xml:space="preserve">Skat. anotācijas 4., 5., 9. </w:t>
            </w:r>
            <w:proofErr w:type="spellStart"/>
            <w:r w:rsidRPr="00A02DD8">
              <w:t>lp</w:t>
            </w:r>
            <w:proofErr w:type="spellEnd"/>
            <w:r w:rsidRPr="00A02DD8">
              <w:t>.</w:t>
            </w:r>
          </w:p>
          <w:p w14:paraId="4826D81B" w14:textId="7C9AA7A7" w:rsidR="00A02DD8" w:rsidRPr="00A02DD8" w:rsidRDefault="00A02DD8" w:rsidP="00A02DD8">
            <w:pPr>
              <w:tabs>
                <w:tab w:val="left" w:pos="1276"/>
              </w:tabs>
              <w:spacing w:before="60" w:after="60"/>
              <w:jc w:val="both"/>
            </w:pPr>
          </w:p>
        </w:tc>
      </w:tr>
      <w:tr w:rsidR="00A02DD8" w:rsidRPr="00A02DD8" w14:paraId="2714BB4E" w14:textId="77777777" w:rsidTr="007E0DD5">
        <w:trPr>
          <w:gridAfter w:val="1"/>
          <w:wAfter w:w="102" w:type="dxa"/>
          <w:trHeight w:val="274"/>
        </w:trPr>
        <w:tc>
          <w:tcPr>
            <w:tcW w:w="644" w:type="dxa"/>
            <w:shd w:val="clear" w:color="auto" w:fill="FFFFFF" w:themeFill="background1"/>
          </w:tcPr>
          <w:p w14:paraId="23402085" w14:textId="77777777" w:rsidR="00A02DD8" w:rsidRPr="00A02DD8" w:rsidRDefault="00A02DD8" w:rsidP="00A02DD8">
            <w:pPr>
              <w:numPr>
                <w:ilvl w:val="0"/>
                <w:numId w:val="1"/>
              </w:numPr>
              <w:tabs>
                <w:tab w:val="center" w:pos="284"/>
              </w:tabs>
              <w:spacing w:before="60" w:after="60"/>
              <w:ind w:left="0" w:firstLine="0"/>
            </w:pPr>
          </w:p>
        </w:tc>
        <w:tc>
          <w:tcPr>
            <w:tcW w:w="3467" w:type="dxa"/>
            <w:shd w:val="clear" w:color="auto" w:fill="auto"/>
          </w:tcPr>
          <w:p w14:paraId="6E2C46E3" w14:textId="471C9F36" w:rsidR="00A02DD8" w:rsidRPr="00A02DD8" w:rsidRDefault="00A02DD8" w:rsidP="00A02DD8">
            <w:pPr>
              <w:spacing w:before="60" w:after="60"/>
              <w:jc w:val="both"/>
            </w:pPr>
          </w:p>
        </w:tc>
        <w:tc>
          <w:tcPr>
            <w:tcW w:w="3827" w:type="dxa"/>
            <w:shd w:val="clear" w:color="auto" w:fill="auto"/>
          </w:tcPr>
          <w:p w14:paraId="3857B370" w14:textId="178BB093" w:rsidR="00A02DD8" w:rsidRPr="00A02DD8" w:rsidRDefault="00A02DD8" w:rsidP="00A02DD8">
            <w:pPr>
              <w:spacing w:before="60" w:after="60"/>
              <w:contextualSpacing/>
              <w:jc w:val="both"/>
              <w:rPr>
                <w:b/>
              </w:rPr>
            </w:pPr>
            <w:r w:rsidRPr="00A02DD8">
              <w:rPr>
                <w:b/>
              </w:rPr>
              <w:t>FM</w:t>
            </w:r>
          </w:p>
          <w:p w14:paraId="33A851A0" w14:textId="633661ED" w:rsidR="00A02DD8" w:rsidRPr="00A02DD8" w:rsidRDefault="00A02DD8" w:rsidP="00A02DD8">
            <w:pPr>
              <w:spacing w:before="60" w:after="60"/>
              <w:contextualSpacing/>
              <w:jc w:val="both"/>
            </w:pPr>
            <w:r w:rsidRPr="00A02DD8">
              <w:t>Ievērojot par noteikumu projektu izteiktos iebildumus, aicinām precizēt anotāciju. Precizējot anotāciju, lūdzam ņemt vērā, ka 8.1.1.SAM mērķis ir saistīts ar augstākās izglītības nodrošināšanu, nevis pētniecības darbību veikšanu, attiecīgi lūdzam anotācijā sniegtos skaidrojumus sniegt atbilstoši 8.1.1.SAM mērķim.</w:t>
            </w:r>
          </w:p>
        </w:tc>
        <w:tc>
          <w:tcPr>
            <w:tcW w:w="2787" w:type="dxa"/>
            <w:shd w:val="clear" w:color="auto" w:fill="auto"/>
          </w:tcPr>
          <w:p w14:paraId="3B2F7D36" w14:textId="77777777" w:rsidR="00A02DD8" w:rsidRPr="00A02DD8" w:rsidRDefault="00A02DD8" w:rsidP="00A02DD8">
            <w:pPr>
              <w:spacing w:before="60" w:after="60"/>
              <w:jc w:val="both"/>
              <w:rPr>
                <w:b/>
              </w:rPr>
            </w:pPr>
            <w:r w:rsidRPr="00A02DD8">
              <w:rPr>
                <w:b/>
              </w:rPr>
              <w:t>Ņemts vērā.</w:t>
            </w:r>
          </w:p>
          <w:p w14:paraId="560CA374" w14:textId="186330A9" w:rsidR="00A02DD8" w:rsidRPr="00A02DD8" w:rsidRDefault="00A02DD8" w:rsidP="00A02DD8">
            <w:pPr>
              <w:spacing w:before="60" w:after="60"/>
              <w:jc w:val="both"/>
            </w:pPr>
            <w:r w:rsidRPr="00A02DD8">
              <w:t>Precizēti noteikumu projektā iekļautie nosacījumi un anotācijā sniegtā informācija, izslēdzot ar pētniecības organizācijas darbību saistītus aspektus.</w:t>
            </w:r>
          </w:p>
          <w:p w14:paraId="5B5034F9" w14:textId="77777777" w:rsidR="00A02DD8" w:rsidRPr="00A02DD8" w:rsidRDefault="00A02DD8" w:rsidP="00A02DD8">
            <w:pPr>
              <w:spacing w:before="60" w:after="60"/>
              <w:jc w:val="both"/>
              <w:rPr>
                <w:b/>
              </w:rPr>
            </w:pPr>
          </w:p>
        </w:tc>
        <w:tc>
          <w:tcPr>
            <w:tcW w:w="4039" w:type="dxa"/>
            <w:shd w:val="clear" w:color="auto" w:fill="auto"/>
          </w:tcPr>
          <w:p w14:paraId="2F0D2A19" w14:textId="77777777" w:rsidR="00A02DD8" w:rsidRPr="00A02DD8" w:rsidRDefault="00A02DD8" w:rsidP="00A02DD8">
            <w:pPr>
              <w:tabs>
                <w:tab w:val="left" w:pos="1276"/>
              </w:tabs>
              <w:spacing w:before="60" w:after="60"/>
              <w:jc w:val="both"/>
            </w:pPr>
          </w:p>
        </w:tc>
      </w:tr>
      <w:tr w:rsidR="00A02DD8" w:rsidRPr="00A02DD8" w14:paraId="6639537D" w14:textId="77777777" w:rsidTr="007E0DD5">
        <w:trPr>
          <w:gridAfter w:val="1"/>
          <w:wAfter w:w="102" w:type="dxa"/>
          <w:trHeight w:val="841"/>
        </w:trPr>
        <w:tc>
          <w:tcPr>
            <w:tcW w:w="644" w:type="dxa"/>
            <w:shd w:val="clear" w:color="auto" w:fill="FFFFFF" w:themeFill="background1"/>
          </w:tcPr>
          <w:p w14:paraId="5A72CEC4" w14:textId="77777777" w:rsidR="00A02DD8" w:rsidRPr="00A02DD8" w:rsidRDefault="00A02DD8" w:rsidP="00A02DD8">
            <w:pPr>
              <w:numPr>
                <w:ilvl w:val="0"/>
                <w:numId w:val="1"/>
              </w:numPr>
              <w:tabs>
                <w:tab w:val="center" w:pos="284"/>
              </w:tabs>
              <w:spacing w:before="60" w:after="60"/>
              <w:ind w:left="0" w:firstLine="0"/>
            </w:pPr>
          </w:p>
        </w:tc>
        <w:tc>
          <w:tcPr>
            <w:tcW w:w="3467" w:type="dxa"/>
            <w:shd w:val="clear" w:color="auto" w:fill="auto"/>
          </w:tcPr>
          <w:p w14:paraId="01732D05" w14:textId="77777777" w:rsidR="00A02DD8" w:rsidRPr="00A02DD8" w:rsidRDefault="00A02DD8" w:rsidP="00A02DD8">
            <w:pPr>
              <w:spacing w:before="60" w:after="60"/>
              <w:jc w:val="both"/>
            </w:pPr>
          </w:p>
        </w:tc>
        <w:tc>
          <w:tcPr>
            <w:tcW w:w="3827" w:type="dxa"/>
            <w:shd w:val="clear" w:color="auto" w:fill="auto"/>
          </w:tcPr>
          <w:p w14:paraId="224FEEDC" w14:textId="77777777" w:rsidR="00A02DD8" w:rsidRPr="00A02DD8" w:rsidRDefault="00A02DD8" w:rsidP="00A02DD8">
            <w:pPr>
              <w:spacing w:before="60" w:after="60"/>
              <w:contextualSpacing/>
              <w:jc w:val="both"/>
              <w:rPr>
                <w:b/>
              </w:rPr>
            </w:pPr>
            <w:r w:rsidRPr="00A02DD8">
              <w:rPr>
                <w:b/>
              </w:rPr>
              <w:t>FM 17.09.2020. izteiktais iebildums</w:t>
            </w:r>
          </w:p>
          <w:p w14:paraId="3A92B6F0" w14:textId="0D379A33" w:rsidR="00A02DD8" w:rsidRPr="00A02DD8" w:rsidRDefault="00A02DD8" w:rsidP="00A02DD8">
            <w:pPr>
              <w:contextualSpacing/>
              <w:jc w:val="both"/>
              <w:rPr>
                <w:b/>
              </w:rPr>
            </w:pPr>
            <w:r w:rsidRPr="00A02DD8">
              <w:t xml:space="preserve">Vēršam uzmanību uz anotācijas I sadaļas 1.punktā (4.lpp.) minēto papildinošas saimnieciskas darbības piemēru – izglītības pakalpojumu sniegšana ārvalsts studējošajiem, ja izglītības pakalpojums ietekmē tirdzniecību starp ES dalībvalstīm – nav skaidrs, kā IZM plāno šo mehānismu realizēt praksē. Skaidrojam, ka papildinošai saimnieciskai darbībai ir jābūt nesaraujami saistītai ar infrastruktūras nesaimniecisko pamatdarbību. Līdz ar to  nav iespējams, ka šajā gadījumā daļa no augstākās izglītības iestādes, kuras pamatdarbība ir nesaimnieciska, darbībām attiecībā </w:t>
            </w:r>
            <w:r w:rsidRPr="00A02DD8">
              <w:rPr>
                <w:u w:val="single"/>
              </w:rPr>
              <w:t>tikai uz ārvalstu studējošajiem</w:t>
            </w:r>
            <w:r w:rsidRPr="00A02DD8">
              <w:t xml:space="preserve"> varētu, pirmkārt, tikt kvalificēta kā saimnieciska, un </w:t>
            </w:r>
            <w:r w:rsidRPr="00A02DD8">
              <w:lastRenderedPageBreak/>
              <w:t xml:space="preserve">otrkārt, tāda, kas ietekmē tirdzniecību starp ES dalībvalstīm. Lūdzam attiecīgi precizēt anotācijas 4.lpp. sniegto skaidrojumu, vai arī minēto papildinošas saimnieciskas darbības piemēru dzēst, vienlaikus saglabājot skaidrojumu par kritērijiem, atbilstoši kuriem tiek vērtēta sniegtā izglītības pakalpojuma ietekme uz tirdzniecību starp ES dalībvalstīm. Papildus lūdzam sniegt skaidrojumu, kā iepriekš minētais IZM sniegtais papildinošas saimnieciskas darbības piemērs atbilst citām IZM īstenotajām aktivitātēm un to ietvaros IZM sniegtajai interpretācijai, par to ka šīs aktivitātes vienlaikus neatbilst visām komercdarbības atbalsta pazīmēm. </w:t>
            </w:r>
          </w:p>
        </w:tc>
        <w:tc>
          <w:tcPr>
            <w:tcW w:w="2787" w:type="dxa"/>
            <w:shd w:val="clear" w:color="auto" w:fill="auto"/>
          </w:tcPr>
          <w:p w14:paraId="7D49EA0A" w14:textId="77777777" w:rsidR="00A02DD8" w:rsidRPr="00A02DD8" w:rsidRDefault="00A02DD8" w:rsidP="00A02DD8">
            <w:pPr>
              <w:spacing w:before="60" w:after="60"/>
              <w:jc w:val="both"/>
              <w:rPr>
                <w:b/>
              </w:rPr>
            </w:pPr>
            <w:r w:rsidRPr="00A02DD8">
              <w:rPr>
                <w:b/>
              </w:rPr>
              <w:lastRenderedPageBreak/>
              <w:t>Ņemts vērā.</w:t>
            </w:r>
          </w:p>
          <w:p w14:paraId="2980EFC7" w14:textId="09C9D4D0" w:rsidR="00A02DD8" w:rsidRPr="00A02DD8" w:rsidRDefault="00A02DD8" w:rsidP="00A02DD8">
            <w:pPr>
              <w:spacing w:before="60" w:after="60"/>
              <w:jc w:val="both"/>
              <w:rPr>
                <w:b/>
              </w:rPr>
            </w:pPr>
          </w:p>
        </w:tc>
        <w:tc>
          <w:tcPr>
            <w:tcW w:w="4039" w:type="dxa"/>
            <w:shd w:val="clear" w:color="auto" w:fill="auto"/>
          </w:tcPr>
          <w:p w14:paraId="34A63479" w14:textId="77777777" w:rsidR="00A02DD8" w:rsidRPr="00A02DD8" w:rsidRDefault="00A02DD8" w:rsidP="00A02DD8">
            <w:pPr>
              <w:tabs>
                <w:tab w:val="left" w:pos="1276"/>
              </w:tabs>
              <w:spacing w:before="60" w:after="60"/>
              <w:jc w:val="both"/>
            </w:pPr>
            <w:r w:rsidRPr="00A02DD8">
              <w:t xml:space="preserve">Skat. anotācijas 5. </w:t>
            </w:r>
            <w:proofErr w:type="spellStart"/>
            <w:r w:rsidRPr="00A02DD8">
              <w:t>lp</w:t>
            </w:r>
            <w:proofErr w:type="spellEnd"/>
            <w:r w:rsidRPr="00A02DD8">
              <w:t>.</w:t>
            </w:r>
          </w:p>
          <w:p w14:paraId="527B7B63" w14:textId="47DFF404" w:rsidR="00A02DD8" w:rsidRPr="00A02DD8" w:rsidRDefault="00A02DD8" w:rsidP="00A02DD8">
            <w:pPr>
              <w:tabs>
                <w:tab w:val="left" w:pos="1276"/>
              </w:tabs>
              <w:spacing w:before="60" w:after="60"/>
              <w:jc w:val="both"/>
            </w:pPr>
            <w:r w:rsidRPr="00A02DD8">
              <w:t>Papildinošas saimnieciskās darbības piemērs: piekļuves modernizētai infrastruktūrai nodrošināšana trešajām pusēm saimnieciska rakstura darbību īstenošanai, kas tieši saistītas ar infrastruktūras ekspluatāciju un izmantošanu ar saimniecisku darbību nesaistītā augstākās izglītības institūcijas pamatdarbības jomā.</w:t>
            </w:r>
          </w:p>
        </w:tc>
      </w:tr>
      <w:tr w:rsidR="00A02DD8" w:rsidRPr="00A02DD8" w14:paraId="2AF38BFD" w14:textId="77777777" w:rsidTr="007E0DD5">
        <w:trPr>
          <w:gridAfter w:val="1"/>
          <w:wAfter w:w="102" w:type="dxa"/>
          <w:trHeight w:val="274"/>
        </w:trPr>
        <w:tc>
          <w:tcPr>
            <w:tcW w:w="644" w:type="dxa"/>
            <w:shd w:val="clear" w:color="auto" w:fill="FFFFFF" w:themeFill="background1"/>
          </w:tcPr>
          <w:p w14:paraId="05B2330C" w14:textId="6737D9F3" w:rsidR="00A02DD8" w:rsidRPr="00A02DD8" w:rsidRDefault="00A02DD8" w:rsidP="00A02DD8">
            <w:pPr>
              <w:numPr>
                <w:ilvl w:val="0"/>
                <w:numId w:val="1"/>
              </w:numPr>
              <w:tabs>
                <w:tab w:val="center" w:pos="284"/>
              </w:tabs>
              <w:spacing w:before="60" w:after="60"/>
              <w:ind w:left="0" w:firstLine="0"/>
            </w:pPr>
          </w:p>
        </w:tc>
        <w:tc>
          <w:tcPr>
            <w:tcW w:w="3467" w:type="dxa"/>
            <w:shd w:val="clear" w:color="auto" w:fill="auto"/>
          </w:tcPr>
          <w:p w14:paraId="205D0DA8" w14:textId="2D986D64" w:rsidR="00A02DD8" w:rsidRPr="00A02DD8" w:rsidRDefault="00A02DD8" w:rsidP="00A02DD8">
            <w:pPr>
              <w:spacing w:before="60" w:after="60"/>
              <w:jc w:val="both"/>
            </w:pPr>
          </w:p>
        </w:tc>
        <w:tc>
          <w:tcPr>
            <w:tcW w:w="3827" w:type="dxa"/>
            <w:shd w:val="clear" w:color="auto" w:fill="auto"/>
          </w:tcPr>
          <w:p w14:paraId="45885A1C" w14:textId="0B900845" w:rsidR="00A02DD8" w:rsidRPr="00A02DD8" w:rsidRDefault="00A02DD8" w:rsidP="00A02DD8">
            <w:pPr>
              <w:spacing w:before="60" w:after="60"/>
              <w:contextualSpacing/>
              <w:jc w:val="both"/>
              <w:rPr>
                <w:b/>
              </w:rPr>
            </w:pPr>
            <w:r w:rsidRPr="00A02DD8">
              <w:rPr>
                <w:b/>
              </w:rPr>
              <w:t>TM</w:t>
            </w:r>
          </w:p>
          <w:p w14:paraId="1AF5BE50" w14:textId="77777777" w:rsidR="00A02DD8" w:rsidRPr="00A02DD8" w:rsidRDefault="00A02DD8" w:rsidP="00A02DD8">
            <w:pPr>
              <w:spacing w:before="60" w:after="60"/>
              <w:contextualSpacing/>
              <w:jc w:val="both"/>
            </w:pPr>
            <w:r w:rsidRPr="00A02DD8">
              <w:t xml:space="preserve">Noteikumu projekta 1. punktā veiktie grozījumi paredz papildināt Ministru kabineta 2016. gada 16. augusta noteikumus Nr. 561 "Darbības programmas "Izaugsme un nodarbinātība" 8.1.1. specifiskā atbalsta mērķa "Palielināt modernizēto STEM, tajā skaitā medicīnas un radošās industrijas, studiju programmu skaitu"" (turpmāk – noteikumi) ar plašāku komercdarbības atbalsta </w:t>
            </w:r>
            <w:r w:rsidRPr="00A02DD8">
              <w:lastRenderedPageBreak/>
              <w:t xml:space="preserve">kvalificēšanas regulējumu. Vēršam uzmanību, ka no noteikumu projekta anotācijā sniegtā skaidrojuma nerodas pārliecība, ka iepriekš minētais grozījums sader ar tiesiskās paļāvības principu un kā tas ietekmēs jau izsniegto atbalstu saņēmējam, kas saņēmuši atbalstu. Tiesiskās paļāvības princips noteic, ka privātpersona var paļauties, ka iestādes rīcība ir tiesiska un konsekventa, tai skaitā persona var paļauties, ka tā noteiktajā laikā varēs īstenot tai iegūtās tiesības. Satversmes tiesa ir norādījusi (2009. gada 26. novembra spriedums lietā Nr. 2009-08-01 ), ka gadījumā, kad normatīvā regulējuma grozījumu rezultātā notiek vai ir iespējama privātpersonu tiesiskā stāvokļa pasliktināšanās, tiesiskās paļāvības princips nodrošina šo personu tiesību aizsardzību, proti, persona var paļauties, ka tā noteiktajā laikā varēs īstenot tai iegūtās tiesības. </w:t>
            </w:r>
          </w:p>
          <w:p w14:paraId="6092CA3E" w14:textId="77777777" w:rsidR="00A02DD8" w:rsidRPr="00A02DD8" w:rsidRDefault="00A02DD8" w:rsidP="00A02DD8">
            <w:pPr>
              <w:spacing w:before="60" w:after="60"/>
              <w:contextualSpacing/>
              <w:jc w:val="both"/>
            </w:pPr>
            <w:r w:rsidRPr="00A02DD8">
              <w:t xml:space="preserve">Papildus norādām, ka no noteikumu projekta 1. punkta redakcijas izriet regulējuma piemērošana ar atpakaļejošu spēku. Latvijas tiesību sistēmā nav piemērojamas tiesību normas ar atpakaļejošu spēku. Proti, </w:t>
            </w:r>
            <w:r w:rsidRPr="00A02DD8">
              <w:lastRenderedPageBreak/>
              <w:t>Oficiālo publikāciju un tiesiskās informācijas likuma 9. panta ceturtā daļa noteic, ka normatīvajam aktam vai tā daļai nav atpakaļejoša spēka, izņemot likumā īpaši paredzētus gadījumus.</w:t>
            </w:r>
          </w:p>
          <w:p w14:paraId="7A659BCA" w14:textId="0EBAA81C" w:rsidR="00A02DD8" w:rsidRPr="00A02DD8" w:rsidRDefault="00A02DD8" w:rsidP="00A02DD8">
            <w:pPr>
              <w:spacing w:before="60" w:after="60"/>
              <w:contextualSpacing/>
              <w:jc w:val="both"/>
            </w:pPr>
            <w:r w:rsidRPr="00A02DD8">
              <w:t xml:space="preserve">Līdz ar to lūdzam projekta anotācijā izvērsti skaidrot, kā projektā paredzētais grozījums par plašāka komercdarbības atbalsta kvalificēšanas regulējuma </w:t>
            </w:r>
            <w:r w:rsidRPr="00A02DD8">
              <w:rPr>
                <w:color w:val="000000" w:themeColor="text1"/>
              </w:rPr>
              <w:t xml:space="preserve">ietievēšana </w:t>
            </w:r>
            <w:r w:rsidRPr="00A02DD8">
              <w:t>noteikumos ietekmēs personas, kuras jau ir saņēmušas atbalstu (vai minētajām personām pasliktināsies tiesiski iegūtais stāvoklis), tai skaitā, vai atbalstu saņēmušās personas ir informētas par iespējamo grozījumu un tās brīvprātīgi piekritušas šādam grozījumam. Ja minētais grozījums negatīvi un bez būtiska pamatojuma ietekmēs personu jau iegūtās tiesības, Tieslietu ministrija nevar atbalstīt projekta tālāku virzību.</w:t>
            </w:r>
          </w:p>
          <w:p w14:paraId="2CE1A5A6" w14:textId="172856F4" w:rsidR="00A02DD8" w:rsidRPr="00A02DD8" w:rsidRDefault="00A02DD8" w:rsidP="00A02DD8">
            <w:pPr>
              <w:spacing w:before="60" w:after="60"/>
              <w:contextualSpacing/>
              <w:jc w:val="both"/>
              <w:rPr>
                <w:b/>
              </w:rPr>
            </w:pPr>
            <w:r w:rsidRPr="00A02DD8">
              <w:t xml:space="preserve">Līdzīgi nepieciešams anotācijā izvērsti skaidrot, kā noteikumu projekta 2. punktā veiktie grozījumi saistībā ar modernizētās infrastruktūras izmantošanu saimniecisku darbību īstenošanai un norēķinu kārtību ietekmēs personas, kuras jau ir izmantojušas modernizēto infrastruktūru, tai skaitā, vai finansējuma saņēmējs ir informētas par iespējamo grozījumu un tās </w:t>
            </w:r>
            <w:r w:rsidRPr="00A02DD8">
              <w:lastRenderedPageBreak/>
              <w:t>brīvprātīgi piekritušas šādam grozījumam.</w:t>
            </w:r>
          </w:p>
        </w:tc>
        <w:tc>
          <w:tcPr>
            <w:tcW w:w="2787" w:type="dxa"/>
            <w:shd w:val="clear" w:color="auto" w:fill="auto"/>
          </w:tcPr>
          <w:p w14:paraId="47A2E876" w14:textId="2C792BB2" w:rsidR="00A02DD8" w:rsidRPr="00A02DD8" w:rsidRDefault="00A02DD8" w:rsidP="00A02DD8">
            <w:pPr>
              <w:spacing w:before="60" w:after="60"/>
              <w:jc w:val="both"/>
              <w:rPr>
                <w:b/>
              </w:rPr>
            </w:pPr>
            <w:r w:rsidRPr="00A02DD8">
              <w:rPr>
                <w:b/>
              </w:rPr>
              <w:lastRenderedPageBreak/>
              <w:t>Ņemts vērā.</w:t>
            </w:r>
          </w:p>
          <w:p w14:paraId="4FE44FE9" w14:textId="1736B440" w:rsidR="00A02DD8" w:rsidRPr="00A02DD8" w:rsidRDefault="00A02DD8" w:rsidP="00A02DD8">
            <w:pPr>
              <w:spacing w:before="60" w:after="60"/>
              <w:jc w:val="both"/>
            </w:pPr>
            <w:r w:rsidRPr="00A02DD8">
              <w:t>Papildināta anotācija.</w:t>
            </w:r>
          </w:p>
          <w:p w14:paraId="5F7FFC25" w14:textId="1CBAFF7B" w:rsidR="00A02DD8" w:rsidRPr="00A02DD8" w:rsidRDefault="00A02DD8" w:rsidP="00A02DD8">
            <w:pPr>
              <w:spacing w:before="60" w:after="60"/>
              <w:jc w:val="both"/>
            </w:pPr>
            <w:r w:rsidRPr="00A02DD8">
              <w:t>Norādām, ka Izglītības un zinātnes ministrija ir informējusi augstākās izglītības iestādes par nosacījumiem, kādā izmanto par publiskiem resursiem modernizētu augstākās izglītības infrastruktūru</w:t>
            </w:r>
            <w:r w:rsidRPr="00A02DD8">
              <w:rPr>
                <w:vertAlign w:val="superscript"/>
              </w:rPr>
              <w:footnoteReference w:id="4"/>
            </w:r>
            <w:r w:rsidRPr="00A02DD8">
              <w:t xml:space="preserve">, ievērojot </w:t>
            </w:r>
            <w:r w:rsidRPr="00A02DD8">
              <w:lastRenderedPageBreak/>
              <w:t xml:space="preserve">EK valsts atbalsta modernizācijas iniciatīvas. </w:t>
            </w:r>
          </w:p>
          <w:p w14:paraId="3F8E29A0" w14:textId="77777777" w:rsidR="00A02DD8" w:rsidRPr="00A02DD8" w:rsidRDefault="00A02DD8" w:rsidP="00A02DD8">
            <w:pPr>
              <w:spacing w:before="60" w:after="60"/>
              <w:jc w:val="both"/>
            </w:pPr>
          </w:p>
          <w:p w14:paraId="679C8CF2" w14:textId="77777777" w:rsidR="00A02DD8" w:rsidRPr="00A02DD8" w:rsidRDefault="00A02DD8" w:rsidP="00A02DD8">
            <w:pPr>
              <w:spacing w:before="60" w:after="60"/>
              <w:jc w:val="both"/>
              <w:rPr>
                <w:b/>
              </w:rPr>
            </w:pPr>
          </w:p>
        </w:tc>
        <w:tc>
          <w:tcPr>
            <w:tcW w:w="4039" w:type="dxa"/>
            <w:shd w:val="clear" w:color="auto" w:fill="auto"/>
          </w:tcPr>
          <w:p w14:paraId="1E8F1953" w14:textId="4D11F259" w:rsidR="00A02DD8" w:rsidRPr="00A02DD8" w:rsidRDefault="00A02DD8" w:rsidP="00A02DD8">
            <w:pPr>
              <w:tabs>
                <w:tab w:val="left" w:pos="1276"/>
              </w:tabs>
              <w:spacing w:before="60" w:after="60"/>
              <w:jc w:val="both"/>
            </w:pPr>
            <w:proofErr w:type="spellStart"/>
            <w:r w:rsidRPr="00A02DD8">
              <w:lastRenderedPageBreak/>
              <w:t>Skat.anotācijas</w:t>
            </w:r>
            <w:proofErr w:type="spellEnd"/>
            <w:r w:rsidRPr="00A02DD8">
              <w:t xml:space="preserve"> 6. lpp.</w:t>
            </w:r>
          </w:p>
          <w:p w14:paraId="257B128D" w14:textId="77777777" w:rsidR="00A02DD8" w:rsidRPr="00A02DD8" w:rsidRDefault="00A02DD8" w:rsidP="00A02DD8">
            <w:pPr>
              <w:ind w:left="101" w:right="102"/>
              <w:jc w:val="both"/>
              <w:rPr>
                <w:color w:val="000000"/>
              </w:rPr>
            </w:pPr>
            <w:r w:rsidRPr="00A02DD8">
              <w:rPr>
                <w:color w:val="000000"/>
              </w:rPr>
              <w:t xml:space="preserve">Noteikumu projekta ieviešanas rezultātā projektu īstenotājiem tiek radīti labvēlīgāki nosacījumi, salīdzinot ar šobrīd esošo situāciju, jo projekta ietvaros modernizētu infrastruktūru var izmantot ne tikai papildinošai saimnieciskai darbībai, bet arī 1) tādu ar saimniecisku darbību saistītu pamatdarbību, </w:t>
            </w:r>
            <w:r w:rsidRPr="00A02DD8">
              <w:rPr>
                <w:b/>
                <w:color w:val="000000"/>
              </w:rPr>
              <w:t>kas neietekmē konkurenci un tirdzniecību starp ES dalībvalstīm</w:t>
            </w:r>
            <w:r w:rsidRPr="00A02DD8">
              <w:rPr>
                <w:color w:val="000000"/>
              </w:rPr>
              <w:t xml:space="preserve">, un 2) </w:t>
            </w:r>
            <w:r w:rsidRPr="00A02DD8">
              <w:rPr>
                <w:color w:val="000000"/>
              </w:rPr>
              <w:lastRenderedPageBreak/>
              <w:t>papildpakalpojumu īstenošanai, ja tiek ievēroti MK noteikumu Nr. 561 35.</w:t>
            </w:r>
            <w:r w:rsidRPr="00A02DD8">
              <w:rPr>
                <w:color w:val="000000"/>
                <w:vertAlign w:val="superscript"/>
              </w:rPr>
              <w:t>1</w:t>
            </w:r>
            <w:r w:rsidRPr="00A02DD8">
              <w:rPr>
                <w:color w:val="000000"/>
              </w:rPr>
              <w:t xml:space="preserve"> punkta nosacījumi. Vienlaikus projekts joprojām var tikt uzskatīts par projektu, kuram nav saimniecisks raksturs.</w:t>
            </w:r>
          </w:p>
          <w:p w14:paraId="37FEE880" w14:textId="4E7EBF53" w:rsidR="00A02DD8" w:rsidRPr="00A02DD8" w:rsidRDefault="00A02DD8" w:rsidP="00A02DD8">
            <w:pPr>
              <w:ind w:left="101" w:right="102"/>
              <w:jc w:val="both"/>
              <w:rPr>
                <w:color w:val="000000"/>
              </w:rPr>
            </w:pPr>
            <w:r w:rsidRPr="00A02DD8">
              <w:rPr>
                <w:color w:val="000000"/>
              </w:rPr>
              <w:t>Skat anotācijas 11.lpp.</w:t>
            </w:r>
          </w:p>
          <w:p w14:paraId="06623D04" w14:textId="1BCC0B86" w:rsidR="00A02DD8" w:rsidRPr="00A02DD8" w:rsidRDefault="00A02DD8" w:rsidP="00A02DD8">
            <w:pPr>
              <w:ind w:left="101" w:right="102"/>
              <w:jc w:val="both"/>
              <w:rPr>
                <w:color w:val="000000"/>
              </w:rPr>
            </w:pPr>
            <w:r w:rsidRPr="00A02DD8">
              <w:rPr>
                <w:color w:val="000000"/>
              </w:rPr>
              <w:t>Finansējuma saņēmēji ir informēti par nosacījumiem, kādā izmanto par publiskiem resursiem modernizētu augstākās izglītības infrastruktūru</w:t>
            </w:r>
            <w:r w:rsidRPr="00A02DD8">
              <w:rPr>
                <w:rStyle w:val="FootnoteReference"/>
                <w:color w:val="000000"/>
              </w:rPr>
              <w:footnoteReference w:id="5"/>
            </w:r>
            <w:r w:rsidRPr="00A02DD8">
              <w:rPr>
                <w:color w:val="000000"/>
              </w:rPr>
              <w:t xml:space="preserve">. </w:t>
            </w:r>
          </w:p>
          <w:p w14:paraId="01CB8332" w14:textId="77777777" w:rsidR="00A02DD8" w:rsidRPr="00A02DD8" w:rsidRDefault="00A02DD8" w:rsidP="00A02DD8">
            <w:pPr>
              <w:spacing w:before="10"/>
              <w:ind w:left="101" w:right="102"/>
              <w:jc w:val="both"/>
              <w:rPr>
                <w:b/>
                <w:color w:val="000000"/>
              </w:rPr>
            </w:pPr>
            <w:r w:rsidRPr="00A02DD8">
              <w:rPr>
                <w:color w:val="000000"/>
              </w:rPr>
              <w:t>Atbildīgā iestāde papildus informēs finansējuma saņēmējus par MK noteikumu Nr. 561 grozījumos ietvertajiem nosacījumiem saistībā ar modernizētās infrastruktūras izmantošanu saimniecisku darbību īstenošanai un norēķinu kārtību.</w:t>
            </w:r>
            <w:r w:rsidRPr="00A02DD8">
              <w:rPr>
                <w:b/>
                <w:color w:val="000000"/>
              </w:rPr>
              <w:t xml:space="preserve"> </w:t>
            </w:r>
          </w:p>
          <w:p w14:paraId="7BD8103A" w14:textId="5C91EB98" w:rsidR="00A02DD8" w:rsidRPr="00A02DD8" w:rsidRDefault="00A02DD8" w:rsidP="00A02DD8">
            <w:pPr>
              <w:tabs>
                <w:tab w:val="left" w:pos="1276"/>
              </w:tabs>
              <w:spacing w:before="60" w:after="60"/>
              <w:jc w:val="both"/>
            </w:pPr>
            <w:r w:rsidRPr="00A02DD8">
              <w:rPr>
                <w:color w:val="000000"/>
              </w:rPr>
              <w:t>Noteikumu projekta ieviešanas rezultātā netiek mainīta MK noteikumu Nr. 561 būtība, bet finansējuma saņēmējam un sadarbības partnerim tiek sniegts detāls skaidrojums par kārtību, kādā izmanto par publiskiem resursiem modernizētu augstākās izglītības infrastruktūru. Tādējādi tiek paaugstināta labuma guvēju pieredze, palielināta normatīvā akta uztveramība, kā rezultātā tiek samazinātas administratīvā sloga ietekmes izmaksas.</w:t>
            </w:r>
          </w:p>
        </w:tc>
      </w:tr>
      <w:tr w:rsidR="00DF0031" w:rsidRPr="00A02DD8" w14:paraId="4C0ACDC0" w14:textId="77777777" w:rsidTr="007E0DD5">
        <w:trPr>
          <w:gridAfter w:val="1"/>
          <w:wAfter w:w="102" w:type="dxa"/>
          <w:trHeight w:val="274"/>
        </w:trPr>
        <w:tc>
          <w:tcPr>
            <w:tcW w:w="644" w:type="dxa"/>
            <w:shd w:val="clear" w:color="auto" w:fill="FFFFFF" w:themeFill="background1"/>
          </w:tcPr>
          <w:p w14:paraId="0B88F4AB" w14:textId="77777777" w:rsidR="00DF0031" w:rsidRPr="00A02DD8" w:rsidRDefault="00DF0031" w:rsidP="00A02DD8">
            <w:pPr>
              <w:numPr>
                <w:ilvl w:val="0"/>
                <w:numId w:val="1"/>
              </w:numPr>
              <w:tabs>
                <w:tab w:val="center" w:pos="284"/>
              </w:tabs>
              <w:spacing w:before="60" w:after="60"/>
              <w:ind w:left="0" w:firstLine="0"/>
            </w:pPr>
          </w:p>
        </w:tc>
        <w:tc>
          <w:tcPr>
            <w:tcW w:w="3467" w:type="dxa"/>
            <w:shd w:val="clear" w:color="auto" w:fill="auto"/>
          </w:tcPr>
          <w:p w14:paraId="201F0A1B" w14:textId="77777777" w:rsidR="00DF0031" w:rsidRPr="00A02DD8" w:rsidRDefault="00DF0031" w:rsidP="00A02DD8">
            <w:pPr>
              <w:spacing w:before="60" w:after="60"/>
              <w:jc w:val="both"/>
            </w:pPr>
          </w:p>
        </w:tc>
        <w:tc>
          <w:tcPr>
            <w:tcW w:w="3827" w:type="dxa"/>
            <w:shd w:val="clear" w:color="auto" w:fill="auto"/>
          </w:tcPr>
          <w:p w14:paraId="22BC5A03" w14:textId="2ED5E8E7" w:rsidR="00DF0031" w:rsidRDefault="00DF0031" w:rsidP="00A02DD8">
            <w:pPr>
              <w:spacing w:before="60" w:after="60"/>
              <w:contextualSpacing/>
              <w:jc w:val="both"/>
              <w:rPr>
                <w:b/>
              </w:rPr>
            </w:pPr>
            <w:r w:rsidRPr="007E0DD5">
              <w:rPr>
                <w:b/>
              </w:rPr>
              <w:t>FM 16.11.2020. izteiktais iebildums:</w:t>
            </w:r>
          </w:p>
          <w:p w14:paraId="61D37A4F" w14:textId="5DF88969" w:rsidR="00DF0031" w:rsidRPr="00A02DD8" w:rsidRDefault="00DF0031" w:rsidP="00A02DD8">
            <w:pPr>
              <w:spacing w:before="60" w:after="60"/>
              <w:contextualSpacing/>
              <w:jc w:val="both"/>
              <w:rPr>
                <w:b/>
              </w:rPr>
            </w:pPr>
            <w:r w:rsidRPr="00DF0031">
              <w:rPr>
                <w:b/>
              </w:rPr>
              <w:t>3.</w:t>
            </w:r>
            <w:r w:rsidRPr="00DF0031">
              <w:rPr>
                <w:b/>
              </w:rPr>
              <w:tab/>
            </w:r>
            <w:r w:rsidRPr="00DF0031">
              <w:t>Lūdzam papildināt anotācijas I sadaļas “Tiesību akta projekta izstrādes nepieciešamība” 2. punktā “Pašreizējā situācija un problēmas, kuru risināšanai tiesību akta projekts izstrādāts, tiesiskā regulējuma mērķis un būtība” (turpmāk – I sadaļas 2.punkts) (3.lpp) sniegto skaidrojumu ar analīzi par atbilstību Komercdarbības atbalsta kontroles likuma (turpmāk – KAKL) 5.pantā minētajām pazīmēm, jo šobrīd skaidrojumā ir ietverta tikai atsauce uz KAKL 5.pantu un gala secinājums.</w:t>
            </w:r>
          </w:p>
        </w:tc>
        <w:tc>
          <w:tcPr>
            <w:tcW w:w="2787" w:type="dxa"/>
            <w:shd w:val="clear" w:color="auto" w:fill="auto"/>
          </w:tcPr>
          <w:p w14:paraId="572E87F6" w14:textId="77777777" w:rsidR="00DF0031" w:rsidRDefault="00C22E85" w:rsidP="00A02DD8">
            <w:pPr>
              <w:spacing w:before="60" w:after="60"/>
              <w:jc w:val="both"/>
              <w:rPr>
                <w:b/>
              </w:rPr>
            </w:pPr>
            <w:r>
              <w:rPr>
                <w:b/>
              </w:rPr>
              <w:t xml:space="preserve">Ņemts vērā. </w:t>
            </w:r>
          </w:p>
          <w:p w14:paraId="2A3B423B" w14:textId="77777777" w:rsidR="00C22E85" w:rsidRDefault="00C22E85" w:rsidP="00C22E85">
            <w:pPr>
              <w:spacing w:before="60" w:after="60"/>
              <w:jc w:val="both"/>
            </w:pPr>
            <w:r>
              <w:t>Papildināta anotācija.</w:t>
            </w:r>
          </w:p>
          <w:p w14:paraId="09081400" w14:textId="451CD5FE" w:rsidR="00C22E85" w:rsidRPr="00C22E85" w:rsidRDefault="00C22E85" w:rsidP="00C22E85">
            <w:pPr>
              <w:spacing w:before="60" w:after="60"/>
              <w:jc w:val="both"/>
            </w:pPr>
            <w:r>
              <w:t>Vienlaikus vēršam uzmanību, ka anotācijas otrajā zemsvītras piezīmē sniegta detāla informācija par KAKL 5. pantā norādītajām komercdarbības atbalsta pazīmēm.</w:t>
            </w:r>
          </w:p>
        </w:tc>
        <w:tc>
          <w:tcPr>
            <w:tcW w:w="4039" w:type="dxa"/>
            <w:shd w:val="clear" w:color="auto" w:fill="auto"/>
          </w:tcPr>
          <w:p w14:paraId="645F6B9F" w14:textId="429BC07F" w:rsidR="001C5A97" w:rsidRDefault="001C5A97" w:rsidP="00C22E85">
            <w:pPr>
              <w:tabs>
                <w:tab w:val="left" w:pos="1276"/>
              </w:tabs>
              <w:spacing w:before="60" w:after="60"/>
              <w:jc w:val="both"/>
            </w:pPr>
            <w:r>
              <w:t xml:space="preserve">Skat. anotācijas 3.-4. </w:t>
            </w:r>
            <w:proofErr w:type="spellStart"/>
            <w:r>
              <w:t>lp</w:t>
            </w:r>
            <w:proofErr w:type="spellEnd"/>
            <w:r>
              <w:t>.:</w:t>
            </w:r>
          </w:p>
          <w:p w14:paraId="2D7C5218" w14:textId="77777777" w:rsidR="001C5A97" w:rsidRDefault="001C5A97" w:rsidP="001C5A97">
            <w:pPr>
              <w:tabs>
                <w:tab w:val="left" w:pos="1276"/>
              </w:tabs>
              <w:spacing w:before="60" w:after="60"/>
              <w:jc w:val="both"/>
            </w:pPr>
            <w:r>
              <w:t xml:space="preserve">situācijā, ja augstākās izglītības institūcijas sniegtajiem izglītības pakalpojumiem ir vietējs raksturs, ko pamato vietējo izglītojamo īpatsvars no kopējā izglītojamo skaita, augstākās izglītības institūcijas vieta pasaules universitāšu reitingos un valoda, kurā sniedz izglītības pakalpojumu, tad augstākās izglītības institūcijas sniegtie izglītības pakalpojumi neietekmē tirdzniecību un neizkropļo konkurenci Eiropas Savienības iekšējā tirgū ietekmes. </w:t>
            </w:r>
          </w:p>
          <w:p w14:paraId="15F3FBAD" w14:textId="1566282E" w:rsidR="00DF0031" w:rsidRPr="00A02DD8" w:rsidRDefault="001C5A97" w:rsidP="001C5A97">
            <w:pPr>
              <w:tabs>
                <w:tab w:val="left" w:pos="1276"/>
              </w:tabs>
              <w:spacing w:before="60" w:after="60"/>
              <w:jc w:val="both"/>
            </w:pPr>
            <w:r>
              <w:t>Minētajā gadījumā publiskie ieguldījumi augstākās izglītības infrastruktūrā nekvalificējas kā komercdarbības atbalsts, jo neizpildās vismaz viena no Komercdarbības atbalsta kontroles likuma 5.pantā noteiktajām komercdarbības atbalsta pazīmēm.</w:t>
            </w:r>
          </w:p>
        </w:tc>
      </w:tr>
      <w:tr w:rsidR="00764E03" w:rsidRPr="00A02DD8" w14:paraId="5BAD36FF" w14:textId="77777777" w:rsidTr="007E0DD5">
        <w:trPr>
          <w:gridAfter w:val="1"/>
          <w:wAfter w:w="102" w:type="dxa"/>
          <w:trHeight w:val="274"/>
        </w:trPr>
        <w:tc>
          <w:tcPr>
            <w:tcW w:w="644" w:type="dxa"/>
            <w:shd w:val="clear" w:color="auto" w:fill="FFFFFF" w:themeFill="background1"/>
          </w:tcPr>
          <w:p w14:paraId="2DB7003F" w14:textId="3BB0A421" w:rsidR="00764E03" w:rsidRPr="00A02DD8" w:rsidRDefault="00764E03" w:rsidP="00A02DD8">
            <w:pPr>
              <w:numPr>
                <w:ilvl w:val="0"/>
                <w:numId w:val="1"/>
              </w:numPr>
              <w:tabs>
                <w:tab w:val="center" w:pos="284"/>
              </w:tabs>
              <w:spacing w:before="60" w:after="60"/>
              <w:ind w:left="0" w:firstLine="0"/>
            </w:pPr>
          </w:p>
        </w:tc>
        <w:tc>
          <w:tcPr>
            <w:tcW w:w="3467" w:type="dxa"/>
            <w:shd w:val="clear" w:color="auto" w:fill="auto"/>
          </w:tcPr>
          <w:p w14:paraId="60914E78" w14:textId="77777777" w:rsidR="00764E03" w:rsidRPr="00A02DD8" w:rsidRDefault="00764E03" w:rsidP="00A02DD8">
            <w:pPr>
              <w:spacing w:before="60" w:after="60"/>
              <w:jc w:val="both"/>
            </w:pPr>
          </w:p>
        </w:tc>
        <w:tc>
          <w:tcPr>
            <w:tcW w:w="3827" w:type="dxa"/>
            <w:shd w:val="clear" w:color="auto" w:fill="auto"/>
          </w:tcPr>
          <w:p w14:paraId="0346954C" w14:textId="77777777" w:rsidR="00764E03" w:rsidRPr="007E0DD5" w:rsidRDefault="00764E03" w:rsidP="00A02DD8">
            <w:pPr>
              <w:spacing w:before="60" w:after="60"/>
              <w:contextualSpacing/>
              <w:jc w:val="both"/>
              <w:rPr>
                <w:b/>
              </w:rPr>
            </w:pPr>
            <w:r w:rsidRPr="007E0DD5">
              <w:rPr>
                <w:b/>
              </w:rPr>
              <w:t>FM 16.11.2020. izteiktais priekšlikums</w:t>
            </w:r>
          </w:p>
          <w:p w14:paraId="417C4CC7" w14:textId="1A3932B5" w:rsidR="00764E03" w:rsidRPr="007E0DD5" w:rsidRDefault="00764E03" w:rsidP="00A02DD8">
            <w:pPr>
              <w:spacing w:before="60" w:after="60"/>
              <w:contextualSpacing/>
              <w:jc w:val="both"/>
            </w:pPr>
            <w:r w:rsidRPr="007E0DD5">
              <w:t>1.</w:t>
            </w:r>
            <w:r w:rsidRPr="007E0DD5">
              <w:tab/>
              <w:t xml:space="preserve">Lūdzam anotācijas I sadaļas 2.punktā (4.lpp) beigās norādīt, ka papildinoša saimnieciska darbība ir iespējama tad, ja austākās izglītības institūcija veic ar saimniecisku darbību nesaistītu pamatdarbību, lai nodrošinātu tiesību akta lietotājus ar </w:t>
            </w:r>
            <w:r w:rsidRPr="007E0DD5">
              <w:lastRenderedPageBreak/>
              <w:t>nepārprotamu skaidrojumu par tiesību akta būtību.</w:t>
            </w:r>
          </w:p>
        </w:tc>
        <w:tc>
          <w:tcPr>
            <w:tcW w:w="2787" w:type="dxa"/>
            <w:shd w:val="clear" w:color="auto" w:fill="auto"/>
          </w:tcPr>
          <w:p w14:paraId="7BA0E05F" w14:textId="77777777" w:rsidR="00764E03" w:rsidRDefault="00764E03" w:rsidP="00764E03">
            <w:pPr>
              <w:spacing w:before="60" w:after="60"/>
              <w:jc w:val="both"/>
              <w:rPr>
                <w:b/>
              </w:rPr>
            </w:pPr>
            <w:r>
              <w:rPr>
                <w:b/>
              </w:rPr>
              <w:lastRenderedPageBreak/>
              <w:t xml:space="preserve">Ņemts vērā. </w:t>
            </w:r>
          </w:p>
          <w:p w14:paraId="589A3972" w14:textId="1FA82BC1" w:rsidR="00764E03" w:rsidRPr="000765FA" w:rsidRDefault="000765FA" w:rsidP="00A02DD8">
            <w:pPr>
              <w:spacing w:before="60" w:after="60"/>
              <w:jc w:val="both"/>
            </w:pPr>
            <w:r w:rsidRPr="000765FA">
              <w:t>Papildināts anotācijas I sadaļas 2. punkts</w:t>
            </w:r>
          </w:p>
        </w:tc>
        <w:tc>
          <w:tcPr>
            <w:tcW w:w="4039" w:type="dxa"/>
            <w:shd w:val="clear" w:color="auto" w:fill="auto"/>
          </w:tcPr>
          <w:p w14:paraId="3FC74B77" w14:textId="4A7856C3" w:rsidR="000765FA" w:rsidRPr="00D5757C" w:rsidRDefault="00D5757C" w:rsidP="00C22E85">
            <w:pPr>
              <w:tabs>
                <w:tab w:val="left" w:pos="1276"/>
              </w:tabs>
              <w:spacing w:before="60" w:after="60"/>
              <w:jc w:val="both"/>
              <w:rPr>
                <w:color w:val="000000"/>
              </w:rPr>
            </w:pPr>
            <w:r w:rsidRPr="00D5757C">
              <w:rPr>
                <w:color w:val="000000"/>
              </w:rPr>
              <w:t>Skat. a</w:t>
            </w:r>
            <w:r w:rsidR="00BC4CBE" w:rsidRPr="00D5757C">
              <w:rPr>
                <w:color w:val="000000"/>
              </w:rPr>
              <w:t>no</w:t>
            </w:r>
            <w:r w:rsidR="000765FA" w:rsidRPr="00D5757C">
              <w:rPr>
                <w:color w:val="000000"/>
              </w:rPr>
              <w:t xml:space="preserve">tācijas </w:t>
            </w:r>
            <w:r w:rsidR="001C5A97">
              <w:rPr>
                <w:color w:val="000000"/>
              </w:rPr>
              <w:t>5</w:t>
            </w:r>
            <w:r w:rsidR="000765FA" w:rsidRPr="00D5757C">
              <w:rPr>
                <w:color w:val="000000"/>
              </w:rPr>
              <w:t xml:space="preserve">. </w:t>
            </w:r>
            <w:proofErr w:type="spellStart"/>
            <w:r w:rsidR="000765FA" w:rsidRPr="00D5757C">
              <w:rPr>
                <w:color w:val="000000"/>
              </w:rPr>
              <w:t>lp</w:t>
            </w:r>
            <w:proofErr w:type="spellEnd"/>
            <w:r w:rsidR="000765FA" w:rsidRPr="00D5757C">
              <w:rPr>
                <w:color w:val="000000"/>
              </w:rPr>
              <w:t>.:</w:t>
            </w:r>
          </w:p>
          <w:p w14:paraId="2F9AAB5F" w14:textId="11A34629" w:rsidR="00764E03" w:rsidRDefault="000765FA" w:rsidP="00C22E85">
            <w:pPr>
              <w:tabs>
                <w:tab w:val="left" w:pos="1276"/>
              </w:tabs>
              <w:spacing w:before="60" w:after="60"/>
              <w:jc w:val="both"/>
            </w:pPr>
            <w:r w:rsidRPr="00D5757C">
              <w:rPr>
                <w:color w:val="000000"/>
              </w:rPr>
              <w:t>papildinoša saimnieciska darbība ir iespējama tad, ja austākās izglītības institūcija īsteno ar saimniecisku darbību nesaistītu pamatdarbību</w:t>
            </w:r>
          </w:p>
        </w:tc>
      </w:tr>
      <w:tr w:rsidR="007E0DD5" w:rsidRPr="00A02DD8" w14:paraId="523853FB" w14:textId="77777777" w:rsidTr="007E0DD5">
        <w:trPr>
          <w:gridAfter w:val="1"/>
          <w:wAfter w:w="102" w:type="dxa"/>
          <w:trHeight w:val="274"/>
        </w:trPr>
        <w:tc>
          <w:tcPr>
            <w:tcW w:w="644" w:type="dxa"/>
            <w:shd w:val="clear" w:color="auto" w:fill="FFFFFF" w:themeFill="background1"/>
          </w:tcPr>
          <w:p w14:paraId="38F29828" w14:textId="77777777" w:rsidR="007E0DD5" w:rsidRPr="00A02DD8" w:rsidRDefault="007E0DD5" w:rsidP="00A02DD8">
            <w:pPr>
              <w:numPr>
                <w:ilvl w:val="0"/>
                <w:numId w:val="1"/>
              </w:numPr>
              <w:tabs>
                <w:tab w:val="center" w:pos="284"/>
              </w:tabs>
              <w:spacing w:before="60" w:after="60"/>
              <w:ind w:left="0" w:firstLine="0"/>
            </w:pPr>
          </w:p>
        </w:tc>
        <w:tc>
          <w:tcPr>
            <w:tcW w:w="3467" w:type="dxa"/>
            <w:shd w:val="clear" w:color="auto" w:fill="auto"/>
          </w:tcPr>
          <w:p w14:paraId="4DC4153D" w14:textId="77777777" w:rsidR="007E0DD5" w:rsidRPr="00A02DD8" w:rsidRDefault="007E0DD5" w:rsidP="00A02DD8">
            <w:pPr>
              <w:spacing w:before="60" w:after="60"/>
              <w:jc w:val="both"/>
            </w:pPr>
          </w:p>
        </w:tc>
        <w:tc>
          <w:tcPr>
            <w:tcW w:w="3827" w:type="dxa"/>
            <w:shd w:val="clear" w:color="auto" w:fill="auto"/>
          </w:tcPr>
          <w:p w14:paraId="0D7E3BF9" w14:textId="249E5AE0" w:rsidR="007E0DD5" w:rsidRDefault="007E0DD5" w:rsidP="00764E03">
            <w:pPr>
              <w:spacing w:before="60" w:after="60"/>
              <w:contextualSpacing/>
              <w:jc w:val="both"/>
              <w:rPr>
                <w:b/>
              </w:rPr>
            </w:pPr>
            <w:r>
              <w:rPr>
                <w:b/>
              </w:rPr>
              <w:t>FM 04.12.2020. priekšlikum</w:t>
            </w:r>
            <w:r w:rsidR="00A24191">
              <w:rPr>
                <w:b/>
              </w:rPr>
              <w:t>i</w:t>
            </w:r>
            <w:r>
              <w:rPr>
                <w:b/>
              </w:rPr>
              <w:t>:</w:t>
            </w:r>
          </w:p>
          <w:p w14:paraId="0B3C1FE0" w14:textId="77777777" w:rsidR="007E0DD5" w:rsidRPr="007E0DD5" w:rsidRDefault="007E0DD5" w:rsidP="007E0DD5">
            <w:pPr>
              <w:spacing w:before="60" w:after="60"/>
              <w:contextualSpacing/>
              <w:jc w:val="both"/>
            </w:pPr>
            <w:r w:rsidRPr="007E0DD5">
              <w:t>Lūdzam precizēt anotācijas I sadaļas “Tiesību akta projekta izstrādes nepieciešamība” 2.punktā “Pašreizējā situācija un problēmas, kuru risināšanai tiesību akta projekts izstrādāts, tiesiskā regulējuma mērķis un būtība” (turpmāk – I sadaļas 2.punkts) (5.lpp) esošo tekstu “Papildinošas saimnieciskās darbības jēdziens nav attiecināms uz gadījumu, ja modernizēto infrastruktūru izmanto vietēja rakstura saimnieciska rakstura pamatdarbību īstenošanai [..]”, svītrojot no tā vārdu “rakstura”, lai būtu skaidrāk uztverama sniegtā informācija.</w:t>
            </w:r>
          </w:p>
          <w:p w14:paraId="6A110310" w14:textId="77777777" w:rsidR="00A24191" w:rsidRPr="00A24191" w:rsidRDefault="00A24191" w:rsidP="00A24191">
            <w:pPr>
              <w:spacing w:before="60" w:after="60"/>
              <w:contextualSpacing/>
              <w:jc w:val="both"/>
            </w:pPr>
            <w:r w:rsidRPr="00A24191">
              <w:t>Ņemot vērā, ka ir mainījusies noteikumu projekta 4.punktā ietvertā 35.</w:t>
            </w:r>
            <w:r w:rsidRPr="00A24191">
              <w:rPr>
                <w:vertAlign w:val="superscript"/>
              </w:rPr>
              <w:t>6</w:t>
            </w:r>
            <w:r w:rsidRPr="00A24191">
              <w:t xml:space="preserve"> punkta apakšpunktu numerācija, lūdzam precizēt anotācijas I sadaļas 2.punktā (10.lpp) ietvertās atsauces uz iepriekš minētā noteikumu projekta punkta apakšpunktiem.</w:t>
            </w:r>
          </w:p>
          <w:p w14:paraId="766FB5C6" w14:textId="7A2226EC" w:rsidR="007E0DD5" w:rsidRPr="007E0DD5" w:rsidRDefault="007E0DD5" w:rsidP="00764E03">
            <w:pPr>
              <w:spacing w:before="60" w:after="60"/>
              <w:contextualSpacing/>
              <w:jc w:val="both"/>
            </w:pPr>
          </w:p>
        </w:tc>
        <w:tc>
          <w:tcPr>
            <w:tcW w:w="2787" w:type="dxa"/>
            <w:shd w:val="clear" w:color="auto" w:fill="auto"/>
          </w:tcPr>
          <w:p w14:paraId="60AE7B5F" w14:textId="77777777" w:rsidR="007E0DD5" w:rsidRDefault="007E0DD5" w:rsidP="007E0DD5">
            <w:pPr>
              <w:spacing w:before="60" w:after="60"/>
              <w:jc w:val="both"/>
              <w:rPr>
                <w:b/>
              </w:rPr>
            </w:pPr>
            <w:r>
              <w:rPr>
                <w:b/>
              </w:rPr>
              <w:t xml:space="preserve">Ņemts vērā. </w:t>
            </w:r>
          </w:p>
          <w:p w14:paraId="369D6D5C" w14:textId="77777777" w:rsidR="007E0DD5" w:rsidRDefault="007E0DD5" w:rsidP="00764E03">
            <w:pPr>
              <w:spacing w:before="60" w:after="60"/>
              <w:jc w:val="both"/>
              <w:rPr>
                <w:b/>
              </w:rPr>
            </w:pPr>
          </w:p>
        </w:tc>
        <w:tc>
          <w:tcPr>
            <w:tcW w:w="4039" w:type="dxa"/>
            <w:shd w:val="clear" w:color="auto" w:fill="auto"/>
          </w:tcPr>
          <w:p w14:paraId="507922C9" w14:textId="77777777" w:rsidR="007E0DD5" w:rsidRDefault="007E0DD5" w:rsidP="00C22E85">
            <w:pPr>
              <w:tabs>
                <w:tab w:val="left" w:pos="1276"/>
              </w:tabs>
              <w:spacing w:before="60" w:after="60"/>
              <w:jc w:val="both"/>
            </w:pPr>
          </w:p>
        </w:tc>
      </w:tr>
      <w:tr w:rsidR="00764E03" w:rsidRPr="00A02DD8" w14:paraId="03B6124D" w14:textId="77777777" w:rsidTr="007E0DD5">
        <w:trPr>
          <w:gridAfter w:val="1"/>
          <w:wAfter w:w="102" w:type="dxa"/>
          <w:trHeight w:val="274"/>
        </w:trPr>
        <w:tc>
          <w:tcPr>
            <w:tcW w:w="644" w:type="dxa"/>
            <w:shd w:val="clear" w:color="auto" w:fill="FFFFFF" w:themeFill="background1"/>
          </w:tcPr>
          <w:p w14:paraId="57C72350" w14:textId="3ECF6CF0" w:rsidR="00764E03" w:rsidRPr="00A02DD8" w:rsidRDefault="00764E03" w:rsidP="00A02DD8">
            <w:pPr>
              <w:numPr>
                <w:ilvl w:val="0"/>
                <w:numId w:val="1"/>
              </w:numPr>
              <w:tabs>
                <w:tab w:val="center" w:pos="284"/>
              </w:tabs>
              <w:spacing w:before="60" w:after="60"/>
              <w:ind w:left="0" w:firstLine="0"/>
            </w:pPr>
          </w:p>
        </w:tc>
        <w:tc>
          <w:tcPr>
            <w:tcW w:w="3467" w:type="dxa"/>
            <w:shd w:val="clear" w:color="auto" w:fill="auto"/>
          </w:tcPr>
          <w:p w14:paraId="0DA2A3A2" w14:textId="77777777" w:rsidR="00764E03" w:rsidRPr="00A02DD8" w:rsidRDefault="00764E03" w:rsidP="00A02DD8">
            <w:pPr>
              <w:spacing w:before="60" w:after="60"/>
              <w:jc w:val="both"/>
            </w:pPr>
          </w:p>
        </w:tc>
        <w:tc>
          <w:tcPr>
            <w:tcW w:w="3827" w:type="dxa"/>
            <w:shd w:val="clear" w:color="auto" w:fill="auto"/>
          </w:tcPr>
          <w:p w14:paraId="6770F8A4" w14:textId="77777777" w:rsidR="00764E03" w:rsidRDefault="00764E03" w:rsidP="00764E03">
            <w:pPr>
              <w:spacing w:before="60" w:after="60"/>
              <w:contextualSpacing/>
              <w:jc w:val="both"/>
              <w:rPr>
                <w:b/>
              </w:rPr>
            </w:pPr>
            <w:r w:rsidRPr="007E0DD5">
              <w:rPr>
                <w:b/>
              </w:rPr>
              <w:t>FM 16.11.2020. izteiktais priekšlikums</w:t>
            </w:r>
          </w:p>
          <w:p w14:paraId="336C4316" w14:textId="3AF6F6E7" w:rsidR="00764E03" w:rsidRPr="00764E03" w:rsidRDefault="00764E03" w:rsidP="00A02DD8">
            <w:pPr>
              <w:spacing w:before="60" w:after="60"/>
              <w:contextualSpacing/>
              <w:jc w:val="both"/>
            </w:pPr>
            <w:r w:rsidRPr="00764E03">
              <w:t>2.</w:t>
            </w:r>
            <w:r w:rsidRPr="00764E03">
              <w:tab/>
              <w:t xml:space="preserve">Lūdzam svītrot anotācijas I sadaļas 2.punktā (2.lpp) norādīto par Eiropas Komisijas paziņojuma par Līguma par Eiropas Savienības darbību 107. panta 1. punktā minēto </w:t>
            </w:r>
            <w:r w:rsidRPr="00764E03">
              <w:lastRenderedPageBreak/>
              <w:t>valsts atbalsta jēdzienu Paziņojumu par Eiropas Savienības Oficiālais Vēstnesis, 2016. gada 19. jūlijs, Nr. C 262/1 29.punktu – “(vairāk kā 50%)” (turpmāk – paziņojums), ņemot vērā, , ka Paziņojuma 29.punktā nav ietverta nekāda norāde par studiju maksas procentuālo īpatsvaru,. Vēršam uzmanību, ka Paziņojuma 29.punktā tiek lietots jēdziens “izglītības pakalpojumi, ko pārsvarā finansē valsts” un 50% norādīšana ir IZM kā nozari pārraugošās institūcijas izšķiršanās.</w:t>
            </w:r>
          </w:p>
        </w:tc>
        <w:tc>
          <w:tcPr>
            <w:tcW w:w="2787" w:type="dxa"/>
            <w:shd w:val="clear" w:color="auto" w:fill="auto"/>
          </w:tcPr>
          <w:p w14:paraId="65CC8EA0" w14:textId="77777777" w:rsidR="00764E03" w:rsidRDefault="00764E03" w:rsidP="00764E03">
            <w:pPr>
              <w:spacing w:before="60" w:after="60"/>
              <w:jc w:val="both"/>
              <w:rPr>
                <w:b/>
              </w:rPr>
            </w:pPr>
            <w:r>
              <w:rPr>
                <w:b/>
              </w:rPr>
              <w:lastRenderedPageBreak/>
              <w:t xml:space="preserve">Ņemts vērā. </w:t>
            </w:r>
          </w:p>
          <w:p w14:paraId="5B567689" w14:textId="129E9170" w:rsidR="00764E03" w:rsidRPr="00CF2B35" w:rsidRDefault="00CF2B35" w:rsidP="00A02DD8">
            <w:pPr>
              <w:spacing w:before="60" w:after="60"/>
              <w:jc w:val="both"/>
            </w:pPr>
            <w:r w:rsidRPr="00CF2B35">
              <w:t>Precizēta anotācijā sniegtā informācija</w:t>
            </w:r>
          </w:p>
        </w:tc>
        <w:tc>
          <w:tcPr>
            <w:tcW w:w="4039" w:type="dxa"/>
            <w:shd w:val="clear" w:color="auto" w:fill="auto"/>
          </w:tcPr>
          <w:p w14:paraId="2A4C2DB1" w14:textId="3822CDFC" w:rsidR="00CF2B35" w:rsidRDefault="00D5757C" w:rsidP="00C22E85">
            <w:pPr>
              <w:tabs>
                <w:tab w:val="left" w:pos="1276"/>
              </w:tabs>
              <w:spacing w:before="60" w:after="60"/>
              <w:jc w:val="both"/>
            </w:pPr>
            <w:r>
              <w:t>Skat. a</w:t>
            </w:r>
            <w:r w:rsidR="00CF2B35">
              <w:t xml:space="preserve">notācijas 2. </w:t>
            </w:r>
            <w:proofErr w:type="spellStart"/>
            <w:r w:rsidR="00CF2B35">
              <w:t>lp</w:t>
            </w:r>
            <w:proofErr w:type="spellEnd"/>
            <w:r w:rsidR="00CF2B35">
              <w:t>.:</w:t>
            </w:r>
          </w:p>
          <w:p w14:paraId="1F0E53EB" w14:textId="0064CA33" w:rsidR="00764E03" w:rsidRDefault="001C5A97" w:rsidP="00C22E85">
            <w:pPr>
              <w:tabs>
                <w:tab w:val="left" w:pos="1276"/>
              </w:tabs>
              <w:spacing w:before="60" w:after="60"/>
              <w:jc w:val="both"/>
            </w:pPr>
            <w:r w:rsidRPr="00B9444C">
              <w:rPr>
                <w:color w:val="000000"/>
                <w:sz w:val="26"/>
                <w:szCs w:val="26"/>
              </w:rPr>
              <w:t>2)</w:t>
            </w:r>
            <w:r>
              <w:rPr>
                <w:color w:val="000000"/>
                <w:sz w:val="26"/>
                <w:szCs w:val="26"/>
              </w:rPr>
              <w:t xml:space="preserve"> </w:t>
            </w:r>
            <w:r w:rsidR="00CF2B35" w:rsidRPr="00CF2B35">
              <w:t xml:space="preserve">vispārējās izglītības pakalpojumiem, ko pārsvarā finansē valsts, nav saimnieciska rakstura </w:t>
            </w:r>
            <w:r w:rsidR="00CF2B35" w:rsidRPr="001C5A97">
              <w:rPr>
                <w:vertAlign w:val="superscript"/>
              </w:rPr>
              <w:t>(43</w:t>
            </w:r>
            <w:r w:rsidR="00CF2B35" w:rsidRPr="00CF2B35">
              <w:t xml:space="preserve">). Šie principi var attiekties uz tādiem valsts izglītības pakalpojumiem kā (…) papildu pakalpojums universitātēs </w:t>
            </w:r>
            <w:r w:rsidR="00CF2B35" w:rsidRPr="00D5757C">
              <w:rPr>
                <w:vertAlign w:val="superscript"/>
              </w:rPr>
              <w:t>(47)</w:t>
            </w:r>
            <w:r w:rsidR="00CF2B35" w:rsidRPr="00CF2B35">
              <w:t xml:space="preserve"> un </w:t>
            </w:r>
            <w:r w:rsidR="00CF2B35" w:rsidRPr="00CF2B35">
              <w:lastRenderedPageBreak/>
              <w:t>izglītības nodrošināšana universitātē</w:t>
            </w:r>
            <w:r>
              <w:t xml:space="preserve"> (29. punkts)</w:t>
            </w:r>
            <w:r w:rsidR="00CF2B35" w:rsidRPr="00CF2B35">
              <w:t>;</w:t>
            </w:r>
          </w:p>
        </w:tc>
      </w:tr>
      <w:tr w:rsidR="00764E03" w:rsidRPr="00A02DD8" w14:paraId="4F71406A" w14:textId="77777777" w:rsidTr="007E0DD5">
        <w:trPr>
          <w:gridAfter w:val="1"/>
          <w:wAfter w:w="102" w:type="dxa"/>
          <w:trHeight w:val="274"/>
        </w:trPr>
        <w:tc>
          <w:tcPr>
            <w:tcW w:w="644" w:type="dxa"/>
            <w:shd w:val="clear" w:color="auto" w:fill="FFFFFF" w:themeFill="background1"/>
          </w:tcPr>
          <w:p w14:paraId="0EA0E792" w14:textId="4781B17F" w:rsidR="00764E03" w:rsidRPr="00A02DD8" w:rsidRDefault="00764E03" w:rsidP="00A02DD8">
            <w:pPr>
              <w:numPr>
                <w:ilvl w:val="0"/>
                <w:numId w:val="1"/>
              </w:numPr>
              <w:tabs>
                <w:tab w:val="center" w:pos="284"/>
              </w:tabs>
              <w:spacing w:before="60" w:after="60"/>
              <w:ind w:left="0" w:firstLine="0"/>
            </w:pPr>
          </w:p>
        </w:tc>
        <w:tc>
          <w:tcPr>
            <w:tcW w:w="3467" w:type="dxa"/>
            <w:shd w:val="clear" w:color="auto" w:fill="auto"/>
          </w:tcPr>
          <w:p w14:paraId="4DE0801D" w14:textId="77777777" w:rsidR="00764E03" w:rsidRPr="00A02DD8" w:rsidRDefault="00764E03" w:rsidP="00A02DD8">
            <w:pPr>
              <w:spacing w:before="60" w:after="60"/>
              <w:jc w:val="both"/>
            </w:pPr>
          </w:p>
        </w:tc>
        <w:tc>
          <w:tcPr>
            <w:tcW w:w="3827" w:type="dxa"/>
            <w:shd w:val="clear" w:color="auto" w:fill="auto"/>
          </w:tcPr>
          <w:p w14:paraId="73FF9812" w14:textId="77777777" w:rsidR="00764E03" w:rsidRDefault="00764E03" w:rsidP="00764E03">
            <w:pPr>
              <w:spacing w:before="60" w:after="60"/>
              <w:contextualSpacing/>
              <w:jc w:val="both"/>
              <w:rPr>
                <w:b/>
              </w:rPr>
            </w:pPr>
            <w:r w:rsidRPr="007E0DD5">
              <w:rPr>
                <w:b/>
              </w:rPr>
              <w:t>FM 16.11.2020. izteiktais priekšlikums</w:t>
            </w:r>
          </w:p>
          <w:p w14:paraId="389FBB97" w14:textId="07510776" w:rsidR="00764E03" w:rsidRPr="00764E03" w:rsidRDefault="00764E03" w:rsidP="00A02DD8">
            <w:pPr>
              <w:spacing w:before="60" w:after="60"/>
              <w:contextualSpacing/>
              <w:jc w:val="both"/>
            </w:pPr>
            <w:r w:rsidRPr="00764E03">
              <w:t>3.</w:t>
            </w:r>
            <w:r w:rsidRPr="00764E03">
              <w:tab/>
              <w:t>Lūdzam papildināt anotācijas I sadaļas 2.punktu (9.lpp) pie 1.punkta ar skaidrojumu, ka ar saimniecisku pamatdarbību nesaistītai infrastruktūrai veiktās papildinošās saimnieciskās darbības tiek uzraudzītas ikgadēji, un gadījumā, ja tiek secināts, ka kādā no gadiem ir pārsniegts maksimāli pieļaujamais papildinošu saimniecisku darbību apjoms (20% no infrastruktūras jaudas), tiek veikta nelikumīga komercdarbības atbalsta atgūšana par konkrēto nelikumības periodu, šajā gadījumā – konkrēto gadu kopā ar procentiem.</w:t>
            </w:r>
          </w:p>
        </w:tc>
        <w:tc>
          <w:tcPr>
            <w:tcW w:w="2787" w:type="dxa"/>
            <w:shd w:val="clear" w:color="auto" w:fill="auto"/>
          </w:tcPr>
          <w:p w14:paraId="7388828A" w14:textId="77777777" w:rsidR="00764E03" w:rsidRDefault="00764E03" w:rsidP="00764E03">
            <w:pPr>
              <w:spacing w:before="60" w:after="60"/>
              <w:jc w:val="both"/>
              <w:rPr>
                <w:b/>
              </w:rPr>
            </w:pPr>
            <w:r>
              <w:rPr>
                <w:b/>
              </w:rPr>
              <w:t xml:space="preserve">Ņemts vērā. </w:t>
            </w:r>
          </w:p>
          <w:p w14:paraId="62EC6EA3" w14:textId="39E969D0" w:rsidR="00764E03" w:rsidRPr="005C2D8F" w:rsidRDefault="005C2D8F" w:rsidP="00A02DD8">
            <w:pPr>
              <w:spacing w:before="60" w:after="60"/>
              <w:jc w:val="both"/>
            </w:pPr>
            <w:r w:rsidRPr="005C2D8F">
              <w:t>Papildināta anotācija.</w:t>
            </w:r>
          </w:p>
        </w:tc>
        <w:tc>
          <w:tcPr>
            <w:tcW w:w="4039" w:type="dxa"/>
            <w:shd w:val="clear" w:color="auto" w:fill="auto"/>
          </w:tcPr>
          <w:p w14:paraId="5F1CE0C1" w14:textId="36430396" w:rsidR="00764E03" w:rsidRDefault="005C2D8F" w:rsidP="00C22E85">
            <w:pPr>
              <w:tabs>
                <w:tab w:val="left" w:pos="1276"/>
              </w:tabs>
              <w:spacing w:before="60" w:after="60"/>
              <w:jc w:val="both"/>
            </w:pPr>
            <w:r>
              <w:t xml:space="preserve">Anotācijas 10. </w:t>
            </w:r>
            <w:proofErr w:type="spellStart"/>
            <w:r>
              <w:t>lp</w:t>
            </w:r>
            <w:proofErr w:type="spellEnd"/>
            <w:r>
              <w:t>.</w:t>
            </w:r>
            <w:r w:rsidR="00D5757C">
              <w:t>:</w:t>
            </w:r>
          </w:p>
          <w:p w14:paraId="235D5ACD" w14:textId="18122B30" w:rsidR="005C2D8F" w:rsidRDefault="005C2D8F" w:rsidP="00C22E85">
            <w:pPr>
              <w:tabs>
                <w:tab w:val="left" w:pos="1276"/>
              </w:tabs>
              <w:spacing w:before="60" w:after="60"/>
              <w:jc w:val="both"/>
            </w:pPr>
            <w:r w:rsidRPr="005C2D8F">
              <w:t>Sadarbības iestāde veic ikgadēju papildinošās saimnieciskās darbības uzraudzību. Gadījumā, ja tiek secināts, ka kādā no gadiem ir pārsniegts maksimāli pieļaujamais papildinošu saimniecisku darbību apjoms (20% no infrastruktūras kapacitātes), tiek veikta nelikumīga komercdarbības atbalsta atgūšana par konkrēto gadu atbilstoši MK noteikumu Nr. 561 35.</w:t>
            </w:r>
            <w:r w:rsidRPr="005C2D8F">
              <w:rPr>
                <w:vertAlign w:val="superscript"/>
              </w:rPr>
              <w:t>4</w:t>
            </w:r>
            <w:r w:rsidRPr="005C2D8F">
              <w:t xml:space="preserve"> punkta nosacījumiem.</w:t>
            </w:r>
          </w:p>
        </w:tc>
      </w:tr>
      <w:tr w:rsidR="00764E03" w:rsidRPr="00A02DD8" w14:paraId="514ADE3B" w14:textId="77777777" w:rsidTr="007E0DD5">
        <w:trPr>
          <w:gridAfter w:val="1"/>
          <w:wAfter w:w="102" w:type="dxa"/>
          <w:trHeight w:val="274"/>
        </w:trPr>
        <w:tc>
          <w:tcPr>
            <w:tcW w:w="644" w:type="dxa"/>
            <w:shd w:val="clear" w:color="auto" w:fill="FFFFFF" w:themeFill="background1"/>
          </w:tcPr>
          <w:p w14:paraId="32BCAC07" w14:textId="77777777" w:rsidR="00764E03" w:rsidRPr="00A02DD8" w:rsidRDefault="00764E03" w:rsidP="00A02DD8">
            <w:pPr>
              <w:numPr>
                <w:ilvl w:val="0"/>
                <w:numId w:val="1"/>
              </w:numPr>
              <w:tabs>
                <w:tab w:val="center" w:pos="284"/>
              </w:tabs>
              <w:spacing w:before="60" w:after="60"/>
              <w:ind w:left="0" w:firstLine="0"/>
            </w:pPr>
          </w:p>
        </w:tc>
        <w:tc>
          <w:tcPr>
            <w:tcW w:w="3467" w:type="dxa"/>
            <w:shd w:val="clear" w:color="auto" w:fill="auto"/>
          </w:tcPr>
          <w:p w14:paraId="0B2057F8" w14:textId="77777777" w:rsidR="00764E03" w:rsidRPr="00A02DD8" w:rsidRDefault="00764E03" w:rsidP="00A02DD8">
            <w:pPr>
              <w:spacing w:before="60" w:after="60"/>
              <w:jc w:val="both"/>
            </w:pPr>
          </w:p>
        </w:tc>
        <w:tc>
          <w:tcPr>
            <w:tcW w:w="3827" w:type="dxa"/>
            <w:shd w:val="clear" w:color="auto" w:fill="auto"/>
          </w:tcPr>
          <w:p w14:paraId="2F79EB58" w14:textId="77777777" w:rsidR="00764E03" w:rsidRDefault="00764E03" w:rsidP="00764E03">
            <w:pPr>
              <w:spacing w:before="60" w:after="60"/>
              <w:contextualSpacing/>
              <w:jc w:val="both"/>
              <w:rPr>
                <w:b/>
              </w:rPr>
            </w:pPr>
            <w:r w:rsidRPr="007E0DD5">
              <w:rPr>
                <w:b/>
              </w:rPr>
              <w:t>FM 16.11.2020. izteiktais priekšlikums</w:t>
            </w:r>
          </w:p>
          <w:p w14:paraId="72DB8D3F" w14:textId="10B83B43" w:rsidR="00764E03" w:rsidRPr="00764E03" w:rsidRDefault="00764E03" w:rsidP="00A02DD8">
            <w:pPr>
              <w:spacing w:before="60" w:after="60"/>
              <w:contextualSpacing/>
              <w:jc w:val="both"/>
            </w:pPr>
            <w:r w:rsidRPr="00764E03">
              <w:lastRenderedPageBreak/>
              <w:t>4.</w:t>
            </w:r>
            <w:r w:rsidRPr="00764E03">
              <w:tab/>
              <w:t>Lūdzam anotācijas I sadaļas 2.punkta (10.lpp) pirmajā rindkopā svītrot vārdus “[..] tās saimnieciskā pamatdarbība nav kvalificējama kā papildinoša saimnieciskā darbība un [..]”, lai novērstu nekorektas interpretācijas iespēju.</w:t>
            </w:r>
          </w:p>
        </w:tc>
        <w:tc>
          <w:tcPr>
            <w:tcW w:w="2787" w:type="dxa"/>
            <w:shd w:val="clear" w:color="auto" w:fill="auto"/>
          </w:tcPr>
          <w:p w14:paraId="5704CFFB" w14:textId="77777777" w:rsidR="00764E03" w:rsidRDefault="00764E03" w:rsidP="00764E03">
            <w:pPr>
              <w:spacing w:before="60" w:after="60"/>
              <w:jc w:val="both"/>
              <w:rPr>
                <w:b/>
              </w:rPr>
            </w:pPr>
            <w:r>
              <w:rPr>
                <w:b/>
              </w:rPr>
              <w:lastRenderedPageBreak/>
              <w:t xml:space="preserve">Ņemts vērā. </w:t>
            </w:r>
          </w:p>
          <w:p w14:paraId="6BC6A704" w14:textId="1590E520" w:rsidR="00764E03" w:rsidRDefault="00BC4CBE" w:rsidP="00BC4CBE">
            <w:pPr>
              <w:spacing w:before="60" w:after="60"/>
              <w:jc w:val="both"/>
              <w:rPr>
                <w:b/>
              </w:rPr>
            </w:pPr>
            <w:r>
              <w:rPr>
                <w:b/>
              </w:rPr>
              <w:lastRenderedPageBreak/>
              <w:t>Svītroti vārdi „</w:t>
            </w:r>
            <w:r w:rsidRPr="00764E03">
              <w:t>tās saimnieciskā pamatdarbība nav kvalificējama kā papildinoša saimnieciskā darbība un</w:t>
            </w:r>
            <w:r>
              <w:t>”</w:t>
            </w:r>
          </w:p>
        </w:tc>
        <w:tc>
          <w:tcPr>
            <w:tcW w:w="4039" w:type="dxa"/>
            <w:shd w:val="clear" w:color="auto" w:fill="auto"/>
          </w:tcPr>
          <w:p w14:paraId="3F022B7B" w14:textId="77777777" w:rsidR="00764E03" w:rsidRDefault="00764E03" w:rsidP="00C22E85">
            <w:pPr>
              <w:tabs>
                <w:tab w:val="left" w:pos="1276"/>
              </w:tabs>
              <w:spacing w:before="60" w:after="60"/>
              <w:jc w:val="both"/>
            </w:pPr>
          </w:p>
        </w:tc>
      </w:tr>
      <w:tr w:rsidR="00A02DD8" w:rsidRPr="00A02DD8" w14:paraId="7F5AC12D" w14:textId="77777777" w:rsidTr="007E0DD5">
        <w:trPr>
          <w:gridAfter w:val="1"/>
          <w:wAfter w:w="102" w:type="dxa"/>
          <w:trHeight w:val="274"/>
        </w:trPr>
        <w:tc>
          <w:tcPr>
            <w:tcW w:w="14764" w:type="dxa"/>
            <w:gridSpan w:val="5"/>
            <w:shd w:val="clear" w:color="auto" w:fill="FFFFFF" w:themeFill="background1"/>
          </w:tcPr>
          <w:p w14:paraId="7479CA82" w14:textId="2F22C0EF" w:rsidR="00A02DD8" w:rsidRPr="00A02DD8" w:rsidRDefault="00A02DD8" w:rsidP="00A02DD8">
            <w:pPr>
              <w:tabs>
                <w:tab w:val="left" w:pos="1276"/>
              </w:tabs>
              <w:spacing w:before="60" w:after="60"/>
              <w:jc w:val="both"/>
            </w:pPr>
            <w:proofErr w:type="spellStart"/>
            <w:r w:rsidRPr="00A02DD8">
              <w:lastRenderedPageBreak/>
              <w:t>Protokollēmums</w:t>
            </w:r>
            <w:proofErr w:type="spellEnd"/>
          </w:p>
        </w:tc>
      </w:tr>
      <w:tr w:rsidR="00A02DD8" w:rsidRPr="00A02DD8" w14:paraId="59039673" w14:textId="77777777" w:rsidTr="007E0DD5">
        <w:trPr>
          <w:gridAfter w:val="1"/>
          <w:wAfter w:w="102" w:type="dxa"/>
          <w:trHeight w:val="274"/>
        </w:trPr>
        <w:tc>
          <w:tcPr>
            <w:tcW w:w="644" w:type="dxa"/>
            <w:shd w:val="clear" w:color="auto" w:fill="FFFFFF" w:themeFill="background1"/>
          </w:tcPr>
          <w:p w14:paraId="7588AA6E" w14:textId="77777777" w:rsidR="00A02DD8" w:rsidRPr="00A02DD8" w:rsidRDefault="00A02DD8" w:rsidP="00A02DD8">
            <w:pPr>
              <w:numPr>
                <w:ilvl w:val="0"/>
                <w:numId w:val="1"/>
              </w:numPr>
              <w:tabs>
                <w:tab w:val="center" w:pos="284"/>
              </w:tabs>
              <w:spacing w:before="60" w:after="60"/>
              <w:ind w:left="0" w:firstLine="0"/>
            </w:pPr>
          </w:p>
        </w:tc>
        <w:tc>
          <w:tcPr>
            <w:tcW w:w="3467" w:type="dxa"/>
            <w:shd w:val="clear" w:color="auto" w:fill="auto"/>
          </w:tcPr>
          <w:p w14:paraId="01B5767C" w14:textId="31F4D71A" w:rsidR="00A02DD8" w:rsidRPr="00A02DD8" w:rsidRDefault="00A02DD8" w:rsidP="00A02DD8">
            <w:pPr>
              <w:spacing w:before="60" w:after="60"/>
              <w:jc w:val="both"/>
            </w:pPr>
            <w:r w:rsidRPr="00A02DD8">
              <w:t>2.punkts</w:t>
            </w:r>
          </w:p>
          <w:p w14:paraId="08919358" w14:textId="77777777" w:rsidR="00A02DD8" w:rsidRPr="00A02DD8" w:rsidRDefault="00A02DD8" w:rsidP="00A02DD8">
            <w:pPr>
              <w:spacing w:before="60" w:after="60"/>
              <w:jc w:val="both"/>
            </w:pPr>
            <w:r w:rsidRPr="00A02DD8">
              <w:t>Finanšu ministrijai sadarbībā ar Izglītības un zinātnes ministriju:</w:t>
            </w:r>
          </w:p>
          <w:p w14:paraId="16FF3E04" w14:textId="53CE4C8B" w:rsidR="00A02DD8" w:rsidRPr="00A02DD8" w:rsidRDefault="00A02DD8" w:rsidP="00A02DD8">
            <w:pPr>
              <w:spacing w:before="60" w:after="60"/>
              <w:jc w:val="both"/>
            </w:pPr>
            <w:r w:rsidRPr="00A02DD8">
              <w:t xml:space="preserve">2.1. rast risinājumu, lai nodrošinātu 8.1.1. specifiskā atbalsta mērķa "Palielināt modernizēto STEM, tajā skaitā medicīnas un radošās industrijas, studiju programmu skaitu" īstenošanas noteikumi" (turpmāk – SAM 8.1.1. projekti) uzraudzībai nepieciešamo papildu finansējumu 221 922 </w:t>
            </w:r>
            <w:proofErr w:type="spellStart"/>
            <w:r w:rsidRPr="00A02DD8">
              <w:t>euro</w:t>
            </w:r>
            <w:proofErr w:type="spellEnd"/>
            <w:r w:rsidRPr="00A02DD8">
              <w:t xml:space="preserve"> apmērā laikposmam no 2021. gada 1. janvāra līdz 2039. gada 31. decembrim, izstrādājot Eiropas Savienības Kohēzijas politikas 2021.–2027. gadam ieviešanas nosacījumus pētniecības un inovācijas attīstībai Latvijā vai izskatot jautājumu par papildu finansējuma piešķiršanu Ministru kabinetā gadskārtējā valsts budžeta likumprojekta un vidēja termiņa budžeta ietvara </w:t>
            </w:r>
            <w:r w:rsidRPr="00A02DD8">
              <w:lastRenderedPageBreak/>
              <w:t>likumprojekta sagatavošanas un izskatīšanas procesā kopā ar visu ministriju un centrālo valsts iestāžu iesniegtajiem prioritārajiem pasākumiem atbilstoši valsts budžeta finansiālajām iespējām;</w:t>
            </w:r>
          </w:p>
        </w:tc>
        <w:tc>
          <w:tcPr>
            <w:tcW w:w="3827" w:type="dxa"/>
            <w:shd w:val="clear" w:color="auto" w:fill="auto"/>
          </w:tcPr>
          <w:p w14:paraId="0AA3CFBA" w14:textId="77777777" w:rsidR="00A02DD8" w:rsidRPr="00A02DD8" w:rsidRDefault="00A02DD8" w:rsidP="00A02DD8">
            <w:pPr>
              <w:spacing w:before="60" w:after="60"/>
              <w:contextualSpacing/>
              <w:jc w:val="both"/>
              <w:rPr>
                <w:b/>
              </w:rPr>
            </w:pPr>
            <w:r w:rsidRPr="00A02DD8">
              <w:rPr>
                <w:b/>
              </w:rPr>
              <w:lastRenderedPageBreak/>
              <w:t xml:space="preserve">FM </w:t>
            </w:r>
          </w:p>
          <w:p w14:paraId="358C6458" w14:textId="21B03506" w:rsidR="00A02DD8" w:rsidRPr="00A02DD8" w:rsidRDefault="00A02DD8" w:rsidP="00A02DD8">
            <w:pPr>
              <w:spacing w:before="60" w:after="60"/>
              <w:contextualSpacing/>
              <w:jc w:val="both"/>
            </w:pPr>
            <w:r w:rsidRPr="00A02DD8">
              <w:t xml:space="preserve">Lūdzam izteikt </w:t>
            </w:r>
            <w:proofErr w:type="spellStart"/>
            <w:r w:rsidRPr="00A02DD8">
              <w:t>protokollēmuma</w:t>
            </w:r>
            <w:proofErr w:type="spellEnd"/>
            <w:r w:rsidRPr="00A02DD8">
              <w:t xml:space="preserve"> 2.punktu šādā redakcijā, lai tas būtu juridiski atbilstošs:</w:t>
            </w:r>
          </w:p>
          <w:p w14:paraId="65F25411" w14:textId="77777777" w:rsidR="00A02DD8" w:rsidRPr="00A02DD8" w:rsidRDefault="00A02DD8" w:rsidP="00A02DD8">
            <w:pPr>
              <w:spacing w:before="60" w:after="60"/>
              <w:contextualSpacing/>
              <w:jc w:val="both"/>
            </w:pPr>
            <w:r w:rsidRPr="00A02DD8">
              <w:t>“2. Izglītības un zinātnes ministrijai sadarbībā ar Finanšu ministriju:</w:t>
            </w:r>
          </w:p>
          <w:p w14:paraId="1C8FF0B0" w14:textId="77777777" w:rsidR="00A02DD8" w:rsidRPr="00A02DD8" w:rsidRDefault="00A02DD8" w:rsidP="00A02DD8">
            <w:pPr>
              <w:spacing w:before="60" w:after="60"/>
              <w:contextualSpacing/>
              <w:jc w:val="both"/>
            </w:pPr>
            <w:r w:rsidRPr="00A02DD8">
              <w:t xml:space="preserve">2.1. rast risinājumu, lai nodrošinātu 8.1.1.specifiskā atbalsta mērķa “Palielināt modernizēto STEM, tajā skaitā medicīnas un radošās industrijas, studiju programmu skaitu” (turpmāk – SAM 8.1.1.) projektu uzraudzībai nepieciešamo papildu finansējumu 201 995 </w:t>
            </w:r>
            <w:proofErr w:type="spellStart"/>
            <w:r w:rsidRPr="00A02DD8">
              <w:t>euro</w:t>
            </w:r>
            <w:proofErr w:type="spellEnd"/>
            <w:r w:rsidRPr="00A02DD8">
              <w:t xml:space="preserve"> apmērā laikposmam no 2022.gada 1.janvāra līdz 2038. gada 31.decembrim, izstrādājot Eiropas Savienības Kohēzijas politikas 2021.–2027.gadam ieviešanas nosacījumus </w:t>
            </w:r>
            <w:r w:rsidRPr="00A02DD8">
              <w:rPr>
                <w:color w:val="000000" w:themeColor="text1"/>
              </w:rPr>
              <w:t xml:space="preserve">pētniecības un inovācijas attīstībai </w:t>
            </w:r>
            <w:r w:rsidRPr="00A02DD8">
              <w:t xml:space="preserve">Latvijā vai izskatot jautājumu par papildu finansējuma piešķiršanu Ministru kabinetā gadskārtējā valsts budžeta likumprojekta un vidēja termiņa budžeta ietvara likumprojekta </w:t>
            </w:r>
            <w:r w:rsidRPr="00A02DD8">
              <w:lastRenderedPageBreak/>
              <w:t>sagatavošanas un izskatīšanas procesā kopā ar visu ministriju un centrālo valsts iestāžu iesniegtajiem prioritārajiem pasākumiem atbilstoši valsts budžeta finansiālajām iespējām; […]”,</w:t>
            </w:r>
          </w:p>
          <w:p w14:paraId="58FAE343" w14:textId="5911419D" w:rsidR="00A02DD8" w:rsidRPr="00A02DD8" w:rsidRDefault="00A02DD8" w:rsidP="00A02DD8">
            <w:pPr>
              <w:spacing w:before="60" w:after="60"/>
              <w:contextualSpacing/>
              <w:jc w:val="both"/>
              <w:rPr>
                <w:b/>
              </w:rPr>
            </w:pPr>
            <w:r w:rsidRPr="00A02DD8">
              <w:t>ņemot vērā, ka izglītības jomas ieguldījumu plānošana ir IZM kompetence, vienlaikus vēršam uzmanību, ka atbilstoši MK 2020.gada 25.februāra protokola Nr.8 33§ 5.punktam, darbības programmas 2021.–2027.gadam ietvaros plānotās investīcijas ir jābalsta uz Nacionālajā attīstības plānā 2021.–2027.gadam ietvertajiem pasākumiem.</w:t>
            </w:r>
          </w:p>
        </w:tc>
        <w:tc>
          <w:tcPr>
            <w:tcW w:w="2787" w:type="dxa"/>
            <w:shd w:val="clear" w:color="auto" w:fill="auto"/>
          </w:tcPr>
          <w:p w14:paraId="779DE82C" w14:textId="77777777" w:rsidR="00A02DD8" w:rsidRPr="00A02DD8" w:rsidRDefault="00A02DD8" w:rsidP="00A02DD8">
            <w:pPr>
              <w:spacing w:before="60" w:after="60"/>
              <w:jc w:val="both"/>
              <w:rPr>
                <w:b/>
              </w:rPr>
            </w:pPr>
            <w:r w:rsidRPr="00A02DD8">
              <w:rPr>
                <w:b/>
              </w:rPr>
              <w:lastRenderedPageBreak/>
              <w:t>Ņemts vērā.</w:t>
            </w:r>
          </w:p>
          <w:p w14:paraId="2BED69F1" w14:textId="73524D91" w:rsidR="00A02DD8" w:rsidRPr="00A02DD8" w:rsidRDefault="00A02DD8" w:rsidP="00A02DD8">
            <w:pPr>
              <w:spacing w:before="60" w:after="60"/>
              <w:jc w:val="both"/>
              <w:rPr>
                <w:b/>
              </w:rPr>
            </w:pPr>
            <w:r w:rsidRPr="00A02DD8">
              <w:t>Vienlaikus teikuma daļa „pētniecības un inovācijas attīstībai” aizstāta ar „augstākās izglītības attīstībai” un precizēts indikatīvais projektu uzraudzībai nepieciešamais finansējums atbilstoši anotācijas pielikumā norādītajam.</w:t>
            </w:r>
          </w:p>
        </w:tc>
        <w:tc>
          <w:tcPr>
            <w:tcW w:w="4039" w:type="dxa"/>
            <w:shd w:val="clear" w:color="auto" w:fill="auto"/>
          </w:tcPr>
          <w:p w14:paraId="54AD136A" w14:textId="053AE6CB" w:rsidR="00A02DD8" w:rsidRPr="00A02DD8" w:rsidRDefault="00A02DD8" w:rsidP="00A02DD8">
            <w:pPr>
              <w:tabs>
                <w:tab w:val="left" w:pos="1276"/>
              </w:tabs>
              <w:spacing w:before="60" w:after="60"/>
              <w:jc w:val="both"/>
            </w:pPr>
            <w:proofErr w:type="spellStart"/>
            <w:r w:rsidRPr="00A02DD8">
              <w:t>Protokollēmuma</w:t>
            </w:r>
            <w:proofErr w:type="spellEnd"/>
            <w:r w:rsidRPr="00A02DD8">
              <w:t xml:space="preserve"> 2.punkts</w:t>
            </w:r>
          </w:p>
          <w:p w14:paraId="4E060BE8" w14:textId="4CE2A1E0" w:rsidR="00A02DD8" w:rsidRPr="00A02DD8" w:rsidRDefault="00A02DD8" w:rsidP="00A02DD8">
            <w:pPr>
              <w:tabs>
                <w:tab w:val="left" w:pos="1276"/>
              </w:tabs>
              <w:spacing w:before="60" w:after="60"/>
              <w:jc w:val="both"/>
            </w:pPr>
            <w:r w:rsidRPr="00A02DD8">
              <w:t xml:space="preserve">Izglītības un zinātnes ministrijai sadarbībā ar Finanšu ministriju rast risinājumu, lai nodrošinātu 8.1.1.specifiskā atbalsta mērķa “Palielināt modernizēto STEM, tajā skaitā medicīnas un radošās industrijas, studiju programmu skaitu” projektu uzraudzībai nepieciešamo papildu finansējumu 214 613 </w:t>
            </w:r>
            <w:proofErr w:type="spellStart"/>
            <w:r w:rsidRPr="00A02DD8">
              <w:rPr>
                <w:i/>
              </w:rPr>
              <w:t>euro</w:t>
            </w:r>
            <w:proofErr w:type="spellEnd"/>
            <w:r w:rsidRPr="00A02DD8">
              <w:t xml:space="preserve"> apmērā laikposmam no 2022.gada 1.janvāra līdz 2039. gada 31.decembrim, izstrādājot Eiropas Savienības Kohēzijas politikas 2021.–2027.gadam ieviešanas nosacījumus augstākās izglītības attīstībai Latvijā vai izskatot jautājumu par papildu finansējuma piešķiršanu Ministru kabinetā gadskārtējā valsts budžeta likumprojekta un vidēja termiņa budžeta ietvara likumprojekta sagatavošanas un izskatīšanas procesā kopā ar visu ministriju un centrālo valsts iestāžu iesniegtajiem prioritārajiem </w:t>
            </w:r>
            <w:r w:rsidRPr="00A02DD8">
              <w:lastRenderedPageBreak/>
              <w:t>pasākumiem atbilstoši valsts budžeta finansiālajām iespējām</w:t>
            </w:r>
          </w:p>
        </w:tc>
      </w:tr>
      <w:tr w:rsidR="00A02DD8" w:rsidRPr="00C4242D" w14:paraId="710ACB66" w14:textId="77777777" w:rsidTr="007E0DD5">
        <w:trPr>
          <w:trHeight w:val="699"/>
        </w:trPr>
        <w:tc>
          <w:tcPr>
            <w:tcW w:w="14866" w:type="dxa"/>
            <w:gridSpan w:val="6"/>
            <w:tcBorders>
              <w:left w:val="nil"/>
              <w:bottom w:val="nil"/>
              <w:right w:val="nil"/>
            </w:tcBorders>
            <w:shd w:val="clear" w:color="auto" w:fill="FFFFFF" w:themeFill="background1"/>
          </w:tcPr>
          <w:p w14:paraId="20B25BE7" w14:textId="63AEFB65" w:rsidR="00A02DD8" w:rsidRPr="00A02DD8" w:rsidRDefault="00A02DD8" w:rsidP="00A02DD8">
            <w:pPr>
              <w:tabs>
                <w:tab w:val="center" w:pos="284"/>
              </w:tabs>
              <w:spacing w:before="60" w:after="60"/>
            </w:pPr>
          </w:p>
          <w:p w14:paraId="6D281CF9" w14:textId="77777777" w:rsidR="00A02DD8" w:rsidRPr="00A02DD8" w:rsidRDefault="00A02DD8" w:rsidP="00A02DD8">
            <w:pPr>
              <w:tabs>
                <w:tab w:val="center" w:pos="284"/>
              </w:tabs>
              <w:spacing w:before="60" w:after="60"/>
            </w:pPr>
          </w:p>
          <w:p w14:paraId="60464F45" w14:textId="40A889B6" w:rsidR="00A02DD8" w:rsidRPr="00A02DD8" w:rsidRDefault="00A02DD8" w:rsidP="00A02DD8">
            <w:pPr>
              <w:spacing w:before="60" w:after="60"/>
              <w:rPr>
                <w:sz w:val="22"/>
                <w:szCs w:val="22"/>
              </w:rPr>
            </w:pPr>
            <w:r w:rsidRPr="00A02DD8">
              <w:rPr>
                <w:sz w:val="22"/>
                <w:szCs w:val="22"/>
              </w:rPr>
              <w:t>Švirksta 67047878</w:t>
            </w:r>
          </w:p>
          <w:p w14:paraId="04F2C8B7" w14:textId="4269329C" w:rsidR="00A02DD8" w:rsidRPr="00C4242D" w:rsidRDefault="00B16F44" w:rsidP="00A02DD8">
            <w:pPr>
              <w:tabs>
                <w:tab w:val="left" w:pos="2340"/>
                <w:tab w:val="center" w:pos="4153"/>
                <w:tab w:val="right" w:pos="8306"/>
              </w:tabs>
              <w:spacing w:before="60" w:after="60"/>
            </w:pPr>
            <w:hyperlink r:id="rId8" w:history="1">
              <w:r w:rsidR="00A02DD8" w:rsidRPr="00A02DD8">
                <w:rPr>
                  <w:rStyle w:val="Hyperlink"/>
                  <w:color w:val="auto"/>
                  <w:sz w:val="22"/>
                  <w:szCs w:val="22"/>
                </w:rPr>
                <w:t>inta.svirksta@izm.gov.lv</w:t>
              </w:r>
            </w:hyperlink>
          </w:p>
        </w:tc>
      </w:tr>
    </w:tbl>
    <w:p w14:paraId="0BA0FB95" w14:textId="028F99F9" w:rsidR="006A46C5" w:rsidRPr="00C4242D" w:rsidRDefault="006A46C5" w:rsidP="00C4242D">
      <w:pPr>
        <w:spacing w:before="60" w:after="60"/>
      </w:pPr>
    </w:p>
    <w:p w14:paraId="17831BA2" w14:textId="4E2EF6F2" w:rsidR="00CF649C" w:rsidRPr="00C4242D" w:rsidRDefault="00CF649C" w:rsidP="00C4242D">
      <w:pPr>
        <w:pStyle w:val="Header"/>
        <w:tabs>
          <w:tab w:val="left" w:pos="2340"/>
        </w:tabs>
        <w:spacing w:before="60" w:after="60"/>
        <w:jc w:val="both"/>
      </w:pPr>
    </w:p>
    <w:sectPr w:rsidR="00CF649C" w:rsidRPr="00C4242D" w:rsidSect="004B6353">
      <w:headerReference w:type="even" r:id="rId9"/>
      <w:headerReference w:type="default" r:id="rId10"/>
      <w:footerReference w:type="default" r:id="rId11"/>
      <w:headerReference w:type="first" r:id="rId12"/>
      <w:footerReference w:type="first" r:id="rId13"/>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66AD0" w14:textId="77777777" w:rsidR="00B16F44" w:rsidRDefault="00B16F44">
      <w:r>
        <w:separator/>
      </w:r>
    </w:p>
  </w:endnote>
  <w:endnote w:type="continuationSeparator" w:id="0">
    <w:p w14:paraId="1859CEAE" w14:textId="77777777" w:rsidR="00B16F44" w:rsidRDefault="00B1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BA"/>
    <w:family w:val="modern"/>
    <w:pitch w:val="fixed"/>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B0E1A" w14:textId="3C8488DF" w:rsidR="005C489B" w:rsidRPr="005351B4" w:rsidRDefault="005C489B" w:rsidP="008610BC">
    <w:pPr>
      <w:ind w:left="-567"/>
      <w:contextualSpacing/>
      <w:jc w:val="both"/>
      <w:rPr>
        <w:sz w:val="18"/>
        <w:szCs w:val="18"/>
      </w:rPr>
    </w:pPr>
    <w:r w:rsidRPr="005351B4">
      <w:rPr>
        <w:noProof/>
        <w:color w:val="000000" w:themeColor="text1"/>
        <w:sz w:val="18"/>
        <w:szCs w:val="18"/>
      </w:rPr>
      <w:fldChar w:fldCharType="begin"/>
    </w:r>
    <w:r w:rsidRPr="005351B4">
      <w:rPr>
        <w:noProof/>
        <w:color w:val="000000" w:themeColor="text1"/>
        <w:sz w:val="18"/>
        <w:szCs w:val="18"/>
      </w:rPr>
      <w:instrText xml:space="preserve"> FILENAME   \* MERGEFORMAT </w:instrText>
    </w:r>
    <w:r w:rsidRPr="005351B4">
      <w:rPr>
        <w:noProof/>
        <w:color w:val="000000" w:themeColor="text1"/>
        <w:sz w:val="18"/>
        <w:szCs w:val="18"/>
      </w:rPr>
      <w:fldChar w:fldCharType="separate"/>
    </w:r>
    <w:r w:rsidR="007E0DD5">
      <w:rPr>
        <w:noProof/>
        <w:color w:val="000000" w:themeColor="text1"/>
        <w:sz w:val="18"/>
        <w:szCs w:val="18"/>
      </w:rPr>
      <w:t>IZMIzz_081220_811</w:t>
    </w:r>
    <w:r w:rsidRPr="005351B4">
      <w:rPr>
        <w:noProof/>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B9DC" w14:textId="40470844" w:rsidR="005C489B" w:rsidRPr="009D1501" w:rsidRDefault="005C489B" w:rsidP="008610BC">
    <w:pPr>
      <w:ind w:left="-567"/>
      <w:contextualSpacing/>
      <w:jc w:val="both"/>
      <w:rPr>
        <w:b/>
        <w:bCs/>
        <w:noProof/>
        <w:vanish/>
        <w:color w:val="000000"/>
        <w:sz w:val="20"/>
        <w:szCs w:val="20"/>
      </w:rPr>
    </w:pPr>
    <w:r>
      <w:rPr>
        <w:noProof/>
        <w:color w:val="000000" w:themeColor="text1"/>
        <w:sz w:val="20"/>
        <w:szCs w:val="20"/>
      </w:rPr>
      <w:fldChar w:fldCharType="begin"/>
    </w:r>
    <w:r>
      <w:rPr>
        <w:noProof/>
        <w:color w:val="000000" w:themeColor="text1"/>
        <w:sz w:val="20"/>
        <w:szCs w:val="20"/>
      </w:rPr>
      <w:instrText xml:space="preserve"> FILENAME   \* MERGEFORMAT </w:instrText>
    </w:r>
    <w:r>
      <w:rPr>
        <w:noProof/>
        <w:color w:val="000000" w:themeColor="text1"/>
        <w:sz w:val="20"/>
        <w:szCs w:val="20"/>
      </w:rPr>
      <w:fldChar w:fldCharType="separate"/>
    </w:r>
    <w:r w:rsidR="007E0DD5">
      <w:rPr>
        <w:noProof/>
        <w:color w:val="000000" w:themeColor="text1"/>
        <w:sz w:val="20"/>
        <w:szCs w:val="20"/>
      </w:rPr>
      <w:t>IZMIzz_081220_811</w:t>
    </w:r>
    <w:r>
      <w:rPr>
        <w:noProof/>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F01F9" w14:textId="77777777" w:rsidR="00B16F44" w:rsidRDefault="00B16F44">
      <w:r>
        <w:separator/>
      </w:r>
    </w:p>
  </w:footnote>
  <w:footnote w:type="continuationSeparator" w:id="0">
    <w:p w14:paraId="13B3A4DE" w14:textId="77777777" w:rsidR="00B16F44" w:rsidRDefault="00B16F44">
      <w:r>
        <w:continuationSeparator/>
      </w:r>
    </w:p>
  </w:footnote>
  <w:footnote w:id="1">
    <w:p w14:paraId="04972801" w14:textId="77777777" w:rsidR="00652F88" w:rsidRPr="00652F88" w:rsidRDefault="00652F88" w:rsidP="00652F88">
      <w:pPr>
        <w:pStyle w:val="FootnoteText"/>
      </w:pPr>
      <w:r w:rsidRPr="00F23B8E">
        <w:rPr>
          <w:rStyle w:val="FootnoteReference"/>
        </w:rPr>
        <w:footnoteRef/>
      </w:r>
      <w:r w:rsidRPr="00F23B8E">
        <w:t xml:space="preserve"> MK 2016.gada 16.augusta noteikumi Nr.561 “Darbības programmas “Izaugsme un nodarbinātība” 8.1.1.specifiskā atbalsta mērķa “Palielināt modernizēto STEM, tajā skaitā medicīnas un radošās industrijas, studiju programmu skaitu””</w:t>
      </w:r>
    </w:p>
  </w:footnote>
  <w:footnote w:id="2">
    <w:p w14:paraId="158CE487" w14:textId="77777777" w:rsidR="007E0DD5" w:rsidRDefault="007E0DD5">
      <w:pPr>
        <w:pStyle w:val="FootnoteText"/>
      </w:pPr>
      <w:r>
        <w:rPr>
          <w:rStyle w:val="FootnoteReference"/>
        </w:rPr>
        <w:footnoteRef/>
      </w:r>
      <w:r>
        <w:t xml:space="preserve"> Informācijas avots: </w:t>
      </w:r>
      <w:hyperlink r:id="rId1" w:history="1">
        <w:r w:rsidRPr="0085197E">
          <w:rPr>
            <w:rStyle w:val="Hyperlink"/>
          </w:rPr>
          <w:t>https://likumi.lv/ta/id/190349-noteikumi-par-darbibas-programmas-infrastruktura-un-pakalpojumi-papildinajuma-3-1-2-1-1-apaksaktivitati-augstakas-izglitibas-ie</w:t>
        </w:r>
      </w:hyperlink>
      <w:r w:rsidRPr="00E370E4">
        <w:t>...</w:t>
      </w:r>
      <w:r>
        <w:t xml:space="preserve"> </w:t>
      </w:r>
    </w:p>
  </w:footnote>
  <w:footnote w:id="3">
    <w:p w14:paraId="5BB92907" w14:textId="77777777" w:rsidR="007E0DD5" w:rsidRDefault="007E0DD5" w:rsidP="00A02DD8">
      <w:pPr>
        <w:pStyle w:val="FootnoteText"/>
      </w:pPr>
      <w:r>
        <w:rPr>
          <w:rStyle w:val="FootnoteReference"/>
        </w:rPr>
        <w:footnoteRef/>
      </w:r>
      <w:r>
        <w:t xml:space="preserve"> </w:t>
      </w:r>
      <w:r w:rsidRPr="00F23B8E">
        <w:t>MK 2016.gada 16.augusta noteikumi Nr.561 “Darbības programmas “Izaugsme un nodarbinātība” 8.1.1.specifiskā atbalsta mērķa “Palielināt modernizēto STEM, tajā skaitā medicīnas un radošās industrijas, studiju programmu skaitu””</w:t>
      </w:r>
    </w:p>
  </w:footnote>
  <w:footnote w:id="4">
    <w:p w14:paraId="4BF8FA45" w14:textId="77777777" w:rsidR="00A02DD8" w:rsidRPr="000F4582" w:rsidRDefault="00A02DD8" w:rsidP="00782806">
      <w:pPr>
        <w:pStyle w:val="FootnoteText"/>
      </w:pPr>
      <w:r>
        <w:rPr>
          <w:rStyle w:val="FootnoteReference"/>
        </w:rPr>
        <w:footnoteRef/>
      </w:r>
      <w:r>
        <w:t xml:space="preserve"> Informācijas avoti: IZM 2019. gada 27. jūnija vēstule Nr. </w:t>
      </w:r>
      <w:r w:rsidRPr="000F4582">
        <w:t>4-21.1e/19/1862</w:t>
      </w:r>
      <w:r>
        <w:t xml:space="preserve"> „</w:t>
      </w:r>
      <w:r w:rsidRPr="000F4582">
        <w:t>Par MK noteikumu Nr. 265 grozījumiem</w:t>
      </w:r>
      <w:r>
        <w:t>’;</w:t>
      </w:r>
      <w:r>
        <w:rPr>
          <w:noProof/>
          <w:spacing w:val="20"/>
          <w:sz w:val="28"/>
          <w:szCs w:val="28"/>
        </w:rPr>
        <w:t xml:space="preserve"> </w:t>
      </w:r>
      <w:r>
        <w:t xml:space="preserve">2019. gada 8. oktobra vēstule Nr. </w:t>
      </w:r>
      <w:r w:rsidRPr="000F4582">
        <w:t>4-21.1e/19/3078</w:t>
      </w:r>
      <w:r>
        <w:t xml:space="preserve"> „</w:t>
      </w:r>
      <w:r w:rsidRPr="000F4582">
        <w:t>EK valsts atbalsta modernizācijas iniciatīvu ieviešana</w:t>
      </w:r>
      <w:r>
        <w:t xml:space="preserve">”; tīmekļa vietne: </w:t>
      </w:r>
      <w:hyperlink r:id="rId2" w:history="1">
        <w:r w:rsidRPr="0085197E">
          <w:rPr>
            <w:rStyle w:val="Hyperlink"/>
          </w:rPr>
          <w:t>https://www.izm.gov.lv/lv/sabiedribas-lidzdaliba/sabiedriskajai-apspriesanai-nodotie-normativo-aktu-projekti</w:t>
        </w:r>
      </w:hyperlink>
      <w:r>
        <w:t xml:space="preserve"> </w:t>
      </w:r>
    </w:p>
  </w:footnote>
  <w:footnote w:id="5">
    <w:p w14:paraId="55E61164" w14:textId="77777777" w:rsidR="00A02DD8" w:rsidRPr="000F4582" w:rsidRDefault="00A02DD8" w:rsidP="00B633C0">
      <w:pPr>
        <w:pStyle w:val="FootnoteText"/>
      </w:pPr>
      <w:r>
        <w:rPr>
          <w:rStyle w:val="FootnoteReference"/>
        </w:rPr>
        <w:footnoteRef/>
      </w:r>
      <w:r>
        <w:t xml:space="preserve"> Informācijas avoti: IZM 2019. gada 27. jūnija vēstule Nr. </w:t>
      </w:r>
      <w:r w:rsidRPr="000F4582">
        <w:t>4-21.1e/19/1862</w:t>
      </w:r>
      <w:r>
        <w:t xml:space="preserve"> „</w:t>
      </w:r>
      <w:r w:rsidRPr="000F4582">
        <w:t>Par MK noteikumu Nr. 265 grozījumiem</w:t>
      </w:r>
      <w:r>
        <w:t>’;</w:t>
      </w:r>
      <w:r>
        <w:rPr>
          <w:noProof/>
          <w:spacing w:val="20"/>
          <w:sz w:val="28"/>
          <w:szCs w:val="28"/>
        </w:rPr>
        <w:t xml:space="preserve"> </w:t>
      </w:r>
      <w:r>
        <w:t xml:space="preserve">2019. gada 8. oktobra vēstule Nr. </w:t>
      </w:r>
      <w:r w:rsidRPr="000F4582">
        <w:t>4-21.1e/19/3078</w:t>
      </w:r>
      <w:r>
        <w:t xml:space="preserve"> „</w:t>
      </w:r>
      <w:r w:rsidRPr="000F4582">
        <w:t>EK valsts atbalsta modernizācijas iniciatīvu ieviešana</w:t>
      </w:r>
      <w:r>
        <w:t xml:space="preserve">”; tīmekļa vietne: </w:t>
      </w:r>
      <w:hyperlink r:id="rId3" w:history="1">
        <w:r w:rsidRPr="0085197E">
          <w:rPr>
            <w:rStyle w:val="Hyperlink"/>
          </w:rPr>
          <w:t>https://www.izm.gov.lv/lv/sabiedribas-lidzdaliba/sabiedriskajai-apspriesanai-nodotie-normativo-aktu-projekti</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FF53" w14:textId="77777777" w:rsidR="005C489B" w:rsidRDefault="005C489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4EF3E" w14:textId="77777777" w:rsidR="005C489B" w:rsidRDefault="005C4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8F07" w14:textId="77777777" w:rsidR="005C489B" w:rsidRDefault="005C489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473A">
      <w:rPr>
        <w:rStyle w:val="PageNumber"/>
        <w:noProof/>
      </w:rPr>
      <w:t>21</w:t>
    </w:r>
    <w:r>
      <w:rPr>
        <w:rStyle w:val="PageNumber"/>
      </w:rPr>
      <w:fldChar w:fldCharType="end"/>
    </w:r>
  </w:p>
  <w:p w14:paraId="1F87B2A5" w14:textId="77777777" w:rsidR="005C489B" w:rsidRDefault="005C4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0734" w14:textId="77777777" w:rsidR="005C489B" w:rsidRPr="006C4AF5" w:rsidRDefault="005C489B" w:rsidP="006C4AF5">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F2696"/>
    <w:multiLevelType w:val="hybridMultilevel"/>
    <w:tmpl w:val="E81C293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nsid w:val="1BF36C46"/>
    <w:multiLevelType w:val="hybridMultilevel"/>
    <w:tmpl w:val="1AEC48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235243D2"/>
    <w:multiLevelType w:val="hybridMultilevel"/>
    <w:tmpl w:val="D0D076BE"/>
    <w:lvl w:ilvl="0" w:tplc="C1C8CE18">
      <w:start w:val="1"/>
      <w:numFmt w:val="decimal"/>
      <w:pStyle w:val="Style1"/>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D974B3"/>
    <w:multiLevelType w:val="hybridMultilevel"/>
    <w:tmpl w:val="757CAC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2AD849BB"/>
    <w:multiLevelType w:val="hybridMultilevel"/>
    <w:tmpl w:val="2F5C512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1028"/>
    <w:rsid w:val="00001F89"/>
    <w:rsid w:val="00003049"/>
    <w:rsid w:val="0000331B"/>
    <w:rsid w:val="00003461"/>
    <w:rsid w:val="00003A94"/>
    <w:rsid w:val="00003C53"/>
    <w:rsid w:val="0000456E"/>
    <w:rsid w:val="00004C56"/>
    <w:rsid w:val="00005118"/>
    <w:rsid w:val="0000529C"/>
    <w:rsid w:val="00005344"/>
    <w:rsid w:val="00005456"/>
    <w:rsid w:val="000055EA"/>
    <w:rsid w:val="00005EAD"/>
    <w:rsid w:val="00006473"/>
    <w:rsid w:val="00006A8A"/>
    <w:rsid w:val="00006B67"/>
    <w:rsid w:val="00006BF1"/>
    <w:rsid w:val="00006FB3"/>
    <w:rsid w:val="00007F81"/>
    <w:rsid w:val="000109AA"/>
    <w:rsid w:val="0001118D"/>
    <w:rsid w:val="0001131F"/>
    <w:rsid w:val="00011663"/>
    <w:rsid w:val="00011750"/>
    <w:rsid w:val="000117DB"/>
    <w:rsid w:val="00011950"/>
    <w:rsid w:val="000119A9"/>
    <w:rsid w:val="0001249F"/>
    <w:rsid w:val="000125C0"/>
    <w:rsid w:val="0001270C"/>
    <w:rsid w:val="000136AA"/>
    <w:rsid w:val="00013929"/>
    <w:rsid w:val="00013B4C"/>
    <w:rsid w:val="00013B77"/>
    <w:rsid w:val="00013BF6"/>
    <w:rsid w:val="00013EAF"/>
    <w:rsid w:val="0001405C"/>
    <w:rsid w:val="00015314"/>
    <w:rsid w:val="00015383"/>
    <w:rsid w:val="0001554C"/>
    <w:rsid w:val="00015AB8"/>
    <w:rsid w:val="00015B94"/>
    <w:rsid w:val="00015C77"/>
    <w:rsid w:val="00015DE5"/>
    <w:rsid w:val="000165C7"/>
    <w:rsid w:val="00016F65"/>
    <w:rsid w:val="000172E2"/>
    <w:rsid w:val="00017449"/>
    <w:rsid w:val="00017551"/>
    <w:rsid w:val="0001764C"/>
    <w:rsid w:val="0001799B"/>
    <w:rsid w:val="00020249"/>
    <w:rsid w:val="00021104"/>
    <w:rsid w:val="00022338"/>
    <w:rsid w:val="000223DC"/>
    <w:rsid w:val="0002256C"/>
    <w:rsid w:val="0002296A"/>
    <w:rsid w:val="00022A2A"/>
    <w:rsid w:val="00022B0F"/>
    <w:rsid w:val="00022B9A"/>
    <w:rsid w:val="00022D32"/>
    <w:rsid w:val="0002356D"/>
    <w:rsid w:val="00023BE9"/>
    <w:rsid w:val="00023C9F"/>
    <w:rsid w:val="00023EBF"/>
    <w:rsid w:val="00023FB2"/>
    <w:rsid w:val="00023FD6"/>
    <w:rsid w:val="0002416A"/>
    <w:rsid w:val="0002446C"/>
    <w:rsid w:val="0002481A"/>
    <w:rsid w:val="00024B80"/>
    <w:rsid w:val="00024CCD"/>
    <w:rsid w:val="00024D20"/>
    <w:rsid w:val="000253DB"/>
    <w:rsid w:val="00025CB0"/>
    <w:rsid w:val="00025CDA"/>
    <w:rsid w:val="00026569"/>
    <w:rsid w:val="000265DE"/>
    <w:rsid w:val="00026D23"/>
    <w:rsid w:val="0002700E"/>
    <w:rsid w:val="000273E2"/>
    <w:rsid w:val="00027531"/>
    <w:rsid w:val="000275B3"/>
    <w:rsid w:val="000278E7"/>
    <w:rsid w:val="00027A63"/>
    <w:rsid w:val="00027F9D"/>
    <w:rsid w:val="0003019F"/>
    <w:rsid w:val="0003045A"/>
    <w:rsid w:val="000307B5"/>
    <w:rsid w:val="00030D4D"/>
    <w:rsid w:val="000310AF"/>
    <w:rsid w:val="00032457"/>
    <w:rsid w:val="00032BE2"/>
    <w:rsid w:val="0003393C"/>
    <w:rsid w:val="0003413A"/>
    <w:rsid w:val="000342B8"/>
    <w:rsid w:val="00034709"/>
    <w:rsid w:val="000349CA"/>
    <w:rsid w:val="000349E5"/>
    <w:rsid w:val="00035067"/>
    <w:rsid w:val="0003557A"/>
    <w:rsid w:val="000356FA"/>
    <w:rsid w:val="00035C06"/>
    <w:rsid w:val="00035EF0"/>
    <w:rsid w:val="000366DF"/>
    <w:rsid w:val="00036C6D"/>
    <w:rsid w:val="00036C93"/>
    <w:rsid w:val="00037524"/>
    <w:rsid w:val="000376CD"/>
    <w:rsid w:val="000379CE"/>
    <w:rsid w:val="00037A77"/>
    <w:rsid w:val="00037B6B"/>
    <w:rsid w:val="00037B8C"/>
    <w:rsid w:val="00040A5C"/>
    <w:rsid w:val="00040CCD"/>
    <w:rsid w:val="000417C6"/>
    <w:rsid w:val="0004194C"/>
    <w:rsid w:val="00041F91"/>
    <w:rsid w:val="00042D9E"/>
    <w:rsid w:val="00043005"/>
    <w:rsid w:val="000433A6"/>
    <w:rsid w:val="0004345F"/>
    <w:rsid w:val="00043484"/>
    <w:rsid w:val="000434DA"/>
    <w:rsid w:val="000435C1"/>
    <w:rsid w:val="00043EFE"/>
    <w:rsid w:val="00044026"/>
    <w:rsid w:val="00044106"/>
    <w:rsid w:val="000453CF"/>
    <w:rsid w:val="00045F34"/>
    <w:rsid w:val="00046075"/>
    <w:rsid w:val="00046382"/>
    <w:rsid w:val="00046CAD"/>
    <w:rsid w:val="00046D4C"/>
    <w:rsid w:val="00046F5C"/>
    <w:rsid w:val="00046FFD"/>
    <w:rsid w:val="00047219"/>
    <w:rsid w:val="00047385"/>
    <w:rsid w:val="000477BE"/>
    <w:rsid w:val="00047A6C"/>
    <w:rsid w:val="00047E39"/>
    <w:rsid w:val="00050554"/>
    <w:rsid w:val="00050D42"/>
    <w:rsid w:val="000511FB"/>
    <w:rsid w:val="00051765"/>
    <w:rsid w:val="00052C5A"/>
    <w:rsid w:val="00053706"/>
    <w:rsid w:val="000537B7"/>
    <w:rsid w:val="00053E04"/>
    <w:rsid w:val="00055F7E"/>
    <w:rsid w:val="000560E4"/>
    <w:rsid w:val="000566F0"/>
    <w:rsid w:val="00056AE0"/>
    <w:rsid w:val="00057149"/>
    <w:rsid w:val="00057556"/>
    <w:rsid w:val="000579E6"/>
    <w:rsid w:val="00060E03"/>
    <w:rsid w:val="0006159B"/>
    <w:rsid w:val="000619AB"/>
    <w:rsid w:val="000620A4"/>
    <w:rsid w:val="00062297"/>
    <w:rsid w:val="00062EAA"/>
    <w:rsid w:val="00062EBF"/>
    <w:rsid w:val="000641B8"/>
    <w:rsid w:val="000641CE"/>
    <w:rsid w:val="0006492A"/>
    <w:rsid w:val="00064AB5"/>
    <w:rsid w:val="00065271"/>
    <w:rsid w:val="00065B27"/>
    <w:rsid w:val="00066176"/>
    <w:rsid w:val="0006618D"/>
    <w:rsid w:val="00066885"/>
    <w:rsid w:val="0006694E"/>
    <w:rsid w:val="00066A37"/>
    <w:rsid w:val="00066C2C"/>
    <w:rsid w:val="00066F05"/>
    <w:rsid w:val="0006779E"/>
    <w:rsid w:val="000709AB"/>
    <w:rsid w:val="000709F7"/>
    <w:rsid w:val="00070B47"/>
    <w:rsid w:val="00072483"/>
    <w:rsid w:val="000725BE"/>
    <w:rsid w:val="00072628"/>
    <w:rsid w:val="000728ED"/>
    <w:rsid w:val="000733F5"/>
    <w:rsid w:val="000733FF"/>
    <w:rsid w:val="00073888"/>
    <w:rsid w:val="00073C0D"/>
    <w:rsid w:val="000745ED"/>
    <w:rsid w:val="00074EDF"/>
    <w:rsid w:val="0007526C"/>
    <w:rsid w:val="0007577A"/>
    <w:rsid w:val="000757DA"/>
    <w:rsid w:val="00075AB3"/>
    <w:rsid w:val="00075F21"/>
    <w:rsid w:val="000765FA"/>
    <w:rsid w:val="000767DB"/>
    <w:rsid w:val="000775D0"/>
    <w:rsid w:val="00077A80"/>
    <w:rsid w:val="00080A08"/>
    <w:rsid w:val="00080A3E"/>
    <w:rsid w:val="0008109F"/>
    <w:rsid w:val="0008111F"/>
    <w:rsid w:val="00081B0F"/>
    <w:rsid w:val="00081C05"/>
    <w:rsid w:val="00082242"/>
    <w:rsid w:val="00082729"/>
    <w:rsid w:val="0008283D"/>
    <w:rsid w:val="00082BB8"/>
    <w:rsid w:val="00082D17"/>
    <w:rsid w:val="00082FD2"/>
    <w:rsid w:val="00083090"/>
    <w:rsid w:val="00083214"/>
    <w:rsid w:val="000837C4"/>
    <w:rsid w:val="00083B8F"/>
    <w:rsid w:val="00083CFE"/>
    <w:rsid w:val="000848BC"/>
    <w:rsid w:val="00084B11"/>
    <w:rsid w:val="00085322"/>
    <w:rsid w:val="0008656F"/>
    <w:rsid w:val="00086AB9"/>
    <w:rsid w:val="00086BCE"/>
    <w:rsid w:val="00086F36"/>
    <w:rsid w:val="000872E9"/>
    <w:rsid w:val="0008799E"/>
    <w:rsid w:val="00090168"/>
    <w:rsid w:val="00090888"/>
    <w:rsid w:val="00090C76"/>
    <w:rsid w:val="00091033"/>
    <w:rsid w:val="00091E89"/>
    <w:rsid w:val="00091F10"/>
    <w:rsid w:val="000922BF"/>
    <w:rsid w:val="000922E8"/>
    <w:rsid w:val="00092EC4"/>
    <w:rsid w:val="0009302B"/>
    <w:rsid w:val="000934D7"/>
    <w:rsid w:val="00093D05"/>
    <w:rsid w:val="00093EC2"/>
    <w:rsid w:val="00094307"/>
    <w:rsid w:val="000958A2"/>
    <w:rsid w:val="000959A6"/>
    <w:rsid w:val="00095D1D"/>
    <w:rsid w:val="000965E7"/>
    <w:rsid w:val="000965F6"/>
    <w:rsid w:val="0009695E"/>
    <w:rsid w:val="000970AA"/>
    <w:rsid w:val="000978E1"/>
    <w:rsid w:val="00097DF8"/>
    <w:rsid w:val="000A0041"/>
    <w:rsid w:val="000A06FC"/>
    <w:rsid w:val="000A11C6"/>
    <w:rsid w:val="000A137C"/>
    <w:rsid w:val="000A14FA"/>
    <w:rsid w:val="000A1A02"/>
    <w:rsid w:val="000A223E"/>
    <w:rsid w:val="000A2915"/>
    <w:rsid w:val="000A34FF"/>
    <w:rsid w:val="000A3E09"/>
    <w:rsid w:val="000A3E8C"/>
    <w:rsid w:val="000A4035"/>
    <w:rsid w:val="000A483A"/>
    <w:rsid w:val="000A4B5F"/>
    <w:rsid w:val="000A55D2"/>
    <w:rsid w:val="000A5A10"/>
    <w:rsid w:val="000A6046"/>
    <w:rsid w:val="000A6096"/>
    <w:rsid w:val="000A64D3"/>
    <w:rsid w:val="000A6AB6"/>
    <w:rsid w:val="000A77B9"/>
    <w:rsid w:val="000A7877"/>
    <w:rsid w:val="000A7886"/>
    <w:rsid w:val="000A7B4B"/>
    <w:rsid w:val="000A7EA7"/>
    <w:rsid w:val="000B0403"/>
    <w:rsid w:val="000B057B"/>
    <w:rsid w:val="000B06E7"/>
    <w:rsid w:val="000B0C94"/>
    <w:rsid w:val="000B0E35"/>
    <w:rsid w:val="000B15E5"/>
    <w:rsid w:val="000B1BD7"/>
    <w:rsid w:val="000B2094"/>
    <w:rsid w:val="000B237D"/>
    <w:rsid w:val="000B2382"/>
    <w:rsid w:val="000B24E5"/>
    <w:rsid w:val="000B2FF1"/>
    <w:rsid w:val="000B3171"/>
    <w:rsid w:val="000B34A5"/>
    <w:rsid w:val="000B3739"/>
    <w:rsid w:val="000B3A96"/>
    <w:rsid w:val="000B46BE"/>
    <w:rsid w:val="000B4746"/>
    <w:rsid w:val="000B5808"/>
    <w:rsid w:val="000B62D8"/>
    <w:rsid w:val="000B6E96"/>
    <w:rsid w:val="000B7966"/>
    <w:rsid w:val="000B7CB1"/>
    <w:rsid w:val="000C03BE"/>
    <w:rsid w:val="000C0402"/>
    <w:rsid w:val="000C0966"/>
    <w:rsid w:val="000C0AE6"/>
    <w:rsid w:val="000C0D0D"/>
    <w:rsid w:val="000C0F55"/>
    <w:rsid w:val="000C1664"/>
    <w:rsid w:val="000C185C"/>
    <w:rsid w:val="000C1F26"/>
    <w:rsid w:val="000C2555"/>
    <w:rsid w:val="000C2565"/>
    <w:rsid w:val="000C29DC"/>
    <w:rsid w:val="000C3077"/>
    <w:rsid w:val="000C3545"/>
    <w:rsid w:val="000C4838"/>
    <w:rsid w:val="000C498A"/>
    <w:rsid w:val="000C4A6E"/>
    <w:rsid w:val="000C4B9A"/>
    <w:rsid w:val="000C4C16"/>
    <w:rsid w:val="000C56FC"/>
    <w:rsid w:val="000C5A7F"/>
    <w:rsid w:val="000C5D56"/>
    <w:rsid w:val="000C6C7B"/>
    <w:rsid w:val="000C7907"/>
    <w:rsid w:val="000C7A11"/>
    <w:rsid w:val="000C7F5E"/>
    <w:rsid w:val="000D00AC"/>
    <w:rsid w:val="000D0AED"/>
    <w:rsid w:val="000D1B36"/>
    <w:rsid w:val="000D2427"/>
    <w:rsid w:val="000D2786"/>
    <w:rsid w:val="000D2A3B"/>
    <w:rsid w:val="000D2A8F"/>
    <w:rsid w:val="000D353B"/>
    <w:rsid w:val="000D3602"/>
    <w:rsid w:val="000D3E45"/>
    <w:rsid w:val="000D3FDF"/>
    <w:rsid w:val="000D424E"/>
    <w:rsid w:val="000D42F8"/>
    <w:rsid w:val="000D4358"/>
    <w:rsid w:val="000D47F3"/>
    <w:rsid w:val="000D4B59"/>
    <w:rsid w:val="000D4D89"/>
    <w:rsid w:val="000D640C"/>
    <w:rsid w:val="000D6B7E"/>
    <w:rsid w:val="000D6BBD"/>
    <w:rsid w:val="000D6CDB"/>
    <w:rsid w:val="000D6D90"/>
    <w:rsid w:val="000D7606"/>
    <w:rsid w:val="000D7751"/>
    <w:rsid w:val="000D7769"/>
    <w:rsid w:val="000D7BFE"/>
    <w:rsid w:val="000D7C23"/>
    <w:rsid w:val="000E0527"/>
    <w:rsid w:val="000E0A16"/>
    <w:rsid w:val="000E0C44"/>
    <w:rsid w:val="000E1163"/>
    <w:rsid w:val="000E1665"/>
    <w:rsid w:val="000E1BFA"/>
    <w:rsid w:val="000E2142"/>
    <w:rsid w:val="000E21D0"/>
    <w:rsid w:val="000E29A9"/>
    <w:rsid w:val="000E2A38"/>
    <w:rsid w:val="000E2A39"/>
    <w:rsid w:val="000E2ACC"/>
    <w:rsid w:val="000E2D68"/>
    <w:rsid w:val="000E30C9"/>
    <w:rsid w:val="000E34C2"/>
    <w:rsid w:val="000E3DD3"/>
    <w:rsid w:val="000E3F9A"/>
    <w:rsid w:val="000E4897"/>
    <w:rsid w:val="000E48CA"/>
    <w:rsid w:val="000E541F"/>
    <w:rsid w:val="000E5509"/>
    <w:rsid w:val="000E5704"/>
    <w:rsid w:val="000E585F"/>
    <w:rsid w:val="000E5A75"/>
    <w:rsid w:val="000E5FEE"/>
    <w:rsid w:val="000E61B0"/>
    <w:rsid w:val="000E62C6"/>
    <w:rsid w:val="000E66F8"/>
    <w:rsid w:val="000F054F"/>
    <w:rsid w:val="000F05B0"/>
    <w:rsid w:val="000F079D"/>
    <w:rsid w:val="000F09CF"/>
    <w:rsid w:val="000F0D9D"/>
    <w:rsid w:val="000F1CB4"/>
    <w:rsid w:val="000F1D56"/>
    <w:rsid w:val="000F2534"/>
    <w:rsid w:val="000F28D9"/>
    <w:rsid w:val="000F2D43"/>
    <w:rsid w:val="000F2F9A"/>
    <w:rsid w:val="000F33DB"/>
    <w:rsid w:val="000F3545"/>
    <w:rsid w:val="000F36EE"/>
    <w:rsid w:val="000F38C1"/>
    <w:rsid w:val="000F3AA0"/>
    <w:rsid w:val="000F40AE"/>
    <w:rsid w:val="000F48F7"/>
    <w:rsid w:val="000F4AEB"/>
    <w:rsid w:val="000F4B40"/>
    <w:rsid w:val="000F4C3B"/>
    <w:rsid w:val="000F4E7B"/>
    <w:rsid w:val="000F5069"/>
    <w:rsid w:val="000F5493"/>
    <w:rsid w:val="000F57C3"/>
    <w:rsid w:val="000F5807"/>
    <w:rsid w:val="000F5C37"/>
    <w:rsid w:val="000F5DF0"/>
    <w:rsid w:val="000F63DC"/>
    <w:rsid w:val="000F641C"/>
    <w:rsid w:val="000F6686"/>
    <w:rsid w:val="000F6A0B"/>
    <w:rsid w:val="000F6E4E"/>
    <w:rsid w:val="000F710C"/>
    <w:rsid w:val="000F722C"/>
    <w:rsid w:val="000F733A"/>
    <w:rsid w:val="000F754F"/>
    <w:rsid w:val="000F7695"/>
    <w:rsid w:val="000F7EBF"/>
    <w:rsid w:val="00100B6C"/>
    <w:rsid w:val="001012E3"/>
    <w:rsid w:val="00101403"/>
    <w:rsid w:val="00101EEB"/>
    <w:rsid w:val="00102311"/>
    <w:rsid w:val="00102BB6"/>
    <w:rsid w:val="00102DF7"/>
    <w:rsid w:val="00103522"/>
    <w:rsid w:val="0010375A"/>
    <w:rsid w:val="0010389C"/>
    <w:rsid w:val="001038ED"/>
    <w:rsid w:val="001042B0"/>
    <w:rsid w:val="001051DF"/>
    <w:rsid w:val="001056A1"/>
    <w:rsid w:val="00105C4A"/>
    <w:rsid w:val="00106CC7"/>
    <w:rsid w:val="00106F4F"/>
    <w:rsid w:val="001071D3"/>
    <w:rsid w:val="001073D7"/>
    <w:rsid w:val="001075A8"/>
    <w:rsid w:val="00107AD5"/>
    <w:rsid w:val="00107DD6"/>
    <w:rsid w:val="00110259"/>
    <w:rsid w:val="001104C5"/>
    <w:rsid w:val="00110AA9"/>
    <w:rsid w:val="001110C2"/>
    <w:rsid w:val="001113AB"/>
    <w:rsid w:val="0011254D"/>
    <w:rsid w:val="00112D97"/>
    <w:rsid w:val="00112DDA"/>
    <w:rsid w:val="00112F8E"/>
    <w:rsid w:val="001135C7"/>
    <w:rsid w:val="001139C2"/>
    <w:rsid w:val="00114559"/>
    <w:rsid w:val="00114A73"/>
    <w:rsid w:val="00114EA9"/>
    <w:rsid w:val="00115757"/>
    <w:rsid w:val="00115ED0"/>
    <w:rsid w:val="00116012"/>
    <w:rsid w:val="00116235"/>
    <w:rsid w:val="0011683C"/>
    <w:rsid w:val="00117174"/>
    <w:rsid w:val="001179E8"/>
    <w:rsid w:val="00117AE1"/>
    <w:rsid w:val="00117CD7"/>
    <w:rsid w:val="00117D06"/>
    <w:rsid w:val="00117F10"/>
    <w:rsid w:val="0012021B"/>
    <w:rsid w:val="001210AD"/>
    <w:rsid w:val="0012165C"/>
    <w:rsid w:val="0012222D"/>
    <w:rsid w:val="00122720"/>
    <w:rsid w:val="00122740"/>
    <w:rsid w:val="00123224"/>
    <w:rsid w:val="001233D5"/>
    <w:rsid w:val="0012406A"/>
    <w:rsid w:val="001253A0"/>
    <w:rsid w:val="001255E6"/>
    <w:rsid w:val="00125C9B"/>
    <w:rsid w:val="00125E6F"/>
    <w:rsid w:val="00126F8A"/>
    <w:rsid w:val="00127614"/>
    <w:rsid w:val="00127928"/>
    <w:rsid w:val="00127A65"/>
    <w:rsid w:val="00130118"/>
    <w:rsid w:val="0013053A"/>
    <w:rsid w:val="0013066A"/>
    <w:rsid w:val="0013089A"/>
    <w:rsid w:val="00130B1F"/>
    <w:rsid w:val="00130F3D"/>
    <w:rsid w:val="00131593"/>
    <w:rsid w:val="001315EF"/>
    <w:rsid w:val="00131E13"/>
    <w:rsid w:val="00131E54"/>
    <w:rsid w:val="00131F39"/>
    <w:rsid w:val="001322C9"/>
    <w:rsid w:val="00132375"/>
    <w:rsid w:val="00132AEC"/>
    <w:rsid w:val="00132E73"/>
    <w:rsid w:val="001330FA"/>
    <w:rsid w:val="00133505"/>
    <w:rsid w:val="00133AF4"/>
    <w:rsid w:val="00134188"/>
    <w:rsid w:val="0013471C"/>
    <w:rsid w:val="00135437"/>
    <w:rsid w:val="001360E2"/>
    <w:rsid w:val="00136C0D"/>
    <w:rsid w:val="00137403"/>
    <w:rsid w:val="00137A59"/>
    <w:rsid w:val="00137BE9"/>
    <w:rsid w:val="00140044"/>
    <w:rsid w:val="00140706"/>
    <w:rsid w:val="00140A22"/>
    <w:rsid w:val="0014122A"/>
    <w:rsid w:val="001414F4"/>
    <w:rsid w:val="00141E85"/>
    <w:rsid w:val="0014233C"/>
    <w:rsid w:val="001427AA"/>
    <w:rsid w:val="001428B0"/>
    <w:rsid w:val="00142B11"/>
    <w:rsid w:val="0014319C"/>
    <w:rsid w:val="001436B3"/>
    <w:rsid w:val="00143976"/>
    <w:rsid w:val="00143DAC"/>
    <w:rsid w:val="00143FE6"/>
    <w:rsid w:val="00144231"/>
    <w:rsid w:val="00144622"/>
    <w:rsid w:val="00144709"/>
    <w:rsid w:val="00144781"/>
    <w:rsid w:val="00144917"/>
    <w:rsid w:val="00144F38"/>
    <w:rsid w:val="0014512F"/>
    <w:rsid w:val="001456EB"/>
    <w:rsid w:val="0014594D"/>
    <w:rsid w:val="00145CC0"/>
    <w:rsid w:val="00146636"/>
    <w:rsid w:val="0014702D"/>
    <w:rsid w:val="00147177"/>
    <w:rsid w:val="001473D3"/>
    <w:rsid w:val="0014748B"/>
    <w:rsid w:val="00147596"/>
    <w:rsid w:val="001478F3"/>
    <w:rsid w:val="00147E2E"/>
    <w:rsid w:val="00147F08"/>
    <w:rsid w:val="00150624"/>
    <w:rsid w:val="001508D5"/>
    <w:rsid w:val="001516AB"/>
    <w:rsid w:val="001516BD"/>
    <w:rsid w:val="00151E17"/>
    <w:rsid w:val="00152718"/>
    <w:rsid w:val="00152B5A"/>
    <w:rsid w:val="00152E65"/>
    <w:rsid w:val="00152F5E"/>
    <w:rsid w:val="001530CF"/>
    <w:rsid w:val="00153172"/>
    <w:rsid w:val="001536BD"/>
    <w:rsid w:val="00153AE1"/>
    <w:rsid w:val="00153C00"/>
    <w:rsid w:val="00153D5A"/>
    <w:rsid w:val="00153F12"/>
    <w:rsid w:val="0015412E"/>
    <w:rsid w:val="001543DB"/>
    <w:rsid w:val="00154602"/>
    <w:rsid w:val="00154DF9"/>
    <w:rsid w:val="00154E6B"/>
    <w:rsid w:val="00154E7E"/>
    <w:rsid w:val="00155473"/>
    <w:rsid w:val="00155817"/>
    <w:rsid w:val="00155DC2"/>
    <w:rsid w:val="00156068"/>
    <w:rsid w:val="00156CF9"/>
    <w:rsid w:val="00156D90"/>
    <w:rsid w:val="00156E9F"/>
    <w:rsid w:val="00157599"/>
    <w:rsid w:val="00157A57"/>
    <w:rsid w:val="00157A5B"/>
    <w:rsid w:val="00157A9B"/>
    <w:rsid w:val="00157DB6"/>
    <w:rsid w:val="00157EC2"/>
    <w:rsid w:val="001613A2"/>
    <w:rsid w:val="00161478"/>
    <w:rsid w:val="00161B3A"/>
    <w:rsid w:val="001620AA"/>
    <w:rsid w:val="001620D9"/>
    <w:rsid w:val="00162114"/>
    <w:rsid w:val="00162A68"/>
    <w:rsid w:val="00162C51"/>
    <w:rsid w:val="00162E08"/>
    <w:rsid w:val="001633F1"/>
    <w:rsid w:val="00163600"/>
    <w:rsid w:val="0016363B"/>
    <w:rsid w:val="0016416D"/>
    <w:rsid w:val="00164477"/>
    <w:rsid w:val="00164ED9"/>
    <w:rsid w:val="0016531E"/>
    <w:rsid w:val="0016565C"/>
    <w:rsid w:val="00165A08"/>
    <w:rsid w:val="00166314"/>
    <w:rsid w:val="00166746"/>
    <w:rsid w:val="0016680B"/>
    <w:rsid w:val="00166A1F"/>
    <w:rsid w:val="00167590"/>
    <w:rsid w:val="00167918"/>
    <w:rsid w:val="00167922"/>
    <w:rsid w:val="00167A9A"/>
    <w:rsid w:val="00167C1E"/>
    <w:rsid w:val="0017037A"/>
    <w:rsid w:val="0017043B"/>
    <w:rsid w:val="0017052B"/>
    <w:rsid w:val="001706A1"/>
    <w:rsid w:val="00170752"/>
    <w:rsid w:val="00170914"/>
    <w:rsid w:val="00170DF2"/>
    <w:rsid w:val="00171E71"/>
    <w:rsid w:val="0017257D"/>
    <w:rsid w:val="0017299F"/>
    <w:rsid w:val="0017350B"/>
    <w:rsid w:val="00173D50"/>
    <w:rsid w:val="00173F16"/>
    <w:rsid w:val="00174841"/>
    <w:rsid w:val="00174ABB"/>
    <w:rsid w:val="00174B72"/>
    <w:rsid w:val="00174ECD"/>
    <w:rsid w:val="00175B20"/>
    <w:rsid w:val="001761FD"/>
    <w:rsid w:val="0017623B"/>
    <w:rsid w:val="001766F1"/>
    <w:rsid w:val="0017788E"/>
    <w:rsid w:val="00177D61"/>
    <w:rsid w:val="00180125"/>
    <w:rsid w:val="001808CA"/>
    <w:rsid w:val="00180923"/>
    <w:rsid w:val="00180CE5"/>
    <w:rsid w:val="00180DF6"/>
    <w:rsid w:val="0018147D"/>
    <w:rsid w:val="00181853"/>
    <w:rsid w:val="00181BAA"/>
    <w:rsid w:val="00181D2D"/>
    <w:rsid w:val="001820A4"/>
    <w:rsid w:val="0018210A"/>
    <w:rsid w:val="001828FD"/>
    <w:rsid w:val="00182DE0"/>
    <w:rsid w:val="00183249"/>
    <w:rsid w:val="00183627"/>
    <w:rsid w:val="00183787"/>
    <w:rsid w:val="0018386C"/>
    <w:rsid w:val="00184479"/>
    <w:rsid w:val="0018455F"/>
    <w:rsid w:val="0018457C"/>
    <w:rsid w:val="0018472C"/>
    <w:rsid w:val="00184792"/>
    <w:rsid w:val="0018480F"/>
    <w:rsid w:val="00184838"/>
    <w:rsid w:val="001852A4"/>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196E"/>
    <w:rsid w:val="00191ED8"/>
    <w:rsid w:val="0019257C"/>
    <w:rsid w:val="001926F2"/>
    <w:rsid w:val="00192BB0"/>
    <w:rsid w:val="00192DF0"/>
    <w:rsid w:val="00192F32"/>
    <w:rsid w:val="00193408"/>
    <w:rsid w:val="00193B69"/>
    <w:rsid w:val="00193BCE"/>
    <w:rsid w:val="001945D2"/>
    <w:rsid w:val="00194B87"/>
    <w:rsid w:val="00194ED9"/>
    <w:rsid w:val="001950B0"/>
    <w:rsid w:val="0019569A"/>
    <w:rsid w:val="00195962"/>
    <w:rsid w:val="00195A92"/>
    <w:rsid w:val="001973E6"/>
    <w:rsid w:val="00197533"/>
    <w:rsid w:val="001977E7"/>
    <w:rsid w:val="00197CCA"/>
    <w:rsid w:val="001A04E6"/>
    <w:rsid w:val="001A0973"/>
    <w:rsid w:val="001A0D8A"/>
    <w:rsid w:val="001A192D"/>
    <w:rsid w:val="001A2310"/>
    <w:rsid w:val="001A2D06"/>
    <w:rsid w:val="001A31E5"/>
    <w:rsid w:val="001A3950"/>
    <w:rsid w:val="001A3DE0"/>
    <w:rsid w:val="001A4AD7"/>
    <w:rsid w:val="001A4B38"/>
    <w:rsid w:val="001A4B3B"/>
    <w:rsid w:val="001A5082"/>
    <w:rsid w:val="001A5212"/>
    <w:rsid w:val="001A5223"/>
    <w:rsid w:val="001A531C"/>
    <w:rsid w:val="001A5C13"/>
    <w:rsid w:val="001A61CB"/>
    <w:rsid w:val="001A662A"/>
    <w:rsid w:val="001A6A1C"/>
    <w:rsid w:val="001A6D86"/>
    <w:rsid w:val="001A7147"/>
    <w:rsid w:val="001A72A7"/>
    <w:rsid w:val="001A76CC"/>
    <w:rsid w:val="001A78E6"/>
    <w:rsid w:val="001A7C72"/>
    <w:rsid w:val="001B084B"/>
    <w:rsid w:val="001B0CEC"/>
    <w:rsid w:val="001B0DED"/>
    <w:rsid w:val="001B0FFC"/>
    <w:rsid w:val="001B104E"/>
    <w:rsid w:val="001B1623"/>
    <w:rsid w:val="001B1CF2"/>
    <w:rsid w:val="001B2494"/>
    <w:rsid w:val="001B2509"/>
    <w:rsid w:val="001B2B3F"/>
    <w:rsid w:val="001B329B"/>
    <w:rsid w:val="001B3824"/>
    <w:rsid w:val="001B3C2B"/>
    <w:rsid w:val="001B3ED9"/>
    <w:rsid w:val="001B4005"/>
    <w:rsid w:val="001B4388"/>
    <w:rsid w:val="001B463E"/>
    <w:rsid w:val="001B49E0"/>
    <w:rsid w:val="001B4D46"/>
    <w:rsid w:val="001B5302"/>
    <w:rsid w:val="001B5377"/>
    <w:rsid w:val="001B5864"/>
    <w:rsid w:val="001B5B79"/>
    <w:rsid w:val="001B5DC4"/>
    <w:rsid w:val="001B5DDA"/>
    <w:rsid w:val="001B5FBA"/>
    <w:rsid w:val="001B6553"/>
    <w:rsid w:val="001B6647"/>
    <w:rsid w:val="001B6A47"/>
    <w:rsid w:val="001B6B0A"/>
    <w:rsid w:val="001B6C3C"/>
    <w:rsid w:val="001C0089"/>
    <w:rsid w:val="001C0824"/>
    <w:rsid w:val="001C0901"/>
    <w:rsid w:val="001C0A15"/>
    <w:rsid w:val="001C0B83"/>
    <w:rsid w:val="001C1004"/>
    <w:rsid w:val="001C100B"/>
    <w:rsid w:val="001C1220"/>
    <w:rsid w:val="001C13CE"/>
    <w:rsid w:val="001C1510"/>
    <w:rsid w:val="001C17E2"/>
    <w:rsid w:val="001C1989"/>
    <w:rsid w:val="001C1ED2"/>
    <w:rsid w:val="001C2033"/>
    <w:rsid w:val="001C2066"/>
    <w:rsid w:val="001C28FD"/>
    <w:rsid w:val="001C309E"/>
    <w:rsid w:val="001C3163"/>
    <w:rsid w:val="001C3349"/>
    <w:rsid w:val="001C3E58"/>
    <w:rsid w:val="001C47FD"/>
    <w:rsid w:val="001C4ABA"/>
    <w:rsid w:val="001C509E"/>
    <w:rsid w:val="001C546B"/>
    <w:rsid w:val="001C553B"/>
    <w:rsid w:val="001C5A97"/>
    <w:rsid w:val="001C5EA2"/>
    <w:rsid w:val="001C6608"/>
    <w:rsid w:val="001C6680"/>
    <w:rsid w:val="001C6C7D"/>
    <w:rsid w:val="001C79E3"/>
    <w:rsid w:val="001C7A3E"/>
    <w:rsid w:val="001D01B3"/>
    <w:rsid w:val="001D0393"/>
    <w:rsid w:val="001D0BF6"/>
    <w:rsid w:val="001D1CB1"/>
    <w:rsid w:val="001D2232"/>
    <w:rsid w:val="001D260F"/>
    <w:rsid w:val="001D2AC0"/>
    <w:rsid w:val="001D2DBA"/>
    <w:rsid w:val="001D2F1C"/>
    <w:rsid w:val="001D2FD0"/>
    <w:rsid w:val="001D3830"/>
    <w:rsid w:val="001D39B3"/>
    <w:rsid w:val="001D3A53"/>
    <w:rsid w:val="001D3BA6"/>
    <w:rsid w:val="001D4F43"/>
    <w:rsid w:val="001D4F79"/>
    <w:rsid w:val="001D4FEC"/>
    <w:rsid w:val="001D503F"/>
    <w:rsid w:val="001D5564"/>
    <w:rsid w:val="001D56EF"/>
    <w:rsid w:val="001D593A"/>
    <w:rsid w:val="001D5D62"/>
    <w:rsid w:val="001D67A2"/>
    <w:rsid w:val="001D6FAA"/>
    <w:rsid w:val="001D70FA"/>
    <w:rsid w:val="001D736D"/>
    <w:rsid w:val="001D7617"/>
    <w:rsid w:val="001D768C"/>
    <w:rsid w:val="001D787D"/>
    <w:rsid w:val="001D7BA9"/>
    <w:rsid w:val="001E00EF"/>
    <w:rsid w:val="001E039D"/>
    <w:rsid w:val="001E0CFC"/>
    <w:rsid w:val="001E1398"/>
    <w:rsid w:val="001E22E7"/>
    <w:rsid w:val="001E2714"/>
    <w:rsid w:val="001E385E"/>
    <w:rsid w:val="001E398C"/>
    <w:rsid w:val="001E4094"/>
    <w:rsid w:val="001E40BB"/>
    <w:rsid w:val="001E4450"/>
    <w:rsid w:val="001E4456"/>
    <w:rsid w:val="001E480E"/>
    <w:rsid w:val="001E4DDC"/>
    <w:rsid w:val="001E58C0"/>
    <w:rsid w:val="001E5EAA"/>
    <w:rsid w:val="001E62BC"/>
    <w:rsid w:val="001E6BFD"/>
    <w:rsid w:val="001E73AA"/>
    <w:rsid w:val="001E7716"/>
    <w:rsid w:val="001E774F"/>
    <w:rsid w:val="001E78AC"/>
    <w:rsid w:val="001E7C1D"/>
    <w:rsid w:val="001E7F44"/>
    <w:rsid w:val="001E7F89"/>
    <w:rsid w:val="001F073F"/>
    <w:rsid w:val="001F07B8"/>
    <w:rsid w:val="001F19B5"/>
    <w:rsid w:val="001F1AD9"/>
    <w:rsid w:val="001F2AA2"/>
    <w:rsid w:val="001F2B2E"/>
    <w:rsid w:val="001F3009"/>
    <w:rsid w:val="001F3358"/>
    <w:rsid w:val="001F35CB"/>
    <w:rsid w:val="001F36A2"/>
    <w:rsid w:val="001F390F"/>
    <w:rsid w:val="001F3A8B"/>
    <w:rsid w:val="001F550B"/>
    <w:rsid w:val="001F5CD1"/>
    <w:rsid w:val="001F5DEF"/>
    <w:rsid w:val="001F6810"/>
    <w:rsid w:val="001F7257"/>
    <w:rsid w:val="001F72CD"/>
    <w:rsid w:val="001F7739"/>
    <w:rsid w:val="001F7BB6"/>
    <w:rsid w:val="001F7BFA"/>
    <w:rsid w:val="0020011B"/>
    <w:rsid w:val="0020084A"/>
    <w:rsid w:val="0020084C"/>
    <w:rsid w:val="00200886"/>
    <w:rsid w:val="00200B57"/>
    <w:rsid w:val="00200F51"/>
    <w:rsid w:val="00201097"/>
    <w:rsid w:val="00201449"/>
    <w:rsid w:val="002014D7"/>
    <w:rsid w:val="0020187E"/>
    <w:rsid w:val="00201CF1"/>
    <w:rsid w:val="00201DC6"/>
    <w:rsid w:val="00201DE8"/>
    <w:rsid w:val="00201EB6"/>
    <w:rsid w:val="00202116"/>
    <w:rsid w:val="00202375"/>
    <w:rsid w:val="002024ED"/>
    <w:rsid w:val="002025EA"/>
    <w:rsid w:val="00202884"/>
    <w:rsid w:val="00202E44"/>
    <w:rsid w:val="00203556"/>
    <w:rsid w:val="002046CF"/>
    <w:rsid w:val="00204B13"/>
    <w:rsid w:val="00204D0F"/>
    <w:rsid w:val="00204DB6"/>
    <w:rsid w:val="002056ED"/>
    <w:rsid w:val="00205C3A"/>
    <w:rsid w:val="00207D61"/>
    <w:rsid w:val="002108FB"/>
    <w:rsid w:val="00210B53"/>
    <w:rsid w:val="00211273"/>
    <w:rsid w:val="002114BA"/>
    <w:rsid w:val="00211548"/>
    <w:rsid w:val="00211698"/>
    <w:rsid w:val="00211793"/>
    <w:rsid w:val="002117BD"/>
    <w:rsid w:val="0021187E"/>
    <w:rsid w:val="002119B2"/>
    <w:rsid w:val="00211C11"/>
    <w:rsid w:val="00212345"/>
    <w:rsid w:val="002129DC"/>
    <w:rsid w:val="00212AF4"/>
    <w:rsid w:val="00213029"/>
    <w:rsid w:val="00213210"/>
    <w:rsid w:val="00213469"/>
    <w:rsid w:val="002138A2"/>
    <w:rsid w:val="00214069"/>
    <w:rsid w:val="002143C4"/>
    <w:rsid w:val="00214412"/>
    <w:rsid w:val="0021457C"/>
    <w:rsid w:val="00214809"/>
    <w:rsid w:val="00214902"/>
    <w:rsid w:val="002149A1"/>
    <w:rsid w:val="00214E7A"/>
    <w:rsid w:val="00215769"/>
    <w:rsid w:val="00215785"/>
    <w:rsid w:val="002159DF"/>
    <w:rsid w:val="00215BFE"/>
    <w:rsid w:val="00215C44"/>
    <w:rsid w:val="00215E45"/>
    <w:rsid w:val="00216E73"/>
    <w:rsid w:val="0021774C"/>
    <w:rsid w:val="00217FF6"/>
    <w:rsid w:val="00220012"/>
    <w:rsid w:val="0022024E"/>
    <w:rsid w:val="00220B96"/>
    <w:rsid w:val="00220E0E"/>
    <w:rsid w:val="0022146C"/>
    <w:rsid w:val="002216B3"/>
    <w:rsid w:val="00221B2E"/>
    <w:rsid w:val="00221EBE"/>
    <w:rsid w:val="00222386"/>
    <w:rsid w:val="0022272B"/>
    <w:rsid w:val="002228A8"/>
    <w:rsid w:val="00222D42"/>
    <w:rsid w:val="00222F51"/>
    <w:rsid w:val="002230E1"/>
    <w:rsid w:val="00223361"/>
    <w:rsid w:val="00223443"/>
    <w:rsid w:val="00223A95"/>
    <w:rsid w:val="002244BA"/>
    <w:rsid w:val="00224663"/>
    <w:rsid w:val="002247AA"/>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4E"/>
    <w:rsid w:val="002302C7"/>
    <w:rsid w:val="00230469"/>
    <w:rsid w:val="002308FA"/>
    <w:rsid w:val="00230C8C"/>
    <w:rsid w:val="0023132F"/>
    <w:rsid w:val="00231670"/>
    <w:rsid w:val="00231AA5"/>
    <w:rsid w:val="00232783"/>
    <w:rsid w:val="00232D9A"/>
    <w:rsid w:val="00232DD8"/>
    <w:rsid w:val="00232E05"/>
    <w:rsid w:val="00232F90"/>
    <w:rsid w:val="0023339B"/>
    <w:rsid w:val="0023366D"/>
    <w:rsid w:val="00233CD3"/>
    <w:rsid w:val="002342B4"/>
    <w:rsid w:val="0023469C"/>
    <w:rsid w:val="00234C4B"/>
    <w:rsid w:val="00234C71"/>
    <w:rsid w:val="00235511"/>
    <w:rsid w:val="00235E33"/>
    <w:rsid w:val="0023626A"/>
    <w:rsid w:val="00236402"/>
    <w:rsid w:val="002366E0"/>
    <w:rsid w:val="00236729"/>
    <w:rsid w:val="00236DE1"/>
    <w:rsid w:val="002372EE"/>
    <w:rsid w:val="002372FD"/>
    <w:rsid w:val="0023764D"/>
    <w:rsid w:val="00237834"/>
    <w:rsid w:val="002400D7"/>
    <w:rsid w:val="00240C8D"/>
    <w:rsid w:val="00240E49"/>
    <w:rsid w:val="002415BC"/>
    <w:rsid w:val="00241F37"/>
    <w:rsid w:val="002424B6"/>
    <w:rsid w:val="002427C6"/>
    <w:rsid w:val="00242918"/>
    <w:rsid w:val="0024298B"/>
    <w:rsid w:val="00242A7D"/>
    <w:rsid w:val="00242E2D"/>
    <w:rsid w:val="0024338E"/>
    <w:rsid w:val="002434B2"/>
    <w:rsid w:val="00243C65"/>
    <w:rsid w:val="0024418E"/>
    <w:rsid w:val="002442F4"/>
    <w:rsid w:val="002445C4"/>
    <w:rsid w:val="002445EA"/>
    <w:rsid w:val="00244B2A"/>
    <w:rsid w:val="00244ECE"/>
    <w:rsid w:val="00244FC5"/>
    <w:rsid w:val="0024503E"/>
    <w:rsid w:val="00245CC5"/>
    <w:rsid w:val="00245D1D"/>
    <w:rsid w:val="00246035"/>
    <w:rsid w:val="00246B5B"/>
    <w:rsid w:val="00247DD7"/>
    <w:rsid w:val="00247F32"/>
    <w:rsid w:val="00250229"/>
    <w:rsid w:val="00250340"/>
    <w:rsid w:val="00250EDA"/>
    <w:rsid w:val="00251108"/>
    <w:rsid w:val="00251356"/>
    <w:rsid w:val="00251502"/>
    <w:rsid w:val="002518E8"/>
    <w:rsid w:val="00251C10"/>
    <w:rsid w:val="002520B5"/>
    <w:rsid w:val="00252267"/>
    <w:rsid w:val="00252A85"/>
    <w:rsid w:val="00252E1E"/>
    <w:rsid w:val="00253080"/>
    <w:rsid w:val="00253451"/>
    <w:rsid w:val="00253587"/>
    <w:rsid w:val="002537D1"/>
    <w:rsid w:val="002538BA"/>
    <w:rsid w:val="00254192"/>
    <w:rsid w:val="0025469D"/>
    <w:rsid w:val="0025472F"/>
    <w:rsid w:val="002552B1"/>
    <w:rsid w:val="002557C3"/>
    <w:rsid w:val="0025580A"/>
    <w:rsid w:val="00255A10"/>
    <w:rsid w:val="00255D01"/>
    <w:rsid w:val="0025667C"/>
    <w:rsid w:val="00256AE9"/>
    <w:rsid w:val="00256E55"/>
    <w:rsid w:val="00257188"/>
    <w:rsid w:val="00257E0E"/>
    <w:rsid w:val="00257FF4"/>
    <w:rsid w:val="002607E2"/>
    <w:rsid w:val="00260BD2"/>
    <w:rsid w:val="00260FCB"/>
    <w:rsid w:val="002615F5"/>
    <w:rsid w:val="002616B9"/>
    <w:rsid w:val="0026217B"/>
    <w:rsid w:val="002629E4"/>
    <w:rsid w:val="00262B00"/>
    <w:rsid w:val="00262B78"/>
    <w:rsid w:val="00262D19"/>
    <w:rsid w:val="00263325"/>
    <w:rsid w:val="002633B1"/>
    <w:rsid w:val="00263576"/>
    <w:rsid w:val="002636CE"/>
    <w:rsid w:val="002637AA"/>
    <w:rsid w:val="00263FE3"/>
    <w:rsid w:val="00264089"/>
    <w:rsid w:val="0026484B"/>
    <w:rsid w:val="00264B86"/>
    <w:rsid w:val="00265417"/>
    <w:rsid w:val="002654F6"/>
    <w:rsid w:val="00265593"/>
    <w:rsid w:val="00265A04"/>
    <w:rsid w:val="00265AB7"/>
    <w:rsid w:val="00266271"/>
    <w:rsid w:val="00266CDD"/>
    <w:rsid w:val="002675EA"/>
    <w:rsid w:val="00267BC5"/>
    <w:rsid w:val="00267C38"/>
    <w:rsid w:val="00267CBE"/>
    <w:rsid w:val="00267E0B"/>
    <w:rsid w:val="0027008A"/>
    <w:rsid w:val="002705CC"/>
    <w:rsid w:val="00270680"/>
    <w:rsid w:val="00271103"/>
    <w:rsid w:val="00271AA3"/>
    <w:rsid w:val="002721FA"/>
    <w:rsid w:val="0027230C"/>
    <w:rsid w:val="00272B99"/>
    <w:rsid w:val="0027300F"/>
    <w:rsid w:val="002732E0"/>
    <w:rsid w:val="0027333D"/>
    <w:rsid w:val="00273485"/>
    <w:rsid w:val="0027380D"/>
    <w:rsid w:val="002738AC"/>
    <w:rsid w:val="00273974"/>
    <w:rsid w:val="00273BE6"/>
    <w:rsid w:val="00274097"/>
    <w:rsid w:val="002740C8"/>
    <w:rsid w:val="0027468E"/>
    <w:rsid w:val="00274826"/>
    <w:rsid w:val="00274E43"/>
    <w:rsid w:val="00275005"/>
    <w:rsid w:val="002752AB"/>
    <w:rsid w:val="002756D6"/>
    <w:rsid w:val="0027573C"/>
    <w:rsid w:val="00275805"/>
    <w:rsid w:val="00276B5A"/>
    <w:rsid w:val="00277860"/>
    <w:rsid w:val="00277905"/>
    <w:rsid w:val="00277DFF"/>
    <w:rsid w:val="00277F1D"/>
    <w:rsid w:val="0028148A"/>
    <w:rsid w:val="002814A7"/>
    <w:rsid w:val="002815D0"/>
    <w:rsid w:val="002820A7"/>
    <w:rsid w:val="00282557"/>
    <w:rsid w:val="002827B0"/>
    <w:rsid w:val="002836A6"/>
    <w:rsid w:val="00283B82"/>
    <w:rsid w:val="00283E13"/>
    <w:rsid w:val="00283F3B"/>
    <w:rsid w:val="00284763"/>
    <w:rsid w:val="00284A2D"/>
    <w:rsid w:val="0028532A"/>
    <w:rsid w:val="00286478"/>
    <w:rsid w:val="002866A8"/>
    <w:rsid w:val="00286A8E"/>
    <w:rsid w:val="00286B53"/>
    <w:rsid w:val="00287222"/>
    <w:rsid w:val="0028727C"/>
    <w:rsid w:val="00287EDD"/>
    <w:rsid w:val="00290A94"/>
    <w:rsid w:val="0029141B"/>
    <w:rsid w:val="00291F6D"/>
    <w:rsid w:val="0029202F"/>
    <w:rsid w:val="002927D3"/>
    <w:rsid w:val="00292EC8"/>
    <w:rsid w:val="002938AD"/>
    <w:rsid w:val="00293DC7"/>
    <w:rsid w:val="00294BDE"/>
    <w:rsid w:val="00294EA6"/>
    <w:rsid w:val="00295DB6"/>
    <w:rsid w:val="002965C0"/>
    <w:rsid w:val="00296E1A"/>
    <w:rsid w:val="00296E3F"/>
    <w:rsid w:val="0029788B"/>
    <w:rsid w:val="00297D1B"/>
    <w:rsid w:val="00297F4D"/>
    <w:rsid w:val="002A0226"/>
    <w:rsid w:val="002A0290"/>
    <w:rsid w:val="002A0661"/>
    <w:rsid w:val="002A0B7F"/>
    <w:rsid w:val="002A1CF2"/>
    <w:rsid w:val="002A1F59"/>
    <w:rsid w:val="002A2018"/>
    <w:rsid w:val="002A2044"/>
    <w:rsid w:val="002A2ED0"/>
    <w:rsid w:val="002A329F"/>
    <w:rsid w:val="002A33D9"/>
    <w:rsid w:val="002A3474"/>
    <w:rsid w:val="002A35BF"/>
    <w:rsid w:val="002A3A84"/>
    <w:rsid w:val="002A3BBF"/>
    <w:rsid w:val="002A3CEC"/>
    <w:rsid w:val="002A4223"/>
    <w:rsid w:val="002A4AA8"/>
    <w:rsid w:val="002A4C3E"/>
    <w:rsid w:val="002A56BC"/>
    <w:rsid w:val="002A5C53"/>
    <w:rsid w:val="002A6156"/>
    <w:rsid w:val="002A6AD6"/>
    <w:rsid w:val="002A72CC"/>
    <w:rsid w:val="002A76AB"/>
    <w:rsid w:val="002A79C7"/>
    <w:rsid w:val="002A7A4F"/>
    <w:rsid w:val="002A7AFE"/>
    <w:rsid w:val="002B011D"/>
    <w:rsid w:val="002B01DB"/>
    <w:rsid w:val="002B0464"/>
    <w:rsid w:val="002B05EB"/>
    <w:rsid w:val="002B09C0"/>
    <w:rsid w:val="002B100F"/>
    <w:rsid w:val="002B107A"/>
    <w:rsid w:val="002B125E"/>
    <w:rsid w:val="002B13B3"/>
    <w:rsid w:val="002B183D"/>
    <w:rsid w:val="002B1A70"/>
    <w:rsid w:val="002B1B11"/>
    <w:rsid w:val="002B1DBF"/>
    <w:rsid w:val="002B1DC8"/>
    <w:rsid w:val="002B1DD8"/>
    <w:rsid w:val="002B207F"/>
    <w:rsid w:val="002B24E0"/>
    <w:rsid w:val="002B2A48"/>
    <w:rsid w:val="002B2BEE"/>
    <w:rsid w:val="002B30FC"/>
    <w:rsid w:val="002B31AD"/>
    <w:rsid w:val="002B3471"/>
    <w:rsid w:val="002B3EA7"/>
    <w:rsid w:val="002B465E"/>
    <w:rsid w:val="002B4ABD"/>
    <w:rsid w:val="002B4ACB"/>
    <w:rsid w:val="002B4BAE"/>
    <w:rsid w:val="002B4F67"/>
    <w:rsid w:val="002B50A2"/>
    <w:rsid w:val="002B538B"/>
    <w:rsid w:val="002B5520"/>
    <w:rsid w:val="002B578A"/>
    <w:rsid w:val="002B581B"/>
    <w:rsid w:val="002B6176"/>
    <w:rsid w:val="002B6732"/>
    <w:rsid w:val="002B6C7C"/>
    <w:rsid w:val="002B7D9C"/>
    <w:rsid w:val="002B7E7E"/>
    <w:rsid w:val="002C00C2"/>
    <w:rsid w:val="002C019F"/>
    <w:rsid w:val="002C0745"/>
    <w:rsid w:val="002C1543"/>
    <w:rsid w:val="002C196B"/>
    <w:rsid w:val="002C1A02"/>
    <w:rsid w:val="002C1EF3"/>
    <w:rsid w:val="002C2240"/>
    <w:rsid w:val="002C2448"/>
    <w:rsid w:val="002C2892"/>
    <w:rsid w:val="002C2E22"/>
    <w:rsid w:val="002C4037"/>
    <w:rsid w:val="002C43D0"/>
    <w:rsid w:val="002C4992"/>
    <w:rsid w:val="002C5081"/>
    <w:rsid w:val="002C54AB"/>
    <w:rsid w:val="002C58AB"/>
    <w:rsid w:val="002C5A6E"/>
    <w:rsid w:val="002C64F1"/>
    <w:rsid w:val="002C652C"/>
    <w:rsid w:val="002C6B15"/>
    <w:rsid w:val="002C6D84"/>
    <w:rsid w:val="002C6EE1"/>
    <w:rsid w:val="002C77EF"/>
    <w:rsid w:val="002C7D21"/>
    <w:rsid w:val="002C7D8E"/>
    <w:rsid w:val="002D10B2"/>
    <w:rsid w:val="002D1564"/>
    <w:rsid w:val="002D190C"/>
    <w:rsid w:val="002D1B9B"/>
    <w:rsid w:val="002D1CA4"/>
    <w:rsid w:val="002D1CFA"/>
    <w:rsid w:val="002D1FF8"/>
    <w:rsid w:val="002D29FD"/>
    <w:rsid w:val="002D2C09"/>
    <w:rsid w:val="002D2C45"/>
    <w:rsid w:val="002D2D40"/>
    <w:rsid w:val="002D3461"/>
    <w:rsid w:val="002D4324"/>
    <w:rsid w:val="002D4366"/>
    <w:rsid w:val="002D4969"/>
    <w:rsid w:val="002D4EE1"/>
    <w:rsid w:val="002D4F01"/>
    <w:rsid w:val="002D4F49"/>
    <w:rsid w:val="002D58AB"/>
    <w:rsid w:val="002D608B"/>
    <w:rsid w:val="002D69B7"/>
    <w:rsid w:val="002D778E"/>
    <w:rsid w:val="002D7AFC"/>
    <w:rsid w:val="002D7EC3"/>
    <w:rsid w:val="002D7F3D"/>
    <w:rsid w:val="002E0161"/>
    <w:rsid w:val="002E04D7"/>
    <w:rsid w:val="002E06DD"/>
    <w:rsid w:val="002E0AFE"/>
    <w:rsid w:val="002E13BE"/>
    <w:rsid w:val="002E171A"/>
    <w:rsid w:val="002E17EF"/>
    <w:rsid w:val="002E194A"/>
    <w:rsid w:val="002E1D62"/>
    <w:rsid w:val="002E1E81"/>
    <w:rsid w:val="002E1EA1"/>
    <w:rsid w:val="002E2A24"/>
    <w:rsid w:val="002E2B44"/>
    <w:rsid w:val="002E2D2C"/>
    <w:rsid w:val="002E3D66"/>
    <w:rsid w:val="002E3F11"/>
    <w:rsid w:val="002E4B11"/>
    <w:rsid w:val="002E4F70"/>
    <w:rsid w:val="002E5042"/>
    <w:rsid w:val="002E57CE"/>
    <w:rsid w:val="002E5886"/>
    <w:rsid w:val="002E5AD3"/>
    <w:rsid w:val="002E635D"/>
    <w:rsid w:val="002E645A"/>
    <w:rsid w:val="002E7562"/>
    <w:rsid w:val="002E7AE1"/>
    <w:rsid w:val="002E7F8A"/>
    <w:rsid w:val="002F071F"/>
    <w:rsid w:val="002F16D5"/>
    <w:rsid w:val="002F17FF"/>
    <w:rsid w:val="002F1A24"/>
    <w:rsid w:val="002F1A90"/>
    <w:rsid w:val="002F1C2F"/>
    <w:rsid w:val="002F2151"/>
    <w:rsid w:val="002F254B"/>
    <w:rsid w:val="002F297E"/>
    <w:rsid w:val="002F347F"/>
    <w:rsid w:val="002F3D1C"/>
    <w:rsid w:val="002F4EA1"/>
    <w:rsid w:val="002F52DE"/>
    <w:rsid w:val="002F55C1"/>
    <w:rsid w:val="002F5715"/>
    <w:rsid w:val="002F5E1A"/>
    <w:rsid w:val="002F64DE"/>
    <w:rsid w:val="002F797A"/>
    <w:rsid w:val="002F7C2A"/>
    <w:rsid w:val="002F7D9C"/>
    <w:rsid w:val="00300483"/>
    <w:rsid w:val="003012BB"/>
    <w:rsid w:val="0030133B"/>
    <w:rsid w:val="00301B1D"/>
    <w:rsid w:val="00301C91"/>
    <w:rsid w:val="00301EE7"/>
    <w:rsid w:val="003026F0"/>
    <w:rsid w:val="00302E83"/>
    <w:rsid w:val="003033B5"/>
    <w:rsid w:val="00303F2B"/>
    <w:rsid w:val="00303FE0"/>
    <w:rsid w:val="003042C9"/>
    <w:rsid w:val="00304607"/>
    <w:rsid w:val="0030467A"/>
    <w:rsid w:val="00304D4E"/>
    <w:rsid w:val="00304D61"/>
    <w:rsid w:val="00304EF8"/>
    <w:rsid w:val="00304FFD"/>
    <w:rsid w:val="00305069"/>
    <w:rsid w:val="00305608"/>
    <w:rsid w:val="00305B72"/>
    <w:rsid w:val="00305C41"/>
    <w:rsid w:val="0030610A"/>
    <w:rsid w:val="00306627"/>
    <w:rsid w:val="0030675F"/>
    <w:rsid w:val="003069DD"/>
    <w:rsid w:val="00306CAB"/>
    <w:rsid w:val="0030777A"/>
    <w:rsid w:val="00307C25"/>
    <w:rsid w:val="00310DB4"/>
    <w:rsid w:val="00310E75"/>
    <w:rsid w:val="003110A8"/>
    <w:rsid w:val="00311100"/>
    <w:rsid w:val="003111F4"/>
    <w:rsid w:val="0031146F"/>
    <w:rsid w:val="0031150D"/>
    <w:rsid w:val="00311747"/>
    <w:rsid w:val="00311795"/>
    <w:rsid w:val="003117B1"/>
    <w:rsid w:val="00311B70"/>
    <w:rsid w:val="00311CBE"/>
    <w:rsid w:val="00312280"/>
    <w:rsid w:val="0031237C"/>
    <w:rsid w:val="00312766"/>
    <w:rsid w:val="00312CD0"/>
    <w:rsid w:val="00312F94"/>
    <w:rsid w:val="003130B8"/>
    <w:rsid w:val="00313F60"/>
    <w:rsid w:val="00313F6A"/>
    <w:rsid w:val="0031449F"/>
    <w:rsid w:val="003145A5"/>
    <w:rsid w:val="003148B9"/>
    <w:rsid w:val="00314A2E"/>
    <w:rsid w:val="00314B4E"/>
    <w:rsid w:val="00315223"/>
    <w:rsid w:val="00315246"/>
    <w:rsid w:val="00315266"/>
    <w:rsid w:val="00315580"/>
    <w:rsid w:val="00315763"/>
    <w:rsid w:val="003160A9"/>
    <w:rsid w:val="0031682B"/>
    <w:rsid w:val="0031693B"/>
    <w:rsid w:val="003169CE"/>
    <w:rsid w:val="00316F0A"/>
    <w:rsid w:val="00316F8A"/>
    <w:rsid w:val="00317170"/>
    <w:rsid w:val="003178A5"/>
    <w:rsid w:val="00317DC7"/>
    <w:rsid w:val="003200F9"/>
    <w:rsid w:val="003202E0"/>
    <w:rsid w:val="00320CEB"/>
    <w:rsid w:val="00320F38"/>
    <w:rsid w:val="00321183"/>
    <w:rsid w:val="00321694"/>
    <w:rsid w:val="003217DE"/>
    <w:rsid w:val="00321F0A"/>
    <w:rsid w:val="0032216D"/>
    <w:rsid w:val="003223CE"/>
    <w:rsid w:val="0032255A"/>
    <w:rsid w:val="00322A2D"/>
    <w:rsid w:val="00322C61"/>
    <w:rsid w:val="00322E80"/>
    <w:rsid w:val="00323002"/>
    <w:rsid w:val="00323DF7"/>
    <w:rsid w:val="00324D5B"/>
    <w:rsid w:val="00325045"/>
    <w:rsid w:val="0032580D"/>
    <w:rsid w:val="00325AF2"/>
    <w:rsid w:val="00325D91"/>
    <w:rsid w:val="00325E20"/>
    <w:rsid w:val="00326349"/>
    <w:rsid w:val="003267B4"/>
    <w:rsid w:val="00326F51"/>
    <w:rsid w:val="003278EC"/>
    <w:rsid w:val="00327A31"/>
    <w:rsid w:val="00327EF6"/>
    <w:rsid w:val="0033015C"/>
    <w:rsid w:val="003303B7"/>
    <w:rsid w:val="00330931"/>
    <w:rsid w:val="00331193"/>
    <w:rsid w:val="00331F2E"/>
    <w:rsid w:val="00333172"/>
    <w:rsid w:val="003333D4"/>
    <w:rsid w:val="00333A95"/>
    <w:rsid w:val="00333EFE"/>
    <w:rsid w:val="0033421D"/>
    <w:rsid w:val="00334317"/>
    <w:rsid w:val="00334951"/>
    <w:rsid w:val="0033537E"/>
    <w:rsid w:val="003356D6"/>
    <w:rsid w:val="003357E7"/>
    <w:rsid w:val="00336115"/>
    <w:rsid w:val="0033621D"/>
    <w:rsid w:val="003362A9"/>
    <w:rsid w:val="003363E9"/>
    <w:rsid w:val="00336411"/>
    <w:rsid w:val="00336687"/>
    <w:rsid w:val="00336694"/>
    <w:rsid w:val="0033678D"/>
    <w:rsid w:val="00336813"/>
    <w:rsid w:val="00336DCF"/>
    <w:rsid w:val="003370BD"/>
    <w:rsid w:val="0033720D"/>
    <w:rsid w:val="003373E8"/>
    <w:rsid w:val="00337823"/>
    <w:rsid w:val="00337A7B"/>
    <w:rsid w:val="00337B08"/>
    <w:rsid w:val="00340558"/>
    <w:rsid w:val="00341A21"/>
    <w:rsid w:val="00342C07"/>
    <w:rsid w:val="003437BC"/>
    <w:rsid w:val="00343C71"/>
    <w:rsid w:val="00344138"/>
    <w:rsid w:val="00344147"/>
    <w:rsid w:val="0034430D"/>
    <w:rsid w:val="003443DD"/>
    <w:rsid w:val="0034486D"/>
    <w:rsid w:val="00344CE5"/>
    <w:rsid w:val="00344D5A"/>
    <w:rsid w:val="00344E9B"/>
    <w:rsid w:val="00345D63"/>
    <w:rsid w:val="00345F7F"/>
    <w:rsid w:val="003460DF"/>
    <w:rsid w:val="003463D4"/>
    <w:rsid w:val="0034691F"/>
    <w:rsid w:val="00346E9C"/>
    <w:rsid w:val="00346EB6"/>
    <w:rsid w:val="00347874"/>
    <w:rsid w:val="00347EDB"/>
    <w:rsid w:val="00350529"/>
    <w:rsid w:val="00350797"/>
    <w:rsid w:val="00351A85"/>
    <w:rsid w:val="00351F9D"/>
    <w:rsid w:val="003522E8"/>
    <w:rsid w:val="003522FA"/>
    <w:rsid w:val="0035298C"/>
    <w:rsid w:val="003530F2"/>
    <w:rsid w:val="0035370E"/>
    <w:rsid w:val="00353989"/>
    <w:rsid w:val="003539A7"/>
    <w:rsid w:val="00353E06"/>
    <w:rsid w:val="00354E3F"/>
    <w:rsid w:val="003556CC"/>
    <w:rsid w:val="00355B7A"/>
    <w:rsid w:val="0035617C"/>
    <w:rsid w:val="00356268"/>
    <w:rsid w:val="00356E7E"/>
    <w:rsid w:val="00356EB8"/>
    <w:rsid w:val="00356F8F"/>
    <w:rsid w:val="00357236"/>
    <w:rsid w:val="003573A6"/>
    <w:rsid w:val="00357791"/>
    <w:rsid w:val="00357B83"/>
    <w:rsid w:val="00360152"/>
    <w:rsid w:val="00360216"/>
    <w:rsid w:val="0036139F"/>
    <w:rsid w:val="003614A6"/>
    <w:rsid w:val="003614A8"/>
    <w:rsid w:val="0036160E"/>
    <w:rsid w:val="00361665"/>
    <w:rsid w:val="003616B3"/>
    <w:rsid w:val="00361767"/>
    <w:rsid w:val="00361883"/>
    <w:rsid w:val="00361DCA"/>
    <w:rsid w:val="00361FDD"/>
    <w:rsid w:val="00362262"/>
    <w:rsid w:val="00362610"/>
    <w:rsid w:val="003629AD"/>
    <w:rsid w:val="00362B6E"/>
    <w:rsid w:val="003630EA"/>
    <w:rsid w:val="0036324C"/>
    <w:rsid w:val="00363830"/>
    <w:rsid w:val="00363D2D"/>
    <w:rsid w:val="00363F6A"/>
    <w:rsid w:val="0036430C"/>
    <w:rsid w:val="00364838"/>
    <w:rsid w:val="003649AD"/>
    <w:rsid w:val="00364BB6"/>
    <w:rsid w:val="00364CBA"/>
    <w:rsid w:val="00364D6B"/>
    <w:rsid w:val="003651DA"/>
    <w:rsid w:val="00365408"/>
    <w:rsid w:val="003659CC"/>
    <w:rsid w:val="00365CC0"/>
    <w:rsid w:val="003666BE"/>
    <w:rsid w:val="003668DF"/>
    <w:rsid w:val="00366D05"/>
    <w:rsid w:val="0036735D"/>
    <w:rsid w:val="003675DD"/>
    <w:rsid w:val="00367688"/>
    <w:rsid w:val="003679DE"/>
    <w:rsid w:val="003703FB"/>
    <w:rsid w:val="0037179D"/>
    <w:rsid w:val="00371B54"/>
    <w:rsid w:val="00372221"/>
    <w:rsid w:val="003729E8"/>
    <w:rsid w:val="00372CF2"/>
    <w:rsid w:val="00373368"/>
    <w:rsid w:val="00373A53"/>
    <w:rsid w:val="00374726"/>
    <w:rsid w:val="0037479D"/>
    <w:rsid w:val="003749F1"/>
    <w:rsid w:val="00374ADE"/>
    <w:rsid w:val="00374C7E"/>
    <w:rsid w:val="00374F80"/>
    <w:rsid w:val="003761C7"/>
    <w:rsid w:val="003761FE"/>
    <w:rsid w:val="0037639F"/>
    <w:rsid w:val="00377353"/>
    <w:rsid w:val="0037736B"/>
    <w:rsid w:val="0037798B"/>
    <w:rsid w:val="00377B8B"/>
    <w:rsid w:val="003803C5"/>
    <w:rsid w:val="003809F9"/>
    <w:rsid w:val="00381921"/>
    <w:rsid w:val="00381BDA"/>
    <w:rsid w:val="00381F57"/>
    <w:rsid w:val="0038216E"/>
    <w:rsid w:val="003822E5"/>
    <w:rsid w:val="00382376"/>
    <w:rsid w:val="0038294B"/>
    <w:rsid w:val="003830B8"/>
    <w:rsid w:val="003831C0"/>
    <w:rsid w:val="00383262"/>
    <w:rsid w:val="00383440"/>
    <w:rsid w:val="00384C8B"/>
    <w:rsid w:val="00384EF2"/>
    <w:rsid w:val="00385106"/>
    <w:rsid w:val="003855A3"/>
    <w:rsid w:val="003857D8"/>
    <w:rsid w:val="00385B31"/>
    <w:rsid w:val="00385D13"/>
    <w:rsid w:val="00385F41"/>
    <w:rsid w:val="00386636"/>
    <w:rsid w:val="003867C1"/>
    <w:rsid w:val="00387F14"/>
    <w:rsid w:val="003903CE"/>
    <w:rsid w:val="003905A1"/>
    <w:rsid w:val="00391041"/>
    <w:rsid w:val="00391368"/>
    <w:rsid w:val="00391EF8"/>
    <w:rsid w:val="003921AE"/>
    <w:rsid w:val="00392447"/>
    <w:rsid w:val="00392FBD"/>
    <w:rsid w:val="00393B5B"/>
    <w:rsid w:val="00393BC8"/>
    <w:rsid w:val="00394EAB"/>
    <w:rsid w:val="00394FAD"/>
    <w:rsid w:val="00397458"/>
    <w:rsid w:val="003974B5"/>
    <w:rsid w:val="00397982"/>
    <w:rsid w:val="00397A96"/>
    <w:rsid w:val="003A0263"/>
    <w:rsid w:val="003A02EE"/>
    <w:rsid w:val="003A04A5"/>
    <w:rsid w:val="003A0546"/>
    <w:rsid w:val="003A09C4"/>
    <w:rsid w:val="003A157A"/>
    <w:rsid w:val="003A18CC"/>
    <w:rsid w:val="003A23AC"/>
    <w:rsid w:val="003A2634"/>
    <w:rsid w:val="003A283F"/>
    <w:rsid w:val="003A2A16"/>
    <w:rsid w:val="003A2B4C"/>
    <w:rsid w:val="003A2FDD"/>
    <w:rsid w:val="003A38FE"/>
    <w:rsid w:val="003A3AFD"/>
    <w:rsid w:val="003A3C43"/>
    <w:rsid w:val="003A422B"/>
    <w:rsid w:val="003A4285"/>
    <w:rsid w:val="003A59AD"/>
    <w:rsid w:val="003A5ABE"/>
    <w:rsid w:val="003A5CCC"/>
    <w:rsid w:val="003A5E66"/>
    <w:rsid w:val="003A6B7F"/>
    <w:rsid w:val="003A6F92"/>
    <w:rsid w:val="003A70FF"/>
    <w:rsid w:val="003A74D2"/>
    <w:rsid w:val="003A756B"/>
    <w:rsid w:val="003A764B"/>
    <w:rsid w:val="003A7902"/>
    <w:rsid w:val="003A7BD4"/>
    <w:rsid w:val="003B083F"/>
    <w:rsid w:val="003B119F"/>
    <w:rsid w:val="003B136A"/>
    <w:rsid w:val="003B14EA"/>
    <w:rsid w:val="003B1679"/>
    <w:rsid w:val="003B23D7"/>
    <w:rsid w:val="003B252C"/>
    <w:rsid w:val="003B312D"/>
    <w:rsid w:val="003B34CB"/>
    <w:rsid w:val="003B38F9"/>
    <w:rsid w:val="003B3AB4"/>
    <w:rsid w:val="003B3AFF"/>
    <w:rsid w:val="003B3CA8"/>
    <w:rsid w:val="003B42A6"/>
    <w:rsid w:val="003B45D5"/>
    <w:rsid w:val="003B494E"/>
    <w:rsid w:val="003B5124"/>
    <w:rsid w:val="003B52FE"/>
    <w:rsid w:val="003B55EE"/>
    <w:rsid w:val="003B572A"/>
    <w:rsid w:val="003B5779"/>
    <w:rsid w:val="003B5A50"/>
    <w:rsid w:val="003B5E1A"/>
    <w:rsid w:val="003B60D7"/>
    <w:rsid w:val="003B6325"/>
    <w:rsid w:val="003B64A5"/>
    <w:rsid w:val="003B67A1"/>
    <w:rsid w:val="003B69D3"/>
    <w:rsid w:val="003B70A3"/>
    <w:rsid w:val="003B71E0"/>
    <w:rsid w:val="003B7509"/>
    <w:rsid w:val="003B7861"/>
    <w:rsid w:val="003B78A4"/>
    <w:rsid w:val="003C063B"/>
    <w:rsid w:val="003C1393"/>
    <w:rsid w:val="003C144E"/>
    <w:rsid w:val="003C149C"/>
    <w:rsid w:val="003C17E2"/>
    <w:rsid w:val="003C1A07"/>
    <w:rsid w:val="003C1E74"/>
    <w:rsid w:val="003C20A2"/>
    <w:rsid w:val="003C2673"/>
    <w:rsid w:val="003C27A2"/>
    <w:rsid w:val="003C2BDF"/>
    <w:rsid w:val="003C2FA1"/>
    <w:rsid w:val="003C52B7"/>
    <w:rsid w:val="003C5320"/>
    <w:rsid w:val="003C567C"/>
    <w:rsid w:val="003C58D3"/>
    <w:rsid w:val="003C59B8"/>
    <w:rsid w:val="003C5DB1"/>
    <w:rsid w:val="003C6506"/>
    <w:rsid w:val="003C6809"/>
    <w:rsid w:val="003C6904"/>
    <w:rsid w:val="003C6B00"/>
    <w:rsid w:val="003C75F3"/>
    <w:rsid w:val="003C7897"/>
    <w:rsid w:val="003C79C8"/>
    <w:rsid w:val="003D0937"/>
    <w:rsid w:val="003D0BF1"/>
    <w:rsid w:val="003D0C92"/>
    <w:rsid w:val="003D16AB"/>
    <w:rsid w:val="003D17E6"/>
    <w:rsid w:val="003D1A20"/>
    <w:rsid w:val="003D1AC9"/>
    <w:rsid w:val="003D280C"/>
    <w:rsid w:val="003D2AC9"/>
    <w:rsid w:val="003D2CD8"/>
    <w:rsid w:val="003D34DE"/>
    <w:rsid w:val="003D3724"/>
    <w:rsid w:val="003D4035"/>
    <w:rsid w:val="003D42AB"/>
    <w:rsid w:val="003D46A7"/>
    <w:rsid w:val="003D4B4C"/>
    <w:rsid w:val="003D52E8"/>
    <w:rsid w:val="003D5DB8"/>
    <w:rsid w:val="003D62CF"/>
    <w:rsid w:val="003D6376"/>
    <w:rsid w:val="003D67CE"/>
    <w:rsid w:val="003D70BE"/>
    <w:rsid w:val="003D7168"/>
    <w:rsid w:val="003D76CC"/>
    <w:rsid w:val="003D7B6E"/>
    <w:rsid w:val="003E0258"/>
    <w:rsid w:val="003E05EE"/>
    <w:rsid w:val="003E0C75"/>
    <w:rsid w:val="003E1235"/>
    <w:rsid w:val="003E16BC"/>
    <w:rsid w:val="003E2493"/>
    <w:rsid w:val="003E275B"/>
    <w:rsid w:val="003E2A35"/>
    <w:rsid w:val="003E2B56"/>
    <w:rsid w:val="003E2CE1"/>
    <w:rsid w:val="003E2DCB"/>
    <w:rsid w:val="003E30E6"/>
    <w:rsid w:val="003E389A"/>
    <w:rsid w:val="003E40BF"/>
    <w:rsid w:val="003E4C3F"/>
    <w:rsid w:val="003E4D7C"/>
    <w:rsid w:val="003E4F12"/>
    <w:rsid w:val="003E5CFD"/>
    <w:rsid w:val="003E5FA8"/>
    <w:rsid w:val="003E6060"/>
    <w:rsid w:val="003E6252"/>
    <w:rsid w:val="003E626A"/>
    <w:rsid w:val="003E6669"/>
    <w:rsid w:val="003E6B6A"/>
    <w:rsid w:val="003E6B81"/>
    <w:rsid w:val="003E7DDB"/>
    <w:rsid w:val="003F0478"/>
    <w:rsid w:val="003F06EA"/>
    <w:rsid w:val="003F0B2C"/>
    <w:rsid w:val="003F1200"/>
    <w:rsid w:val="003F1421"/>
    <w:rsid w:val="003F1844"/>
    <w:rsid w:val="003F1E21"/>
    <w:rsid w:val="003F241E"/>
    <w:rsid w:val="003F28C0"/>
    <w:rsid w:val="003F363B"/>
    <w:rsid w:val="003F3B45"/>
    <w:rsid w:val="003F3EE6"/>
    <w:rsid w:val="003F500C"/>
    <w:rsid w:val="003F52B2"/>
    <w:rsid w:val="003F656E"/>
    <w:rsid w:val="003F65EF"/>
    <w:rsid w:val="003F6748"/>
    <w:rsid w:val="003F716E"/>
    <w:rsid w:val="003F733C"/>
    <w:rsid w:val="003F7634"/>
    <w:rsid w:val="003F775D"/>
    <w:rsid w:val="003F7A7E"/>
    <w:rsid w:val="003F7DB7"/>
    <w:rsid w:val="00400061"/>
    <w:rsid w:val="0040068A"/>
    <w:rsid w:val="00400755"/>
    <w:rsid w:val="00400813"/>
    <w:rsid w:val="00400E17"/>
    <w:rsid w:val="00400F9D"/>
    <w:rsid w:val="004010D5"/>
    <w:rsid w:val="004013AD"/>
    <w:rsid w:val="004013C9"/>
    <w:rsid w:val="00402215"/>
    <w:rsid w:val="004022AA"/>
    <w:rsid w:val="00402B69"/>
    <w:rsid w:val="00402C35"/>
    <w:rsid w:val="00402D97"/>
    <w:rsid w:val="0040405B"/>
    <w:rsid w:val="00404195"/>
    <w:rsid w:val="00404211"/>
    <w:rsid w:val="004042A4"/>
    <w:rsid w:val="00404346"/>
    <w:rsid w:val="004043F3"/>
    <w:rsid w:val="0040459D"/>
    <w:rsid w:val="00404BAF"/>
    <w:rsid w:val="00404D2F"/>
    <w:rsid w:val="00404DAA"/>
    <w:rsid w:val="00404DDD"/>
    <w:rsid w:val="0040578B"/>
    <w:rsid w:val="004061E6"/>
    <w:rsid w:val="004065D6"/>
    <w:rsid w:val="004067A0"/>
    <w:rsid w:val="0040687D"/>
    <w:rsid w:val="0040687E"/>
    <w:rsid w:val="0040709D"/>
    <w:rsid w:val="0040713F"/>
    <w:rsid w:val="004075A3"/>
    <w:rsid w:val="00407973"/>
    <w:rsid w:val="00410182"/>
    <w:rsid w:val="00410C48"/>
    <w:rsid w:val="0041109D"/>
    <w:rsid w:val="00411638"/>
    <w:rsid w:val="004118C7"/>
    <w:rsid w:val="00412B3F"/>
    <w:rsid w:val="0041310F"/>
    <w:rsid w:val="004132FD"/>
    <w:rsid w:val="00414066"/>
    <w:rsid w:val="00415294"/>
    <w:rsid w:val="004155A0"/>
    <w:rsid w:val="004155EF"/>
    <w:rsid w:val="00415ADC"/>
    <w:rsid w:val="00415D75"/>
    <w:rsid w:val="00416277"/>
    <w:rsid w:val="00416391"/>
    <w:rsid w:val="00416621"/>
    <w:rsid w:val="0041691B"/>
    <w:rsid w:val="00416B1D"/>
    <w:rsid w:val="00416E24"/>
    <w:rsid w:val="0041754D"/>
    <w:rsid w:val="00417DCA"/>
    <w:rsid w:val="0042009F"/>
    <w:rsid w:val="0042015A"/>
    <w:rsid w:val="0042063D"/>
    <w:rsid w:val="00420841"/>
    <w:rsid w:val="004214A7"/>
    <w:rsid w:val="00421706"/>
    <w:rsid w:val="004219BD"/>
    <w:rsid w:val="00421CBF"/>
    <w:rsid w:val="00422387"/>
    <w:rsid w:val="00422B23"/>
    <w:rsid w:val="004233B9"/>
    <w:rsid w:val="00423A60"/>
    <w:rsid w:val="00423C47"/>
    <w:rsid w:val="00423E03"/>
    <w:rsid w:val="0042574E"/>
    <w:rsid w:val="004262F1"/>
    <w:rsid w:val="0042651C"/>
    <w:rsid w:val="00426703"/>
    <w:rsid w:val="00426C32"/>
    <w:rsid w:val="00426E9B"/>
    <w:rsid w:val="00427149"/>
    <w:rsid w:val="004271DE"/>
    <w:rsid w:val="00427A75"/>
    <w:rsid w:val="00427ABC"/>
    <w:rsid w:val="00427D55"/>
    <w:rsid w:val="00430429"/>
    <w:rsid w:val="0043083F"/>
    <w:rsid w:val="00430A76"/>
    <w:rsid w:val="00431B15"/>
    <w:rsid w:val="00431DB2"/>
    <w:rsid w:val="0043233C"/>
    <w:rsid w:val="00432972"/>
    <w:rsid w:val="00432AF2"/>
    <w:rsid w:val="00432B4A"/>
    <w:rsid w:val="00432BAB"/>
    <w:rsid w:val="00433310"/>
    <w:rsid w:val="0043396D"/>
    <w:rsid w:val="00433AAD"/>
    <w:rsid w:val="00433BD3"/>
    <w:rsid w:val="004345A6"/>
    <w:rsid w:val="0043484F"/>
    <w:rsid w:val="00434886"/>
    <w:rsid w:val="00434FC4"/>
    <w:rsid w:val="004351CD"/>
    <w:rsid w:val="00435A07"/>
    <w:rsid w:val="00435B2F"/>
    <w:rsid w:val="00435E03"/>
    <w:rsid w:val="0043626B"/>
    <w:rsid w:val="0043649F"/>
    <w:rsid w:val="00437129"/>
    <w:rsid w:val="0043718A"/>
    <w:rsid w:val="004373E1"/>
    <w:rsid w:val="004374A3"/>
    <w:rsid w:val="00437A7E"/>
    <w:rsid w:val="00437B6C"/>
    <w:rsid w:val="00437EEB"/>
    <w:rsid w:val="00440144"/>
    <w:rsid w:val="0044064E"/>
    <w:rsid w:val="00440805"/>
    <w:rsid w:val="004412E1"/>
    <w:rsid w:val="00441554"/>
    <w:rsid w:val="00441CD7"/>
    <w:rsid w:val="004421DA"/>
    <w:rsid w:val="00442E48"/>
    <w:rsid w:val="0044388E"/>
    <w:rsid w:val="00443DCD"/>
    <w:rsid w:val="00443E7E"/>
    <w:rsid w:val="004445CC"/>
    <w:rsid w:val="00444BE9"/>
    <w:rsid w:val="00444C06"/>
    <w:rsid w:val="004454DF"/>
    <w:rsid w:val="00445EC3"/>
    <w:rsid w:val="00446804"/>
    <w:rsid w:val="004478D4"/>
    <w:rsid w:val="00450380"/>
    <w:rsid w:val="0045056A"/>
    <w:rsid w:val="004505C6"/>
    <w:rsid w:val="00450E8E"/>
    <w:rsid w:val="00451D59"/>
    <w:rsid w:val="00451E95"/>
    <w:rsid w:val="004520CD"/>
    <w:rsid w:val="00452A16"/>
    <w:rsid w:val="00452AD5"/>
    <w:rsid w:val="00452DF3"/>
    <w:rsid w:val="00452FCA"/>
    <w:rsid w:val="004534F5"/>
    <w:rsid w:val="00453765"/>
    <w:rsid w:val="004546CC"/>
    <w:rsid w:val="00454EC3"/>
    <w:rsid w:val="0045502D"/>
    <w:rsid w:val="004552E4"/>
    <w:rsid w:val="0045530A"/>
    <w:rsid w:val="004554AE"/>
    <w:rsid w:val="004554C3"/>
    <w:rsid w:val="00455FB6"/>
    <w:rsid w:val="004562AB"/>
    <w:rsid w:val="004563C5"/>
    <w:rsid w:val="00456BE2"/>
    <w:rsid w:val="00456C21"/>
    <w:rsid w:val="00457197"/>
    <w:rsid w:val="00457555"/>
    <w:rsid w:val="0045765A"/>
    <w:rsid w:val="00457790"/>
    <w:rsid w:val="004577CF"/>
    <w:rsid w:val="00457971"/>
    <w:rsid w:val="00457DD8"/>
    <w:rsid w:val="00457F98"/>
    <w:rsid w:val="004601E1"/>
    <w:rsid w:val="004603D0"/>
    <w:rsid w:val="0046069E"/>
    <w:rsid w:val="00461A03"/>
    <w:rsid w:val="00461DBB"/>
    <w:rsid w:val="004620C6"/>
    <w:rsid w:val="004624AE"/>
    <w:rsid w:val="0046250E"/>
    <w:rsid w:val="004629A8"/>
    <w:rsid w:val="00462E9C"/>
    <w:rsid w:val="00463220"/>
    <w:rsid w:val="0046333A"/>
    <w:rsid w:val="00463515"/>
    <w:rsid w:val="0046395E"/>
    <w:rsid w:val="00464AA5"/>
    <w:rsid w:val="00464B48"/>
    <w:rsid w:val="00465231"/>
    <w:rsid w:val="004661AF"/>
    <w:rsid w:val="004662AD"/>
    <w:rsid w:val="00466516"/>
    <w:rsid w:val="00466692"/>
    <w:rsid w:val="004671CD"/>
    <w:rsid w:val="00467B65"/>
    <w:rsid w:val="004712A4"/>
    <w:rsid w:val="00471833"/>
    <w:rsid w:val="00471AF8"/>
    <w:rsid w:val="00471EA5"/>
    <w:rsid w:val="004720C9"/>
    <w:rsid w:val="00472144"/>
    <w:rsid w:val="00472257"/>
    <w:rsid w:val="00472E49"/>
    <w:rsid w:val="004732BB"/>
    <w:rsid w:val="00473678"/>
    <w:rsid w:val="00473A55"/>
    <w:rsid w:val="00474761"/>
    <w:rsid w:val="0047476F"/>
    <w:rsid w:val="00474C60"/>
    <w:rsid w:val="00475913"/>
    <w:rsid w:val="00475944"/>
    <w:rsid w:val="00475DF0"/>
    <w:rsid w:val="004762F3"/>
    <w:rsid w:val="004763D7"/>
    <w:rsid w:val="00476525"/>
    <w:rsid w:val="004767B7"/>
    <w:rsid w:val="00476935"/>
    <w:rsid w:val="00476DA7"/>
    <w:rsid w:val="004770F9"/>
    <w:rsid w:val="00477210"/>
    <w:rsid w:val="004772E2"/>
    <w:rsid w:val="0047739F"/>
    <w:rsid w:val="004773EE"/>
    <w:rsid w:val="00477BB0"/>
    <w:rsid w:val="00477F97"/>
    <w:rsid w:val="0048011B"/>
    <w:rsid w:val="00480460"/>
    <w:rsid w:val="0048054B"/>
    <w:rsid w:val="0048065F"/>
    <w:rsid w:val="00480A2D"/>
    <w:rsid w:val="00480AFB"/>
    <w:rsid w:val="00481247"/>
    <w:rsid w:val="00482406"/>
    <w:rsid w:val="004828D1"/>
    <w:rsid w:val="004828DC"/>
    <w:rsid w:val="00482FF7"/>
    <w:rsid w:val="00483098"/>
    <w:rsid w:val="00483AFB"/>
    <w:rsid w:val="0048402B"/>
    <w:rsid w:val="004840F3"/>
    <w:rsid w:val="0048414A"/>
    <w:rsid w:val="004848FA"/>
    <w:rsid w:val="00484D9A"/>
    <w:rsid w:val="0048550E"/>
    <w:rsid w:val="00485C56"/>
    <w:rsid w:val="00485D18"/>
    <w:rsid w:val="00486B79"/>
    <w:rsid w:val="00486CA2"/>
    <w:rsid w:val="00487F62"/>
    <w:rsid w:val="00490B25"/>
    <w:rsid w:val="00490FD6"/>
    <w:rsid w:val="00491168"/>
    <w:rsid w:val="004911C4"/>
    <w:rsid w:val="00491AD5"/>
    <w:rsid w:val="00492C5E"/>
    <w:rsid w:val="00492EAB"/>
    <w:rsid w:val="00493AAE"/>
    <w:rsid w:val="00494490"/>
    <w:rsid w:val="00494CC8"/>
    <w:rsid w:val="004952FE"/>
    <w:rsid w:val="004955E7"/>
    <w:rsid w:val="0049569E"/>
    <w:rsid w:val="0049589C"/>
    <w:rsid w:val="00495EF1"/>
    <w:rsid w:val="00496035"/>
    <w:rsid w:val="00496337"/>
    <w:rsid w:val="004965D0"/>
    <w:rsid w:val="004967C8"/>
    <w:rsid w:val="0049684E"/>
    <w:rsid w:val="00496ED4"/>
    <w:rsid w:val="00497D4A"/>
    <w:rsid w:val="00497F68"/>
    <w:rsid w:val="004A0441"/>
    <w:rsid w:val="004A084C"/>
    <w:rsid w:val="004A0A40"/>
    <w:rsid w:val="004A0F07"/>
    <w:rsid w:val="004A15B3"/>
    <w:rsid w:val="004A1D01"/>
    <w:rsid w:val="004A246D"/>
    <w:rsid w:val="004A2A54"/>
    <w:rsid w:val="004A2EF3"/>
    <w:rsid w:val="004A3B0D"/>
    <w:rsid w:val="004A44A1"/>
    <w:rsid w:val="004A4743"/>
    <w:rsid w:val="004A50AF"/>
    <w:rsid w:val="004A52F5"/>
    <w:rsid w:val="004A58C4"/>
    <w:rsid w:val="004A5D3A"/>
    <w:rsid w:val="004A5D52"/>
    <w:rsid w:val="004A6302"/>
    <w:rsid w:val="004A6897"/>
    <w:rsid w:val="004A692B"/>
    <w:rsid w:val="004A6DE8"/>
    <w:rsid w:val="004A6E82"/>
    <w:rsid w:val="004A6EB6"/>
    <w:rsid w:val="004A70BC"/>
    <w:rsid w:val="004A735E"/>
    <w:rsid w:val="004A75D6"/>
    <w:rsid w:val="004A767E"/>
    <w:rsid w:val="004A78F8"/>
    <w:rsid w:val="004A794C"/>
    <w:rsid w:val="004A7CCF"/>
    <w:rsid w:val="004B0A74"/>
    <w:rsid w:val="004B0CD1"/>
    <w:rsid w:val="004B17F2"/>
    <w:rsid w:val="004B1F07"/>
    <w:rsid w:val="004B22F8"/>
    <w:rsid w:val="004B2B2A"/>
    <w:rsid w:val="004B2CAD"/>
    <w:rsid w:val="004B3AC8"/>
    <w:rsid w:val="004B3E61"/>
    <w:rsid w:val="004B3EC7"/>
    <w:rsid w:val="004B4216"/>
    <w:rsid w:val="004B5664"/>
    <w:rsid w:val="004B592C"/>
    <w:rsid w:val="004B5FE4"/>
    <w:rsid w:val="004B61C6"/>
    <w:rsid w:val="004B6353"/>
    <w:rsid w:val="004B63DA"/>
    <w:rsid w:val="004B67A1"/>
    <w:rsid w:val="004B6E09"/>
    <w:rsid w:val="004C01AC"/>
    <w:rsid w:val="004C047A"/>
    <w:rsid w:val="004C079C"/>
    <w:rsid w:val="004C0CAB"/>
    <w:rsid w:val="004C1204"/>
    <w:rsid w:val="004C2107"/>
    <w:rsid w:val="004C2E42"/>
    <w:rsid w:val="004C3A76"/>
    <w:rsid w:val="004C4F79"/>
    <w:rsid w:val="004C56A1"/>
    <w:rsid w:val="004C5B8C"/>
    <w:rsid w:val="004C5FC6"/>
    <w:rsid w:val="004C6435"/>
    <w:rsid w:val="004C649B"/>
    <w:rsid w:val="004C6AF2"/>
    <w:rsid w:val="004C6CB2"/>
    <w:rsid w:val="004C6F8E"/>
    <w:rsid w:val="004C706F"/>
    <w:rsid w:val="004C70BF"/>
    <w:rsid w:val="004C78A4"/>
    <w:rsid w:val="004C7B60"/>
    <w:rsid w:val="004C7B9C"/>
    <w:rsid w:val="004C7D55"/>
    <w:rsid w:val="004C7F66"/>
    <w:rsid w:val="004D089A"/>
    <w:rsid w:val="004D0A9A"/>
    <w:rsid w:val="004D0FB8"/>
    <w:rsid w:val="004D1097"/>
    <w:rsid w:val="004D1324"/>
    <w:rsid w:val="004D164C"/>
    <w:rsid w:val="004D1CB7"/>
    <w:rsid w:val="004D1FA2"/>
    <w:rsid w:val="004D3184"/>
    <w:rsid w:val="004D33C9"/>
    <w:rsid w:val="004D3A2E"/>
    <w:rsid w:val="004D3DDD"/>
    <w:rsid w:val="004D41CB"/>
    <w:rsid w:val="004D480E"/>
    <w:rsid w:val="004D4ACF"/>
    <w:rsid w:val="004D5030"/>
    <w:rsid w:val="004D6045"/>
    <w:rsid w:val="004D62FA"/>
    <w:rsid w:val="004D63A5"/>
    <w:rsid w:val="004D6C1D"/>
    <w:rsid w:val="004D7080"/>
    <w:rsid w:val="004D7546"/>
    <w:rsid w:val="004D7EC5"/>
    <w:rsid w:val="004E0023"/>
    <w:rsid w:val="004E02B0"/>
    <w:rsid w:val="004E09CC"/>
    <w:rsid w:val="004E0B29"/>
    <w:rsid w:val="004E0E11"/>
    <w:rsid w:val="004E0F08"/>
    <w:rsid w:val="004E1546"/>
    <w:rsid w:val="004E158B"/>
    <w:rsid w:val="004E19DC"/>
    <w:rsid w:val="004E2165"/>
    <w:rsid w:val="004E280F"/>
    <w:rsid w:val="004E2880"/>
    <w:rsid w:val="004E2897"/>
    <w:rsid w:val="004E2C77"/>
    <w:rsid w:val="004E2C8E"/>
    <w:rsid w:val="004E35E8"/>
    <w:rsid w:val="004E38EB"/>
    <w:rsid w:val="004E4879"/>
    <w:rsid w:val="004E50F0"/>
    <w:rsid w:val="004E6A03"/>
    <w:rsid w:val="004E6BCF"/>
    <w:rsid w:val="004E763A"/>
    <w:rsid w:val="004E7E7A"/>
    <w:rsid w:val="004F0070"/>
    <w:rsid w:val="004F0087"/>
    <w:rsid w:val="004F0409"/>
    <w:rsid w:val="004F0468"/>
    <w:rsid w:val="004F0C3D"/>
    <w:rsid w:val="004F0C51"/>
    <w:rsid w:val="004F118A"/>
    <w:rsid w:val="004F2073"/>
    <w:rsid w:val="004F263C"/>
    <w:rsid w:val="004F2BB1"/>
    <w:rsid w:val="004F2EC7"/>
    <w:rsid w:val="004F38B8"/>
    <w:rsid w:val="004F3CE8"/>
    <w:rsid w:val="004F3FD2"/>
    <w:rsid w:val="004F44AD"/>
    <w:rsid w:val="004F5D78"/>
    <w:rsid w:val="004F6BFB"/>
    <w:rsid w:val="004F7160"/>
    <w:rsid w:val="004F7170"/>
    <w:rsid w:val="004F741F"/>
    <w:rsid w:val="004F7E4A"/>
    <w:rsid w:val="00500402"/>
    <w:rsid w:val="0050147C"/>
    <w:rsid w:val="0050182B"/>
    <w:rsid w:val="00501AF3"/>
    <w:rsid w:val="00502579"/>
    <w:rsid w:val="005025FC"/>
    <w:rsid w:val="005029F7"/>
    <w:rsid w:val="005033B9"/>
    <w:rsid w:val="00503C42"/>
    <w:rsid w:val="00503D4C"/>
    <w:rsid w:val="00504C0C"/>
    <w:rsid w:val="00504E48"/>
    <w:rsid w:val="00505E0E"/>
    <w:rsid w:val="00505FBD"/>
    <w:rsid w:val="00506191"/>
    <w:rsid w:val="005070FF"/>
    <w:rsid w:val="00507172"/>
    <w:rsid w:val="0050794A"/>
    <w:rsid w:val="00510605"/>
    <w:rsid w:val="00510EFE"/>
    <w:rsid w:val="00511393"/>
    <w:rsid w:val="005114D4"/>
    <w:rsid w:val="00511CB0"/>
    <w:rsid w:val="00512868"/>
    <w:rsid w:val="00512A71"/>
    <w:rsid w:val="00512BBC"/>
    <w:rsid w:val="0051335E"/>
    <w:rsid w:val="005134FB"/>
    <w:rsid w:val="005135FD"/>
    <w:rsid w:val="0051366C"/>
    <w:rsid w:val="00513D51"/>
    <w:rsid w:val="005141E9"/>
    <w:rsid w:val="00514267"/>
    <w:rsid w:val="005155DB"/>
    <w:rsid w:val="0051595F"/>
    <w:rsid w:val="00515BBA"/>
    <w:rsid w:val="00515F0A"/>
    <w:rsid w:val="00516503"/>
    <w:rsid w:val="0051684F"/>
    <w:rsid w:val="00516A92"/>
    <w:rsid w:val="00516B9F"/>
    <w:rsid w:val="00517693"/>
    <w:rsid w:val="00517B30"/>
    <w:rsid w:val="00520496"/>
    <w:rsid w:val="005205AB"/>
    <w:rsid w:val="00520909"/>
    <w:rsid w:val="00520FE0"/>
    <w:rsid w:val="0052200C"/>
    <w:rsid w:val="00522302"/>
    <w:rsid w:val="00522491"/>
    <w:rsid w:val="00522BE8"/>
    <w:rsid w:val="005231CD"/>
    <w:rsid w:val="00523378"/>
    <w:rsid w:val="0052346C"/>
    <w:rsid w:val="005243F1"/>
    <w:rsid w:val="005244FB"/>
    <w:rsid w:val="005247F9"/>
    <w:rsid w:val="00524EFD"/>
    <w:rsid w:val="00525101"/>
    <w:rsid w:val="00525222"/>
    <w:rsid w:val="0052550F"/>
    <w:rsid w:val="00525E2F"/>
    <w:rsid w:val="00526C0F"/>
    <w:rsid w:val="0052702A"/>
    <w:rsid w:val="005272C0"/>
    <w:rsid w:val="005273BD"/>
    <w:rsid w:val="005276E9"/>
    <w:rsid w:val="00530397"/>
    <w:rsid w:val="005303FC"/>
    <w:rsid w:val="00530717"/>
    <w:rsid w:val="0053084C"/>
    <w:rsid w:val="00530F73"/>
    <w:rsid w:val="005327B5"/>
    <w:rsid w:val="005327C0"/>
    <w:rsid w:val="00532A7B"/>
    <w:rsid w:val="00533438"/>
    <w:rsid w:val="005337FE"/>
    <w:rsid w:val="005339A2"/>
    <w:rsid w:val="00533B8E"/>
    <w:rsid w:val="00533C7F"/>
    <w:rsid w:val="00533E09"/>
    <w:rsid w:val="00533FF3"/>
    <w:rsid w:val="00534143"/>
    <w:rsid w:val="0053435F"/>
    <w:rsid w:val="005351B4"/>
    <w:rsid w:val="00535417"/>
    <w:rsid w:val="0053564E"/>
    <w:rsid w:val="00535833"/>
    <w:rsid w:val="00535EF6"/>
    <w:rsid w:val="00536637"/>
    <w:rsid w:val="00536D28"/>
    <w:rsid w:val="00536F7B"/>
    <w:rsid w:val="005372C5"/>
    <w:rsid w:val="005377A5"/>
    <w:rsid w:val="00537A26"/>
    <w:rsid w:val="005404E7"/>
    <w:rsid w:val="005408A9"/>
    <w:rsid w:val="00540E47"/>
    <w:rsid w:val="005413CC"/>
    <w:rsid w:val="005417F5"/>
    <w:rsid w:val="00541D29"/>
    <w:rsid w:val="00542140"/>
    <w:rsid w:val="00542292"/>
    <w:rsid w:val="00542E2F"/>
    <w:rsid w:val="00543283"/>
    <w:rsid w:val="005432C1"/>
    <w:rsid w:val="005435A3"/>
    <w:rsid w:val="0054364C"/>
    <w:rsid w:val="00543F44"/>
    <w:rsid w:val="00543F6B"/>
    <w:rsid w:val="00543FF0"/>
    <w:rsid w:val="0054480A"/>
    <w:rsid w:val="00545A8F"/>
    <w:rsid w:val="00546329"/>
    <w:rsid w:val="00546747"/>
    <w:rsid w:val="0054695C"/>
    <w:rsid w:val="00546F54"/>
    <w:rsid w:val="00547510"/>
    <w:rsid w:val="005479A7"/>
    <w:rsid w:val="00547ECC"/>
    <w:rsid w:val="0055068E"/>
    <w:rsid w:val="005515D0"/>
    <w:rsid w:val="00551D5A"/>
    <w:rsid w:val="00551EC3"/>
    <w:rsid w:val="00552276"/>
    <w:rsid w:val="0055232E"/>
    <w:rsid w:val="0055257D"/>
    <w:rsid w:val="00552C1D"/>
    <w:rsid w:val="005536F0"/>
    <w:rsid w:val="005540A6"/>
    <w:rsid w:val="00554744"/>
    <w:rsid w:val="0055475E"/>
    <w:rsid w:val="005548F4"/>
    <w:rsid w:val="00554A44"/>
    <w:rsid w:val="00554C53"/>
    <w:rsid w:val="00554F18"/>
    <w:rsid w:val="00555220"/>
    <w:rsid w:val="00555427"/>
    <w:rsid w:val="005555F0"/>
    <w:rsid w:val="00555739"/>
    <w:rsid w:val="00556211"/>
    <w:rsid w:val="00556280"/>
    <w:rsid w:val="00556E75"/>
    <w:rsid w:val="005571AA"/>
    <w:rsid w:val="00557C25"/>
    <w:rsid w:val="00557D87"/>
    <w:rsid w:val="005605E0"/>
    <w:rsid w:val="0056069A"/>
    <w:rsid w:val="00560C3B"/>
    <w:rsid w:val="00560DBA"/>
    <w:rsid w:val="005610F7"/>
    <w:rsid w:val="00561B22"/>
    <w:rsid w:val="00561E36"/>
    <w:rsid w:val="00561EA1"/>
    <w:rsid w:val="00562251"/>
    <w:rsid w:val="00562799"/>
    <w:rsid w:val="00562800"/>
    <w:rsid w:val="00562994"/>
    <w:rsid w:val="005630F5"/>
    <w:rsid w:val="00563556"/>
    <w:rsid w:val="0056362B"/>
    <w:rsid w:val="005636BE"/>
    <w:rsid w:val="00563BA5"/>
    <w:rsid w:val="00563E1E"/>
    <w:rsid w:val="00563E37"/>
    <w:rsid w:val="005642E6"/>
    <w:rsid w:val="00564804"/>
    <w:rsid w:val="00565598"/>
    <w:rsid w:val="00565651"/>
    <w:rsid w:val="00565B5A"/>
    <w:rsid w:val="00566C62"/>
    <w:rsid w:val="0056741D"/>
    <w:rsid w:val="00567E8F"/>
    <w:rsid w:val="00570240"/>
    <w:rsid w:val="005702D6"/>
    <w:rsid w:val="00570455"/>
    <w:rsid w:val="0057066F"/>
    <w:rsid w:val="00570BA0"/>
    <w:rsid w:val="00571276"/>
    <w:rsid w:val="00571DEF"/>
    <w:rsid w:val="00572588"/>
    <w:rsid w:val="00572807"/>
    <w:rsid w:val="00573072"/>
    <w:rsid w:val="00573A50"/>
    <w:rsid w:val="00573D2C"/>
    <w:rsid w:val="0057468D"/>
    <w:rsid w:val="005746D2"/>
    <w:rsid w:val="0057495A"/>
    <w:rsid w:val="00574E8A"/>
    <w:rsid w:val="00575CEA"/>
    <w:rsid w:val="005772D8"/>
    <w:rsid w:val="00577775"/>
    <w:rsid w:val="00577AE1"/>
    <w:rsid w:val="00577D95"/>
    <w:rsid w:val="00577E35"/>
    <w:rsid w:val="00580182"/>
    <w:rsid w:val="005804F0"/>
    <w:rsid w:val="005807A2"/>
    <w:rsid w:val="00580B4C"/>
    <w:rsid w:val="0058121A"/>
    <w:rsid w:val="0058179C"/>
    <w:rsid w:val="00581863"/>
    <w:rsid w:val="00581DE7"/>
    <w:rsid w:val="00581EA3"/>
    <w:rsid w:val="0058205A"/>
    <w:rsid w:val="0058260B"/>
    <w:rsid w:val="00582920"/>
    <w:rsid w:val="00582C15"/>
    <w:rsid w:val="00582FD0"/>
    <w:rsid w:val="005837AF"/>
    <w:rsid w:val="005844AC"/>
    <w:rsid w:val="005844AD"/>
    <w:rsid w:val="005846C1"/>
    <w:rsid w:val="00584D1E"/>
    <w:rsid w:val="00584DC4"/>
    <w:rsid w:val="00585475"/>
    <w:rsid w:val="00586795"/>
    <w:rsid w:val="005867CB"/>
    <w:rsid w:val="00586A68"/>
    <w:rsid w:val="00586A6C"/>
    <w:rsid w:val="00586B82"/>
    <w:rsid w:val="00587539"/>
    <w:rsid w:val="00587672"/>
    <w:rsid w:val="0058778A"/>
    <w:rsid w:val="005879E9"/>
    <w:rsid w:val="00587C77"/>
    <w:rsid w:val="00587E13"/>
    <w:rsid w:val="00587F51"/>
    <w:rsid w:val="005901E1"/>
    <w:rsid w:val="005906DD"/>
    <w:rsid w:val="00591023"/>
    <w:rsid w:val="00591815"/>
    <w:rsid w:val="00591D8E"/>
    <w:rsid w:val="00591F71"/>
    <w:rsid w:val="00592AEC"/>
    <w:rsid w:val="005933AA"/>
    <w:rsid w:val="00593549"/>
    <w:rsid w:val="0059364B"/>
    <w:rsid w:val="005936B8"/>
    <w:rsid w:val="005940AA"/>
    <w:rsid w:val="00594614"/>
    <w:rsid w:val="00594E10"/>
    <w:rsid w:val="0059500D"/>
    <w:rsid w:val="005951B1"/>
    <w:rsid w:val="005957A2"/>
    <w:rsid w:val="00595C0E"/>
    <w:rsid w:val="00595D31"/>
    <w:rsid w:val="005962A4"/>
    <w:rsid w:val="00596306"/>
    <w:rsid w:val="00596487"/>
    <w:rsid w:val="0059675D"/>
    <w:rsid w:val="005976FC"/>
    <w:rsid w:val="005979F2"/>
    <w:rsid w:val="005A07E8"/>
    <w:rsid w:val="005A0809"/>
    <w:rsid w:val="005A0A3F"/>
    <w:rsid w:val="005A0B91"/>
    <w:rsid w:val="005A0DE3"/>
    <w:rsid w:val="005A0EF3"/>
    <w:rsid w:val="005A1494"/>
    <w:rsid w:val="005A252D"/>
    <w:rsid w:val="005A27D7"/>
    <w:rsid w:val="005A308A"/>
    <w:rsid w:val="005A3127"/>
    <w:rsid w:val="005A31EB"/>
    <w:rsid w:val="005A3389"/>
    <w:rsid w:val="005A34FA"/>
    <w:rsid w:val="005A3590"/>
    <w:rsid w:val="005A4A1C"/>
    <w:rsid w:val="005A4C0D"/>
    <w:rsid w:val="005A5BD8"/>
    <w:rsid w:val="005A692A"/>
    <w:rsid w:val="005A6AB8"/>
    <w:rsid w:val="005A7495"/>
    <w:rsid w:val="005A773F"/>
    <w:rsid w:val="005B0412"/>
    <w:rsid w:val="005B0613"/>
    <w:rsid w:val="005B0925"/>
    <w:rsid w:val="005B0A6B"/>
    <w:rsid w:val="005B11C2"/>
    <w:rsid w:val="005B14CD"/>
    <w:rsid w:val="005B16D6"/>
    <w:rsid w:val="005B180A"/>
    <w:rsid w:val="005B25B7"/>
    <w:rsid w:val="005B2AB4"/>
    <w:rsid w:val="005B320F"/>
    <w:rsid w:val="005B322F"/>
    <w:rsid w:val="005B382C"/>
    <w:rsid w:val="005B3C11"/>
    <w:rsid w:val="005B3E89"/>
    <w:rsid w:val="005B3F92"/>
    <w:rsid w:val="005B40DA"/>
    <w:rsid w:val="005B40F5"/>
    <w:rsid w:val="005B4226"/>
    <w:rsid w:val="005B4528"/>
    <w:rsid w:val="005B4A83"/>
    <w:rsid w:val="005B5A12"/>
    <w:rsid w:val="005B5AA4"/>
    <w:rsid w:val="005B656B"/>
    <w:rsid w:val="005B6AC1"/>
    <w:rsid w:val="005B71B3"/>
    <w:rsid w:val="005B76A4"/>
    <w:rsid w:val="005B7B00"/>
    <w:rsid w:val="005C04A7"/>
    <w:rsid w:val="005C088F"/>
    <w:rsid w:val="005C0E8C"/>
    <w:rsid w:val="005C17A4"/>
    <w:rsid w:val="005C1929"/>
    <w:rsid w:val="005C19DC"/>
    <w:rsid w:val="005C1A33"/>
    <w:rsid w:val="005C2373"/>
    <w:rsid w:val="005C2775"/>
    <w:rsid w:val="005C27CC"/>
    <w:rsid w:val="005C2D8F"/>
    <w:rsid w:val="005C3224"/>
    <w:rsid w:val="005C370D"/>
    <w:rsid w:val="005C3992"/>
    <w:rsid w:val="005C487C"/>
    <w:rsid w:val="005C489B"/>
    <w:rsid w:val="005C4A36"/>
    <w:rsid w:val="005C4BA7"/>
    <w:rsid w:val="005C4D2F"/>
    <w:rsid w:val="005C4D8A"/>
    <w:rsid w:val="005C504E"/>
    <w:rsid w:val="005C5458"/>
    <w:rsid w:val="005C5469"/>
    <w:rsid w:val="005C5D46"/>
    <w:rsid w:val="005C5D4F"/>
    <w:rsid w:val="005C6153"/>
    <w:rsid w:val="005C7430"/>
    <w:rsid w:val="005C78B0"/>
    <w:rsid w:val="005C7B95"/>
    <w:rsid w:val="005D01EB"/>
    <w:rsid w:val="005D0DFB"/>
    <w:rsid w:val="005D0E87"/>
    <w:rsid w:val="005D1112"/>
    <w:rsid w:val="005D1470"/>
    <w:rsid w:val="005D184F"/>
    <w:rsid w:val="005D237C"/>
    <w:rsid w:val="005D25E2"/>
    <w:rsid w:val="005D25FF"/>
    <w:rsid w:val="005D2632"/>
    <w:rsid w:val="005D28E6"/>
    <w:rsid w:val="005D2CFD"/>
    <w:rsid w:val="005D38E0"/>
    <w:rsid w:val="005D3F32"/>
    <w:rsid w:val="005D4C6E"/>
    <w:rsid w:val="005D4E3E"/>
    <w:rsid w:val="005D5DEF"/>
    <w:rsid w:val="005D5EED"/>
    <w:rsid w:val="005D61A3"/>
    <w:rsid w:val="005D6793"/>
    <w:rsid w:val="005D67F7"/>
    <w:rsid w:val="005D7D7E"/>
    <w:rsid w:val="005D7EEF"/>
    <w:rsid w:val="005E0B59"/>
    <w:rsid w:val="005E1105"/>
    <w:rsid w:val="005E13F5"/>
    <w:rsid w:val="005E162F"/>
    <w:rsid w:val="005E1D75"/>
    <w:rsid w:val="005E21A5"/>
    <w:rsid w:val="005E21D9"/>
    <w:rsid w:val="005E27AE"/>
    <w:rsid w:val="005E2C60"/>
    <w:rsid w:val="005E2D72"/>
    <w:rsid w:val="005E2F41"/>
    <w:rsid w:val="005E31F6"/>
    <w:rsid w:val="005E3453"/>
    <w:rsid w:val="005E3622"/>
    <w:rsid w:val="005E4119"/>
    <w:rsid w:val="005E42C8"/>
    <w:rsid w:val="005E48A6"/>
    <w:rsid w:val="005E51C0"/>
    <w:rsid w:val="005E60B3"/>
    <w:rsid w:val="005E64C5"/>
    <w:rsid w:val="005E64CF"/>
    <w:rsid w:val="005E65F8"/>
    <w:rsid w:val="005E676C"/>
    <w:rsid w:val="005E6CB9"/>
    <w:rsid w:val="005E6D7C"/>
    <w:rsid w:val="005E7005"/>
    <w:rsid w:val="005E7AB0"/>
    <w:rsid w:val="005E7C18"/>
    <w:rsid w:val="005E7F14"/>
    <w:rsid w:val="005E7FA8"/>
    <w:rsid w:val="005F0154"/>
    <w:rsid w:val="005F0176"/>
    <w:rsid w:val="005F021D"/>
    <w:rsid w:val="005F1179"/>
    <w:rsid w:val="005F148D"/>
    <w:rsid w:val="005F1AD3"/>
    <w:rsid w:val="005F1EAC"/>
    <w:rsid w:val="005F1FEC"/>
    <w:rsid w:val="005F2C99"/>
    <w:rsid w:val="005F2D9A"/>
    <w:rsid w:val="005F308F"/>
    <w:rsid w:val="005F38B5"/>
    <w:rsid w:val="005F399D"/>
    <w:rsid w:val="005F3E49"/>
    <w:rsid w:val="005F4869"/>
    <w:rsid w:val="005F4BFD"/>
    <w:rsid w:val="005F52D8"/>
    <w:rsid w:val="005F5702"/>
    <w:rsid w:val="005F5748"/>
    <w:rsid w:val="005F5834"/>
    <w:rsid w:val="005F5D4B"/>
    <w:rsid w:val="005F5DF0"/>
    <w:rsid w:val="005F5E11"/>
    <w:rsid w:val="005F6071"/>
    <w:rsid w:val="005F6743"/>
    <w:rsid w:val="005F6B0A"/>
    <w:rsid w:val="005F6CC7"/>
    <w:rsid w:val="005F6FA8"/>
    <w:rsid w:val="005F79FE"/>
    <w:rsid w:val="00600325"/>
    <w:rsid w:val="006003E5"/>
    <w:rsid w:val="006009FD"/>
    <w:rsid w:val="00600E63"/>
    <w:rsid w:val="0060113C"/>
    <w:rsid w:val="00601561"/>
    <w:rsid w:val="0060196F"/>
    <w:rsid w:val="00601E55"/>
    <w:rsid w:val="00602037"/>
    <w:rsid w:val="006025DA"/>
    <w:rsid w:val="00602872"/>
    <w:rsid w:val="006029DD"/>
    <w:rsid w:val="00602C6A"/>
    <w:rsid w:val="00602D82"/>
    <w:rsid w:val="00603014"/>
    <w:rsid w:val="00603AF5"/>
    <w:rsid w:val="006041C2"/>
    <w:rsid w:val="00604C54"/>
    <w:rsid w:val="00604DD7"/>
    <w:rsid w:val="00605310"/>
    <w:rsid w:val="0060537B"/>
    <w:rsid w:val="006053E9"/>
    <w:rsid w:val="00605A40"/>
    <w:rsid w:val="00605EC3"/>
    <w:rsid w:val="00606379"/>
    <w:rsid w:val="00606C66"/>
    <w:rsid w:val="006075B7"/>
    <w:rsid w:val="00607935"/>
    <w:rsid w:val="00610145"/>
    <w:rsid w:val="00610D1F"/>
    <w:rsid w:val="00610F4A"/>
    <w:rsid w:val="00611AD8"/>
    <w:rsid w:val="006121A5"/>
    <w:rsid w:val="006123C6"/>
    <w:rsid w:val="00612967"/>
    <w:rsid w:val="00612C02"/>
    <w:rsid w:val="00612CDD"/>
    <w:rsid w:val="00612D72"/>
    <w:rsid w:val="006131B2"/>
    <w:rsid w:val="00613718"/>
    <w:rsid w:val="00613A42"/>
    <w:rsid w:val="006149F7"/>
    <w:rsid w:val="00614C71"/>
    <w:rsid w:val="00614DD7"/>
    <w:rsid w:val="00615075"/>
    <w:rsid w:val="00615222"/>
    <w:rsid w:val="0061562E"/>
    <w:rsid w:val="00615D10"/>
    <w:rsid w:val="00616A1A"/>
    <w:rsid w:val="00616D41"/>
    <w:rsid w:val="00617292"/>
    <w:rsid w:val="006200A9"/>
    <w:rsid w:val="0062144B"/>
    <w:rsid w:val="00622225"/>
    <w:rsid w:val="00622D03"/>
    <w:rsid w:val="00622DCD"/>
    <w:rsid w:val="00622F57"/>
    <w:rsid w:val="00623DD5"/>
    <w:rsid w:val="00623E21"/>
    <w:rsid w:val="00624269"/>
    <w:rsid w:val="006244A2"/>
    <w:rsid w:val="00624A34"/>
    <w:rsid w:val="0062568D"/>
    <w:rsid w:val="006256D3"/>
    <w:rsid w:val="00625DC9"/>
    <w:rsid w:val="00625E12"/>
    <w:rsid w:val="006263A2"/>
    <w:rsid w:val="006267F5"/>
    <w:rsid w:val="00626C85"/>
    <w:rsid w:val="00626F2D"/>
    <w:rsid w:val="00627006"/>
    <w:rsid w:val="00627337"/>
    <w:rsid w:val="00630069"/>
    <w:rsid w:val="00630583"/>
    <w:rsid w:val="006305A8"/>
    <w:rsid w:val="00630D2E"/>
    <w:rsid w:val="00630D39"/>
    <w:rsid w:val="00631E19"/>
    <w:rsid w:val="00632076"/>
    <w:rsid w:val="00632209"/>
    <w:rsid w:val="006329F5"/>
    <w:rsid w:val="00633146"/>
    <w:rsid w:val="00633E76"/>
    <w:rsid w:val="00633EC9"/>
    <w:rsid w:val="006340F5"/>
    <w:rsid w:val="00634273"/>
    <w:rsid w:val="00634542"/>
    <w:rsid w:val="00634E8F"/>
    <w:rsid w:val="00635379"/>
    <w:rsid w:val="006354EB"/>
    <w:rsid w:val="00635E4D"/>
    <w:rsid w:val="0063620C"/>
    <w:rsid w:val="00636567"/>
    <w:rsid w:val="006368D1"/>
    <w:rsid w:val="00637859"/>
    <w:rsid w:val="00637E18"/>
    <w:rsid w:val="0064032E"/>
    <w:rsid w:val="0064038D"/>
    <w:rsid w:val="00640A19"/>
    <w:rsid w:val="00641A0B"/>
    <w:rsid w:val="00641D5A"/>
    <w:rsid w:val="00641E06"/>
    <w:rsid w:val="006428DC"/>
    <w:rsid w:val="00643007"/>
    <w:rsid w:val="006431D0"/>
    <w:rsid w:val="00643232"/>
    <w:rsid w:val="006432C5"/>
    <w:rsid w:val="006436FA"/>
    <w:rsid w:val="00643852"/>
    <w:rsid w:val="00643C27"/>
    <w:rsid w:val="0064403C"/>
    <w:rsid w:val="0064447A"/>
    <w:rsid w:val="00644874"/>
    <w:rsid w:val="00644B1B"/>
    <w:rsid w:val="006455E7"/>
    <w:rsid w:val="00645758"/>
    <w:rsid w:val="00645812"/>
    <w:rsid w:val="006461A1"/>
    <w:rsid w:val="0064641C"/>
    <w:rsid w:val="00646872"/>
    <w:rsid w:val="00646DAC"/>
    <w:rsid w:val="006471A3"/>
    <w:rsid w:val="00647422"/>
    <w:rsid w:val="00647B6A"/>
    <w:rsid w:val="00647E6B"/>
    <w:rsid w:val="00650E84"/>
    <w:rsid w:val="0065198B"/>
    <w:rsid w:val="006523CE"/>
    <w:rsid w:val="006525AF"/>
    <w:rsid w:val="0065266A"/>
    <w:rsid w:val="00652EF8"/>
    <w:rsid w:val="00652F88"/>
    <w:rsid w:val="0065313F"/>
    <w:rsid w:val="006537B1"/>
    <w:rsid w:val="00653815"/>
    <w:rsid w:val="0065388D"/>
    <w:rsid w:val="00653F32"/>
    <w:rsid w:val="00653F9C"/>
    <w:rsid w:val="006540B7"/>
    <w:rsid w:val="006548F1"/>
    <w:rsid w:val="006549E8"/>
    <w:rsid w:val="00655470"/>
    <w:rsid w:val="00655705"/>
    <w:rsid w:val="006559A3"/>
    <w:rsid w:val="00656417"/>
    <w:rsid w:val="006565D1"/>
    <w:rsid w:val="00656FEE"/>
    <w:rsid w:val="0065702D"/>
    <w:rsid w:val="0065758F"/>
    <w:rsid w:val="00657888"/>
    <w:rsid w:val="00657C90"/>
    <w:rsid w:val="00657F14"/>
    <w:rsid w:val="00660037"/>
    <w:rsid w:val="006603E3"/>
    <w:rsid w:val="0066049B"/>
    <w:rsid w:val="00660772"/>
    <w:rsid w:val="006607AA"/>
    <w:rsid w:val="00660897"/>
    <w:rsid w:val="00660C51"/>
    <w:rsid w:val="00661028"/>
    <w:rsid w:val="00661342"/>
    <w:rsid w:val="0066159A"/>
    <w:rsid w:val="006617BD"/>
    <w:rsid w:val="00661836"/>
    <w:rsid w:val="0066194D"/>
    <w:rsid w:val="00661CD3"/>
    <w:rsid w:val="0066262D"/>
    <w:rsid w:val="00662E52"/>
    <w:rsid w:val="0066324A"/>
    <w:rsid w:val="00663C29"/>
    <w:rsid w:val="00663F5D"/>
    <w:rsid w:val="00664695"/>
    <w:rsid w:val="00664840"/>
    <w:rsid w:val="00664B44"/>
    <w:rsid w:val="0066501A"/>
    <w:rsid w:val="006652BF"/>
    <w:rsid w:val="006656BF"/>
    <w:rsid w:val="0066630C"/>
    <w:rsid w:val="00666D02"/>
    <w:rsid w:val="00667A33"/>
    <w:rsid w:val="00667BBD"/>
    <w:rsid w:val="00667D69"/>
    <w:rsid w:val="00667E77"/>
    <w:rsid w:val="00671149"/>
    <w:rsid w:val="0067137F"/>
    <w:rsid w:val="00671615"/>
    <w:rsid w:val="00671741"/>
    <w:rsid w:val="00671766"/>
    <w:rsid w:val="00671911"/>
    <w:rsid w:val="0067231B"/>
    <w:rsid w:val="00672914"/>
    <w:rsid w:val="00672A01"/>
    <w:rsid w:val="00672DD5"/>
    <w:rsid w:val="0067392D"/>
    <w:rsid w:val="00673E1C"/>
    <w:rsid w:val="00674329"/>
    <w:rsid w:val="006744C3"/>
    <w:rsid w:val="00674597"/>
    <w:rsid w:val="006752EE"/>
    <w:rsid w:val="0067537F"/>
    <w:rsid w:val="0067555E"/>
    <w:rsid w:val="0067575D"/>
    <w:rsid w:val="00675CD6"/>
    <w:rsid w:val="00675F12"/>
    <w:rsid w:val="0067625F"/>
    <w:rsid w:val="00676410"/>
    <w:rsid w:val="00676CAE"/>
    <w:rsid w:val="00676F75"/>
    <w:rsid w:val="00680509"/>
    <w:rsid w:val="006805CB"/>
    <w:rsid w:val="00680DA5"/>
    <w:rsid w:val="006811E4"/>
    <w:rsid w:val="00681CC1"/>
    <w:rsid w:val="0068233B"/>
    <w:rsid w:val="00682A31"/>
    <w:rsid w:val="00682E11"/>
    <w:rsid w:val="00683081"/>
    <w:rsid w:val="006830F2"/>
    <w:rsid w:val="0068335B"/>
    <w:rsid w:val="006845BD"/>
    <w:rsid w:val="00684C95"/>
    <w:rsid w:val="006850D3"/>
    <w:rsid w:val="00685249"/>
    <w:rsid w:val="006856B9"/>
    <w:rsid w:val="00685BDE"/>
    <w:rsid w:val="00686085"/>
    <w:rsid w:val="00686761"/>
    <w:rsid w:val="00687423"/>
    <w:rsid w:val="006877E4"/>
    <w:rsid w:val="00687B1C"/>
    <w:rsid w:val="00687C0D"/>
    <w:rsid w:val="00690E99"/>
    <w:rsid w:val="00691237"/>
    <w:rsid w:val="006914CC"/>
    <w:rsid w:val="00691854"/>
    <w:rsid w:val="00691887"/>
    <w:rsid w:val="00691C2D"/>
    <w:rsid w:val="006920E6"/>
    <w:rsid w:val="0069222D"/>
    <w:rsid w:val="00692555"/>
    <w:rsid w:val="006925B0"/>
    <w:rsid w:val="00693324"/>
    <w:rsid w:val="00693540"/>
    <w:rsid w:val="00694069"/>
    <w:rsid w:val="00694189"/>
    <w:rsid w:val="0069580D"/>
    <w:rsid w:val="00695DFD"/>
    <w:rsid w:val="00696566"/>
    <w:rsid w:val="006966BA"/>
    <w:rsid w:val="00696A38"/>
    <w:rsid w:val="00696D80"/>
    <w:rsid w:val="00696E5A"/>
    <w:rsid w:val="0069722D"/>
    <w:rsid w:val="006977EA"/>
    <w:rsid w:val="00697BEF"/>
    <w:rsid w:val="00697DF4"/>
    <w:rsid w:val="006A0052"/>
    <w:rsid w:val="006A0419"/>
    <w:rsid w:val="006A0845"/>
    <w:rsid w:val="006A0A9E"/>
    <w:rsid w:val="006A0E88"/>
    <w:rsid w:val="006A1D37"/>
    <w:rsid w:val="006A1E41"/>
    <w:rsid w:val="006A1ED5"/>
    <w:rsid w:val="006A1F1C"/>
    <w:rsid w:val="006A2532"/>
    <w:rsid w:val="006A30DF"/>
    <w:rsid w:val="006A3836"/>
    <w:rsid w:val="006A3DD3"/>
    <w:rsid w:val="006A4625"/>
    <w:rsid w:val="006A46C5"/>
    <w:rsid w:val="006A47AE"/>
    <w:rsid w:val="006A48AE"/>
    <w:rsid w:val="006A4C66"/>
    <w:rsid w:val="006A58CB"/>
    <w:rsid w:val="006A5B22"/>
    <w:rsid w:val="006A5B5E"/>
    <w:rsid w:val="006A67CB"/>
    <w:rsid w:val="006A7BFB"/>
    <w:rsid w:val="006A7D2A"/>
    <w:rsid w:val="006B02AA"/>
    <w:rsid w:val="006B0368"/>
    <w:rsid w:val="006B0A7F"/>
    <w:rsid w:val="006B0F6E"/>
    <w:rsid w:val="006B1D7B"/>
    <w:rsid w:val="006B1FBC"/>
    <w:rsid w:val="006B2070"/>
    <w:rsid w:val="006B270D"/>
    <w:rsid w:val="006B2796"/>
    <w:rsid w:val="006B27B2"/>
    <w:rsid w:val="006B27C7"/>
    <w:rsid w:val="006B27D4"/>
    <w:rsid w:val="006B288B"/>
    <w:rsid w:val="006B2C9C"/>
    <w:rsid w:val="006B3518"/>
    <w:rsid w:val="006B3B80"/>
    <w:rsid w:val="006B3DE2"/>
    <w:rsid w:val="006B41C7"/>
    <w:rsid w:val="006B4867"/>
    <w:rsid w:val="006B48EB"/>
    <w:rsid w:val="006B4A78"/>
    <w:rsid w:val="006B4C00"/>
    <w:rsid w:val="006B523A"/>
    <w:rsid w:val="006B56D1"/>
    <w:rsid w:val="006B56FC"/>
    <w:rsid w:val="006B6017"/>
    <w:rsid w:val="006B659A"/>
    <w:rsid w:val="006B678D"/>
    <w:rsid w:val="006B6B03"/>
    <w:rsid w:val="006B6DDA"/>
    <w:rsid w:val="006B73D9"/>
    <w:rsid w:val="006B7DF0"/>
    <w:rsid w:val="006B7E74"/>
    <w:rsid w:val="006C0166"/>
    <w:rsid w:val="006C05EE"/>
    <w:rsid w:val="006C0B12"/>
    <w:rsid w:val="006C0D75"/>
    <w:rsid w:val="006C1C48"/>
    <w:rsid w:val="006C1E7C"/>
    <w:rsid w:val="006C1E8A"/>
    <w:rsid w:val="006C1F03"/>
    <w:rsid w:val="006C20BF"/>
    <w:rsid w:val="006C323D"/>
    <w:rsid w:val="006C3C1D"/>
    <w:rsid w:val="006C3C7E"/>
    <w:rsid w:val="006C41FF"/>
    <w:rsid w:val="006C442E"/>
    <w:rsid w:val="006C4AC6"/>
    <w:rsid w:val="006C4AF5"/>
    <w:rsid w:val="006C5145"/>
    <w:rsid w:val="006C584D"/>
    <w:rsid w:val="006C5B6D"/>
    <w:rsid w:val="006C5FB6"/>
    <w:rsid w:val="006C6398"/>
    <w:rsid w:val="006C65A8"/>
    <w:rsid w:val="006C6E85"/>
    <w:rsid w:val="006C705B"/>
    <w:rsid w:val="006C78CF"/>
    <w:rsid w:val="006C7A69"/>
    <w:rsid w:val="006D022A"/>
    <w:rsid w:val="006D05AD"/>
    <w:rsid w:val="006D086A"/>
    <w:rsid w:val="006D0C5A"/>
    <w:rsid w:val="006D0EC1"/>
    <w:rsid w:val="006D0FEC"/>
    <w:rsid w:val="006D155E"/>
    <w:rsid w:val="006D16F8"/>
    <w:rsid w:val="006D1813"/>
    <w:rsid w:val="006D1AF5"/>
    <w:rsid w:val="006D24A9"/>
    <w:rsid w:val="006D2AF3"/>
    <w:rsid w:val="006D2FE1"/>
    <w:rsid w:val="006D3FE9"/>
    <w:rsid w:val="006D4718"/>
    <w:rsid w:val="006D4C0A"/>
    <w:rsid w:val="006D4D79"/>
    <w:rsid w:val="006D4FBD"/>
    <w:rsid w:val="006D530A"/>
    <w:rsid w:val="006D5364"/>
    <w:rsid w:val="006D5879"/>
    <w:rsid w:val="006D618C"/>
    <w:rsid w:val="006D63FD"/>
    <w:rsid w:val="006D65B4"/>
    <w:rsid w:val="006D6A4F"/>
    <w:rsid w:val="006D6CE5"/>
    <w:rsid w:val="006D754A"/>
    <w:rsid w:val="006D7B9C"/>
    <w:rsid w:val="006E0025"/>
    <w:rsid w:val="006E04C6"/>
    <w:rsid w:val="006E0A65"/>
    <w:rsid w:val="006E18B7"/>
    <w:rsid w:val="006E1B01"/>
    <w:rsid w:val="006E1E2A"/>
    <w:rsid w:val="006E2A7A"/>
    <w:rsid w:val="006E3872"/>
    <w:rsid w:val="006E3E3D"/>
    <w:rsid w:val="006E3EEB"/>
    <w:rsid w:val="006E4836"/>
    <w:rsid w:val="006E5DDD"/>
    <w:rsid w:val="006E7811"/>
    <w:rsid w:val="006F04DA"/>
    <w:rsid w:val="006F0557"/>
    <w:rsid w:val="006F0EA3"/>
    <w:rsid w:val="006F1B5D"/>
    <w:rsid w:val="006F1E18"/>
    <w:rsid w:val="006F212B"/>
    <w:rsid w:val="006F28FE"/>
    <w:rsid w:val="006F3110"/>
    <w:rsid w:val="006F34AC"/>
    <w:rsid w:val="006F34EA"/>
    <w:rsid w:val="006F359D"/>
    <w:rsid w:val="006F37F7"/>
    <w:rsid w:val="006F4044"/>
    <w:rsid w:val="006F4575"/>
    <w:rsid w:val="006F469A"/>
    <w:rsid w:val="006F4A61"/>
    <w:rsid w:val="006F4ADC"/>
    <w:rsid w:val="006F4CAD"/>
    <w:rsid w:val="006F510A"/>
    <w:rsid w:val="006F51E3"/>
    <w:rsid w:val="006F578A"/>
    <w:rsid w:val="006F5799"/>
    <w:rsid w:val="006F5893"/>
    <w:rsid w:val="006F5C06"/>
    <w:rsid w:val="006F643D"/>
    <w:rsid w:val="006F6497"/>
    <w:rsid w:val="006F657F"/>
    <w:rsid w:val="006F675C"/>
    <w:rsid w:val="006F6AC4"/>
    <w:rsid w:val="006F6D13"/>
    <w:rsid w:val="006F75CB"/>
    <w:rsid w:val="006F75D3"/>
    <w:rsid w:val="006F7759"/>
    <w:rsid w:val="006F7D95"/>
    <w:rsid w:val="00700C3B"/>
    <w:rsid w:val="00700D41"/>
    <w:rsid w:val="00701524"/>
    <w:rsid w:val="00701ACF"/>
    <w:rsid w:val="00701B21"/>
    <w:rsid w:val="00701D0B"/>
    <w:rsid w:val="007022AF"/>
    <w:rsid w:val="00702384"/>
    <w:rsid w:val="00702D00"/>
    <w:rsid w:val="00703346"/>
    <w:rsid w:val="00703482"/>
    <w:rsid w:val="00703BFB"/>
    <w:rsid w:val="00703E65"/>
    <w:rsid w:val="00704818"/>
    <w:rsid w:val="00704831"/>
    <w:rsid w:val="00704A06"/>
    <w:rsid w:val="00704BAE"/>
    <w:rsid w:val="0070544E"/>
    <w:rsid w:val="00705807"/>
    <w:rsid w:val="00705895"/>
    <w:rsid w:val="00705C74"/>
    <w:rsid w:val="00705C78"/>
    <w:rsid w:val="0070600A"/>
    <w:rsid w:val="007060E1"/>
    <w:rsid w:val="0070677E"/>
    <w:rsid w:val="00706824"/>
    <w:rsid w:val="00706B68"/>
    <w:rsid w:val="00706B85"/>
    <w:rsid w:val="007071BF"/>
    <w:rsid w:val="007071FC"/>
    <w:rsid w:val="00707C84"/>
    <w:rsid w:val="00710299"/>
    <w:rsid w:val="00710A12"/>
    <w:rsid w:val="00710A59"/>
    <w:rsid w:val="00710ED2"/>
    <w:rsid w:val="00710FDE"/>
    <w:rsid w:val="007116C7"/>
    <w:rsid w:val="00711B59"/>
    <w:rsid w:val="00711C5A"/>
    <w:rsid w:val="007128C7"/>
    <w:rsid w:val="00712B2B"/>
    <w:rsid w:val="00712B66"/>
    <w:rsid w:val="00712FCB"/>
    <w:rsid w:val="00713C31"/>
    <w:rsid w:val="0071428D"/>
    <w:rsid w:val="00714317"/>
    <w:rsid w:val="007143BE"/>
    <w:rsid w:val="007144C9"/>
    <w:rsid w:val="00715049"/>
    <w:rsid w:val="0071593D"/>
    <w:rsid w:val="00715A4B"/>
    <w:rsid w:val="00716B3C"/>
    <w:rsid w:val="007170C2"/>
    <w:rsid w:val="00717EE4"/>
    <w:rsid w:val="00717F2D"/>
    <w:rsid w:val="00720453"/>
    <w:rsid w:val="0072078F"/>
    <w:rsid w:val="00720853"/>
    <w:rsid w:val="00721087"/>
    <w:rsid w:val="0072178E"/>
    <w:rsid w:val="00721C58"/>
    <w:rsid w:val="00721C9F"/>
    <w:rsid w:val="00722129"/>
    <w:rsid w:val="0072278B"/>
    <w:rsid w:val="00722A24"/>
    <w:rsid w:val="00722EF6"/>
    <w:rsid w:val="00723912"/>
    <w:rsid w:val="00723E10"/>
    <w:rsid w:val="00724173"/>
    <w:rsid w:val="00724380"/>
    <w:rsid w:val="007250A9"/>
    <w:rsid w:val="00725635"/>
    <w:rsid w:val="007258C4"/>
    <w:rsid w:val="007260F4"/>
    <w:rsid w:val="00726730"/>
    <w:rsid w:val="0072681F"/>
    <w:rsid w:val="0072695A"/>
    <w:rsid w:val="00730598"/>
    <w:rsid w:val="00730F8D"/>
    <w:rsid w:val="007312D7"/>
    <w:rsid w:val="00731C24"/>
    <w:rsid w:val="007320A7"/>
    <w:rsid w:val="0073257E"/>
    <w:rsid w:val="00732863"/>
    <w:rsid w:val="00732A32"/>
    <w:rsid w:val="00732DF4"/>
    <w:rsid w:val="00733066"/>
    <w:rsid w:val="00733469"/>
    <w:rsid w:val="0073348A"/>
    <w:rsid w:val="00733539"/>
    <w:rsid w:val="00733700"/>
    <w:rsid w:val="00733A56"/>
    <w:rsid w:val="00733BFA"/>
    <w:rsid w:val="00733FF8"/>
    <w:rsid w:val="00734937"/>
    <w:rsid w:val="007353EF"/>
    <w:rsid w:val="00735557"/>
    <w:rsid w:val="00735612"/>
    <w:rsid w:val="007356B4"/>
    <w:rsid w:val="00737108"/>
    <w:rsid w:val="00737628"/>
    <w:rsid w:val="007379CE"/>
    <w:rsid w:val="00737B64"/>
    <w:rsid w:val="007402A9"/>
    <w:rsid w:val="0074038E"/>
    <w:rsid w:val="007414EF"/>
    <w:rsid w:val="007419A7"/>
    <w:rsid w:val="00741B21"/>
    <w:rsid w:val="00741DD8"/>
    <w:rsid w:val="00741E49"/>
    <w:rsid w:val="0074250D"/>
    <w:rsid w:val="00742D16"/>
    <w:rsid w:val="007433CD"/>
    <w:rsid w:val="0074362F"/>
    <w:rsid w:val="007445E2"/>
    <w:rsid w:val="00744A84"/>
    <w:rsid w:val="007451B4"/>
    <w:rsid w:val="00745496"/>
    <w:rsid w:val="007460DA"/>
    <w:rsid w:val="0074705B"/>
    <w:rsid w:val="007470EC"/>
    <w:rsid w:val="00747118"/>
    <w:rsid w:val="00747408"/>
    <w:rsid w:val="007479F8"/>
    <w:rsid w:val="00747F19"/>
    <w:rsid w:val="0075020B"/>
    <w:rsid w:val="00750AD7"/>
    <w:rsid w:val="00751017"/>
    <w:rsid w:val="00751960"/>
    <w:rsid w:val="00751EDF"/>
    <w:rsid w:val="00752582"/>
    <w:rsid w:val="00753273"/>
    <w:rsid w:val="007533A5"/>
    <w:rsid w:val="007535C7"/>
    <w:rsid w:val="0075493D"/>
    <w:rsid w:val="00755043"/>
    <w:rsid w:val="0075646C"/>
    <w:rsid w:val="00756551"/>
    <w:rsid w:val="00757066"/>
    <w:rsid w:val="007572B8"/>
    <w:rsid w:val="00757769"/>
    <w:rsid w:val="0075782D"/>
    <w:rsid w:val="0076067E"/>
    <w:rsid w:val="007609CE"/>
    <w:rsid w:val="00761008"/>
    <w:rsid w:val="0076111E"/>
    <w:rsid w:val="0076158B"/>
    <w:rsid w:val="007618A1"/>
    <w:rsid w:val="00761BFD"/>
    <w:rsid w:val="00761C02"/>
    <w:rsid w:val="00761D5C"/>
    <w:rsid w:val="00761FE5"/>
    <w:rsid w:val="00762476"/>
    <w:rsid w:val="00762A18"/>
    <w:rsid w:val="00762D34"/>
    <w:rsid w:val="00763990"/>
    <w:rsid w:val="00763AE2"/>
    <w:rsid w:val="00763B76"/>
    <w:rsid w:val="00763F73"/>
    <w:rsid w:val="00764259"/>
    <w:rsid w:val="0076442C"/>
    <w:rsid w:val="00764517"/>
    <w:rsid w:val="0076467D"/>
    <w:rsid w:val="00764767"/>
    <w:rsid w:val="007649AD"/>
    <w:rsid w:val="00764B66"/>
    <w:rsid w:val="00764BD6"/>
    <w:rsid w:val="00764E03"/>
    <w:rsid w:val="00764EB3"/>
    <w:rsid w:val="00765531"/>
    <w:rsid w:val="007657EB"/>
    <w:rsid w:val="007658F1"/>
    <w:rsid w:val="00765B6E"/>
    <w:rsid w:val="00765FC5"/>
    <w:rsid w:val="00766153"/>
    <w:rsid w:val="00766D90"/>
    <w:rsid w:val="0076730D"/>
    <w:rsid w:val="00767C19"/>
    <w:rsid w:val="00767D4E"/>
    <w:rsid w:val="00770441"/>
    <w:rsid w:val="00770BD8"/>
    <w:rsid w:val="00771067"/>
    <w:rsid w:val="00771274"/>
    <w:rsid w:val="00771800"/>
    <w:rsid w:val="00771889"/>
    <w:rsid w:val="007721EB"/>
    <w:rsid w:val="007722ED"/>
    <w:rsid w:val="00772693"/>
    <w:rsid w:val="00773AB1"/>
    <w:rsid w:val="00773D38"/>
    <w:rsid w:val="00774AF6"/>
    <w:rsid w:val="00774EC8"/>
    <w:rsid w:val="00775669"/>
    <w:rsid w:val="00775B57"/>
    <w:rsid w:val="00776781"/>
    <w:rsid w:val="00777446"/>
    <w:rsid w:val="0077746F"/>
    <w:rsid w:val="007776CC"/>
    <w:rsid w:val="007777FC"/>
    <w:rsid w:val="00777922"/>
    <w:rsid w:val="00777CE9"/>
    <w:rsid w:val="007802F6"/>
    <w:rsid w:val="0078056B"/>
    <w:rsid w:val="00780D05"/>
    <w:rsid w:val="00782058"/>
    <w:rsid w:val="00782806"/>
    <w:rsid w:val="00782AB1"/>
    <w:rsid w:val="00782BBD"/>
    <w:rsid w:val="007839AC"/>
    <w:rsid w:val="00783B28"/>
    <w:rsid w:val="00783C7B"/>
    <w:rsid w:val="0078415B"/>
    <w:rsid w:val="00784C24"/>
    <w:rsid w:val="00784EBA"/>
    <w:rsid w:val="00784EE6"/>
    <w:rsid w:val="0078556C"/>
    <w:rsid w:val="007855C5"/>
    <w:rsid w:val="007856D3"/>
    <w:rsid w:val="00785983"/>
    <w:rsid w:val="00785ABD"/>
    <w:rsid w:val="00785F35"/>
    <w:rsid w:val="007860C6"/>
    <w:rsid w:val="00786254"/>
    <w:rsid w:val="0078630C"/>
    <w:rsid w:val="00786DB0"/>
    <w:rsid w:val="0078703C"/>
    <w:rsid w:val="00787D47"/>
    <w:rsid w:val="00787DFE"/>
    <w:rsid w:val="0079014E"/>
    <w:rsid w:val="00790E5B"/>
    <w:rsid w:val="00790FC3"/>
    <w:rsid w:val="0079148B"/>
    <w:rsid w:val="00791608"/>
    <w:rsid w:val="00791711"/>
    <w:rsid w:val="00792497"/>
    <w:rsid w:val="00792575"/>
    <w:rsid w:val="00792971"/>
    <w:rsid w:val="00792C91"/>
    <w:rsid w:val="0079334B"/>
    <w:rsid w:val="00793368"/>
    <w:rsid w:val="007935C6"/>
    <w:rsid w:val="00794129"/>
    <w:rsid w:val="00794162"/>
    <w:rsid w:val="00794516"/>
    <w:rsid w:val="00794878"/>
    <w:rsid w:val="00794CCB"/>
    <w:rsid w:val="00794E22"/>
    <w:rsid w:val="00795367"/>
    <w:rsid w:val="00795512"/>
    <w:rsid w:val="007956C9"/>
    <w:rsid w:val="007958B1"/>
    <w:rsid w:val="00795A32"/>
    <w:rsid w:val="00795AB7"/>
    <w:rsid w:val="00795E37"/>
    <w:rsid w:val="00796227"/>
    <w:rsid w:val="00796743"/>
    <w:rsid w:val="00796786"/>
    <w:rsid w:val="0079694C"/>
    <w:rsid w:val="00796D89"/>
    <w:rsid w:val="00796DA2"/>
    <w:rsid w:val="007A0056"/>
    <w:rsid w:val="007A0415"/>
    <w:rsid w:val="007A06BA"/>
    <w:rsid w:val="007A0CB9"/>
    <w:rsid w:val="007A1570"/>
    <w:rsid w:val="007A27BD"/>
    <w:rsid w:val="007A294A"/>
    <w:rsid w:val="007A3433"/>
    <w:rsid w:val="007A37E4"/>
    <w:rsid w:val="007A4C96"/>
    <w:rsid w:val="007A51A6"/>
    <w:rsid w:val="007A523D"/>
    <w:rsid w:val="007A53FB"/>
    <w:rsid w:val="007A5629"/>
    <w:rsid w:val="007A56E5"/>
    <w:rsid w:val="007A5AB0"/>
    <w:rsid w:val="007A5AD4"/>
    <w:rsid w:val="007A60CA"/>
    <w:rsid w:val="007A6195"/>
    <w:rsid w:val="007A6F0F"/>
    <w:rsid w:val="007A6FEC"/>
    <w:rsid w:val="007A705C"/>
    <w:rsid w:val="007A708C"/>
    <w:rsid w:val="007A73EB"/>
    <w:rsid w:val="007A75B5"/>
    <w:rsid w:val="007A7985"/>
    <w:rsid w:val="007A7ABE"/>
    <w:rsid w:val="007A7D66"/>
    <w:rsid w:val="007A7E95"/>
    <w:rsid w:val="007B03C5"/>
    <w:rsid w:val="007B21FD"/>
    <w:rsid w:val="007B26E1"/>
    <w:rsid w:val="007B2C10"/>
    <w:rsid w:val="007B2C3D"/>
    <w:rsid w:val="007B3045"/>
    <w:rsid w:val="007B3180"/>
    <w:rsid w:val="007B33AF"/>
    <w:rsid w:val="007B3B55"/>
    <w:rsid w:val="007B4C0F"/>
    <w:rsid w:val="007B4D48"/>
    <w:rsid w:val="007B50FA"/>
    <w:rsid w:val="007B547F"/>
    <w:rsid w:val="007B5822"/>
    <w:rsid w:val="007B58FC"/>
    <w:rsid w:val="007B5E25"/>
    <w:rsid w:val="007B613A"/>
    <w:rsid w:val="007B6398"/>
    <w:rsid w:val="007B6E0E"/>
    <w:rsid w:val="007B7F7D"/>
    <w:rsid w:val="007C0B5B"/>
    <w:rsid w:val="007C14B4"/>
    <w:rsid w:val="007C2355"/>
    <w:rsid w:val="007C27FB"/>
    <w:rsid w:val="007C2BBE"/>
    <w:rsid w:val="007C2CBB"/>
    <w:rsid w:val="007C2E5B"/>
    <w:rsid w:val="007C309C"/>
    <w:rsid w:val="007C31F3"/>
    <w:rsid w:val="007C3675"/>
    <w:rsid w:val="007C374F"/>
    <w:rsid w:val="007C4209"/>
    <w:rsid w:val="007C42F9"/>
    <w:rsid w:val="007C47FA"/>
    <w:rsid w:val="007C4DEB"/>
    <w:rsid w:val="007C500F"/>
    <w:rsid w:val="007C5845"/>
    <w:rsid w:val="007C5B69"/>
    <w:rsid w:val="007C5EB9"/>
    <w:rsid w:val="007C64FF"/>
    <w:rsid w:val="007C674D"/>
    <w:rsid w:val="007C6A93"/>
    <w:rsid w:val="007C6B98"/>
    <w:rsid w:val="007C6CBB"/>
    <w:rsid w:val="007C6CE4"/>
    <w:rsid w:val="007C7449"/>
    <w:rsid w:val="007C7536"/>
    <w:rsid w:val="007C79E2"/>
    <w:rsid w:val="007C7A03"/>
    <w:rsid w:val="007C7A90"/>
    <w:rsid w:val="007C7E83"/>
    <w:rsid w:val="007C7EA5"/>
    <w:rsid w:val="007D0245"/>
    <w:rsid w:val="007D07E6"/>
    <w:rsid w:val="007D08EF"/>
    <w:rsid w:val="007D135B"/>
    <w:rsid w:val="007D18D9"/>
    <w:rsid w:val="007D1983"/>
    <w:rsid w:val="007D1A95"/>
    <w:rsid w:val="007D245E"/>
    <w:rsid w:val="007D327B"/>
    <w:rsid w:val="007D3764"/>
    <w:rsid w:val="007D3C0E"/>
    <w:rsid w:val="007D3E38"/>
    <w:rsid w:val="007D458B"/>
    <w:rsid w:val="007D458E"/>
    <w:rsid w:val="007D46FE"/>
    <w:rsid w:val="007D485A"/>
    <w:rsid w:val="007D49EF"/>
    <w:rsid w:val="007D50B5"/>
    <w:rsid w:val="007D54FF"/>
    <w:rsid w:val="007D57D4"/>
    <w:rsid w:val="007D5C39"/>
    <w:rsid w:val="007D5E67"/>
    <w:rsid w:val="007D6315"/>
    <w:rsid w:val="007D724A"/>
    <w:rsid w:val="007D736A"/>
    <w:rsid w:val="007D7545"/>
    <w:rsid w:val="007D75A3"/>
    <w:rsid w:val="007D798C"/>
    <w:rsid w:val="007E04A3"/>
    <w:rsid w:val="007E06A3"/>
    <w:rsid w:val="007E0BC6"/>
    <w:rsid w:val="007E0D81"/>
    <w:rsid w:val="007E0DD5"/>
    <w:rsid w:val="007E0F93"/>
    <w:rsid w:val="007E1513"/>
    <w:rsid w:val="007E16E2"/>
    <w:rsid w:val="007E19EC"/>
    <w:rsid w:val="007E19FE"/>
    <w:rsid w:val="007E1AAC"/>
    <w:rsid w:val="007E1D15"/>
    <w:rsid w:val="007E2C7E"/>
    <w:rsid w:val="007E3B9C"/>
    <w:rsid w:val="007E3E25"/>
    <w:rsid w:val="007E4A2F"/>
    <w:rsid w:val="007E4F4E"/>
    <w:rsid w:val="007E53BD"/>
    <w:rsid w:val="007E587D"/>
    <w:rsid w:val="007E5A25"/>
    <w:rsid w:val="007E5A30"/>
    <w:rsid w:val="007E5C4A"/>
    <w:rsid w:val="007E5FB0"/>
    <w:rsid w:val="007E6915"/>
    <w:rsid w:val="007E6B2D"/>
    <w:rsid w:val="007E7215"/>
    <w:rsid w:val="007E74CA"/>
    <w:rsid w:val="007E74F0"/>
    <w:rsid w:val="007E756D"/>
    <w:rsid w:val="007E7582"/>
    <w:rsid w:val="007E7A5D"/>
    <w:rsid w:val="007E7AD3"/>
    <w:rsid w:val="007E7CD5"/>
    <w:rsid w:val="007F0070"/>
    <w:rsid w:val="007F0441"/>
    <w:rsid w:val="007F083B"/>
    <w:rsid w:val="007F0CA9"/>
    <w:rsid w:val="007F0DFB"/>
    <w:rsid w:val="007F0E99"/>
    <w:rsid w:val="007F16E8"/>
    <w:rsid w:val="007F1A83"/>
    <w:rsid w:val="007F1BE9"/>
    <w:rsid w:val="007F20F1"/>
    <w:rsid w:val="007F2A38"/>
    <w:rsid w:val="007F3767"/>
    <w:rsid w:val="007F380E"/>
    <w:rsid w:val="007F401E"/>
    <w:rsid w:val="007F4224"/>
    <w:rsid w:val="007F4DD2"/>
    <w:rsid w:val="007F4FB9"/>
    <w:rsid w:val="007F5065"/>
    <w:rsid w:val="007F56E5"/>
    <w:rsid w:val="007F5785"/>
    <w:rsid w:val="007F69E2"/>
    <w:rsid w:val="007F6E63"/>
    <w:rsid w:val="007F7022"/>
    <w:rsid w:val="007F71D8"/>
    <w:rsid w:val="007F7690"/>
    <w:rsid w:val="00800B70"/>
    <w:rsid w:val="00800BC4"/>
    <w:rsid w:val="008011CC"/>
    <w:rsid w:val="00801363"/>
    <w:rsid w:val="00801404"/>
    <w:rsid w:val="008017AA"/>
    <w:rsid w:val="008017EC"/>
    <w:rsid w:val="00801CBA"/>
    <w:rsid w:val="00801D92"/>
    <w:rsid w:val="008020D0"/>
    <w:rsid w:val="00802628"/>
    <w:rsid w:val="00802A4F"/>
    <w:rsid w:val="008041B8"/>
    <w:rsid w:val="00804248"/>
    <w:rsid w:val="00804BCF"/>
    <w:rsid w:val="00804F83"/>
    <w:rsid w:val="00804FA4"/>
    <w:rsid w:val="00805275"/>
    <w:rsid w:val="00805883"/>
    <w:rsid w:val="0080590D"/>
    <w:rsid w:val="008063DF"/>
    <w:rsid w:val="00806A62"/>
    <w:rsid w:val="00806E55"/>
    <w:rsid w:val="00806EFB"/>
    <w:rsid w:val="0080716A"/>
    <w:rsid w:val="008075CE"/>
    <w:rsid w:val="00807D35"/>
    <w:rsid w:val="0081096A"/>
    <w:rsid w:val="00810AD4"/>
    <w:rsid w:val="00810E00"/>
    <w:rsid w:val="008111CB"/>
    <w:rsid w:val="00811325"/>
    <w:rsid w:val="00811CA9"/>
    <w:rsid w:val="00812179"/>
    <w:rsid w:val="0081239C"/>
    <w:rsid w:val="008124E2"/>
    <w:rsid w:val="0081299C"/>
    <w:rsid w:val="00812D10"/>
    <w:rsid w:val="0081300B"/>
    <w:rsid w:val="0081303D"/>
    <w:rsid w:val="0081373B"/>
    <w:rsid w:val="00813928"/>
    <w:rsid w:val="00815321"/>
    <w:rsid w:val="00815D9A"/>
    <w:rsid w:val="008166DB"/>
    <w:rsid w:val="0081688E"/>
    <w:rsid w:val="008173E0"/>
    <w:rsid w:val="008175C1"/>
    <w:rsid w:val="00817DB6"/>
    <w:rsid w:val="00820074"/>
    <w:rsid w:val="008200D4"/>
    <w:rsid w:val="00820370"/>
    <w:rsid w:val="00820CC6"/>
    <w:rsid w:val="00821A0F"/>
    <w:rsid w:val="00821F13"/>
    <w:rsid w:val="00822C41"/>
    <w:rsid w:val="00823DEB"/>
    <w:rsid w:val="0082471B"/>
    <w:rsid w:val="00824ACF"/>
    <w:rsid w:val="00825043"/>
    <w:rsid w:val="00825267"/>
    <w:rsid w:val="008264EC"/>
    <w:rsid w:val="00826886"/>
    <w:rsid w:val="008268BF"/>
    <w:rsid w:val="00826A65"/>
    <w:rsid w:val="00826CA2"/>
    <w:rsid w:val="00827668"/>
    <w:rsid w:val="0082796E"/>
    <w:rsid w:val="00827C0D"/>
    <w:rsid w:val="0083032E"/>
    <w:rsid w:val="00830642"/>
    <w:rsid w:val="00830F26"/>
    <w:rsid w:val="00831020"/>
    <w:rsid w:val="0083103B"/>
    <w:rsid w:val="00831250"/>
    <w:rsid w:val="00831411"/>
    <w:rsid w:val="008315AD"/>
    <w:rsid w:val="0083184A"/>
    <w:rsid w:val="00831B4E"/>
    <w:rsid w:val="00831D1D"/>
    <w:rsid w:val="00831D8D"/>
    <w:rsid w:val="00831F3E"/>
    <w:rsid w:val="008322D9"/>
    <w:rsid w:val="00832D5E"/>
    <w:rsid w:val="00832EC3"/>
    <w:rsid w:val="0083310A"/>
    <w:rsid w:val="008331CD"/>
    <w:rsid w:val="008333B7"/>
    <w:rsid w:val="008334B0"/>
    <w:rsid w:val="0083354D"/>
    <w:rsid w:val="008336EC"/>
    <w:rsid w:val="008337B9"/>
    <w:rsid w:val="00833A95"/>
    <w:rsid w:val="00834DDE"/>
    <w:rsid w:val="00834FD2"/>
    <w:rsid w:val="00835084"/>
    <w:rsid w:val="008350C2"/>
    <w:rsid w:val="00835184"/>
    <w:rsid w:val="00835569"/>
    <w:rsid w:val="00835651"/>
    <w:rsid w:val="00835802"/>
    <w:rsid w:val="00836295"/>
    <w:rsid w:val="00836FE0"/>
    <w:rsid w:val="008370EE"/>
    <w:rsid w:val="00837B8B"/>
    <w:rsid w:val="00837FF4"/>
    <w:rsid w:val="00840198"/>
    <w:rsid w:val="0084093F"/>
    <w:rsid w:val="0084098A"/>
    <w:rsid w:val="00840C24"/>
    <w:rsid w:val="00840DB0"/>
    <w:rsid w:val="00840EDE"/>
    <w:rsid w:val="008418A5"/>
    <w:rsid w:val="008420B6"/>
    <w:rsid w:val="00843088"/>
    <w:rsid w:val="008431F0"/>
    <w:rsid w:val="00843548"/>
    <w:rsid w:val="0084383C"/>
    <w:rsid w:val="00843CC0"/>
    <w:rsid w:val="00843CF4"/>
    <w:rsid w:val="00844018"/>
    <w:rsid w:val="00844ADD"/>
    <w:rsid w:val="00844DAC"/>
    <w:rsid w:val="00844E4C"/>
    <w:rsid w:val="00845058"/>
    <w:rsid w:val="0084534E"/>
    <w:rsid w:val="00845397"/>
    <w:rsid w:val="00846062"/>
    <w:rsid w:val="0084627E"/>
    <w:rsid w:val="0084636B"/>
    <w:rsid w:val="00846842"/>
    <w:rsid w:val="0084687C"/>
    <w:rsid w:val="008474C1"/>
    <w:rsid w:val="00847A02"/>
    <w:rsid w:val="00847A97"/>
    <w:rsid w:val="00847C1C"/>
    <w:rsid w:val="00847CA4"/>
    <w:rsid w:val="008500AD"/>
    <w:rsid w:val="008501FD"/>
    <w:rsid w:val="0085055E"/>
    <w:rsid w:val="00850951"/>
    <w:rsid w:val="00850C3B"/>
    <w:rsid w:val="00851605"/>
    <w:rsid w:val="008520D2"/>
    <w:rsid w:val="00852CA0"/>
    <w:rsid w:val="00852D85"/>
    <w:rsid w:val="00852EB8"/>
    <w:rsid w:val="00852EBE"/>
    <w:rsid w:val="00852F6C"/>
    <w:rsid w:val="008540C6"/>
    <w:rsid w:val="0085465C"/>
    <w:rsid w:val="00854967"/>
    <w:rsid w:val="00854F9F"/>
    <w:rsid w:val="0085540B"/>
    <w:rsid w:val="00855511"/>
    <w:rsid w:val="0085582C"/>
    <w:rsid w:val="008559E2"/>
    <w:rsid w:val="00855FD3"/>
    <w:rsid w:val="0085665F"/>
    <w:rsid w:val="0085669D"/>
    <w:rsid w:val="008566AF"/>
    <w:rsid w:val="00856727"/>
    <w:rsid w:val="008568A3"/>
    <w:rsid w:val="00857086"/>
    <w:rsid w:val="00857572"/>
    <w:rsid w:val="008575E6"/>
    <w:rsid w:val="00860485"/>
    <w:rsid w:val="00860886"/>
    <w:rsid w:val="00860F4D"/>
    <w:rsid w:val="008610BC"/>
    <w:rsid w:val="008611DE"/>
    <w:rsid w:val="00861375"/>
    <w:rsid w:val="00861C56"/>
    <w:rsid w:val="00861F29"/>
    <w:rsid w:val="008620A2"/>
    <w:rsid w:val="00862741"/>
    <w:rsid w:val="00862BBD"/>
    <w:rsid w:val="00863ABC"/>
    <w:rsid w:val="00863B14"/>
    <w:rsid w:val="00863BA5"/>
    <w:rsid w:val="00863C9F"/>
    <w:rsid w:val="008645D6"/>
    <w:rsid w:val="00864986"/>
    <w:rsid w:val="0086552B"/>
    <w:rsid w:val="008655A2"/>
    <w:rsid w:val="008656B2"/>
    <w:rsid w:val="0086584F"/>
    <w:rsid w:val="00865A50"/>
    <w:rsid w:val="00865CD4"/>
    <w:rsid w:val="00866113"/>
    <w:rsid w:val="00866A1A"/>
    <w:rsid w:val="0086715D"/>
    <w:rsid w:val="008671C7"/>
    <w:rsid w:val="00867A44"/>
    <w:rsid w:val="00867B5D"/>
    <w:rsid w:val="00867BAD"/>
    <w:rsid w:val="00867EB8"/>
    <w:rsid w:val="00870335"/>
    <w:rsid w:val="00870AA2"/>
    <w:rsid w:val="00870D4B"/>
    <w:rsid w:val="00870E55"/>
    <w:rsid w:val="00871262"/>
    <w:rsid w:val="0087133B"/>
    <w:rsid w:val="00871474"/>
    <w:rsid w:val="0087169B"/>
    <w:rsid w:val="008718ED"/>
    <w:rsid w:val="00871C6E"/>
    <w:rsid w:val="008727DC"/>
    <w:rsid w:val="00872DE3"/>
    <w:rsid w:val="00872FFE"/>
    <w:rsid w:val="00873A9E"/>
    <w:rsid w:val="00873D88"/>
    <w:rsid w:val="0087433B"/>
    <w:rsid w:val="008750E0"/>
    <w:rsid w:val="00876077"/>
    <w:rsid w:val="0087621E"/>
    <w:rsid w:val="008767B2"/>
    <w:rsid w:val="00876D11"/>
    <w:rsid w:val="00876EF9"/>
    <w:rsid w:val="0087714C"/>
    <w:rsid w:val="00877265"/>
    <w:rsid w:val="00877328"/>
    <w:rsid w:val="00877431"/>
    <w:rsid w:val="00877809"/>
    <w:rsid w:val="0087787A"/>
    <w:rsid w:val="00880168"/>
    <w:rsid w:val="008802F0"/>
    <w:rsid w:val="00880992"/>
    <w:rsid w:val="0088167D"/>
    <w:rsid w:val="00881690"/>
    <w:rsid w:val="00881692"/>
    <w:rsid w:val="0088207F"/>
    <w:rsid w:val="0088210E"/>
    <w:rsid w:val="00882B26"/>
    <w:rsid w:val="00882E73"/>
    <w:rsid w:val="00883143"/>
    <w:rsid w:val="008840E7"/>
    <w:rsid w:val="0088504D"/>
    <w:rsid w:val="00885B38"/>
    <w:rsid w:val="00885C69"/>
    <w:rsid w:val="00885C94"/>
    <w:rsid w:val="00886154"/>
    <w:rsid w:val="00886DEB"/>
    <w:rsid w:val="00887CDA"/>
    <w:rsid w:val="00887D68"/>
    <w:rsid w:val="00890277"/>
    <w:rsid w:val="0089061A"/>
    <w:rsid w:val="00890E5F"/>
    <w:rsid w:val="008915C6"/>
    <w:rsid w:val="00891677"/>
    <w:rsid w:val="008918CB"/>
    <w:rsid w:val="0089251C"/>
    <w:rsid w:val="008926FD"/>
    <w:rsid w:val="008927DF"/>
    <w:rsid w:val="00892C8A"/>
    <w:rsid w:val="00892DB5"/>
    <w:rsid w:val="00892E41"/>
    <w:rsid w:val="008932E9"/>
    <w:rsid w:val="00893719"/>
    <w:rsid w:val="00894368"/>
    <w:rsid w:val="008947C1"/>
    <w:rsid w:val="00894B61"/>
    <w:rsid w:val="00895255"/>
    <w:rsid w:val="008959E0"/>
    <w:rsid w:val="00895DF1"/>
    <w:rsid w:val="00896639"/>
    <w:rsid w:val="00896645"/>
    <w:rsid w:val="0089672D"/>
    <w:rsid w:val="00896B86"/>
    <w:rsid w:val="00896FAB"/>
    <w:rsid w:val="00897245"/>
    <w:rsid w:val="0089729C"/>
    <w:rsid w:val="008974C2"/>
    <w:rsid w:val="008975D2"/>
    <w:rsid w:val="008976AE"/>
    <w:rsid w:val="008977FC"/>
    <w:rsid w:val="00897939"/>
    <w:rsid w:val="00897C39"/>
    <w:rsid w:val="00897F91"/>
    <w:rsid w:val="008A035B"/>
    <w:rsid w:val="008A0452"/>
    <w:rsid w:val="008A0459"/>
    <w:rsid w:val="008A0463"/>
    <w:rsid w:val="008A0637"/>
    <w:rsid w:val="008A0A70"/>
    <w:rsid w:val="008A0C23"/>
    <w:rsid w:val="008A1218"/>
    <w:rsid w:val="008A15B6"/>
    <w:rsid w:val="008A1A6E"/>
    <w:rsid w:val="008A202A"/>
    <w:rsid w:val="008A2CFF"/>
    <w:rsid w:val="008A34FD"/>
    <w:rsid w:val="008A369F"/>
    <w:rsid w:val="008A36C9"/>
    <w:rsid w:val="008A41F1"/>
    <w:rsid w:val="008A4ED9"/>
    <w:rsid w:val="008A52FF"/>
    <w:rsid w:val="008A5378"/>
    <w:rsid w:val="008A571D"/>
    <w:rsid w:val="008A5AF9"/>
    <w:rsid w:val="008A5E18"/>
    <w:rsid w:val="008A68D0"/>
    <w:rsid w:val="008A7028"/>
    <w:rsid w:val="008A771F"/>
    <w:rsid w:val="008B0343"/>
    <w:rsid w:val="008B16DE"/>
    <w:rsid w:val="008B1B86"/>
    <w:rsid w:val="008B251F"/>
    <w:rsid w:val="008B2602"/>
    <w:rsid w:val="008B2712"/>
    <w:rsid w:val="008B2727"/>
    <w:rsid w:val="008B28D9"/>
    <w:rsid w:val="008B28E1"/>
    <w:rsid w:val="008B300E"/>
    <w:rsid w:val="008B316B"/>
    <w:rsid w:val="008B3B19"/>
    <w:rsid w:val="008B4224"/>
    <w:rsid w:val="008B4692"/>
    <w:rsid w:val="008B5059"/>
    <w:rsid w:val="008B5349"/>
    <w:rsid w:val="008B5369"/>
    <w:rsid w:val="008B5BF2"/>
    <w:rsid w:val="008B5CD6"/>
    <w:rsid w:val="008B5E13"/>
    <w:rsid w:val="008B5E7B"/>
    <w:rsid w:val="008B6869"/>
    <w:rsid w:val="008B6934"/>
    <w:rsid w:val="008B6CF8"/>
    <w:rsid w:val="008B70A6"/>
    <w:rsid w:val="008B7154"/>
    <w:rsid w:val="008B72F6"/>
    <w:rsid w:val="008B74B0"/>
    <w:rsid w:val="008B7E4C"/>
    <w:rsid w:val="008C0D50"/>
    <w:rsid w:val="008C119E"/>
    <w:rsid w:val="008C1E24"/>
    <w:rsid w:val="008C296B"/>
    <w:rsid w:val="008C2A46"/>
    <w:rsid w:val="008C3087"/>
    <w:rsid w:val="008C3158"/>
    <w:rsid w:val="008C31AE"/>
    <w:rsid w:val="008C3719"/>
    <w:rsid w:val="008C37DC"/>
    <w:rsid w:val="008C4278"/>
    <w:rsid w:val="008C520E"/>
    <w:rsid w:val="008C563B"/>
    <w:rsid w:val="008C567E"/>
    <w:rsid w:val="008C5DEE"/>
    <w:rsid w:val="008C6285"/>
    <w:rsid w:val="008C6BF8"/>
    <w:rsid w:val="008C6E15"/>
    <w:rsid w:val="008C7182"/>
    <w:rsid w:val="008C7268"/>
    <w:rsid w:val="008C7CA5"/>
    <w:rsid w:val="008C7D9D"/>
    <w:rsid w:val="008C7EA8"/>
    <w:rsid w:val="008D0250"/>
    <w:rsid w:val="008D0416"/>
    <w:rsid w:val="008D0420"/>
    <w:rsid w:val="008D0AF2"/>
    <w:rsid w:val="008D0C2B"/>
    <w:rsid w:val="008D13C6"/>
    <w:rsid w:val="008D13D3"/>
    <w:rsid w:val="008D1576"/>
    <w:rsid w:val="008D198F"/>
    <w:rsid w:val="008D1B04"/>
    <w:rsid w:val="008D1BBE"/>
    <w:rsid w:val="008D20C2"/>
    <w:rsid w:val="008D22AC"/>
    <w:rsid w:val="008D2888"/>
    <w:rsid w:val="008D2F85"/>
    <w:rsid w:val="008D3212"/>
    <w:rsid w:val="008D3235"/>
    <w:rsid w:val="008D33C8"/>
    <w:rsid w:val="008D3893"/>
    <w:rsid w:val="008D3D37"/>
    <w:rsid w:val="008D4207"/>
    <w:rsid w:val="008D45CD"/>
    <w:rsid w:val="008D4B13"/>
    <w:rsid w:val="008D554F"/>
    <w:rsid w:val="008D55F1"/>
    <w:rsid w:val="008D5BEE"/>
    <w:rsid w:val="008D5CD7"/>
    <w:rsid w:val="008D6D32"/>
    <w:rsid w:val="008D718E"/>
    <w:rsid w:val="008D7240"/>
    <w:rsid w:val="008D728B"/>
    <w:rsid w:val="008D7874"/>
    <w:rsid w:val="008E04C1"/>
    <w:rsid w:val="008E0629"/>
    <w:rsid w:val="008E09C5"/>
    <w:rsid w:val="008E0AA7"/>
    <w:rsid w:val="008E17D0"/>
    <w:rsid w:val="008E1DF8"/>
    <w:rsid w:val="008E2355"/>
    <w:rsid w:val="008E2CD9"/>
    <w:rsid w:val="008E2F44"/>
    <w:rsid w:val="008E3018"/>
    <w:rsid w:val="008E3151"/>
    <w:rsid w:val="008E32EE"/>
    <w:rsid w:val="008E3386"/>
    <w:rsid w:val="008E461C"/>
    <w:rsid w:val="008E46EF"/>
    <w:rsid w:val="008E4CDE"/>
    <w:rsid w:val="008E5409"/>
    <w:rsid w:val="008E5410"/>
    <w:rsid w:val="008E5A3F"/>
    <w:rsid w:val="008E5F24"/>
    <w:rsid w:val="008E5FEA"/>
    <w:rsid w:val="008E6658"/>
    <w:rsid w:val="008E7209"/>
    <w:rsid w:val="008E7256"/>
    <w:rsid w:val="008E7263"/>
    <w:rsid w:val="008E7391"/>
    <w:rsid w:val="008E7448"/>
    <w:rsid w:val="008E7793"/>
    <w:rsid w:val="008E7A54"/>
    <w:rsid w:val="008E7D8C"/>
    <w:rsid w:val="008F0388"/>
    <w:rsid w:val="008F08D3"/>
    <w:rsid w:val="008F11BB"/>
    <w:rsid w:val="008F16FF"/>
    <w:rsid w:val="008F182F"/>
    <w:rsid w:val="008F193C"/>
    <w:rsid w:val="008F1CD3"/>
    <w:rsid w:val="008F1E95"/>
    <w:rsid w:val="008F1F76"/>
    <w:rsid w:val="008F2304"/>
    <w:rsid w:val="008F443C"/>
    <w:rsid w:val="008F526D"/>
    <w:rsid w:val="008F57DD"/>
    <w:rsid w:val="008F5AEE"/>
    <w:rsid w:val="008F5DAB"/>
    <w:rsid w:val="008F617B"/>
    <w:rsid w:val="008F625E"/>
    <w:rsid w:val="008F64A2"/>
    <w:rsid w:val="008F6964"/>
    <w:rsid w:val="008F69B1"/>
    <w:rsid w:val="008F6B98"/>
    <w:rsid w:val="008F6EAA"/>
    <w:rsid w:val="008F77FF"/>
    <w:rsid w:val="008F7800"/>
    <w:rsid w:val="008F7BCA"/>
    <w:rsid w:val="00900824"/>
    <w:rsid w:val="00900F4D"/>
    <w:rsid w:val="00900FCB"/>
    <w:rsid w:val="00901408"/>
    <w:rsid w:val="00901611"/>
    <w:rsid w:val="0090167B"/>
    <w:rsid w:val="00901BEB"/>
    <w:rsid w:val="00901BF0"/>
    <w:rsid w:val="009021E1"/>
    <w:rsid w:val="00902BD1"/>
    <w:rsid w:val="00902DEC"/>
    <w:rsid w:val="0090342E"/>
    <w:rsid w:val="00903981"/>
    <w:rsid w:val="00903BDC"/>
    <w:rsid w:val="00903D3A"/>
    <w:rsid w:val="009044B9"/>
    <w:rsid w:val="009047B1"/>
    <w:rsid w:val="00904C86"/>
    <w:rsid w:val="00904E21"/>
    <w:rsid w:val="009067F5"/>
    <w:rsid w:val="0090680D"/>
    <w:rsid w:val="00906C65"/>
    <w:rsid w:val="00907B6C"/>
    <w:rsid w:val="0091045D"/>
    <w:rsid w:val="009106FD"/>
    <w:rsid w:val="009110BF"/>
    <w:rsid w:val="0091129E"/>
    <w:rsid w:val="00911CDC"/>
    <w:rsid w:val="00911DCF"/>
    <w:rsid w:val="00911E48"/>
    <w:rsid w:val="00911ED8"/>
    <w:rsid w:val="00912098"/>
    <w:rsid w:val="0091281A"/>
    <w:rsid w:val="0091298B"/>
    <w:rsid w:val="00912B24"/>
    <w:rsid w:val="00913774"/>
    <w:rsid w:val="009139B5"/>
    <w:rsid w:val="00913A3C"/>
    <w:rsid w:val="00913D2A"/>
    <w:rsid w:val="00914514"/>
    <w:rsid w:val="00914549"/>
    <w:rsid w:val="00914BFC"/>
    <w:rsid w:val="00914C08"/>
    <w:rsid w:val="00914C3F"/>
    <w:rsid w:val="00914F2F"/>
    <w:rsid w:val="00915FE0"/>
    <w:rsid w:val="00916057"/>
    <w:rsid w:val="0091667F"/>
    <w:rsid w:val="00916905"/>
    <w:rsid w:val="00916AD1"/>
    <w:rsid w:val="00917637"/>
    <w:rsid w:val="00917946"/>
    <w:rsid w:val="00917FEE"/>
    <w:rsid w:val="0092023D"/>
    <w:rsid w:val="0092035F"/>
    <w:rsid w:val="00920472"/>
    <w:rsid w:val="00920916"/>
    <w:rsid w:val="00920CC8"/>
    <w:rsid w:val="00921034"/>
    <w:rsid w:val="009210EF"/>
    <w:rsid w:val="00921251"/>
    <w:rsid w:val="00921736"/>
    <w:rsid w:val="00921861"/>
    <w:rsid w:val="00921865"/>
    <w:rsid w:val="0092189E"/>
    <w:rsid w:val="009219FD"/>
    <w:rsid w:val="00921DF7"/>
    <w:rsid w:val="00922BBE"/>
    <w:rsid w:val="00922FC0"/>
    <w:rsid w:val="009236BD"/>
    <w:rsid w:val="0092480D"/>
    <w:rsid w:val="00924C8F"/>
    <w:rsid w:val="0092504C"/>
    <w:rsid w:val="009257B0"/>
    <w:rsid w:val="009258BD"/>
    <w:rsid w:val="00925DEB"/>
    <w:rsid w:val="00925F48"/>
    <w:rsid w:val="009261B0"/>
    <w:rsid w:val="009263C0"/>
    <w:rsid w:val="009265C7"/>
    <w:rsid w:val="00927D0B"/>
    <w:rsid w:val="009302D4"/>
    <w:rsid w:val="009303D4"/>
    <w:rsid w:val="009307F2"/>
    <w:rsid w:val="0093084E"/>
    <w:rsid w:val="009308C6"/>
    <w:rsid w:val="00930CEC"/>
    <w:rsid w:val="00930F4A"/>
    <w:rsid w:val="00931158"/>
    <w:rsid w:val="00932068"/>
    <w:rsid w:val="0093279F"/>
    <w:rsid w:val="00932B2D"/>
    <w:rsid w:val="0093340C"/>
    <w:rsid w:val="0093375E"/>
    <w:rsid w:val="00933BEF"/>
    <w:rsid w:val="009340CA"/>
    <w:rsid w:val="00934B8B"/>
    <w:rsid w:val="00934B9D"/>
    <w:rsid w:val="00934FFC"/>
    <w:rsid w:val="00935321"/>
    <w:rsid w:val="0093787E"/>
    <w:rsid w:val="00940A67"/>
    <w:rsid w:val="009412CC"/>
    <w:rsid w:val="009427EB"/>
    <w:rsid w:val="00942A91"/>
    <w:rsid w:val="00942B2D"/>
    <w:rsid w:val="009431A9"/>
    <w:rsid w:val="00943419"/>
    <w:rsid w:val="0094343C"/>
    <w:rsid w:val="0094388B"/>
    <w:rsid w:val="00943D09"/>
    <w:rsid w:val="00943D78"/>
    <w:rsid w:val="00943D96"/>
    <w:rsid w:val="00944826"/>
    <w:rsid w:val="009451CD"/>
    <w:rsid w:val="00945586"/>
    <w:rsid w:val="009457A1"/>
    <w:rsid w:val="0094626C"/>
    <w:rsid w:val="00947086"/>
    <w:rsid w:val="00947C5D"/>
    <w:rsid w:val="00947CA9"/>
    <w:rsid w:val="00947FE2"/>
    <w:rsid w:val="00950478"/>
    <w:rsid w:val="0095067C"/>
    <w:rsid w:val="00950888"/>
    <w:rsid w:val="00950A28"/>
    <w:rsid w:val="00950AF9"/>
    <w:rsid w:val="00950B5F"/>
    <w:rsid w:val="00950D35"/>
    <w:rsid w:val="0095144C"/>
    <w:rsid w:val="0095165B"/>
    <w:rsid w:val="009519D0"/>
    <w:rsid w:val="00951B17"/>
    <w:rsid w:val="00951B8D"/>
    <w:rsid w:val="009522F5"/>
    <w:rsid w:val="00952EC9"/>
    <w:rsid w:val="009532AF"/>
    <w:rsid w:val="009536A8"/>
    <w:rsid w:val="0095397E"/>
    <w:rsid w:val="0095458D"/>
    <w:rsid w:val="00954596"/>
    <w:rsid w:val="0095526F"/>
    <w:rsid w:val="00955851"/>
    <w:rsid w:val="00957E23"/>
    <w:rsid w:val="0096037A"/>
    <w:rsid w:val="009610A9"/>
    <w:rsid w:val="00961466"/>
    <w:rsid w:val="00961487"/>
    <w:rsid w:val="00961825"/>
    <w:rsid w:val="00961BA7"/>
    <w:rsid w:val="00961F01"/>
    <w:rsid w:val="00962162"/>
    <w:rsid w:val="009623BC"/>
    <w:rsid w:val="009628BE"/>
    <w:rsid w:val="00962AF0"/>
    <w:rsid w:val="00962B23"/>
    <w:rsid w:val="00962C47"/>
    <w:rsid w:val="009631C8"/>
    <w:rsid w:val="00963AE4"/>
    <w:rsid w:val="00963C14"/>
    <w:rsid w:val="0096403E"/>
    <w:rsid w:val="00964075"/>
    <w:rsid w:val="009645CD"/>
    <w:rsid w:val="00964CC5"/>
    <w:rsid w:val="00965113"/>
    <w:rsid w:val="00965940"/>
    <w:rsid w:val="00965A4E"/>
    <w:rsid w:val="00965EA3"/>
    <w:rsid w:val="00966BE5"/>
    <w:rsid w:val="00966EB0"/>
    <w:rsid w:val="00966F74"/>
    <w:rsid w:val="0097043C"/>
    <w:rsid w:val="009704FD"/>
    <w:rsid w:val="00970D0B"/>
    <w:rsid w:val="00970FC2"/>
    <w:rsid w:val="00971116"/>
    <w:rsid w:val="00972032"/>
    <w:rsid w:val="0097287E"/>
    <w:rsid w:val="00972B55"/>
    <w:rsid w:val="00972C24"/>
    <w:rsid w:val="00972D0E"/>
    <w:rsid w:val="00972E28"/>
    <w:rsid w:val="00972E6A"/>
    <w:rsid w:val="00973030"/>
    <w:rsid w:val="009733F3"/>
    <w:rsid w:val="0097405A"/>
    <w:rsid w:val="0097419A"/>
    <w:rsid w:val="009748E4"/>
    <w:rsid w:val="00975EC7"/>
    <w:rsid w:val="00976A6E"/>
    <w:rsid w:val="00976BA8"/>
    <w:rsid w:val="00976BC0"/>
    <w:rsid w:val="00976CC9"/>
    <w:rsid w:val="00976D65"/>
    <w:rsid w:val="00976F72"/>
    <w:rsid w:val="00976F84"/>
    <w:rsid w:val="009770FE"/>
    <w:rsid w:val="00977ADF"/>
    <w:rsid w:val="00977CE6"/>
    <w:rsid w:val="009807AC"/>
    <w:rsid w:val="00980B43"/>
    <w:rsid w:val="00980C18"/>
    <w:rsid w:val="00980CD0"/>
    <w:rsid w:val="00980D81"/>
    <w:rsid w:val="00980DAA"/>
    <w:rsid w:val="00980F13"/>
    <w:rsid w:val="009810E9"/>
    <w:rsid w:val="00981368"/>
    <w:rsid w:val="0098141C"/>
    <w:rsid w:val="009815DE"/>
    <w:rsid w:val="00981AA9"/>
    <w:rsid w:val="00981C91"/>
    <w:rsid w:val="00982869"/>
    <w:rsid w:val="00982B2F"/>
    <w:rsid w:val="00983132"/>
    <w:rsid w:val="00983314"/>
    <w:rsid w:val="00983DF2"/>
    <w:rsid w:val="009842CF"/>
    <w:rsid w:val="0098433A"/>
    <w:rsid w:val="00984C66"/>
    <w:rsid w:val="00984F6C"/>
    <w:rsid w:val="00985675"/>
    <w:rsid w:val="00985726"/>
    <w:rsid w:val="00985939"/>
    <w:rsid w:val="0098637F"/>
    <w:rsid w:val="009864C5"/>
    <w:rsid w:val="009864CE"/>
    <w:rsid w:val="00986A9B"/>
    <w:rsid w:val="00986B9C"/>
    <w:rsid w:val="00987B14"/>
    <w:rsid w:val="00987BAB"/>
    <w:rsid w:val="009905F8"/>
    <w:rsid w:val="009906BF"/>
    <w:rsid w:val="00990A0A"/>
    <w:rsid w:val="009913F3"/>
    <w:rsid w:val="00991DA1"/>
    <w:rsid w:val="009927F1"/>
    <w:rsid w:val="0099291A"/>
    <w:rsid w:val="00992DD9"/>
    <w:rsid w:val="009936C4"/>
    <w:rsid w:val="00993903"/>
    <w:rsid w:val="00993E3A"/>
    <w:rsid w:val="009943AD"/>
    <w:rsid w:val="009948ED"/>
    <w:rsid w:val="00994987"/>
    <w:rsid w:val="00994A29"/>
    <w:rsid w:val="00994BFC"/>
    <w:rsid w:val="00994CA5"/>
    <w:rsid w:val="009952B4"/>
    <w:rsid w:val="00995861"/>
    <w:rsid w:val="00995ADA"/>
    <w:rsid w:val="009962C4"/>
    <w:rsid w:val="0099643A"/>
    <w:rsid w:val="00996719"/>
    <w:rsid w:val="00997431"/>
    <w:rsid w:val="009974CB"/>
    <w:rsid w:val="0099780E"/>
    <w:rsid w:val="00997959"/>
    <w:rsid w:val="009979F2"/>
    <w:rsid w:val="009A04A6"/>
    <w:rsid w:val="009A0AD5"/>
    <w:rsid w:val="009A0BAF"/>
    <w:rsid w:val="009A0CAA"/>
    <w:rsid w:val="009A0F31"/>
    <w:rsid w:val="009A13B9"/>
    <w:rsid w:val="009A1431"/>
    <w:rsid w:val="009A153D"/>
    <w:rsid w:val="009A1634"/>
    <w:rsid w:val="009A16B8"/>
    <w:rsid w:val="009A1B91"/>
    <w:rsid w:val="009A1F18"/>
    <w:rsid w:val="009A28F9"/>
    <w:rsid w:val="009A2972"/>
    <w:rsid w:val="009A2C81"/>
    <w:rsid w:val="009A351B"/>
    <w:rsid w:val="009A3A34"/>
    <w:rsid w:val="009A3FE2"/>
    <w:rsid w:val="009A400C"/>
    <w:rsid w:val="009A4B2C"/>
    <w:rsid w:val="009A5592"/>
    <w:rsid w:val="009A59BA"/>
    <w:rsid w:val="009A613B"/>
    <w:rsid w:val="009A6417"/>
    <w:rsid w:val="009A6A9C"/>
    <w:rsid w:val="009A6F53"/>
    <w:rsid w:val="009A7412"/>
    <w:rsid w:val="009A7B97"/>
    <w:rsid w:val="009B01DF"/>
    <w:rsid w:val="009B020D"/>
    <w:rsid w:val="009B0239"/>
    <w:rsid w:val="009B02DE"/>
    <w:rsid w:val="009B072F"/>
    <w:rsid w:val="009B0773"/>
    <w:rsid w:val="009B07A1"/>
    <w:rsid w:val="009B09CC"/>
    <w:rsid w:val="009B0C0C"/>
    <w:rsid w:val="009B0FBF"/>
    <w:rsid w:val="009B173B"/>
    <w:rsid w:val="009B192A"/>
    <w:rsid w:val="009B1A1A"/>
    <w:rsid w:val="009B1FC1"/>
    <w:rsid w:val="009B22A0"/>
    <w:rsid w:val="009B23FF"/>
    <w:rsid w:val="009B2608"/>
    <w:rsid w:val="009B2939"/>
    <w:rsid w:val="009B2A71"/>
    <w:rsid w:val="009B2CCD"/>
    <w:rsid w:val="009B2E67"/>
    <w:rsid w:val="009B36D3"/>
    <w:rsid w:val="009B4027"/>
    <w:rsid w:val="009B414F"/>
    <w:rsid w:val="009B435F"/>
    <w:rsid w:val="009B4975"/>
    <w:rsid w:val="009B5348"/>
    <w:rsid w:val="009B53CB"/>
    <w:rsid w:val="009B561F"/>
    <w:rsid w:val="009B569F"/>
    <w:rsid w:val="009B5773"/>
    <w:rsid w:val="009B5D2D"/>
    <w:rsid w:val="009B5E61"/>
    <w:rsid w:val="009B609E"/>
    <w:rsid w:val="009B6228"/>
    <w:rsid w:val="009B6FC6"/>
    <w:rsid w:val="009B799C"/>
    <w:rsid w:val="009B7AF7"/>
    <w:rsid w:val="009C058F"/>
    <w:rsid w:val="009C1355"/>
    <w:rsid w:val="009C16E0"/>
    <w:rsid w:val="009C1CBE"/>
    <w:rsid w:val="009C2B3E"/>
    <w:rsid w:val="009C2EA2"/>
    <w:rsid w:val="009C30DE"/>
    <w:rsid w:val="009C3256"/>
    <w:rsid w:val="009C3721"/>
    <w:rsid w:val="009C4141"/>
    <w:rsid w:val="009C4B55"/>
    <w:rsid w:val="009C4F84"/>
    <w:rsid w:val="009C506C"/>
    <w:rsid w:val="009C56B2"/>
    <w:rsid w:val="009C5FCC"/>
    <w:rsid w:val="009C601A"/>
    <w:rsid w:val="009C61A2"/>
    <w:rsid w:val="009C651F"/>
    <w:rsid w:val="009C65C8"/>
    <w:rsid w:val="009C662B"/>
    <w:rsid w:val="009C6D3D"/>
    <w:rsid w:val="009C6DF6"/>
    <w:rsid w:val="009C6E92"/>
    <w:rsid w:val="009C7360"/>
    <w:rsid w:val="009C7510"/>
    <w:rsid w:val="009C7A4A"/>
    <w:rsid w:val="009D04F7"/>
    <w:rsid w:val="009D1163"/>
    <w:rsid w:val="009D1501"/>
    <w:rsid w:val="009D1589"/>
    <w:rsid w:val="009D1B37"/>
    <w:rsid w:val="009D2003"/>
    <w:rsid w:val="009D292E"/>
    <w:rsid w:val="009D2C15"/>
    <w:rsid w:val="009D2CE2"/>
    <w:rsid w:val="009D2FD3"/>
    <w:rsid w:val="009D323A"/>
    <w:rsid w:val="009D32FB"/>
    <w:rsid w:val="009D36AF"/>
    <w:rsid w:val="009D38C2"/>
    <w:rsid w:val="009D3A6E"/>
    <w:rsid w:val="009D3BAE"/>
    <w:rsid w:val="009D417F"/>
    <w:rsid w:val="009D42DD"/>
    <w:rsid w:val="009D45E5"/>
    <w:rsid w:val="009D4B85"/>
    <w:rsid w:val="009D535B"/>
    <w:rsid w:val="009D539D"/>
    <w:rsid w:val="009D5570"/>
    <w:rsid w:val="009D5B88"/>
    <w:rsid w:val="009D6296"/>
    <w:rsid w:val="009D630B"/>
    <w:rsid w:val="009D63F2"/>
    <w:rsid w:val="009D6CAA"/>
    <w:rsid w:val="009D6CF6"/>
    <w:rsid w:val="009D6E69"/>
    <w:rsid w:val="009D6F61"/>
    <w:rsid w:val="009D719B"/>
    <w:rsid w:val="009E02DC"/>
    <w:rsid w:val="009E1062"/>
    <w:rsid w:val="009E1098"/>
    <w:rsid w:val="009E13FD"/>
    <w:rsid w:val="009E1B5E"/>
    <w:rsid w:val="009E1C19"/>
    <w:rsid w:val="009E1F2F"/>
    <w:rsid w:val="009E2040"/>
    <w:rsid w:val="009E26F8"/>
    <w:rsid w:val="009E2A4D"/>
    <w:rsid w:val="009E2D45"/>
    <w:rsid w:val="009E3851"/>
    <w:rsid w:val="009E40F9"/>
    <w:rsid w:val="009E46CD"/>
    <w:rsid w:val="009E49AE"/>
    <w:rsid w:val="009E4A8E"/>
    <w:rsid w:val="009E4DC7"/>
    <w:rsid w:val="009E5488"/>
    <w:rsid w:val="009E5AFE"/>
    <w:rsid w:val="009E5B12"/>
    <w:rsid w:val="009E5B92"/>
    <w:rsid w:val="009E660A"/>
    <w:rsid w:val="009E68FC"/>
    <w:rsid w:val="009E6B64"/>
    <w:rsid w:val="009E72E5"/>
    <w:rsid w:val="009E7636"/>
    <w:rsid w:val="009F062A"/>
    <w:rsid w:val="009F06D4"/>
    <w:rsid w:val="009F0E72"/>
    <w:rsid w:val="009F0FB3"/>
    <w:rsid w:val="009F299C"/>
    <w:rsid w:val="009F2B21"/>
    <w:rsid w:val="009F2E46"/>
    <w:rsid w:val="009F2EFD"/>
    <w:rsid w:val="009F2F1C"/>
    <w:rsid w:val="009F366E"/>
    <w:rsid w:val="009F4068"/>
    <w:rsid w:val="009F46C8"/>
    <w:rsid w:val="009F4F2A"/>
    <w:rsid w:val="009F5485"/>
    <w:rsid w:val="009F5A4F"/>
    <w:rsid w:val="009F660B"/>
    <w:rsid w:val="009F671E"/>
    <w:rsid w:val="009F67F2"/>
    <w:rsid w:val="009F6F96"/>
    <w:rsid w:val="009F7142"/>
    <w:rsid w:val="009F7ED1"/>
    <w:rsid w:val="00A00303"/>
    <w:rsid w:val="00A00A46"/>
    <w:rsid w:val="00A00F76"/>
    <w:rsid w:val="00A01164"/>
    <w:rsid w:val="00A0149B"/>
    <w:rsid w:val="00A0156F"/>
    <w:rsid w:val="00A01607"/>
    <w:rsid w:val="00A0162D"/>
    <w:rsid w:val="00A018D4"/>
    <w:rsid w:val="00A019E6"/>
    <w:rsid w:val="00A0240C"/>
    <w:rsid w:val="00A028E0"/>
    <w:rsid w:val="00A02DD8"/>
    <w:rsid w:val="00A02F9D"/>
    <w:rsid w:val="00A033DE"/>
    <w:rsid w:val="00A03685"/>
    <w:rsid w:val="00A03767"/>
    <w:rsid w:val="00A038E7"/>
    <w:rsid w:val="00A0394A"/>
    <w:rsid w:val="00A03AC4"/>
    <w:rsid w:val="00A04099"/>
    <w:rsid w:val="00A04587"/>
    <w:rsid w:val="00A04834"/>
    <w:rsid w:val="00A04C82"/>
    <w:rsid w:val="00A04D4D"/>
    <w:rsid w:val="00A05628"/>
    <w:rsid w:val="00A05D40"/>
    <w:rsid w:val="00A07C44"/>
    <w:rsid w:val="00A07C4D"/>
    <w:rsid w:val="00A07DCF"/>
    <w:rsid w:val="00A1032A"/>
    <w:rsid w:val="00A10506"/>
    <w:rsid w:val="00A10E36"/>
    <w:rsid w:val="00A11BD9"/>
    <w:rsid w:val="00A11BEA"/>
    <w:rsid w:val="00A11D3C"/>
    <w:rsid w:val="00A12114"/>
    <w:rsid w:val="00A12835"/>
    <w:rsid w:val="00A12979"/>
    <w:rsid w:val="00A131A9"/>
    <w:rsid w:val="00A13222"/>
    <w:rsid w:val="00A1496E"/>
    <w:rsid w:val="00A14D6B"/>
    <w:rsid w:val="00A14F84"/>
    <w:rsid w:val="00A15060"/>
    <w:rsid w:val="00A156D5"/>
    <w:rsid w:val="00A16037"/>
    <w:rsid w:val="00A1650A"/>
    <w:rsid w:val="00A1668A"/>
    <w:rsid w:val="00A16D6D"/>
    <w:rsid w:val="00A16D6F"/>
    <w:rsid w:val="00A175B0"/>
    <w:rsid w:val="00A17C75"/>
    <w:rsid w:val="00A20DBF"/>
    <w:rsid w:val="00A21039"/>
    <w:rsid w:val="00A211C8"/>
    <w:rsid w:val="00A21203"/>
    <w:rsid w:val="00A2121E"/>
    <w:rsid w:val="00A21E7C"/>
    <w:rsid w:val="00A21EAC"/>
    <w:rsid w:val="00A21FA2"/>
    <w:rsid w:val="00A21FC3"/>
    <w:rsid w:val="00A221DE"/>
    <w:rsid w:val="00A22598"/>
    <w:rsid w:val="00A228FD"/>
    <w:rsid w:val="00A229D4"/>
    <w:rsid w:val="00A22CB2"/>
    <w:rsid w:val="00A22D65"/>
    <w:rsid w:val="00A23138"/>
    <w:rsid w:val="00A2349C"/>
    <w:rsid w:val="00A23940"/>
    <w:rsid w:val="00A23ECC"/>
    <w:rsid w:val="00A24191"/>
    <w:rsid w:val="00A24509"/>
    <w:rsid w:val="00A24717"/>
    <w:rsid w:val="00A24CD3"/>
    <w:rsid w:val="00A250AB"/>
    <w:rsid w:val="00A25129"/>
    <w:rsid w:val="00A25461"/>
    <w:rsid w:val="00A25993"/>
    <w:rsid w:val="00A25EAF"/>
    <w:rsid w:val="00A261D7"/>
    <w:rsid w:val="00A26367"/>
    <w:rsid w:val="00A2678A"/>
    <w:rsid w:val="00A269E1"/>
    <w:rsid w:val="00A26A7C"/>
    <w:rsid w:val="00A26D5D"/>
    <w:rsid w:val="00A27343"/>
    <w:rsid w:val="00A27372"/>
    <w:rsid w:val="00A27509"/>
    <w:rsid w:val="00A27B8D"/>
    <w:rsid w:val="00A27C1C"/>
    <w:rsid w:val="00A27CBC"/>
    <w:rsid w:val="00A305AE"/>
    <w:rsid w:val="00A309EC"/>
    <w:rsid w:val="00A30F6A"/>
    <w:rsid w:val="00A3184D"/>
    <w:rsid w:val="00A32AEA"/>
    <w:rsid w:val="00A32D36"/>
    <w:rsid w:val="00A32F32"/>
    <w:rsid w:val="00A335A9"/>
    <w:rsid w:val="00A33862"/>
    <w:rsid w:val="00A33E80"/>
    <w:rsid w:val="00A33EFE"/>
    <w:rsid w:val="00A340C4"/>
    <w:rsid w:val="00A34401"/>
    <w:rsid w:val="00A35718"/>
    <w:rsid w:val="00A35A93"/>
    <w:rsid w:val="00A35FBF"/>
    <w:rsid w:val="00A361C5"/>
    <w:rsid w:val="00A36806"/>
    <w:rsid w:val="00A37817"/>
    <w:rsid w:val="00A37C4F"/>
    <w:rsid w:val="00A400AD"/>
    <w:rsid w:val="00A40525"/>
    <w:rsid w:val="00A40949"/>
    <w:rsid w:val="00A4148D"/>
    <w:rsid w:val="00A415CD"/>
    <w:rsid w:val="00A41BBB"/>
    <w:rsid w:val="00A4245B"/>
    <w:rsid w:val="00A424F4"/>
    <w:rsid w:val="00A42533"/>
    <w:rsid w:val="00A427D9"/>
    <w:rsid w:val="00A429AB"/>
    <w:rsid w:val="00A43D34"/>
    <w:rsid w:val="00A43DDC"/>
    <w:rsid w:val="00A444DF"/>
    <w:rsid w:val="00A44518"/>
    <w:rsid w:val="00A44960"/>
    <w:rsid w:val="00A44D0E"/>
    <w:rsid w:val="00A45128"/>
    <w:rsid w:val="00A4588D"/>
    <w:rsid w:val="00A45C48"/>
    <w:rsid w:val="00A45CDD"/>
    <w:rsid w:val="00A4621D"/>
    <w:rsid w:val="00A4691E"/>
    <w:rsid w:val="00A469EA"/>
    <w:rsid w:val="00A46CC4"/>
    <w:rsid w:val="00A50548"/>
    <w:rsid w:val="00A50931"/>
    <w:rsid w:val="00A5097A"/>
    <w:rsid w:val="00A509FB"/>
    <w:rsid w:val="00A51028"/>
    <w:rsid w:val="00A5129D"/>
    <w:rsid w:val="00A51B57"/>
    <w:rsid w:val="00A51C19"/>
    <w:rsid w:val="00A51E04"/>
    <w:rsid w:val="00A52034"/>
    <w:rsid w:val="00A522B5"/>
    <w:rsid w:val="00A5244D"/>
    <w:rsid w:val="00A52C31"/>
    <w:rsid w:val="00A52F37"/>
    <w:rsid w:val="00A533C5"/>
    <w:rsid w:val="00A534A8"/>
    <w:rsid w:val="00A53572"/>
    <w:rsid w:val="00A5388C"/>
    <w:rsid w:val="00A5397B"/>
    <w:rsid w:val="00A53BE1"/>
    <w:rsid w:val="00A54644"/>
    <w:rsid w:val="00A54B90"/>
    <w:rsid w:val="00A54DCF"/>
    <w:rsid w:val="00A555B2"/>
    <w:rsid w:val="00A55921"/>
    <w:rsid w:val="00A560E3"/>
    <w:rsid w:val="00A5617E"/>
    <w:rsid w:val="00A56225"/>
    <w:rsid w:val="00A5628F"/>
    <w:rsid w:val="00A564AF"/>
    <w:rsid w:val="00A566A8"/>
    <w:rsid w:val="00A56D0B"/>
    <w:rsid w:val="00A5775C"/>
    <w:rsid w:val="00A57A0F"/>
    <w:rsid w:val="00A57DA9"/>
    <w:rsid w:val="00A57E39"/>
    <w:rsid w:val="00A60CA5"/>
    <w:rsid w:val="00A60E72"/>
    <w:rsid w:val="00A60FA5"/>
    <w:rsid w:val="00A60FAC"/>
    <w:rsid w:val="00A6176D"/>
    <w:rsid w:val="00A61C7D"/>
    <w:rsid w:val="00A61F0C"/>
    <w:rsid w:val="00A61FF0"/>
    <w:rsid w:val="00A62580"/>
    <w:rsid w:val="00A62CB9"/>
    <w:rsid w:val="00A62D9E"/>
    <w:rsid w:val="00A6357E"/>
    <w:rsid w:val="00A63717"/>
    <w:rsid w:val="00A63AC9"/>
    <w:rsid w:val="00A64370"/>
    <w:rsid w:val="00A64502"/>
    <w:rsid w:val="00A64B5F"/>
    <w:rsid w:val="00A64D4F"/>
    <w:rsid w:val="00A64F17"/>
    <w:rsid w:val="00A65125"/>
    <w:rsid w:val="00A65EA0"/>
    <w:rsid w:val="00A66517"/>
    <w:rsid w:val="00A66A69"/>
    <w:rsid w:val="00A66E80"/>
    <w:rsid w:val="00A673F1"/>
    <w:rsid w:val="00A674EE"/>
    <w:rsid w:val="00A67575"/>
    <w:rsid w:val="00A67B0E"/>
    <w:rsid w:val="00A67F45"/>
    <w:rsid w:val="00A67FDD"/>
    <w:rsid w:val="00A70E5F"/>
    <w:rsid w:val="00A70FEA"/>
    <w:rsid w:val="00A710A8"/>
    <w:rsid w:val="00A712B7"/>
    <w:rsid w:val="00A71427"/>
    <w:rsid w:val="00A718EF"/>
    <w:rsid w:val="00A72134"/>
    <w:rsid w:val="00A726A8"/>
    <w:rsid w:val="00A72951"/>
    <w:rsid w:val="00A72BB0"/>
    <w:rsid w:val="00A72EBD"/>
    <w:rsid w:val="00A72EE7"/>
    <w:rsid w:val="00A73505"/>
    <w:rsid w:val="00A73937"/>
    <w:rsid w:val="00A739AC"/>
    <w:rsid w:val="00A73E29"/>
    <w:rsid w:val="00A745C8"/>
    <w:rsid w:val="00A75E02"/>
    <w:rsid w:val="00A76C7E"/>
    <w:rsid w:val="00A76E79"/>
    <w:rsid w:val="00A7771B"/>
    <w:rsid w:val="00A77758"/>
    <w:rsid w:val="00A778C8"/>
    <w:rsid w:val="00A779CE"/>
    <w:rsid w:val="00A77B53"/>
    <w:rsid w:val="00A77F8F"/>
    <w:rsid w:val="00A80346"/>
    <w:rsid w:val="00A811F1"/>
    <w:rsid w:val="00A81BE1"/>
    <w:rsid w:val="00A82887"/>
    <w:rsid w:val="00A83010"/>
    <w:rsid w:val="00A8331D"/>
    <w:rsid w:val="00A835A9"/>
    <w:rsid w:val="00A8373A"/>
    <w:rsid w:val="00A83986"/>
    <w:rsid w:val="00A83BF5"/>
    <w:rsid w:val="00A849ED"/>
    <w:rsid w:val="00A84CD1"/>
    <w:rsid w:val="00A84DC4"/>
    <w:rsid w:val="00A84EE8"/>
    <w:rsid w:val="00A85906"/>
    <w:rsid w:val="00A85C82"/>
    <w:rsid w:val="00A85E2E"/>
    <w:rsid w:val="00A861F3"/>
    <w:rsid w:val="00A8660B"/>
    <w:rsid w:val="00A86BFC"/>
    <w:rsid w:val="00A87285"/>
    <w:rsid w:val="00A8728F"/>
    <w:rsid w:val="00A873E4"/>
    <w:rsid w:val="00A8756A"/>
    <w:rsid w:val="00A87754"/>
    <w:rsid w:val="00A879B8"/>
    <w:rsid w:val="00A87F7D"/>
    <w:rsid w:val="00A906B7"/>
    <w:rsid w:val="00A9070E"/>
    <w:rsid w:val="00A908B8"/>
    <w:rsid w:val="00A91331"/>
    <w:rsid w:val="00A91873"/>
    <w:rsid w:val="00A92692"/>
    <w:rsid w:val="00A92741"/>
    <w:rsid w:val="00A92DD4"/>
    <w:rsid w:val="00A92FC6"/>
    <w:rsid w:val="00A9326D"/>
    <w:rsid w:val="00A933D5"/>
    <w:rsid w:val="00A93534"/>
    <w:rsid w:val="00A9365C"/>
    <w:rsid w:val="00A938E6"/>
    <w:rsid w:val="00A94200"/>
    <w:rsid w:val="00A946AB"/>
    <w:rsid w:val="00A94D0F"/>
    <w:rsid w:val="00A94DFA"/>
    <w:rsid w:val="00A94F13"/>
    <w:rsid w:val="00A955E0"/>
    <w:rsid w:val="00A9568C"/>
    <w:rsid w:val="00A95BED"/>
    <w:rsid w:val="00A95C74"/>
    <w:rsid w:val="00A95C7A"/>
    <w:rsid w:val="00A95EA2"/>
    <w:rsid w:val="00A96B02"/>
    <w:rsid w:val="00A96F0D"/>
    <w:rsid w:val="00A96F7A"/>
    <w:rsid w:val="00A96FAD"/>
    <w:rsid w:val="00A97242"/>
    <w:rsid w:val="00A97875"/>
    <w:rsid w:val="00A9787E"/>
    <w:rsid w:val="00A97AF9"/>
    <w:rsid w:val="00AA0369"/>
    <w:rsid w:val="00AA0500"/>
    <w:rsid w:val="00AA08E8"/>
    <w:rsid w:val="00AA0DB4"/>
    <w:rsid w:val="00AA11C5"/>
    <w:rsid w:val="00AA14CE"/>
    <w:rsid w:val="00AA15FE"/>
    <w:rsid w:val="00AA17E2"/>
    <w:rsid w:val="00AA1DB3"/>
    <w:rsid w:val="00AA1E7E"/>
    <w:rsid w:val="00AA21B7"/>
    <w:rsid w:val="00AA2EDE"/>
    <w:rsid w:val="00AA3827"/>
    <w:rsid w:val="00AA382D"/>
    <w:rsid w:val="00AA390F"/>
    <w:rsid w:val="00AA3FD2"/>
    <w:rsid w:val="00AA431E"/>
    <w:rsid w:val="00AA4A2C"/>
    <w:rsid w:val="00AA4CEB"/>
    <w:rsid w:val="00AA579A"/>
    <w:rsid w:val="00AA59A6"/>
    <w:rsid w:val="00AA5E5C"/>
    <w:rsid w:val="00AA6109"/>
    <w:rsid w:val="00AA6299"/>
    <w:rsid w:val="00AA66B6"/>
    <w:rsid w:val="00AA674E"/>
    <w:rsid w:val="00AA6E05"/>
    <w:rsid w:val="00AA6E60"/>
    <w:rsid w:val="00AA71B7"/>
    <w:rsid w:val="00AA78EA"/>
    <w:rsid w:val="00AB0099"/>
    <w:rsid w:val="00AB0262"/>
    <w:rsid w:val="00AB0356"/>
    <w:rsid w:val="00AB0556"/>
    <w:rsid w:val="00AB069A"/>
    <w:rsid w:val="00AB0A6D"/>
    <w:rsid w:val="00AB11F1"/>
    <w:rsid w:val="00AB14A1"/>
    <w:rsid w:val="00AB1BA0"/>
    <w:rsid w:val="00AB1BFF"/>
    <w:rsid w:val="00AB202A"/>
    <w:rsid w:val="00AB2DAC"/>
    <w:rsid w:val="00AB39B5"/>
    <w:rsid w:val="00AB3DA7"/>
    <w:rsid w:val="00AB3E56"/>
    <w:rsid w:val="00AB3FA9"/>
    <w:rsid w:val="00AB415A"/>
    <w:rsid w:val="00AB44F4"/>
    <w:rsid w:val="00AB4A3C"/>
    <w:rsid w:val="00AB4C55"/>
    <w:rsid w:val="00AB4D42"/>
    <w:rsid w:val="00AB4F20"/>
    <w:rsid w:val="00AB51C6"/>
    <w:rsid w:val="00AB5265"/>
    <w:rsid w:val="00AB5328"/>
    <w:rsid w:val="00AB5555"/>
    <w:rsid w:val="00AB55AD"/>
    <w:rsid w:val="00AB5D1B"/>
    <w:rsid w:val="00AB60EE"/>
    <w:rsid w:val="00AB6243"/>
    <w:rsid w:val="00AB6918"/>
    <w:rsid w:val="00AB6B40"/>
    <w:rsid w:val="00AB6FA3"/>
    <w:rsid w:val="00AB740A"/>
    <w:rsid w:val="00AB767F"/>
    <w:rsid w:val="00AB7828"/>
    <w:rsid w:val="00AB7E0A"/>
    <w:rsid w:val="00AC0595"/>
    <w:rsid w:val="00AC07CA"/>
    <w:rsid w:val="00AC0CDE"/>
    <w:rsid w:val="00AC1215"/>
    <w:rsid w:val="00AC19B5"/>
    <w:rsid w:val="00AC1DA5"/>
    <w:rsid w:val="00AC1F6A"/>
    <w:rsid w:val="00AC216B"/>
    <w:rsid w:val="00AC2690"/>
    <w:rsid w:val="00AC26B1"/>
    <w:rsid w:val="00AC2837"/>
    <w:rsid w:val="00AC2CFF"/>
    <w:rsid w:val="00AC317E"/>
    <w:rsid w:val="00AC392C"/>
    <w:rsid w:val="00AC42B8"/>
    <w:rsid w:val="00AC45C5"/>
    <w:rsid w:val="00AC4791"/>
    <w:rsid w:val="00AC4A76"/>
    <w:rsid w:val="00AC4FB6"/>
    <w:rsid w:val="00AC4FD1"/>
    <w:rsid w:val="00AC500B"/>
    <w:rsid w:val="00AC525D"/>
    <w:rsid w:val="00AC5666"/>
    <w:rsid w:val="00AC5841"/>
    <w:rsid w:val="00AC5FEF"/>
    <w:rsid w:val="00AC6036"/>
    <w:rsid w:val="00AC6243"/>
    <w:rsid w:val="00AC7831"/>
    <w:rsid w:val="00AC7A33"/>
    <w:rsid w:val="00AC7B06"/>
    <w:rsid w:val="00AD0328"/>
    <w:rsid w:val="00AD0756"/>
    <w:rsid w:val="00AD0B00"/>
    <w:rsid w:val="00AD11DC"/>
    <w:rsid w:val="00AD1885"/>
    <w:rsid w:val="00AD1966"/>
    <w:rsid w:val="00AD19E8"/>
    <w:rsid w:val="00AD1DAE"/>
    <w:rsid w:val="00AD1E25"/>
    <w:rsid w:val="00AD21D8"/>
    <w:rsid w:val="00AD2253"/>
    <w:rsid w:val="00AD2B03"/>
    <w:rsid w:val="00AD2E07"/>
    <w:rsid w:val="00AD2F3E"/>
    <w:rsid w:val="00AD322C"/>
    <w:rsid w:val="00AD3237"/>
    <w:rsid w:val="00AD38A9"/>
    <w:rsid w:val="00AD3E97"/>
    <w:rsid w:val="00AD4071"/>
    <w:rsid w:val="00AD44EA"/>
    <w:rsid w:val="00AD4516"/>
    <w:rsid w:val="00AD4782"/>
    <w:rsid w:val="00AD4B47"/>
    <w:rsid w:val="00AD4BFF"/>
    <w:rsid w:val="00AD5236"/>
    <w:rsid w:val="00AD527D"/>
    <w:rsid w:val="00AD54E0"/>
    <w:rsid w:val="00AD5F0C"/>
    <w:rsid w:val="00AD5F36"/>
    <w:rsid w:val="00AD5F3C"/>
    <w:rsid w:val="00AD6008"/>
    <w:rsid w:val="00AD6153"/>
    <w:rsid w:val="00AD64F5"/>
    <w:rsid w:val="00AD6EF1"/>
    <w:rsid w:val="00AD758E"/>
    <w:rsid w:val="00AD7AB5"/>
    <w:rsid w:val="00AE0063"/>
    <w:rsid w:val="00AE08B7"/>
    <w:rsid w:val="00AE0DBA"/>
    <w:rsid w:val="00AE160F"/>
    <w:rsid w:val="00AE1D6D"/>
    <w:rsid w:val="00AE21DC"/>
    <w:rsid w:val="00AE239B"/>
    <w:rsid w:val="00AE25D2"/>
    <w:rsid w:val="00AE270B"/>
    <w:rsid w:val="00AE2870"/>
    <w:rsid w:val="00AE2B47"/>
    <w:rsid w:val="00AE2CAD"/>
    <w:rsid w:val="00AE3090"/>
    <w:rsid w:val="00AE35CC"/>
    <w:rsid w:val="00AE3606"/>
    <w:rsid w:val="00AE380E"/>
    <w:rsid w:val="00AE38E3"/>
    <w:rsid w:val="00AE3AAD"/>
    <w:rsid w:val="00AE3B3B"/>
    <w:rsid w:val="00AE4189"/>
    <w:rsid w:val="00AE433C"/>
    <w:rsid w:val="00AE4E66"/>
    <w:rsid w:val="00AE4FF7"/>
    <w:rsid w:val="00AE503A"/>
    <w:rsid w:val="00AE5547"/>
    <w:rsid w:val="00AE5B1F"/>
    <w:rsid w:val="00AE5C82"/>
    <w:rsid w:val="00AE5F7D"/>
    <w:rsid w:val="00AE6051"/>
    <w:rsid w:val="00AE66CA"/>
    <w:rsid w:val="00AE68E2"/>
    <w:rsid w:val="00AF0157"/>
    <w:rsid w:val="00AF22E1"/>
    <w:rsid w:val="00AF2A92"/>
    <w:rsid w:val="00AF2EC7"/>
    <w:rsid w:val="00AF30D5"/>
    <w:rsid w:val="00AF3613"/>
    <w:rsid w:val="00AF3AC0"/>
    <w:rsid w:val="00AF4595"/>
    <w:rsid w:val="00AF4A19"/>
    <w:rsid w:val="00AF4F4A"/>
    <w:rsid w:val="00AF51C0"/>
    <w:rsid w:val="00AF5230"/>
    <w:rsid w:val="00AF5C0B"/>
    <w:rsid w:val="00AF66BA"/>
    <w:rsid w:val="00AF687C"/>
    <w:rsid w:val="00AF75F5"/>
    <w:rsid w:val="00AF7A6C"/>
    <w:rsid w:val="00B0076F"/>
    <w:rsid w:val="00B009A9"/>
    <w:rsid w:val="00B00C24"/>
    <w:rsid w:val="00B00DB3"/>
    <w:rsid w:val="00B00F93"/>
    <w:rsid w:val="00B013C3"/>
    <w:rsid w:val="00B01555"/>
    <w:rsid w:val="00B01BBE"/>
    <w:rsid w:val="00B02368"/>
    <w:rsid w:val="00B02E28"/>
    <w:rsid w:val="00B03399"/>
    <w:rsid w:val="00B03EFF"/>
    <w:rsid w:val="00B03F92"/>
    <w:rsid w:val="00B043C6"/>
    <w:rsid w:val="00B049C6"/>
    <w:rsid w:val="00B054EB"/>
    <w:rsid w:val="00B055D8"/>
    <w:rsid w:val="00B0564D"/>
    <w:rsid w:val="00B059C5"/>
    <w:rsid w:val="00B05D72"/>
    <w:rsid w:val="00B0625C"/>
    <w:rsid w:val="00B06392"/>
    <w:rsid w:val="00B068F4"/>
    <w:rsid w:val="00B06CD6"/>
    <w:rsid w:val="00B06EBC"/>
    <w:rsid w:val="00B0708A"/>
    <w:rsid w:val="00B07232"/>
    <w:rsid w:val="00B075D7"/>
    <w:rsid w:val="00B07A16"/>
    <w:rsid w:val="00B1031A"/>
    <w:rsid w:val="00B10D22"/>
    <w:rsid w:val="00B11341"/>
    <w:rsid w:val="00B11B1A"/>
    <w:rsid w:val="00B11C0C"/>
    <w:rsid w:val="00B11D2D"/>
    <w:rsid w:val="00B1223C"/>
    <w:rsid w:val="00B123F0"/>
    <w:rsid w:val="00B12891"/>
    <w:rsid w:val="00B12E7E"/>
    <w:rsid w:val="00B12FA5"/>
    <w:rsid w:val="00B143E3"/>
    <w:rsid w:val="00B146C1"/>
    <w:rsid w:val="00B146E7"/>
    <w:rsid w:val="00B147DD"/>
    <w:rsid w:val="00B14A57"/>
    <w:rsid w:val="00B14D0B"/>
    <w:rsid w:val="00B156DF"/>
    <w:rsid w:val="00B159CF"/>
    <w:rsid w:val="00B15ABB"/>
    <w:rsid w:val="00B15CF8"/>
    <w:rsid w:val="00B15D3D"/>
    <w:rsid w:val="00B160CF"/>
    <w:rsid w:val="00B16973"/>
    <w:rsid w:val="00B16BB1"/>
    <w:rsid w:val="00B16F44"/>
    <w:rsid w:val="00B16F9E"/>
    <w:rsid w:val="00B17027"/>
    <w:rsid w:val="00B2036A"/>
    <w:rsid w:val="00B206F9"/>
    <w:rsid w:val="00B20713"/>
    <w:rsid w:val="00B21057"/>
    <w:rsid w:val="00B214ED"/>
    <w:rsid w:val="00B21894"/>
    <w:rsid w:val="00B21B23"/>
    <w:rsid w:val="00B21C3C"/>
    <w:rsid w:val="00B2202B"/>
    <w:rsid w:val="00B2206C"/>
    <w:rsid w:val="00B22097"/>
    <w:rsid w:val="00B22D3F"/>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862"/>
    <w:rsid w:val="00B25CA3"/>
    <w:rsid w:val="00B26413"/>
    <w:rsid w:val="00B266EB"/>
    <w:rsid w:val="00B26BDF"/>
    <w:rsid w:val="00B27050"/>
    <w:rsid w:val="00B278BD"/>
    <w:rsid w:val="00B27B9F"/>
    <w:rsid w:val="00B27E2A"/>
    <w:rsid w:val="00B30028"/>
    <w:rsid w:val="00B3009C"/>
    <w:rsid w:val="00B30C2A"/>
    <w:rsid w:val="00B30F19"/>
    <w:rsid w:val="00B31467"/>
    <w:rsid w:val="00B31530"/>
    <w:rsid w:val="00B31E8D"/>
    <w:rsid w:val="00B32A9A"/>
    <w:rsid w:val="00B32B22"/>
    <w:rsid w:val="00B32FAD"/>
    <w:rsid w:val="00B32FC6"/>
    <w:rsid w:val="00B3313B"/>
    <w:rsid w:val="00B331E8"/>
    <w:rsid w:val="00B331EA"/>
    <w:rsid w:val="00B33796"/>
    <w:rsid w:val="00B33EEB"/>
    <w:rsid w:val="00B341F4"/>
    <w:rsid w:val="00B34732"/>
    <w:rsid w:val="00B347CB"/>
    <w:rsid w:val="00B34CFB"/>
    <w:rsid w:val="00B34D82"/>
    <w:rsid w:val="00B34DC9"/>
    <w:rsid w:val="00B353B8"/>
    <w:rsid w:val="00B35A93"/>
    <w:rsid w:val="00B35BEB"/>
    <w:rsid w:val="00B35C56"/>
    <w:rsid w:val="00B35F0A"/>
    <w:rsid w:val="00B36248"/>
    <w:rsid w:val="00B363B1"/>
    <w:rsid w:val="00B36736"/>
    <w:rsid w:val="00B36AD4"/>
    <w:rsid w:val="00B36F17"/>
    <w:rsid w:val="00B371AA"/>
    <w:rsid w:val="00B372ED"/>
    <w:rsid w:val="00B37320"/>
    <w:rsid w:val="00B3782E"/>
    <w:rsid w:val="00B4006F"/>
    <w:rsid w:val="00B40590"/>
    <w:rsid w:val="00B40603"/>
    <w:rsid w:val="00B40AF6"/>
    <w:rsid w:val="00B41071"/>
    <w:rsid w:val="00B415C2"/>
    <w:rsid w:val="00B416F6"/>
    <w:rsid w:val="00B41F62"/>
    <w:rsid w:val="00B41FDB"/>
    <w:rsid w:val="00B41FE5"/>
    <w:rsid w:val="00B425C0"/>
    <w:rsid w:val="00B426FD"/>
    <w:rsid w:val="00B4298B"/>
    <w:rsid w:val="00B42AAA"/>
    <w:rsid w:val="00B439D0"/>
    <w:rsid w:val="00B443BF"/>
    <w:rsid w:val="00B446EE"/>
    <w:rsid w:val="00B44CC7"/>
    <w:rsid w:val="00B44D74"/>
    <w:rsid w:val="00B44FAA"/>
    <w:rsid w:val="00B46957"/>
    <w:rsid w:val="00B46CFD"/>
    <w:rsid w:val="00B46DB0"/>
    <w:rsid w:val="00B47921"/>
    <w:rsid w:val="00B47B54"/>
    <w:rsid w:val="00B50B29"/>
    <w:rsid w:val="00B50E99"/>
    <w:rsid w:val="00B51926"/>
    <w:rsid w:val="00B51F9A"/>
    <w:rsid w:val="00B5244A"/>
    <w:rsid w:val="00B529EA"/>
    <w:rsid w:val="00B52B18"/>
    <w:rsid w:val="00B53EDB"/>
    <w:rsid w:val="00B53F1C"/>
    <w:rsid w:val="00B54050"/>
    <w:rsid w:val="00B54111"/>
    <w:rsid w:val="00B5452F"/>
    <w:rsid w:val="00B54DA7"/>
    <w:rsid w:val="00B54E17"/>
    <w:rsid w:val="00B551D6"/>
    <w:rsid w:val="00B55F31"/>
    <w:rsid w:val="00B56D17"/>
    <w:rsid w:val="00B57477"/>
    <w:rsid w:val="00B600C6"/>
    <w:rsid w:val="00B60167"/>
    <w:rsid w:val="00B60FC0"/>
    <w:rsid w:val="00B61281"/>
    <w:rsid w:val="00B6155A"/>
    <w:rsid w:val="00B61665"/>
    <w:rsid w:val="00B6229D"/>
    <w:rsid w:val="00B633C0"/>
    <w:rsid w:val="00B63528"/>
    <w:rsid w:val="00B63922"/>
    <w:rsid w:val="00B63C3F"/>
    <w:rsid w:val="00B63D38"/>
    <w:rsid w:val="00B63DAF"/>
    <w:rsid w:val="00B63E98"/>
    <w:rsid w:val="00B6405E"/>
    <w:rsid w:val="00B640B9"/>
    <w:rsid w:val="00B6416E"/>
    <w:rsid w:val="00B65754"/>
    <w:rsid w:val="00B661AA"/>
    <w:rsid w:val="00B66235"/>
    <w:rsid w:val="00B66242"/>
    <w:rsid w:val="00B670D3"/>
    <w:rsid w:val="00B6787B"/>
    <w:rsid w:val="00B67958"/>
    <w:rsid w:val="00B67B45"/>
    <w:rsid w:val="00B701D1"/>
    <w:rsid w:val="00B711A9"/>
    <w:rsid w:val="00B713B7"/>
    <w:rsid w:val="00B715A3"/>
    <w:rsid w:val="00B716BB"/>
    <w:rsid w:val="00B716FD"/>
    <w:rsid w:val="00B71D48"/>
    <w:rsid w:val="00B72339"/>
    <w:rsid w:val="00B72443"/>
    <w:rsid w:val="00B734C2"/>
    <w:rsid w:val="00B73BDA"/>
    <w:rsid w:val="00B73CEE"/>
    <w:rsid w:val="00B73D55"/>
    <w:rsid w:val="00B74053"/>
    <w:rsid w:val="00B747AF"/>
    <w:rsid w:val="00B74DAE"/>
    <w:rsid w:val="00B7592D"/>
    <w:rsid w:val="00B75A61"/>
    <w:rsid w:val="00B761EA"/>
    <w:rsid w:val="00B765A0"/>
    <w:rsid w:val="00B768D8"/>
    <w:rsid w:val="00B769E6"/>
    <w:rsid w:val="00B76B27"/>
    <w:rsid w:val="00B76C02"/>
    <w:rsid w:val="00B778C2"/>
    <w:rsid w:val="00B77BD2"/>
    <w:rsid w:val="00B8008E"/>
    <w:rsid w:val="00B800A1"/>
    <w:rsid w:val="00B80CE6"/>
    <w:rsid w:val="00B80EE7"/>
    <w:rsid w:val="00B814CB"/>
    <w:rsid w:val="00B81B6A"/>
    <w:rsid w:val="00B820F4"/>
    <w:rsid w:val="00B824EA"/>
    <w:rsid w:val="00B82E82"/>
    <w:rsid w:val="00B830D0"/>
    <w:rsid w:val="00B833A3"/>
    <w:rsid w:val="00B835E0"/>
    <w:rsid w:val="00B83747"/>
    <w:rsid w:val="00B83893"/>
    <w:rsid w:val="00B8396D"/>
    <w:rsid w:val="00B83D33"/>
    <w:rsid w:val="00B83E78"/>
    <w:rsid w:val="00B842DE"/>
    <w:rsid w:val="00B847AE"/>
    <w:rsid w:val="00B8492F"/>
    <w:rsid w:val="00B84BC5"/>
    <w:rsid w:val="00B84BE8"/>
    <w:rsid w:val="00B84F83"/>
    <w:rsid w:val="00B85185"/>
    <w:rsid w:val="00B86E68"/>
    <w:rsid w:val="00B87507"/>
    <w:rsid w:val="00B87E35"/>
    <w:rsid w:val="00B87E74"/>
    <w:rsid w:val="00B87E90"/>
    <w:rsid w:val="00B87ED4"/>
    <w:rsid w:val="00B90331"/>
    <w:rsid w:val="00B903ED"/>
    <w:rsid w:val="00B90A07"/>
    <w:rsid w:val="00B90B2D"/>
    <w:rsid w:val="00B90B6F"/>
    <w:rsid w:val="00B91AD7"/>
    <w:rsid w:val="00B91C28"/>
    <w:rsid w:val="00B923CB"/>
    <w:rsid w:val="00B924B8"/>
    <w:rsid w:val="00B92631"/>
    <w:rsid w:val="00B931CB"/>
    <w:rsid w:val="00B935A1"/>
    <w:rsid w:val="00B93FCE"/>
    <w:rsid w:val="00B9408B"/>
    <w:rsid w:val="00B94C2F"/>
    <w:rsid w:val="00B95DAD"/>
    <w:rsid w:val="00B9607B"/>
    <w:rsid w:val="00B96C0C"/>
    <w:rsid w:val="00B96D51"/>
    <w:rsid w:val="00B9734D"/>
    <w:rsid w:val="00B9772B"/>
    <w:rsid w:val="00B97732"/>
    <w:rsid w:val="00B97B97"/>
    <w:rsid w:val="00B97FBA"/>
    <w:rsid w:val="00BA055F"/>
    <w:rsid w:val="00BA0AD5"/>
    <w:rsid w:val="00BA1FD3"/>
    <w:rsid w:val="00BA27F4"/>
    <w:rsid w:val="00BA29AF"/>
    <w:rsid w:val="00BA2BEE"/>
    <w:rsid w:val="00BA2E40"/>
    <w:rsid w:val="00BA3CB7"/>
    <w:rsid w:val="00BA41DE"/>
    <w:rsid w:val="00BA4566"/>
    <w:rsid w:val="00BA495B"/>
    <w:rsid w:val="00BA4DAA"/>
    <w:rsid w:val="00BA501B"/>
    <w:rsid w:val="00BA556C"/>
    <w:rsid w:val="00BA6F7C"/>
    <w:rsid w:val="00BA7417"/>
    <w:rsid w:val="00BA773F"/>
    <w:rsid w:val="00BB064F"/>
    <w:rsid w:val="00BB0D73"/>
    <w:rsid w:val="00BB0DDF"/>
    <w:rsid w:val="00BB0E17"/>
    <w:rsid w:val="00BB0F31"/>
    <w:rsid w:val="00BB140F"/>
    <w:rsid w:val="00BB15AB"/>
    <w:rsid w:val="00BB1734"/>
    <w:rsid w:val="00BB189B"/>
    <w:rsid w:val="00BB1D21"/>
    <w:rsid w:val="00BB2A3A"/>
    <w:rsid w:val="00BB2E51"/>
    <w:rsid w:val="00BB3235"/>
    <w:rsid w:val="00BB37A0"/>
    <w:rsid w:val="00BB3D9C"/>
    <w:rsid w:val="00BB4BEA"/>
    <w:rsid w:val="00BB4C1A"/>
    <w:rsid w:val="00BB4FD1"/>
    <w:rsid w:val="00BB50AB"/>
    <w:rsid w:val="00BB50C8"/>
    <w:rsid w:val="00BB554C"/>
    <w:rsid w:val="00BB599E"/>
    <w:rsid w:val="00BB6664"/>
    <w:rsid w:val="00BB682C"/>
    <w:rsid w:val="00BB6BEB"/>
    <w:rsid w:val="00BB762A"/>
    <w:rsid w:val="00BB7703"/>
    <w:rsid w:val="00BC01FC"/>
    <w:rsid w:val="00BC02D4"/>
    <w:rsid w:val="00BC033E"/>
    <w:rsid w:val="00BC0377"/>
    <w:rsid w:val="00BC0B0A"/>
    <w:rsid w:val="00BC0D57"/>
    <w:rsid w:val="00BC0E78"/>
    <w:rsid w:val="00BC1B81"/>
    <w:rsid w:val="00BC1BD9"/>
    <w:rsid w:val="00BC1E34"/>
    <w:rsid w:val="00BC1F79"/>
    <w:rsid w:val="00BC21A9"/>
    <w:rsid w:val="00BC2201"/>
    <w:rsid w:val="00BC244A"/>
    <w:rsid w:val="00BC2C4E"/>
    <w:rsid w:val="00BC3930"/>
    <w:rsid w:val="00BC3C7A"/>
    <w:rsid w:val="00BC49BC"/>
    <w:rsid w:val="00BC4BB8"/>
    <w:rsid w:val="00BC4CBE"/>
    <w:rsid w:val="00BC5748"/>
    <w:rsid w:val="00BC713C"/>
    <w:rsid w:val="00BC7A0C"/>
    <w:rsid w:val="00BC7DC6"/>
    <w:rsid w:val="00BC7E5E"/>
    <w:rsid w:val="00BD0B25"/>
    <w:rsid w:val="00BD1039"/>
    <w:rsid w:val="00BD129A"/>
    <w:rsid w:val="00BD13B5"/>
    <w:rsid w:val="00BD15E7"/>
    <w:rsid w:val="00BD1F70"/>
    <w:rsid w:val="00BD270B"/>
    <w:rsid w:val="00BD2BC8"/>
    <w:rsid w:val="00BD2C4B"/>
    <w:rsid w:val="00BD2E32"/>
    <w:rsid w:val="00BD2EFC"/>
    <w:rsid w:val="00BD340E"/>
    <w:rsid w:val="00BD3F0A"/>
    <w:rsid w:val="00BD3F8D"/>
    <w:rsid w:val="00BD43E4"/>
    <w:rsid w:val="00BD4857"/>
    <w:rsid w:val="00BD4D39"/>
    <w:rsid w:val="00BD5C74"/>
    <w:rsid w:val="00BD5E04"/>
    <w:rsid w:val="00BD60AD"/>
    <w:rsid w:val="00BD6C02"/>
    <w:rsid w:val="00BD6D46"/>
    <w:rsid w:val="00BD729E"/>
    <w:rsid w:val="00BE05D9"/>
    <w:rsid w:val="00BE1244"/>
    <w:rsid w:val="00BE165D"/>
    <w:rsid w:val="00BE1BF1"/>
    <w:rsid w:val="00BE2394"/>
    <w:rsid w:val="00BE269A"/>
    <w:rsid w:val="00BE2702"/>
    <w:rsid w:val="00BE2BC8"/>
    <w:rsid w:val="00BE363D"/>
    <w:rsid w:val="00BE38D3"/>
    <w:rsid w:val="00BE39A7"/>
    <w:rsid w:val="00BE4131"/>
    <w:rsid w:val="00BE4326"/>
    <w:rsid w:val="00BE44C2"/>
    <w:rsid w:val="00BE50D2"/>
    <w:rsid w:val="00BE5477"/>
    <w:rsid w:val="00BE5E36"/>
    <w:rsid w:val="00BE5F4F"/>
    <w:rsid w:val="00BE60DB"/>
    <w:rsid w:val="00BE6C01"/>
    <w:rsid w:val="00BE7249"/>
    <w:rsid w:val="00BE7F96"/>
    <w:rsid w:val="00BF0191"/>
    <w:rsid w:val="00BF0804"/>
    <w:rsid w:val="00BF0B05"/>
    <w:rsid w:val="00BF1257"/>
    <w:rsid w:val="00BF13EC"/>
    <w:rsid w:val="00BF1C07"/>
    <w:rsid w:val="00BF1E36"/>
    <w:rsid w:val="00BF26BD"/>
    <w:rsid w:val="00BF2853"/>
    <w:rsid w:val="00BF2A60"/>
    <w:rsid w:val="00BF3085"/>
    <w:rsid w:val="00BF34E9"/>
    <w:rsid w:val="00BF3863"/>
    <w:rsid w:val="00BF3DEE"/>
    <w:rsid w:val="00BF4AE6"/>
    <w:rsid w:val="00BF54AC"/>
    <w:rsid w:val="00BF54BD"/>
    <w:rsid w:val="00BF58B5"/>
    <w:rsid w:val="00BF5C34"/>
    <w:rsid w:val="00BF6B8E"/>
    <w:rsid w:val="00BF6EE5"/>
    <w:rsid w:val="00BF7406"/>
    <w:rsid w:val="00C00F23"/>
    <w:rsid w:val="00C01082"/>
    <w:rsid w:val="00C0176E"/>
    <w:rsid w:val="00C018E1"/>
    <w:rsid w:val="00C01B0D"/>
    <w:rsid w:val="00C0233D"/>
    <w:rsid w:val="00C0251E"/>
    <w:rsid w:val="00C025A5"/>
    <w:rsid w:val="00C03C78"/>
    <w:rsid w:val="00C04EDE"/>
    <w:rsid w:val="00C04FA3"/>
    <w:rsid w:val="00C04FD3"/>
    <w:rsid w:val="00C05057"/>
    <w:rsid w:val="00C065A2"/>
    <w:rsid w:val="00C0697C"/>
    <w:rsid w:val="00C07679"/>
    <w:rsid w:val="00C07919"/>
    <w:rsid w:val="00C079FE"/>
    <w:rsid w:val="00C1017A"/>
    <w:rsid w:val="00C1025B"/>
    <w:rsid w:val="00C103F9"/>
    <w:rsid w:val="00C104AC"/>
    <w:rsid w:val="00C10F52"/>
    <w:rsid w:val="00C110E1"/>
    <w:rsid w:val="00C1198F"/>
    <w:rsid w:val="00C11FA1"/>
    <w:rsid w:val="00C1288D"/>
    <w:rsid w:val="00C12E21"/>
    <w:rsid w:val="00C12E65"/>
    <w:rsid w:val="00C12EE9"/>
    <w:rsid w:val="00C13163"/>
    <w:rsid w:val="00C13848"/>
    <w:rsid w:val="00C13C20"/>
    <w:rsid w:val="00C13F74"/>
    <w:rsid w:val="00C144F3"/>
    <w:rsid w:val="00C146D3"/>
    <w:rsid w:val="00C14704"/>
    <w:rsid w:val="00C15B23"/>
    <w:rsid w:val="00C15BEA"/>
    <w:rsid w:val="00C15BF3"/>
    <w:rsid w:val="00C15C63"/>
    <w:rsid w:val="00C16118"/>
    <w:rsid w:val="00C16209"/>
    <w:rsid w:val="00C162A8"/>
    <w:rsid w:val="00C168D4"/>
    <w:rsid w:val="00C16BE0"/>
    <w:rsid w:val="00C2041D"/>
    <w:rsid w:val="00C2073A"/>
    <w:rsid w:val="00C20BCF"/>
    <w:rsid w:val="00C21161"/>
    <w:rsid w:val="00C215F4"/>
    <w:rsid w:val="00C216A3"/>
    <w:rsid w:val="00C21733"/>
    <w:rsid w:val="00C21C39"/>
    <w:rsid w:val="00C22685"/>
    <w:rsid w:val="00C229CF"/>
    <w:rsid w:val="00C22A91"/>
    <w:rsid w:val="00C22E85"/>
    <w:rsid w:val="00C230B5"/>
    <w:rsid w:val="00C2325C"/>
    <w:rsid w:val="00C239ED"/>
    <w:rsid w:val="00C23AC1"/>
    <w:rsid w:val="00C23DAC"/>
    <w:rsid w:val="00C246A3"/>
    <w:rsid w:val="00C2489E"/>
    <w:rsid w:val="00C24D9D"/>
    <w:rsid w:val="00C257FA"/>
    <w:rsid w:val="00C25CF3"/>
    <w:rsid w:val="00C263E9"/>
    <w:rsid w:val="00C267BB"/>
    <w:rsid w:val="00C26AEB"/>
    <w:rsid w:val="00C26B3A"/>
    <w:rsid w:val="00C26D74"/>
    <w:rsid w:val="00C26EB7"/>
    <w:rsid w:val="00C2775A"/>
    <w:rsid w:val="00C27886"/>
    <w:rsid w:val="00C30316"/>
    <w:rsid w:val="00C3063A"/>
    <w:rsid w:val="00C306B9"/>
    <w:rsid w:val="00C308B6"/>
    <w:rsid w:val="00C30BAD"/>
    <w:rsid w:val="00C30E93"/>
    <w:rsid w:val="00C311AB"/>
    <w:rsid w:val="00C31E8F"/>
    <w:rsid w:val="00C322D1"/>
    <w:rsid w:val="00C3323F"/>
    <w:rsid w:val="00C3329C"/>
    <w:rsid w:val="00C332C7"/>
    <w:rsid w:val="00C33429"/>
    <w:rsid w:val="00C3355E"/>
    <w:rsid w:val="00C3359F"/>
    <w:rsid w:val="00C335DA"/>
    <w:rsid w:val="00C33D3E"/>
    <w:rsid w:val="00C33EFA"/>
    <w:rsid w:val="00C33F43"/>
    <w:rsid w:val="00C34970"/>
    <w:rsid w:val="00C35AEA"/>
    <w:rsid w:val="00C35CC0"/>
    <w:rsid w:val="00C35D9C"/>
    <w:rsid w:val="00C362E0"/>
    <w:rsid w:val="00C363AF"/>
    <w:rsid w:val="00C36743"/>
    <w:rsid w:val="00C36BB0"/>
    <w:rsid w:val="00C36ED4"/>
    <w:rsid w:val="00C36FAF"/>
    <w:rsid w:val="00C376CC"/>
    <w:rsid w:val="00C37B91"/>
    <w:rsid w:val="00C400F7"/>
    <w:rsid w:val="00C40185"/>
    <w:rsid w:val="00C40699"/>
    <w:rsid w:val="00C40EC6"/>
    <w:rsid w:val="00C417AA"/>
    <w:rsid w:val="00C419AD"/>
    <w:rsid w:val="00C41B5F"/>
    <w:rsid w:val="00C41B7E"/>
    <w:rsid w:val="00C41BD0"/>
    <w:rsid w:val="00C41C0F"/>
    <w:rsid w:val="00C4212A"/>
    <w:rsid w:val="00C4242D"/>
    <w:rsid w:val="00C43029"/>
    <w:rsid w:val="00C436E3"/>
    <w:rsid w:val="00C437BA"/>
    <w:rsid w:val="00C44094"/>
    <w:rsid w:val="00C4426E"/>
    <w:rsid w:val="00C44395"/>
    <w:rsid w:val="00C443B3"/>
    <w:rsid w:val="00C45CE8"/>
    <w:rsid w:val="00C465E7"/>
    <w:rsid w:val="00C46637"/>
    <w:rsid w:val="00C46A8C"/>
    <w:rsid w:val="00C46BFD"/>
    <w:rsid w:val="00C46F06"/>
    <w:rsid w:val="00C479A5"/>
    <w:rsid w:val="00C47D22"/>
    <w:rsid w:val="00C47DA6"/>
    <w:rsid w:val="00C50173"/>
    <w:rsid w:val="00C503F9"/>
    <w:rsid w:val="00C508F4"/>
    <w:rsid w:val="00C50982"/>
    <w:rsid w:val="00C50986"/>
    <w:rsid w:val="00C50ABF"/>
    <w:rsid w:val="00C50BAA"/>
    <w:rsid w:val="00C50EF2"/>
    <w:rsid w:val="00C51256"/>
    <w:rsid w:val="00C51566"/>
    <w:rsid w:val="00C516B7"/>
    <w:rsid w:val="00C516C4"/>
    <w:rsid w:val="00C51A62"/>
    <w:rsid w:val="00C51C1F"/>
    <w:rsid w:val="00C51E17"/>
    <w:rsid w:val="00C51F68"/>
    <w:rsid w:val="00C52433"/>
    <w:rsid w:val="00C52830"/>
    <w:rsid w:val="00C52D62"/>
    <w:rsid w:val="00C52EF3"/>
    <w:rsid w:val="00C533D4"/>
    <w:rsid w:val="00C53A4C"/>
    <w:rsid w:val="00C5400E"/>
    <w:rsid w:val="00C5434F"/>
    <w:rsid w:val="00C5448D"/>
    <w:rsid w:val="00C5477F"/>
    <w:rsid w:val="00C547B7"/>
    <w:rsid w:val="00C54B9A"/>
    <w:rsid w:val="00C5503B"/>
    <w:rsid w:val="00C55167"/>
    <w:rsid w:val="00C55A32"/>
    <w:rsid w:val="00C564F2"/>
    <w:rsid w:val="00C56525"/>
    <w:rsid w:val="00C5658B"/>
    <w:rsid w:val="00C56B12"/>
    <w:rsid w:val="00C56F11"/>
    <w:rsid w:val="00C576B0"/>
    <w:rsid w:val="00C577FD"/>
    <w:rsid w:val="00C60330"/>
    <w:rsid w:val="00C60E5E"/>
    <w:rsid w:val="00C610A7"/>
    <w:rsid w:val="00C615A2"/>
    <w:rsid w:val="00C61E88"/>
    <w:rsid w:val="00C61F3A"/>
    <w:rsid w:val="00C61FDF"/>
    <w:rsid w:val="00C629CB"/>
    <w:rsid w:val="00C62B75"/>
    <w:rsid w:val="00C639FA"/>
    <w:rsid w:val="00C63AD4"/>
    <w:rsid w:val="00C64530"/>
    <w:rsid w:val="00C6454F"/>
    <w:rsid w:val="00C64C1E"/>
    <w:rsid w:val="00C65078"/>
    <w:rsid w:val="00C651EE"/>
    <w:rsid w:val="00C657B5"/>
    <w:rsid w:val="00C659DF"/>
    <w:rsid w:val="00C661E1"/>
    <w:rsid w:val="00C66686"/>
    <w:rsid w:val="00C6673C"/>
    <w:rsid w:val="00C67363"/>
    <w:rsid w:val="00C678A5"/>
    <w:rsid w:val="00C678C4"/>
    <w:rsid w:val="00C679AD"/>
    <w:rsid w:val="00C701BD"/>
    <w:rsid w:val="00C703A9"/>
    <w:rsid w:val="00C70827"/>
    <w:rsid w:val="00C70E5B"/>
    <w:rsid w:val="00C710BE"/>
    <w:rsid w:val="00C71215"/>
    <w:rsid w:val="00C71309"/>
    <w:rsid w:val="00C7216B"/>
    <w:rsid w:val="00C724DC"/>
    <w:rsid w:val="00C725F9"/>
    <w:rsid w:val="00C727BE"/>
    <w:rsid w:val="00C732A9"/>
    <w:rsid w:val="00C73448"/>
    <w:rsid w:val="00C73E2E"/>
    <w:rsid w:val="00C7453B"/>
    <w:rsid w:val="00C74546"/>
    <w:rsid w:val="00C74639"/>
    <w:rsid w:val="00C7482A"/>
    <w:rsid w:val="00C748E2"/>
    <w:rsid w:val="00C7491B"/>
    <w:rsid w:val="00C75061"/>
    <w:rsid w:val="00C75BED"/>
    <w:rsid w:val="00C76333"/>
    <w:rsid w:val="00C768F7"/>
    <w:rsid w:val="00C77087"/>
    <w:rsid w:val="00C7776C"/>
    <w:rsid w:val="00C777BC"/>
    <w:rsid w:val="00C81586"/>
    <w:rsid w:val="00C81AB2"/>
    <w:rsid w:val="00C827E8"/>
    <w:rsid w:val="00C82EB1"/>
    <w:rsid w:val="00C830C2"/>
    <w:rsid w:val="00C837B8"/>
    <w:rsid w:val="00C8398D"/>
    <w:rsid w:val="00C83AF7"/>
    <w:rsid w:val="00C84BC2"/>
    <w:rsid w:val="00C84D13"/>
    <w:rsid w:val="00C84F50"/>
    <w:rsid w:val="00C85139"/>
    <w:rsid w:val="00C85657"/>
    <w:rsid w:val="00C8566D"/>
    <w:rsid w:val="00C860B8"/>
    <w:rsid w:val="00C870B9"/>
    <w:rsid w:val="00C873D8"/>
    <w:rsid w:val="00C87E6C"/>
    <w:rsid w:val="00C9046C"/>
    <w:rsid w:val="00C90475"/>
    <w:rsid w:val="00C90819"/>
    <w:rsid w:val="00C91618"/>
    <w:rsid w:val="00C91989"/>
    <w:rsid w:val="00C91C88"/>
    <w:rsid w:val="00C91DF2"/>
    <w:rsid w:val="00C929DA"/>
    <w:rsid w:val="00C92DBF"/>
    <w:rsid w:val="00C939C3"/>
    <w:rsid w:val="00C94228"/>
    <w:rsid w:val="00C94657"/>
    <w:rsid w:val="00C9527B"/>
    <w:rsid w:val="00C9543D"/>
    <w:rsid w:val="00C959F2"/>
    <w:rsid w:val="00C966E7"/>
    <w:rsid w:val="00C96C75"/>
    <w:rsid w:val="00C96D56"/>
    <w:rsid w:val="00C97509"/>
    <w:rsid w:val="00C977E6"/>
    <w:rsid w:val="00C97D3F"/>
    <w:rsid w:val="00CA0020"/>
    <w:rsid w:val="00CA0592"/>
    <w:rsid w:val="00CA0664"/>
    <w:rsid w:val="00CA0B2E"/>
    <w:rsid w:val="00CA1566"/>
    <w:rsid w:val="00CA18CA"/>
    <w:rsid w:val="00CA1EA8"/>
    <w:rsid w:val="00CA2557"/>
    <w:rsid w:val="00CA4F70"/>
    <w:rsid w:val="00CA5413"/>
    <w:rsid w:val="00CA54E3"/>
    <w:rsid w:val="00CA5674"/>
    <w:rsid w:val="00CA5A45"/>
    <w:rsid w:val="00CA5BDA"/>
    <w:rsid w:val="00CA5C1A"/>
    <w:rsid w:val="00CA5F2E"/>
    <w:rsid w:val="00CA6104"/>
    <w:rsid w:val="00CA62FD"/>
    <w:rsid w:val="00CA633F"/>
    <w:rsid w:val="00CA641E"/>
    <w:rsid w:val="00CA6DDC"/>
    <w:rsid w:val="00CA6FC0"/>
    <w:rsid w:val="00CA7006"/>
    <w:rsid w:val="00CA7558"/>
    <w:rsid w:val="00CA785F"/>
    <w:rsid w:val="00CA792A"/>
    <w:rsid w:val="00CA7949"/>
    <w:rsid w:val="00CA7C17"/>
    <w:rsid w:val="00CB0841"/>
    <w:rsid w:val="00CB08A8"/>
    <w:rsid w:val="00CB0C6E"/>
    <w:rsid w:val="00CB0C89"/>
    <w:rsid w:val="00CB1E97"/>
    <w:rsid w:val="00CB226B"/>
    <w:rsid w:val="00CB229B"/>
    <w:rsid w:val="00CB3185"/>
    <w:rsid w:val="00CB33B4"/>
    <w:rsid w:val="00CB3685"/>
    <w:rsid w:val="00CB3D93"/>
    <w:rsid w:val="00CB4441"/>
    <w:rsid w:val="00CB4769"/>
    <w:rsid w:val="00CB4B1A"/>
    <w:rsid w:val="00CB4B9F"/>
    <w:rsid w:val="00CB4E1F"/>
    <w:rsid w:val="00CB55AE"/>
    <w:rsid w:val="00CB5713"/>
    <w:rsid w:val="00CB5EC6"/>
    <w:rsid w:val="00CB65F2"/>
    <w:rsid w:val="00CB7872"/>
    <w:rsid w:val="00CB78C6"/>
    <w:rsid w:val="00CB7FF0"/>
    <w:rsid w:val="00CC00CF"/>
    <w:rsid w:val="00CC117C"/>
    <w:rsid w:val="00CC1209"/>
    <w:rsid w:val="00CC147E"/>
    <w:rsid w:val="00CC152E"/>
    <w:rsid w:val="00CC1EC9"/>
    <w:rsid w:val="00CC2044"/>
    <w:rsid w:val="00CC2493"/>
    <w:rsid w:val="00CC3222"/>
    <w:rsid w:val="00CC35F1"/>
    <w:rsid w:val="00CC35FF"/>
    <w:rsid w:val="00CC3A62"/>
    <w:rsid w:val="00CC415D"/>
    <w:rsid w:val="00CC4333"/>
    <w:rsid w:val="00CC4E62"/>
    <w:rsid w:val="00CC4E79"/>
    <w:rsid w:val="00CC5300"/>
    <w:rsid w:val="00CC5D2F"/>
    <w:rsid w:val="00CC60CB"/>
    <w:rsid w:val="00CC610F"/>
    <w:rsid w:val="00CC6738"/>
    <w:rsid w:val="00CC67E3"/>
    <w:rsid w:val="00CC791B"/>
    <w:rsid w:val="00CC7B9D"/>
    <w:rsid w:val="00CC7DA8"/>
    <w:rsid w:val="00CD099B"/>
    <w:rsid w:val="00CD0E6E"/>
    <w:rsid w:val="00CD10C6"/>
    <w:rsid w:val="00CD1CF5"/>
    <w:rsid w:val="00CD1FDC"/>
    <w:rsid w:val="00CD23AE"/>
    <w:rsid w:val="00CD263D"/>
    <w:rsid w:val="00CD275D"/>
    <w:rsid w:val="00CD27DF"/>
    <w:rsid w:val="00CD2D8A"/>
    <w:rsid w:val="00CD2D8C"/>
    <w:rsid w:val="00CD3AFC"/>
    <w:rsid w:val="00CD3BAC"/>
    <w:rsid w:val="00CD3FF2"/>
    <w:rsid w:val="00CD472D"/>
    <w:rsid w:val="00CD4A65"/>
    <w:rsid w:val="00CD4BF4"/>
    <w:rsid w:val="00CD4F83"/>
    <w:rsid w:val="00CD531F"/>
    <w:rsid w:val="00CD6210"/>
    <w:rsid w:val="00CD624A"/>
    <w:rsid w:val="00CD6702"/>
    <w:rsid w:val="00CD6FA3"/>
    <w:rsid w:val="00CD717C"/>
    <w:rsid w:val="00CD75B9"/>
    <w:rsid w:val="00CD7D61"/>
    <w:rsid w:val="00CE0D13"/>
    <w:rsid w:val="00CE1AE5"/>
    <w:rsid w:val="00CE2184"/>
    <w:rsid w:val="00CE28FA"/>
    <w:rsid w:val="00CE2C1F"/>
    <w:rsid w:val="00CE3A8C"/>
    <w:rsid w:val="00CE3B7F"/>
    <w:rsid w:val="00CE3E55"/>
    <w:rsid w:val="00CE3FA2"/>
    <w:rsid w:val="00CE41A0"/>
    <w:rsid w:val="00CE4243"/>
    <w:rsid w:val="00CE4958"/>
    <w:rsid w:val="00CE4AC6"/>
    <w:rsid w:val="00CE63C1"/>
    <w:rsid w:val="00CE652B"/>
    <w:rsid w:val="00CE663A"/>
    <w:rsid w:val="00CE68E2"/>
    <w:rsid w:val="00CE69AC"/>
    <w:rsid w:val="00CE6BA3"/>
    <w:rsid w:val="00CE706E"/>
    <w:rsid w:val="00CE70B1"/>
    <w:rsid w:val="00CE7117"/>
    <w:rsid w:val="00CE7AE4"/>
    <w:rsid w:val="00CE7D47"/>
    <w:rsid w:val="00CF059C"/>
    <w:rsid w:val="00CF08E4"/>
    <w:rsid w:val="00CF0A4C"/>
    <w:rsid w:val="00CF0EA8"/>
    <w:rsid w:val="00CF150A"/>
    <w:rsid w:val="00CF15F4"/>
    <w:rsid w:val="00CF1E4E"/>
    <w:rsid w:val="00CF1E5A"/>
    <w:rsid w:val="00CF2225"/>
    <w:rsid w:val="00CF25E7"/>
    <w:rsid w:val="00CF2B35"/>
    <w:rsid w:val="00CF2C29"/>
    <w:rsid w:val="00CF30BC"/>
    <w:rsid w:val="00CF377B"/>
    <w:rsid w:val="00CF39B5"/>
    <w:rsid w:val="00CF3A45"/>
    <w:rsid w:val="00CF3C77"/>
    <w:rsid w:val="00CF3D22"/>
    <w:rsid w:val="00CF3F5B"/>
    <w:rsid w:val="00CF40F0"/>
    <w:rsid w:val="00CF45A2"/>
    <w:rsid w:val="00CF474F"/>
    <w:rsid w:val="00CF4D76"/>
    <w:rsid w:val="00CF4E2A"/>
    <w:rsid w:val="00CF52E7"/>
    <w:rsid w:val="00CF5C06"/>
    <w:rsid w:val="00CF642D"/>
    <w:rsid w:val="00CF6494"/>
    <w:rsid w:val="00CF649C"/>
    <w:rsid w:val="00CF64A9"/>
    <w:rsid w:val="00CF64B5"/>
    <w:rsid w:val="00CF6CFC"/>
    <w:rsid w:val="00CF6FB3"/>
    <w:rsid w:val="00CF702C"/>
    <w:rsid w:val="00CF7853"/>
    <w:rsid w:val="00CF7902"/>
    <w:rsid w:val="00D004ED"/>
    <w:rsid w:val="00D00536"/>
    <w:rsid w:val="00D01395"/>
    <w:rsid w:val="00D01A6A"/>
    <w:rsid w:val="00D01ACB"/>
    <w:rsid w:val="00D0260F"/>
    <w:rsid w:val="00D02696"/>
    <w:rsid w:val="00D03257"/>
    <w:rsid w:val="00D033EE"/>
    <w:rsid w:val="00D035C7"/>
    <w:rsid w:val="00D03603"/>
    <w:rsid w:val="00D03708"/>
    <w:rsid w:val="00D0391A"/>
    <w:rsid w:val="00D03B14"/>
    <w:rsid w:val="00D04A20"/>
    <w:rsid w:val="00D04DA4"/>
    <w:rsid w:val="00D051D3"/>
    <w:rsid w:val="00D06776"/>
    <w:rsid w:val="00D06E46"/>
    <w:rsid w:val="00D06F95"/>
    <w:rsid w:val="00D07012"/>
    <w:rsid w:val="00D07357"/>
    <w:rsid w:val="00D07FC6"/>
    <w:rsid w:val="00D104C7"/>
    <w:rsid w:val="00D10DF3"/>
    <w:rsid w:val="00D1158C"/>
    <w:rsid w:val="00D11600"/>
    <w:rsid w:val="00D118C1"/>
    <w:rsid w:val="00D118E6"/>
    <w:rsid w:val="00D119A2"/>
    <w:rsid w:val="00D1248A"/>
    <w:rsid w:val="00D12657"/>
    <w:rsid w:val="00D12E31"/>
    <w:rsid w:val="00D13069"/>
    <w:rsid w:val="00D137F9"/>
    <w:rsid w:val="00D1458C"/>
    <w:rsid w:val="00D150FB"/>
    <w:rsid w:val="00D15494"/>
    <w:rsid w:val="00D15AD5"/>
    <w:rsid w:val="00D15E61"/>
    <w:rsid w:val="00D1620E"/>
    <w:rsid w:val="00D16867"/>
    <w:rsid w:val="00D16B91"/>
    <w:rsid w:val="00D16C21"/>
    <w:rsid w:val="00D16EEC"/>
    <w:rsid w:val="00D171E3"/>
    <w:rsid w:val="00D1792B"/>
    <w:rsid w:val="00D20216"/>
    <w:rsid w:val="00D2047A"/>
    <w:rsid w:val="00D20631"/>
    <w:rsid w:val="00D207FC"/>
    <w:rsid w:val="00D20AF0"/>
    <w:rsid w:val="00D20D68"/>
    <w:rsid w:val="00D21312"/>
    <w:rsid w:val="00D2183C"/>
    <w:rsid w:val="00D2258A"/>
    <w:rsid w:val="00D2260B"/>
    <w:rsid w:val="00D22CF0"/>
    <w:rsid w:val="00D22D49"/>
    <w:rsid w:val="00D23264"/>
    <w:rsid w:val="00D23930"/>
    <w:rsid w:val="00D23A23"/>
    <w:rsid w:val="00D24056"/>
    <w:rsid w:val="00D24D8A"/>
    <w:rsid w:val="00D24DA4"/>
    <w:rsid w:val="00D25235"/>
    <w:rsid w:val="00D252EF"/>
    <w:rsid w:val="00D25383"/>
    <w:rsid w:val="00D25670"/>
    <w:rsid w:val="00D258E0"/>
    <w:rsid w:val="00D2591D"/>
    <w:rsid w:val="00D26DED"/>
    <w:rsid w:val="00D301AF"/>
    <w:rsid w:val="00D301FF"/>
    <w:rsid w:val="00D30557"/>
    <w:rsid w:val="00D30690"/>
    <w:rsid w:val="00D31DC4"/>
    <w:rsid w:val="00D3257F"/>
    <w:rsid w:val="00D32733"/>
    <w:rsid w:val="00D33851"/>
    <w:rsid w:val="00D3385C"/>
    <w:rsid w:val="00D33DDF"/>
    <w:rsid w:val="00D340E2"/>
    <w:rsid w:val="00D347AD"/>
    <w:rsid w:val="00D34DF6"/>
    <w:rsid w:val="00D35277"/>
    <w:rsid w:val="00D35C6B"/>
    <w:rsid w:val="00D35DC1"/>
    <w:rsid w:val="00D35E80"/>
    <w:rsid w:val="00D36018"/>
    <w:rsid w:val="00D36242"/>
    <w:rsid w:val="00D36251"/>
    <w:rsid w:val="00D36887"/>
    <w:rsid w:val="00D369BC"/>
    <w:rsid w:val="00D37105"/>
    <w:rsid w:val="00D37563"/>
    <w:rsid w:val="00D379EB"/>
    <w:rsid w:val="00D400B8"/>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E5B"/>
    <w:rsid w:val="00D43648"/>
    <w:rsid w:val="00D43984"/>
    <w:rsid w:val="00D439D1"/>
    <w:rsid w:val="00D43C68"/>
    <w:rsid w:val="00D444B2"/>
    <w:rsid w:val="00D45038"/>
    <w:rsid w:val="00D45101"/>
    <w:rsid w:val="00D453E4"/>
    <w:rsid w:val="00D46678"/>
    <w:rsid w:val="00D46A17"/>
    <w:rsid w:val="00D46B81"/>
    <w:rsid w:val="00D47226"/>
    <w:rsid w:val="00D4742E"/>
    <w:rsid w:val="00D502F8"/>
    <w:rsid w:val="00D503E5"/>
    <w:rsid w:val="00D508BE"/>
    <w:rsid w:val="00D50B21"/>
    <w:rsid w:val="00D50CE9"/>
    <w:rsid w:val="00D51349"/>
    <w:rsid w:val="00D516F8"/>
    <w:rsid w:val="00D51D06"/>
    <w:rsid w:val="00D521DE"/>
    <w:rsid w:val="00D524CA"/>
    <w:rsid w:val="00D526C8"/>
    <w:rsid w:val="00D527AF"/>
    <w:rsid w:val="00D52853"/>
    <w:rsid w:val="00D529E1"/>
    <w:rsid w:val="00D52B68"/>
    <w:rsid w:val="00D52D09"/>
    <w:rsid w:val="00D534C2"/>
    <w:rsid w:val="00D5410F"/>
    <w:rsid w:val="00D54461"/>
    <w:rsid w:val="00D54AFD"/>
    <w:rsid w:val="00D54EA3"/>
    <w:rsid w:val="00D54F60"/>
    <w:rsid w:val="00D5514A"/>
    <w:rsid w:val="00D5574D"/>
    <w:rsid w:val="00D564AE"/>
    <w:rsid w:val="00D564DF"/>
    <w:rsid w:val="00D56BDA"/>
    <w:rsid w:val="00D56CF0"/>
    <w:rsid w:val="00D56FAA"/>
    <w:rsid w:val="00D5757C"/>
    <w:rsid w:val="00D576DD"/>
    <w:rsid w:val="00D57CB4"/>
    <w:rsid w:val="00D6118E"/>
    <w:rsid w:val="00D61477"/>
    <w:rsid w:val="00D61764"/>
    <w:rsid w:val="00D619E2"/>
    <w:rsid w:val="00D61E89"/>
    <w:rsid w:val="00D62036"/>
    <w:rsid w:val="00D620CC"/>
    <w:rsid w:val="00D6223F"/>
    <w:rsid w:val="00D6253E"/>
    <w:rsid w:val="00D62F1C"/>
    <w:rsid w:val="00D63305"/>
    <w:rsid w:val="00D634B8"/>
    <w:rsid w:val="00D63EF3"/>
    <w:rsid w:val="00D63F6C"/>
    <w:rsid w:val="00D6407C"/>
    <w:rsid w:val="00D642F4"/>
    <w:rsid w:val="00D64441"/>
    <w:rsid w:val="00D6449E"/>
    <w:rsid w:val="00D645D9"/>
    <w:rsid w:val="00D64DF1"/>
    <w:rsid w:val="00D64FA4"/>
    <w:rsid w:val="00D6511E"/>
    <w:rsid w:val="00D65497"/>
    <w:rsid w:val="00D654DA"/>
    <w:rsid w:val="00D6609E"/>
    <w:rsid w:val="00D661DD"/>
    <w:rsid w:val="00D66562"/>
    <w:rsid w:val="00D66AC3"/>
    <w:rsid w:val="00D678E2"/>
    <w:rsid w:val="00D67A9F"/>
    <w:rsid w:val="00D67C20"/>
    <w:rsid w:val="00D70034"/>
    <w:rsid w:val="00D7033F"/>
    <w:rsid w:val="00D70C1B"/>
    <w:rsid w:val="00D70CCA"/>
    <w:rsid w:val="00D70E5C"/>
    <w:rsid w:val="00D71014"/>
    <w:rsid w:val="00D71045"/>
    <w:rsid w:val="00D713F5"/>
    <w:rsid w:val="00D7146C"/>
    <w:rsid w:val="00D718CD"/>
    <w:rsid w:val="00D7364A"/>
    <w:rsid w:val="00D7365C"/>
    <w:rsid w:val="00D7416F"/>
    <w:rsid w:val="00D7453E"/>
    <w:rsid w:val="00D74592"/>
    <w:rsid w:val="00D755F2"/>
    <w:rsid w:val="00D76197"/>
    <w:rsid w:val="00D762AC"/>
    <w:rsid w:val="00D7712C"/>
    <w:rsid w:val="00D77222"/>
    <w:rsid w:val="00D775E7"/>
    <w:rsid w:val="00D777D5"/>
    <w:rsid w:val="00D777E7"/>
    <w:rsid w:val="00D77813"/>
    <w:rsid w:val="00D77B9E"/>
    <w:rsid w:val="00D77CD6"/>
    <w:rsid w:val="00D80534"/>
    <w:rsid w:val="00D818AB"/>
    <w:rsid w:val="00D81A7C"/>
    <w:rsid w:val="00D81CA9"/>
    <w:rsid w:val="00D81E4E"/>
    <w:rsid w:val="00D82203"/>
    <w:rsid w:val="00D822C4"/>
    <w:rsid w:val="00D832ED"/>
    <w:rsid w:val="00D83707"/>
    <w:rsid w:val="00D837A6"/>
    <w:rsid w:val="00D839D8"/>
    <w:rsid w:val="00D83F9E"/>
    <w:rsid w:val="00D840C2"/>
    <w:rsid w:val="00D84207"/>
    <w:rsid w:val="00D84562"/>
    <w:rsid w:val="00D84D2E"/>
    <w:rsid w:val="00D85000"/>
    <w:rsid w:val="00D85685"/>
    <w:rsid w:val="00D85882"/>
    <w:rsid w:val="00D85C16"/>
    <w:rsid w:val="00D86169"/>
    <w:rsid w:val="00D862E7"/>
    <w:rsid w:val="00D8669F"/>
    <w:rsid w:val="00D86990"/>
    <w:rsid w:val="00D8717B"/>
    <w:rsid w:val="00D8732E"/>
    <w:rsid w:val="00D8765A"/>
    <w:rsid w:val="00D87BFD"/>
    <w:rsid w:val="00D90BA5"/>
    <w:rsid w:val="00D90CEF"/>
    <w:rsid w:val="00D91294"/>
    <w:rsid w:val="00D913EB"/>
    <w:rsid w:val="00D9152D"/>
    <w:rsid w:val="00D9186A"/>
    <w:rsid w:val="00D92432"/>
    <w:rsid w:val="00D92773"/>
    <w:rsid w:val="00D92D3F"/>
    <w:rsid w:val="00D92D47"/>
    <w:rsid w:val="00D93BE7"/>
    <w:rsid w:val="00D94213"/>
    <w:rsid w:val="00D9427A"/>
    <w:rsid w:val="00D94453"/>
    <w:rsid w:val="00D94976"/>
    <w:rsid w:val="00D94BEB"/>
    <w:rsid w:val="00D94E48"/>
    <w:rsid w:val="00D94EA5"/>
    <w:rsid w:val="00D94F69"/>
    <w:rsid w:val="00D95F32"/>
    <w:rsid w:val="00D973A2"/>
    <w:rsid w:val="00D975F4"/>
    <w:rsid w:val="00DA0214"/>
    <w:rsid w:val="00DA024A"/>
    <w:rsid w:val="00DA07EE"/>
    <w:rsid w:val="00DA0A58"/>
    <w:rsid w:val="00DA0A59"/>
    <w:rsid w:val="00DA0F87"/>
    <w:rsid w:val="00DA1C85"/>
    <w:rsid w:val="00DA1CC9"/>
    <w:rsid w:val="00DA2A67"/>
    <w:rsid w:val="00DA2C81"/>
    <w:rsid w:val="00DA2E58"/>
    <w:rsid w:val="00DA3050"/>
    <w:rsid w:val="00DA328E"/>
    <w:rsid w:val="00DA3AA6"/>
    <w:rsid w:val="00DA3E54"/>
    <w:rsid w:val="00DA408C"/>
    <w:rsid w:val="00DA42C0"/>
    <w:rsid w:val="00DA46C1"/>
    <w:rsid w:val="00DA5BD2"/>
    <w:rsid w:val="00DA5C96"/>
    <w:rsid w:val="00DA5FAD"/>
    <w:rsid w:val="00DA6463"/>
    <w:rsid w:val="00DA6877"/>
    <w:rsid w:val="00DA6913"/>
    <w:rsid w:val="00DA70DD"/>
    <w:rsid w:val="00DA7C13"/>
    <w:rsid w:val="00DB06E1"/>
    <w:rsid w:val="00DB088F"/>
    <w:rsid w:val="00DB0B4A"/>
    <w:rsid w:val="00DB1487"/>
    <w:rsid w:val="00DB168E"/>
    <w:rsid w:val="00DB19B4"/>
    <w:rsid w:val="00DB19F1"/>
    <w:rsid w:val="00DB1F04"/>
    <w:rsid w:val="00DB23B7"/>
    <w:rsid w:val="00DB26AE"/>
    <w:rsid w:val="00DB291E"/>
    <w:rsid w:val="00DB2DFC"/>
    <w:rsid w:val="00DB3884"/>
    <w:rsid w:val="00DB40C3"/>
    <w:rsid w:val="00DB41EA"/>
    <w:rsid w:val="00DB4258"/>
    <w:rsid w:val="00DB4411"/>
    <w:rsid w:val="00DB466D"/>
    <w:rsid w:val="00DB4C3D"/>
    <w:rsid w:val="00DB50EA"/>
    <w:rsid w:val="00DB5471"/>
    <w:rsid w:val="00DB5FD0"/>
    <w:rsid w:val="00DB6051"/>
    <w:rsid w:val="00DB6851"/>
    <w:rsid w:val="00DB7054"/>
    <w:rsid w:val="00DB709F"/>
    <w:rsid w:val="00DB7352"/>
    <w:rsid w:val="00DB7395"/>
    <w:rsid w:val="00DB75C2"/>
    <w:rsid w:val="00DB776B"/>
    <w:rsid w:val="00DB7B24"/>
    <w:rsid w:val="00DB7E2C"/>
    <w:rsid w:val="00DC027B"/>
    <w:rsid w:val="00DC05A6"/>
    <w:rsid w:val="00DC0A64"/>
    <w:rsid w:val="00DC0C1E"/>
    <w:rsid w:val="00DC0FC4"/>
    <w:rsid w:val="00DC1612"/>
    <w:rsid w:val="00DC198F"/>
    <w:rsid w:val="00DC1B9A"/>
    <w:rsid w:val="00DC2344"/>
    <w:rsid w:val="00DC2E4F"/>
    <w:rsid w:val="00DC32E9"/>
    <w:rsid w:val="00DC35F7"/>
    <w:rsid w:val="00DC384C"/>
    <w:rsid w:val="00DC3C7E"/>
    <w:rsid w:val="00DC40C4"/>
    <w:rsid w:val="00DC4AFD"/>
    <w:rsid w:val="00DC4D87"/>
    <w:rsid w:val="00DC4D8A"/>
    <w:rsid w:val="00DC4FD7"/>
    <w:rsid w:val="00DC5BE1"/>
    <w:rsid w:val="00DC65A1"/>
    <w:rsid w:val="00DC6DF6"/>
    <w:rsid w:val="00DC72E3"/>
    <w:rsid w:val="00DC7BF0"/>
    <w:rsid w:val="00DC7BFE"/>
    <w:rsid w:val="00DD08C7"/>
    <w:rsid w:val="00DD1386"/>
    <w:rsid w:val="00DD1523"/>
    <w:rsid w:val="00DD1A10"/>
    <w:rsid w:val="00DD1A62"/>
    <w:rsid w:val="00DD1DBB"/>
    <w:rsid w:val="00DD200D"/>
    <w:rsid w:val="00DD2446"/>
    <w:rsid w:val="00DD25FF"/>
    <w:rsid w:val="00DD2990"/>
    <w:rsid w:val="00DD2FE9"/>
    <w:rsid w:val="00DD3541"/>
    <w:rsid w:val="00DD3A7E"/>
    <w:rsid w:val="00DD3BF9"/>
    <w:rsid w:val="00DD4255"/>
    <w:rsid w:val="00DD434E"/>
    <w:rsid w:val="00DD4402"/>
    <w:rsid w:val="00DD45C6"/>
    <w:rsid w:val="00DD465E"/>
    <w:rsid w:val="00DD4C01"/>
    <w:rsid w:val="00DD4F27"/>
    <w:rsid w:val="00DD53ED"/>
    <w:rsid w:val="00DD55DE"/>
    <w:rsid w:val="00DD56F3"/>
    <w:rsid w:val="00DD5700"/>
    <w:rsid w:val="00DD5824"/>
    <w:rsid w:val="00DD60CE"/>
    <w:rsid w:val="00DD60D0"/>
    <w:rsid w:val="00DD6200"/>
    <w:rsid w:val="00DD686C"/>
    <w:rsid w:val="00DD6E86"/>
    <w:rsid w:val="00DE0E5D"/>
    <w:rsid w:val="00DE0F26"/>
    <w:rsid w:val="00DE1288"/>
    <w:rsid w:val="00DE1994"/>
    <w:rsid w:val="00DE1F74"/>
    <w:rsid w:val="00DE2414"/>
    <w:rsid w:val="00DE2DE1"/>
    <w:rsid w:val="00DE359B"/>
    <w:rsid w:val="00DE35D5"/>
    <w:rsid w:val="00DE373A"/>
    <w:rsid w:val="00DE3BDD"/>
    <w:rsid w:val="00DE3C47"/>
    <w:rsid w:val="00DE447F"/>
    <w:rsid w:val="00DE48F0"/>
    <w:rsid w:val="00DE490D"/>
    <w:rsid w:val="00DE4A77"/>
    <w:rsid w:val="00DE4D8A"/>
    <w:rsid w:val="00DE5369"/>
    <w:rsid w:val="00DE58B3"/>
    <w:rsid w:val="00DE68EE"/>
    <w:rsid w:val="00DE6D24"/>
    <w:rsid w:val="00DE6E33"/>
    <w:rsid w:val="00DE6E84"/>
    <w:rsid w:val="00DE7285"/>
    <w:rsid w:val="00DE7A60"/>
    <w:rsid w:val="00DE7C40"/>
    <w:rsid w:val="00DE7CF5"/>
    <w:rsid w:val="00DF0031"/>
    <w:rsid w:val="00DF039A"/>
    <w:rsid w:val="00DF0ABC"/>
    <w:rsid w:val="00DF0EA5"/>
    <w:rsid w:val="00DF133D"/>
    <w:rsid w:val="00DF187A"/>
    <w:rsid w:val="00DF1F1D"/>
    <w:rsid w:val="00DF23A5"/>
    <w:rsid w:val="00DF23BA"/>
    <w:rsid w:val="00DF26D2"/>
    <w:rsid w:val="00DF2F90"/>
    <w:rsid w:val="00DF321F"/>
    <w:rsid w:val="00DF3AAE"/>
    <w:rsid w:val="00DF4586"/>
    <w:rsid w:val="00DF4905"/>
    <w:rsid w:val="00DF4C6E"/>
    <w:rsid w:val="00DF50B2"/>
    <w:rsid w:val="00DF5560"/>
    <w:rsid w:val="00DF5744"/>
    <w:rsid w:val="00DF59BB"/>
    <w:rsid w:val="00DF5A29"/>
    <w:rsid w:val="00DF5CA4"/>
    <w:rsid w:val="00DF6666"/>
    <w:rsid w:val="00DF745E"/>
    <w:rsid w:val="00DF762E"/>
    <w:rsid w:val="00E00019"/>
    <w:rsid w:val="00E0044E"/>
    <w:rsid w:val="00E00816"/>
    <w:rsid w:val="00E0224C"/>
    <w:rsid w:val="00E0239F"/>
    <w:rsid w:val="00E0267B"/>
    <w:rsid w:val="00E02E70"/>
    <w:rsid w:val="00E03A6C"/>
    <w:rsid w:val="00E04041"/>
    <w:rsid w:val="00E04441"/>
    <w:rsid w:val="00E04846"/>
    <w:rsid w:val="00E04B19"/>
    <w:rsid w:val="00E05805"/>
    <w:rsid w:val="00E05ADD"/>
    <w:rsid w:val="00E05F03"/>
    <w:rsid w:val="00E05F74"/>
    <w:rsid w:val="00E060A5"/>
    <w:rsid w:val="00E06297"/>
    <w:rsid w:val="00E06370"/>
    <w:rsid w:val="00E06B7B"/>
    <w:rsid w:val="00E06E20"/>
    <w:rsid w:val="00E07D1E"/>
    <w:rsid w:val="00E07DD9"/>
    <w:rsid w:val="00E07E0D"/>
    <w:rsid w:val="00E102F8"/>
    <w:rsid w:val="00E10494"/>
    <w:rsid w:val="00E105BB"/>
    <w:rsid w:val="00E1073E"/>
    <w:rsid w:val="00E108EA"/>
    <w:rsid w:val="00E10E08"/>
    <w:rsid w:val="00E11D8F"/>
    <w:rsid w:val="00E11EA3"/>
    <w:rsid w:val="00E129AC"/>
    <w:rsid w:val="00E12FCF"/>
    <w:rsid w:val="00E13273"/>
    <w:rsid w:val="00E13379"/>
    <w:rsid w:val="00E138A7"/>
    <w:rsid w:val="00E139EE"/>
    <w:rsid w:val="00E14525"/>
    <w:rsid w:val="00E14D83"/>
    <w:rsid w:val="00E14FA6"/>
    <w:rsid w:val="00E1590E"/>
    <w:rsid w:val="00E1592A"/>
    <w:rsid w:val="00E15A0D"/>
    <w:rsid w:val="00E15B8D"/>
    <w:rsid w:val="00E15FC6"/>
    <w:rsid w:val="00E165DF"/>
    <w:rsid w:val="00E16640"/>
    <w:rsid w:val="00E16B19"/>
    <w:rsid w:val="00E16CE8"/>
    <w:rsid w:val="00E1740F"/>
    <w:rsid w:val="00E200CF"/>
    <w:rsid w:val="00E20954"/>
    <w:rsid w:val="00E21398"/>
    <w:rsid w:val="00E22E89"/>
    <w:rsid w:val="00E23535"/>
    <w:rsid w:val="00E237C7"/>
    <w:rsid w:val="00E237EF"/>
    <w:rsid w:val="00E24287"/>
    <w:rsid w:val="00E25573"/>
    <w:rsid w:val="00E258B8"/>
    <w:rsid w:val="00E25FE3"/>
    <w:rsid w:val="00E261F0"/>
    <w:rsid w:val="00E2675D"/>
    <w:rsid w:val="00E27C34"/>
    <w:rsid w:val="00E30193"/>
    <w:rsid w:val="00E303FB"/>
    <w:rsid w:val="00E310F8"/>
    <w:rsid w:val="00E31367"/>
    <w:rsid w:val="00E31471"/>
    <w:rsid w:val="00E3181C"/>
    <w:rsid w:val="00E31BB2"/>
    <w:rsid w:val="00E328E1"/>
    <w:rsid w:val="00E32EF3"/>
    <w:rsid w:val="00E3320C"/>
    <w:rsid w:val="00E33629"/>
    <w:rsid w:val="00E336E3"/>
    <w:rsid w:val="00E33BD1"/>
    <w:rsid w:val="00E33E21"/>
    <w:rsid w:val="00E34BC4"/>
    <w:rsid w:val="00E34EF6"/>
    <w:rsid w:val="00E34F89"/>
    <w:rsid w:val="00E3540C"/>
    <w:rsid w:val="00E3582D"/>
    <w:rsid w:val="00E35CDB"/>
    <w:rsid w:val="00E35FF5"/>
    <w:rsid w:val="00E36187"/>
    <w:rsid w:val="00E36332"/>
    <w:rsid w:val="00E36C9B"/>
    <w:rsid w:val="00E370E4"/>
    <w:rsid w:val="00E372F7"/>
    <w:rsid w:val="00E37533"/>
    <w:rsid w:val="00E37638"/>
    <w:rsid w:val="00E37B8D"/>
    <w:rsid w:val="00E37E9D"/>
    <w:rsid w:val="00E37EE3"/>
    <w:rsid w:val="00E4032F"/>
    <w:rsid w:val="00E40361"/>
    <w:rsid w:val="00E40442"/>
    <w:rsid w:val="00E40918"/>
    <w:rsid w:val="00E40C99"/>
    <w:rsid w:val="00E41039"/>
    <w:rsid w:val="00E415A1"/>
    <w:rsid w:val="00E41852"/>
    <w:rsid w:val="00E41934"/>
    <w:rsid w:val="00E41B71"/>
    <w:rsid w:val="00E41C49"/>
    <w:rsid w:val="00E42569"/>
    <w:rsid w:val="00E428DF"/>
    <w:rsid w:val="00E434A0"/>
    <w:rsid w:val="00E43847"/>
    <w:rsid w:val="00E440D3"/>
    <w:rsid w:val="00E4441D"/>
    <w:rsid w:val="00E44D30"/>
    <w:rsid w:val="00E454A9"/>
    <w:rsid w:val="00E4597F"/>
    <w:rsid w:val="00E4698A"/>
    <w:rsid w:val="00E46CB7"/>
    <w:rsid w:val="00E46CD7"/>
    <w:rsid w:val="00E471A3"/>
    <w:rsid w:val="00E4723D"/>
    <w:rsid w:val="00E47469"/>
    <w:rsid w:val="00E47C7E"/>
    <w:rsid w:val="00E50514"/>
    <w:rsid w:val="00E5077C"/>
    <w:rsid w:val="00E509F7"/>
    <w:rsid w:val="00E50EC8"/>
    <w:rsid w:val="00E510C3"/>
    <w:rsid w:val="00E514D9"/>
    <w:rsid w:val="00E5159B"/>
    <w:rsid w:val="00E515AD"/>
    <w:rsid w:val="00E515C6"/>
    <w:rsid w:val="00E5166F"/>
    <w:rsid w:val="00E51BDA"/>
    <w:rsid w:val="00E52E0D"/>
    <w:rsid w:val="00E52FE2"/>
    <w:rsid w:val="00E537C5"/>
    <w:rsid w:val="00E53A24"/>
    <w:rsid w:val="00E54027"/>
    <w:rsid w:val="00E54629"/>
    <w:rsid w:val="00E54715"/>
    <w:rsid w:val="00E549FE"/>
    <w:rsid w:val="00E54D6B"/>
    <w:rsid w:val="00E54E6F"/>
    <w:rsid w:val="00E55161"/>
    <w:rsid w:val="00E55338"/>
    <w:rsid w:val="00E566EB"/>
    <w:rsid w:val="00E569AF"/>
    <w:rsid w:val="00E56E79"/>
    <w:rsid w:val="00E57349"/>
    <w:rsid w:val="00E5774E"/>
    <w:rsid w:val="00E577B0"/>
    <w:rsid w:val="00E57CBB"/>
    <w:rsid w:val="00E57EAE"/>
    <w:rsid w:val="00E57EEB"/>
    <w:rsid w:val="00E60318"/>
    <w:rsid w:val="00E60BA8"/>
    <w:rsid w:val="00E60D3A"/>
    <w:rsid w:val="00E60E6A"/>
    <w:rsid w:val="00E6116D"/>
    <w:rsid w:val="00E6127D"/>
    <w:rsid w:val="00E61E25"/>
    <w:rsid w:val="00E61E28"/>
    <w:rsid w:val="00E62426"/>
    <w:rsid w:val="00E62695"/>
    <w:rsid w:val="00E6275F"/>
    <w:rsid w:val="00E628E4"/>
    <w:rsid w:val="00E62FA5"/>
    <w:rsid w:val="00E64453"/>
    <w:rsid w:val="00E647F7"/>
    <w:rsid w:val="00E64CFA"/>
    <w:rsid w:val="00E64EAB"/>
    <w:rsid w:val="00E65588"/>
    <w:rsid w:val="00E65FF5"/>
    <w:rsid w:val="00E66857"/>
    <w:rsid w:val="00E668D4"/>
    <w:rsid w:val="00E66DC2"/>
    <w:rsid w:val="00E673EA"/>
    <w:rsid w:val="00E67556"/>
    <w:rsid w:val="00E679C5"/>
    <w:rsid w:val="00E70257"/>
    <w:rsid w:val="00E70E8A"/>
    <w:rsid w:val="00E71225"/>
    <w:rsid w:val="00E71A18"/>
    <w:rsid w:val="00E7252F"/>
    <w:rsid w:val="00E7255C"/>
    <w:rsid w:val="00E72B32"/>
    <w:rsid w:val="00E72F4A"/>
    <w:rsid w:val="00E737C1"/>
    <w:rsid w:val="00E73FC2"/>
    <w:rsid w:val="00E740FC"/>
    <w:rsid w:val="00E74481"/>
    <w:rsid w:val="00E74517"/>
    <w:rsid w:val="00E74707"/>
    <w:rsid w:val="00E74F13"/>
    <w:rsid w:val="00E750D8"/>
    <w:rsid w:val="00E755D7"/>
    <w:rsid w:val="00E7566D"/>
    <w:rsid w:val="00E766A6"/>
    <w:rsid w:val="00E76E91"/>
    <w:rsid w:val="00E774B4"/>
    <w:rsid w:val="00E778F5"/>
    <w:rsid w:val="00E802B1"/>
    <w:rsid w:val="00E80E7C"/>
    <w:rsid w:val="00E8119B"/>
    <w:rsid w:val="00E8166D"/>
    <w:rsid w:val="00E81779"/>
    <w:rsid w:val="00E81E76"/>
    <w:rsid w:val="00E81ED0"/>
    <w:rsid w:val="00E8205B"/>
    <w:rsid w:val="00E82444"/>
    <w:rsid w:val="00E82B1C"/>
    <w:rsid w:val="00E82F52"/>
    <w:rsid w:val="00E83014"/>
    <w:rsid w:val="00E8341C"/>
    <w:rsid w:val="00E837CA"/>
    <w:rsid w:val="00E83ACD"/>
    <w:rsid w:val="00E840B8"/>
    <w:rsid w:val="00E84885"/>
    <w:rsid w:val="00E8559A"/>
    <w:rsid w:val="00E8602B"/>
    <w:rsid w:val="00E86B5F"/>
    <w:rsid w:val="00E87647"/>
    <w:rsid w:val="00E87D05"/>
    <w:rsid w:val="00E90A6A"/>
    <w:rsid w:val="00E9109C"/>
    <w:rsid w:val="00E914F3"/>
    <w:rsid w:val="00E91614"/>
    <w:rsid w:val="00E91F96"/>
    <w:rsid w:val="00E925E0"/>
    <w:rsid w:val="00E92E99"/>
    <w:rsid w:val="00E932FF"/>
    <w:rsid w:val="00E94E00"/>
    <w:rsid w:val="00E9503E"/>
    <w:rsid w:val="00E95B5D"/>
    <w:rsid w:val="00E95BED"/>
    <w:rsid w:val="00E96305"/>
    <w:rsid w:val="00E968FD"/>
    <w:rsid w:val="00E96D55"/>
    <w:rsid w:val="00E97993"/>
    <w:rsid w:val="00EA04B5"/>
    <w:rsid w:val="00EA09D9"/>
    <w:rsid w:val="00EA0AD8"/>
    <w:rsid w:val="00EA0D5D"/>
    <w:rsid w:val="00EA1192"/>
    <w:rsid w:val="00EA153F"/>
    <w:rsid w:val="00EA1847"/>
    <w:rsid w:val="00EA1B57"/>
    <w:rsid w:val="00EA2332"/>
    <w:rsid w:val="00EA268A"/>
    <w:rsid w:val="00EA2788"/>
    <w:rsid w:val="00EA2A9F"/>
    <w:rsid w:val="00EA2C6E"/>
    <w:rsid w:val="00EA38EB"/>
    <w:rsid w:val="00EA4155"/>
    <w:rsid w:val="00EA4192"/>
    <w:rsid w:val="00EA46DB"/>
    <w:rsid w:val="00EA4964"/>
    <w:rsid w:val="00EA4C95"/>
    <w:rsid w:val="00EA4F1A"/>
    <w:rsid w:val="00EA5F1E"/>
    <w:rsid w:val="00EA6F03"/>
    <w:rsid w:val="00EA7331"/>
    <w:rsid w:val="00EA75D4"/>
    <w:rsid w:val="00EA788F"/>
    <w:rsid w:val="00EA7A64"/>
    <w:rsid w:val="00EA7CC8"/>
    <w:rsid w:val="00EB02DE"/>
    <w:rsid w:val="00EB0A07"/>
    <w:rsid w:val="00EB112F"/>
    <w:rsid w:val="00EB1630"/>
    <w:rsid w:val="00EB1B69"/>
    <w:rsid w:val="00EB1C78"/>
    <w:rsid w:val="00EB2AFA"/>
    <w:rsid w:val="00EB2C05"/>
    <w:rsid w:val="00EB2E04"/>
    <w:rsid w:val="00EB3B46"/>
    <w:rsid w:val="00EB44E1"/>
    <w:rsid w:val="00EB47DF"/>
    <w:rsid w:val="00EB48DD"/>
    <w:rsid w:val="00EB4B27"/>
    <w:rsid w:val="00EB4CE6"/>
    <w:rsid w:val="00EB4F08"/>
    <w:rsid w:val="00EB5660"/>
    <w:rsid w:val="00EB5B01"/>
    <w:rsid w:val="00EB5B5A"/>
    <w:rsid w:val="00EB5C04"/>
    <w:rsid w:val="00EB6723"/>
    <w:rsid w:val="00EB6876"/>
    <w:rsid w:val="00EB7C72"/>
    <w:rsid w:val="00EB7D48"/>
    <w:rsid w:val="00EC03D4"/>
    <w:rsid w:val="00EC0C5B"/>
    <w:rsid w:val="00EC107A"/>
    <w:rsid w:val="00EC1ADE"/>
    <w:rsid w:val="00EC208D"/>
    <w:rsid w:val="00EC215B"/>
    <w:rsid w:val="00EC2507"/>
    <w:rsid w:val="00EC256E"/>
    <w:rsid w:val="00EC2BF1"/>
    <w:rsid w:val="00EC2E07"/>
    <w:rsid w:val="00EC37D5"/>
    <w:rsid w:val="00EC43C7"/>
    <w:rsid w:val="00EC465D"/>
    <w:rsid w:val="00EC4A05"/>
    <w:rsid w:val="00EC5C89"/>
    <w:rsid w:val="00EC5CF6"/>
    <w:rsid w:val="00EC65E3"/>
    <w:rsid w:val="00EC66D2"/>
    <w:rsid w:val="00EC67E7"/>
    <w:rsid w:val="00EC69F8"/>
    <w:rsid w:val="00EC6DF4"/>
    <w:rsid w:val="00EC6FC8"/>
    <w:rsid w:val="00EC7410"/>
    <w:rsid w:val="00EC783C"/>
    <w:rsid w:val="00EC7884"/>
    <w:rsid w:val="00EC78FB"/>
    <w:rsid w:val="00ED021B"/>
    <w:rsid w:val="00ED044E"/>
    <w:rsid w:val="00ED0A1B"/>
    <w:rsid w:val="00ED0F71"/>
    <w:rsid w:val="00ED1FC1"/>
    <w:rsid w:val="00ED211A"/>
    <w:rsid w:val="00ED21BC"/>
    <w:rsid w:val="00ED2FEC"/>
    <w:rsid w:val="00ED3496"/>
    <w:rsid w:val="00ED3891"/>
    <w:rsid w:val="00ED3F67"/>
    <w:rsid w:val="00ED40CD"/>
    <w:rsid w:val="00ED43D7"/>
    <w:rsid w:val="00ED440A"/>
    <w:rsid w:val="00ED460D"/>
    <w:rsid w:val="00ED4F54"/>
    <w:rsid w:val="00ED50EA"/>
    <w:rsid w:val="00ED52C0"/>
    <w:rsid w:val="00ED5346"/>
    <w:rsid w:val="00ED66CC"/>
    <w:rsid w:val="00ED7971"/>
    <w:rsid w:val="00ED7E96"/>
    <w:rsid w:val="00EE0748"/>
    <w:rsid w:val="00EE089B"/>
    <w:rsid w:val="00EE1095"/>
    <w:rsid w:val="00EE15D6"/>
    <w:rsid w:val="00EE29A0"/>
    <w:rsid w:val="00EE2A4A"/>
    <w:rsid w:val="00EE2A60"/>
    <w:rsid w:val="00EE2CEA"/>
    <w:rsid w:val="00EE3365"/>
    <w:rsid w:val="00EE382D"/>
    <w:rsid w:val="00EE4591"/>
    <w:rsid w:val="00EE48DF"/>
    <w:rsid w:val="00EE4AB3"/>
    <w:rsid w:val="00EE570E"/>
    <w:rsid w:val="00EE6173"/>
    <w:rsid w:val="00EE6F32"/>
    <w:rsid w:val="00EE7405"/>
    <w:rsid w:val="00EE7FEA"/>
    <w:rsid w:val="00EF02EF"/>
    <w:rsid w:val="00EF033E"/>
    <w:rsid w:val="00EF06EC"/>
    <w:rsid w:val="00EF07BE"/>
    <w:rsid w:val="00EF07F1"/>
    <w:rsid w:val="00EF0874"/>
    <w:rsid w:val="00EF14FF"/>
    <w:rsid w:val="00EF267D"/>
    <w:rsid w:val="00EF27D9"/>
    <w:rsid w:val="00EF2BFE"/>
    <w:rsid w:val="00EF2D85"/>
    <w:rsid w:val="00EF2F96"/>
    <w:rsid w:val="00EF308E"/>
    <w:rsid w:val="00EF30BF"/>
    <w:rsid w:val="00EF357E"/>
    <w:rsid w:val="00EF3597"/>
    <w:rsid w:val="00EF402C"/>
    <w:rsid w:val="00EF45E0"/>
    <w:rsid w:val="00EF4E6F"/>
    <w:rsid w:val="00EF51BD"/>
    <w:rsid w:val="00EF5C82"/>
    <w:rsid w:val="00EF5FD7"/>
    <w:rsid w:val="00EF616E"/>
    <w:rsid w:val="00EF6439"/>
    <w:rsid w:val="00EF6D3C"/>
    <w:rsid w:val="00EF6FA7"/>
    <w:rsid w:val="00EF7A15"/>
    <w:rsid w:val="00F00F78"/>
    <w:rsid w:val="00F01F8C"/>
    <w:rsid w:val="00F02532"/>
    <w:rsid w:val="00F028F9"/>
    <w:rsid w:val="00F02D93"/>
    <w:rsid w:val="00F035A6"/>
    <w:rsid w:val="00F039F8"/>
    <w:rsid w:val="00F03BA2"/>
    <w:rsid w:val="00F04AD0"/>
    <w:rsid w:val="00F055F6"/>
    <w:rsid w:val="00F05ED3"/>
    <w:rsid w:val="00F06009"/>
    <w:rsid w:val="00F0621F"/>
    <w:rsid w:val="00F06709"/>
    <w:rsid w:val="00F07585"/>
    <w:rsid w:val="00F0786A"/>
    <w:rsid w:val="00F10033"/>
    <w:rsid w:val="00F10450"/>
    <w:rsid w:val="00F10848"/>
    <w:rsid w:val="00F10B68"/>
    <w:rsid w:val="00F1105D"/>
    <w:rsid w:val="00F11870"/>
    <w:rsid w:val="00F11F55"/>
    <w:rsid w:val="00F12D0E"/>
    <w:rsid w:val="00F12DEC"/>
    <w:rsid w:val="00F12FFA"/>
    <w:rsid w:val="00F13151"/>
    <w:rsid w:val="00F1327B"/>
    <w:rsid w:val="00F13A02"/>
    <w:rsid w:val="00F13AEC"/>
    <w:rsid w:val="00F14B13"/>
    <w:rsid w:val="00F15523"/>
    <w:rsid w:val="00F15F38"/>
    <w:rsid w:val="00F1600C"/>
    <w:rsid w:val="00F16309"/>
    <w:rsid w:val="00F16391"/>
    <w:rsid w:val="00F16904"/>
    <w:rsid w:val="00F16EAC"/>
    <w:rsid w:val="00F1779D"/>
    <w:rsid w:val="00F2062B"/>
    <w:rsid w:val="00F209DE"/>
    <w:rsid w:val="00F20B19"/>
    <w:rsid w:val="00F21A18"/>
    <w:rsid w:val="00F21E61"/>
    <w:rsid w:val="00F220EA"/>
    <w:rsid w:val="00F222CD"/>
    <w:rsid w:val="00F223A5"/>
    <w:rsid w:val="00F2245C"/>
    <w:rsid w:val="00F24EA4"/>
    <w:rsid w:val="00F25159"/>
    <w:rsid w:val="00F2582D"/>
    <w:rsid w:val="00F2625A"/>
    <w:rsid w:val="00F27597"/>
    <w:rsid w:val="00F31A03"/>
    <w:rsid w:val="00F31C15"/>
    <w:rsid w:val="00F31CEC"/>
    <w:rsid w:val="00F3283C"/>
    <w:rsid w:val="00F32B0E"/>
    <w:rsid w:val="00F32D0F"/>
    <w:rsid w:val="00F339C4"/>
    <w:rsid w:val="00F33A63"/>
    <w:rsid w:val="00F34004"/>
    <w:rsid w:val="00F343F0"/>
    <w:rsid w:val="00F34620"/>
    <w:rsid w:val="00F34804"/>
    <w:rsid w:val="00F34AAB"/>
    <w:rsid w:val="00F34C4D"/>
    <w:rsid w:val="00F350CF"/>
    <w:rsid w:val="00F35582"/>
    <w:rsid w:val="00F3568D"/>
    <w:rsid w:val="00F35A98"/>
    <w:rsid w:val="00F37004"/>
    <w:rsid w:val="00F37200"/>
    <w:rsid w:val="00F376A1"/>
    <w:rsid w:val="00F37B8E"/>
    <w:rsid w:val="00F37E50"/>
    <w:rsid w:val="00F40F2E"/>
    <w:rsid w:val="00F415F9"/>
    <w:rsid w:val="00F41746"/>
    <w:rsid w:val="00F41E79"/>
    <w:rsid w:val="00F4315F"/>
    <w:rsid w:val="00F4386D"/>
    <w:rsid w:val="00F44000"/>
    <w:rsid w:val="00F445AC"/>
    <w:rsid w:val="00F445F6"/>
    <w:rsid w:val="00F44B04"/>
    <w:rsid w:val="00F4512F"/>
    <w:rsid w:val="00F45763"/>
    <w:rsid w:val="00F45A5C"/>
    <w:rsid w:val="00F45BCF"/>
    <w:rsid w:val="00F45BEA"/>
    <w:rsid w:val="00F45CFE"/>
    <w:rsid w:val="00F46877"/>
    <w:rsid w:val="00F46B04"/>
    <w:rsid w:val="00F47F3E"/>
    <w:rsid w:val="00F47F76"/>
    <w:rsid w:val="00F506B7"/>
    <w:rsid w:val="00F50DA9"/>
    <w:rsid w:val="00F511B6"/>
    <w:rsid w:val="00F5120B"/>
    <w:rsid w:val="00F51793"/>
    <w:rsid w:val="00F522F1"/>
    <w:rsid w:val="00F52AD4"/>
    <w:rsid w:val="00F530E6"/>
    <w:rsid w:val="00F532C7"/>
    <w:rsid w:val="00F5380B"/>
    <w:rsid w:val="00F5393C"/>
    <w:rsid w:val="00F5416F"/>
    <w:rsid w:val="00F54929"/>
    <w:rsid w:val="00F549A4"/>
    <w:rsid w:val="00F54EE5"/>
    <w:rsid w:val="00F5504E"/>
    <w:rsid w:val="00F55358"/>
    <w:rsid w:val="00F55B5B"/>
    <w:rsid w:val="00F56017"/>
    <w:rsid w:val="00F5603C"/>
    <w:rsid w:val="00F5605C"/>
    <w:rsid w:val="00F564B9"/>
    <w:rsid w:val="00F564D8"/>
    <w:rsid w:val="00F57522"/>
    <w:rsid w:val="00F57905"/>
    <w:rsid w:val="00F57909"/>
    <w:rsid w:val="00F57B94"/>
    <w:rsid w:val="00F6050E"/>
    <w:rsid w:val="00F609C0"/>
    <w:rsid w:val="00F6106F"/>
    <w:rsid w:val="00F612D6"/>
    <w:rsid w:val="00F61D27"/>
    <w:rsid w:val="00F6272A"/>
    <w:rsid w:val="00F6329E"/>
    <w:rsid w:val="00F63400"/>
    <w:rsid w:val="00F636C6"/>
    <w:rsid w:val="00F63BFE"/>
    <w:rsid w:val="00F63C17"/>
    <w:rsid w:val="00F63C2F"/>
    <w:rsid w:val="00F64211"/>
    <w:rsid w:val="00F64298"/>
    <w:rsid w:val="00F6433D"/>
    <w:rsid w:val="00F6486C"/>
    <w:rsid w:val="00F65363"/>
    <w:rsid w:val="00F6573E"/>
    <w:rsid w:val="00F65D3C"/>
    <w:rsid w:val="00F662EB"/>
    <w:rsid w:val="00F66FCE"/>
    <w:rsid w:val="00F67606"/>
    <w:rsid w:val="00F67B2E"/>
    <w:rsid w:val="00F67CD0"/>
    <w:rsid w:val="00F70327"/>
    <w:rsid w:val="00F70E7F"/>
    <w:rsid w:val="00F70FEF"/>
    <w:rsid w:val="00F72297"/>
    <w:rsid w:val="00F72FA8"/>
    <w:rsid w:val="00F73060"/>
    <w:rsid w:val="00F73419"/>
    <w:rsid w:val="00F7473A"/>
    <w:rsid w:val="00F75415"/>
    <w:rsid w:val="00F7583C"/>
    <w:rsid w:val="00F76599"/>
    <w:rsid w:val="00F76762"/>
    <w:rsid w:val="00F76EFE"/>
    <w:rsid w:val="00F773F9"/>
    <w:rsid w:val="00F77C6D"/>
    <w:rsid w:val="00F8010C"/>
    <w:rsid w:val="00F8024B"/>
    <w:rsid w:val="00F804E7"/>
    <w:rsid w:val="00F80A02"/>
    <w:rsid w:val="00F8101C"/>
    <w:rsid w:val="00F81027"/>
    <w:rsid w:val="00F81030"/>
    <w:rsid w:val="00F817B9"/>
    <w:rsid w:val="00F81CB7"/>
    <w:rsid w:val="00F82280"/>
    <w:rsid w:val="00F822B8"/>
    <w:rsid w:val="00F8235F"/>
    <w:rsid w:val="00F82949"/>
    <w:rsid w:val="00F8356C"/>
    <w:rsid w:val="00F83A22"/>
    <w:rsid w:val="00F83A97"/>
    <w:rsid w:val="00F83B42"/>
    <w:rsid w:val="00F843AF"/>
    <w:rsid w:val="00F844F0"/>
    <w:rsid w:val="00F84710"/>
    <w:rsid w:val="00F84895"/>
    <w:rsid w:val="00F84E9D"/>
    <w:rsid w:val="00F8626F"/>
    <w:rsid w:val="00F862EC"/>
    <w:rsid w:val="00F8659E"/>
    <w:rsid w:val="00F869CC"/>
    <w:rsid w:val="00F86CE4"/>
    <w:rsid w:val="00F86F42"/>
    <w:rsid w:val="00F87D39"/>
    <w:rsid w:val="00F90433"/>
    <w:rsid w:val="00F912F9"/>
    <w:rsid w:val="00F914B6"/>
    <w:rsid w:val="00F9152E"/>
    <w:rsid w:val="00F91828"/>
    <w:rsid w:val="00F91941"/>
    <w:rsid w:val="00F92E3F"/>
    <w:rsid w:val="00F93697"/>
    <w:rsid w:val="00F937A0"/>
    <w:rsid w:val="00F938D2"/>
    <w:rsid w:val="00F93BA9"/>
    <w:rsid w:val="00F9515E"/>
    <w:rsid w:val="00F959E2"/>
    <w:rsid w:val="00F95B9D"/>
    <w:rsid w:val="00F96057"/>
    <w:rsid w:val="00F960FF"/>
    <w:rsid w:val="00F96389"/>
    <w:rsid w:val="00F9650E"/>
    <w:rsid w:val="00F96B73"/>
    <w:rsid w:val="00F96D6E"/>
    <w:rsid w:val="00F96EA6"/>
    <w:rsid w:val="00F9755E"/>
    <w:rsid w:val="00F977C7"/>
    <w:rsid w:val="00F97C0B"/>
    <w:rsid w:val="00F97C96"/>
    <w:rsid w:val="00FA0890"/>
    <w:rsid w:val="00FA0BC3"/>
    <w:rsid w:val="00FA0BF5"/>
    <w:rsid w:val="00FA0CFA"/>
    <w:rsid w:val="00FA164A"/>
    <w:rsid w:val="00FA1959"/>
    <w:rsid w:val="00FA1D3C"/>
    <w:rsid w:val="00FA21DD"/>
    <w:rsid w:val="00FA251C"/>
    <w:rsid w:val="00FA2533"/>
    <w:rsid w:val="00FA261D"/>
    <w:rsid w:val="00FA2703"/>
    <w:rsid w:val="00FA3513"/>
    <w:rsid w:val="00FA3BFC"/>
    <w:rsid w:val="00FA3F3E"/>
    <w:rsid w:val="00FA4272"/>
    <w:rsid w:val="00FA4855"/>
    <w:rsid w:val="00FA4ACD"/>
    <w:rsid w:val="00FA55FF"/>
    <w:rsid w:val="00FA5F14"/>
    <w:rsid w:val="00FA6428"/>
    <w:rsid w:val="00FA6ADE"/>
    <w:rsid w:val="00FA6FB3"/>
    <w:rsid w:val="00FA6FDC"/>
    <w:rsid w:val="00FA7126"/>
    <w:rsid w:val="00FA7144"/>
    <w:rsid w:val="00FA7184"/>
    <w:rsid w:val="00FA794C"/>
    <w:rsid w:val="00FB0119"/>
    <w:rsid w:val="00FB08F3"/>
    <w:rsid w:val="00FB0D2F"/>
    <w:rsid w:val="00FB13A2"/>
    <w:rsid w:val="00FB1938"/>
    <w:rsid w:val="00FB1D9D"/>
    <w:rsid w:val="00FB1FFB"/>
    <w:rsid w:val="00FB250C"/>
    <w:rsid w:val="00FB3304"/>
    <w:rsid w:val="00FB433E"/>
    <w:rsid w:val="00FB46B8"/>
    <w:rsid w:val="00FB4A91"/>
    <w:rsid w:val="00FB4B38"/>
    <w:rsid w:val="00FB53A7"/>
    <w:rsid w:val="00FB54BB"/>
    <w:rsid w:val="00FB5AC0"/>
    <w:rsid w:val="00FB69A2"/>
    <w:rsid w:val="00FB6C91"/>
    <w:rsid w:val="00FB74E8"/>
    <w:rsid w:val="00FB7905"/>
    <w:rsid w:val="00FC0263"/>
    <w:rsid w:val="00FC0348"/>
    <w:rsid w:val="00FC0451"/>
    <w:rsid w:val="00FC0FB5"/>
    <w:rsid w:val="00FC102A"/>
    <w:rsid w:val="00FC154C"/>
    <w:rsid w:val="00FC172C"/>
    <w:rsid w:val="00FC1BA5"/>
    <w:rsid w:val="00FC1DBC"/>
    <w:rsid w:val="00FC1F0E"/>
    <w:rsid w:val="00FC2637"/>
    <w:rsid w:val="00FC28CA"/>
    <w:rsid w:val="00FC2B1A"/>
    <w:rsid w:val="00FC2DEC"/>
    <w:rsid w:val="00FC2E93"/>
    <w:rsid w:val="00FC32BC"/>
    <w:rsid w:val="00FC393B"/>
    <w:rsid w:val="00FC3A4C"/>
    <w:rsid w:val="00FC3FA9"/>
    <w:rsid w:val="00FC4052"/>
    <w:rsid w:val="00FC4330"/>
    <w:rsid w:val="00FC44DD"/>
    <w:rsid w:val="00FC47D9"/>
    <w:rsid w:val="00FC4EA6"/>
    <w:rsid w:val="00FC5252"/>
    <w:rsid w:val="00FC632E"/>
    <w:rsid w:val="00FC6356"/>
    <w:rsid w:val="00FC6408"/>
    <w:rsid w:val="00FC6AB3"/>
    <w:rsid w:val="00FC6C09"/>
    <w:rsid w:val="00FC79FF"/>
    <w:rsid w:val="00FC7D01"/>
    <w:rsid w:val="00FD0130"/>
    <w:rsid w:val="00FD0373"/>
    <w:rsid w:val="00FD04C8"/>
    <w:rsid w:val="00FD0582"/>
    <w:rsid w:val="00FD0852"/>
    <w:rsid w:val="00FD0C93"/>
    <w:rsid w:val="00FD0FD3"/>
    <w:rsid w:val="00FD1062"/>
    <w:rsid w:val="00FD1234"/>
    <w:rsid w:val="00FD1820"/>
    <w:rsid w:val="00FD197E"/>
    <w:rsid w:val="00FD2171"/>
    <w:rsid w:val="00FD2589"/>
    <w:rsid w:val="00FD2E66"/>
    <w:rsid w:val="00FD3EE6"/>
    <w:rsid w:val="00FD4196"/>
    <w:rsid w:val="00FD41D5"/>
    <w:rsid w:val="00FD4876"/>
    <w:rsid w:val="00FD49AF"/>
    <w:rsid w:val="00FD4B73"/>
    <w:rsid w:val="00FD50A6"/>
    <w:rsid w:val="00FD525B"/>
    <w:rsid w:val="00FD52A3"/>
    <w:rsid w:val="00FD5394"/>
    <w:rsid w:val="00FD58B9"/>
    <w:rsid w:val="00FD6140"/>
    <w:rsid w:val="00FD67D9"/>
    <w:rsid w:val="00FD68D4"/>
    <w:rsid w:val="00FD6D0D"/>
    <w:rsid w:val="00FE00D9"/>
    <w:rsid w:val="00FE0699"/>
    <w:rsid w:val="00FE1186"/>
    <w:rsid w:val="00FE177A"/>
    <w:rsid w:val="00FE1FC5"/>
    <w:rsid w:val="00FE240A"/>
    <w:rsid w:val="00FE28CD"/>
    <w:rsid w:val="00FE2A46"/>
    <w:rsid w:val="00FE3C87"/>
    <w:rsid w:val="00FE3E3C"/>
    <w:rsid w:val="00FE419B"/>
    <w:rsid w:val="00FE43B1"/>
    <w:rsid w:val="00FE43E7"/>
    <w:rsid w:val="00FE44FC"/>
    <w:rsid w:val="00FE48EB"/>
    <w:rsid w:val="00FE4B37"/>
    <w:rsid w:val="00FE4B66"/>
    <w:rsid w:val="00FE4DFE"/>
    <w:rsid w:val="00FE4E1C"/>
    <w:rsid w:val="00FE4F18"/>
    <w:rsid w:val="00FE4F6E"/>
    <w:rsid w:val="00FE5030"/>
    <w:rsid w:val="00FE5202"/>
    <w:rsid w:val="00FE583F"/>
    <w:rsid w:val="00FE5B49"/>
    <w:rsid w:val="00FE5CC4"/>
    <w:rsid w:val="00FE5CE0"/>
    <w:rsid w:val="00FE6B13"/>
    <w:rsid w:val="00FE7437"/>
    <w:rsid w:val="00FE7575"/>
    <w:rsid w:val="00FF1070"/>
    <w:rsid w:val="00FF1203"/>
    <w:rsid w:val="00FF13E2"/>
    <w:rsid w:val="00FF1951"/>
    <w:rsid w:val="00FF1A27"/>
    <w:rsid w:val="00FF1A42"/>
    <w:rsid w:val="00FF2237"/>
    <w:rsid w:val="00FF2934"/>
    <w:rsid w:val="00FF3399"/>
    <w:rsid w:val="00FF343E"/>
    <w:rsid w:val="00FF3645"/>
    <w:rsid w:val="00FF409E"/>
    <w:rsid w:val="00FF41D2"/>
    <w:rsid w:val="00FF48E7"/>
    <w:rsid w:val="00FF4953"/>
    <w:rsid w:val="00FF4DBA"/>
    <w:rsid w:val="00FF5728"/>
    <w:rsid w:val="00FF5EB5"/>
    <w:rsid w:val="00FF5FA3"/>
    <w:rsid w:val="00FF5FCE"/>
    <w:rsid w:val="00FF6177"/>
    <w:rsid w:val="00FF6AD9"/>
    <w:rsid w:val="00FF702B"/>
    <w:rsid w:val="00FF76E5"/>
    <w:rsid w:val="00FF7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2E81C"/>
  <w15:chartTrackingRefBased/>
  <w15:docId w15:val="{01967ECC-CCDD-406C-9A48-48930E34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FB"/>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rsid w:val="00FE43E7"/>
    <w:rPr>
      <w:rFonts w:cs="Times New Roman"/>
      <w:sz w:val="16"/>
      <w:szCs w:val="16"/>
    </w:rPr>
  </w:style>
  <w:style w:type="paragraph" w:styleId="CommentText">
    <w:name w:val="annotation text"/>
    <w:basedOn w:val="Normal"/>
    <w:link w:val="CommentTextChar1"/>
    <w:uiPriority w:val="99"/>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uiPriority w:val="99"/>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Colorful List - Accent 12 Char,Saraksta rindkopa Char,Saraksta rindkopa1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aliases w:val="Saraksta rindkopa,Saraksta rindkopa1"/>
    <w:basedOn w:val="Normal"/>
    <w:uiPriority w:val="34"/>
    <w:qFormat/>
    <w:rsid w:val="00962B23"/>
    <w:pPr>
      <w:ind w:left="720"/>
    </w:pPr>
    <w:rPr>
      <w:rFonts w:ascii="Calibri" w:eastAsia="Calibri" w:hAnsi="Calibri"/>
      <w:sz w:val="22"/>
      <w:szCs w:val="22"/>
      <w:lang w:eastAsia="en-US"/>
    </w:rPr>
  </w:style>
  <w:style w:type="paragraph" w:customStyle="1" w:styleId="CM1">
    <w:name w:val="CM1"/>
    <w:basedOn w:val="Default"/>
    <w:next w:val="Default"/>
    <w:uiPriority w:val="99"/>
    <w:rsid w:val="005E64CF"/>
    <w:rPr>
      <w:rFonts w:ascii="EUAlbertina" w:hAnsi="EUAlbertina"/>
      <w:color w:val="auto"/>
    </w:rPr>
  </w:style>
  <w:style w:type="paragraph" w:customStyle="1" w:styleId="CM3">
    <w:name w:val="CM3"/>
    <w:basedOn w:val="Default"/>
    <w:next w:val="Default"/>
    <w:uiPriority w:val="99"/>
    <w:rsid w:val="005E64CF"/>
    <w:rPr>
      <w:rFonts w:ascii="EUAlbertina" w:hAnsi="EUAlbertina"/>
      <w:color w:val="auto"/>
    </w:rPr>
  </w:style>
  <w:style w:type="paragraph" w:customStyle="1" w:styleId="Normal2">
    <w:name w:val="Normal2"/>
    <w:basedOn w:val="Normal"/>
    <w:rsid w:val="003E4F12"/>
    <w:pPr>
      <w:spacing w:before="100" w:beforeAutospacing="1" w:after="100" w:afterAutospacing="1"/>
    </w:pPr>
  </w:style>
  <w:style w:type="paragraph" w:customStyle="1" w:styleId="Style1">
    <w:name w:val="Style1"/>
    <w:basedOn w:val="ListParagraph"/>
    <w:link w:val="Style1Char"/>
    <w:qFormat/>
    <w:rsid w:val="00B12E7E"/>
    <w:pPr>
      <w:numPr>
        <w:numId w:val="2"/>
      </w:numPr>
      <w:ind w:left="0" w:firstLine="720"/>
      <w:jc w:val="both"/>
    </w:pPr>
    <w:rPr>
      <w:rFonts w:ascii="Times New Roman" w:hAnsi="Times New Roman"/>
      <w:sz w:val="28"/>
      <w:szCs w:val="28"/>
    </w:rPr>
  </w:style>
  <w:style w:type="paragraph" w:customStyle="1" w:styleId="tv2132">
    <w:name w:val="tv2132"/>
    <w:basedOn w:val="Normal"/>
    <w:rsid w:val="008C37DC"/>
    <w:pPr>
      <w:spacing w:line="360" w:lineRule="auto"/>
      <w:ind w:firstLine="300"/>
      <w:jc w:val="both"/>
    </w:pPr>
    <w:rPr>
      <w:color w:val="414142"/>
      <w:sz w:val="20"/>
      <w:szCs w:val="20"/>
      <w:lang w:val="en-US" w:eastAsia="en-US"/>
    </w:rPr>
  </w:style>
  <w:style w:type="character" w:customStyle="1" w:styleId="Style1Char">
    <w:name w:val="Style1 Char"/>
    <w:link w:val="Style1"/>
    <w:rsid w:val="00543F44"/>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37051251">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7185878">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165631652">
      <w:bodyDiv w:val="1"/>
      <w:marLeft w:val="0"/>
      <w:marRight w:val="0"/>
      <w:marTop w:val="0"/>
      <w:marBottom w:val="0"/>
      <w:divBdr>
        <w:top w:val="none" w:sz="0" w:space="0" w:color="auto"/>
        <w:left w:val="none" w:sz="0" w:space="0" w:color="auto"/>
        <w:bottom w:val="none" w:sz="0" w:space="0" w:color="auto"/>
        <w:right w:val="none" w:sz="0" w:space="0" w:color="auto"/>
      </w:divBdr>
      <w:divsChild>
        <w:div w:id="11691782">
          <w:marLeft w:val="0"/>
          <w:marRight w:val="0"/>
          <w:marTop w:val="0"/>
          <w:marBottom w:val="0"/>
          <w:divBdr>
            <w:top w:val="none" w:sz="0" w:space="0" w:color="auto"/>
            <w:left w:val="none" w:sz="0" w:space="0" w:color="auto"/>
            <w:bottom w:val="none" w:sz="0" w:space="0" w:color="auto"/>
            <w:right w:val="none" w:sz="0" w:space="0" w:color="auto"/>
          </w:divBdr>
          <w:divsChild>
            <w:div w:id="1790709334">
              <w:marLeft w:val="0"/>
              <w:marRight w:val="0"/>
              <w:marTop w:val="0"/>
              <w:marBottom w:val="0"/>
              <w:divBdr>
                <w:top w:val="none" w:sz="0" w:space="0" w:color="auto"/>
                <w:left w:val="none" w:sz="0" w:space="0" w:color="auto"/>
                <w:bottom w:val="none" w:sz="0" w:space="0" w:color="auto"/>
                <w:right w:val="none" w:sz="0" w:space="0" w:color="auto"/>
              </w:divBdr>
              <w:divsChild>
                <w:div w:id="352928031">
                  <w:marLeft w:val="0"/>
                  <w:marRight w:val="0"/>
                  <w:marTop w:val="0"/>
                  <w:marBottom w:val="0"/>
                  <w:divBdr>
                    <w:top w:val="none" w:sz="0" w:space="0" w:color="auto"/>
                    <w:left w:val="none" w:sz="0" w:space="0" w:color="auto"/>
                    <w:bottom w:val="none" w:sz="0" w:space="0" w:color="auto"/>
                    <w:right w:val="none" w:sz="0" w:space="0" w:color="auto"/>
                  </w:divBdr>
                  <w:divsChild>
                    <w:div w:id="1133328955">
                      <w:marLeft w:val="0"/>
                      <w:marRight w:val="0"/>
                      <w:marTop w:val="0"/>
                      <w:marBottom w:val="0"/>
                      <w:divBdr>
                        <w:top w:val="none" w:sz="0" w:space="0" w:color="auto"/>
                        <w:left w:val="none" w:sz="0" w:space="0" w:color="auto"/>
                        <w:bottom w:val="none" w:sz="0" w:space="0" w:color="auto"/>
                        <w:right w:val="none" w:sz="0" w:space="0" w:color="auto"/>
                      </w:divBdr>
                      <w:divsChild>
                        <w:div w:id="1880584601">
                          <w:marLeft w:val="0"/>
                          <w:marRight w:val="0"/>
                          <w:marTop w:val="0"/>
                          <w:marBottom w:val="0"/>
                          <w:divBdr>
                            <w:top w:val="none" w:sz="0" w:space="0" w:color="auto"/>
                            <w:left w:val="none" w:sz="0" w:space="0" w:color="auto"/>
                            <w:bottom w:val="none" w:sz="0" w:space="0" w:color="auto"/>
                            <w:right w:val="none" w:sz="0" w:space="0" w:color="auto"/>
                          </w:divBdr>
                          <w:divsChild>
                            <w:div w:id="6286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2056">
      <w:bodyDiv w:val="1"/>
      <w:marLeft w:val="0"/>
      <w:marRight w:val="0"/>
      <w:marTop w:val="0"/>
      <w:marBottom w:val="0"/>
      <w:divBdr>
        <w:top w:val="none" w:sz="0" w:space="0" w:color="auto"/>
        <w:left w:val="none" w:sz="0" w:space="0" w:color="auto"/>
        <w:bottom w:val="none" w:sz="0" w:space="0" w:color="auto"/>
        <w:right w:val="none" w:sz="0" w:space="0" w:color="auto"/>
      </w:divBdr>
      <w:divsChild>
        <w:div w:id="806706159">
          <w:marLeft w:val="0"/>
          <w:marRight w:val="0"/>
          <w:marTop w:val="480"/>
          <w:marBottom w:val="240"/>
          <w:divBdr>
            <w:top w:val="none" w:sz="0" w:space="0" w:color="auto"/>
            <w:left w:val="none" w:sz="0" w:space="0" w:color="auto"/>
            <w:bottom w:val="none" w:sz="0" w:space="0" w:color="auto"/>
            <w:right w:val="none" w:sz="0" w:space="0" w:color="auto"/>
          </w:divBdr>
        </w:div>
        <w:div w:id="2004895989">
          <w:marLeft w:val="0"/>
          <w:marRight w:val="0"/>
          <w:marTop w:val="0"/>
          <w:marBottom w:val="567"/>
          <w:divBdr>
            <w:top w:val="none" w:sz="0" w:space="0" w:color="auto"/>
            <w:left w:val="none" w:sz="0" w:space="0" w:color="auto"/>
            <w:bottom w:val="none" w:sz="0" w:space="0" w:color="auto"/>
            <w:right w:val="none" w:sz="0" w:space="0" w:color="auto"/>
          </w:divBdr>
        </w:div>
      </w:divsChild>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45406619">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64210895">
      <w:bodyDiv w:val="1"/>
      <w:marLeft w:val="0"/>
      <w:marRight w:val="0"/>
      <w:marTop w:val="0"/>
      <w:marBottom w:val="0"/>
      <w:divBdr>
        <w:top w:val="none" w:sz="0" w:space="0" w:color="auto"/>
        <w:left w:val="none" w:sz="0" w:space="0" w:color="auto"/>
        <w:bottom w:val="none" w:sz="0" w:space="0" w:color="auto"/>
        <w:right w:val="none" w:sz="0" w:space="0" w:color="auto"/>
      </w:divBdr>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46729033">
      <w:bodyDiv w:val="1"/>
      <w:marLeft w:val="0"/>
      <w:marRight w:val="0"/>
      <w:marTop w:val="0"/>
      <w:marBottom w:val="0"/>
      <w:divBdr>
        <w:top w:val="none" w:sz="0" w:space="0" w:color="auto"/>
        <w:left w:val="none" w:sz="0" w:space="0" w:color="auto"/>
        <w:bottom w:val="none" w:sz="0" w:space="0" w:color="auto"/>
        <w:right w:val="none" w:sz="0" w:space="0" w:color="auto"/>
      </w:divBdr>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787507025">
      <w:bodyDiv w:val="1"/>
      <w:marLeft w:val="0"/>
      <w:marRight w:val="0"/>
      <w:marTop w:val="0"/>
      <w:marBottom w:val="0"/>
      <w:divBdr>
        <w:top w:val="none" w:sz="0" w:space="0" w:color="auto"/>
        <w:left w:val="none" w:sz="0" w:space="0" w:color="auto"/>
        <w:bottom w:val="none" w:sz="0" w:space="0" w:color="auto"/>
        <w:right w:val="none" w:sz="0" w:space="0" w:color="auto"/>
      </w:divBdr>
      <w:divsChild>
        <w:div w:id="1481386204">
          <w:marLeft w:val="0"/>
          <w:marRight w:val="0"/>
          <w:marTop w:val="0"/>
          <w:marBottom w:val="0"/>
          <w:divBdr>
            <w:top w:val="none" w:sz="0" w:space="0" w:color="auto"/>
            <w:left w:val="none" w:sz="0" w:space="0" w:color="auto"/>
            <w:bottom w:val="none" w:sz="0" w:space="0" w:color="auto"/>
            <w:right w:val="none" w:sz="0" w:space="0" w:color="auto"/>
          </w:divBdr>
        </w:div>
      </w:divsChild>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40665678">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523742231">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566454412">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48711647">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04567182">
      <w:bodyDiv w:val="1"/>
      <w:marLeft w:val="0"/>
      <w:marRight w:val="0"/>
      <w:marTop w:val="0"/>
      <w:marBottom w:val="0"/>
      <w:divBdr>
        <w:top w:val="none" w:sz="0" w:space="0" w:color="auto"/>
        <w:left w:val="none" w:sz="0" w:space="0" w:color="auto"/>
        <w:bottom w:val="none" w:sz="0" w:space="0" w:color="auto"/>
        <w:right w:val="none" w:sz="0" w:space="0" w:color="auto"/>
      </w:divBdr>
    </w:div>
    <w:div w:id="2121101369">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svirksta@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zm.gov.lv/lv/sabiedribas-lidzdaliba/sabiedriskajai-apspriesanai-nodotie-normativo-aktu-projekti" TargetMode="External"/><Relationship Id="rId2" Type="http://schemas.openxmlformats.org/officeDocument/2006/relationships/hyperlink" Target="https://www.izm.gov.lv/lv/sabiedribas-lidzdaliba/sabiedriskajai-apspriesanai-nodotie-normativo-aktu-projekti" TargetMode="External"/><Relationship Id="rId1" Type="http://schemas.openxmlformats.org/officeDocument/2006/relationships/hyperlink" Target="https://likumi.lv/ta/id/190349-noteikumi-par-darbibas-programmas-infrastruktura-un-pakalpojumi-papildinajuma-3-1-2-1-1-apaksaktivitati-augstakas-izglitib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BD70E-48E7-4AA1-85A8-90B81491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22</Pages>
  <Words>26455</Words>
  <Characters>15080</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2016. gada 16. augusta noteikumos Nr. 562 "Darbības programmas "Izaugsme un nodarbinātība" 1.1.1. specifiskā atbalsta mērķa "Palielināt Latv</vt:lpstr>
    </vt:vector>
  </TitlesOfParts>
  <Company>LabMin</Company>
  <LinksUpToDate>false</LinksUpToDate>
  <CharactersWithSpaces>41453</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dc:title>
  <dc:subject>Izziņa</dc:subject>
  <dc:creator>Inta Švirksta</dc:creator>
  <cp:keywords/>
  <dc:description>inta.svirksta@izm.gov.lv, 67047878</dc:description>
  <cp:lastModifiedBy>Inta Švirksta</cp:lastModifiedBy>
  <cp:revision>20</cp:revision>
  <cp:lastPrinted>2019-03-29T08:40:00Z</cp:lastPrinted>
  <dcterms:created xsi:type="dcterms:W3CDTF">2020-09-18T10:20:00Z</dcterms:created>
  <dcterms:modified xsi:type="dcterms:W3CDTF">2020-12-08T10:14:00Z</dcterms:modified>
  <cp:category>Izglītības un zinātnes  ministrija</cp:category>
</cp:coreProperties>
</file>