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17A" w:rsidRPr="00F42EA4" w:rsidRDefault="0011317A" w:rsidP="00F42EA4">
      <w:pPr>
        <w:jc w:val="center"/>
        <w:rPr>
          <w:b/>
        </w:rPr>
      </w:pPr>
      <w:bookmarkStart w:id="0" w:name="OLE_LINK2"/>
      <w:bookmarkStart w:id="1" w:name="OLE_LINK1"/>
      <w:bookmarkStart w:id="2" w:name="_Hlk29201727"/>
      <w:r w:rsidRPr="00F42EA4">
        <w:rPr>
          <w:b/>
        </w:rPr>
        <w:t>Ministru kabineta rīkojuma projekta “Par finanšu līdzekļu piešķiršanu no valsts budžeta programmas “Līdzekļi neparedzētiem gadījumiem”” sākotnējās ietekmes novērtējuma ziņojums (anotācija)</w:t>
      </w:r>
    </w:p>
    <w:p w:rsidR="0011317A" w:rsidRPr="000B7BBC" w:rsidRDefault="0011317A" w:rsidP="009B1558">
      <w:pPr>
        <w:pStyle w:val="naisc"/>
        <w:spacing w:before="0" w:after="0"/>
        <w:jc w:val="left"/>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3631"/>
        <w:gridCol w:w="5424"/>
      </w:tblGrid>
      <w:tr w:rsidR="0011317A" w:rsidRPr="000B7BBC" w:rsidTr="009B1558">
        <w:trPr>
          <w:tblCellSpacing w:w="15" w:type="dxa"/>
        </w:trPr>
        <w:tc>
          <w:tcPr>
            <w:tcW w:w="0" w:type="auto"/>
            <w:gridSpan w:val="2"/>
            <w:tcBorders>
              <w:top w:val="outset" w:sz="6" w:space="0" w:color="auto"/>
              <w:bottom w:val="outset" w:sz="6" w:space="0" w:color="auto"/>
            </w:tcBorders>
            <w:vAlign w:val="center"/>
          </w:tcPr>
          <w:p w:rsidR="0011317A" w:rsidRPr="000B7BBC" w:rsidRDefault="0011317A" w:rsidP="002A685A">
            <w:pPr>
              <w:spacing w:line="276" w:lineRule="auto"/>
              <w:jc w:val="center"/>
              <w:rPr>
                <w:b/>
                <w:bCs/>
                <w:iCs/>
                <w:lang w:eastAsia="en-US"/>
              </w:rPr>
            </w:pPr>
            <w:r w:rsidRPr="000B7BBC">
              <w:rPr>
                <w:b/>
                <w:bCs/>
                <w:iCs/>
                <w:lang w:eastAsia="en-US"/>
              </w:rPr>
              <w:t>Tiesību akta projekta anotācijas kopsavilkums</w:t>
            </w:r>
          </w:p>
        </w:tc>
      </w:tr>
      <w:tr w:rsidR="0011317A" w:rsidRPr="000B7BBC" w:rsidTr="009B1558">
        <w:trPr>
          <w:tblCellSpacing w:w="15" w:type="dxa"/>
        </w:trPr>
        <w:tc>
          <w:tcPr>
            <w:tcW w:w="1980" w:type="pct"/>
            <w:tcBorders>
              <w:top w:val="outset" w:sz="6" w:space="0" w:color="auto"/>
              <w:bottom w:val="outset" w:sz="6" w:space="0" w:color="auto"/>
              <w:right w:val="outset" w:sz="6" w:space="0" w:color="auto"/>
            </w:tcBorders>
          </w:tcPr>
          <w:p w:rsidR="0011317A" w:rsidRPr="000B7BBC" w:rsidRDefault="0011317A">
            <w:pPr>
              <w:spacing w:line="276" w:lineRule="auto"/>
              <w:rPr>
                <w:iCs/>
                <w:lang w:eastAsia="en-US"/>
              </w:rPr>
            </w:pPr>
            <w:r w:rsidRPr="000B7BBC">
              <w:rPr>
                <w:iCs/>
                <w:lang w:eastAsia="en-US"/>
              </w:rPr>
              <w:t xml:space="preserve">Mērķis, risinājums un projekta spēkā stāšanās laiks </w:t>
            </w:r>
          </w:p>
        </w:tc>
        <w:tc>
          <w:tcPr>
            <w:tcW w:w="2971" w:type="pct"/>
            <w:tcBorders>
              <w:top w:val="outset" w:sz="6" w:space="0" w:color="auto"/>
              <w:left w:val="outset" w:sz="6" w:space="0" w:color="auto"/>
              <w:bottom w:val="outset" w:sz="6" w:space="0" w:color="auto"/>
            </w:tcBorders>
          </w:tcPr>
          <w:p w:rsidR="0011317A" w:rsidRPr="00672B7F" w:rsidRDefault="0011317A" w:rsidP="00672B7F">
            <w:pPr>
              <w:jc w:val="both"/>
            </w:pPr>
            <w:r w:rsidRPr="00C930A2">
              <w:rPr>
                <w:iCs/>
              </w:rPr>
              <w:t>Saskaņā ar Ministru kabineta 2009.</w:t>
            </w:r>
            <w:r>
              <w:rPr>
                <w:iCs/>
              </w:rPr>
              <w:t> </w:t>
            </w:r>
            <w:r w:rsidRPr="00C930A2">
              <w:rPr>
                <w:iCs/>
              </w:rPr>
              <w:t>gada 15.</w:t>
            </w:r>
            <w:r>
              <w:rPr>
                <w:iCs/>
              </w:rPr>
              <w:t> </w:t>
            </w:r>
            <w:r w:rsidRPr="00C930A2">
              <w:rPr>
                <w:iCs/>
              </w:rPr>
              <w:t>decembra instrukcijas Nr.19 "Tiesību akta projekta sākotnējās ietekmes izvērtēšanas kārtība" 5.</w:t>
            </w:r>
            <w:r w:rsidRPr="00F42EA4">
              <w:rPr>
                <w:iCs/>
                <w:vertAlign w:val="superscript"/>
              </w:rPr>
              <w:t>1</w:t>
            </w:r>
            <w:r w:rsidRPr="00C930A2">
              <w:rPr>
                <w:iCs/>
              </w:rPr>
              <w:t> apakšpunktu anotācijas kopsavilkums nav aizpildāms.</w:t>
            </w:r>
          </w:p>
        </w:tc>
      </w:tr>
    </w:tbl>
    <w:p w:rsidR="0011317A" w:rsidRPr="000B7BBC" w:rsidRDefault="0011317A" w:rsidP="009B1558">
      <w:pPr>
        <w:rPr>
          <w:iCs/>
        </w:rPr>
      </w:pPr>
      <w:r w:rsidRPr="000B7BBC">
        <w:rPr>
          <w:iCs/>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76"/>
        <w:gridCol w:w="2937"/>
        <w:gridCol w:w="5692"/>
      </w:tblGrid>
      <w:tr w:rsidR="0011317A" w:rsidRPr="000B7BBC" w:rsidTr="007D4EF0">
        <w:trPr>
          <w:tblCellSpacing w:w="15" w:type="dxa"/>
        </w:trPr>
        <w:tc>
          <w:tcPr>
            <w:tcW w:w="4967" w:type="pct"/>
            <w:gridSpan w:val="3"/>
            <w:tcBorders>
              <w:top w:val="outset" w:sz="6" w:space="0" w:color="auto"/>
              <w:bottom w:val="outset" w:sz="6" w:space="0" w:color="auto"/>
            </w:tcBorders>
            <w:vAlign w:val="center"/>
          </w:tcPr>
          <w:p w:rsidR="0011317A" w:rsidRPr="000B7BBC" w:rsidRDefault="0011317A" w:rsidP="002A685A">
            <w:pPr>
              <w:spacing w:line="276" w:lineRule="auto"/>
              <w:jc w:val="center"/>
              <w:rPr>
                <w:b/>
                <w:bCs/>
                <w:iCs/>
                <w:lang w:eastAsia="en-US"/>
              </w:rPr>
            </w:pPr>
            <w:r w:rsidRPr="000B7BBC">
              <w:rPr>
                <w:b/>
                <w:bCs/>
                <w:iCs/>
                <w:lang w:eastAsia="en-US"/>
              </w:rPr>
              <w:t>I. Tiesību akta projekta izstrādes nepieciešamība</w:t>
            </w:r>
          </w:p>
        </w:tc>
      </w:tr>
      <w:tr w:rsidR="0011317A" w:rsidRPr="000B7BBC" w:rsidTr="007D4EF0">
        <w:trPr>
          <w:tblCellSpacing w:w="15" w:type="dxa"/>
        </w:trPr>
        <w:tc>
          <w:tcPr>
            <w:tcW w:w="291" w:type="pct"/>
            <w:tcBorders>
              <w:top w:val="outset" w:sz="6" w:space="0" w:color="auto"/>
              <w:bottom w:val="outset" w:sz="6" w:space="0" w:color="auto"/>
              <w:right w:val="outset" w:sz="6" w:space="0" w:color="auto"/>
            </w:tcBorders>
          </w:tcPr>
          <w:p w:rsidR="0011317A" w:rsidRPr="000B7BBC" w:rsidRDefault="0011317A">
            <w:pPr>
              <w:spacing w:line="276" w:lineRule="auto"/>
              <w:rPr>
                <w:iCs/>
                <w:lang w:eastAsia="en-US"/>
              </w:rPr>
            </w:pPr>
            <w:r w:rsidRPr="000B7BBC">
              <w:rPr>
                <w:iCs/>
                <w:lang w:eastAsia="en-US"/>
              </w:rPr>
              <w:t>1.</w:t>
            </w:r>
          </w:p>
        </w:tc>
        <w:tc>
          <w:tcPr>
            <w:tcW w:w="1589" w:type="pct"/>
            <w:tcBorders>
              <w:top w:val="outset" w:sz="6" w:space="0" w:color="auto"/>
              <w:left w:val="outset" w:sz="6" w:space="0" w:color="auto"/>
              <w:bottom w:val="outset" w:sz="6" w:space="0" w:color="auto"/>
              <w:right w:val="outset" w:sz="6" w:space="0" w:color="auto"/>
            </w:tcBorders>
          </w:tcPr>
          <w:p w:rsidR="0011317A" w:rsidRPr="000B7BBC" w:rsidRDefault="0011317A">
            <w:pPr>
              <w:spacing w:line="276" w:lineRule="auto"/>
              <w:rPr>
                <w:iCs/>
                <w:lang w:eastAsia="en-US"/>
              </w:rPr>
            </w:pPr>
            <w:r w:rsidRPr="000B7BBC">
              <w:rPr>
                <w:iCs/>
                <w:lang w:eastAsia="en-US"/>
              </w:rPr>
              <w:t>Pamatojums</w:t>
            </w:r>
          </w:p>
        </w:tc>
        <w:tc>
          <w:tcPr>
            <w:tcW w:w="3055" w:type="pct"/>
            <w:tcBorders>
              <w:top w:val="outset" w:sz="6" w:space="0" w:color="auto"/>
              <w:left w:val="outset" w:sz="6" w:space="0" w:color="auto"/>
              <w:bottom w:val="outset" w:sz="6" w:space="0" w:color="auto"/>
            </w:tcBorders>
          </w:tcPr>
          <w:p w:rsidR="0011317A" w:rsidRPr="005B0F36" w:rsidRDefault="0011317A" w:rsidP="005B0F36">
            <w:pPr>
              <w:jc w:val="both"/>
              <w:rPr>
                <w:shd w:val="clear" w:color="auto" w:fill="FFFFFF"/>
              </w:rPr>
            </w:pPr>
            <w:r w:rsidRPr="005B0F36">
              <w:rPr>
                <w:shd w:val="clear" w:color="auto" w:fill="FFFFFF"/>
              </w:rPr>
              <w:t>2020. gada 21. decembrī Saeimā pieņemtie grozījumi likumā  “Par apdrošināšanu bezdarba gadījumam”.</w:t>
            </w:r>
          </w:p>
          <w:p w:rsidR="0011317A" w:rsidRPr="005B0F36" w:rsidRDefault="0011317A" w:rsidP="005B0F36">
            <w:pPr>
              <w:jc w:val="both"/>
              <w:rPr>
                <w:bCs/>
                <w:shd w:val="clear" w:color="auto" w:fill="FFFFFF"/>
              </w:rPr>
            </w:pPr>
            <w:r w:rsidRPr="005B0F36">
              <w:rPr>
                <w:bCs/>
                <w:shd w:val="clear" w:color="auto" w:fill="FFFFFF"/>
              </w:rPr>
              <w:t>Covid-19 infekcijas izplatības seku pārvarēšanas likuma 24. un 25. pants.</w:t>
            </w:r>
          </w:p>
          <w:p w:rsidR="0011317A" w:rsidRPr="005B0F36" w:rsidRDefault="0011317A" w:rsidP="005B0F36">
            <w:pPr>
              <w:pStyle w:val="CommentText"/>
              <w:jc w:val="both"/>
              <w:rPr>
                <w:sz w:val="24"/>
                <w:szCs w:val="24"/>
              </w:rPr>
            </w:pPr>
            <w:r w:rsidRPr="005B0F36">
              <w:rPr>
                <w:sz w:val="24"/>
                <w:szCs w:val="24"/>
              </w:rPr>
              <w:t>Ministru kabineta 2020.gada 10. decembra sēdes protokola Nr. 82 43.§ 3. un 4.punkts.</w:t>
            </w:r>
          </w:p>
        </w:tc>
      </w:tr>
      <w:tr w:rsidR="0011317A" w:rsidRPr="000B7BBC" w:rsidTr="007D4EF0">
        <w:trPr>
          <w:tblCellSpacing w:w="15" w:type="dxa"/>
        </w:trPr>
        <w:tc>
          <w:tcPr>
            <w:tcW w:w="291" w:type="pct"/>
            <w:tcBorders>
              <w:top w:val="outset" w:sz="6" w:space="0" w:color="auto"/>
              <w:bottom w:val="outset" w:sz="6" w:space="0" w:color="auto"/>
              <w:right w:val="outset" w:sz="6" w:space="0" w:color="auto"/>
            </w:tcBorders>
          </w:tcPr>
          <w:p w:rsidR="0011317A" w:rsidRPr="000B7BBC" w:rsidRDefault="0011317A" w:rsidP="00416316">
            <w:pPr>
              <w:spacing w:line="276" w:lineRule="auto"/>
              <w:rPr>
                <w:iCs/>
                <w:lang w:eastAsia="en-US"/>
              </w:rPr>
            </w:pPr>
            <w:r w:rsidRPr="000B7BBC">
              <w:rPr>
                <w:iCs/>
                <w:lang w:eastAsia="en-US"/>
              </w:rPr>
              <w:t>2.</w:t>
            </w:r>
          </w:p>
        </w:tc>
        <w:tc>
          <w:tcPr>
            <w:tcW w:w="1589" w:type="pct"/>
            <w:tcBorders>
              <w:top w:val="outset" w:sz="6" w:space="0" w:color="auto"/>
              <w:left w:val="outset" w:sz="6" w:space="0" w:color="auto"/>
              <w:bottom w:val="outset" w:sz="6" w:space="0" w:color="auto"/>
              <w:right w:val="outset" w:sz="6" w:space="0" w:color="auto"/>
            </w:tcBorders>
          </w:tcPr>
          <w:p w:rsidR="0011317A" w:rsidRDefault="0011317A" w:rsidP="00416316">
            <w:pPr>
              <w:spacing w:line="276" w:lineRule="auto"/>
              <w:rPr>
                <w:iCs/>
                <w:lang w:eastAsia="en-US"/>
              </w:rPr>
            </w:pPr>
            <w:r w:rsidRPr="000B7BBC">
              <w:rPr>
                <w:iCs/>
                <w:lang w:eastAsia="en-US"/>
              </w:rPr>
              <w:t>Pašreizējā situācija un problēmas, kuru risināšanai tiesību akta projekts izstrādāts, tiesiskā regulējuma mērķis un būtība</w:t>
            </w:r>
          </w:p>
          <w:p w:rsidR="0011317A" w:rsidRPr="002C0B70" w:rsidRDefault="0011317A" w:rsidP="002C0B70">
            <w:pPr>
              <w:rPr>
                <w:lang w:eastAsia="en-US"/>
              </w:rPr>
            </w:pPr>
          </w:p>
          <w:p w:rsidR="0011317A" w:rsidRPr="002C0B70" w:rsidRDefault="0011317A" w:rsidP="002C0B70">
            <w:pPr>
              <w:rPr>
                <w:lang w:eastAsia="en-US"/>
              </w:rPr>
            </w:pPr>
          </w:p>
          <w:p w:rsidR="0011317A" w:rsidRPr="002C0B70" w:rsidRDefault="0011317A" w:rsidP="002C0B70">
            <w:pPr>
              <w:rPr>
                <w:lang w:eastAsia="en-US"/>
              </w:rPr>
            </w:pPr>
          </w:p>
          <w:p w:rsidR="0011317A" w:rsidRPr="002C0B70" w:rsidRDefault="0011317A" w:rsidP="002C0B70">
            <w:pPr>
              <w:rPr>
                <w:lang w:eastAsia="en-US"/>
              </w:rPr>
            </w:pPr>
          </w:p>
          <w:p w:rsidR="0011317A" w:rsidRPr="002C0B70" w:rsidRDefault="0011317A" w:rsidP="002C0B70">
            <w:pPr>
              <w:rPr>
                <w:lang w:eastAsia="en-US"/>
              </w:rPr>
            </w:pPr>
          </w:p>
          <w:p w:rsidR="0011317A" w:rsidRPr="002C0B70" w:rsidRDefault="0011317A" w:rsidP="002C0B70">
            <w:pPr>
              <w:rPr>
                <w:lang w:eastAsia="en-US"/>
              </w:rPr>
            </w:pPr>
          </w:p>
          <w:p w:rsidR="0011317A" w:rsidRPr="002C0B70" w:rsidRDefault="0011317A" w:rsidP="002C0B70">
            <w:pPr>
              <w:rPr>
                <w:lang w:eastAsia="en-US"/>
              </w:rPr>
            </w:pPr>
          </w:p>
          <w:p w:rsidR="0011317A" w:rsidRPr="002C0B70" w:rsidRDefault="0011317A" w:rsidP="002C0B70">
            <w:pPr>
              <w:rPr>
                <w:lang w:eastAsia="en-US"/>
              </w:rPr>
            </w:pPr>
          </w:p>
          <w:p w:rsidR="0011317A" w:rsidRPr="002C0B70" w:rsidRDefault="0011317A" w:rsidP="002C0B70">
            <w:pPr>
              <w:rPr>
                <w:lang w:eastAsia="en-US"/>
              </w:rPr>
            </w:pPr>
          </w:p>
          <w:p w:rsidR="0011317A" w:rsidRPr="002C0B70" w:rsidRDefault="0011317A" w:rsidP="002C0B70">
            <w:pPr>
              <w:rPr>
                <w:lang w:eastAsia="en-US"/>
              </w:rPr>
            </w:pPr>
          </w:p>
          <w:p w:rsidR="0011317A" w:rsidRDefault="0011317A" w:rsidP="005606CE">
            <w:pPr>
              <w:rPr>
                <w:lang w:eastAsia="en-US"/>
              </w:rPr>
            </w:pPr>
          </w:p>
          <w:p w:rsidR="0011317A" w:rsidRPr="005606CE" w:rsidRDefault="0011317A">
            <w:pPr>
              <w:rPr>
                <w:lang w:eastAsia="en-US"/>
              </w:rPr>
            </w:pPr>
          </w:p>
          <w:p w:rsidR="0011317A" w:rsidRPr="002C0B70" w:rsidRDefault="0011317A" w:rsidP="002C0B70">
            <w:pPr>
              <w:rPr>
                <w:lang w:eastAsia="en-US"/>
              </w:rPr>
            </w:pPr>
          </w:p>
        </w:tc>
        <w:tc>
          <w:tcPr>
            <w:tcW w:w="3055" w:type="pct"/>
            <w:tcBorders>
              <w:top w:val="outset" w:sz="6" w:space="0" w:color="auto"/>
              <w:left w:val="outset" w:sz="6" w:space="0" w:color="auto"/>
              <w:bottom w:val="outset" w:sz="6" w:space="0" w:color="auto"/>
            </w:tcBorders>
          </w:tcPr>
          <w:p w:rsidR="0011317A" w:rsidRDefault="0011317A" w:rsidP="00F42EA4">
            <w:pPr>
              <w:spacing w:after="120"/>
              <w:jc w:val="both"/>
              <w:rPr>
                <w:iCs/>
              </w:rPr>
            </w:pPr>
            <w:r>
              <w:rPr>
                <w:iCs/>
              </w:rPr>
              <w:t xml:space="preserve">Ievērojot straujo Covid-19 izplatības pieaugumu un turpinot sniegt atbalstu </w:t>
            </w:r>
            <w:r>
              <w:rPr>
                <w:color w:val="000000"/>
                <w:shd w:val="clear" w:color="auto" w:fill="FFFFFF"/>
              </w:rPr>
              <w:t xml:space="preserve">personām, kuras pēc bezdarbnieka pabalsta izmaksas beigām sakarā ar Covid-19 izsludinātās ārkārtējās situācijas radītajām sekām nav atradušas darbu un neveic saimniecisko darbību, šā gada </w:t>
            </w:r>
            <w:r w:rsidRPr="00F141BC">
              <w:rPr>
                <w:color w:val="000000"/>
                <w:shd w:val="clear" w:color="auto" w:fill="FFFFFF"/>
              </w:rPr>
              <w:t>21. decembrī</w:t>
            </w:r>
            <w:r>
              <w:rPr>
                <w:color w:val="000000"/>
                <w:shd w:val="clear" w:color="auto" w:fill="FFFFFF"/>
              </w:rPr>
              <w:t xml:space="preserve"> Saeimā tika pieņemti grozījumi likumā</w:t>
            </w:r>
            <w:r w:rsidRPr="00F42EA4">
              <w:rPr>
                <w:shd w:val="clear" w:color="auto" w:fill="FFFFFF"/>
              </w:rPr>
              <w:t xml:space="preserve"> </w:t>
            </w:r>
            <w:r>
              <w:rPr>
                <w:shd w:val="clear" w:color="auto" w:fill="FFFFFF"/>
              </w:rPr>
              <w:t>“</w:t>
            </w:r>
            <w:r w:rsidRPr="00F42EA4">
              <w:rPr>
                <w:shd w:val="clear" w:color="auto" w:fill="FFFFFF"/>
              </w:rPr>
              <w:t>Par apdrošināšanu bezdarba gadījumam</w:t>
            </w:r>
            <w:r>
              <w:rPr>
                <w:shd w:val="clear" w:color="auto" w:fill="FFFFFF"/>
              </w:rPr>
              <w:t>”</w:t>
            </w:r>
            <w:r>
              <w:rPr>
                <w:color w:val="000000"/>
                <w:shd w:val="clear" w:color="auto" w:fill="FFFFFF"/>
              </w:rPr>
              <w:t xml:space="preserve"> </w:t>
            </w:r>
            <w:r w:rsidRPr="00F42EA4">
              <w:rPr>
                <w:iCs/>
              </w:rPr>
              <w:t xml:space="preserve">kas nosaka </w:t>
            </w:r>
            <w:r w:rsidRPr="00F42EA4">
              <w:rPr>
                <w:bCs/>
                <w:iCs/>
              </w:rPr>
              <w:t>pagarināt bezdarbnieka palīdzības pabalsta izmaksu līdz 2021. gada 30. jūnijam</w:t>
            </w:r>
            <w:r w:rsidRPr="00F42EA4">
              <w:rPr>
                <w:iCs/>
              </w:rPr>
              <w:t xml:space="preserve"> (iepriekš – 2020.gada 31.decembris), paredzot, ka persona, kurai piešķirtā bezdarbnieka pabalsta izmaksas periods beidzas 2020. gada 12. martā vai vēlāk un kura sakarā ar Covid-19 izplatību izsludinātās ārkārtējās situācijas apstākļiem turpina būt bezdarbnieka statusā, var pieprasīt bezdarbnieka palīdzības pabalstu, kuru piešķir no nākamās dienas pēc tam, kad beidzas bezdarbnieka pabalsta izmaksas periods, uz laiku, kas nav ilgāks par četriem mēnešiem. Bezdarbnieka palīdzības pabalsta apmērs ir 180 </w:t>
            </w:r>
            <w:proofErr w:type="spellStart"/>
            <w:r w:rsidRPr="00F42EA4">
              <w:rPr>
                <w:i/>
                <w:iCs/>
              </w:rPr>
              <w:t>euro</w:t>
            </w:r>
            <w:proofErr w:type="spellEnd"/>
            <w:r w:rsidRPr="00F42EA4">
              <w:rPr>
                <w:iCs/>
              </w:rPr>
              <w:t xml:space="preserve"> mēnesī. </w:t>
            </w:r>
          </w:p>
          <w:p w:rsidR="0011317A" w:rsidRPr="002524DF" w:rsidRDefault="0011317A" w:rsidP="00F42EA4">
            <w:pPr>
              <w:pStyle w:val="tv213"/>
              <w:tabs>
                <w:tab w:val="left" w:pos="709"/>
                <w:tab w:val="left" w:pos="993"/>
              </w:tabs>
              <w:spacing w:before="0" w:beforeAutospacing="0" w:after="0" w:afterAutospacing="0"/>
              <w:jc w:val="both"/>
            </w:pPr>
            <w:r w:rsidRPr="002524DF">
              <w:t>Līdz ar to, lai nodrošinātu minētā bezdarbnieka palīdzības  pabalsta izmaksu</w:t>
            </w:r>
            <w:r>
              <w:t xml:space="preserve"> 2021.gadā</w:t>
            </w:r>
            <w:r w:rsidRPr="002524DF">
              <w:t xml:space="preserve">, ir izstrādāts projekts par līdzekļu piešķiršanu Labklājības ministrijai </w:t>
            </w:r>
            <w:r>
              <w:t>bezdarbnieka palīdzības</w:t>
            </w:r>
            <w:r w:rsidRPr="002524DF">
              <w:t xml:space="preserve"> izmaksas nodrošināšanai.</w:t>
            </w:r>
          </w:p>
          <w:p w:rsidR="0011317A" w:rsidRPr="00D156D5" w:rsidRDefault="0011317A" w:rsidP="00672B7F">
            <w:pPr>
              <w:spacing w:after="120"/>
              <w:jc w:val="both"/>
              <w:rPr>
                <w:iCs/>
              </w:rPr>
            </w:pPr>
            <w:r w:rsidRPr="002524DF">
              <w:t>Projekts paredz Finanšu ministrijai no 74.</w:t>
            </w:r>
            <w:r>
              <w:t> </w:t>
            </w:r>
            <w:r w:rsidRPr="002524DF">
              <w:t xml:space="preserve">resora „Gadskārtējā valsts budžeta izpildes procesā pārdalāmais finansējums” programmas 02.00.00 „Līdzekļi neparedzētiem gadījumiem” veikt līdzekļu pārdali uz Labklājības ministrijas pamatbudžeta programmu 99.00.00 “Līdzekļu neparedzētiem gadījumiem izlietojums”, nepārsniedzot </w:t>
            </w:r>
            <w:r>
              <w:t>3</w:t>
            </w:r>
            <w:r w:rsidRPr="0063541D">
              <w:t xml:space="preserve"> </w:t>
            </w:r>
            <w:r>
              <w:t>314</w:t>
            </w:r>
            <w:r w:rsidRPr="0063541D">
              <w:t xml:space="preserve"> </w:t>
            </w:r>
            <w:r>
              <w:t>520</w:t>
            </w:r>
            <w:r w:rsidRPr="002524DF">
              <w:t xml:space="preserve"> </w:t>
            </w:r>
            <w:proofErr w:type="spellStart"/>
            <w:r w:rsidRPr="002524DF">
              <w:rPr>
                <w:bCs/>
                <w:i/>
              </w:rPr>
              <w:t>euro</w:t>
            </w:r>
            <w:proofErr w:type="spellEnd"/>
            <w:r>
              <w:rPr>
                <w:bCs/>
                <w:i/>
              </w:rPr>
              <w:t>.</w:t>
            </w:r>
          </w:p>
        </w:tc>
      </w:tr>
      <w:tr w:rsidR="0011317A" w:rsidRPr="000B7BBC" w:rsidTr="007D4EF0">
        <w:trPr>
          <w:tblCellSpacing w:w="15" w:type="dxa"/>
        </w:trPr>
        <w:tc>
          <w:tcPr>
            <w:tcW w:w="291" w:type="pct"/>
            <w:tcBorders>
              <w:top w:val="outset" w:sz="6" w:space="0" w:color="auto"/>
              <w:bottom w:val="outset" w:sz="6" w:space="0" w:color="auto"/>
              <w:right w:val="outset" w:sz="6" w:space="0" w:color="auto"/>
            </w:tcBorders>
          </w:tcPr>
          <w:p w:rsidR="0011317A" w:rsidRPr="000B7BBC" w:rsidRDefault="0011317A" w:rsidP="00416316">
            <w:pPr>
              <w:spacing w:line="276" w:lineRule="auto"/>
              <w:rPr>
                <w:iCs/>
                <w:lang w:eastAsia="en-US"/>
              </w:rPr>
            </w:pPr>
            <w:r w:rsidRPr="000B7BBC">
              <w:rPr>
                <w:iCs/>
                <w:lang w:eastAsia="en-US"/>
              </w:rPr>
              <w:lastRenderedPageBreak/>
              <w:t>3.</w:t>
            </w:r>
          </w:p>
        </w:tc>
        <w:tc>
          <w:tcPr>
            <w:tcW w:w="1589" w:type="pct"/>
            <w:tcBorders>
              <w:top w:val="outset" w:sz="6" w:space="0" w:color="auto"/>
              <w:left w:val="outset" w:sz="6" w:space="0" w:color="auto"/>
              <w:bottom w:val="outset" w:sz="6" w:space="0" w:color="auto"/>
              <w:right w:val="outset" w:sz="6" w:space="0" w:color="auto"/>
            </w:tcBorders>
          </w:tcPr>
          <w:p w:rsidR="0011317A" w:rsidRDefault="0011317A" w:rsidP="00416316">
            <w:pPr>
              <w:spacing w:line="276" w:lineRule="auto"/>
              <w:rPr>
                <w:iCs/>
                <w:lang w:eastAsia="en-US"/>
              </w:rPr>
            </w:pPr>
            <w:r w:rsidRPr="000B7BBC">
              <w:rPr>
                <w:iCs/>
                <w:lang w:eastAsia="en-US"/>
              </w:rPr>
              <w:t>Projekta izstrādē iesaistītās institūcijas un publiskas personas kapitālsabiedrības</w:t>
            </w:r>
          </w:p>
          <w:p w:rsidR="0011317A" w:rsidRDefault="0011317A" w:rsidP="00A70283">
            <w:pPr>
              <w:rPr>
                <w:lang w:eastAsia="en-US"/>
              </w:rPr>
            </w:pPr>
          </w:p>
          <w:p w:rsidR="0011317A" w:rsidRPr="00A70283" w:rsidRDefault="0011317A" w:rsidP="00A70283">
            <w:pPr>
              <w:ind w:firstLine="720"/>
              <w:rPr>
                <w:lang w:eastAsia="en-US"/>
              </w:rPr>
            </w:pPr>
          </w:p>
        </w:tc>
        <w:tc>
          <w:tcPr>
            <w:tcW w:w="3055" w:type="pct"/>
            <w:tcBorders>
              <w:top w:val="outset" w:sz="6" w:space="0" w:color="auto"/>
              <w:left w:val="outset" w:sz="6" w:space="0" w:color="auto"/>
              <w:bottom w:val="outset" w:sz="6" w:space="0" w:color="auto"/>
            </w:tcBorders>
          </w:tcPr>
          <w:p w:rsidR="0011317A" w:rsidRPr="000B7BBC" w:rsidRDefault="0011317A" w:rsidP="00416316">
            <w:pPr>
              <w:spacing w:line="276" w:lineRule="auto"/>
              <w:jc w:val="both"/>
              <w:rPr>
                <w:iCs/>
                <w:lang w:eastAsia="en-US"/>
              </w:rPr>
            </w:pPr>
            <w:r>
              <w:rPr>
                <w:iCs/>
                <w:lang w:eastAsia="en-US"/>
              </w:rPr>
              <w:t>Nav.</w:t>
            </w:r>
          </w:p>
        </w:tc>
      </w:tr>
      <w:tr w:rsidR="0011317A" w:rsidRPr="000B7BBC" w:rsidTr="007D4EF0">
        <w:trPr>
          <w:tblCellSpacing w:w="15" w:type="dxa"/>
        </w:trPr>
        <w:tc>
          <w:tcPr>
            <w:tcW w:w="291" w:type="pct"/>
            <w:tcBorders>
              <w:top w:val="outset" w:sz="6" w:space="0" w:color="auto"/>
              <w:bottom w:val="outset" w:sz="6" w:space="0" w:color="auto"/>
              <w:right w:val="outset" w:sz="6" w:space="0" w:color="auto"/>
            </w:tcBorders>
          </w:tcPr>
          <w:p w:rsidR="0011317A" w:rsidRPr="000B7BBC" w:rsidRDefault="0011317A" w:rsidP="00416316">
            <w:pPr>
              <w:spacing w:line="276" w:lineRule="auto"/>
              <w:rPr>
                <w:iCs/>
                <w:lang w:eastAsia="en-US"/>
              </w:rPr>
            </w:pPr>
            <w:r w:rsidRPr="000B7BBC">
              <w:rPr>
                <w:iCs/>
                <w:lang w:eastAsia="en-US"/>
              </w:rPr>
              <w:t>4.</w:t>
            </w:r>
          </w:p>
        </w:tc>
        <w:tc>
          <w:tcPr>
            <w:tcW w:w="1589" w:type="pct"/>
            <w:tcBorders>
              <w:top w:val="outset" w:sz="6" w:space="0" w:color="auto"/>
              <w:left w:val="outset" w:sz="6" w:space="0" w:color="auto"/>
              <w:bottom w:val="outset" w:sz="6" w:space="0" w:color="auto"/>
              <w:right w:val="outset" w:sz="6" w:space="0" w:color="auto"/>
            </w:tcBorders>
          </w:tcPr>
          <w:p w:rsidR="0011317A" w:rsidRPr="000B7BBC" w:rsidRDefault="0011317A" w:rsidP="00416316">
            <w:pPr>
              <w:spacing w:line="276" w:lineRule="auto"/>
              <w:rPr>
                <w:iCs/>
                <w:lang w:eastAsia="en-US"/>
              </w:rPr>
            </w:pPr>
            <w:r w:rsidRPr="000B7BBC">
              <w:rPr>
                <w:iCs/>
                <w:lang w:eastAsia="en-US"/>
              </w:rPr>
              <w:t>Cita informācija</w:t>
            </w:r>
          </w:p>
        </w:tc>
        <w:tc>
          <w:tcPr>
            <w:tcW w:w="3055" w:type="pct"/>
            <w:tcBorders>
              <w:top w:val="outset" w:sz="6" w:space="0" w:color="auto"/>
              <w:left w:val="outset" w:sz="6" w:space="0" w:color="auto"/>
              <w:bottom w:val="outset" w:sz="6" w:space="0" w:color="auto"/>
            </w:tcBorders>
          </w:tcPr>
          <w:p w:rsidR="0011317A" w:rsidRPr="000B7BBC" w:rsidRDefault="0011317A" w:rsidP="00416316">
            <w:pPr>
              <w:spacing w:line="276" w:lineRule="auto"/>
              <w:rPr>
                <w:iCs/>
                <w:lang w:eastAsia="en-US"/>
              </w:rPr>
            </w:pPr>
            <w:r w:rsidRPr="000B7BBC">
              <w:rPr>
                <w:iCs/>
                <w:lang w:eastAsia="en-US"/>
              </w:rPr>
              <w:t>Nav.</w:t>
            </w:r>
          </w:p>
        </w:tc>
      </w:tr>
    </w:tbl>
    <w:p w:rsidR="0011317A" w:rsidRPr="000B7BBC" w:rsidRDefault="0011317A" w:rsidP="009B1558">
      <w:pPr>
        <w:rPr>
          <w:iCs/>
        </w:rPr>
      </w:pPr>
      <w:r w:rsidRPr="000B7BBC">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81"/>
        <w:gridCol w:w="3068"/>
        <w:gridCol w:w="5406"/>
      </w:tblGrid>
      <w:tr w:rsidR="0011317A" w:rsidRPr="000B7BBC" w:rsidTr="009B1558">
        <w:trPr>
          <w:tblCellSpacing w:w="15" w:type="dxa"/>
        </w:trPr>
        <w:tc>
          <w:tcPr>
            <w:tcW w:w="0" w:type="auto"/>
            <w:gridSpan w:val="3"/>
            <w:tcBorders>
              <w:top w:val="outset" w:sz="6" w:space="0" w:color="auto"/>
              <w:bottom w:val="outset" w:sz="6" w:space="0" w:color="auto"/>
            </w:tcBorders>
            <w:vAlign w:val="center"/>
          </w:tcPr>
          <w:p w:rsidR="0011317A" w:rsidRPr="000B7BBC" w:rsidRDefault="0011317A" w:rsidP="002A685A">
            <w:pPr>
              <w:spacing w:line="276" w:lineRule="auto"/>
              <w:jc w:val="center"/>
              <w:rPr>
                <w:b/>
                <w:bCs/>
                <w:iCs/>
                <w:lang w:eastAsia="en-US"/>
              </w:rPr>
            </w:pPr>
            <w:r w:rsidRPr="000B7BBC">
              <w:rPr>
                <w:b/>
                <w:bCs/>
                <w:iCs/>
                <w:lang w:eastAsia="en-US"/>
              </w:rPr>
              <w:t>II. Tiesību akta projekta ietekme uz sabiedrību, tautsaimniecības attīstību un administratīvo slogu</w:t>
            </w:r>
          </w:p>
        </w:tc>
      </w:tr>
      <w:tr w:rsidR="0011317A" w:rsidRPr="000B7BBC" w:rsidTr="00672B7F">
        <w:trPr>
          <w:tblCellSpacing w:w="15" w:type="dxa"/>
        </w:trPr>
        <w:tc>
          <w:tcPr>
            <w:tcW w:w="296" w:type="pct"/>
            <w:tcBorders>
              <w:top w:val="outset" w:sz="6" w:space="0" w:color="auto"/>
              <w:bottom w:val="outset" w:sz="6" w:space="0" w:color="auto"/>
              <w:right w:val="outset" w:sz="6" w:space="0" w:color="auto"/>
            </w:tcBorders>
          </w:tcPr>
          <w:p w:rsidR="0011317A" w:rsidRPr="000B7BBC" w:rsidRDefault="0011317A">
            <w:pPr>
              <w:spacing w:line="276" w:lineRule="auto"/>
              <w:rPr>
                <w:iCs/>
                <w:lang w:eastAsia="en-US"/>
              </w:rPr>
            </w:pPr>
            <w:r w:rsidRPr="000B7BBC">
              <w:rPr>
                <w:iCs/>
                <w:lang w:eastAsia="en-US"/>
              </w:rPr>
              <w:t>1.</w:t>
            </w:r>
          </w:p>
        </w:tc>
        <w:tc>
          <w:tcPr>
            <w:tcW w:w="1678" w:type="pct"/>
            <w:tcBorders>
              <w:top w:val="outset" w:sz="6" w:space="0" w:color="auto"/>
              <w:left w:val="outset" w:sz="6" w:space="0" w:color="auto"/>
              <w:bottom w:val="outset" w:sz="6" w:space="0" w:color="auto"/>
              <w:right w:val="outset" w:sz="6" w:space="0" w:color="auto"/>
            </w:tcBorders>
          </w:tcPr>
          <w:p w:rsidR="0011317A" w:rsidRPr="000B7BBC" w:rsidRDefault="0011317A">
            <w:pPr>
              <w:spacing w:line="276" w:lineRule="auto"/>
              <w:rPr>
                <w:iCs/>
                <w:lang w:eastAsia="en-US"/>
              </w:rPr>
            </w:pPr>
            <w:r w:rsidRPr="000B7BBC">
              <w:rPr>
                <w:iCs/>
                <w:lang w:eastAsia="en-US"/>
              </w:rPr>
              <w:t xml:space="preserve">Sabiedrības </w:t>
            </w:r>
            <w:proofErr w:type="spellStart"/>
            <w:r w:rsidRPr="000B7BBC">
              <w:rPr>
                <w:iCs/>
                <w:lang w:eastAsia="en-US"/>
              </w:rPr>
              <w:t>mērķgrupas</w:t>
            </w:r>
            <w:proofErr w:type="spellEnd"/>
            <w:r w:rsidRPr="000B7BBC">
              <w:rPr>
                <w:iCs/>
                <w:lang w:eastAsia="en-US"/>
              </w:rPr>
              <w:t>, kuras tiesiskais regulējums ietekmē vai varētu ietekmēt</w:t>
            </w:r>
          </w:p>
        </w:tc>
        <w:tc>
          <w:tcPr>
            <w:tcW w:w="2960" w:type="pct"/>
            <w:tcBorders>
              <w:top w:val="outset" w:sz="6" w:space="0" w:color="auto"/>
              <w:left w:val="outset" w:sz="6" w:space="0" w:color="auto"/>
              <w:bottom w:val="outset" w:sz="6" w:space="0" w:color="auto"/>
            </w:tcBorders>
          </w:tcPr>
          <w:p w:rsidR="0011317A" w:rsidRPr="000B7BBC" w:rsidRDefault="0011317A" w:rsidP="001E2DD6">
            <w:pPr>
              <w:shd w:val="clear" w:color="auto" w:fill="FFFFFF"/>
              <w:spacing w:after="120"/>
              <w:jc w:val="both"/>
              <w:rPr>
                <w:spacing w:val="-4"/>
                <w:lang w:eastAsia="en-US"/>
              </w:rPr>
            </w:pPr>
            <w:r>
              <w:rPr>
                <w:color w:val="000000"/>
                <w:shd w:val="clear" w:color="auto" w:fill="FFFFFF"/>
              </w:rPr>
              <w:t>Personas, kurām bezdarbnieka pabalsta izmaksas periods beidzas 2020. gada 12. martā vai vēlāk un kuras sakarā ar Covid-19 izsludinātās ārkārtējās situācijas radītajām sekām nav atradušas darbu un neveic saimniecisko darbību (turpina būt bezdarbnieka statusā).</w:t>
            </w:r>
          </w:p>
        </w:tc>
      </w:tr>
      <w:tr w:rsidR="0011317A" w:rsidRPr="000B7BBC" w:rsidTr="00672B7F">
        <w:trPr>
          <w:tblCellSpacing w:w="15" w:type="dxa"/>
        </w:trPr>
        <w:tc>
          <w:tcPr>
            <w:tcW w:w="296" w:type="pct"/>
            <w:tcBorders>
              <w:top w:val="outset" w:sz="6" w:space="0" w:color="auto"/>
              <w:bottom w:val="outset" w:sz="6" w:space="0" w:color="auto"/>
              <w:right w:val="outset" w:sz="6" w:space="0" w:color="auto"/>
            </w:tcBorders>
          </w:tcPr>
          <w:p w:rsidR="0011317A" w:rsidRPr="000B7BBC" w:rsidRDefault="0011317A" w:rsidP="00672B7F">
            <w:pPr>
              <w:spacing w:line="276" w:lineRule="auto"/>
              <w:rPr>
                <w:iCs/>
                <w:lang w:eastAsia="en-US"/>
              </w:rPr>
            </w:pPr>
            <w:r w:rsidRPr="000B7BBC">
              <w:rPr>
                <w:iCs/>
                <w:lang w:eastAsia="en-US"/>
              </w:rPr>
              <w:t>2.</w:t>
            </w:r>
          </w:p>
        </w:tc>
        <w:tc>
          <w:tcPr>
            <w:tcW w:w="1678" w:type="pct"/>
            <w:tcBorders>
              <w:top w:val="outset" w:sz="6" w:space="0" w:color="auto"/>
              <w:left w:val="outset" w:sz="6" w:space="0" w:color="auto"/>
              <w:bottom w:val="outset" w:sz="6" w:space="0" w:color="auto"/>
              <w:right w:val="outset" w:sz="6" w:space="0" w:color="auto"/>
            </w:tcBorders>
          </w:tcPr>
          <w:p w:rsidR="0011317A" w:rsidRDefault="0011317A" w:rsidP="00672B7F">
            <w:pPr>
              <w:spacing w:line="276" w:lineRule="auto"/>
              <w:rPr>
                <w:iCs/>
                <w:lang w:eastAsia="en-US"/>
              </w:rPr>
            </w:pPr>
            <w:r w:rsidRPr="000B7BBC">
              <w:rPr>
                <w:iCs/>
                <w:lang w:eastAsia="en-US"/>
              </w:rPr>
              <w:t>Tiesiskā regulējuma ietekme uz tautsaimniecību un administratīvo slogu</w:t>
            </w:r>
          </w:p>
          <w:p w:rsidR="0011317A" w:rsidRPr="00D156D5" w:rsidRDefault="0011317A" w:rsidP="00672B7F">
            <w:pPr>
              <w:rPr>
                <w:lang w:eastAsia="en-US"/>
              </w:rPr>
            </w:pPr>
          </w:p>
          <w:p w:rsidR="0011317A" w:rsidRPr="00D156D5" w:rsidRDefault="0011317A" w:rsidP="00672B7F">
            <w:pPr>
              <w:rPr>
                <w:lang w:eastAsia="en-US"/>
              </w:rPr>
            </w:pPr>
          </w:p>
          <w:p w:rsidR="0011317A" w:rsidRPr="00D156D5" w:rsidRDefault="0011317A" w:rsidP="00672B7F">
            <w:pPr>
              <w:rPr>
                <w:lang w:eastAsia="en-US"/>
              </w:rPr>
            </w:pPr>
          </w:p>
        </w:tc>
        <w:tc>
          <w:tcPr>
            <w:tcW w:w="2960" w:type="pct"/>
            <w:tcBorders>
              <w:top w:val="outset" w:sz="6" w:space="0" w:color="auto"/>
              <w:left w:val="outset" w:sz="6" w:space="0" w:color="auto"/>
              <w:bottom w:val="outset" w:sz="6" w:space="0" w:color="auto"/>
            </w:tcBorders>
          </w:tcPr>
          <w:p w:rsidR="0011317A" w:rsidRPr="000E67E3" w:rsidRDefault="0011317A" w:rsidP="00672B7F">
            <w:pPr>
              <w:pStyle w:val="NoSpacing"/>
              <w:rPr>
                <w:rFonts w:ascii="Times New Roman" w:hAnsi="Times New Roman"/>
                <w:sz w:val="24"/>
                <w:szCs w:val="24"/>
              </w:rPr>
            </w:pPr>
            <w:r w:rsidRPr="000E67E3">
              <w:rPr>
                <w:rFonts w:ascii="Times New Roman" w:hAnsi="Times New Roman"/>
                <w:sz w:val="24"/>
                <w:szCs w:val="24"/>
              </w:rPr>
              <w:t>Projektam nebūs būtiska ietekme uz tautsaimniecību, kā arī uz kopējo administratīvo slogu.</w:t>
            </w:r>
          </w:p>
          <w:p w:rsidR="0011317A" w:rsidRPr="000B7BBC" w:rsidRDefault="0011317A" w:rsidP="00672B7F">
            <w:pPr>
              <w:spacing w:after="120"/>
              <w:jc w:val="both"/>
              <w:rPr>
                <w:iCs/>
                <w:color w:val="FF0000"/>
                <w:lang w:eastAsia="en-US"/>
              </w:rPr>
            </w:pPr>
          </w:p>
        </w:tc>
      </w:tr>
      <w:tr w:rsidR="0011317A" w:rsidRPr="000B7BBC" w:rsidTr="00672B7F">
        <w:trPr>
          <w:tblCellSpacing w:w="15" w:type="dxa"/>
        </w:trPr>
        <w:tc>
          <w:tcPr>
            <w:tcW w:w="296" w:type="pct"/>
            <w:tcBorders>
              <w:top w:val="outset" w:sz="6" w:space="0" w:color="auto"/>
              <w:bottom w:val="outset" w:sz="6" w:space="0" w:color="auto"/>
              <w:right w:val="outset" w:sz="6" w:space="0" w:color="auto"/>
            </w:tcBorders>
          </w:tcPr>
          <w:p w:rsidR="0011317A" w:rsidRPr="000B7BBC" w:rsidRDefault="0011317A" w:rsidP="00672B7F">
            <w:pPr>
              <w:spacing w:line="276" w:lineRule="auto"/>
              <w:rPr>
                <w:iCs/>
                <w:lang w:eastAsia="en-US"/>
              </w:rPr>
            </w:pPr>
            <w:r w:rsidRPr="000B7BBC">
              <w:rPr>
                <w:iCs/>
                <w:lang w:eastAsia="en-US"/>
              </w:rPr>
              <w:t>3.</w:t>
            </w:r>
          </w:p>
        </w:tc>
        <w:tc>
          <w:tcPr>
            <w:tcW w:w="1678" w:type="pct"/>
            <w:tcBorders>
              <w:top w:val="outset" w:sz="6" w:space="0" w:color="auto"/>
              <w:left w:val="outset" w:sz="6" w:space="0" w:color="auto"/>
              <w:bottom w:val="outset" w:sz="6" w:space="0" w:color="auto"/>
              <w:right w:val="outset" w:sz="6" w:space="0" w:color="auto"/>
            </w:tcBorders>
          </w:tcPr>
          <w:p w:rsidR="0011317A" w:rsidRPr="000B7BBC" w:rsidRDefault="0011317A" w:rsidP="00672B7F">
            <w:pPr>
              <w:spacing w:line="276" w:lineRule="auto"/>
              <w:rPr>
                <w:iCs/>
                <w:lang w:eastAsia="en-US"/>
              </w:rPr>
            </w:pPr>
            <w:r w:rsidRPr="000B7BBC">
              <w:rPr>
                <w:iCs/>
                <w:lang w:eastAsia="en-US"/>
              </w:rPr>
              <w:t>Administratīvo izmaksu monetārs novērtējums</w:t>
            </w:r>
          </w:p>
        </w:tc>
        <w:tc>
          <w:tcPr>
            <w:tcW w:w="2960" w:type="pct"/>
            <w:tcBorders>
              <w:top w:val="outset" w:sz="6" w:space="0" w:color="auto"/>
              <w:left w:val="outset" w:sz="6" w:space="0" w:color="auto"/>
              <w:bottom w:val="outset" w:sz="6" w:space="0" w:color="auto"/>
            </w:tcBorders>
          </w:tcPr>
          <w:p w:rsidR="0011317A" w:rsidRPr="000E67E3" w:rsidRDefault="0011317A" w:rsidP="00672B7F">
            <w:pPr>
              <w:pStyle w:val="NoSpacing"/>
              <w:rPr>
                <w:rFonts w:ascii="Times New Roman" w:hAnsi="Times New Roman"/>
                <w:sz w:val="24"/>
                <w:szCs w:val="24"/>
              </w:rPr>
            </w:pPr>
            <w:r w:rsidRPr="000E67E3">
              <w:rPr>
                <w:rFonts w:ascii="Times New Roman" w:hAnsi="Times New Roman"/>
                <w:sz w:val="24"/>
                <w:szCs w:val="24"/>
              </w:rPr>
              <w:t>Projektam nebūs papildu administratīvās izmaksas.</w:t>
            </w:r>
          </w:p>
          <w:p w:rsidR="0011317A" w:rsidRPr="000B7BBC" w:rsidRDefault="0011317A" w:rsidP="00672B7F">
            <w:pPr>
              <w:spacing w:line="276" w:lineRule="auto"/>
              <w:rPr>
                <w:iCs/>
                <w:lang w:eastAsia="en-US"/>
              </w:rPr>
            </w:pPr>
          </w:p>
        </w:tc>
      </w:tr>
      <w:tr w:rsidR="0011317A" w:rsidRPr="000B7BBC" w:rsidTr="00672B7F">
        <w:trPr>
          <w:tblCellSpacing w:w="15" w:type="dxa"/>
        </w:trPr>
        <w:tc>
          <w:tcPr>
            <w:tcW w:w="296" w:type="pct"/>
            <w:tcBorders>
              <w:top w:val="outset" w:sz="6" w:space="0" w:color="auto"/>
              <w:bottom w:val="outset" w:sz="6" w:space="0" w:color="auto"/>
              <w:right w:val="outset" w:sz="6" w:space="0" w:color="auto"/>
            </w:tcBorders>
          </w:tcPr>
          <w:p w:rsidR="0011317A" w:rsidRPr="000B7BBC" w:rsidRDefault="0011317A">
            <w:pPr>
              <w:spacing w:line="276" w:lineRule="auto"/>
              <w:rPr>
                <w:iCs/>
                <w:lang w:eastAsia="en-US"/>
              </w:rPr>
            </w:pPr>
            <w:r>
              <w:rPr>
                <w:iCs/>
                <w:lang w:eastAsia="en-US"/>
              </w:rPr>
              <w:t>4.</w:t>
            </w:r>
          </w:p>
        </w:tc>
        <w:tc>
          <w:tcPr>
            <w:tcW w:w="1678" w:type="pct"/>
            <w:tcBorders>
              <w:top w:val="outset" w:sz="6" w:space="0" w:color="auto"/>
              <w:left w:val="outset" w:sz="6" w:space="0" w:color="auto"/>
              <w:bottom w:val="outset" w:sz="6" w:space="0" w:color="auto"/>
              <w:right w:val="outset" w:sz="6" w:space="0" w:color="auto"/>
            </w:tcBorders>
          </w:tcPr>
          <w:p w:rsidR="0011317A" w:rsidRPr="000B7BBC" w:rsidRDefault="0011317A">
            <w:pPr>
              <w:spacing w:line="276" w:lineRule="auto"/>
              <w:rPr>
                <w:iCs/>
                <w:lang w:eastAsia="en-US"/>
              </w:rPr>
            </w:pPr>
            <w:r>
              <w:rPr>
                <w:iCs/>
                <w:color w:val="414142"/>
              </w:rPr>
              <w:t>Atbilstības izmaksu monetārs novērtējums</w:t>
            </w:r>
          </w:p>
        </w:tc>
        <w:tc>
          <w:tcPr>
            <w:tcW w:w="2960" w:type="pct"/>
            <w:tcBorders>
              <w:top w:val="outset" w:sz="6" w:space="0" w:color="auto"/>
              <w:left w:val="outset" w:sz="6" w:space="0" w:color="auto"/>
              <w:bottom w:val="outset" w:sz="6" w:space="0" w:color="auto"/>
            </w:tcBorders>
          </w:tcPr>
          <w:p w:rsidR="0011317A" w:rsidRPr="000B7BBC" w:rsidRDefault="0011317A">
            <w:pPr>
              <w:spacing w:line="276" w:lineRule="auto"/>
              <w:rPr>
                <w:iCs/>
                <w:lang w:eastAsia="en-US"/>
              </w:rPr>
            </w:pPr>
            <w:r w:rsidRPr="00672B7F">
              <w:t>Projektā noteiktās izmaiņas neuzliek papildus pienākumus fiziskām vai juridiskām personām.</w:t>
            </w:r>
          </w:p>
        </w:tc>
      </w:tr>
      <w:tr w:rsidR="0011317A" w:rsidRPr="000B7BBC" w:rsidTr="00672B7F">
        <w:trPr>
          <w:tblCellSpacing w:w="15" w:type="dxa"/>
        </w:trPr>
        <w:tc>
          <w:tcPr>
            <w:tcW w:w="296" w:type="pct"/>
            <w:tcBorders>
              <w:top w:val="outset" w:sz="6" w:space="0" w:color="auto"/>
              <w:bottom w:val="outset" w:sz="6" w:space="0" w:color="auto"/>
              <w:right w:val="outset" w:sz="6" w:space="0" w:color="auto"/>
            </w:tcBorders>
          </w:tcPr>
          <w:p w:rsidR="0011317A" w:rsidRPr="000B7BBC" w:rsidRDefault="0011317A">
            <w:pPr>
              <w:spacing w:line="276" w:lineRule="auto"/>
              <w:rPr>
                <w:iCs/>
                <w:lang w:eastAsia="en-US"/>
              </w:rPr>
            </w:pPr>
            <w:r w:rsidRPr="000B7BBC">
              <w:rPr>
                <w:iCs/>
                <w:lang w:eastAsia="en-US"/>
              </w:rPr>
              <w:t>5.</w:t>
            </w:r>
          </w:p>
        </w:tc>
        <w:tc>
          <w:tcPr>
            <w:tcW w:w="1678" w:type="pct"/>
            <w:tcBorders>
              <w:top w:val="outset" w:sz="6" w:space="0" w:color="auto"/>
              <w:left w:val="outset" w:sz="6" w:space="0" w:color="auto"/>
              <w:bottom w:val="outset" w:sz="6" w:space="0" w:color="auto"/>
              <w:right w:val="outset" w:sz="6" w:space="0" w:color="auto"/>
            </w:tcBorders>
          </w:tcPr>
          <w:p w:rsidR="0011317A" w:rsidRPr="000B7BBC" w:rsidRDefault="0011317A">
            <w:pPr>
              <w:spacing w:line="276" w:lineRule="auto"/>
              <w:rPr>
                <w:iCs/>
                <w:lang w:eastAsia="en-US"/>
              </w:rPr>
            </w:pPr>
            <w:r w:rsidRPr="000B7BBC">
              <w:rPr>
                <w:iCs/>
                <w:lang w:eastAsia="en-US"/>
              </w:rPr>
              <w:t>Cita informācija</w:t>
            </w:r>
          </w:p>
        </w:tc>
        <w:tc>
          <w:tcPr>
            <w:tcW w:w="2960" w:type="pct"/>
            <w:tcBorders>
              <w:top w:val="outset" w:sz="6" w:space="0" w:color="auto"/>
              <w:left w:val="outset" w:sz="6" w:space="0" w:color="auto"/>
              <w:bottom w:val="outset" w:sz="6" w:space="0" w:color="auto"/>
            </w:tcBorders>
          </w:tcPr>
          <w:p w:rsidR="0011317A" w:rsidRPr="000B7BBC" w:rsidRDefault="0011317A">
            <w:pPr>
              <w:spacing w:line="276" w:lineRule="auto"/>
              <w:rPr>
                <w:iCs/>
                <w:lang w:eastAsia="en-US"/>
              </w:rPr>
            </w:pPr>
            <w:r w:rsidRPr="000B7BBC">
              <w:rPr>
                <w:iCs/>
                <w:lang w:eastAsia="en-US"/>
              </w:rPr>
              <w:t>Nav.</w:t>
            </w:r>
          </w:p>
        </w:tc>
      </w:tr>
    </w:tbl>
    <w:p w:rsidR="0011317A" w:rsidRPr="000B7BBC" w:rsidRDefault="0011317A" w:rsidP="009B1558">
      <w:pPr>
        <w:rPr>
          <w:iCs/>
        </w:rPr>
      </w:pPr>
      <w:r w:rsidRPr="000B7BBC">
        <w:rPr>
          <w:iCs/>
        </w:rPr>
        <w:t xml:space="preserve">  </w:t>
      </w:r>
    </w:p>
    <w:tbl>
      <w:tblPr>
        <w:tblW w:w="49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1947"/>
        <w:gridCol w:w="694"/>
        <w:gridCol w:w="1222"/>
        <w:gridCol w:w="698"/>
        <w:gridCol w:w="951"/>
        <w:gridCol w:w="710"/>
        <w:gridCol w:w="861"/>
        <w:gridCol w:w="1887"/>
      </w:tblGrid>
      <w:tr w:rsidR="0011317A" w:rsidRPr="00925C92" w:rsidTr="00A4046F">
        <w:trPr>
          <w:cantSplit/>
        </w:trPr>
        <w:tc>
          <w:tcPr>
            <w:tcW w:w="5000" w:type="pct"/>
            <w:gridSpan w:val="8"/>
            <w:vAlign w:val="center"/>
          </w:tcPr>
          <w:p w:rsidR="0011317A" w:rsidRPr="00925C92" w:rsidRDefault="0011317A" w:rsidP="00DA6FBE">
            <w:pPr>
              <w:jc w:val="center"/>
              <w:rPr>
                <w:b/>
                <w:lang w:eastAsia="en-US"/>
              </w:rPr>
            </w:pPr>
            <w:r w:rsidRPr="00925C92">
              <w:rPr>
                <w:b/>
                <w:lang w:eastAsia="en-US"/>
              </w:rPr>
              <w:t>III. Tiesību akta projekta ietekme uz valsts budžetu un pašvaldību budžetiem</w:t>
            </w:r>
          </w:p>
        </w:tc>
      </w:tr>
      <w:tr w:rsidR="0011317A" w:rsidRPr="00925C92" w:rsidTr="00A4046F">
        <w:trPr>
          <w:cantSplit/>
        </w:trPr>
        <w:tc>
          <w:tcPr>
            <w:tcW w:w="1085" w:type="pct"/>
            <w:vMerge w:val="restart"/>
            <w:shd w:val="clear" w:color="auto" w:fill="FFFFFF"/>
            <w:vAlign w:val="center"/>
          </w:tcPr>
          <w:p w:rsidR="0011317A" w:rsidRPr="00925C92" w:rsidRDefault="0011317A" w:rsidP="00DA6FBE">
            <w:pPr>
              <w:jc w:val="both"/>
              <w:rPr>
                <w:sz w:val="20"/>
                <w:szCs w:val="20"/>
                <w:lang w:eastAsia="en-US"/>
              </w:rPr>
            </w:pPr>
            <w:r w:rsidRPr="00925C92">
              <w:rPr>
                <w:sz w:val="20"/>
                <w:szCs w:val="20"/>
                <w:lang w:eastAsia="en-US"/>
              </w:rPr>
              <w:t>Rādītāji</w:t>
            </w:r>
          </w:p>
        </w:tc>
        <w:tc>
          <w:tcPr>
            <w:tcW w:w="1068" w:type="pct"/>
            <w:gridSpan w:val="2"/>
            <w:vMerge w:val="restart"/>
            <w:shd w:val="clear" w:color="auto" w:fill="FFFFFF"/>
            <w:vAlign w:val="center"/>
          </w:tcPr>
          <w:p w:rsidR="0011317A" w:rsidRPr="00925C92" w:rsidRDefault="0011317A" w:rsidP="00DA6FBE">
            <w:pPr>
              <w:jc w:val="center"/>
              <w:rPr>
                <w:sz w:val="20"/>
                <w:szCs w:val="20"/>
                <w:lang w:eastAsia="en-US"/>
              </w:rPr>
            </w:pPr>
            <w:r w:rsidRPr="00925C92">
              <w:rPr>
                <w:sz w:val="20"/>
                <w:szCs w:val="20"/>
                <w:lang w:eastAsia="en-US"/>
              </w:rPr>
              <w:t>202</w:t>
            </w:r>
            <w:r>
              <w:rPr>
                <w:sz w:val="20"/>
                <w:szCs w:val="20"/>
                <w:lang w:eastAsia="en-US"/>
              </w:rPr>
              <w:t>1</w:t>
            </w:r>
            <w:r w:rsidRPr="00925C92">
              <w:rPr>
                <w:sz w:val="20"/>
                <w:szCs w:val="20"/>
                <w:lang w:eastAsia="en-US"/>
              </w:rPr>
              <w:t>.gads</w:t>
            </w:r>
          </w:p>
        </w:tc>
        <w:tc>
          <w:tcPr>
            <w:tcW w:w="2847" w:type="pct"/>
            <w:gridSpan w:val="5"/>
            <w:shd w:val="clear" w:color="auto" w:fill="FFFFFF"/>
            <w:vAlign w:val="center"/>
          </w:tcPr>
          <w:p w:rsidR="0011317A" w:rsidRPr="00925C92" w:rsidRDefault="0011317A" w:rsidP="00DA6FBE">
            <w:pPr>
              <w:jc w:val="center"/>
              <w:rPr>
                <w:sz w:val="20"/>
                <w:szCs w:val="20"/>
                <w:lang w:eastAsia="en-US"/>
              </w:rPr>
            </w:pPr>
            <w:r w:rsidRPr="00925C92">
              <w:rPr>
                <w:sz w:val="20"/>
                <w:szCs w:val="20"/>
                <w:lang w:eastAsia="en-US"/>
              </w:rPr>
              <w:t>Turpmākie trīs gadi (</w:t>
            </w:r>
            <w:proofErr w:type="spellStart"/>
            <w:r w:rsidRPr="00DA570D">
              <w:rPr>
                <w:i/>
                <w:sz w:val="20"/>
                <w:szCs w:val="20"/>
                <w:lang w:eastAsia="en-US"/>
              </w:rPr>
              <w:t>euro</w:t>
            </w:r>
            <w:proofErr w:type="spellEnd"/>
            <w:r w:rsidRPr="00925C92">
              <w:rPr>
                <w:sz w:val="20"/>
                <w:szCs w:val="20"/>
                <w:lang w:eastAsia="en-US"/>
              </w:rPr>
              <w:t>)</w:t>
            </w:r>
          </w:p>
        </w:tc>
      </w:tr>
      <w:tr w:rsidR="0011317A" w:rsidRPr="00925C92" w:rsidTr="003B7BB4">
        <w:trPr>
          <w:cantSplit/>
        </w:trPr>
        <w:tc>
          <w:tcPr>
            <w:tcW w:w="1085" w:type="pct"/>
            <w:vMerge/>
            <w:vAlign w:val="center"/>
          </w:tcPr>
          <w:p w:rsidR="0011317A" w:rsidRPr="00925C92" w:rsidRDefault="0011317A" w:rsidP="00DA6FBE">
            <w:pPr>
              <w:jc w:val="both"/>
              <w:rPr>
                <w:sz w:val="20"/>
                <w:szCs w:val="20"/>
                <w:lang w:eastAsia="en-US"/>
              </w:rPr>
            </w:pPr>
          </w:p>
        </w:tc>
        <w:tc>
          <w:tcPr>
            <w:tcW w:w="1068" w:type="pct"/>
            <w:gridSpan w:val="2"/>
            <w:vMerge/>
            <w:vAlign w:val="center"/>
          </w:tcPr>
          <w:p w:rsidR="0011317A" w:rsidRPr="00925C92" w:rsidRDefault="0011317A" w:rsidP="00DA6FBE">
            <w:pPr>
              <w:jc w:val="both"/>
              <w:rPr>
                <w:sz w:val="20"/>
                <w:szCs w:val="20"/>
                <w:lang w:eastAsia="en-US"/>
              </w:rPr>
            </w:pPr>
          </w:p>
        </w:tc>
        <w:tc>
          <w:tcPr>
            <w:tcW w:w="919" w:type="pct"/>
            <w:gridSpan w:val="2"/>
            <w:shd w:val="clear" w:color="auto" w:fill="FFFFFF"/>
            <w:vAlign w:val="center"/>
          </w:tcPr>
          <w:p w:rsidR="0011317A" w:rsidRPr="00925C92" w:rsidRDefault="0011317A" w:rsidP="00DA6FBE">
            <w:pPr>
              <w:jc w:val="center"/>
              <w:rPr>
                <w:sz w:val="20"/>
                <w:szCs w:val="20"/>
                <w:lang w:eastAsia="en-US"/>
              </w:rPr>
            </w:pPr>
            <w:r w:rsidRPr="00925C92">
              <w:rPr>
                <w:sz w:val="20"/>
                <w:szCs w:val="20"/>
                <w:lang w:eastAsia="en-US"/>
              </w:rPr>
              <w:t>202</w:t>
            </w:r>
            <w:r>
              <w:rPr>
                <w:sz w:val="20"/>
                <w:szCs w:val="20"/>
                <w:lang w:eastAsia="en-US"/>
              </w:rPr>
              <w:t>2</w:t>
            </w:r>
          </w:p>
        </w:tc>
        <w:tc>
          <w:tcPr>
            <w:tcW w:w="876" w:type="pct"/>
            <w:gridSpan w:val="2"/>
            <w:shd w:val="clear" w:color="auto" w:fill="FFFFFF"/>
            <w:vAlign w:val="center"/>
          </w:tcPr>
          <w:p w:rsidR="0011317A" w:rsidRPr="00925C92" w:rsidRDefault="0011317A" w:rsidP="00DA6FBE">
            <w:pPr>
              <w:jc w:val="center"/>
              <w:rPr>
                <w:sz w:val="20"/>
                <w:szCs w:val="20"/>
                <w:lang w:eastAsia="en-US"/>
              </w:rPr>
            </w:pPr>
            <w:r w:rsidRPr="00925C92">
              <w:rPr>
                <w:sz w:val="20"/>
                <w:szCs w:val="20"/>
                <w:lang w:eastAsia="en-US"/>
              </w:rPr>
              <w:t>202</w:t>
            </w:r>
            <w:r>
              <w:rPr>
                <w:sz w:val="20"/>
                <w:szCs w:val="20"/>
                <w:lang w:eastAsia="en-US"/>
              </w:rPr>
              <w:t>3</w:t>
            </w:r>
          </w:p>
        </w:tc>
        <w:tc>
          <w:tcPr>
            <w:tcW w:w="1052" w:type="pct"/>
            <w:shd w:val="clear" w:color="auto" w:fill="FFFFFF"/>
            <w:vAlign w:val="center"/>
          </w:tcPr>
          <w:p w:rsidR="0011317A" w:rsidRPr="00925C92" w:rsidRDefault="0011317A" w:rsidP="00DA6FBE">
            <w:pPr>
              <w:jc w:val="center"/>
              <w:rPr>
                <w:sz w:val="20"/>
                <w:szCs w:val="20"/>
                <w:lang w:eastAsia="en-US"/>
              </w:rPr>
            </w:pPr>
            <w:r w:rsidRPr="00925C92">
              <w:rPr>
                <w:sz w:val="20"/>
                <w:szCs w:val="20"/>
                <w:lang w:eastAsia="en-US"/>
              </w:rPr>
              <w:t>202</w:t>
            </w:r>
            <w:r>
              <w:rPr>
                <w:sz w:val="20"/>
                <w:szCs w:val="20"/>
                <w:lang w:eastAsia="en-US"/>
              </w:rPr>
              <w:t>4</w:t>
            </w:r>
          </w:p>
        </w:tc>
      </w:tr>
      <w:tr w:rsidR="0011317A" w:rsidRPr="00925C92" w:rsidTr="003B7BB4">
        <w:trPr>
          <w:cantSplit/>
        </w:trPr>
        <w:tc>
          <w:tcPr>
            <w:tcW w:w="1085" w:type="pct"/>
            <w:vMerge/>
            <w:vAlign w:val="center"/>
          </w:tcPr>
          <w:p w:rsidR="0011317A" w:rsidRPr="00925C92" w:rsidRDefault="0011317A" w:rsidP="00DA6FBE">
            <w:pPr>
              <w:jc w:val="both"/>
              <w:rPr>
                <w:sz w:val="20"/>
                <w:szCs w:val="20"/>
                <w:lang w:eastAsia="en-US"/>
              </w:rPr>
            </w:pPr>
          </w:p>
        </w:tc>
        <w:tc>
          <w:tcPr>
            <w:tcW w:w="387" w:type="pct"/>
            <w:shd w:val="clear" w:color="auto" w:fill="FFFFFF"/>
            <w:vAlign w:val="center"/>
          </w:tcPr>
          <w:p w:rsidR="0011317A" w:rsidRPr="006E11E6" w:rsidRDefault="0011317A" w:rsidP="00DA6FBE">
            <w:pPr>
              <w:jc w:val="center"/>
              <w:rPr>
                <w:sz w:val="18"/>
                <w:szCs w:val="20"/>
                <w:lang w:eastAsia="en-US"/>
              </w:rPr>
            </w:pPr>
            <w:r w:rsidRPr="006E11E6">
              <w:rPr>
                <w:sz w:val="18"/>
                <w:szCs w:val="20"/>
                <w:lang w:eastAsia="en-US"/>
              </w:rPr>
              <w:t>saskaņā ar valsts budžetu kārtējam gadam</w:t>
            </w:r>
          </w:p>
        </w:tc>
        <w:tc>
          <w:tcPr>
            <w:tcW w:w="681" w:type="pct"/>
            <w:shd w:val="clear" w:color="auto" w:fill="FFFFFF"/>
            <w:vAlign w:val="center"/>
          </w:tcPr>
          <w:p w:rsidR="0011317A" w:rsidRPr="006E11E6" w:rsidRDefault="0011317A" w:rsidP="00DA6FBE">
            <w:pPr>
              <w:jc w:val="center"/>
              <w:rPr>
                <w:sz w:val="18"/>
                <w:szCs w:val="20"/>
                <w:lang w:eastAsia="en-US"/>
              </w:rPr>
            </w:pPr>
            <w:r w:rsidRPr="006E11E6">
              <w:rPr>
                <w:sz w:val="18"/>
                <w:szCs w:val="20"/>
                <w:lang w:eastAsia="en-US"/>
              </w:rPr>
              <w:t>izmaiņas kārtējā gadā, salīdzinot ar valsts budžetu kārtējam gadam</w:t>
            </w:r>
          </w:p>
        </w:tc>
        <w:tc>
          <w:tcPr>
            <w:tcW w:w="389" w:type="pct"/>
            <w:shd w:val="clear" w:color="auto" w:fill="FFFFFF"/>
            <w:vAlign w:val="center"/>
          </w:tcPr>
          <w:p w:rsidR="0011317A" w:rsidRPr="006E11E6" w:rsidRDefault="0011317A" w:rsidP="00DA6FBE">
            <w:pPr>
              <w:jc w:val="center"/>
              <w:rPr>
                <w:sz w:val="18"/>
                <w:szCs w:val="20"/>
                <w:lang w:eastAsia="en-US"/>
              </w:rPr>
            </w:pPr>
            <w:r w:rsidRPr="006E11E6">
              <w:rPr>
                <w:sz w:val="18"/>
                <w:szCs w:val="20"/>
                <w:lang w:eastAsia="en-US"/>
              </w:rPr>
              <w:t>saskaņā ar vidēja termiņa budžeta ietvaru</w:t>
            </w:r>
          </w:p>
        </w:tc>
        <w:tc>
          <w:tcPr>
            <w:tcW w:w="530" w:type="pct"/>
            <w:shd w:val="clear" w:color="auto" w:fill="FFFFFF"/>
            <w:vAlign w:val="center"/>
          </w:tcPr>
          <w:p w:rsidR="0011317A" w:rsidRPr="006E11E6" w:rsidRDefault="0011317A" w:rsidP="00DA6FBE">
            <w:pPr>
              <w:jc w:val="center"/>
              <w:rPr>
                <w:sz w:val="18"/>
                <w:szCs w:val="20"/>
                <w:lang w:eastAsia="en-US"/>
              </w:rPr>
            </w:pPr>
            <w:r w:rsidRPr="006E11E6">
              <w:rPr>
                <w:sz w:val="18"/>
                <w:szCs w:val="20"/>
                <w:lang w:eastAsia="en-US"/>
              </w:rPr>
              <w:t>izmaiņas, salīdzinot ar vidēja termiņa budžeta ietvaru 202</w:t>
            </w:r>
            <w:r>
              <w:rPr>
                <w:sz w:val="18"/>
                <w:szCs w:val="20"/>
                <w:lang w:eastAsia="en-US"/>
              </w:rPr>
              <w:t>2</w:t>
            </w:r>
            <w:r w:rsidRPr="006E11E6">
              <w:rPr>
                <w:sz w:val="18"/>
                <w:szCs w:val="20"/>
                <w:lang w:eastAsia="en-US"/>
              </w:rPr>
              <w:t>. gadam</w:t>
            </w:r>
          </w:p>
        </w:tc>
        <w:tc>
          <w:tcPr>
            <w:tcW w:w="396" w:type="pct"/>
            <w:shd w:val="clear" w:color="auto" w:fill="FFFFFF"/>
            <w:vAlign w:val="center"/>
          </w:tcPr>
          <w:p w:rsidR="0011317A" w:rsidRPr="006E11E6" w:rsidRDefault="0011317A" w:rsidP="00DA6FBE">
            <w:pPr>
              <w:jc w:val="center"/>
              <w:rPr>
                <w:sz w:val="18"/>
                <w:szCs w:val="20"/>
                <w:lang w:eastAsia="en-US"/>
              </w:rPr>
            </w:pPr>
            <w:r w:rsidRPr="006E11E6">
              <w:rPr>
                <w:sz w:val="18"/>
                <w:szCs w:val="20"/>
                <w:lang w:eastAsia="en-US"/>
              </w:rPr>
              <w:t>saskaņā ar vidēja termiņa budžeta ietvaru</w:t>
            </w:r>
          </w:p>
        </w:tc>
        <w:tc>
          <w:tcPr>
            <w:tcW w:w="480" w:type="pct"/>
            <w:shd w:val="clear" w:color="auto" w:fill="FFFFFF"/>
            <w:vAlign w:val="center"/>
          </w:tcPr>
          <w:p w:rsidR="0011317A" w:rsidRPr="006E11E6" w:rsidRDefault="0011317A" w:rsidP="00DA6FBE">
            <w:pPr>
              <w:jc w:val="center"/>
              <w:rPr>
                <w:sz w:val="18"/>
                <w:szCs w:val="20"/>
                <w:lang w:eastAsia="en-US"/>
              </w:rPr>
            </w:pPr>
            <w:r w:rsidRPr="006E11E6">
              <w:rPr>
                <w:sz w:val="18"/>
                <w:szCs w:val="20"/>
                <w:lang w:eastAsia="en-US"/>
              </w:rPr>
              <w:t>izmaiņas, salīdzinot ar vidēja termiņa budžeta ietvaru 202</w:t>
            </w:r>
            <w:r>
              <w:rPr>
                <w:sz w:val="18"/>
                <w:szCs w:val="20"/>
                <w:lang w:eastAsia="en-US"/>
              </w:rPr>
              <w:t>3</w:t>
            </w:r>
            <w:r w:rsidRPr="006E11E6">
              <w:rPr>
                <w:sz w:val="18"/>
                <w:szCs w:val="20"/>
                <w:lang w:eastAsia="en-US"/>
              </w:rPr>
              <w:t>. gadam</w:t>
            </w:r>
          </w:p>
        </w:tc>
        <w:tc>
          <w:tcPr>
            <w:tcW w:w="1052" w:type="pct"/>
            <w:shd w:val="clear" w:color="auto" w:fill="FFFFFF"/>
            <w:vAlign w:val="center"/>
          </w:tcPr>
          <w:p w:rsidR="0011317A" w:rsidRPr="006E11E6" w:rsidRDefault="0011317A" w:rsidP="00DA6FBE">
            <w:pPr>
              <w:jc w:val="center"/>
              <w:rPr>
                <w:sz w:val="18"/>
                <w:szCs w:val="20"/>
                <w:lang w:eastAsia="en-US"/>
              </w:rPr>
            </w:pPr>
            <w:r w:rsidRPr="006E11E6">
              <w:rPr>
                <w:sz w:val="18"/>
                <w:szCs w:val="20"/>
                <w:lang w:eastAsia="en-US"/>
              </w:rPr>
              <w:t xml:space="preserve">izmaiņas, salīdzinot ar vidēja termiņa budžeta ietvaru </w:t>
            </w:r>
            <w:r w:rsidRPr="006E11E6">
              <w:rPr>
                <w:sz w:val="18"/>
                <w:szCs w:val="20"/>
                <w:lang w:eastAsia="en-US"/>
              </w:rPr>
              <w:br/>
              <w:t>202</w:t>
            </w:r>
            <w:r>
              <w:rPr>
                <w:sz w:val="18"/>
                <w:szCs w:val="20"/>
                <w:lang w:eastAsia="en-US"/>
              </w:rPr>
              <w:t>3</w:t>
            </w:r>
            <w:r w:rsidRPr="006E11E6">
              <w:rPr>
                <w:sz w:val="18"/>
                <w:szCs w:val="20"/>
                <w:lang w:eastAsia="en-US"/>
              </w:rPr>
              <w:t>. gadam</w:t>
            </w:r>
          </w:p>
        </w:tc>
      </w:tr>
      <w:tr w:rsidR="0011317A" w:rsidRPr="006E11E6" w:rsidTr="003B7BB4">
        <w:trPr>
          <w:cantSplit/>
        </w:trPr>
        <w:tc>
          <w:tcPr>
            <w:tcW w:w="1085" w:type="pct"/>
            <w:shd w:val="clear" w:color="auto" w:fill="FFFFFF"/>
            <w:vAlign w:val="center"/>
          </w:tcPr>
          <w:p w:rsidR="0011317A" w:rsidRPr="006E11E6" w:rsidRDefault="0011317A" w:rsidP="00DA6FBE">
            <w:pPr>
              <w:jc w:val="center"/>
              <w:rPr>
                <w:sz w:val="16"/>
                <w:szCs w:val="20"/>
                <w:lang w:eastAsia="en-US"/>
              </w:rPr>
            </w:pPr>
            <w:r w:rsidRPr="006E11E6">
              <w:rPr>
                <w:sz w:val="16"/>
                <w:szCs w:val="20"/>
                <w:lang w:eastAsia="en-US"/>
              </w:rPr>
              <w:t>1</w:t>
            </w:r>
          </w:p>
        </w:tc>
        <w:tc>
          <w:tcPr>
            <w:tcW w:w="387" w:type="pct"/>
            <w:shd w:val="clear" w:color="auto" w:fill="FFFFFF"/>
            <w:vAlign w:val="center"/>
          </w:tcPr>
          <w:p w:rsidR="0011317A" w:rsidRPr="006E11E6" w:rsidRDefault="0011317A" w:rsidP="00DA6FBE">
            <w:pPr>
              <w:jc w:val="center"/>
              <w:rPr>
                <w:sz w:val="16"/>
                <w:szCs w:val="20"/>
                <w:lang w:eastAsia="en-US"/>
              </w:rPr>
            </w:pPr>
            <w:r w:rsidRPr="006E11E6">
              <w:rPr>
                <w:sz w:val="16"/>
                <w:szCs w:val="20"/>
                <w:lang w:eastAsia="en-US"/>
              </w:rPr>
              <w:t>2</w:t>
            </w:r>
          </w:p>
        </w:tc>
        <w:tc>
          <w:tcPr>
            <w:tcW w:w="681" w:type="pct"/>
            <w:shd w:val="clear" w:color="auto" w:fill="FFFFFF"/>
            <w:vAlign w:val="center"/>
          </w:tcPr>
          <w:p w:rsidR="0011317A" w:rsidRPr="006E11E6" w:rsidRDefault="0011317A" w:rsidP="00DA6FBE">
            <w:pPr>
              <w:jc w:val="center"/>
              <w:rPr>
                <w:sz w:val="16"/>
                <w:szCs w:val="20"/>
                <w:lang w:eastAsia="en-US"/>
              </w:rPr>
            </w:pPr>
            <w:r w:rsidRPr="006E11E6">
              <w:rPr>
                <w:sz w:val="16"/>
                <w:szCs w:val="20"/>
                <w:lang w:eastAsia="en-US"/>
              </w:rPr>
              <w:t>3</w:t>
            </w:r>
          </w:p>
        </w:tc>
        <w:tc>
          <w:tcPr>
            <w:tcW w:w="389" w:type="pct"/>
            <w:shd w:val="clear" w:color="auto" w:fill="FFFFFF"/>
            <w:vAlign w:val="center"/>
          </w:tcPr>
          <w:p w:rsidR="0011317A" w:rsidRPr="006E11E6" w:rsidRDefault="0011317A" w:rsidP="00DA6FBE">
            <w:pPr>
              <w:jc w:val="center"/>
              <w:rPr>
                <w:sz w:val="16"/>
                <w:szCs w:val="20"/>
                <w:lang w:eastAsia="en-US"/>
              </w:rPr>
            </w:pPr>
            <w:r w:rsidRPr="006E11E6">
              <w:rPr>
                <w:sz w:val="16"/>
                <w:szCs w:val="20"/>
                <w:lang w:eastAsia="en-US"/>
              </w:rPr>
              <w:t>4</w:t>
            </w:r>
          </w:p>
        </w:tc>
        <w:tc>
          <w:tcPr>
            <w:tcW w:w="530" w:type="pct"/>
            <w:shd w:val="clear" w:color="auto" w:fill="FFFFFF"/>
            <w:vAlign w:val="center"/>
          </w:tcPr>
          <w:p w:rsidR="0011317A" w:rsidRPr="006E11E6" w:rsidRDefault="0011317A" w:rsidP="00DA6FBE">
            <w:pPr>
              <w:jc w:val="center"/>
              <w:rPr>
                <w:sz w:val="16"/>
                <w:szCs w:val="20"/>
                <w:lang w:eastAsia="en-US"/>
              </w:rPr>
            </w:pPr>
            <w:r w:rsidRPr="006E11E6">
              <w:rPr>
                <w:sz w:val="16"/>
                <w:szCs w:val="20"/>
                <w:lang w:eastAsia="en-US"/>
              </w:rPr>
              <w:t>5</w:t>
            </w:r>
          </w:p>
        </w:tc>
        <w:tc>
          <w:tcPr>
            <w:tcW w:w="396" w:type="pct"/>
            <w:shd w:val="clear" w:color="auto" w:fill="FFFFFF"/>
            <w:vAlign w:val="center"/>
          </w:tcPr>
          <w:p w:rsidR="0011317A" w:rsidRPr="006E11E6" w:rsidRDefault="0011317A" w:rsidP="00DA6FBE">
            <w:pPr>
              <w:jc w:val="center"/>
              <w:rPr>
                <w:sz w:val="16"/>
                <w:szCs w:val="20"/>
                <w:lang w:eastAsia="en-US"/>
              </w:rPr>
            </w:pPr>
            <w:r w:rsidRPr="006E11E6">
              <w:rPr>
                <w:sz w:val="16"/>
                <w:szCs w:val="20"/>
                <w:lang w:eastAsia="en-US"/>
              </w:rPr>
              <w:t>6</w:t>
            </w:r>
          </w:p>
        </w:tc>
        <w:tc>
          <w:tcPr>
            <w:tcW w:w="480" w:type="pct"/>
            <w:shd w:val="clear" w:color="auto" w:fill="FFFFFF"/>
            <w:vAlign w:val="center"/>
          </w:tcPr>
          <w:p w:rsidR="0011317A" w:rsidRPr="006E11E6" w:rsidRDefault="0011317A" w:rsidP="00DA6FBE">
            <w:pPr>
              <w:jc w:val="center"/>
              <w:rPr>
                <w:sz w:val="16"/>
                <w:szCs w:val="20"/>
                <w:lang w:eastAsia="en-US"/>
              </w:rPr>
            </w:pPr>
            <w:r w:rsidRPr="006E11E6">
              <w:rPr>
                <w:sz w:val="16"/>
                <w:szCs w:val="20"/>
                <w:lang w:eastAsia="en-US"/>
              </w:rPr>
              <w:t>7</w:t>
            </w:r>
          </w:p>
        </w:tc>
        <w:tc>
          <w:tcPr>
            <w:tcW w:w="1052" w:type="pct"/>
            <w:shd w:val="clear" w:color="auto" w:fill="FFFFFF"/>
            <w:vAlign w:val="center"/>
          </w:tcPr>
          <w:p w:rsidR="0011317A" w:rsidRPr="006E11E6" w:rsidRDefault="0011317A" w:rsidP="00DA6FBE">
            <w:pPr>
              <w:jc w:val="center"/>
              <w:rPr>
                <w:sz w:val="16"/>
                <w:szCs w:val="20"/>
                <w:lang w:eastAsia="en-US"/>
              </w:rPr>
            </w:pPr>
            <w:r w:rsidRPr="006E11E6">
              <w:rPr>
                <w:sz w:val="16"/>
                <w:szCs w:val="20"/>
                <w:lang w:eastAsia="en-US"/>
              </w:rPr>
              <w:t>8</w:t>
            </w:r>
          </w:p>
        </w:tc>
      </w:tr>
      <w:tr w:rsidR="0011317A" w:rsidRPr="00925C92" w:rsidTr="003B7BB4">
        <w:trPr>
          <w:cantSplit/>
        </w:trPr>
        <w:tc>
          <w:tcPr>
            <w:tcW w:w="1085" w:type="pct"/>
            <w:shd w:val="clear" w:color="auto" w:fill="D9D9D9"/>
          </w:tcPr>
          <w:p w:rsidR="0011317A" w:rsidRPr="00925C92" w:rsidRDefault="0011317A" w:rsidP="00DA6FBE">
            <w:pPr>
              <w:jc w:val="both"/>
              <w:rPr>
                <w:sz w:val="20"/>
                <w:szCs w:val="20"/>
                <w:lang w:eastAsia="en-US"/>
              </w:rPr>
            </w:pPr>
            <w:r w:rsidRPr="00925C92">
              <w:rPr>
                <w:sz w:val="20"/>
                <w:szCs w:val="20"/>
                <w:lang w:eastAsia="en-US"/>
              </w:rPr>
              <w:t>1. Budžeta ieņēmumi</w:t>
            </w:r>
          </w:p>
        </w:tc>
        <w:tc>
          <w:tcPr>
            <w:tcW w:w="387" w:type="pct"/>
            <w:shd w:val="clear" w:color="auto" w:fill="D9D9D9"/>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681" w:type="pct"/>
            <w:shd w:val="clear" w:color="auto" w:fill="D9D9D9"/>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389" w:type="pct"/>
            <w:shd w:val="clear" w:color="auto" w:fill="D9D9D9"/>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530" w:type="pct"/>
            <w:shd w:val="clear" w:color="auto" w:fill="D9D9D9"/>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396" w:type="pct"/>
            <w:shd w:val="clear" w:color="auto" w:fill="D9D9D9"/>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480" w:type="pct"/>
            <w:shd w:val="clear" w:color="auto" w:fill="D9D9D9"/>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1052" w:type="pct"/>
            <w:shd w:val="clear" w:color="auto" w:fill="D9D9D9"/>
            <w:vAlign w:val="center"/>
          </w:tcPr>
          <w:p w:rsidR="0011317A" w:rsidRPr="00925C92" w:rsidRDefault="0011317A" w:rsidP="00DA6FBE">
            <w:pPr>
              <w:jc w:val="center"/>
              <w:rPr>
                <w:sz w:val="20"/>
                <w:szCs w:val="20"/>
                <w:lang w:eastAsia="en-US"/>
              </w:rPr>
            </w:pPr>
            <w:r w:rsidRPr="00BE0476">
              <w:rPr>
                <w:color w:val="000000"/>
                <w:sz w:val="20"/>
                <w:szCs w:val="20"/>
              </w:rPr>
              <w:t>0</w:t>
            </w:r>
          </w:p>
        </w:tc>
      </w:tr>
      <w:tr w:rsidR="0011317A" w:rsidRPr="00925C92" w:rsidTr="003B7BB4">
        <w:trPr>
          <w:cantSplit/>
        </w:trPr>
        <w:tc>
          <w:tcPr>
            <w:tcW w:w="1085" w:type="pct"/>
          </w:tcPr>
          <w:p w:rsidR="0011317A" w:rsidRPr="00925C92" w:rsidRDefault="0011317A" w:rsidP="00DA6FBE">
            <w:pPr>
              <w:jc w:val="both"/>
              <w:rPr>
                <w:sz w:val="20"/>
                <w:szCs w:val="20"/>
                <w:lang w:eastAsia="en-US"/>
              </w:rPr>
            </w:pPr>
            <w:r w:rsidRPr="00925C92">
              <w:rPr>
                <w:sz w:val="20"/>
                <w:szCs w:val="20"/>
                <w:lang w:eastAsia="en-US"/>
              </w:rPr>
              <w:t>1.1. valsts pamatbudžets, tai skaitā ieņēmumi no maksas pakalpojumiem un citi pašu ieņēmumi</w:t>
            </w:r>
          </w:p>
        </w:tc>
        <w:tc>
          <w:tcPr>
            <w:tcW w:w="387"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681"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389"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530"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396"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480"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1052" w:type="pct"/>
            <w:vAlign w:val="center"/>
          </w:tcPr>
          <w:p w:rsidR="0011317A" w:rsidRPr="00925C92" w:rsidRDefault="0011317A" w:rsidP="00DA6FBE">
            <w:pPr>
              <w:jc w:val="center"/>
              <w:rPr>
                <w:sz w:val="20"/>
                <w:szCs w:val="20"/>
                <w:lang w:eastAsia="en-US"/>
              </w:rPr>
            </w:pPr>
            <w:r w:rsidRPr="00BE0476">
              <w:rPr>
                <w:color w:val="000000"/>
                <w:sz w:val="20"/>
                <w:szCs w:val="20"/>
              </w:rPr>
              <w:t>0</w:t>
            </w:r>
          </w:p>
        </w:tc>
      </w:tr>
      <w:tr w:rsidR="0011317A" w:rsidRPr="00925C92" w:rsidTr="003B7BB4">
        <w:trPr>
          <w:cantSplit/>
        </w:trPr>
        <w:tc>
          <w:tcPr>
            <w:tcW w:w="1085" w:type="pct"/>
          </w:tcPr>
          <w:p w:rsidR="0011317A" w:rsidRPr="00925C92" w:rsidRDefault="0011317A" w:rsidP="00DA6FBE">
            <w:pPr>
              <w:jc w:val="both"/>
              <w:rPr>
                <w:sz w:val="20"/>
                <w:szCs w:val="20"/>
                <w:lang w:eastAsia="en-US"/>
              </w:rPr>
            </w:pPr>
            <w:r w:rsidRPr="00925C92">
              <w:rPr>
                <w:sz w:val="20"/>
                <w:szCs w:val="20"/>
                <w:lang w:eastAsia="en-US"/>
              </w:rPr>
              <w:lastRenderedPageBreak/>
              <w:t>1.2. valsts speciālais budžets</w:t>
            </w:r>
          </w:p>
        </w:tc>
        <w:tc>
          <w:tcPr>
            <w:tcW w:w="387"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681"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389"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530"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396"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480"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1052" w:type="pct"/>
            <w:vAlign w:val="center"/>
          </w:tcPr>
          <w:p w:rsidR="0011317A" w:rsidRPr="00925C92" w:rsidRDefault="0011317A" w:rsidP="00DA6FBE">
            <w:pPr>
              <w:jc w:val="center"/>
              <w:rPr>
                <w:sz w:val="20"/>
                <w:szCs w:val="20"/>
                <w:lang w:eastAsia="en-US"/>
              </w:rPr>
            </w:pPr>
            <w:r w:rsidRPr="00BE0476">
              <w:rPr>
                <w:color w:val="000000"/>
                <w:sz w:val="20"/>
                <w:szCs w:val="20"/>
              </w:rPr>
              <w:t>0</w:t>
            </w:r>
          </w:p>
        </w:tc>
      </w:tr>
      <w:tr w:rsidR="0011317A" w:rsidRPr="00925C92" w:rsidTr="003B7BB4">
        <w:trPr>
          <w:cantSplit/>
        </w:trPr>
        <w:tc>
          <w:tcPr>
            <w:tcW w:w="1085" w:type="pct"/>
          </w:tcPr>
          <w:p w:rsidR="0011317A" w:rsidRPr="00925C92" w:rsidRDefault="0011317A" w:rsidP="00DA6FBE">
            <w:pPr>
              <w:jc w:val="both"/>
              <w:rPr>
                <w:sz w:val="20"/>
                <w:szCs w:val="20"/>
                <w:lang w:eastAsia="en-US"/>
              </w:rPr>
            </w:pPr>
            <w:r w:rsidRPr="00925C92">
              <w:rPr>
                <w:sz w:val="20"/>
                <w:szCs w:val="20"/>
                <w:lang w:eastAsia="en-US"/>
              </w:rPr>
              <w:t>1.3. pašvaldību budžets</w:t>
            </w:r>
          </w:p>
        </w:tc>
        <w:tc>
          <w:tcPr>
            <w:tcW w:w="387"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681"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389"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530"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396"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480"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1052" w:type="pct"/>
            <w:vAlign w:val="center"/>
          </w:tcPr>
          <w:p w:rsidR="0011317A" w:rsidRPr="00925C92" w:rsidRDefault="0011317A" w:rsidP="00DA6FBE">
            <w:pPr>
              <w:jc w:val="center"/>
              <w:rPr>
                <w:sz w:val="20"/>
                <w:szCs w:val="20"/>
                <w:lang w:eastAsia="en-US"/>
              </w:rPr>
            </w:pPr>
            <w:r w:rsidRPr="00BE0476">
              <w:rPr>
                <w:color w:val="000000"/>
                <w:sz w:val="20"/>
                <w:szCs w:val="20"/>
              </w:rPr>
              <w:t>0</w:t>
            </w:r>
          </w:p>
        </w:tc>
      </w:tr>
      <w:tr w:rsidR="0011317A" w:rsidRPr="00925C92" w:rsidTr="003B7BB4">
        <w:trPr>
          <w:cantSplit/>
        </w:trPr>
        <w:tc>
          <w:tcPr>
            <w:tcW w:w="1085" w:type="pct"/>
            <w:shd w:val="clear" w:color="auto" w:fill="D9D9D9"/>
          </w:tcPr>
          <w:p w:rsidR="0011317A" w:rsidRPr="00925C92" w:rsidRDefault="0011317A" w:rsidP="003B7BB4">
            <w:pPr>
              <w:jc w:val="both"/>
              <w:rPr>
                <w:sz w:val="20"/>
                <w:szCs w:val="20"/>
                <w:lang w:eastAsia="en-US"/>
              </w:rPr>
            </w:pPr>
            <w:r w:rsidRPr="00925C92">
              <w:rPr>
                <w:sz w:val="20"/>
                <w:szCs w:val="20"/>
                <w:lang w:eastAsia="en-US"/>
              </w:rPr>
              <w:t>2. Budžeta izdevumi</w:t>
            </w:r>
          </w:p>
        </w:tc>
        <w:tc>
          <w:tcPr>
            <w:tcW w:w="387" w:type="pct"/>
            <w:shd w:val="clear" w:color="auto" w:fill="D9D9D9"/>
            <w:vAlign w:val="center"/>
          </w:tcPr>
          <w:p w:rsidR="0011317A" w:rsidRPr="00925C92" w:rsidRDefault="0011317A" w:rsidP="003B7BB4">
            <w:pPr>
              <w:jc w:val="center"/>
              <w:rPr>
                <w:sz w:val="20"/>
                <w:szCs w:val="20"/>
                <w:lang w:eastAsia="en-US"/>
              </w:rPr>
            </w:pPr>
            <w:r w:rsidRPr="00BE0476">
              <w:rPr>
                <w:color w:val="000000"/>
                <w:sz w:val="20"/>
                <w:szCs w:val="20"/>
              </w:rPr>
              <w:t>0</w:t>
            </w:r>
          </w:p>
        </w:tc>
        <w:tc>
          <w:tcPr>
            <w:tcW w:w="681" w:type="pct"/>
            <w:shd w:val="clear" w:color="auto" w:fill="D9D9D9"/>
            <w:vAlign w:val="center"/>
          </w:tcPr>
          <w:p w:rsidR="0011317A" w:rsidRPr="00925C92" w:rsidRDefault="0011317A" w:rsidP="003B7BB4">
            <w:pPr>
              <w:jc w:val="center"/>
              <w:rPr>
                <w:sz w:val="20"/>
                <w:szCs w:val="20"/>
                <w:lang w:eastAsia="en-US"/>
              </w:rPr>
            </w:pPr>
            <w:r w:rsidRPr="00A4046F">
              <w:rPr>
                <w:iCs/>
                <w:sz w:val="20"/>
                <w:szCs w:val="20"/>
              </w:rPr>
              <w:t>3 314 520</w:t>
            </w:r>
          </w:p>
        </w:tc>
        <w:tc>
          <w:tcPr>
            <w:tcW w:w="389" w:type="pct"/>
            <w:shd w:val="clear" w:color="auto" w:fill="D9D9D9"/>
            <w:vAlign w:val="center"/>
          </w:tcPr>
          <w:p w:rsidR="0011317A" w:rsidRPr="00925C92" w:rsidRDefault="0011317A" w:rsidP="003B7BB4">
            <w:pPr>
              <w:jc w:val="center"/>
              <w:rPr>
                <w:sz w:val="20"/>
                <w:szCs w:val="20"/>
                <w:lang w:eastAsia="en-US"/>
              </w:rPr>
            </w:pPr>
            <w:r w:rsidRPr="006055BE">
              <w:rPr>
                <w:color w:val="000000"/>
                <w:sz w:val="20"/>
                <w:szCs w:val="20"/>
              </w:rPr>
              <w:t>0</w:t>
            </w:r>
          </w:p>
        </w:tc>
        <w:tc>
          <w:tcPr>
            <w:tcW w:w="530" w:type="pct"/>
            <w:shd w:val="clear" w:color="auto" w:fill="D9D9D9"/>
            <w:vAlign w:val="center"/>
          </w:tcPr>
          <w:p w:rsidR="0011317A" w:rsidRPr="00A4046F" w:rsidRDefault="0011317A" w:rsidP="003B7BB4">
            <w:pPr>
              <w:jc w:val="center"/>
              <w:rPr>
                <w:sz w:val="20"/>
                <w:szCs w:val="20"/>
                <w:lang w:eastAsia="en-US"/>
              </w:rPr>
            </w:pPr>
            <w:r>
              <w:rPr>
                <w:iCs/>
                <w:sz w:val="20"/>
                <w:szCs w:val="20"/>
              </w:rPr>
              <w:t>0</w:t>
            </w:r>
          </w:p>
        </w:tc>
        <w:tc>
          <w:tcPr>
            <w:tcW w:w="396" w:type="pct"/>
            <w:shd w:val="clear" w:color="auto" w:fill="D9D9D9"/>
            <w:vAlign w:val="center"/>
          </w:tcPr>
          <w:p w:rsidR="0011317A" w:rsidRPr="00925C92" w:rsidRDefault="0011317A" w:rsidP="003B7BB4">
            <w:pPr>
              <w:jc w:val="center"/>
              <w:rPr>
                <w:sz w:val="20"/>
                <w:szCs w:val="20"/>
                <w:lang w:eastAsia="en-US"/>
              </w:rPr>
            </w:pPr>
            <w:r w:rsidRPr="00BE0476">
              <w:rPr>
                <w:color w:val="000000"/>
                <w:sz w:val="20"/>
                <w:szCs w:val="20"/>
              </w:rPr>
              <w:t>0</w:t>
            </w:r>
          </w:p>
        </w:tc>
        <w:tc>
          <w:tcPr>
            <w:tcW w:w="480" w:type="pct"/>
            <w:shd w:val="clear" w:color="auto" w:fill="D9D9D9"/>
            <w:vAlign w:val="center"/>
          </w:tcPr>
          <w:p w:rsidR="0011317A" w:rsidRPr="00925C92" w:rsidRDefault="0011317A" w:rsidP="003B7BB4">
            <w:pPr>
              <w:jc w:val="center"/>
              <w:rPr>
                <w:sz w:val="20"/>
                <w:szCs w:val="20"/>
                <w:lang w:eastAsia="en-US"/>
              </w:rPr>
            </w:pPr>
            <w:r w:rsidRPr="00BE0476">
              <w:rPr>
                <w:color w:val="000000"/>
                <w:sz w:val="20"/>
                <w:szCs w:val="20"/>
              </w:rPr>
              <w:t>0</w:t>
            </w:r>
          </w:p>
        </w:tc>
        <w:tc>
          <w:tcPr>
            <w:tcW w:w="1052" w:type="pct"/>
            <w:shd w:val="clear" w:color="auto" w:fill="D9D9D9"/>
            <w:vAlign w:val="center"/>
          </w:tcPr>
          <w:p w:rsidR="0011317A" w:rsidRPr="00925C92" w:rsidRDefault="0011317A" w:rsidP="003B7BB4">
            <w:pPr>
              <w:jc w:val="center"/>
              <w:rPr>
                <w:sz w:val="20"/>
                <w:szCs w:val="20"/>
                <w:lang w:eastAsia="en-US"/>
              </w:rPr>
            </w:pPr>
            <w:r w:rsidRPr="00BE0476">
              <w:rPr>
                <w:color w:val="000000"/>
                <w:sz w:val="20"/>
                <w:szCs w:val="20"/>
              </w:rPr>
              <w:t>0</w:t>
            </w:r>
          </w:p>
        </w:tc>
      </w:tr>
      <w:tr w:rsidR="0011317A" w:rsidRPr="00925C92" w:rsidTr="003B7BB4">
        <w:trPr>
          <w:cantSplit/>
        </w:trPr>
        <w:tc>
          <w:tcPr>
            <w:tcW w:w="1085" w:type="pct"/>
          </w:tcPr>
          <w:p w:rsidR="0011317A" w:rsidRPr="00925C92" w:rsidRDefault="0011317A" w:rsidP="003B7BB4">
            <w:pPr>
              <w:jc w:val="both"/>
              <w:rPr>
                <w:sz w:val="20"/>
                <w:szCs w:val="20"/>
                <w:lang w:eastAsia="en-US"/>
              </w:rPr>
            </w:pPr>
            <w:bookmarkStart w:id="3" w:name="_Hlk42531261"/>
            <w:r w:rsidRPr="00925C92">
              <w:rPr>
                <w:sz w:val="20"/>
                <w:szCs w:val="20"/>
                <w:lang w:eastAsia="en-US"/>
              </w:rPr>
              <w:t>2.1. valsts pamatbudžets</w:t>
            </w:r>
          </w:p>
        </w:tc>
        <w:tc>
          <w:tcPr>
            <w:tcW w:w="387" w:type="pct"/>
            <w:vAlign w:val="center"/>
          </w:tcPr>
          <w:p w:rsidR="0011317A" w:rsidRPr="00925C92" w:rsidRDefault="0011317A" w:rsidP="003B7BB4">
            <w:pPr>
              <w:jc w:val="center"/>
              <w:rPr>
                <w:sz w:val="20"/>
                <w:szCs w:val="20"/>
                <w:lang w:eastAsia="en-US"/>
              </w:rPr>
            </w:pPr>
            <w:r w:rsidRPr="00BE0476">
              <w:rPr>
                <w:color w:val="000000"/>
                <w:sz w:val="20"/>
                <w:szCs w:val="20"/>
              </w:rPr>
              <w:t>0</w:t>
            </w:r>
          </w:p>
        </w:tc>
        <w:tc>
          <w:tcPr>
            <w:tcW w:w="681" w:type="pct"/>
            <w:vAlign w:val="center"/>
          </w:tcPr>
          <w:p w:rsidR="0011317A" w:rsidRPr="00925C92" w:rsidRDefault="0011317A" w:rsidP="003B7BB4">
            <w:pPr>
              <w:jc w:val="center"/>
              <w:rPr>
                <w:sz w:val="20"/>
                <w:szCs w:val="20"/>
                <w:lang w:eastAsia="en-US"/>
              </w:rPr>
            </w:pPr>
            <w:r w:rsidRPr="00A4046F">
              <w:rPr>
                <w:iCs/>
                <w:sz w:val="20"/>
                <w:szCs w:val="20"/>
              </w:rPr>
              <w:t>3 314 520</w:t>
            </w:r>
          </w:p>
        </w:tc>
        <w:tc>
          <w:tcPr>
            <w:tcW w:w="389" w:type="pct"/>
            <w:vAlign w:val="center"/>
          </w:tcPr>
          <w:p w:rsidR="0011317A" w:rsidRPr="00925C92" w:rsidRDefault="0011317A" w:rsidP="003B7BB4">
            <w:pPr>
              <w:jc w:val="center"/>
              <w:rPr>
                <w:sz w:val="20"/>
                <w:szCs w:val="20"/>
                <w:lang w:eastAsia="en-US"/>
              </w:rPr>
            </w:pPr>
            <w:r w:rsidRPr="006055BE">
              <w:rPr>
                <w:color w:val="000000"/>
                <w:sz w:val="20"/>
                <w:szCs w:val="20"/>
              </w:rPr>
              <w:t>0</w:t>
            </w:r>
          </w:p>
        </w:tc>
        <w:tc>
          <w:tcPr>
            <w:tcW w:w="530" w:type="pct"/>
            <w:vAlign w:val="center"/>
          </w:tcPr>
          <w:p w:rsidR="0011317A" w:rsidRPr="00A4046F" w:rsidRDefault="0011317A" w:rsidP="003B7BB4">
            <w:pPr>
              <w:jc w:val="center"/>
              <w:rPr>
                <w:sz w:val="20"/>
                <w:szCs w:val="20"/>
                <w:lang w:eastAsia="en-US"/>
              </w:rPr>
            </w:pPr>
            <w:r>
              <w:rPr>
                <w:iCs/>
                <w:sz w:val="20"/>
                <w:szCs w:val="20"/>
              </w:rPr>
              <w:t>0</w:t>
            </w:r>
          </w:p>
        </w:tc>
        <w:tc>
          <w:tcPr>
            <w:tcW w:w="396" w:type="pct"/>
            <w:vAlign w:val="center"/>
          </w:tcPr>
          <w:p w:rsidR="0011317A" w:rsidRPr="00925C92" w:rsidRDefault="0011317A" w:rsidP="003B7BB4">
            <w:pPr>
              <w:jc w:val="center"/>
              <w:rPr>
                <w:sz w:val="20"/>
                <w:szCs w:val="20"/>
                <w:lang w:eastAsia="en-US"/>
              </w:rPr>
            </w:pPr>
            <w:r w:rsidRPr="00BE0476">
              <w:rPr>
                <w:color w:val="000000"/>
                <w:sz w:val="20"/>
                <w:szCs w:val="20"/>
              </w:rPr>
              <w:t>0</w:t>
            </w:r>
          </w:p>
        </w:tc>
        <w:tc>
          <w:tcPr>
            <w:tcW w:w="480" w:type="pct"/>
            <w:vAlign w:val="center"/>
          </w:tcPr>
          <w:p w:rsidR="0011317A" w:rsidRPr="00925C92" w:rsidRDefault="0011317A" w:rsidP="003B7BB4">
            <w:pPr>
              <w:jc w:val="center"/>
              <w:rPr>
                <w:sz w:val="20"/>
                <w:szCs w:val="20"/>
                <w:lang w:eastAsia="en-US"/>
              </w:rPr>
            </w:pPr>
            <w:r w:rsidRPr="00BE0476">
              <w:rPr>
                <w:color w:val="000000"/>
                <w:sz w:val="20"/>
                <w:szCs w:val="20"/>
              </w:rPr>
              <w:t>0</w:t>
            </w:r>
          </w:p>
        </w:tc>
        <w:tc>
          <w:tcPr>
            <w:tcW w:w="1052" w:type="pct"/>
            <w:vAlign w:val="center"/>
          </w:tcPr>
          <w:p w:rsidR="0011317A" w:rsidRPr="00925C92" w:rsidRDefault="0011317A" w:rsidP="003B7BB4">
            <w:pPr>
              <w:jc w:val="center"/>
              <w:rPr>
                <w:sz w:val="20"/>
                <w:szCs w:val="20"/>
                <w:lang w:eastAsia="en-US"/>
              </w:rPr>
            </w:pPr>
            <w:r w:rsidRPr="00BE0476">
              <w:rPr>
                <w:color w:val="000000"/>
                <w:sz w:val="20"/>
                <w:szCs w:val="20"/>
              </w:rPr>
              <w:t>0</w:t>
            </w:r>
          </w:p>
        </w:tc>
      </w:tr>
      <w:bookmarkEnd w:id="3"/>
      <w:tr w:rsidR="0011317A" w:rsidRPr="00925C92" w:rsidTr="003B7BB4">
        <w:trPr>
          <w:cantSplit/>
        </w:trPr>
        <w:tc>
          <w:tcPr>
            <w:tcW w:w="1085" w:type="pct"/>
          </w:tcPr>
          <w:p w:rsidR="0011317A" w:rsidRPr="00925C92" w:rsidRDefault="0011317A" w:rsidP="00DA6FBE">
            <w:pPr>
              <w:jc w:val="both"/>
              <w:rPr>
                <w:sz w:val="20"/>
                <w:szCs w:val="20"/>
                <w:lang w:eastAsia="en-US"/>
              </w:rPr>
            </w:pPr>
            <w:r w:rsidRPr="00925C92">
              <w:rPr>
                <w:sz w:val="20"/>
                <w:szCs w:val="20"/>
                <w:lang w:eastAsia="en-US"/>
              </w:rPr>
              <w:t>2.2. valsts speciālais budžets</w:t>
            </w:r>
          </w:p>
        </w:tc>
        <w:tc>
          <w:tcPr>
            <w:tcW w:w="387"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681"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389" w:type="pct"/>
            <w:vAlign w:val="center"/>
          </w:tcPr>
          <w:p w:rsidR="0011317A" w:rsidRPr="00925C92" w:rsidRDefault="0011317A" w:rsidP="00DA6FBE">
            <w:pPr>
              <w:jc w:val="center"/>
              <w:rPr>
                <w:sz w:val="20"/>
                <w:szCs w:val="20"/>
                <w:lang w:eastAsia="en-US"/>
              </w:rPr>
            </w:pPr>
            <w:r w:rsidRPr="006055BE">
              <w:rPr>
                <w:color w:val="000000"/>
                <w:sz w:val="20"/>
                <w:szCs w:val="20"/>
              </w:rPr>
              <w:t>0</w:t>
            </w:r>
          </w:p>
        </w:tc>
        <w:tc>
          <w:tcPr>
            <w:tcW w:w="530" w:type="pct"/>
            <w:vAlign w:val="center"/>
          </w:tcPr>
          <w:p w:rsidR="0011317A" w:rsidRPr="00A4046F" w:rsidRDefault="0011317A" w:rsidP="00DA6FBE">
            <w:pPr>
              <w:jc w:val="center"/>
              <w:rPr>
                <w:sz w:val="20"/>
                <w:szCs w:val="20"/>
                <w:lang w:eastAsia="en-US"/>
              </w:rPr>
            </w:pPr>
            <w:r w:rsidRPr="00A4046F">
              <w:rPr>
                <w:sz w:val="20"/>
                <w:szCs w:val="20"/>
              </w:rPr>
              <w:t>0</w:t>
            </w:r>
          </w:p>
        </w:tc>
        <w:tc>
          <w:tcPr>
            <w:tcW w:w="396"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480"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1052" w:type="pct"/>
            <w:vAlign w:val="center"/>
          </w:tcPr>
          <w:p w:rsidR="0011317A" w:rsidRPr="00925C92" w:rsidRDefault="0011317A" w:rsidP="00DA6FBE">
            <w:pPr>
              <w:jc w:val="center"/>
              <w:rPr>
                <w:sz w:val="20"/>
                <w:szCs w:val="20"/>
                <w:lang w:eastAsia="en-US"/>
              </w:rPr>
            </w:pPr>
            <w:r w:rsidRPr="00BE0476">
              <w:rPr>
                <w:color w:val="000000"/>
                <w:sz w:val="20"/>
                <w:szCs w:val="20"/>
              </w:rPr>
              <w:t>0</w:t>
            </w:r>
          </w:p>
        </w:tc>
      </w:tr>
      <w:tr w:rsidR="0011317A" w:rsidRPr="00925C92" w:rsidTr="003B7BB4">
        <w:trPr>
          <w:cantSplit/>
        </w:trPr>
        <w:tc>
          <w:tcPr>
            <w:tcW w:w="1085" w:type="pct"/>
          </w:tcPr>
          <w:p w:rsidR="0011317A" w:rsidRPr="00925C92" w:rsidRDefault="0011317A" w:rsidP="00DA6FBE">
            <w:pPr>
              <w:jc w:val="both"/>
              <w:rPr>
                <w:sz w:val="20"/>
                <w:szCs w:val="20"/>
                <w:lang w:eastAsia="en-US"/>
              </w:rPr>
            </w:pPr>
            <w:r w:rsidRPr="00925C92">
              <w:rPr>
                <w:sz w:val="20"/>
                <w:szCs w:val="20"/>
                <w:lang w:eastAsia="en-US"/>
              </w:rPr>
              <w:t>2.3. pašvaldību budžets</w:t>
            </w:r>
          </w:p>
        </w:tc>
        <w:tc>
          <w:tcPr>
            <w:tcW w:w="387"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681"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389" w:type="pct"/>
            <w:vAlign w:val="center"/>
          </w:tcPr>
          <w:p w:rsidR="0011317A" w:rsidRPr="00925C92" w:rsidRDefault="0011317A" w:rsidP="00DA6FBE">
            <w:pPr>
              <w:jc w:val="center"/>
              <w:rPr>
                <w:sz w:val="20"/>
                <w:szCs w:val="20"/>
                <w:lang w:eastAsia="en-US"/>
              </w:rPr>
            </w:pPr>
            <w:r w:rsidRPr="006055BE">
              <w:rPr>
                <w:color w:val="000000"/>
                <w:sz w:val="20"/>
                <w:szCs w:val="20"/>
              </w:rPr>
              <w:t>0</w:t>
            </w:r>
          </w:p>
        </w:tc>
        <w:tc>
          <w:tcPr>
            <w:tcW w:w="530" w:type="pct"/>
            <w:vAlign w:val="center"/>
          </w:tcPr>
          <w:p w:rsidR="0011317A" w:rsidRPr="00A4046F" w:rsidRDefault="0011317A" w:rsidP="00DA6FBE">
            <w:pPr>
              <w:jc w:val="center"/>
              <w:rPr>
                <w:sz w:val="20"/>
                <w:szCs w:val="20"/>
                <w:lang w:eastAsia="en-US"/>
              </w:rPr>
            </w:pPr>
            <w:r w:rsidRPr="00A4046F">
              <w:rPr>
                <w:sz w:val="20"/>
                <w:szCs w:val="20"/>
              </w:rPr>
              <w:t>0</w:t>
            </w:r>
          </w:p>
        </w:tc>
        <w:tc>
          <w:tcPr>
            <w:tcW w:w="396"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480"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1052" w:type="pct"/>
            <w:vAlign w:val="center"/>
          </w:tcPr>
          <w:p w:rsidR="0011317A" w:rsidRPr="00925C92" w:rsidRDefault="0011317A" w:rsidP="00DA6FBE">
            <w:pPr>
              <w:jc w:val="center"/>
              <w:rPr>
                <w:sz w:val="20"/>
                <w:szCs w:val="20"/>
                <w:lang w:eastAsia="en-US"/>
              </w:rPr>
            </w:pPr>
            <w:r w:rsidRPr="00BE0476">
              <w:rPr>
                <w:color w:val="000000"/>
                <w:sz w:val="20"/>
                <w:szCs w:val="20"/>
              </w:rPr>
              <w:t>0</w:t>
            </w:r>
          </w:p>
        </w:tc>
      </w:tr>
      <w:tr w:rsidR="0011317A" w:rsidRPr="00925C92" w:rsidTr="003B7BB4">
        <w:trPr>
          <w:cantSplit/>
        </w:trPr>
        <w:tc>
          <w:tcPr>
            <w:tcW w:w="1085" w:type="pct"/>
            <w:shd w:val="clear" w:color="auto" w:fill="D9D9D9"/>
          </w:tcPr>
          <w:p w:rsidR="0011317A" w:rsidRPr="00925C92" w:rsidRDefault="0011317A" w:rsidP="00DA6FBE">
            <w:pPr>
              <w:jc w:val="both"/>
              <w:rPr>
                <w:sz w:val="20"/>
                <w:szCs w:val="20"/>
                <w:lang w:eastAsia="en-US"/>
              </w:rPr>
            </w:pPr>
            <w:r w:rsidRPr="00925C92">
              <w:rPr>
                <w:sz w:val="20"/>
                <w:szCs w:val="20"/>
                <w:lang w:eastAsia="en-US"/>
              </w:rPr>
              <w:t>3. Finansiālā ietekme</w:t>
            </w:r>
          </w:p>
        </w:tc>
        <w:tc>
          <w:tcPr>
            <w:tcW w:w="387" w:type="pct"/>
            <w:shd w:val="clear" w:color="auto" w:fill="D9D9D9"/>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681" w:type="pct"/>
            <w:shd w:val="clear" w:color="auto" w:fill="D9D9D9"/>
            <w:vAlign w:val="center"/>
          </w:tcPr>
          <w:p w:rsidR="0011317A" w:rsidRPr="00925C92" w:rsidRDefault="0011317A" w:rsidP="00DA6FBE">
            <w:pPr>
              <w:jc w:val="center"/>
              <w:rPr>
                <w:sz w:val="20"/>
                <w:szCs w:val="20"/>
                <w:lang w:eastAsia="en-US"/>
              </w:rPr>
            </w:pPr>
            <w:r w:rsidRPr="003B7BB4">
              <w:rPr>
                <w:iCs/>
                <w:color w:val="000000"/>
                <w:sz w:val="20"/>
                <w:szCs w:val="20"/>
              </w:rPr>
              <w:t>-3 314 520</w:t>
            </w:r>
          </w:p>
        </w:tc>
        <w:tc>
          <w:tcPr>
            <w:tcW w:w="389" w:type="pct"/>
            <w:shd w:val="clear" w:color="auto" w:fill="D9D9D9"/>
            <w:vAlign w:val="center"/>
          </w:tcPr>
          <w:p w:rsidR="0011317A" w:rsidRPr="00925C92" w:rsidRDefault="0011317A" w:rsidP="00DA6FBE">
            <w:pPr>
              <w:jc w:val="center"/>
              <w:rPr>
                <w:sz w:val="20"/>
                <w:szCs w:val="20"/>
                <w:lang w:eastAsia="en-US"/>
              </w:rPr>
            </w:pPr>
            <w:r w:rsidRPr="006055BE">
              <w:rPr>
                <w:color w:val="000000"/>
                <w:sz w:val="20"/>
                <w:szCs w:val="20"/>
              </w:rPr>
              <w:t>0</w:t>
            </w:r>
          </w:p>
        </w:tc>
        <w:tc>
          <w:tcPr>
            <w:tcW w:w="530" w:type="pct"/>
            <w:shd w:val="clear" w:color="auto" w:fill="D9D9D9"/>
            <w:vAlign w:val="center"/>
          </w:tcPr>
          <w:p w:rsidR="0011317A" w:rsidRPr="00A4046F" w:rsidRDefault="0011317A" w:rsidP="00DA6FBE">
            <w:pPr>
              <w:jc w:val="center"/>
              <w:rPr>
                <w:sz w:val="20"/>
                <w:szCs w:val="20"/>
                <w:lang w:eastAsia="en-US"/>
              </w:rPr>
            </w:pPr>
            <w:r>
              <w:rPr>
                <w:iCs/>
                <w:sz w:val="20"/>
                <w:szCs w:val="20"/>
              </w:rPr>
              <w:t>0</w:t>
            </w:r>
          </w:p>
        </w:tc>
        <w:tc>
          <w:tcPr>
            <w:tcW w:w="396" w:type="pct"/>
            <w:shd w:val="clear" w:color="auto" w:fill="D9D9D9"/>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480" w:type="pct"/>
            <w:shd w:val="clear" w:color="auto" w:fill="D9D9D9"/>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1052" w:type="pct"/>
            <w:shd w:val="clear" w:color="auto" w:fill="D9D9D9"/>
            <w:vAlign w:val="center"/>
          </w:tcPr>
          <w:p w:rsidR="0011317A" w:rsidRPr="00925C92" w:rsidRDefault="0011317A" w:rsidP="00DA6FBE">
            <w:pPr>
              <w:jc w:val="center"/>
              <w:rPr>
                <w:sz w:val="20"/>
                <w:szCs w:val="20"/>
                <w:lang w:eastAsia="en-US"/>
              </w:rPr>
            </w:pPr>
            <w:r w:rsidRPr="00BE0476">
              <w:rPr>
                <w:color w:val="000000"/>
                <w:sz w:val="20"/>
                <w:szCs w:val="20"/>
              </w:rPr>
              <w:t>0</w:t>
            </w:r>
          </w:p>
        </w:tc>
      </w:tr>
      <w:tr w:rsidR="0011317A" w:rsidRPr="00925C92" w:rsidTr="003B7BB4">
        <w:trPr>
          <w:cantSplit/>
        </w:trPr>
        <w:tc>
          <w:tcPr>
            <w:tcW w:w="1085" w:type="pct"/>
          </w:tcPr>
          <w:p w:rsidR="0011317A" w:rsidRPr="00925C92" w:rsidRDefault="0011317A" w:rsidP="00DA6FBE">
            <w:pPr>
              <w:jc w:val="both"/>
              <w:rPr>
                <w:sz w:val="20"/>
                <w:szCs w:val="20"/>
                <w:lang w:eastAsia="en-US"/>
              </w:rPr>
            </w:pPr>
            <w:r w:rsidRPr="00925C92">
              <w:rPr>
                <w:sz w:val="20"/>
                <w:szCs w:val="20"/>
                <w:lang w:eastAsia="en-US"/>
              </w:rPr>
              <w:t>3.1. valsts pamatbudžets</w:t>
            </w:r>
          </w:p>
        </w:tc>
        <w:tc>
          <w:tcPr>
            <w:tcW w:w="387"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681" w:type="pct"/>
            <w:vAlign w:val="center"/>
          </w:tcPr>
          <w:p w:rsidR="0011317A" w:rsidRPr="00925C92" w:rsidRDefault="0011317A" w:rsidP="00DA6FBE">
            <w:pPr>
              <w:jc w:val="center"/>
              <w:rPr>
                <w:sz w:val="20"/>
                <w:szCs w:val="20"/>
                <w:lang w:eastAsia="en-US"/>
              </w:rPr>
            </w:pPr>
            <w:r w:rsidRPr="00A4046F">
              <w:rPr>
                <w:iCs/>
                <w:sz w:val="20"/>
                <w:szCs w:val="20"/>
              </w:rPr>
              <w:t>-3 314 520</w:t>
            </w:r>
          </w:p>
        </w:tc>
        <w:tc>
          <w:tcPr>
            <w:tcW w:w="389" w:type="pct"/>
            <w:vAlign w:val="center"/>
          </w:tcPr>
          <w:p w:rsidR="0011317A" w:rsidRPr="00925C92" w:rsidRDefault="0011317A" w:rsidP="00DA6FBE">
            <w:pPr>
              <w:jc w:val="center"/>
              <w:rPr>
                <w:sz w:val="20"/>
                <w:szCs w:val="20"/>
                <w:lang w:eastAsia="en-US"/>
              </w:rPr>
            </w:pPr>
            <w:r w:rsidRPr="006055BE">
              <w:rPr>
                <w:color w:val="000000"/>
                <w:sz w:val="20"/>
                <w:szCs w:val="20"/>
              </w:rPr>
              <w:t>0</w:t>
            </w:r>
          </w:p>
        </w:tc>
        <w:tc>
          <w:tcPr>
            <w:tcW w:w="530" w:type="pct"/>
            <w:vAlign w:val="center"/>
          </w:tcPr>
          <w:p w:rsidR="0011317A" w:rsidRPr="00A4046F" w:rsidRDefault="0011317A" w:rsidP="00DA6FBE">
            <w:pPr>
              <w:jc w:val="center"/>
              <w:rPr>
                <w:sz w:val="20"/>
                <w:szCs w:val="20"/>
                <w:lang w:eastAsia="en-US"/>
              </w:rPr>
            </w:pPr>
            <w:r>
              <w:rPr>
                <w:iCs/>
                <w:sz w:val="20"/>
                <w:szCs w:val="20"/>
              </w:rPr>
              <w:t>0</w:t>
            </w:r>
          </w:p>
        </w:tc>
        <w:tc>
          <w:tcPr>
            <w:tcW w:w="396"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480"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1052" w:type="pct"/>
            <w:vAlign w:val="center"/>
          </w:tcPr>
          <w:p w:rsidR="0011317A" w:rsidRPr="00925C92" w:rsidRDefault="0011317A" w:rsidP="00DA6FBE">
            <w:pPr>
              <w:jc w:val="center"/>
              <w:rPr>
                <w:sz w:val="20"/>
                <w:szCs w:val="20"/>
                <w:lang w:eastAsia="en-US"/>
              </w:rPr>
            </w:pPr>
            <w:r w:rsidRPr="00BE0476">
              <w:rPr>
                <w:color w:val="000000"/>
                <w:sz w:val="20"/>
                <w:szCs w:val="20"/>
              </w:rPr>
              <w:t>0</w:t>
            </w:r>
          </w:p>
        </w:tc>
      </w:tr>
      <w:tr w:rsidR="0011317A" w:rsidRPr="00925C92" w:rsidTr="003B7BB4">
        <w:trPr>
          <w:cantSplit/>
        </w:trPr>
        <w:tc>
          <w:tcPr>
            <w:tcW w:w="1085" w:type="pct"/>
          </w:tcPr>
          <w:p w:rsidR="0011317A" w:rsidRPr="00925C92" w:rsidRDefault="0011317A" w:rsidP="00DA6FBE">
            <w:pPr>
              <w:jc w:val="both"/>
              <w:rPr>
                <w:sz w:val="20"/>
                <w:szCs w:val="20"/>
                <w:lang w:eastAsia="en-US"/>
              </w:rPr>
            </w:pPr>
            <w:r w:rsidRPr="00925C92">
              <w:rPr>
                <w:sz w:val="20"/>
                <w:szCs w:val="20"/>
                <w:lang w:eastAsia="en-US"/>
              </w:rPr>
              <w:t>3.2. speciālais budžets</w:t>
            </w:r>
          </w:p>
        </w:tc>
        <w:tc>
          <w:tcPr>
            <w:tcW w:w="387"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681"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389" w:type="pct"/>
            <w:vAlign w:val="center"/>
          </w:tcPr>
          <w:p w:rsidR="0011317A" w:rsidRPr="00925C92" w:rsidRDefault="0011317A" w:rsidP="00DA6FBE">
            <w:pPr>
              <w:jc w:val="center"/>
              <w:rPr>
                <w:sz w:val="20"/>
                <w:szCs w:val="20"/>
                <w:lang w:eastAsia="en-US"/>
              </w:rPr>
            </w:pPr>
            <w:r w:rsidRPr="006055BE">
              <w:rPr>
                <w:color w:val="000000"/>
                <w:sz w:val="20"/>
                <w:szCs w:val="20"/>
              </w:rPr>
              <w:t>0</w:t>
            </w:r>
          </w:p>
        </w:tc>
        <w:tc>
          <w:tcPr>
            <w:tcW w:w="530" w:type="pct"/>
            <w:vAlign w:val="center"/>
          </w:tcPr>
          <w:p w:rsidR="0011317A" w:rsidRPr="00A4046F" w:rsidRDefault="0011317A" w:rsidP="00DA6FBE">
            <w:pPr>
              <w:jc w:val="center"/>
              <w:rPr>
                <w:sz w:val="20"/>
                <w:szCs w:val="20"/>
                <w:lang w:eastAsia="en-US"/>
              </w:rPr>
            </w:pPr>
            <w:r w:rsidRPr="00A4046F">
              <w:rPr>
                <w:sz w:val="20"/>
                <w:szCs w:val="20"/>
              </w:rPr>
              <w:t>0</w:t>
            </w:r>
          </w:p>
        </w:tc>
        <w:tc>
          <w:tcPr>
            <w:tcW w:w="396"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480"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1052" w:type="pct"/>
            <w:vAlign w:val="center"/>
          </w:tcPr>
          <w:p w:rsidR="0011317A" w:rsidRPr="00925C92" w:rsidRDefault="0011317A" w:rsidP="00DA6FBE">
            <w:pPr>
              <w:jc w:val="center"/>
              <w:rPr>
                <w:sz w:val="20"/>
                <w:szCs w:val="20"/>
                <w:lang w:eastAsia="en-US"/>
              </w:rPr>
            </w:pPr>
            <w:r w:rsidRPr="00BE0476">
              <w:rPr>
                <w:color w:val="000000"/>
                <w:sz w:val="20"/>
                <w:szCs w:val="20"/>
              </w:rPr>
              <w:t>0</w:t>
            </w:r>
          </w:p>
        </w:tc>
      </w:tr>
      <w:tr w:rsidR="0011317A" w:rsidRPr="00925C92" w:rsidTr="003B7BB4">
        <w:trPr>
          <w:cantSplit/>
        </w:trPr>
        <w:tc>
          <w:tcPr>
            <w:tcW w:w="1085" w:type="pct"/>
          </w:tcPr>
          <w:p w:rsidR="0011317A" w:rsidRPr="00925C92" w:rsidRDefault="0011317A" w:rsidP="00DA6FBE">
            <w:pPr>
              <w:jc w:val="both"/>
              <w:rPr>
                <w:sz w:val="20"/>
                <w:szCs w:val="20"/>
                <w:lang w:eastAsia="en-US"/>
              </w:rPr>
            </w:pPr>
            <w:r w:rsidRPr="00925C92">
              <w:rPr>
                <w:sz w:val="20"/>
                <w:szCs w:val="20"/>
                <w:lang w:eastAsia="en-US"/>
              </w:rPr>
              <w:t>3.3. pašvaldību budžets</w:t>
            </w:r>
          </w:p>
        </w:tc>
        <w:tc>
          <w:tcPr>
            <w:tcW w:w="387"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681"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389" w:type="pct"/>
            <w:vAlign w:val="center"/>
          </w:tcPr>
          <w:p w:rsidR="0011317A" w:rsidRPr="00925C92" w:rsidRDefault="0011317A" w:rsidP="00DA6FBE">
            <w:pPr>
              <w:jc w:val="center"/>
              <w:rPr>
                <w:sz w:val="20"/>
                <w:szCs w:val="20"/>
                <w:lang w:eastAsia="en-US"/>
              </w:rPr>
            </w:pPr>
            <w:r w:rsidRPr="006055BE">
              <w:rPr>
                <w:color w:val="000000"/>
                <w:sz w:val="20"/>
                <w:szCs w:val="20"/>
              </w:rPr>
              <w:t>0</w:t>
            </w:r>
          </w:p>
        </w:tc>
        <w:tc>
          <w:tcPr>
            <w:tcW w:w="530" w:type="pct"/>
            <w:vAlign w:val="center"/>
          </w:tcPr>
          <w:p w:rsidR="0011317A" w:rsidRPr="00A4046F" w:rsidRDefault="0011317A" w:rsidP="00DA6FBE">
            <w:pPr>
              <w:jc w:val="center"/>
              <w:rPr>
                <w:sz w:val="20"/>
                <w:szCs w:val="20"/>
                <w:lang w:eastAsia="en-US"/>
              </w:rPr>
            </w:pPr>
            <w:r w:rsidRPr="00A4046F">
              <w:rPr>
                <w:sz w:val="20"/>
                <w:szCs w:val="20"/>
              </w:rPr>
              <w:t>0</w:t>
            </w:r>
          </w:p>
        </w:tc>
        <w:tc>
          <w:tcPr>
            <w:tcW w:w="396"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480"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1052" w:type="pct"/>
            <w:vAlign w:val="center"/>
          </w:tcPr>
          <w:p w:rsidR="0011317A" w:rsidRPr="00925C92" w:rsidRDefault="0011317A" w:rsidP="00DA6FBE">
            <w:pPr>
              <w:jc w:val="center"/>
              <w:rPr>
                <w:sz w:val="20"/>
                <w:szCs w:val="20"/>
                <w:lang w:eastAsia="en-US"/>
              </w:rPr>
            </w:pPr>
            <w:r w:rsidRPr="00BE0476">
              <w:rPr>
                <w:color w:val="000000"/>
                <w:sz w:val="20"/>
                <w:szCs w:val="20"/>
              </w:rPr>
              <w:t>0</w:t>
            </w:r>
          </w:p>
        </w:tc>
      </w:tr>
      <w:tr w:rsidR="0011317A" w:rsidRPr="00925C92" w:rsidTr="003B7BB4">
        <w:trPr>
          <w:cantSplit/>
        </w:trPr>
        <w:tc>
          <w:tcPr>
            <w:tcW w:w="1085" w:type="pct"/>
          </w:tcPr>
          <w:p w:rsidR="0011317A" w:rsidRPr="00925C92" w:rsidRDefault="0011317A" w:rsidP="00DA6FBE">
            <w:pPr>
              <w:jc w:val="both"/>
              <w:rPr>
                <w:sz w:val="20"/>
                <w:szCs w:val="20"/>
                <w:lang w:eastAsia="en-US"/>
              </w:rPr>
            </w:pPr>
            <w:r w:rsidRPr="00925C92">
              <w:rPr>
                <w:sz w:val="20"/>
                <w:szCs w:val="20"/>
                <w:lang w:eastAsia="en-US"/>
              </w:rPr>
              <w:t>4. Finanšu līdzekļi papildu izdevumu finansēšanai (kompensējošu izdevumu samazinājumu norāda ar "+" zīmi)</w:t>
            </w:r>
          </w:p>
        </w:tc>
        <w:tc>
          <w:tcPr>
            <w:tcW w:w="387"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681" w:type="pct"/>
            <w:vAlign w:val="center"/>
          </w:tcPr>
          <w:p w:rsidR="0011317A" w:rsidRPr="00925C92" w:rsidRDefault="0011317A" w:rsidP="00DA6FBE">
            <w:pPr>
              <w:jc w:val="center"/>
              <w:rPr>
                <w:sz w:val="20"/>
                <w:szCs w:val="20"/>
                <w:lang w:eastAsia="en-US"/>
              </w:rPr>
            </w:pPr>
            <w:r w:rsidRPr="00A4046F">
              <w:rPr>
                <w:iCs/>
                <w:sz w:val="20"/>
                <w:szCs w:val="20"/>
              </w:rPr>
              <w:t>3 314 520</w:t>
            </w:r>
          </w:p>
        </w:tc>
        <w:tc>
          <w:tcPr>
            <w:tcW w:w="389" w:type="pct"/>
            <w:vAlign w:val="center"/>
          </w:tcPr>
          <w:p w:rsidR="0011317A" w:rsidRPr="00925C92" w:rsidRDefault="0011317A" w:rsidP="00DA6FBE">
            <w:pPr>
              <w:jc w:val="center"/>
              <w:rPr>
                <w:sz w:val="20"/>
                <w:szCs w:val="20"/>
                <w:lang w:eastAsia="en-US"/>
              </w:rPr>
            </w:pPr>
            <w:r w:rsidRPr="006055BE">
              <w:rPr>
                <w:color w:val="000000"/>
                <w:sz w:val="20"/>
                <w:szCs w:val="20"/>
              </w:rPr>
              <w:t>0</w:t>
            </w:r>
          </w:p>
        </w:tc>
        <w:tc>
          <w:tcPr>
            <w:tcW w:w="530" w:type="pct"/>
            <w:vAlign w:val="center"/>
          </w:tcPr>
          <w:p w:rsidR="0011317A" w:rsidRPr="00A4046F" w:rsidRDefault="0011317A" w:rsidP="00DA6FBE">
            <w:pPr>
              <w:jc w:val="center"/>
              <w:rPr>
                <w:sz w:val="20"/>
                <w:szCs w:val="20"/>
                <w:lang w:eastAsia="en-US"/>
              </w:rPr>
            </w:pPr>
            <w:r>
              <w:rPr>
                <w:iCs/>
                <w:sz w:val="20"/>
                <w:szCs w:val="20"/>
              </w:rPr>
              <w:t>0</w:t>
            </w:r>
          </w:p>
        </w:tc>
        <w:tc>
          <w:tcPr>
            <w:tcW w:w="396"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480"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1052" w:type="pct"/>
            <w:vAlign w:val="center"/>
          </w:tcPr>
          <w:p w:rsidR="0011317A" w:rsidRPr="00925C92" w:rsidRDefault="0011317A" w:rsidP="00DA6FBE">
            <w:pPr>
              <w:jc w:val="center"/>
              <w:rPr>
                <w:sz w:val="20"/>
                <w:szCs w:val="20"/>
                <w:lang w:eastAsia="en-US"/>
              </w:rPr>
            </w:pPr>
            <w:r w:rsidRPr="00BE0476">
              <w:rPr>
                <w:color w:val="000000"/>
                <w:sz w:val="20"/>
                <w:szCs w:val="20"/>
              </w:rPr>
              <w:t>0</w:t>
            </w:r>
          </w:p>
        </w:tc>
      </w:tr>
      <w:tr w:rsidR="0011317A" w:rsidRPr="00925C92" w:rsidTr="003B7BB4">
        <w:trPr>
          <w:cantSplit/>
        </w:trPr>
        <w:tc>
          <w:tcPr>
            <w:tcW w:w="1085" w:type="pct"/>
          </w:tcPr>
          <w:p w:rsidR="0011317A" w:rsidRPr="00925C92" w:rsidRDefault="0011317A" w:rsidP="00DA6FBE">
            <w:pPr>
              <w:jc w:val="both"/>
              <w:rPr>
                <w:sz w:val="20"/>
                <w:szCs w:val="20"/>
                <w:lang w:eastAsia="en-US"/>
              </w:rPr>
            </w:pPr>
            <w:r w:rsidRPr="00925C92">
              <w:rPr>
                <w:sz w:val="20"/>
                <w:szCs w:val="20"/>
                <w:lang w:eastAsia="en-US"/>
              </w:rPr>
              <w:t>5. Precizēta finansiālā ietekme</w:t>
            </w:r>
          </w:p>
        </w:tc>
        <w:tc>
          <w:tcPr>
            <w:tcW w:w="387" w:type="pct"/>
            <w:vMerge w:val="restart"/>
            <w:vAlign w:val="center"/>
          </w:tcPr>
          <w:p w:rsidR="0011317A" w:rsidRPr="00925C92" w:rsidRDefault="0011317A" w:rsidP="00DA6FBE">
            <w:pPr>
              <w:jc w:val="center"/>
              <w:rPr>
                <w:sz w:val="20"/>
                <w:szCs w:val="20"/>
                <w:lang w:eastAsia="en-US"/>
              </w:rPr>
            </w:pPr>
            <w:r w:rsidRPr="00BE0476">
              <w:rPr>
                <w:color w:val="000000"/>
                <w:sz w:val="20"/>
                <w:szCs w:val="20"/>
              </w:rPr>
              <w:t>x</w:t>
            </w:r>
          </w:p>
        </w:tc>
        <w:tc>
          <w:tcPr>
            <w:tcW w:w="681" w:type="pct"/>
            <w:vAlign w:val="center"/>
          </w:tcPr>
          <w:p w:rsidR="0011317A" w:rsidRPr="00925C92" w:rsidRDefault="0011317A" w:rsidP="00DA6FBE">
            <w:pPr>
              <w:jc w:val="center"/>
              <w:rPr>
                <w:sz w:val="20"/>
                <w:szCs w:val="20"/>
                <w:lang w:eastAsia="en-US"/>
              </w:rPr>
            </w:pPr>
            <w:r>
              <w:rPr>
                <w:color w:val="000000"/>
                <w:sz w:val="20"/>
                <w:szCs w:val="20"/>
              </w:rPr>
              <w:t>0</w:t>
            </w:r>
          </w:p>
        </w:tc>
        <w:tc>
          <w:tcPr>
            <w:tcW w:w="389" w:type="pct"/>
            <w:vMerge w:val="restart"/>
            <w:vAlign w:val="center"/>
          </w:tcPr>
          <w:p w:rsidR="0011317A" w:rsidRPr="00925C92" w:rsidRDefault="0011317A" w:rsidP="00DA6FBE">
            <w:pPr>
              <w:jc w:val="center"/>
              <w:rPr>
                <w:sz w:val="20"/>
                <w:szCs w:val="20"/>
                <w:lang w:eastAsia="en-US"/>
              </w:rPr>
            </w:pPr>
            <w:r w:rsidRPr="00BE0476">
              <w:rPr>
                <w:color w:val="000000"/>
                <w:sz w:val="20"/>
                <w:szCs w:val="20"/>
              </w:rPr>
              <w:t>x</w:t>
            </w:r>
          </w:p>
        </w:tc>
        <w:tc>
          <w:tcPr>
            <w:tcW w:w="530"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396" w:type="pct"/>
            <w:vMerge w:val="restart"/>
            <w:vAlign w:val="center"/>
          </w:tcPr>
          <w:p w:rsidR="0011317A" w:rsidRPr="00925C92" w:rsidRDefault="0011317A" w:rsidP="00DA6FBE">
            <w:pPr>
              <w:jc w:val="center"/>
              <w:rPr>
                <w:sz w:val="20"/>
                <w:szCs w:val="20"/>
                <w:lang w:eastAsia="en-US"/>
              </w:rPr>
            </w:pPr>
            <w:r w:rsidRPr="00BE0476">
              <w:rPr>
                <w:color w:val="000000"/>
                <w:sz w:val="20"/>
                <w:szCs w:val="20"/>
              </w:rPr>
              <w:t>x</w:t>
            </w:r>
          </w:p>
        </w:tc>
        <w:tc>
          <w:tcPr>
            <w:tcW w:w="480"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1052" w:type="pct"/>
            <w:vAlign w:val="center"/>
          </w:tcPr>
          <w:p w:rsidR="0011317A" w:rsidRPr="00925C92" w:rsidRDefault="0011317A" w:rsidP="00DA6FBE">
            <w:pPr>
              <w:jc w:val="center"/>
              <w:rPr>
                <w:sz w:val="20"/>
                <w:szCs w:val="20"/>
                <w:lang w:eastAsia="en-US"/>
              </w:rPr>
            </w:pPr>
            <w:r w:rsidRPr="00BE0476">
              <w:rPr>
                <w:color w:val="000000"/>
                <w:sz w:val="20"/>
                <w:szCs w:val="20"/>
              </w:rPr>
              <w:t>0</w:t>
            </w:r>
          </w:p>
        </w:tc>
      </w:tr>
      <w:tr w:rsidR="0011317A" w:rsidRPr="00925C92" w:rsidTr="003B7BB4">
        <w:trPr>
          <w:cantSplit/>
        </w:trPr>
        <w:tc>
          <w:tcPr>
            <w:tcW w:w="1085" w:type="pct"/>
          </w:tcPr>
          <w:p w:rsidR="0011317A" w:rsidRPr="00925C92" w:rsidRDefault="0011317A" w:rsidP="00DA6FBE">
            <w:pPr>
              <w:jc w:val="both"/>
              <w:rPr>
                <w:sz w:val="20"/>
                <w:szCs w:val="20"/>
                <w:lang w:eastAsia="en-US"/>
              </w:rPr>
            </w:pPr>
            <w:r w:rsidRPr="00925C92">
              <w:rPr>
                <w:sz w:val="20"/>
                <w:szCs w:val="20"/>
                <w:lang w:eastAsia="en-US"/>
              </w:rPr>
              <w:t>5.1. valsts pamatbudžets</w:t>
            </w:r>
          </w:p>
        </w:tc>
        <w:tc>
          <w:tcPr>
            <w:tcW w:w="387" w:type="pct"/>
            <w:vMerge/>
            <w:vAlign w:val="center"/>
          </w:tcPr>
          <w:p w:rsidR="0011317A" w:rsidRPr="00925C92" w:rsidRDefault="0011317A" w:rsidP="00DA6FBE">
            <w:pPr>
              <w:jc w:val="center"/>
              <w:rPr>
                <w:sz w:val="20"/>
                <w:szCs w:val="20"/>
                <w:lang w:eastAsia="en-US"/>
              </w:rPr>
            </w:pPr>
          </w:p>
        </w:tc>
        <w:tc>
          <w:tcPr>
            <w:tcW w:w="681" w:type="pct"/>
            <w:vAlign w:val="center"/>
          </w:tcPr>
          <w:p w:rsidR="0011317A" w:rsidRPr="00925C92" w:rsidRDefault="0011317A" w:rsidP="00DA6FBE">
            <w:pPr>
              <w:jc w:val="center"/>
              <w:rPr>
                <w:sz w:val="20"/>
                <w:szCs w:val="20"/>
                <w:lang w:eastAsia="en-US"/>
              </w:rPr>
            </w:pPr>
            <w:r>
              <w:rPr>
                <w:sz w:val="20"/>
                <w:szCs w:val="20"/>
                <w:lang w:eastAsia="en-US"/>
              </w:rPr>
              <w:t>0</w:t>
            </w:r>
          </w:p>
        </w:tc>
        <w:tc>
          <w:tcPr>
            <w:tcW w:w="389" w:type="pct"/>
            <w:vMerge/>
            <w:vAlign w:val="center"/>
          </w:tcPr>
          <w:p w:rsidR="0011317A" w:rsidRPr="00925C92" w:rsidRDefault="0011317A" w:rsidP="00DA6FBE">
            <w:pPr>
              <w:jc w:val="center"/>
              <w:rPr>
                <w:sz w:val="20"/>
                <w:szCs w:val="20"/>
                <w:lang w:eastAsia="en-US"/>
              </w:rPr>
            </w:pPr>
          </w:p>
        </w:tc>
        <w:tc>
          <w:tcPr>
            <w:tcW w:w="530"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396" w:type="pct"/>
            <w:vMerge/>
            <w:vAlign w:val="center"/>
          </w:tcPr>
          <w:p w:rsidR="0011317A" w:rsidRPr="00925C92" w:rsidRDefault="0011317A" w:rsidP="00DA6FBE">
            <w:pPr>
              <w:jc w:val="center"/>
              <w:rPr>
                <w:sz w:val="20"/>
                <w:szCs w:val="20"/>
                <w:lang w:eastAsia="en-US"/>
              </w:rPr>
            </w:pPr>
          </w:p>
        </w:tc>
        <w:tc>
          <w:tcPr>
            <w:tcW w:w="480"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1052" w:type="pct"/>
            <w:vAlign w:val="center"/>
          </w:tcPr>
          <w:p w:rsidR="0011317A" w:rsidRPr="00925C92" w:rsidRDefault="0011317A" w:rsidP="00DA6FBE">
            <w:pPr>
              <w:jc w:val="center"/>
              <w:rPr>
                <w:sz w:val="20"/>
                <w:szCs w:val="20"/>
                <w:lang w:eastAsia="en-US"/>
              </w:rPr>
            </w:pPr>
            <w:r w:rsidRPr="00BE0476">
              <w:rPr>
                <w:color w:val="000000"/>
                <w:sz w:val="20"/>
                <w:szCs w:val="20"/>
              </w:rPr>
              <w:t>0</w:t>
            </w:r>
          </w:p>
        </w:tc>
      </w:tr>
      <w:tr w:rsidR="0011317A" w:rsidRPr="00925C92" w:rsidTr="003B7BB4">
        <w:trPr>
          <w:cantSplit/>
        </w:trPr>
        <w:tc>
          <w:tcPr>
            <w:tcW w:w="1085" w:type="pct"/>
          </w:tcPr>
          <w:p w:rsidR="0011317A" w:rsidRPr="00925C92" w:rsidRDefault="0011317A" w:rsidP="00DA6FBE">
            <w:pPr>
              <w:jc w:val="both"/>
              <w:rPr>
                <w:sz w:val="20"/>
                <w:szCs w:val="20"/>
                <w:lang w:eastAsia="en-US"/>
              </w:rPr>
            </w:pPr>
            <w:r w:rsidRPr="00925C92">
              <w:rPr>
                <w:sz w:val="20"/>
                <w:szCs w:val="20"/>
                <w:lang w:eastAsia="en-US"/>
              </w:rPr>
              <w:t>5.2. speciālais budžets</w:t>
            </w:r>
          </w:p>
        </w:tc>
        <w:tc>
          <w:tcPr>
            <w:tcW w:w="387" w:type="pct"/>
            <w:vMerge/>
            <w:vAlign w:val="center"/>
          </w:tcPr>
          <w:p w:rsidR="0011317A" w:rsidRPr="00925C92" w:rsidRDefault="0011317A" w:rsidP="00DA6FBE">
            <w:pPr>
              <w:jc w:val="center"/>
              <w:rPr>
                <w:sz w:val="20"/>
                <w:szCs w:val="20"/>
                <w:lang w:eastAsia="en-US"/>
              </w:rPr>
            </w:pPr>
          </w:p>
        </w:tc>
        <w:tc>
          <w:tcPr>
            <w:tcW w:w="681"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389" w:type="pct"/>
            <w:vMerge/>
            <w:vAlign w:val="center"/>
          </w:tcPr>
          <w:p w:rsidR="0011317A" w:rsidRPr="00925C92" w:rsidRDefault="0011317A" w:rsidP="00DA6FBE">
            <w:pPr>
              <w:jc w:val="center"/>
              <w:rPr>
                <w:sz w:val="20"/>
                <w:szCs w:val="20"/>
                <w:lang w:eastAsia="en-US"/>
              </w:rPr>
            </w:pPr>
          </w:p>
        </w:tc>
        <w:tc>
          <w:tcPr>
            <w:tcW w:w="530"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396" w:type="pct"/>
            <w:vMerge/>
            <w:vAlign w:val="center"/>
          </w:tcPr>
          <w:p w:rsidR="0011317A" w:rsidRPr="00925C92" w:rsidRDefault="0011317A" w:rsidP="00DA6FBE">
            <w:pPr>
              <w:jc w:val="center"/>
              <w:rPr>
                <w:sz w:val="20"/>
                <w:szCs w:val="20"/>
                <w:lang w:eastAsia="en-US"/>
              </w:rPr>
            </w:pPr>
          </w:p>
        </w:tc>
        <w:tc>
          <w:tcPr>
            <w:tcW w:w="480"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1052" w:type="pct"/>
            <w:vAlign w:val="center"/>
          </w:tcPr>
          <w:p w:rsidR="0011317A" w:rsidRPr="00925C92" w:rsidRDefault="0011317A" w:rsidP="00DA6FBE">
            <w:pPr>
              <w:jc w:val="center"/>
              <w:rPr>
                <w:sz w:val="20"/>
                <w:szCs w:val="20"/>
                <w:lang w:eastAsia="en-US"/>
              </w:rPr>
            </w:pPr>
            <w:r w:rsidRPr="00BE0476">
              <w:rPr>
                <w:color w:val="000000"/>
                <w:sz w:val="20"/>
                <w:szCs w:val="20"/>
              </w:rPr>
              <w:t>0</w:t>
            </w:r>
          </w:p>
        </w:tc>
      </w:tr>
      <w:tr w:rsidR="0011317A" w:rsidRPr="00925C92" w:rsidTr="003B7BB4">
        <w:trPr>
          <w:cantSplit/>
        </w:trPr>
        <w:tc>
          <w:tcPr>
            <w:tcW w:w="1085" w:type="pct"/>
          </w:tcPr>
          <w:p w:rsidR="0011317A" w:rsidRPr="00925C92" w:rsidRDefault="0011317A" w:rsidP="00DA6FBE">
            <w:pPr>
              <w:jc w:val="both"/>
              <w:rPr>
                <w:sz w:val="20"/>
                <w:szCs w:val="20"/>
                <w:lang w:eastAsia="en-US"/>
              </w:rPr>
            </w:pPr>
            <w:r w:rsidRPr="00925C92">
              <w:rPr>
                <w:sz w:val="20"/>
                <w:szCs w:val="20"/>
                <w:lang w:eastAsia="en-US"/>
              </w:rPr>
              <w:t>5.3. pašvaldību budžets</w:t>
            </w:r>
          </w:p>
        </w:tc>
        <w:tc>
          <w:tcPr>
            <w:tcW w:w="387" w:type="pct"/>
            <w:vMerge/>
            <w:vAlign w:val="center"/>
          </w:tcPr>
          <w:p w:rsidR="0011317A" w:rsidRPr="00925C92" w:rsidRDefault="0011317A" w:rsidP="00DA6FBE">
            <w:pPr>
              <w:jc w:val="center"/>
              <w:rPr>
                <w:sz w:val="20"/>
                <w:szCs w:val="20"/>
                <w:lang w:eastAsia="en-US"/>
              </w:rPr>
            </w:pPr>
          </w:p>
        </w:tc>
        <w:tc>
          <w:tcPr>
            <w:tcW w:w="681"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389" w:type="pct"/>
            <w:vMerge/>
            <w:vAlign w:val="center"/>
          </w:tcPr>
          <w:p w:rsidR="0011317A" w:rsidRPr="00925C92" w:rsidRDefault="0011317A" w:rsidP="00DA6FBE">
            <w:pPr>
              <w:jc w:val="center"/>
              <w:rPr>
                <w:sz w:val="20"/>
                <w:szCs w:val="20"/>
                <w:lang w:eastAsia="en-US"/>
              </w:rPr>
            </w:pPr>
          </w:p>
        </w:tc>
        <w:tc>
          <w:tcPr>
            <w:tcW w:w="530"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396" w:type="pct"/>
            <w:vMerge/>
            <w:vAlign w:val="center"/>
          </w:tcPr>
          <w:p w:rsidR="0011317A" w:rsidRPr="00925C92" w:rsidRDefault="0011317A" w:rsidP="00DA6FBE">
            <w:pPr>
              <w:jc w:val="center"/>
              <w:rPr>
                <w:sz w:val="20"/>
                <w:szCs w:val="20"/>
                <w:lang w:eastAsia="en-US"/>
              </w:rPr>
            </w:pPr>
          </w:p>
        </w:tc>
        <w:tc>
          <w:tcPr>
            <w:tcW w:w="480" w:type="pct"/>
            <w:vAlign w:val="center"/>
          </w:tcPr>
          <w:p w:rsidR="0011317A" w:rsidRPr="00925C92" w:rsidRDefault="0011317A" w:rsidP="00DA6FBE">
            <w:pPr>
              <w:jc w:val="center"/>
              <w:rPr>
                <w:sz w:val="20"/>
                <w:szCs w:val="20"/>
                <w:lang w:eastAsia="en-US"/>
              </w:rPr>
            </w:pPr>
            <w:r w:rsidRPr="00BE0476">
              <w:rPr>
                <w:color w:val="000000"/>
                <w:sz w:val="20"/>
                <w:szCs w:val="20"/>
              </w:rPr>
              <w:t>0</w:t>
            </w:r>
          </w:p>
        </w:tc>
        <w:tc>
          <w:tcPr>
            <w:tcW w:w="1052" w:type="pct"/>
            <w:vAlign w:val="center"/>
          </w:tcPr>
          <w:p w:rsidR="0011317A" w:rsidRPr="00925C92" w:rsidRDefault="0011317A" w:rsidP="00DA6FBE">
            <w:pPr>
              <w:jc w:val="center"/>
              <w:rPr>
                <w:sz w:val="20"/>
                <w:szCs w:val="20"/>
                <w:lang w:eastAsia="en-US"/>
              </w:rPr>
            </w:pPr>
            <w:r w:rsidRPr="00BE0476">
              <w:rPr>
                <w:color w:val="000000"/>
                <w:sz w:val="20"/>
                <w:szCs w:val="20"/>
              </w:rPr>
              <w:t>0</w:t>
            </w:r>
          </w:p>
        </w:tc>
      </w:tr>
      <w:tr w:rsidR="0011317A" w:rsidRPr="002F2679" w:rsidTr="00A4046F">
        <w:trPr>
          <w:cantSplit/>
        </w:trPr>
        <w:tc>
          <w:tcPr>
            <w:tcW w:w="1085" w:type="pct"/>
          </w:tcPr>
          <w:p w:rsidR="0011317A" w:rsidRPr="002F2679" w:rsidRDefault="0011317A" w:rsidP="00DA6FBE">
            <w:pPr>
              <w:jc w:val="both"/>
              <w:rPr>
                <w:sz w:val="20"/>
                <w:szCs w:val="20"/>
                <w:lang w:eastAsia="en-US"/>
              </w:rPr>
            </w:pPr>
            <w:r w:rsidRPr="002F2679">
              <w:rPr>
                <w:sz w:val="20"/>
                <w:szCs w:val="20"/>
                <w:lang w:eastAsia="en-US"/>
              </w:rPr>
              <w:t>6. Detalizēts ieņēmumu un izdevumu aprēķins (ja nepieciešams, detalizētu ieņēmumu un izdevumu aprēķinu var pievienot anotācijas pielikumā)</w:t>
            </w:r>
          </w:p>
        </w:tc>
        <w:tc>
          <w:tcPr>
            <w:tcW w:w="3915" w:type="pct"/>
            <w:gridSpan w:val="7"/>
            <w:vMerge w:val="restart"/>
            <w:vAlign w:val="center"/>
          </w:tcPr>
          <w:p w:rsidR="00DC0E4E" w:rsidRDefault="00DC0E4E" w:rsidP="00DA6FBE">
            <w:pPr>
              <w:jc w:val="both"/>
              <w:rPr>
                <w:iCs/>
                <w:sz w:val="20"/>
                <w:szCs w:val="20"/>
              </w:rPr>
            </w:pPr>
            <w:r>
              <w:rPr>
                <w:iCs/>
                <w:sz w:val="20"/>
                <w:szCs w:val="20"/>
              </w:rPr>
              <w:t>Saskaņā ar F</w:t>
            </w:r>
            <w:r w:rsidR="005D15DA">
              <w:rPr>
                <w:iCs/>
                <w:sz w:val="20"/>
                <w:szCs w:val="20"/>
              </w:rPr>
              <w:t>inanšu ministrijas</w:t>
            </w:r>
            <w:r>
              <w:rPr>
                <w:iCs/>
                <w:sz w:val="20"/>
                <w:szCs w:val="20"/>
              </w:rPr>
              <w:t xml:space="preserve"> 2020.</w:t>
            </w:r>
            <w:r w:rsidR="005D15DA">
              <w:rPr>
                <w:iCs/>
                <w:sz w:val="20"/>
                <w:szCs w:val="20"/>
              </w:rPr>
              <w:t> </w:t>
            </w:r>
            <w:r>
              <w:rPr>
                <w:iCs/>
                <w:sz w:val="20"/>
                <w:szCs w:val="20"/>
              </w:rPr>
              <w:t>gada 30.</w:t>
            </w:r>
            <w:r w:rsidR="005D15DA">
              <w:rPr>
                <w:iCs/>
                <w:sz w:val="20"/>
                <w:szCs w:val="20"/>
              </w:rPr>
              <w:t> </w:t>
            </w:r>
            <w:r>
              <w:rPr>
                <w:iCs/>
                <w:sz w:val="20"/>
                <w:szCs w:val="20"/>
              </w:rPr>
              <w:t>oktobra rīkojumu Nr.</w:t>
            </w:r>
            <w:r w:rsidR="005D15DA">
              <w:rPr>
                <w:iCs/>
                <w:sz w:val="20"/>
                <w:szCs w:val="20"/>
              </w:rPr>
              <w:t> </w:t>
            </w:r>
            <w:r>
              <w:rPr>
                <w:iCs/>
                <w:sz w:val="20"/>
                <w:szCs w:val="20"/>
              </w:rPr>
              <w:t>436 “Par līdzekļu piešķiršanu” izdevumi bezdarbnieka palīdzības pabalsta izmaksām 2020.</w:t>
            </w:r>
            <w:r w:rsidR="00F15AAF">
              <w:rPr>
                <w:iCs/>
                <w:sz w:val="20"/>
                <w:szCs w:val="20"/>
              </w:rPr>
              <w:t> </w:t>
            </w:r>
            <w:r>
              <w:rPr>
                <w:iCs/>
                <w:sz w:val="20"/>
                <w:szCs w:val="20"/>
              </w:rPr>
              <w:t xml:space="preserve">gadā ir piešķirti 5 050 440 </w:t>
            </w:r>
            <w:proofErr w:type="spellStart"/>
            <w:r w:rsidRPr="005D15DA">
              <w:rPr>
                <w:i/>
                <w:iCs/>
                <w:sz w:val="20"/>
                <w:szCs w:val="20"/>
              </w:rPr>
              <w:t>euro</w:t>
            </w:r>
            <w:proofErr w:type="spellEnd"/>
            <w:r>
              <w:rPr>
                <w:iCs/>
                <w:sz w:val="20"/>
                <w:szCs w:val="20"/>
              </w:rPr>
              <w:t xml:space="preserve"> apmērā.</w:t>
            </w:r>
          </w:p>
          <w:p w:rsidR="0070354D" w:rsidRDefault="0011317A" w:rsidP="00DA6FBE">
            <w:pPr>
              <w:jc w:val="both"/>
              <w:rPr>
                <w:iCs/>
                <w:sz w:val="20"/>
                <w:szCs w:val="20"/>
              </w:rPr>
            </w:pPr>
            <w:r w:rsidRPr="002F2679">
              <w:rPr>
                <w:iCs/>
                <w:sz w:val="20"/>
                <w:szCs w:val="20"/>
              </w:rPr>
              <w:t xml:space="preserve">Pēc </w:t>
            </w:r>
            <w:r>
              <w:rPr>
                <w:iCs/>
                <w:sz w:val="20"/>
                <w:szCs w:val="20"/>
              </w:rPr>
              <w:t>VSAA</w:t>
            </w:r>
            <w:r w:rsidRPr="002F2679">
              <w:rPr>
                <w:iCs/>
                <w:sz w:val="20"/>
                <w:szCs w:val="20"/>
              </w:rPr>
              <w:t xml:space="preserve"> datiem 2020.</w:t>
            </w:r>
            <w:r>
              <w:rPr>
                <w:iCs/>
                <w:sz w:val="20"/>
                <w:szCs w:val="20"/>
              </w:rPr>
              <w:t> </w:t>
            </w:r>
            <w:r w:rsidRPr="002F2679">
              <w:rPr>
                <w:iCs/>
                <w:sz w:val="20"/>
                <w:szCs w:val="20"/>
              </w:rPr>
              <w:t xml:space="preserve">gada </w:t>
            </w:r>
            <w:r>
              <w:rPr>
                <w:iCs/>
                <w:sz w:val="20"/>
                <w:szCs w:val="20"/>
              </w:rPr>
              <w:t>periodā maijs-novembris bezdarbnieka palīdzības pabalsts izmaksāts kopumā 8 937 personām.</w:t>
            </w:r>
          </w:p>
          <w:p w:rsidR="0011317A" w:rsidRPr="002F2679" w:rsidRDefault="0011317A" w:rsidP="00DA6FBE">
            <w:pPr>
              <w:jc w:val="both"/>
              <w:rPr>
                <w:i/>
                <w:iCs/>
                <w:sz w:val="20"/>
                <w:szCs w:val="20"/>
              </w:rPr>
            </w:pPr>
            <w:bookmarkStart w:id="4" w:name="_Hlk59520630"/>
            <w:r w:rsidRPr="002F2679">
              <w:rPr>
                <w:iCs/>
                <w:sz w:val="20"/>
                <w:szCs w:val="20"/>
              </w:rPr>
              <w:t>Uz 2020.</w:t>
            </w:r>
            <w:r>
              <w:rPr>
                <w:iCs/>
                <w:sz w:val="20"/>
                <w:szCs w:val="20"/>
              </w:rPr>
              <w:t> </w:t>
            </w:r>
            <w:r w:rsidRPr="002F2679">
              <w:rPr>
                <w:iCs/>
                <w:sz w:val="20"/>
                <w:szCs w:val="20"/>
              </w:rPr>
              <w:t xml:space="preserve">gada </w:t>
            </w:r>
            <w:r>
              <w:rPr>
                <w:iCs/>
                <w:sz w:val="20"/>
                <w:szCs w:val="20"/>
              </w:rPr>
              <w:t>23.</w:t>
            </w:r>
            <w:r w:rsidR="00F15AAF">
              <w:rPr>
                <w:iCs/>
                <w:sz w:val="20"/>
                <w:szCs w:val="20"/>
              </w:rPr>
              <w:t> </w:t>
            </w:r>
            <w:r>
              <w:rPr>
                <w:iCs/>
                <w:sz w:val="20"/>
                <w:szCs w:val="20"/>
              </w:rPr>
              <w:t>decembri</w:t>
            </w:r>
            <w:r w:rsidRPr="002F2679">
              <w:rPr>
                <w:iCs/>
                <w:sz w:val="20"/>
                <w:szCs w:val="20"/>
              </w:rPr>
              <w:t xml:space="preserve"> </w:t>
            </w:r>
            <w:r>
              <w:rPr>
                <w:iCs/>
                <w:sz w:val="20"/>
                <w:szCs w:val="20"/>
              </w:rPr>
              <w:t>(laika periodā no 2020. gada 12. marta) b</w:t>
            </w:r>
            <w:r w:rsidRPr="002F2679">
              <w:rPr>
                <w:iCs/>
                <w:sz w:val="20"/>
                <w:szCs w:val="20"/>
              </w:rPr>
              <w:t>ezdarbnieka palīdzības pabalst</w:t>
            </w:r>
            <w:r w:rsidR="00DC0E4E">
              <w:rPr>
                <w:iCs/>
                <w:sz w:val="20"/>
                <w:szCs w:val="20"/>
              </w:rPr>
              <w:t>am</w:t>
            </w:r>
            <w:r w:rsidRPr="002F2679">
              <w:rPr>
                <w:iCs/>
                <w:sz w:val="20"/>
                <w:szCs w:val="20"/>
              </w:rPr>
              <w:t xml:space="preserve"> izlietoti</w:t>
            </w:r>
            <w:r w:rsidRPr="002F2679">
              <w:t xml:space="preserve"> </w:t>
            </w:r>
            <w:r>
              <w:rPr>
                <w:iCs/>
                <w:sz w:val="20"/>
                <w:szCs w:val="20"/>
              </w:rPr>
              <w:t>5 094 274</w:t>
            </w:r>
            <w:r w:rsidRPr="002F2679">
              <w:rPr>
                <w:iCs/>
                <w:sz w:val="20"/>
                <w:szCs w:val="20"/>
              </w:rPr>
              <w:t xml:space="preserve"> </w:t>
            </w:r>
            <w:proofErr w:type="spellStart"/>
            <w:r w:rsidRPr="002F2679">
              <w:rPr>
                <w:i/>
                <w:iCs/>
                <w:sz w:val="20"/>
                <w:szCs w:val="20"/>
              </w:rPr>
              <w:t>euro</w:t>
            </w:r>
            <w:proofErr w:type="spellEnd"/>
            <w:r>
              <w:rPr>
                <w:i/>
                <w:iCs/>
                <w:sz w:val="20"/>
                <w:szCs w:val="20"/>
              </w:rPr>
              <w:t>, tai skaitā no</w:t>
            </w:r>
            <w:r w:rsidR="00DC0E4E">
              <w:rPr>
                <w:i/>
                <w:iCs/>
                <w:sz w:val="20"/>
                <w:szCs w:val="20"/>
              </w:rPr>
              <w:t xml:space="preserve"> programmas 99.00.00 “</w:t>
            </w:r>
            <w:r w:rsidRPr="009E0BCE">
              <w:rPr>
                <w:sz w:val="20"/>
                <w:szCs w:val="20"/>
              </w:rPr>
              <w:t>Līdzekļi</w:t>
            </w:r>
            <w:r>
              <w:rPr>
                <w:sz w:val="20"/>
                <w:szCs w:val="20"/>
              </w:rPr>
              <w:t>em</w:t>
            </w:r>
            <w:r w:rsidRPr="009E0BCE">
              <w:rPr>
                <w:sz w:val="20"/>
                <w:szCs w:val="20"/>
              </w:rPr>
              <w:t xml:space="preserve"> neparedzētiem gadījumiem</w:t>
            </w:r>
            <w:r w:rsidR="00DC0E4E">
              <w:rPr>
                <w:sz w:val="20"/>
                <w:szCs w:val="20"/>
              </w:rPr>
              <w:t>”</w:t>
            </w:r>
            <w:r>
              <w:rPr>
                <w:sz w:val="20"/>
                <w:szCs w:val="20"/>
              </w:rPr>
              <w:t xml:space="preserve"> 5 </w:t>
            </w:r>
            <w:r>
              <w:rPr>
                <w:i/>
                <w:iCs/>
                <w:sz w:val="20"/>
                <w:szCs w:val="20"/>
              </w:rPr>
              <w:t xml:space="preserve">050 440 </w:t>
            </w:r>
            <w:proofErr w:type="spellStart"/>
            <w:r>
              <w:rPr>
                <w:i/>
                <w:iCs/>
                <w:sz w:val="20"/>
                <w:szCs w:val="20"/>
              </w:rPr>
              <w:t>euro</w:t>
            </w:r>
            <w:proofErr w:type="spellEnd"/>
            <w:r w:rsidR="00783FA7">
              <w:rPr>
                <w:i/>
                <w:iCs/>
                <w:sz w:val="20"/>
                <w:szCs w:val="20"/>
              </w:rPr>
              <w:t>, atlikušo finansējumu 43</w:t>
            </w:r>
            <w:r w:rsidR="001E1411">
              <w:rPr>
                <w:i/>
                <w:iCs/>
                <w:sz w:val="20"/>
                <w:szCs w:val="20"/>
              </w:rPr>
              <w:t xml:space="preserve"> </w:t>
            </w:r>
            <w:r w:rsidR="00783FA7">
              <w:rPr>
                <w:i/>
                <w:iCs/>
                <w:sz w:val="20"/>
                <w:szCs w:val="20"/>
              </w:rPr>
              <w:t xml:space="preserve">834 </w:t>
            </w:r>
            <w:proofErr w:type="spellStart"/>
            <w:r w:rsidR="001E1411">
              <w:rPr>
                <w:i/>
                <w:iCs/>
                <w:sz w:val="20"/>
                <w:szCs w:val="20"/>
              </w:rPr>
              <w:lastRenderedPageBreak/>
              <w:t>euro</w:t>
            </w:r>
            <w:proofErr w:type="spellEnd"/>
            <w:r w:rsidR="001E1411">
              <w:rPr>
                <w:i/>
                <w:iCs/>
                <w:sz w:val="20"/>
                <w:szCs w:val="20"/>
              </w:rPr>
              <w:t xml:space="preserve"> apmērā sedzot no speciālā budžeta apakšprogrammas 04.02.00 “Nodarbinātības </w:t>
            </w:r>
            <w:r w:rsidR="00616661">
              <w:rPr>
                <w:i/>
                <w:iCs/>
                <w:sz w:val="20"/>
                <w:szCs w:val="20"/>
              </w:rPr>
              <w:t>speciālais</w:t>
            </w:r>
            <w:r w:rsidR="001E1411">
              <w:rPr>
                <w:i/>
                <w:iCs/>
                <w:sz w:val="20"/>
                <w:szCs w:val="20"/>
              </w:rPr>
              <w:t xml:space="preserve"> budžets” izdevumiem bezdarbnieka pabalstam.</w:t>
            </w:r>
          </w:p>
          <w:bookmarkEnd w:id="4"/>
          <w:p w:rsidR="0011317A" w:rsidRPr="002F2679" w:rsidRDefault="0011317A" w:rsidP="00DA6FBE">
            <w:pPr>
              <w:jc w:val="both"/>
              <w:rPr>
                <w:sz w:val="20"/>
                <w:szCs w:val="20"/>
              </w:rPr>
            </w:pPr>
          </w:p>
          <w:p w:rsidR="0011317A" w:rsidRDefault="0011317A" w:rsidP="00DA6FBE">
            <w:pPr>
              <w:jc w:val="both"/>
              <w:rPr>
                <w:iCs/>
                <w:sz w:val="20"/>
                <w:szCs w:val="20"/>
              </w:rPr>
            </w:pPr>
            <w:r w:rsidRPr="002F2679">
              <w:rPr>
                <w:sz w:val="20"/>
                <w:szCs w:val="20"/>
              </w:rPr>
              <w:t xml:space="preserve">Pagarinot </w:t>
            </w:r>
            <w:r>
              <w:rPr>
                <w:sz w:val="20"/>
                <w:szCs w:val="20"/>
              </w:rPr>
              <w:t>bezdarbnieka palīdzības</w:t>
            </w:r>
            <w:r w:rsidRPr="002F2679">
              <w:rPr>
                <w:sz w:val="20"/>
                <w:szCs w:val="20"/>
              </w:rPr>
              <w:t xml:space="preserve"> pabalsta izmaksu 2021.</w:t>
            </w:r>
            <w:r>
              <w:rPr>
                <w:sz w:val="20"/>
                <w:szCs w:val="20"/>
              </w:rPr>
              <w:t> </w:t>
            </w:r>
            <w:r w:rsidRPr="002F2679">
              <w:rPr>
                <w:sz w:val="20"/>
                <w:szCs w:val="20"/>
              </w:rPr>
              <w:t xml:space="preserve">gadā, plānotais saņēmēju skaits – </w:t>
            </w:r>
            <w:r>
              <w:rPr>
                <w:sz w:val="20"/>
                <w:szCs w:val="20"/>
              </w:rPr>
              <w:t>3 069</w:t>
            </w:r>
            <w:r w:rsidRPr="002F2679">
              <w:rPr>
                <w:sz w:val="20"/>
                <w:szCs w:val="20"/>
              </w:rPr>
              <w:t xml:space="preserve"> personas vidēji mēnesī</w:t>
            </w:r>
            <w:r>
              <w:rPr>
                <w:sz w:val="20"/>
                <w:szCs w:val="20"/>
              </w:rPr>
              <w:t xml:space="preserve"> </w:t>
            </w:r>
            <w:r w:rsidRPr="002F2679">
              <w:rPr>
                <w:iCs/>
                <w:sz w:val="20"/>
                <w:szCs w:val="20"/>
              </w:rPr>
              <w:t xml:space="preserve">(ņemot vērā vidējos rādītājus periodā </w:t>
            </w:r>
            <w:r>
              <w:rPr>
                <w:iCs/>
                <w:sz w:val="20"/>
                <w:szCs w:val="20"/>
              </w:rPr>
              <w:t>maijs</w:t>
            </w:r>
            <w:r w:rsidRPr="002F2679">
              <w:rPr>
                <w:iCs/>
                <w:sz w:val="20"/>
                <w:szCs w:val="20"/>
              </w:rPr>
              <w:t xml:space="preserve"> – oktobris)</w:t>
            </w:r>
            <w:r w:rsidRPr="002F2679">
              <w:rPr>
                <w:sz w:val="20"/>
                <w:szCs w:val="20"/>
              </w:rPr>
              <w:t xml:space="preserve">, </w:t>
            </w:r>
            <w:r>
              <w:rPr>
                <w:sz w:val="20"/>
                <w:szCs w:val="20"/>
              </w:rPr>
              <w:t>pabalsta</w:t>
            </w:r>
            <w:r w:rsidRPr="002F2679">
              <w:rPr>
                <w:sz w:val="20"/>
                <w:szCs w:val="20"/>
              </w:rPr>
              <w:t xml:space="preserve"> apmērs</w:t>
            </w:r>
            <w:r>
              <w:rPr>
                <w:sz w:val="20"/>
                <w:szCs w:val="20"/>
              </w:rPr>
              <w:t xml:space="preserve"> </w:t>
            </w:r>
            <w:r w:rsidRPr="002F2679">
              <w:rPr>
                <w:sz w:val="20"/>
                <w:szCs w:val="20"/>
              </w:rPr>
              <w:t xml:space="preserve">– </w:t>
            </w:r>
            <w:r>
              <w:rPr>
                <w:sz w:val="20"/>
                <w:szCs w:val="20"/>
              </w:rPr>
              <w:t>180</w:t>
            </w:r>
            <w:r w:rsidRPr="002F2679">
              <w:rPr>
                <w:sz w:val="20"/>
                <w:szCs w:val="20"/>
              </w:rPr>
              <w:t xml:space="preserve"> </w:t>
            </w:r>
            <w:proofErr w:type="spellStart"/>
            <w:r w:rsidRPr="002F2679">
              <w:rPr>
                <w:i/>
                <w:iCs/>
                <w:sz w:val="20"/>
                <w:szCs w:val="20"/>
              </w:rPr>
              <w:t>euro</w:t>
            </w:r>
            <w:proofErr w:type="spellEnd"/>
            <w:r w:rsidRPr="002F2679">
              <w:rPr>
                <w:iCs/>
                <w:sz w:val="20"/>
                <w:szCs w:val="20"/>
              </w:rPr>
              <w:t xml:space="preserve">. </w:t>
            </w:r>
          </w:p>
          <w:p w:rsidR="0011317A" w:rsidRDefault="0011317A" w:rsidP="00DA6FBE">
            <w:pPr>
              <w:jc w:val="both"/>
              <w:rPr>
                <w:iCs/>
                <w:sz w:val="20"/>
                <w:szCs w:val="20"/>
              </w:rPr>
            </w:pPr>
            <w:r w:rsidRPr="002F2679">
              <w:rPr>
                <w:iCs/>
                <w:sz w:val="20"/>
                <w:szCs w:val="20"/>
              </w:rPr>
              <w:t>Plānotie izdevumi: 552</w:t>
            </w:r>
            <w:r>
              <w:rPr>
                <w:iCs/>
                <w:sz w:val="20"/>
                <w:szCs w:val="20"/>
              </w:rPr>
              <w:t> </w:t>
            </w:r>
            <w:r w:rsidRPr="002F2679">
              <w:rPr>
                <w:iCs/>
                <w:sz w:val="20"/>
                <w:szCs w:val="20"/>
              </w:rPr>
              <w:t>420</w:t>
            </w:r>
            <w:r>
              <w:rPr>
                <w:iCs/>
                <w:sz w:val="20"/>
                <w:szCs w:val="20"/>
              </w:rPr>
              <w:t xml:space="preserve"> </w:t>
            </w:r>
            <w:proofErr w:type="spellStart"/>
            <w:r w:rsidRPr="002F2679">
              <w:rPr>
                <w:i/>
                <w:iCs/>
                <w:sz w:val="20"/>
                <w:szCs w:val="20"/>
              </w:rPr>
              <w:t>euro</w:t>
            </w:r>
            <w:proofErr w:type="spellEnd"/>
            <w:r w:rsidRPr="002F2679">
              <w:rPr>
                <w:i/>
                <w:iCs/>
                <w:sz w:val="20"/>
                <w:szCs w:val="20"/>
              </w:rPr>
              <w:t xml:space="preserve"> </w:t>
            </w:r>
            <w:r w:rsidRPr="002F2679">
              <w:rPr>
                <w:iCs/>
                <w:sz w:val="20"/>
                <w:szCs w:val="20"/>
              </w:rPr>
              <w:t xml:space="preserve">vidēji mēnesī, attiecīgi periodā 2021.gada janvāris – jūnijs – </w:t>
            </w:r>
            <w:r w:rsidRPr="00A4046F">
              <w:rPr>
                <w:b/>
                <w:iCs/>
                <w:sz w:val="20"/>
                <w:szCs w:val="20"/>
              </w:rPr>
              <w:t>3 314 520</w:t>
            </w:r>
            <w:r w:rsidRPr="002F2679">
              <w:rPr>
                <w:iCs/>
                <w:sz w:val="20"/>
                <w:szCs w:val="20"/>
              </w:rPr>
              <w:t xml:space="preserve"> </w:t>
            </w:r>
            <w:proofErr w:type="spellStart"/>
            <w:r w:rsidRPr="002F2679">
              <w:rPr>
                <w:i/>
                <w:iCs/>
                <w:sz w:val="20"/>
                <w:szCs w:val="20"/>
              </w:rPr>
              <w:t>euro</w:t>
            </w:r>
            <w:proofErr w:type="spellEnd"/>
            <w:r w:rsidRPr="002F2679">
              <w:rPr>
                <w:iCs/>
                <w:sz w:val="20"/>
                <w:szCs w:val="20"/>
              </w:rPr>
              <w:t>.</w:t>
            </w:r>
          </w:p>
          <w:p w:rsidR="0011317A" w:rsidRDefault="0011317A" w:rsidP="00DA6FBE">
            <w:pPr>
              <w:jc w:val="both"/>
              <w:rPr>
                <w:iCs/>
                <w:sz w:val="20"/>
                <w:szCs w:val="20"/>
              </w:rPr>
            </w:pPr>
          </w:p>
          <w:p w:rsidR="0011317A" w:rsidRDefault="0011317A" w:rsidP="00DA6FBE">
            <w:pPr>
              <w:jc w:val="both"/>
              <w:rPr>
                <w:sz w:val="20"/>
                <w:szCs w:val="20"/>
              </w:rPr>
            </w:pPr>
            <w:r>
              <w:rPr>
                <w:sz w:val="20"/>
                <w:szCs w:val="20"/>
              </w:rPr>
              <w:t>Bezdarbnieka palīdzības</w:t>
            </w:r>
            <w:r w:rsidRPr="002F2679">
              <w:rPr>
                <w:sz w:val="20"/>
                <w:szCs w:val="20"/>
              </w:rPr>
              <w:t xml:space="preserve"> pabalst</w:t>
            </w:r>
            <w:r>
              <w:rPr>
                <w:sz w:val="20"/>
                <w:szCs w:val="20"/>
              </w:rPr>
              <w:t>us</w:t>
            </w:r>
            <w:r w:rsidRPr="00A4046F">
              <w:rPr>
                <w:sz w:val="20"/>
                <w:szCs w:val="20"/>
              </w:rPr>
              <w:t xml:space="preserve"> plānots finansēt no valsts pamatbudžeta</w:t>
            </w:r>
            <w:r>
              <w:rPr>
                <w:sz w:val="20"/>
                <w:szCs w:val="20"/>
              </w:rPr>
              <w:t>.</w:t>
            </w:r>
          </w:p>
          <w:p w:rsidR="0011317A" w:rsidRDefault="0011317A" w:rsidP="00DA6FBE">
            <w:pPr>
              <w:jc w:val="both"/>
              <w:rPr>
                <w:sz w:val="20"/>
                <w:szCs w:val="20"/>
              </w:rPr>
            </w:pPr>
          </w:p>
          <w:p w:rsidR="0011317A" w:rsidRDefault="0011317A" w:rsidP="00FC44BC">
            <w:pPr>
              <w:spacing w:after="120"/>
              <w:jc w:val="both"/>
              <w:rPr>
                <w:sz w:val="20"/>
                <w:szCs w:val="20"/>
              </w:rPr>
            </w:pPr>
            <w:r w:rsidRPr="009416E1">
              <w:rPr>
                <w:sz w:val="20"/>
                <w:szCs w:val="20"/>
              </w:rPr>
              <w:t xml:space="preserve">Ņemot vērā, ka uz bezdarbnieka pabalsta sākuma izmaksāšanas brīdi, nav iespējams precīzi prognozēt faktiskos izdevumus bezdarbnieka palīdzības pabalsta izmaksai, Labklājības ministrija finansējumu  pieprasīs pa daļām, sākotnēji pieprasot  50 % no plānotā finansējuma, t.i., </w:t>
            </w:r>
            <w:r w:rsidRPr="009416E1">
              <w:rPr>
                <w:b/>
                <w:sz w:val="20"/>
                <w:szCs w:val="20"/>
              </w:rPr>
              <w:t>1 657 260</w:t>
            </w:r>
            <w:r w:rsidRPr="009416E1">
              <w:rPr>
                <w:sz w:val="20"/>
                <w:szCs w:val="20"/>
              </w:rPr>
              <w:t xml:space="preserve"> </w:t>
            </w:r>
            <w:proofErr w:type="spellStart"/>
            <w:r w:rsidRPr="009416E1">
              <w:rPr>
                <w:i/>
                <w:sz w:val="20"/>
                <w:szCs w:val="20"/>
              </w:rPr>
              <w:t>euro</w:t>
            </w:r>
            <w:proofErr w:type="spellEnd"/>
            <w:r w:rsidRPr="009416E1">
              <w:rPr>
                <w:sz w:val="20"/>
                <w:szCs w:val="20"/>
              </w:rPr>
              <w:t>. Savukārt atlikušo finansējumu Labklājības ministrija pieprasīs atbilstoši nepieciešamībai.</w:t>
            </w:r>
          </w:p>
          <w:p w:rsidR="0011317A" w:rsidRPr="009E0BCE" w:rsidRDefault="0011317A" w:rsidP="00DA6FBE">
            <w:pPr>
              <w:jc w:val="both"/>
              <w:rPr>
                <w:b/>
                <w:sz w:val="20"/>
                <w:szCs w:val="20"/>
              </w:rPr>
            </w:pPr>
            <w:r w:rsidRPr="009E0BCE">
              <w:rPr>
                <w:sz w:val="20"/>
                <w:szCs w:val="20"/>
              </w:rPr>
              <w:t>Ja piešķirtais finansējums netiks izlietots minētajam mērķim, Labklājības ministrija iesniegs priekšlikumu apropriācijas samazinājumam Labklājības ministrijas pamatbudžeta programmā 99.00.00 “Līdzekļu neparedzētiem gadījumiem izlietojums”, attiecīgi vienlaikus tiks palielināta apropriācija 74.</w:t>
            </w:r>
            <w:r>
              <w:rPr>
                <w:sz w:val="20"/>
                <w:szCs w:val="20"/>
              </w:rPr>
              <w:t> </w:t>
            </w:r>
            <w:r w:rsidRPr="009E0BCE">
              <w:rPr>
                <w:sz w:val="20"/>
                <w:szCs w:val="20"/>
              </w:rPr>
              <w:t>resora „Gadskārtējā valsts budžeta izpildes procesā pārdalāmais finansējums” programmai 02.00.00 „Līdzekļi neparedzētiem gadījumiem”</w:t>
            </w:r>
            <w:r>
              <w:rPr>
                <w:sz w:val="20"/>
                <w:szCs w:val="20"/>
              </w:rPr>
              <w:t>.</w:t>
            </w:r>
          </w:p>
        </w:tc>
      </w:tr>
      <w:tr w:rsidR="0011317A" w:rsidRPr="002F2679" w:rsidTr="00A4046F">
        <w:trPr>
          <w:cantSplit/>
        </w:trPr>
        <w:tc>
          <w:tcPr>
            <w:tcW w:w="1085" w:type="pct"/>
          </w:tcPr>
          <w:p w:rsidR="0011317A" w:rsidRPr="002F2679" w:rsidRDefault="0011317A" w:rsidP="00DA6FBE">
            <w:pPr>
              <w:jc w:val="both"/>
              <w:rPr>
                <w:sz w:val="20"/>
                <w:szCs w:val="20"/>
                <w:lang w:eastAsia="en-US"/>
              </w:rPr>
            </w:pPr>
            <w:r w:rsidRPr="002F2679">
              <w:rPr>
                <w:sz w:val="20"/>
                <w:szCs w:val="20"/>
                <w:lang w:eastAsia="en-US"/>
              </w:rPr>
              <w:t>6.1. detalizēts ieņēmumu aprēķins</w:t>
            </w:r>
          </w:p>
        </w:tc>
        <w:tc>
          <w:tcPr>
            <w:tcW w:w="3915" w:type="pct"/>
            <w:gridSpan w:val="7"/>
            <w:vMerge/>
            <w:vAlign w:val="center"/>
          </w:tcPr>
          <w:p w:rsidR="0011317A" w:rsidRPr="002F2679" w:rsidRDefault="0011317A" w:rsidP="00DA6FBE">
            <w:pPr>
              <w:jc w:val="both"/>
              <w:rPr>
                <w:sz w:val="20"/>
                <w:szCs w:val="20"/>
                <w:lang w:eastAsia="en-US"/>
              </w:rPr>
            </w:pPr>
          </w:p>
        </w:tc>
      </w:tr>
      <w:tr w:rsidR="0011317A" w:rsidRPr="002F2679" w:rsidTr="00A4046F">
        <w:trPr>
          <w:cantSplit/>
        </w:trPr>
        <w:tc>
          <w:tcPr>
            <w:tcW w:w="1085" w:type="pct"/>
          </w:tcPr>
          <w:p w:rsidR="0011317A" w:rsidRPr="002F2679" w:rsidRDefault="0011317A" w:rsidP="00DA6FBE">
            <w:pPr>
              <w:jc w:val="both"/>
              <w:rPr>
                <w:sz w:val="20"/>
                <w:szCs w:val="20"/>
                <w:lang w:eastAsia="en-US"/>
              </w:rPr>
            </w:pPr>
            <w:r w:rsidRPr="002F2679">
              <w:rPr>
                <w:sz w:val="20"/>
                <w:szCs w:val="20"/>
                <w:lang w:eastAsia="en-US"/>
              </w:rPr>
              <w:lastRenderedPageBreak/>
              <w:t>6.2. detalizēts izdevumu aprēķins</w:t>
            </w:r>
          </w:p>
        </w:tc>
        <w:tc>
          <w:tcPr>
            <w:tcW w:w="3915" w:type="pct"/>
            <w:gridSpan w:val="7"/>
            <w:vMerge/>
            <w:vAlign w:val="center"/>
          </w:tcPr>
          <w:p w:rsidR="0011317A" w:rsidRPr="002F2679" w:rsidRDefault="0011317A" w:rsidP="00DA6FBE">
            <w:pPr>
              <w:jc w:val="both"/>
              <w:rPr>
                <w:sz w:val="20"/>
                <w:szCs w:val="20"/>
                <w:lang w:eastAsia="en-US"/>
              </w:rPr>
            </w:pPr>
          </w:p>
        </w:tc>
      </w:tr>
      <w:tr w:rsidR="0011317A" w:rsidRPr="002F2679" w:rsidTr="00A4046F">
        <w:trPr>
          <w:cantSplit/>
        </w:trPr>
        <w:tc>
          <w:tcPr>
            <w:tcW w:w="1085" w:type="pct"/>
          </w:tcPr>
          <w:p w:rsidR="0011317A" w:rsidRPr="002F2679" w:rsidRDefault="0011317A" w:rsidP="00DA6FBE">
            <w:pPr>
              <w:jc w:val="both"/>
              <w:rPr>
                <w:sz w:val="20"/>
                <w:szCs w:val="20"/>
                <w:lang w:eastAsia="en-US"/>
              </w:rPr>
            </w:pPr>
            <w:r w:rsidRPr="002F2679">
              <w:rPr>
                <w:sz w:val="20"/>
                <w:szCs w:val="20"/>
                <w:lang w:eastAsia="en-US"/>
              </w:rPr>
              <w:t>7. Amata vietu skaita izmaiņas</w:t>
            </w:r>
          </w:p>
        </w:tc>
        <w:tc>
          <w:tcPr>
            <w:tcW w:w="3915" w:type="pct"/>
            <w:gridSpan w:val="7"/>
          </w:tcPr>
          <w:p w:rsidR="0011317A" w:rsidRPr="002F2679" w:rsidRDefault="0011317A" w:rsidP="00DA6FBE">
            <w:pPr>
              <w:jc w:val="both"/>
              <w:rPr>
                <w:sz w:val="20"/>
                <w:szCs w:val="20"/>
                <w:lang w:eastAsia="en-US"/>
              </w:rPr>
            </w:pPr>
            <w:r w:rsidRPr="002F2679">
              <w:rPr>
                <w:sz w:val="20"/>
                <w:szCs w:val="20"/>
                <w:lang w:eastAsia="en-US"/>
              </w:rPr>
              <w:t>Nav.</w:t>
            </w:r>
          </w:p>
        </w:tc>
      </w:tr>
      <w:tr w:rsidR="0011317A" w:rsidRPr="002F2679" w:rsidTr="00A4046F">
        <w:trPr>
          <w:cantSplit/>
        </w:trPr>
        <w:tc>
          <w:tcPr>
            <w:tcW w:w="1085" w:type="pct"/>
          </w:tcPr>
          <w:p w:rsidR="0011317A" w:rsidRPr="002F2679" w:rsidRDefault="0011317A" w:rsidP="00DA6FBE">
            <w:pPr>
              <w:jc w:val="both"/>
              <w:rPr>
                <w:sz w:val="20"/>
                <w:szCs w:val="20"/>
                <w:lang w:eastAsia="en-US"/>
              </w:rPr>
            </w:pPr>
            <w:r w:rsidRPr="002F2679">
              <w:rPr>
                <w:sz w:val="20"/>
                <w:szCs w:val="20"/>
                <w:lang w:eastAsia="en-US"/>
              </w:rPr>
              <w:t>8. Cita informācija</w:t>
            </w:r>
          </w:p>
        </w:tc>
        <w:tc>
          <w:tcPr>
            <w:tcW w:w="3915" w:type="pct"/>
            <w:gridSpan w:val="7"/>
            <w:vAlign w:val="center"/>
          </w:tcPr>
          <w:p w:rsidR="0011317A" w:rsidRDefault="0011317A" w:rsidP="00DA6FBE">
            <w:pPr>
              <w:jc w:val="both"/>
              <w:rPr>
                <w:sz w:val="20"/>
                <w:szCs w:val="20"/>
              </w:rPr>
            </w:pPr>
            <w:r w:rsidRPr="002F2679">
              <w:rPr>
                <w:sz w:val="20"/>
                <w:szCs w:val="20"/>
              </w:rPr>
              <w:t>Izdevumi tiks veikti Labklājības ministrijas pamatbudžeta programmas 99.00.00 “Līdzekļu neparedzētiem gadījumiem izlietojums” ietvaros, līdzekļus</w:t>
            </w:r>
            <w:r>
              <w:rPr>
                <w:sz w:val="20"/>
                <w:szCs w:val="20"/>
              </w:rPr>
              <w:t xml:space="preserve"> 2021. gadā</w:t>
            </w:r>
            <w:r w:rsidRPr="002F2679">
              <w:rPr>
                <w:sz w:val="20"/>
                <w:szCs w:val="20"/>
              </w:rPr>
              <w:t xml:space="preserve"> pārdalot no 74.</w:t>
            </w:r>
            <w:r>
              <w:rPr>
                <w:sz w:val="20"/>
                <w:szCs w:val="20"/>
              </w:rPr>
              <w:t> </w:t>
            </w:r>
            <w:r w:rsidRPr="002F2679">
              <w:rPr>
                <w:sz w:val="20"/>
                <w:szCs w:val="20"/>
              </w:rPr>
              <w:t xml:space="preserve">resora „Gadskārtējā valsts budžeta izpildes procesā pārdalāmais finansējums” programmas 02.00.00 „Līdzekļi neparedzētiem gadījumiem”. </w:t>
            </w:r>
          </w:p>
          <w:p w:rsidR="0011317A" w:rsidRDefault="0011317A" w:rsidP="00DA6FBE">
            <w:pPr>
              <w:jc w:val="both"/>
              <w:rPr>
                <w:sz w:val="20"/>
                <w:szCs w:val="20"/>
              </w:rPr>
            </w:pPr>
            <w:r w:rsidRPr="002F2679">
              <w:rPr>
                <w:sz w:val="20"/>
                <w:szCs w:val="20"/>
              </w:rPr>
              <w:t xml:space="preserve">Minētā pabalsta izmaksu nodrošinās </w:t>
            </w:r>
            <w:r>
              <w:rPr>
                <w:sz w:val="20"/>
                <w:szCs w:val="20"/>
              </w:rPr>
              <w:t>VSAA.</w:t>
            </w:r>
          </w:p>
          <w:p w:rsidR="0011317A" w:rsidRPr="002F2679" w:rsidRDefault="0011317A" w:rsidP="00DA6FBE">
            <w:pPr>
              <w:jc w:val="both"/>
              <w:rPr>
                <w:sz w:val="20"/>
                <w:szCs w:val="20"/>
                <w:highlight w:val="yellow"/>
                <w:lang w:eastAsia="en-US"/>
              </w:rPr>
            </w:pPr>
          </w:p>
        </w:tc>
      </w:tr>
    </w:tbl>
    <w:p w:rsidR="0011317A" w:rsidRDefault="0011317A" w:rsidP="009B1558">
      <w:pPr>
        <w:rPr>
          <w:iCs/>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9055"/>
      </w:tblGrid>
      <w:tr w:rsidR="0011317A" w:rsidRPr="00D63A3E" w:rsidTr="00A2225E">
        <w:trPr>
          <w:tblCellSpacing w:w="15" w:type="dxa"/>
          <w:jc w:val="center"/>
        </w:trPr>
        <w:tc>
          <w:tcPr>
            <w:tcW w:w="4967" w:type="pct"/>
            <w:tcBorders>
              <w:top w:val="outset" w:sz="6" w:space="0" w:color="auto"/>
              <w:bottom w:val="outset" w:sz="6" w:space="0" w:color="auto"/>
            </w:tcBorders>
            <w:vAlign w:val="center"/>
          </w:tcPr>
          <w:p w:rsidR="0011317A" w:rsidRPr="00A2225E" w:rsidRDefault="0011317A" w:rsidP="00D63A3E">
            <w:pPr>
              <w:spacing w:line="276" w:lineRule="auto"/>
              <w:jc w:val="center"/>
              <w:rPr>
                <w:b/>
                <w:bCs/>
                <w:iCs/>
                <w:noProof/>
                <w:lang w:eastAsia="en-US"/>
              </w:rPr>
            </w:pPr>
            <w:r w:rsidRPr="00A2225E">
              <w:rPr>
                <w:b/>
                <w:bCs/>
                <w:iCs/>
                <w:noProof/>
                <w:lang w:eastAsia="en-US"/>
              </w:rPr>
              <w:tab/>
            </w:r>
            <w:r w:rsidRPr="00A2225E">
              <w:rPr>
                <w:b/>
                <w:bCs/>
                <w:iCs/>
                <w:noProof/>
                <w:lang w:eastAsia="en-US"/>
              </w:rPr>
              <w:tab/>
              <w:t>IV. Tiesību akta projekta ietekme uz spēkā esošo tiesību normu sistēmu</w:t>
            </w:r>
          </w:p>
        </w:tc>
      </w:tr>
      <w:tr w:rsidR="0011317A" w:rsidRPr="00D63A3E" w:rsidTr="00A2225E">
        <w:trPr>
          <w:tblCellSpacing w:w="15" w:type="dxa"/>
          <w:jc w:val="center"/>
        </w:trPr>
        <w:tc>
          <w:tcPr>
            <w:tcW w:w="4967" w:type="pct"/>
            <w:tcBorders>
              <w:top w:val="outset" w:sz="6" w:space="0" w:color="auto"/>
              <w:bottom w:val="outset" w:sz="6" w:space="0" w:color="auto"/>
            </w:tcBorders>
            <w:vAlign w:val="center"/>
          </w:tcPr>
          <w:p w:rsidR="0011317A" w:rsidRPr="00A2225E" w:rsidRDefault="0011317A" w:rsidP="00D63A3E">
            <w:pPr>
              <w:spacing w:line="276" w:lineRule="auto"/>
              <w:jc w:val="center"/>
              <w:rPr>
                <w:bCs/>
                <w:iCs/>
                <w:noProof/>
                <w:lang w:eastAsia="en-US"/>
              </w:rPr>
            </w:pPr>
            <w:r>
              <w:rPr>
                <w:bCs/>
                <w:iCs/>
                <w:noProof/>
                <w:lang w:eastAsia="en-US"/>
              </w:rPr>
              <w:t>P</w:t>
            </w:r>
            <w:r w:rsidRPr="00A2225E">
              <w:rPr>
                <w:bCs/>
                <w:iCs/>
                <w:noProof/>
                <w:lang w:eastAsia="en-US"/>
              </w:rPr>
              <w:t>rojekts šo jomu neskar.</w:t>
            </w:r>
          </w:p>
        </w:tc>
      </w:tr>
    </w:tbl>
    <w:p w:rsidR="0011317A" w:rsidRPr="000B7BBC" w:rsidRDefault="0011317A" w:rsidP="009B1558">
      <w:pPr>
        <w:rPr>
          <w:iCs/>
        </w:rPr>
      </w:pPr>
      <w:r w:rsidRPr="000B7BBC">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9055"/>
      </w:tblGrid>
      <w:tr w:rsidR="0011317A" w:rsidRPr="000B7BBC" w:rsidTr="009B1558">
        <w:trPr>
          <w:tblCellSpacing w:w="15" w:type="dxa"/>
        </w:trPr>
        <w:tc>
          <w:tcPr>
            <w:tcW w:w="0" w:type="auto"/>
            <w:tcBorders>
              <w:top w:val="outset" w:sz="6" w:space="0" w:color="auto"/>
              <w:bottom w:val="outset" w:sz="6" w:space="0" w:color="auto"/>
            </w:tcBorders>
            <w:vAlign w:val="center"/>
          </w:tcPr>
          <w:p w:rsidR="0011317A" w:rsidRPr="000B7BBC" w:rsidRDefault="0011317A" w:rsidP="002A685A">
            <w:pPr>
              <w:spacing w:line="276" w:lineRule="auto"/>
              <w:jc w:val="center"/>
              <w:rPr>
                <w:b/>
                <w:bCs/>
                <w:iCs/>
                <w:lang w:eastAsia="en-US"/>
              </w:rPr>
            </w:pPr>
            <w:r w:rsidRPr="000B7BBC">
              <w:rPr>
                <w:b/>
                <w:bCs/>
                <w:iCs/>
                <w:lang w:eastAsia="en-US"/>
              </w:rPr>
              <w:t>V. Tiesību akta projekta atbilstība Latvijas Republikas starptautiskajām saistībām</w:t>
            </w:r>
          </w:p>
        </w:tc>
      </w:tr>
      <w:tr w:rsidR="0011317A" w:rsidRPr="000B7BBC" w:rsidTr="009B1558">
        <w:trPr>
          <w:trHeight w:val="432"/>
          <w:tblCellSpacing w:w="15" w:type="dxa"/>
        </w:trPr>
        <w:tc>
          <w:tcPr>
            <w:tcW w:w="4967" w:type="pct"/>
            <w:tcBorders>
              <w:top w:val="outset" w:sz="6" w:space="0" w:color="auto"/>
              <w:bottom w:val="nil"/>
            </w:tcBorders>
          </w:tcPr>
          <w:p w:rsidR="0011317A" w:rsidRPr="000B7BBC" w:rsidRDefault="0011317A">
            <w:pPr>
              <w:spacing w:line="276" w:lineRule="auto"/>
              <w:jc w:val="center"/>
              <w:rPr>
                <w:iCs/>
                <w:lang w:eastAsia="en-US"/>
              </w:rPr>
            </w:pPr>
            <w:r>
              <w:rPr>
                <w:lang w:eastAsia="en-US"/>
              </w:rPr>
              <w:t>P</w:t>
            </w:r>
            <w:r w:rsidRPr="000B7BBC">
              <w:rPr>
                <w:lang w:eastAsia="en-US"/>
              </w:rPr>
              <w:t>rojekts šo jomu neskar.</w:t>
            </w:r>
          </w:p>
        </w:tc>
      </w:tr>
    </w:tbl>
    <w:p w:rsidR="0011317A" w:rsidRPr="000B7BBC" w:rsidRDefault="0011317A" w:rsidP="009B1558">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9055"/>
      </w:tblGrid>
      <w:tr w:rsidR="0011317A" w:rsidRPr="000B7BBC" w:rsidTr="009B1558">
        <w:trPr>
          <w:tblCellSpacing w:w="15" w:type="dxa"/>
        </w:trPr>
        <w:tc>
          <w:tcPr>
            <w:tcW w:w="0" w:type="auto"/>
            <w:tcBorders>
              <w:top w:val="outset" w:sz="6" w:space="0" w:color="auto"/>
              <w:bottom w:val="outset" w:sz="6" w:space="0" w:color="auto"/>
            </w:tcBorders>
            <w:vAlign w:val="center"/>
          </w:tcPr>
          <w:p w:rsidR="0011317A" w:rsidRPr="000B7BBC" w:rsidRDefault="0011317A" w:rsidP="002A685A">
            <w:pPr>
              <w:spacing w:line="276" w:lineRule="auto"/>
              <w:jc w:val="center"/>
              <w:rPr>
                <w:b/>
                <w:bCs/>
                <w:iCs/>
                <w:lang w:eastAsia="en-US"/>
              </w:rPr>
            </w:pPr>
            <w:r w:rsidRPr="000B7BBC">
              <w:rPr>
                <w:b/>
                <w:bCs/>
                <w:iCs/>
                <w:lang w:eastAsia="en-US"/>
              </w:rPr>
              <w:t>VI. Sabiedrības līdzdalība un komunikācijas aktivitātes</w:t>
            </w:r>
          </w:p>
        </w:tc>
      </w:tr>
      <w:tr w:rsidR="0011317A" w:rsidRPr="000B7BBC" w:rsidTr="009B1558">
        <w:trPr>
          <w:tblCellSpacing w:w="15" w:type="dxa"/>
        </w:trPr>
        <w:tc>
          <w:tcPr>
            <w:tcW w:w="0" w:type="auto"/>
            <w:tcBorders>
              <w:top w:val="outset" w:sz="6" w:space="0" w:color="auto"/>
              <w:bottom w:val="outset" w:sz="6" w:space="0" w:color="auto"/>
            </w:tcBorders>
            <w:vAlign w:val="center"/>
          </w:tcPr>
          <w:p w:rsidR="0011317A" w:rsidRPr="000B7BBC" w:rsidRDefault="0011317A" w:rsidP="002A685A">
            <w:pPr>
              <w:spacing w:line="276" w:lineRule="auto"/>
              <w:jc w:val="center"/>
              <w:rPr>
                <w:b/>
                <w:bCs/>
                <w:iCs/>
                <w:lang w:eastAsia="en-US"/>
              </w:rPr>
            </w:pPr>
            <w:r>
              <w:rPr>
                <w:lang w:eastAsia="en-US"/>
              </w:rPr>
              <w:t>P</w:t>
            </w:r>
            <w:r w:rsidRPr="000B7BBC">
              <w:rPr>
                <w:lang w:eastAsia="en-US"/>
              </w:rPr>
              <w:t>rojekts šo jomu neskar.</w:t>
            </w:r>
          </w:p>
        </w:tc>
      </w:tr>
    </w:tbl>
    <w:p w:rsidR="0011317A" w:rsidRPr="000B7BBC" w:rsidRDefault="0011317A" w:rsidP="009B1558">
      <w:pPr>
        <w:rPr>
          <w:iCs/>
        </w:rPr>
      </w:pPr>
      <w:r w:rsidRPr="000B7BBC">
        <w:rPr>
          <w:iCs/>
        </w:rPr>
        <w:t xml:space="preserve">  </w:t>
      </w:r>
    </w:p>
    <w:p w:rsidR="0011317A" w:rsidRPr="000B7BBC" w:rsidRDefault="0011317A" w:rsidP="009B1558">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81"/>
        <w:gridCol w:w="3068"/>
        <w:gridCol w:w="5406"/>
      </w:tblGrid>
      <w:tr w:rsidR="0011317A" w:rsidRPr="000B7BBC" w:rsidTr="009B1558">
        <w:trPr>
          <w:tblCellSpacing w:w="15" w:type="dxa"/>
        </w:trPr>
        <w:tc>
          <w:tcPr>
            <w:tcW w:w="0" w:type="auto"/>
            <w:gridSpan w:val="3"/>
            <w:tcBorders>
              <w:top w:val="outset" w:sz="6" w:space="0" w:color="auto"/>
              <w:bottom w:val="outset" w:sz="6" w:space="0" w:color="auto"/>
            </w:tcBorders>
            <w:vAlign w:val="center"/>
          </w:tcPr>
          <w:p w:rsidR="0011317A" w:rsidRPr="000B7BBC" w:rsidRDefault="0011317A" w:rsidP="002A685A">
            <w:pPr>
              <w:spacing w:line="276" w:lineRule="auto"/>
              <w:jc w:val="center"/>
              <w:rPr>
                <w:b/>
                <w:bCs/>
                <w:iCs/>
                <w:lang w:eastAsia="en-US"/>
              </w:rPr>
            </w:pPr>
            <w:r w:rsidRPr="000B7BBC">
              <w:rPr>
                <w:b/>
                <w:bCs/>
                <w:iCs/>
                <w:lang w:eastAsia="en-US"/>
              </w:rPr>
              <w:t>VII. Tiesību akta projekta izpildes nodrošināšana un tās ietekme uz institūcijām</w:t>
            </w:r>
          </w:p>
        </w:tc>
      </w:tr>
      <w:tr w:rsidR="0011317A" w:rsidRPr="000B7BBC" w:rsidTr="009B1558">
        <w:trPr>
          <w:tblCellSpacing w:w="15" w:type="dxa"/>
        </w:trPr>
        <w:tc>
          <w:tcPr>
            <w:tcW w:w="300" w:type="pct"/>
            <w:tcBorders>
              <w:top w:val="outset" w:sz="6" w:space="0" w:color="auto"/>
              <w:bottom w:val="outset" w:sz="6" w:space="0" w:color="auto"/>
              <w:right w:val="outset" w:sz="6" w:space="0" w:color="auto"/>
            </w:tcBorders>
          </w:tcPr>
          <w:p w:rsidR="0011317A" w:rsidRPr="000B7BBC" w:rsidRDefault="0011317A">
            <w:pPr>
              <w:spacing w:line="276" w:lineRule="auto"/>
              <w:rPr>
                <w:iCs/>
                <w:lang w:eastAsia="en-US"/>
              </w:rPr>
            </w:pPr>
            <w:r w:rsidRPr="000B7BBC">
              <w:rPr>
                <w:iCs/>
                <w:lang w:eastAsia="en-US"/>
              </w:rPr>
              <w:t>1.</w:t>
            </w:r>
          </w:p>
        </w:tc>
        <w:tc>
          <w:tcPr>
            <w:tcW w:w="1700" w:type="pct"/>
            <w:tcBorders>
              <w:top w:val="outset" w:sz="6" w:space="0" w:color="auto"/>
              <w:left w:val="outset" w:sz="6" w:space="0" w:color="auto"/>
              <w:bottom w:val="outset" w:sz="6" w:space="0" w:color="auto"/>
              <w:right w:val="outset" w:sz="6" w:space="0" w:color="auto"/>
            </w:tcBorders>
          </w:tcPr>
          <w:p w:rsidR="0011317A" w:rsidRPr="000B7BBC" w:rsidRDefault="0011317A">
            <w:pPr>
              <w:spacing w:line="276" w:lineRule="auto"/>
              <w:rPr>
                <w:iCs/>
                <w:lang w:eastAsia="en-US"/>
              </w:rPr>
            </w:pPr>
            <w:r w:rsidRPr="000B7BBC">
              <w:rPr>
                <w:iCs/>
                <w:lang w:eastAsia="en-US"/>
              </w:rPr>
              <w:t>Projekta izpildē iesaistītās institūcijas</w:t>
            </w:r>
          </w:p>
        </w:tc>
        <w:tc>
          <w:tcPr>
            <w:tcW w:w="3000" w:type="pct"/>
            <w:tcBorders>
              <w:top w:val="outset" w:sz="6" w:space="0" w:color="auto"/>
              <w:left w:val="outset" w:sz="6" w:space="0" w:color="auto"/>
              <w:bottom w:val="outset" w:sz="6" w:space="0" w:color="auto"/>
            </w:tcBorders>
          </w:tcPr>
          <w:p w:rsidR="0011317A" w:rsidRPr="000B7BBC" w:rsidRDefault="0011317A">
            <w:pPr>
              <w:spacing w:line="276" w:lineRule="auto"/>
              <w:rPr>
                <w:iCs/>
                <w:lang w:eastAsia="en-US"/>
              </w:rPr>
            </w:pPr>
            <w:r>
              <w:rPr>
                <w:color w:val="000000"/>
                <w:spacing w:val="-4"/>
                <w:shd w:val="clear" w:color="auto" w:fill="FFFFFF"/>
                <w:lang w:eastAsia="en-US"/>
              </w:rPr>
              <w:t>Nav.</w:t>
            </w:r>
          </w:p>
        </w:tc>
      </w:tr>
      <w:tr w:rsidR="0011317A" w:rsidRPr="000B7BBC" w:rsidTr="009B1558">
        <w:trPr>
          <w:tblCellSpacing w:w="15" w:type="dxa"/>
        </w:trPr>
        <w:tc>
          <w:tcPr>
            <w:tcW w:w="300" w:type="pct"/>
            <w:tcBorders>
              <w:top w:val="outset" w:sz="6" w:space="0" w:color="auto"/>
              <w:bottom w:val="outset" w:sz="6" w:space="0" w:color="auto"/>
              <w:right w:val="outset" w:sz="6" w:space="0" w:color="auto"/>
            </w:tcBorders>
          </w:tcPr>
          <w:p w:rsidR="0011317A" w:rsidRPr="000B7BBC" w:rsidRDefault="0011317A">
            <w:pPr>
              <w:spacing w:line="276" w:lineRule="auto"/>
              <w:rPr>
                <w:iCs/>
                <w:lang w:eastAsia="en-US"/>
              </w:rPr>
            </w:pPr>
            <w:bookmarkStart w:id="5" w:name="_Hlk48295597"/>
            <w:r w:rsidRPr="000B7BBC">
              <w:rPr>
                <w:iCs/>
                <w:lang w:eastAsia="en-US"/>
              </w:rPr>
              <w:t>2.</w:t>
            </w:r>
          </w:p>
        </w:tc>
        <w:tc>
          <w:tcPr>
            <w:tcW w:w="1700" w:type="pct"/>
            <w:tcBorders>
              <w:top w:val="outset" w:sz="6" w:space="0" w:color="auto"/>
              <w:left w:val="outset" w:sz="6" w:space="0" w:color="auto"/>
              <w:bottom w:val="outset" w:sz="6" w:space="0" w:color="auto"/>
              <w:right w:val="outset" w:sz="6" w:space="0" w:color="auto"/>
            </w:tcBorders>
          </w:tcPr>
          <w:p w:rsidR="0011317A" w:rsidRPr="000B7BBC" w:rsidRDefault="0011317A">
            <w:pPr>
              <w:spacing w:line="276" w:lineRule="auto"/>
              <w:rPr>
                <w:iCs/>
                <w:lang w:eastAsia="en-US"/>
              </w:rPr>
            </w:pPr>
            <w:r w:rsidRPr="000B7BBC">
              <w:rPr>
                <w:iCs/>
                <w:lang w:eastAsia="en-US"/>
              </w:rPr>
              <w:t xml:space="preserve">Projekta izpildes ietekme uz pārvaldes funkcijām un </w:t>
            </w:r>
            <w:r w:rsidRPr="000B7BBC">
              <w:rPr>
                <w:iCs/>
                <w:lang w:eastAsia="en-US"/>
              </w:rPr>
              <w:lastRenderedPageBreak/>
              <w:t>institucionālo struktūru.</w:t>
            </w:r>
            <w:r w:rsidRPr="000B7BBC">
              <w:rPr>
                <w:iCs/>
                <w:lang w:eastAsia="en-US"/>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tcBorders>
          </w:tcPr>
          <w:p w:rsidR="0011317A" w:rsidRPr="000B7BBC" w:rsidRDefault="0011317A">
            <w:pPr>
              <w:spacing w:line="276" w:lineRule="auto"/>
              <w:jc w:val="both"/>
              <w:rPr>
                <w:iCs/>
                <w:lang w:eastAsia="en-US"/>
              </w:rPr>
            </w:pPr>
            <w:r w:rsidRPr="00C930A2">
              <w:lastRenderedPageBreak/>
              <w:t>Projekta izpildes rezultātā nav paredzēta esošu institūciju likvidācija vai reorganizācija.</w:t>
            </w:r>
          </w:p>
        </w:tc>
      </w:tr>
      <w:bookmarkEnd w:id="5"/>
      <w:tr w:rsidR="0011317A" w:rsidRPr="000B7BBC" w:rsidTr="009B1558">
        <w:trPr>
          <w:tblCellSpacing w:w="15" w:type="dxa"/>
        </w:trPr>
        <w:tc>
          <w:tcPr>
            <w:tcW w:w="300" w:type="pct"/>
            <w:tcBorders>
              <w:top w:val="outset" w:sz="6" w:space="0" w:color="auto"/>
              <w:bottom w:val="outset" w:sz="6" w:space="0" w:color="auto"/>
              <w:right w:val="outset" w:sz="6" w:space="0" w:color="auto"/>
            </w:tcBorders>
          </w:tcPr>
          <w:p w:rsidR="0011317A" w:rsidRPr="000B7BBC" w:rsidRDefault="0011317A">
            <w:pPr>
              <w:spacing w:line="276" w:lineRule="auto"/>
              <w:rPr>
                <w:iCs/>
                <w:lang w:eastAsia="en-US"/>
              </w:rPr>
            </w:pPr>
            <w:r w:rsidRPr="000B7BBC">
              <w:rPr>
                <w:iCs/>
                <w:lang w:eastAsia="en-US"/>
              </w:rPr>
              <w:t>3.</w:t>
            </w:r>
          </w:p>
        </w:tc>
        <w:tc>
          <w:tcPr>
            <w:tcW w:w="1700" w:type="pct"/>
            <w:tcBorders>
              <w:top w:val="outset" w:sz="6" w:space="0" w:color="auto"/>
              <w:left w:val="outset" w:sz="6" w:space="0" w:color="auto"/>
              <w:bottom w:val="outset" w:sz="6" w:space="0" w:color="auto"/>
              <w:right w:val="outset" w:sz="6" w:space="0" w:color="auto"/>
            </w:tcBorders>
          </w:tcPr>
          <w:p w:rsidR="0011317A" w:rsidRPr="000B7BBC" w:rsidRDefault="0011317A">
            <w:pPr>
              <w:spacing w:line="276" w:lineRule="auto"/>
              <w:rPr>
                <w:iCs/>
                <w:lang w:eastAsia="en-US"/>
              </w:rPr>
            </w:pPr>
            <w:r w:rsidRPr="000B7BBC">
              <w:rPr>
                <w:iCs/>
                <w:lang w:eastAsia="en-US"/>
              </w:rPr>
              <w:t>Cita informācija</w:t>
            </w:r>
          </w:p>
        </w:tc>
        <w:tc>
          <w:tcPr>
            <w:tcW w:w="3000" w:type="pct"/>
            <w:tcBorders>
              <w:top w:val="outset" w:sz="6" w:space="0" w:color="auto"/>
              <w:left w:val="outset" w:sz="6" w:space="0" w:color="auto"/>
              <w:bottom w:val="outset" w:sz="6" w:space="0" w:color="auto"/>
            </w:tcBorders>
          </w:tcPr>
          <w:p w:rsidR="0011317A" w:rsidRPr="000B7BBC" w:rsidRDefault="0011317A">
            <w:pPr>
              <w:spacing w:line="276" w:lineRule="auto"/>
              <w:rPr>
                <w:iCs/>
                <w:lang w:eastAsia="en-US"/>
              </w:rPr>
            </w:pPr>
            <w:r w:rsidRPr="000B7BBC">
              <w:rPr>
                <w:iCs/>
                <w:lang w:eastAsia="en-US"/>
              </w:rPr>
              <w:t>Nav.</w:t>
            </w:r>
          </w:p>
        </w:tc>
      </w:tr>
    </w:tbl>
    <w:p w:rsidR="0011317A" w:rsidRDefault="0011317A" w:rsidP="009B1558">
      <w:pPr>
        <w:rPr>
          <w:sz w:val="28"/>
          <w:szCs w:val="28"/>
        </w:rPr>
      </w:pPr>
    </w:p>
    <w:p w:rsidR="0011317A" w:rsidRPr="000B7BBC" w:rsidRDefault="0011317A" w:rsidP="009B1558">
      <w:pPr>
        <w:rPr>
          <w:sz w:val="28"/>
          <w:szCs w:val="28"/>
        </w:rPr>
      </w:pPr>
    </w:p>
    <w:p w:rsidR="0011317A" w:rsidRPr="000B7BBC" w:rsidRDefault="0011317A" w:rsidP="009B1558">
      <w:pPr>
        <w:ind w:firstLine="720"/>
      </w:pPr>
      <w:r w:rsidRPr="000B7BBC">
        <w:t>Labklājības ministre</w:t>
      </w:r>
      <w:r w:rsidRPr="000B7BBC">
        <w:tab/>
      </w:r>
      <w:r w:rsidRPr="000B7BBC">
        <w:tab/>
      </w:r>
      <w:r w:rsidRPr="000B7BBC">
        <w:tab/>
      </w:r>
      <w:r w:rsidRPr="000B7BBC">
        <w:tab/>
      </w:r>
      <w:r w:rsidRPr="000B7BBC">
        <w:tab/>
        <w:t xml:space="preserve">       </w:t>
      </w:r>
      <w:r w:rsidRPr="000B7BBC">
        <w:tab/>
        <w:t xml:space="preserve">    </w:t>
      </w:r>
      <w:r>
        <w:t xml:space="preserve"> </w:t>
      </w:r>
      <w:r w:rsidRPr="000B7BBC">
        <w:t xml:space="preserve">     </w:t>
      </w:r>
      <w:proofErr w:type="spellStart"/>
      <w:r w:rsidRPr="000B7BBC">
        <w:t>R.Petraviča</w:t>
      </w:r>
      <w:proofErr w:type="spellEnd"/>
      <w:r w:rsidRPr="000B7BBC">
        <w:tab/>
      </w:r>
      <w:r w:rsidRPr="000B7BBC">
        <w:tab/>
      </w:r>
    </w:p>
    <w:p w:rsidR="0011317A" w:rsidRPr="000B7BBC" w:rsidRDefault="0011317A" w:rsidP="009B1558">
      <w:pPr>
        <w:ind w:firstLine="720"/>
      </w:pPr>
      <w:r>
        <w:t>Valsts sekretār</w:t>
      </w:r>
      <w:r w:rsidR="00824C9A">
        <w:t xml:space="preserve">a </w:t>
      </w:r>
      <w:proofErr w:type="spellStart"/>
      <w:r w:rsidR="00824C9A">
        <w:t>p.i</w:t>
      </w:r>
      <w:proofErr w:type="spellEnd"/>
      <w:r w:rsidR="00824C9A">
        <w:t>.</w:t>
      </w:r>
      <w:r>
        <w:t xml:space="preserve">                                                                           </w:t>
      </w:r>
      <w:proofErr w:type="spellStart"/>
      <w:r w:rsidR="00824C9A">
        <w:t>A.Grīnberga</w:t>
      </w:r>
      <w:proofErr w:type="spellEnd"/>
    </w:p>
    <w:p w:rsidR="0011317A" w:rsidRPr="00824C9A" w:rsidRDefault="00824C9A" w:rsidP="009B1558">
      <w:pPr>
        <w:rPr>
          <w:kern w:val="2"/>
          <w:lang w:eastAsia="ar-SA"/>
        </w:rPr>
      </w:pPr>
      <w:r>
        <w:rPr>
          <w:kern w:val="2"/>
          <w:sz w:val="20"/>
          <w:szCs w:val="20"/>
          <w:lang w:eastAsia="ar-SA"/>
        </w:rPr>
        <w:tab/>
      </w:r>
      <w:r w:rsidRPr="00824C9A">
        <w:rPr>
          <w:kern w:val="2"/>
          <w:lang w:eastAsia="ar-SA"/>
        </w:rPr>
        <w:t>Finanšu vadības departamenta direktore</w:t>
      </w:r>
    </w:p>
    <w:p w:rsidR="0011317A" w:rsidRDefault="0011317A" w:rsidP="009B1558">
      <w:pPr>
        <w:rPr>
          <w:kern w:val="2"/>
          <w:sz w:val="20"/>
          <w:szCs w:val="20"/>
          <w:lang w:eastAsia="ar-SA"/>
        </w:rPr>
      </w:pPr>
    </w:p>
    <w:p w:rsidR="0011317A" w:rsidRPr="000B7BBC" w:rsidRDefault="0011317A" w:rsidP="009B1558">
      <w:pPr>
        <w:rPr>
          <w:kern w:val="2"/>
          <w:sz w:val="20"/>
          <w:szCs w:val="20"/>
          <w:lang w:eastAsia="ar-SA"/>
        </w:rPr>
      </w:pPr>
    </w:p>
    <w:p w:rsidR="0011317A" w:rsidRPr="002A685A" w:rsidRDefault="0011317A" w:rsidP="002A685A">
      <w:pPr>
        <w:rPr>
          <w:sz w:val="20"/>
          <w:szCs w:val="20"/>
        </w:rPr>
      </w:pPr>
      <w:proofErr w:type="spellStart"/>
      <w:r w:rsidRPr="002A685A">
        <w:rPr>
          <w:kern w:val="2"/>
          <w:sz w:val="20"/>
          <w:szCs w:val="20"/>
          <w:lang w:eastAsia="ar-SA"/>
        </w:rPr>
        <w:t>I.Salmane</w:t>
      </w:r>
      <w:proofErr w:type="spellEnd"/>
      <w:r w:rsidRPr="002A685A">
        <w:rPr>
          <w:kern w:val="2"/>
          <w:sz w:val="20"/>
          <w:szCs w:val="20"/>
          <w:lang w:eastAsia="ar-SA"/>
        </w:rPr>
        <w:t>, 67021556</w:t>
      </w:r>
    </w:p>
    <w:p w:rsidR="0011317A" w:rsidRPr="002A685A" w:rsidRDefault="009C65DD" w:rsidP="002A685A">
      <w:pPr>
        <w:suppressAutoHyphens/>
        <w:rPr>
          <w:rStyle w:val="Hyperlink"/>
          <w:sz w:val="20"/>
          <w:szCs w:val="20"/>
          <w:lang w:eastAsia="ar-SA"/>
        </w:rPr>
      </w:pPr>
      <w:hyperlink r:id="rId7" w:history="1">
        <w:r w:rsidR="0011317A" w:rsidRPr="002A685A">
          <w:rPr>
            <w:rStyle w:val="Hyperlink"/>
            <w:sz w:val="20"/>
            <w:szCs w:val="20"/>
            <w:lang w:eastAsia="ar-SA"/>
          </w:rPr>
          <w:t>Irena.Salmane@lm.gov.lv</w:t>
        </w:r>
      </w:hyperlink>
    </w:p>
    <w:p w:rsidR="0011317A" w:rsidRPr="002A685A" w:rsidRDefault="0011317A" w:rsidP="002A685A">
      <w:pPr>
        <w:suppressAutoHyphens/>
        <w:rPr>
          <w:rStyle w:val="Hyperlink"/>
          <w:color w:val="auto"/>
          <w:sz w:val="20"/>
          <w:szCs w:val="20"/>
          <w:u w:val="none"/>
          <w:lang w:eastAsia="ar-SA"/>
        </w:rPr>
      </w:pPr>
      <w:proofErr w:type="spellStart"/>
      <w:r w:rsidRPr="002A685A">
        <w:rPr>
          <w:rStyle w:val="Hyperlink"/>
          <w:color w:val="auto"/>
          <w:sz w:val="20"/>
          <w:szCs w:val="20"/>
          <w:u w:val="none"/>
          <w:lang w:eastAsia="ar-SA"/>
        </w:rPr>
        <w:t>K.Zirnīte</w:t>
      </w:r>
      <w:proofErr w:type="spellEnd"/>
      <w:r w:rsidRPr="002A685A">
        <w:rPr>
          <w:rStyle w:val="Hyperlink"/>
          <w:color w:val="auto"/>
          <w:sz w:val="20"/>
          <w:szCs w:val="20"/>
          <w:u w:val="none"/>
          <w:lang w:eastAsia="ar-SA"/>
        </w:rPr>
        <w:t>, 67021520</w:t>
      </w:r>
    </w:p>
    <w:p w:rsidR="0011317A" w:rsidRPr="002A685A" w:rsidRDefault="009C65DD" w:rsidP="002A685A">
      <w:pPr>
        <w:suppressAutoHyphens/>
        <w:rPr>
          <w:rStyle w:val="Hyperlink"/>
          <w:color w:val="auto"/>
          <w:sz w:val="20"/>
          <w:szCs w:val="20"/>
          <w:u w:val="none"/>
          <w:lang w:eastAsia="ar-SA"/>
        </w:rPr>
      </w:pPr>
      <w:hyperlink r:id="rId8" w:history="1">
        <w:r w:rsidR="0011317A" w:rsidRPr="002A685A">
          <w:rPr>
            <w:rStyle w:val="Hyperlink"/>
            <w:sz w:val="20"/>
            <w:szCs w:val="20"/>
            <w:lang w:eastAsia="ar-SA"/>
          </w:rPr>
          <w:t>Kristine.Zirnite@lm.gov.lv</w:t>
        </w:r>
      </w:hyperlink>
      <w:bookmarkStart w:id="6" w:name="_GoBack"/>
      <w:bookmarkEnd w:id="6"/>
    </w:p>
    <w:bookmarkEnd w:id="0"/>
    <w:bookmarkEnd w:id="1"/>
    <w:p w:rsidR="0011317A" w:rsidRPr="000B7BBC" w:rsidRDefault="0011317A" w:rsidP="009B1558">
      <w:pPr>
        <w:rPr>
          <w:vanish/>
          <w:sz w:val="22"/>
          <w:szCs w:val="22"/>
        </w:rPr>
      </w:pPr>
    </w:p>
    <w:p w:rsidR="0011317A" w:rsidRPr="000B7BBC" w:rsidRDefault="0011317A" w:rsidP="009B1558">
      <w:pPr>
        <w:rPr>
          <w:vanish/>
          <w:sz w:val="22"/>
          <w:szCs w:val="22"/>
        </w:rPr>
      </w:pPr>
    </w:p>
    <w:bookmarkEnd w:id="2"/>
    <w:p w:rsidR="0011317A" w:rsidRPr="000B7BBC" w:rsidRDefault="0011317A"/>
    <w:sectPr w:rsidR="0011317A" w:rsidRPr="000B7BBC" w:rsidSect="00672B7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5DD" w:rsidRDefault="009C65DD" w:rsidP="009B1558">
      <w:r>
        <w:separator/>
      </w:r>
    </w:p>
  </w:endnote>
  <w:endnote w:type="continuationSeparator" w:id="0">
    <w:p w:rsidR="009C65DD" w:rsidRDefault="009C65DD" w:rsidP="009B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17A" w:rsidRPr="009B1558" w:rsidRDefault="0011317A" w:rsidP="00672B7F">
    <w:pPr>
      <w:pStyle w:val="Footer"/>
      <w:rPr>
        <w:sz w:val="20"/>
        <w:szCs w:val="20"/>
      </w:rPr>
    </w:pPr>
    <w:r w:rsidRPr="009B1558">
      <w:rPr>
        <w:sz w:val="20"/>
        <w:szCs w:val="20"/>
      </w:rPr>
      <w:t>LM</w:t>
    </w:r>
    <w:r>
      <w:rPr>
        <w:sz w:val="20"/>
        <w:szCs w:val="20"/>
      </w:rPr>
      <w:t>anot</w:t>
    </w:r>
    <w:r w:rsidRPr="009B1558">
      <w:rPr>
        <w:sz w:val="20"/>
        <w:szCs w:val="20"/>
      </w:rPr>
      <w:t>_</w:t>
    </w:r>
    <w:r w:rsidR="005D15DA">
      <w:rPr>
        <w:sz w:val="20"/>
        <w:szCs w:val="20"/>
      </w:rPr>
      <w:t>281220</w:t>
    </w:r>
    <w:r w:rsidRPr="009B1558">
      <w:rPr>
        <w:sz w:val="20"/>
        <w:szCs w:val="20"/>
      </w:rPr>
      <w:t>_</w:t>
    </w:r>
    <w:r>
      <w:rPr>
        <w:sz w:val="20"/>
        <w:szCs w:val="20"/>
      </w:rPr>
      <w:t>LNG_</w:t>
    </w:r>
    <w:r w:rsidRPr="009B1558">
      <w:rPr>
        <w:sz w:val="20"/>
        <w:szCs w:val="20"/>
      </w:rPr>
      <w:t>BP</w:t>
    </w:r>
    <w:r>
      <w:rPr>
        <w:sz w:val="20"/>
        <w:szCs w:val="20"/>
      </w:rPr>
      <w:t>P</w:t>
    </w:r>
  </w:p>
  <w:p w:rsidR="0011317A" w:rsidRDefault="0011317A" w:rsidP="00672B7F">
    <w:pPr>
      <w:pStyle w:val="Footer"/>
    </w:pPr>
  </w:p>
  <w:p w:rsidR="0011317A" w:rsidRDefault="0011317A" w:rsidP="00A70283">
    <w:pPr>
      <w:pStyle w:val="Footer"/>
    </w:pPr>
  </w:p>
  <w:p w:rsidR="0011317A" w:rsidRPr="00A70283" w:rsidRDefault="0011317A" w:rsidP="00A70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17A" w:rsidRPr="009B1558" w:rsidRDefault="0011317A" w:rsidP="00D678C0">
    <w:pPr>
      <w:pStyle w:val="Footer"/>
      <w:rPr>
        <w:sz w:val="20"/>
        <w:szCs w:val="20"/>
      </w:rPr>
    </w:pPr>
    <w:bookmarkStart w:id="7" w:name="_Hlk58580761"/>
    <w:bookmarkStart w:id="8" w:name="_Hlk58580762"/>
    <w:r w:rsidRPr="009B1558">
      <w:rPr>
        <w:sz w:val="20"/>
        <w:szCs w:val="20"/>
      </w:rPr>
      <w:t>LM</w:t>
    </w:r>
    <w:r>
      <w:rPr>
        <w:sz w:val="20"/>
        <w:szCs w:val="20"/>
      </w:rPr>
      <w:t>anot</w:t>
    </w:r>
    <w:r w:rsidRPr="009B1558">
      <w:rPr>
        <w:sz w:val="20"/>
        <w:szCs w:val="20"/>
      </w:rPr>
      <w:t>_</w:t>
    </w:r>
    <w:r w:rsidR="005D15DA">
      <w:rPr>
        <w:sz w:val="20"/>
        <w:szCs w:val="20"/>
      </w:rPr>
      <w:t>281220</w:t>
    </w:r>
    <w:r w:rsidRPr="009B1558">
      <w:rPr>
        <w:sz w:val="20"/>
        <w:szCs w:val="20"/>
      </w:rPr>
      <w:t>_</w:t>
    </w:r>
    <w:r>
      <w:rPr>
        <w:sz w:val="20"/>
        <w:szCs w:val="20"/>
      </w:rPr>
      <w:t>LNG_</w:t>
    </w:r>
    <w:r w:rsidRPr="009B1558">
      <w:rPr>
        <w:sz w:val="20"/>
        <w:szCs w:val="20"/>
      </w:rPr>
      <w:t>BP</w:t>
    </w:r>
    <w:r>
      <w:rPr>
        <w:sz w:val="20"/>
        <w:szCs w:val="20"/>
      </w:rPr>
      <w:t>P</w:t>
    </w:r>
  </w:p>
  <w:bookmarkEnd w:id="7"/>
  <w:bookmarkEnd w:id="8"/>
  <w:p w:rsidR="0011317A" w:rsidRDefault="00113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5DD" w:rsidRDefault="009C65DD" w:rsidP="009B1558">
      <w:r>
        <w:separator/>
      </w:r>
    </w:p>
  </w:footnote>
  <w:footnote w:type="continuationSeparator" w:id="0">
    <w:p w:rsidR="009C65DD" w:rsidRDefault="009C65DD" w:rsidP="009B1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17A" w:rsidRDefault="00DC0E4E">
    <w:pPr>
      <w:pStyle w:val="Header"/>
      <w:jc w:val="center"/>
    </w:pPr>
    <w:r>
      <w:fldChar w:fldCharType="begin"/>
    </w:r>
    <w:r>
      <w:instrText xml:space="preserve"> PAGE   \* MERGEFORMAT </w:instrText>
    </w:r>
    <w:r>
      <w:fldChar w:fldCharType="separate"/>
    </w:r>
    <w:r w:rsidR="0011317A">
      <w:rPr>
        <w:noProof/>
      </w:rPr>
      <w:t>4</w:t>
    </w:r>
    <w:r>
      <w:rPr>
        <w:noProof/>
      </w:rPr>
      <w:fldChar w:fldCharType="end"/>
    </w:r>
  </w:p>
  <w:p w:rsidR="0011317A" w:rsidRDefault="00113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6B7"/>
    <w:multiLevelType w:val="hybridMultilevel"/>
    <w:tmpl w:val="9C7236B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15:restartNumberingAfterBreak="0">
    <w:nsid w:val="23936D07"/>
    <w:multiLevelType w:val="hybridMultilevel"/>
    <w:tmpl w:val="F454E9E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23E115DD"/>
    <w:multiLevelType w:val="hybridMultilevel"/>
    <w:tmpl w:val="1CD811A8"/>
    <w:lvl w:ilvl="0" w:tplc="F61AF3CA">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09037FF"/>
    <w:multiLevelType w:val="hybridMultilevel"/>
    <w:tmpl w:val="2320E3C0"/>
    <w:lvl w:ilvl="0" w:tplc="04260011">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3258064D"/>
    <w:multiLevelType w:val="multilevel"/>
    <w:tmpl w:val="E64A322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5" w15:restartNumberingAfterBreak="0">
    <w:nsid w:val="39E533FD"/>
    <w:multiLevelType w:val="hybridMultilevel"/>
    <w:tmpl w:val="A3FA2FAC"/>
    <w:lvl w:ilvl="0" w:tplc="768C45F8">
      <w:start w:val="315"/>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25843C1"/>
    <w:multiLevelType w:val="hybridMultilevel"/>
    <w:tmpl w:val="3B569B68"/>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7" w15:restartNumberingAfterBreak="0">
    <w:nsid w:val="66146565"/>
    <w:multiLevelType w:val="hybridMultilevel"/>
    <w:tmpl w:val="5AA875F0"/>
    <w:lvl w:ilvl="0" w:tplc="F51A759C">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7DAC7760"/>
    <w:multiLevelType w:val="hybridMultilevel"/>
    <w:tmpl w:val="3D8E00B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8"/>
  </w:num>
  <w:num w:numId="4">
    <w:abstractNumId w:val="4"/>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558"/>
    <w:rsid w:val="000057C1"/>
    <w:rsid w:val="00007D7C"/>
    <w:rsid w:val="00047B10"/>
    <w:rsid w:val="00063FB9"/>
    <w:rsid w:val="0007651A"/>
    <w:rsid w:val="00097687"/>
    <w:rsid w:val="000A3EB3"/>
    <w:rsid w:val="000B7568"/>
    <w:rsid w:val="000B7BBC"/>
    <w:rsid w:val="000D446F"/>
    <w:rsid w:val="000D5AB5"/>
    <w:rsid w:val="000D6731"/>
    <w:rsid w:val="000E67E3"/>
    <w:rsid w:val="000F29B9"/>
    <w:rsid w:val="000F6644"/>
    <w:rsid w:val="00101EAC"/>
    <w:rsid w:val="0011317A"/>
    <w:rsid w:val="001172A7"/>
    <w:rsid w:val="001419C1"/>
    <w:rsid w:val="00155132"/>
    <w:rsid w:val="00177143"/>
    <w:rsid w:val="00180810"/>
    <w:rsid w:val="001A0B1A"/>
    <w:rsid w:val="001A7577"/>
    <w:rsid w:val="001E1411"/>
    <w:rsid w:val="001E2DD6"/>
    <w:rsid w:val="001E3B4D"/>
    <w:rsid w:val="00205CC9"/>
    <w:rsid w:val="00214469"/>
    <w:rsid w:val="002524DF"/>
    <w:rsid w:val="00270D23"/>
    <w:rsid w:val="0027326E"/>
    <w:rsid w:val="0027690F"/>
    <w:rsid w:val="00284F52"/>
    <w:rsid w:val="0028546A"/>
    <w:rsid w:val="002A685A"/>
    <w:rsid w:val="002C0B70"/>
    <w:rsid w:val="002D0277"/>
    <w:rsid w:val="002D74E4"/>
    <w:rsid w:val="002E2F6B"/>
    <w:rsid w:val="002E6442"/>
    <w:rsid w:val="002F15F4"/>
    <w:rsid w:val="002F2679"/>
    <w:rsid w:val="00320C6C"/>
    <w:rsid w:val="00335C75"/>
    <w:rsid w:val="00364F89"/>
    <w:rsid w:val="00372B89"/>
    <w:rsid w:val="0039359E"/>
    <w:rsid w:val="003A46D0"/>
    <w:rsid w:val="003A6827"/>
    <w:rsid w:val="003B5A92"/>
    <w:rsid w:val="003B7BB4"/>
    <w:rsid w:val="003D2E03"/>
    <w:rsid w:val="003D4676"/>
    <w:rsid w:val="003D6E75"/>
    <w:rsid w:val="003F797A"/>
    <w:rsid w:val="00416316"/>
    <w:rsid w:val="00427462"/>
    <w:rsid w:val="00445CC4"/>
    <w:rsid w:val="004C2E47"/>
    <w:rsid w:val="004D49B6"/>
    <w:rsid w:val="004F5444"/>
    <w:rsid w:val="00501D2A"/>
    <w:rsid w:val="00505A75"/>
    <w:rsid w:val="0051149A"/>
    <w:rsid w:val="00521828"/>
    <w:rsid w:val="005606CE"/>
    <w:rsid w:val="00565E23"/>
    <w:rsid w:val="005670F2"/>
    <w:rsid w:val="00580A03"/>
    <w:rsid w:val="00591902"/>
    <w:rsid w:val="005A7465"/>
    <w:rsid w:val="005B0F36"/>
    <w:rsid w:val="005B5660"/>
    <w:rsid w:val="005D15DA"/>
    <w:rsid w:val="005D32F1"/>
    <w:rsid w:val="005E4921"/>
    <w:rsid w:val="005F1D24"/>
    <w:rsid w:val="006055BE"/>
    <w:rsid w:val="00616661"/>
    <w:rsid w:val="0062004A"/>
    <w:rsid w:val="006214FA"/>
    <w:rsid w:val="0063541D"/>
    <w:rsid w:val="00636467"/>
    <w:rsid w:val="006460A3"/>
    <w:rsid w:val="0065655D"/>
    <w:rsid w:val="00672B7F"/>
    <w:rsid w:val="00692305"/>
    <w:rsid w:val="006C4C44"/>
    <w:rsid w:val="006D7F60"/>
    <w:rsid w:val="006E11E6"/>
    <w:rsid w:val="0070354D"/>
    <w:rsid w:val="007178DB"/>
    <w:rsid w:val="007246A7"/>
    <w:rsid w:val="00741B40"/>
    <w:rsid w:val="007433BA"/>
    <w:rsid w:val="00745B94"/>
    <w:rsid w:val="007543A6"/>
    <w:rsid w:val="00760B6E"/>
    <w:rsid w:val="00783FA7"/>
    <w:rsid w:val="0079105D"/>
    <w:rsid w:val="007A7B26"/>
    <w:rsid w:val="007D1AD8"/>
    <w:rsid w:val="007D4EF0"/>
    <w:rsid w:val="007E4B01"/>
    <w:rsid w:val="007F7A20"/>
    <w:rsid w:val="00811515"/>
    <w:rsid w:val="00820C48"/>
    <w:rsid w:val="00824C9A"/>
    <w:rsid w:val="008514DC"/>
    <w:rsid w:val="00854CF9"/>
    <w:rsid w:val="00861554"/>
    <w:rsid w:val="0087551D"/>
    <w:rsid w:val="00875547"/>
    <w:rsid w:val="00882576"/>
    <w:rsid w:val="00890CAC"/>
    <w:rsid w:val="00896BF7"/>
    <w:rsid w:val="008A5B0B"/>
    <w:rsid w:val="008C2CA0"/>
    <w:rsid w:val="008D22DD"/>
    <w:rsid w:val="008D32BE"/>
    <w:rsid w:val="008D5E0B"/>
    <w:rsid w:val="008E21B8"/>
    <w:rsid w:val="00925C92"/>
    <w:rsid w:val="009317A8"/>
    <w:rsid w:val="009416E1"/>
    <w:rsid w:val="00947718"/>
    <w:rsid w:val="00952AF3"/>
    <w:rsid w:val="009712B7"/>
    <w:rsid w:val="0098064B"/>
    <w:rsid w:val="00986468"/>
    <w:rsid w:val="009B0DA9"/>
    <w:rsid w:val="009B1558"/>
    <w:rsid w:val="009B49A8"/>
    <w:rsid w:val="009C26DC"/>
    <w:rsid w:val="009C4187"/>
    <w:rsid w:val="009C65DD"/>
    <w:rsid w:val="009E0BCE"/>
    <w:rsid w:val="009E458C"/>
    <w:rsid w:val="00A1705B"/>
    <w:rsid w:val="00A2225E"/>
    <w:rsid w:val="00A22B81"/>
    <w:rsid w:val="00A32297"/>
    <w:rsid w:val="00A35929"/>
    <w:rsid w:val="00A4046F"/>
    <w:rsid w:val="00A70283"/>
    <w:rsid w:val="00A80C19"/>
    <w:rsid w:val="00AC4FDD"/>
    <w:rsid w:val="00AC61C3"/>
    <w:rsid w:val="00AD08F8"/>
    <w:rsid w:val="00AE1777"/>
    <w:rsid w:val="00AE69B0"/>
    <w:rsid w:val="00B0425D"/>
    <w:rsid w:val="00B06967"/>
    <w:rsid w:val="00B15E97"/>
    <w:rsid w:val="00B225DE"/>
    <w:rsid w:val="00B26F7E"/>
    <w:rsid w:val="00B62612"/>
    <w:rsid w:val="00B84CA4"/>
    <w:rsid w:val="00BA2094"/>
    <w:rsid w:val="00BA4C93"/>
    <w:rsid w:val="00BA7B43"/>
    <w:rsid w:val="00BD4FAD"/>
    <w:rsid w:val="00BE0476"/>
    <w:rsid w:val="00C07CA1"/>
    <w:rsid w:val="00C11A3A"/>
    <w:rsid w:val="00C74BAD"/>
    <w:rsid w:val="00C91E8B"/>
    <w:rsid w:val="00C930A2"/>
    <w:rsid w:val="00CC2A2F"/>
    <w:rsid w:val="00CD2851"/>
    <w:rsid w:val="00CD52AA"/>
    <w:rsid w:val="00CE0678"/>
    <w:rsid w:val="00CE5356"/>
    <w:rsid w:val="00CF7C86"/>
    <w:rsid w:val="00D156D5"/>
    <w:rsid w:val="00D16F70"/>
    <w:rsid w:val="00D21193"/>
    <w:rsid w:val="00D25861"/>
    <w:rsid w:val="00D316F6"/>
    <w:rsid w:val="00D3183E"/>
    <w:rsid w:val="00D354BC"/>
    <w:rsid w:val="00D41D07"/>
    <w:rsid w:val="00D55021"/>
    <w:rsid w:val="00D63A3E"/>
    <w:rsid w:val="00D678C0"/>
    <w:rsid w:val="00D70CD1"/>
    <w:rsid w:val="00D81B03"/>
    <w:rsid w:val="00DA266E"/>
    <w:rsid w:val="00DA570D"/>
    <w:rsid w:val="00DA6FBE"/>
    <w:rsid w:val="00DB17D4"/>
    <w:rsid w:val="00DB1C41"/>
    <w:rsid w:val="00DB5507"/>
    <w:rsid w:val="00DC0E4E"/>
    <w:rsid w:val="00DC4636"/>
    <w:rsid w:val="00DD66A3"/>
    <w:rsid w:val="00DD682E"/>
    <w:rsid w:val="00DE7D07"/>
    <w:rsid w:val="00E03AC7"/>
    <w:rsid w:val="00E13156"/>
    <w:rsid w:val="00E430E0"/>
    <w:rsid w:val="00E53CE9"/>
    <w:rsid w:val="00E55964"/>
    <w:rsid w:val="00E5777D"/>
    <w:rsid w:val="00E60FDA"/>
    <w:rsid w:val="00E9609C"/>
    <w:rsid w:val="00EE3132"/>
    <w:rsid w:val="00EE79C9"/>
    <w:rsid w:val="00F07FA3"/>
    <w:rsid w:val="00F141BC"/>
    <w:rsid w:val="00F15AAF"/>
    <w:rsid w:val="00F42EA4"/>
    <w:rsid w:val="00F54A3A"/>
    <w:rsid w:val="00F9031F"/>
    <w:rsid w:val="00F9094E"/>
    <w:rsid w:val="00FB6261"/>
    <w:rsid w:val="00FC44BC"/>
    <w:rsid w:val="00FD6F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639D66"/>
  <w15:docId w15:val="{DFED91FC-C955-48ED-8411-E5506D3F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55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B1558"/>
    <w:rPr>
      <w:rFonts w:cs="Times New Roman"/>
      <w:color w:val="0000FF"/>
      <w:u w:val="single"/>
    </w:rPr>
  </w:style>
  <w:style w:type="paragraph" w:styleId="CommentText">
    <w:name w:val="annotation text"/>
    <w:basedOn w:val="Normal"/>
    <w:link w:val="CommentTextChar"/>
    <w:uiPriority w:val="99"/>
    <w:rsid w:val="009B1558"/>
    <w:rPr>
      <w:sz w:val="20"/>
      <w:szCs w:val="20"/>
    </w:rPr>
  </w:style>
  <w:style w:type="character" w:customStyle="1" w:styleId="CommentTextChar">
    <w:name w:val="Comment Text Char"/>
    <w:basedOn w:val="DefaultParagraphFont"/>
    <w:link w:val="CommentText"/>
    <w:uiPriority w:val="99"/>
    <w:locked/>
    <w:rsid w:val="009B1558"/>
    <w:rPr>
      <w:rFonts w:ascii="Times New Roman" w:hAnsi="Times New Roman" w:cs="Times New Roman"/>
      <w:sz w:val="20"/>
      <w:szCs w:val="20"/>
      <w:lang w:eastAsia="lv-LV"/>
    </w:rPr>
  </w:style>
  <w:style w:type="paragraph" w:customStyle="1" w:styleId="naisc">
    <w:name w:val="naisc"/>
    <w:basedOn w:val="Normal"/>
    <w:uiPriority w:val="99"/>
    <w:rsid w:val="009B1558"/>
    <w:pPr>
      <w:spacing w:before="75" w:after="75"/>
      <w:jc w:val="center"/>
    </w:pPr>
  </w:style>
  <w:style w:type="paragraph" w:styleId="Header">
    <w:name w:val="header"/>
    <w:basedOn w:val="Normal"/>
    <w:link w:val="HeaderChar"/>
    <w:uiPriority w:val="99"/>
    <w:rsid w:val="009B1558"/>
    <w:pPr>
      <w:tabs>
        <w:tab w:val="center" w:pos="4153"/>
        <w:tab w:val="right" w:pos="8306"/>
      </w:tabs>
    </w:pPr>
  </w:style>
  <w:style w:type="character" w:customStyle="1" w:styleId="HeaderChar">
    <w:name w:val="Header Char"/>
    <w:basedOn w:val="DefaultParagraphFont"/>
    <w:link w:val="Header"/>
    <w:uiPriority w:val="99"/>
    <w:locked/>
    <w:rsid w:val="009B1558"/>
    <w:rPr>
      <w:rFonts w:ascii="Times New Roman" w:hAnsi="Times New Roman" w:cs="Times New Roman"/>
      <w:sz w:val="24"/>
      <w:szCs w:val="24"/>
      <w:lang w:eastAsia="lv-LV"/>
    </w:rPr>
  </w:style>
  <w:style w:type="paragraph" w:styleId="Footer">
    <w:name w:val="footer"/>
    <w:basedOn w:val="Normal"/>
    <w:link w:val="FooterChar"/>
    <w:uiPriority w:val="99"/>
    <w:rsid w:val="009B1558"/>
    <w:pPr>
      <w:tabs>
        <w:tab w:val="center" w:pos="4153"/>
        <w:tab w:val="right" w:pos="8306"/>
      </w:tabs>
    </w:pPr>
  </w:style>
  <w:style w:type="character" w:customStyle="1" w:styleId="FooterChar">
    <w:name w:val="Footer Char"/>
    <w:basedOn w:val="DefaultParagraphFont"/>
    <w:link w:val="Footer"/>
    <w:uiPriority w:val="99"/>
    <w:locked/>
    <w:rsid w:val="009B1558"/>
    <w:rPr>
      <w:rFonts w:ascii="Times New Roman" w:hAnsi="Times New Roman" w:cs="Times New Roman"/>
      <w:sz w:val="24"/>
      <w:szCs w:val="24"/>
      <w:lang w:eastAsia="lv-LV"/>
    </w:rPr>
  </w:style>
  <w:style w:type="paragraph" w:styleId="ListParagraph">
    <w:name w:val="List Paragraph"/>
    <w:aliases w:val="2,Akapit z listą BS,H&amp;P List Paragraph,Strip,Saraksta rindkopa,Saraksta rindkopa1"/>
    <w:basedOn w:val="Normal"/>
    <w:link w:val="ListParagraphChar"/>
    <w:uiPriority w:val="99"/>
    <w:qFormat/>
    <w:rsid w:val="00811515"/>
    <w:pPr>
      <w:ind w:left="720"/>
      <w:contextualSpacing/>
    </w:pPr>
    <w:rPr>
      <w:rFonts w:eastAsia="Calibri"/>
      <w:szCs w:val="20"/>
    </w:rPr>
  </w:style>
  <w:style w:type="character" w:customStyle="1" w:styleId="UnresolvedMention1">
    <w:name w:val="Unresolved Mention1"/>
    <w:basedOn w:val="DefaultParagraphFont"/>
    <w:uiPriority w:val="99"/>
    <w:semiHidden/>
    <w:rsid w:val="00416316"/>
    <w:rPr>
      <w:rFonts w:cs="Times New Roman"/>
      <w:color w:val="605E5C"/>
      <w:shd w:val="clear" w:color="auto" w:fill="E1DFDD"/>
    </w:rPr>
  </w:style>
  <w:style w:type="character" w:customStyle="1" w:styleId="ListParagraphChar">
    <w:name w:val="List Paragraph Char"/>
    <w:aliases w:val="2 Char,Akapit z listą BS Char,H&amp;P List Paragraph Char,Strip Char,Saraksta rindkopa Char,Saraksta rindkopa1 Char"/>
    <w:link w:val="ListParagraph"/>
    <w:uiPriority w:val="99"/>
    <w:locked/>
    <w:rsid w:val="00063FB9"/>
    <w:rPr>
      <w:rFonts w:ascii="Times New Roman" w:hAnsi="Times New Roman"/>
      <w:sz w:val="24"/>
      <w:lang w:eastAsia="lv-LV"/>
    </w:rPr>
  </w:style>
  <w:style w:type="table" w:styleId="TableGrid">
    <w:name w:val="Table Grid"/>
    <w:basedOn w:val="TableNormal"/>
    <w:uiPriority w:val="99"/>
    <w:rsid w:val="00C74B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53CE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53CE9"/>
    <w:rPr>
      <w:rFonts w:ascii="Segoe UI" w:hAnsi="Segoe UI" w:cs="Segoe UI"/>
      <w:sz w:val="18"/>
      <w:szCs w:val="18"/>
      <w:lang w:eastAsia="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C"/>
    <w:basedOn w:val="Normal"/>
    <w:link w:val="FootnoteTextChar"/>
    <w:uiPriority w:val="99"/>
    <w:rsid w:val="00097687"/>
    <w:rPr>
      <w:rFonts w:ascii="Calibri" w:eastAsia="Calibri" w:hAnsi="Calibri"/>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f Char,C Char"/>
    <w:basedOn w:val="DefaultParagraphFont"/>
    <w:link w:val="FootnoteText"/>
    <w:uiPriority w:val="99"/>
    <w:locked/>
    <w:rsid w:val="00097687"/>
    <w:rPr>
      <w:rFonts w:cs="Times New Roman"/>
      <w:sz w:val="20"/>
      <w:szCs w:val="20"/>
    </w:rPr>
  </w:style>
  <w:style w:type="character" w:styleId="FootnoteReference">
    <w:name w:val="footnote reference"/>
    <w:basedOn w:val="DefaultParagraphFont"/>
    <w:uiPriority w:val="99"/>
    <w:semiHidden/>
    <w:rsid w:val="00097687"/>
    <w:rPr>
      <w:rFonts w:cs="Times New Roman"/>
      <w:vertAlign w:val="superscript"/>
    </w:rPr>
  </w:style>
  <w:style w:type="character" w:styleId="CommentReference">
    <w:name w:val="annotation reference"/>
    <w:basedOn w:val="DefaultParagraphFont"/>
    <w:uiPriority w:val="99"/>
    <w:semiHidden/>
    <w:rsid w:val="00A22B81"/>
    <w:rPr>
      <w:rFonts w:cs="Times New Roman"/>
      <w:sz w:val="16"/>
      <w:szCs w:val="16"/>
    </w:rPr>
  </w:style>
  <w:style w:type="paragraph" w:styleId="CommentSubject">
    <w:name w:val="annotation subject"/>
    <w:basedOn w:val="CommentText"/>
    <w:next w:val="CommentText"/>
    <w:link w:val="CommentSubjectChar"/>
    <w:uiPriority w:val="99"/>
    <w:semiHidden/>
    <w:rsid w:val="00A22B81"/>
    <w:rPr>
      <w:b/>
      <w:bCs/>
    </w:rPr>
  </w:style>
  <w:style w:type="character" w:customStyle="1" w:styleId="CommentSubjectChar">
    <w:name w:val="Comment Subject Char"/>
    <w:basedOn w:val="CommentTextChar"/>
    <w:link w:val="CommentSubject"/>
    <w:uiPriority w:val="99"/>
    <w:semiHidden/>
    <w:locked/>
    <w:rsid w:val="00A22B81"/>
    <w:rPr>
      <w:rFonts w:ascii="Times New Roman" w:hAnsi="Times New Roman" w:cs="Times New Roman"/>
      <w:b/>
      <w:bCs/>
      <w:sz w:val="20"/>
      <w:szCs w:val="20"/>
      <w:lang w:eastAsia="lv-LV"/>
    </w:rPr>
  </w:style>
  <w:style w:type="table" w:customStyle="1" w:styleId="TableGrid1">
    <w:name w:val="Table Grid1"/>
    <w:uiPriority w:val="99"/>
    <w:rsid w:val="00D63A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uiPriority w:val="99"/>
    <w:rsid w:val="00F42EA4"/>
    <w:pPr>
      <w:spacing w:before="100" w:beforeAutospacing="1" w:after="100" w:afterAutospacing="1"/>
    </w:pPr>
  </w:style>
  <w:style w:type="paragraph" w:styleId="NoSpacing">
    <w:name w:val="No Spacing"/>
    <w:link w:val="NoSpacingChar"/>
    <w:uiPriority w:val="99"/>
    <w:qFormat/>
    <w:rsid w:val="00672B7F"/>
    <w:rPr>
      <w:lang w:eastAsia="en-US"/>
    </w:rPr>
  </w:style>
  <w:style w:type="character" w:customStyle="1" w:styleId="NoSpacingChar">
    <w:name w:val="No Spacing Char"/>
    <w:link w:val="NoSpacing"/>
    <w:uiPriority w:val="99"/>
    <w:locked/>
    <w:rsid w:val="00672B7F"/>
    <w:rPr>
      <w:sz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9918">
      <w:marLeft w:val="0"/>
      <w:marRight w:val="0"/>
      <w:marTop w:val="0"/>
      <w:marBottom w:val="0"/>
      <w:divBdr>
        <w:top w:val="none" w:sz="0" w:space="0" w:color="auto"/>
        <w:left w:val="none" w:sz="0" w:space="0" w:color="auto"/>
        <w:bottom w:val="none" w:sz="0" w:space="0" w:color="auto"/>
        <w:right w:val="none" w:sz="0" w:space="0" w:color="auto"/>
      </w:divBdr>
    </w:div>
    <w:div w:id="20589919">
      <w:marLeft w:val="0"/>
      <w:marRight w:val="0"/>
      <w:marTop w:val="0"/>
      <w:marBottom w:val="0"/>
      <w:divBdr>
        <w:top w:val="none" w:sz="0" w:space="0" w:color="auto"/>
        <w:left w:val="none" w:sz="0" w:space="0" w:color="auto"/>
        <w:bottom w:val="none" w:sz="0" w:space="0" w:color="auto"/>
        <w:right w:val="none" w:sz="0" w:space="0" w:color="auto"/>
      </w:divBdr>
    </w:div>
    <w:div w:id="20589920">
      <w:marLeft w:val="0"/>
      <w:marRight w:val="0"/>
      <w:marTop w:val="0"/>
      <w:marBottom w:val="0"/>
      <w:divBdr>
        <w:top w:val="none" w:sz="0" w:space="0" w:color="auto"/>
        <w:left w:val="none" w:sz="0" w:space="0" w:color="auto"/>
        <w:bottom w:val="none" w:sz="0" w:space="0" w:color="auto"/>
        <w:right w:val="none" w:sz="0" w:space="0" w:color="auto"/>
      </w:divBdr>
    </w:div>
    <w:div w:id="20589921">
      <w:marLeft w:val="0"/>
      <w:marRight w:val="0"/>
      <w:marTop w:val="0"/>
      <w:marBottom w:val="0"/>
      <w:divBdr>
        <w:top w:val="none" w:sz="0" w:space="0" w:color="auto"/>
        <w:left w:val="none" w:sz="0" w:space="0" w:color="auto"/>
        <w:bottom w:val="none" w:sz="0" w:space="0" w:color="auto"/>
        <w:right w:val="none" w:sz="0" w:space="0" w:color="auto"/>
      </w:divBdr>
    </w:div>
    <w:div w:id="20589922">
      <w:marLeft w:val="0"/>
      <w:marRight w:val="0"/>
      <w:marTop w:val="0"/>
      <w:marBottom w:val="0"/>
      <w:divBdr>
        <w:top w:val="none" w:sz="0" w:space="0" w:color="auto"/>
        <w:left w:val="none" w:sz="0" w:space="0" w:color="auto"/>
        <w:bottom w:val="none" w:sz="0" w:space="0" w:color="auto"/>
        <w:right w:val="none" w:sz="0" w:space="0" w:color="auto"/>
      </w:divBdr>
    </w:div>
    <w:div w:id="20589923">
      <w:marLeft w:val="0"/>
      <w:marRight w:val="0"/>
      <w:marTop w:val="0"/>
      <w:marBottom w:val="0"/>
      <w:divBdr>
        <w:top w:val="none" w:sz="0" w:space="0" w:color="auto"/>
        <w:left w:val="none" w:sz="0" w:space="0" w:color="auto"/>
        <w:bottom w:val="none" w:sz="0" w:space="0" w:color="auto"/>
        <w:right w:val="none" w:sz="0" w:space="0" w:color="auto"/>
      </w:divBdr>
    </w:div>
    <w:div w:id="20589924">
      <w:marLeft w:val="0"/>
      <w:marRight w:val="0"/>
      <w:marTop w:val="0"/>
      <w:marBottom w:val="0"/>
      <w:divBdr>
        <w:top w:val="none" w:sz="0" w:space="0" w:color="auto"/>
        <w:left w:val="none" w:sz="0" w:space="0" w:color="auto"/>
        <w:bottom w:val="none" w:sz="0" w:space="0" w:color="auto"/>
        <w:right w:val="none" w:sz="0" w:space="0" w:color="auto"/>
      </w:divBdr>
    </w:div>
    <w:div w:id="205899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Zirnite@l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ena.Salmane@l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5445</Words>
  <Characters>3104</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Grozījumi likumā "Par apdrošināšanu bezdarba gadījumam"</vt:lpstr>
    </vt:vector>
  </TitlesOfParts>
  <Company>LM</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apdrošināšanu bezdarba gadījumam"</dc:title>
  <dc:subject>Anotācija</dc:subject>
  <dc:creator>Irēna Salmane</dc:creator>
  <cp:keywords/>
  <dc:description>irena.salmane@lm.gov.lv, tel. 67021556</dc:description>
  <cp:lastModifiedBy>Baiba Veberste-Šimčuka</cp:lastModifiedBy>
  <cp:revision>10</cp:revision>
  <cp:lastPrinted>2020-10-07T06:31:00Z</cp:lastPrinted>
  <dcterms:created xsi:type="dcterms:W3CDTF">2020-12-23T07:05:00Z</dcterms:created>
  <dcterms:modified xsi:type="dcterms:W3CDTF">2020-12-28T08:11:00Z</dcterms:modified>
</cp:coreProperties>
</file>