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0BDAC" w14:textId="4168B5FB" w:rsidR="0032237F" w:rsidRPr="000C044C" w:rsidRDefault="0032237F" w:rsidP="00731493">
      <w:pPr>
        <w:spacing w:after="0" w:line="240" w:lineRule="auto"/>
        <w:jc w:val="center"/>
        <w:rPr>
          <w:rFonts w:ascii="Times New Roman" w:eastAsia="Times New Roman" w:hAnsi="Times New Roman" w:cs="Times New Roman"/>
          <w:b/>
          <w:bCs/>
          <w:sz w:val="24"/>
          <w:szCs w:val="24"/>
          <w:lang w:eastAsia="lv-LV"/>
        </w:rPr>
      </w:pPr>
      <w:r w:rsidRPr="000C044C">
        <w:rPr>
          <w:rFonts w:ascii="Times New Roman" w:eastAsia="Times New Roman" w:hAnsi="Times New Roman" w:cs="Times New Roman"/>
          <w:b/>
          <w:bCs/>
          <w:sz w:val="24"/>
          <w:szCs w:val="24"/>
          <w:lang w:eastAsia="lv-LV"/>
        </w:rPr>
        <w:t>Minist</w:t>
      </w:r>
      <w:r w:rsidR="00163A00" w:rsidRPr="000C044C">
        <w:rPr>
          <w:rFonts w:ascii="Times New Roman" w:eastAsia="Times New Roman" w:hAnsi="Times New Roman" w:cs="Times New Roman"/>
          <w:b/>
          <w:bCs/>
          <w:sz w:val="24"/>
          <w:szCs w:val="24"/>
          <w:lang w:eastAsia="lv-LV"/>
        </w:rPr>
        <w:t>ru kabineta noteikum</w:t>
      </w:r>
      <w:r w:rsidR="00463B89" w:rsidRPr="000C044C">
        <w:rPr>
          <w:rFonts w:ascii="Times New Roman" w:eastAsia="Times New Roman" w:hAnsi="Times New Roman" w:cs="Times New Roman"/>
          <w:b/>
          <w:bCs/>
          <w:sz w:val="24"/>
          <w:szCs w:val="24"/>
          <w:lang w:eastAsia="lv-LV"/>
        </w:rPr>
        <w:t>u</w:t>
      </w:r>
      <w:r w:rsidR="00F05E2E" w:rsidRPr="000C044C">
        <w:rPr>
          <w:rFonts w:ascii="Times New Roman" w:eastAsia="Times New Roman" w:hAnsi="Times New Roman" w:cs="Times New Roman"/>
          <w:b/>
          <w:bCs/>
          <w:sz w:val="24"/>
          <w:szCs w:val="24"/>
          <w:lang w:eastAsia="lv-LV"/>
        </w:rPr>
        <w:t xml:space="preserve"> projekta</w:t>
      </w:r>
      <w:r w:rsidR="00463B89" w:rsidRPr="000C044C">
        <w:rPr>
          <w:rFonts w:ascii="Times New Roman" w:eastAsia="Times New Roman" w:hAnsi="Times New Roman" w:cs="Times New Roman"/>
          <w:b/>
          <w:bCs/>
          <w:sz w:val="24"/>
          <w:szCs w:val="24"/>
          <w:lang w:eastAsia="lv-LV"/>
        </w:rPr>
        <w:t xml:space="preserve"> </w:t>
      </w:r>
      <w:r w:rsidR="007A1EBC" w:rsidRPr="000C044C">
        <w:rPr>
          <w:rFonts w:ascii="Times New Roman" w:eastAsia="Times New Roman" w:hAnsi="Times New Roman" w:cs="Times New Roman"/>
          <w:b/>
          <w:bCs/>
          <w:sz w:val="24"/>
          <w:szCs w:val="24"/>
          <w:lang w:eastAsia="lv-LV"/>
        </w:rPr>
        <w:t>“</w:t>
      </w:r>
      <w:r w:rsidR="002527DA" w:rsidRPr="000C044C">
        <w:rPr>
          <w:rFonts w:ascii="Times New Roman" w:eastAsia="Times New Roman" w:hAnsi="Times New Roman" w:cs="Times New Roman"/>
          <w:b/>
          <w:bCs/>
          <w:sz w:val="24"/>
          <w:szCs w:val="24"/>
          <w:lang w:eastAsia="lv-LV"/>
        </w:rPr>
        <w:t>Eiropas Ekonomikas zonas finanšu instrumenta 2014.</w:t>
      </w:r>
      <w:r w:rsidR="0001319C" w:rsidRPr="000C044C">
        <w:rPr>
          <w:rFonts w:ascii="Times New Roman" w:eastAsia="Times New Roman" w:hAnsi="Times New Roman" w:cs="Times New Roman"/>
          <w:b/>
          <w:bCs/>
          <w:sz w:val="24"/>
          <w:szCs w:val="24"/>
          <w:lang w:eastAsia="lv-LV"/>
        </w:rPr>
        <w:t> </w:t>
      </w:r>
      <w:r w:rsidR="002527DA" w:rsidRPr="000C044C">
        <w:rPr>
          <w:rFonts w:ascii="Times New Roman" w:eastAsia="Times New Roman" w:hAnsi="Times New Roman" w:cs="Times New Roman"/>
          <w:b/>
          <w:bCs/>
          <w:sz w:val="24"/>
          <w:szCs w:val="24"/>
          <w:lang w:eastAsia="lv-LV"/>
        </w:rPr>
        <w:t>–</w:t>
      </w:r>
      <w:r w:rsidR="0001319C" w:rsidRPr="000C044C">
        <w:rPr>
          <w:rFonts w:ascii="Times New Roman" w:eastAsia="Times New Roman" w:hAnsi="Times New Roman" w:cs="Times New Roman"/>
          <w:b/>
          <w:bCs/>
          <w:sz w:val="24"/>
          <w:szCs w:val="24"/>
          <w:lang w:eastAsia="lv-LV"/>
        </w:rPr>
        <w:t> </w:t>
      </w:r>
      <w:r w:rsidR="002527DA" w:rsidRPr="000C044C">
        <w:rPr>
          <w:rFonts w:ascii="Times New Roman" w:eastAsia="Times New Roman" w:hAnsi="Times New Roman" w:cs="Times New Roman"/>
          <w:b/>
          <w:bCs/>
          <w:sz w:val="24"/>
          <w:szCs w:val="24"/>
          <w:lang w:eastAsia="lv-LV"/>
        </w:rPr>
        <w:t xml:space="preserve">2021.gada perioda programmas </w:t>
      </w:r>
      <w:r w:rsidR="007A1EBC" w:rsidRPr="000C044C">
        <w:rPr>
          <w:rFonts w:ascii="Times New Roman" w:eastAsia="Times New Roman" w:hAnsi="Times New Roman" w:cs="Times New Roman"/>
          <w:b/>
          <w:bCs/>
          <w:sz w:val="24"/>
          <w:szCs w:val="24"/>
          <w:lang w:eastAsia="lv-LV"/>
        </w:rPr>
        <w:t>“</w:t>
      </w:r>
      <w:r w:rsidR="002527DA" w:rsidRPr="000C044C">
        <w:rPr>
          <w:rFonts w:ascii="Times New Roman" w:eastAsia="Times New Roman" w:hAnsi="Times New Roman" w:cs="Times New Roman"/>
          <w:b/>
          <w:bCs/>
          <w:sz w:val="24"/>
          <w:szCs w:val="24"/>
          <w:lang w:eastAsia="lv-LV"/>
        </w:rPr>
        <w:t xml:space="preserve">Vietējā attīstība, nabadzības mazināšana un kultūras sadarbība” projektu iesniegumu </w:t>
      </w:r>
      <w:r w:rsidR="00A51024" w:rsidRPr="000C044C">
        <w:rPr>
          <w:rFonts w:ascii="Times New Roman" w:eastAsia="Times New Roman" w:hAnsi="Times New Roman" w:cs="Times New Roman"/>
          <w:b/>
          <w:bCs/>
          <w:sz w:val="24"/>
          <w:szCs w:val="24"/>
          <w:lang w:eastAsia="lv-LV"/>
        </w:rPr>
        <w:t>atklāt</w:t>
      </w:r>
      <w:r w:rsidR="00A51024">
        <w:rPr>
          <w:rFonts w:ascii="Times New Roman" w:eastAsia="Times New Roman" w:hAnsi="Times New Roman" w:cs="Times New Roman"/>
          <w:b/>
          <w:bCs/>
          <w:sz w:val="24"/>
          <w:szCs w:val="24"/>
          <w:lang w:eastAsia="lv-LV"/>
        </w:rPr>
        <w:t>ā</w:t>
      </w:r>
      <w:r w:rsidR="00A51024" w:rsidRPr="000C044C">
        <w:rPr>
          <w:rFonts w:ascii="Times New Roman" w:eastAsia="Times New Roman" w:hAnsi="Times New Roman" w:cs="Times New Roman"/>
          <w:b/>
          <w:bCs/>
          <w:sz w:val="24"/>
          <w:szCs w:val="24"/>
          <w:lang w:eastAsia="lv-LV"/>
        </w:rPr>
        <w:t xml:space="preserve"> </w:t>
      </w:r>
      <w:r w:rsidR="002527DA" w:rsidRPr="000C044C">
        <w:rPr>
          <w:rFonts w:ascii="Times New Roman" w:eastAsia="Times New Roman" w:hAnsi="Times New Roman" w:cs="Times New Roman"/>
          <w:b/>
          <w:bCs/>
          <w:sz w:val="24"/>
          <w:szCs w:val="24"/>
          <w:lang w:eastAsia="lv-LV"/>
        </w:rPr>
        <w:t xml:space="preserve">konkursa </w:t>
      </w:r>
      <w:r w:rsidR="007A1EBC" w:rsidRPr="000C044C">
        <w:rPr>
          <w:rFonts w:ascii="Times New Roman" w:eastAsia="Times New Roman" w:hAnsi="Times New Roman" w:cs="Times New Roman"/>
          <w:b/>
          <w:bCs/>
          <w:sz w:val="24"/>
          <w:szCs w:val="24"/>
          <w:lang w:eastAsia="lv-LV"/>
        </w:rPr>
        <w:t>“</w:t>
      </w:r>
      <w:r w:rsidR="002527DA" w:rsidRPr="000C044C">
        <w:rPr>
          <w:rFonts w:ascii="Times New Roman" w:eastAsia="Times New Roman" w:hAnsi="Times New Roman" w:cs="Times New Roman"/>
          <w:b/>
          <w:bCs/>
          <w:sz w:val="24"/>
          <w:szCs w:val="24"/>
          <w:lang w:eastAsia="lv-LV"/>
        </w:rPr>
        <w:t>Atbalsts profesionālās mākslas un kultūras produktu radīšanai bērnu un jauniešu auditorijai” īstenošanas noteikumi</w:t>
      </w:r>
      <w:r w:rsidRPr="000C044C">
        <w:rPr>
          <w:rFonts w:ascii="Times New Roman" w:eastAsia="Times New Roman" w:hAnsi="Times New Roman" w:cs="Times New Roman"/>
          <w:b/>
          <w:bCs/>
          <w:sz w:val="24"/>
          <w:szCs w:val="24"/>
          <w:lang w:eastAsia="lv-LV"/>
        </w:rPr>
        <w:t>” sākotnējās ietekmes novērtējuma ziņojums (anotācija)</w:t>
      </w:r>
    </w:p>
    <w:p w14:paraId="09A91F11" w14:textId="77777777" w:rsidR="00462A8F" w:rsidRPr="000C044C" w:rsidRDefault="00462A8F" w:rsidP="00731493">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19" w:type="pct"/>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227"/>
        <w:gridCol w:w="5433"/>
      </w:tblGrid>
      <w:tr w:rsidR="0001319C" w:rsidRPr="000C044C" w14:paraId="47AD1BB5" w14:textId="77777777" w:rsidTr="0022409B">
        <w:trPr>
          <w:trHeight w:val="324"/>
          <w:tblCellSpacing w:w="20" w:type="dxa"/>
        </w:trPr>
        <w:tc>
          <w:tcPr>
            <w:tcW w:w="4956" w:type="pct"/>
            <w:gridSpan w:val="2"/>
            <w:hideMark/>
          </w:tcPr>
          <w:p w14:paraId="38198FC4" w14:textId="77777777" w:rsidR="0001319C" w:rsidRPr="000C044C" w:rsidRDefault="0001319C" w:rsidP="00731493">
            <w:pPr>
              <w:jc w:val="center"/>
              <w:rPr>
                <w:rFonts w:ascii="Times New Roman" w:eastAsia="Times New Roman" w:hAnsi="Times New Roman" w:cs="Times New Roman"/>
                <w:b/>
                <w:bCs/>
                <w:sz w:val="24"/>
                <w:szCs w:val="24"/>
                <w:lang w:eastAsia="lv-LV"/>
              </w:rPr>
            </w:pPr>
            <w:r w:rsidRPr="000C044C">
              <w:rPr>
                <w:rFonts w:ascii="Times New Roman" w:eastAsia="Times New Roman" w:hAnsi="Times New Roman" w:cs="Times New Roman"/>
                <w:b/>
                <w:bCs/>
                <w:sz w:val="24"/>
                <w:szCs w:val="24"/>
                <w:lang w:eastAsia="lv-LV"/>
              </w:rPr>
              <w:t>Tiesību akta projekta anotācijas kopsavilkums</w:t>
            </w:r>
          </w:p>
        </w:tc>
      </w:tr>
      <w:tr w:rsidR="0001319C" w:rsidRPr="000C044C" w14:paraId="3B564A3D" w14:textId="77777777" w:rsidTr="0022409B">
        <w:trPr>
          <w:tblCellSpacing w:w="20" w:type="dxa"/>
        </w:trPr>
        <w:tc>
          <w:tcPr>
            <w:tcW w:w="2165" w:type="pct"/>
            <w:hideMark/>
          </w:tcPr>
          <w:p w14:paraId="570CCFDC" w14:textId="77777777" w:rsidR="0001319C" w:rsidRPr="000C044C" w:rsidRDefault="0001319C" w:rsidP="00731493">
            <w:pPr>
              <w:rPr>
                <w:rFonts w:ascii="Times New Roman" w:eastAsia="Times New Roman" w:hAnsi="Times New Roman" w:cs="Times New Roman"/>
                <w:iCs/>
                <w:sz w:val="24"/>
                <w:szCs w:val="24"/>
                <w:lang w:eastAsia="lv-LV"/>
              </w:rPr>
            </w:pPr>
            <w:r w:rsidRPr="000C044C">
              <w:rPr>
                <w:rFonts w:ascii="Times New Roman" w:eastAsia="Times New Roman" w:hAnsi="Times New Roman" w:cs="Times New Roman"/>
                <w:iCs/>
                <w:sz w:val="24"/>
                <w:szCs w:val="24"/>
                <w:lang w:eastAsia="lv-LV"/>
              </w:rPr>
              <w:t>Mērķis, risinājums un projekta spēkā stāšanās laiks (500 zīmes bez atstarpēm)</w:t>
            </w:r>
          </w:p>
        </w:tc>
        <w:tc>
          <w:tcPr>
            <w:tcW w:w="2769" w:type="pct"/>
            <w:hideMark/>
          </w:tcPr>
          <w:p w14:paraId="218F1459" w14:textId="2C62E12F" w:rsidR="0001319C" w:rsidRPr="000C044C" w:rsidRDefault="0001319C" w:rsidP="00731493">
            <w:pPr>
              <w:jc w:val="both"/>
              <w:rPr>
                <w:rFonts w:ascii="Times New Roman" w:hAnsi="Times New Roman" w:cs="Times New Roman"/>
                <w:sz w:val="24"/>
                <w:szCs w:val="24"/>
              </w:rPr>
            </w:pPr>
            <w:r w:rsidRPr="000C044C">
              <w:rPr>
                <w:rFonts w:ascii="Times New Roman" w:hAnsi="Times New Roman" w:cs="Times New Roman"/>
                <w:sz w:val="24"/>
                <w:szCs w:val="24"/>
              </w:rPr>
              <w:t xml:space="preserve">Ministru kabineta noteikumu projekta </w:t>
            </w:r>
            <w:r w:rsidR="007A1EBC" w:rsidRPr="000C044C">
              <w:rPr>
                <w:rFonts w:ascii="Times New Roman" w:hAnsi="Times New Roman" w:cs="Times New Roman"/>
                <w:sz w:val="24"/>
                <w:szCs w:val="24"/>
              </w:rPr>
              <w:t>“</w:t>
            </w:r>
            <w:r w:rsidRPr="000C044C">
              <w:rPr>
                <w:rFonts w:ascii="Times New Roman" w:hAnsi="Times New Roman" w:cs="Times New Roman"/>
                <w:sz w:val="24"/>
                <w:szCs w:val="24"/>
              </w:rPr>
              <w:t xml:space="preserve">Eiropas Ekonomikas zonas finanšu instrumenta 2014. – 2021.gada perioda programmas </w:t>
            </w:r>
            <w:r w:rsidR="007A1EBC" w:rsidRPr="000C044C">
              <w:rPr>
                <w:rFonts w:ascii="Times New Roman" w:hAnsi="Times New Roman" w:cs="Times New Roman"/>
                <w:sz w:val="24"/>
                <w:szCs w:val="24"/>
              </w:rPr>
              <w:t>“</w:t>
            </w:r>
            <w:r w:rsidRPr="000C044C">
              <w:rPr>
                <w:rFonts w:ascii="Times New Roman" w:hAnsi="Times New Roman" w:cs="Times New Roman"/>
                <w:sz w:val="24"/>
                <w:szCs w:val="24"/>
              </w:rPr>
              <w:t xml:space="preserve">Vietējā attīstība, nabadzības mazināšana un kultūras sadarbība” projektu iesniegumu </w:t>
            </w:r>
            <w:r w:rsidR="00A51024" w:rsidRPr="000C044C">
              <w:rPr>
                <w:rFonts w:ascii="Times New Roman" w:hAnsi="Times New Roman" w:cs="Times New Roman"/>
                <w:sz w:val="24"/>
                <w:szCs w:val="24"/>
              </w:rPr>
              <w:t>atklāt</w:t>
            </w:r>
            <w:r w:rsidR="00A51024">
              <w:rPr>
                <w:rFonts w:ascii="Times New Roman" w:hAnsi="Times New Roman" w:cs="Times New Roman"/>
                <w:sz w:val="24"/>
                <w:szCs w:val="24"/>
              </w:rPr>
              <w:t>ā</w:t>
            </w:r>
            <w:r w:rsidR="00A51024" w:rsidRPr="000C044C">
              <w:rPr>
                <w:rFonts w:ascii="Times New Roman" w:hAnsi="Times New Roman" w:cs="Times New Roman"/>
                <w:sz w:val="24"/>
                <w:szCs w:val="24"/>
              </w:rPr>
              <w:t xml:space="preserve"> </w:t>
            </w:r>
            <w:r w:rsidRPr="000C044C">
              <w:rPr>
                <w:rFonts w:ascii="Times New Roman" w:hAnsi="Times New Roman" w:cs="Times New Roman"/>
                <w:sz w:val="24"/>
                <w:szCs w:val="24"/>
              </w:rPr>
              <w:t xml:space="preserve">konkursa </w:t>
            </w:r>
            <w:r w:rsidR="00A51024">
              <w:rPr>
                <w:rFonts w:ascii="Times New Roman" w:hAnsi="Times New Roman" w:cs="Times New Roman"/>
                <w:sz w:val="24"/>
                <w:szCs w:val="24"/>
              </w:rPr>
              <w:t>“</w:t>
            </w:r>
            <w:r w:rsidRPr="000C044C">
              <w:rPr>
                <w:rFonts w:ascii="Times New Roman" w:hAnsi="Times New Roman" w:cs="Times New Roman"/>
                <w:sz w:val="24"/>
                <w:szCs w:val="24"/>
              </w:rPr>
              <w:t xml:space="preserve">Atbalsts profesionālās mākslas un kultūras produktu radīšanai bērnu un jauniešu auditorijai” īstenošanas noteikumi” (turpmāk – </w:t>
            </w:r>
            <w:r w:rsidR="003F230E" w:rsidRPr="000C044C">
              <w:rPr>
                <w:rFonts w:ascii="Times New Roman" w:hAnsi="Times New Roman" w:cs="Times New Roman"/>
                <w:sz w:val="24"/>
                <w:szCs w:val="24"/>
              </w:rPr>
              <w:t>Noteikumu p</w:t>
            </w:r>
            <w:r w:rsidRPr="000C044C">
              <w:rPr>
                <w:rFonts w:ascii="Times New Roman" w:hAnsi="Times New Roman" w:cs="Times New Roman"/>
                <w:sz w:val="24"/>
                <w:szCs w:val="24"/>
              </w:rPr>
              <w:t xml:space="preserve">rojekts) mērķis ir noteikt Eiropas Ekonomikas zonas finanšu instrumenta 2014. – 2021.gada perioda programmas </w:t>
            </w:r>
            <w:r w:rsidR="007A1EBC" w:rsidRPr="000C044C">
              <w:rPr>
                <w:rFonts w:ascii="Times New Roman" w:hAnsi="Times New Roman" w:cs="Times New Roman"/>
                <w:sz w:val="24"/>
                <w:szCs w:val="24"/>
              </w:rPr>
              <w:t>“</w:t>
            </w:r>
            <w:r w:rsidRPr="000C044C">
              <w:rPr>
                <w:rFonts w:ascii="Times New Roman" w:hAnsi="Times New Roman" w:cs="Times New Roman"/>
                <w:sz w:val="24"/>
                <w:szCs w:val="24"/>
              </w:rPr>
              <w:t>Vietējā attīstība, nabadzības mazināšana un kultūras sadarbība” (turpmāk – programma) projektu iesniegumu atklāt</w:t>
            </w:r>
            <w:r w:rsidR="0022409B" w:rsidRPr="000C044C">
              <w:rPr>
                <w:rFonts w:ascii="Times New Roman" w:hAnsi="Times New Roman" w:cs="Times New Roman"/>
                <w:sz w:val="24"/>
                <w:szCs w:val="24"/>
              </w:rPr>
              <w:t>ā</w:t>
            </w:r>
            <w:r w:rsidRPr="000C044C">
              <w:rPr>
                <w:rFonts w:ascii="Times New Roman" w:hAnsi="Times New Roman" w:cs="Times New Roman"/>
                <w:sz w:val="24"/>
                <w:szCs w:val="24"/>
              </w:rPr>
              <w:t xml:space="preserve"> konkursa </w:t>
            </w:r>
            <w:r w:rsidR="007A1EBC" w:rsidRPr="000C044C">
              <w:rPr>
                <w:rFonts w:ascii="Times New Roman" w:hAnsi="Times New Roman" w:cs="Times New Roman"/>
                <w:sz w:val="24"/>
                <w:szCs w:val="24"/>
              </w:rPr>
              <w:t>“</w:t>
            </w:r>
            <w:r w:rsidRPr="000C044C">
              <w:rPr>
                <w:rFonts w:ascii="Times New Roman" w:hAnsi="Times New Roman" w:cs="Times New Roman"/>
                <w:sz w:val="24"/>
                <w:szCs w:val="24"/>
              </w:rPr>
              <w:t>Atbalsts profesionālās mākslas un kultūras produktu radīšanai bērnu un jauniešu auditorijai” (turpmāk – atklātais konkurss) īstenošanas</w:t>
            </w:r>
            <w:r w:rsidR="00F05E2E" w:rsidRPr="000C044C">
              <w:rPr>
                <w:rFonts w:ascii="Times New Roman" w:hAnsi="Times New Roman" w:cs="Times New Roman"/>
                <w:sz w:val="24"/>
                <w:szCs w:val="24"/>
              </w:rPr>
              <w:t xml:space="preserve"> noteikumus</w:t>
            </w:r>
            <w:r w:rsidRPr="000C044C">
              <w:rPr>
                <w:rFonts w:ascii="Times New Roman" w:hAnsi="Times New Roman" w:cs="Times New Roman"/>
                <w:sz w:val="24"/>
                <w:szCs w:val="24"/>
              </w:rPr>
              <w:t xml:space="preserve">. </w:t>
            </w:r>
          </w:p>
          <w:p w14:paraId="090C639E" w14:textId="20E6510A" w:rsidR="0001319C" w:rsidRPr="000C044C" w:rsidRDefault="0001319C" w:rsidP="00731493">
            <w:pPr>
              <w:jc w:val="both"/>
              <w:rPr>
                <w:rFonts w:ascii="Times New Roman" w:hAnsi="Times New Roman" w:cs="Times New Roman"/>
                <w:sz w:val="24"/>
                <w:szCs w:val="24"/>
              </w:rPr>
            </w:pPr>
            <w:r w:rsidRPr="000C044C">
              <w:rPr>
                <w:rFonts w:ascii="Times New Roman" w:hAnsi="Times New Roman" w:cs="Times New Roman"/>
                <w:sz w:val="24"/>
                <w:szCs w:val="24"/>
              </w:rPr>
              <w:t>Ministru kabineta noteikumi stāsies spēkā nākamajā dienā pēc to izsludināšanas</w:t>
            </w:r>
            <w:r w:rsidRPr="000C044C">
              <w:rPr>
                <w:sz w:val="24"/>
                <w:szCs w:val="24"/>
              </w:rPr>
              <w:t xml:space="preserve"> </w:t>
            </w:r>
            <w:r w:rsidRPr="000C044C">
              <w:rPr>
                <w:rFonts w:ascii="Times New Roman" w:hAnsi="Times New Roman" w:cs="Times New Roman"/>
                <w:sz w:val="24"/>
                <w:szCs w:val="24"/>
              </w:rPr>
              <w:t xml:space="preserve">oficiālajā izdevumā </w:t>
            </w:r>
            <w:r w:rsidR="007A1EBC" w:rsidRPr="000C044C">
              <w:rPr>
                <w:rFonts w:ascii="Times New Roman" w:hAnsi="Times New Roman" w:cs="Times New Roman"/>
                <w:sz w:val="24"/>
                <w:szCs w:val="24"/>
              </w:rPr>
              <w:t>“</w:t>
            </w:r>
            <w:r w:rsidRPr="000C044C">
              <w:rPr>
                <w:rFonts w:ascii="Times New Roman" w:hAnsi="Times New Roman" w:cs="Times New Roman"/>
                <w:sz w:val="24"/>
                <w:szCs w:val="24"/>
              </w:rPr>
              <w:t>Latvijas Vēstnesis”.</w:t>
            </w:r>
          </w:p>
        </w:tc>
      </w:tr>
    </w:tbl>
    <w:p w14:paraId="3590A3A6" w14:textId="77777777" w:rsidR="0001319C" w:rsidRPr="000C044C" w:rsidRDefault="0001319C" w:rsidP="00731493">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09" w:type="pct"/>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93"/>
        <w:gridCol w:w="2672"/>
        <w:gridCol w:w="6275"/>
      </w:tblGrid>
      <w:tr w:rsidR="00152C21" w:rsidRPr="000C044C" w14:paraId="04D6EF4A" w14:textId="77777777" w:rsidTr="00FB46EB">
        <w:trPr>
          <w:trHeight w:val="324"/>
          <w:tblCellSpacing w:w="20" w:type="dxa"/>
        </w:trPr>
        <w:tc>
          <w:tcPr>
            <w:tcW w:w="4956" w:type="pct"/>
            <w:gridSpan w:val="3"/>
            <w:hideMark/>
          </w:tcPr>
          <w:p w14:paraId="08E2EE26" w14:textId="77777777" w:rsidR="00894C55" w:rsidRPr="000C044C" w:rsidRDefault="00B32BBE" w:rsidP="00731493">
            <w:pPr>
              <w:jc w:val="center"/>
              <w:rPr>
                <w:rFonts w:ascii="Times New Roman" w:eastAsia="Times New Roman" w:hAnsi="Times New Roman" w:cs="Times New Roman"/>
                <w:b/>
                <w:bCs/>
                <w:sz w:val="24"/>
                <w:szCs w:val="24"/>
                <w:lang w:eastAsia="lv-LV"/>
              </w:rPr>
            </w:pPr>
            <w:r w:rsidRPr="000C044C">
              <w:rPr>
                <w:rFonts w:ascii="Times New Roman" w:eastAsia="Times New Roman" w:hAnsi="Times New Roman" w:cs="Times New Roman"/>
                <w:b/>
                <w:bCs/>
                <w:sz w:val="24"/>
                <w:szCs w:val="24"/>
                <w:lang w:eastAsia="lv-LV"/>
              </w:rPr>
              <w:t>I.</w:t>
            </w:r>
            <w:r w:rsidR="0050178F" w:rsidRPr="000C044C">
              <w:rPr>
                <w:rFonts w:ascii="Times New Roman" w:eastAsia="Times New Roman" w:hAnsi="Times New Roman" w:cs="Times New Roman"/>
                <w:b/>
                <w:bCs/>
                <w:sz w:val="24"/>
                <w:szCs w:val="24"/>
                <w:lang w:eastAsia="lv-LV"/>
              </w:rPr>
              <w:t> </w:t>
            </w:r>
            <w:r w:rsidRPr="000C044C">
              <w:rPr>
                <w:rFonts w:ascii="Times New Roman" w:eastAsia="Times New Roman" w:hAnsi="Times New Roman" w:cs="Times New Roman"/>
                <w:b/>
                <w:bCs/>
                <w:sz w:val="24"/>
                <w:szCs w:val="24"/>
                <w:lang w:eastAsia="lv-LV"/>
              </w:rPr>
              <w:t>Tiesību akta projekta izstrādes nepieciešamība</w:t>
            </w:r>
          </w:p>
        </w:tc>
      </w:tr>
      <w:tr w:rsidR="00B6303F" w:rsidRPr="000C044C" w14:paraId="3CB7EC00" w14:textId="77777777" w:rsidTr="00FB46EB">
        <w:trPr>
          <w:trHeight w:val="324"/>
          <w:tblCellSpacing w:w="20" w:type="dxa"/>
        </w:trPr>
        <w:tc>
          <w:tcPr>
            <w:tcW w:w="331" w:type="pct"/>
            <w:hideMark/>
          </w:tcPr>
          <w:p w14:paraId="44A6A84C" w14:textId="77777777" w:rsidR="00894C55" w:rsidRPr="000C044C" w:rsidRDefault="00B32BBE" w:rsidP="00731493">
            <w:pPr>
              <w:jc w:val="center"/>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1.</w:t>
            </w:r>
          </w:p>
        </w:tc>
        <w:tc>
          <w:tcPr>
            <w:tcW w:w="1376" w:type="pct"/>
            <w:hideMark/>
          </w:tcPr>
          <w:p w14:paraId="48935136" w14:textId="77777777" w:rsidR="00894C55" w:rsidRPr="000C044C" w:rsidRDefault="00B32BBE" w:rsidP="00731493">
            <w:pPr>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Pamatojums</w:t>
            </w:r>
          </w:p>
        </w:tc>
        <w:tc>
          <w:tcPr>
            <w:tcW w:w="3205" w:type="pct"/>
            <w:hideMark/>
          </w:tcPr>
          <w:p w14:paraId="569F6A25" w14:textId="4A95CBD2" w:rsidR="00432655" w:rsidRPr="000C044C" w:rsidRDefault="00DF5713" w:rsidP="00731493">
            <w:pPr>
              <w:jc w:val="both"/>
              <w:rPr>
                <w:rFonts w:ascii="Times New Roman" w:eastAsia="Times New Roman" w:hAnsi="Times New Roman" w:cs="Times New Roman"/>
                <w:sz w:val="24"/>
                <w:szCs w:val="24"/>
                <w:lang w:eastAsia="lv-LV"/>
              </w:rPr>
            </w:pPr>
            <w:r w:rsidRPr="000C044C">
              <w:rPr>
                <w:rFonts w:ascii="Times New Roman" w:hAnsi="Times New Roman" w:cs="Times New Roman"/>
                <w:sz w:val="24"/>
                <w:szCs w:val="24"/>
              </w:rPr>
              <w:t>Eiropas Ekonomikas zonas finanšu instrumenta un Norvēģijas finanšu instrumenta 2014.</w:t>
            </w:r>
            <w:r w:rsidR="0001319C" w:rsidRPr="000C044C">
              <w:rPr>
                <w:rFonts w:ascii="Times New Roman" w:hAnsi="Times New Roman" w:cs="Times New Roman"/>
                <w:sz w:val="24"/>
                <w:szCs w:val="24"/>
              </w:rPr>
              <w:t> </w:t>
            </w:r>
            <w:r w:rsidRPr="000C044C">
              <w:rPr>
                <w:rFonts w:ascii="Times New Roman" w:hAnsi="Times New Roman" w:cs="Times New Roman"/>
                <w:sz w:val="24"/>
                <w:szCs w:val="24"/>
              </w:rPr>
              <w:t>–</w:t>
            </w:r>
            <w:r w:rsidR="0001319C" w:rsidRPr="000C044C">
              <w:rPr>
                <w:rFonts w:ascii="Times New Roman" w:hAnsi="Times New Roman" w:cs="Times New Roman"/>
                <w:sz w:val="24"/>
                <w:szCs w:val="24"/>
              </w:rPr>
              <w:t> </w:t>
            </w:r>
            <w:r w:rsidRPr="000C044C">
              <w:rPr>
                <w:rFonts w:ascii="Times New Roman" w:hAnsi="Times New Roman" w:cs="Times New Roman"/>
                <w:sz w:val="24"/>
                <w:szCs w:val="24"/>
              </w:rPr>
              <w:t xml:space="preserve">2021.gada perioda vadības likuma 15.panta </w:t>
            </w:r>
            <w:r w:rsidR="001C3F99" w:rsidRPr="000C044C">
              <w:rPr>
                <w:rFonts w:ascii="Times New Roman" w:hAnsi="Times New Roman" w:cs="Times New Roman"/>
                <w:sz w:val="24"/>
                <w:szCs w:val="24"/>
              </w:rPr>
              <w:t>2.punkts</w:t>
            </w:r>
            <w:r w:rsidR="00ED1E21" w:rsidRPr="000C044C">
              <w:rPr>
                <w:rFonts w:ascii="Times New Roman" w:hAnsi="Times New Roman" w:cs="Times New Roman"/>
                <w:sz w:val="24"/>
                <w:szCs w:val="24"/>
              </w:rPr>
              <w:t xml:space="preserve"> un </w:t>
            </w:r>
            <w:r w:rsidR="001C3F99" w:rsidRPr="000C044C">
              <w:rPr>
                <w:rFonts w:ascii="Times New Roman" w:hAnsi="Times New Roman" w:cs="Times New Roman"/>
                <w:sz w:val="24"/>
                <w:szCs w:val="24"/>
              </w:rPr>
              <w:t>12.punkts.</w:t>
            </w:r>
          </w:p>
        </w:tc>
      </w:tr>
      <w:tr w:rsidR="00B6303F" w:rsidRPr="000C044C" w14:paraId="524F147E" w14:textId="77777777" w:rsidTr="000C044C">
        <w:trPr>
          <w:trHeight w:val="372"/>
          <w:tblCellSpacing w:w="20" w:type="dxa"/>
        </w:trPr>
        <w:tc>
          <w:tcPr>
            <w:tcW w:w="331" w:type="pct"/>
            <w:hideMark/>
          </w:tcPr>
          <w:p w14:paraId="76E59EAD" w14:textId="77777777" w:rsidR="00894C55" w:rsidRPr="000C044C" w:rsidRDefault="00B32BBE" w:rsidP="00731493">
            <w:pPr>
              <w:jc w:val="center"/>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2.</w:t>
            </w:r>
          </w:p>
        </w:tc>
        <w:tc>
          <w:tcPr>
            <w:tcW w:w="1376" w:type="pct"/>
            <w:hideMark/>
          </w:tcPr>
          <w:p w14:paraId="0283DC45" w14:textId="5940D7EE" w:rsidR="00BA4EF1" w:rsidRPr="000C044C" w:rsidRDefault="00B32BBE" w:rsidP="00731493">
            <w:pPr>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5" w:type="pct"/>
            <w:shd w:val="clear" w:color="auto" w:fill="auto"/>
            <w:hideMark/>
          </w:tcPr>
          <w:p w14:paraId="5543606B" w14:textId="4154DC4E" w:rsidR="0001319C" w:rsidRPr="000C044C" w:rsidRDefault="0032237F" w:rsidP="00731493">
            <w:pPr>
              <w:jc w:val="both"/>
              <w:rPr>
                <w:rFonts w:ascii="Times New Roman" w:hAnsi="Times New Roman" w:cs="Times New Roman"/>
                <w:sz w:val="24"/>
                <w:szCs w:val="24"/>
                <w:shd w:val="clear" w:color="auto" w:fill="FFFFFF"/>
              </w:rPr>
            </w:pPr>
            <w:r w:rsidRPr="000C044C">
              <w:rPr>
                <w:rFonts w:ascii="Times New Roman" w:hAnsi="Times New Roman" w:cs="Times New Roman"/>
                <w:sz w:val="24"/>
                <w:szCs w:val="24"/>
                <w:shd w:val="clear" w:color="auto" w:fill="FFFFFF"/>
              </w:rPr>
              <w:t xml:space="preserve">2020.gada </w:t>
            </w:r>
            <w:r w:rsidR="00190386" w:rsidRPr="000C044C">
              <w:rPr>
                <w:rFonts w:ascii="Times New Roman" w:hAnsi="Times New Roman" w:cs="Times New Roman"/>
                <w:sz w:val="24"/>
                <w:szCs w:val="24"/>
                <w:shd w:val="clear" w:color="auto" w:fill="FFFFFF"/>
              </w:rPr>
              <w:t xml:space="preserve">21.maijā </w:t>
            </w:r>
            <w:r w:rsidRPr="000C044C">
              <w:rPr>
                <w:rFonts w:ascii="Times New Roman" w:hAnsi="Times New Roman" w:cs="Times New Roman"/>
                <w:sz w:val="24"/>
                <w:szCs w:val="24"/>
                <w:shd w:val="clear" w:color="auto" w:fill="FFFFFF"/>
              </w:rPr>
              <w:t>starp Finanšu ministriju un Finanšu instrumentu komiteju tika parakstīts līgums par programmas finansēšanu</w:t>
            </w:r>
            <w:r w:rsidR="00C5734C">
              <w:rPr>
                <w:rFonts w:ascii="Times New Roman" w:hAnsi="Times New Roman" w:cs="Times New Roman"/>
                <w:sz w:val="24"/>
                <w:szCs w:val="24"/>
                <w:shd w:val="clear" w:color="auto" w:fill="FFFFFF"/>
              </w:rPr>
              <w:t xml:space="preserve"> (turpmāk – Programmas līgums)</w:t>
            </w:r>
            <w:r w:rsidRPr="000C044C">
              <w:rPr>
                <w:rFonts w:ascii="Times New Roman" w:hAnsi="Times New Roman" w:cs="Times New Roman"/>
                <w:sz w:val="24"/>
                <w:szCs w:val="24"/>
                <w:shd w:val="clear" w:color="auto" w:fill="FFFFFF"/>
              </w:rPr>
              <w:t>.</w:t>
            </w:r>
          </w:p>
          <w:p w14:paraId="69197FE6" w14:textId="5E300A32" w:rsidR="000C044C" w:rsidRDefault="00362506" w:rsidP="00731493">
            <w:pPr>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 xml:space="preserve">Saskaņā ar </w:t>
            </w:r>
            <w:r w:rsidR="007D3BAE" w:rsidRPr="000C044C">
              <w:rPr>
                <w:rFonts w:ascii="Times New Roman" w:eastAsia="Times New Roman" w:hAnsi="Times New Roman" w:cs="Times New Roman"/>
                <w:sz w:val="24"/>
                <w:szCs w:val="24"/>
                <w:lang w:eastAsia="lv-LV"/>
              </w:rPr>
              <w:t xml:space="preserve">Latvijas Republikas un Īslandes, Lihtenšteinas Firstistes un Norvēģijas Karalistes </w:t>
            </w:r>
            <w:r w:rsidRPr="000C044C">
              <w:rPr>
                <w:rFonts w:ascii="Times New Roman" w:eastAsia="Times New Roman" w:hAnsi="Times New Roman" w:cs="Times New Roman"/>
                <w:sz w:val="24"/>
                <w:szCs w:val="24"/>
                <w:lang w:eastAsia="lv-LV"/>
              </w:rPr>
              <w:t>saprašanās memorandu</w:t>
            </w:r>
            <w:r w:rsidR="008C1F43" w:rsidRPr="000C044C">
              <w:rPr>
                <w:rFonts w:ascii="Times New Roman" w:eastAsia="Times New Roman" w:hAnsi="Times New Roman" w:cs="Times New Roman"/>
                <w:sz w:val="24"/>
                <w:szCs w:val="24"/>
                <w:lang w:eastAsia="lv-LV"/>
              </w:rPr>
              <w:t xml:space="preserve"> par </w:t>
            </w:r>
            <w:r w:rsidR="00F62753" w:rsidRPr="000C044C">
              <w:rPr>
                <w:rFonts w:ascii="Times New Roman" w:eastAsia="Times New Roman" w:hAnsi="Times New Roman" w:cs="Times New Roman"/>
                <w:sz w:val="24"/>
                <w:szCs w:val="24"/>
                <w:lang w:eastAsia="lv-LV"/>
              </w:rPr>
              <w:t>Eiropas Ekonomikas zonas</w:t>
            </w:r>
            <w:r w:rsidR="008C1F43" w:rsidRPr="000C044C">
              <w:rPr>
                <w:rFonts w:ascii="Times New Roman" w:eastAsia="Times New Roman" w:hAnsi="Times New Roman" w:cs="Times New Roman"/>
                <w:sz w:val="24"/>
                <w:szCs w:val="24"/>
                <w:lang w:eastAsia="lv-LV"/>
              </w:rPr>
              <w:t xml:space="preserve"> finanšu instrumenta ieviešanu 2014.</w:t>
            </w:r>
            <w:r w:rsidR="0001319C" w:rsidRPr="000C044C">
              <w:rPr>
                <w:sz w:val="24"/>
                <w:szCs w:val="24"/>
              </w:rPr>
              <w:t> </w:t>
            </w:r>
            <w:r w:rsidR="0001319C" w:rsidRPr="000C044C">
              <w:rPr>
                <w:rFonts w:ascii="Times New Roman" w:eastAsia="Times New Roman" w:hAnsi="Times New Roman" w:cs="Times New Roman"/>
                <w:sz w:val="24"/>
                <w:szCs w:val="24"/>
                <w:lang w:eastAsia="lv-LV"/>
              </w:rPr>
              <w:t>– </w:t>
            </w:r>
            <w:r w:rsidR="008C1F43" w:rsidRPr="000C044C">
              <w:rPr>
                <w:rFonts w:ascii="Times New Roman" w:eastAsia="Times New Roman" w:hAnsi="Times New Roman" w:cs="Times New Roman"/>
                <w:sz w:val="24"/>
                <w:szCs w:val="24"/>
                <w:lang w:eastAsia="lv-LV"/>
              </w:rPr>
              <w:t>2021.gadā</w:t>
            </w:r>
            <w:r w:rsidR="006E23E3" w:rsidRPr="000C044C">
              <w:rPr>
                <w:rFonts w:ascii="Times New Roman" w:eastAsia="Times New Roman" w:hAnsi="Times New Roman" w:cs="Times New Roman"/>
                <w:sz w:val="24"/>
                <w:szCs w:val="24"/>
                <w:lang w:eastAsia="lv-LV"/>
              </w:rPr>
              <w:t xml:space="preserve"> (apstiprināts ar Ministru kabineta 2017.gada 5.decembra noteikum</w:t>
            </w:r>
            <w:r w:rsidR="00A11487" w:rsidRPr="000C044C">
              <w:rPr>
                <w:rFonts w:ascii="Times New Roman" w:eastAsia="Times New Roman" w:hAnsi="Times New Roman" w:cs="Times New Roman"/>
                <w:sz w:val="24"/>
                <w:szCs w:val="24"/>
                <w:lang w:eastAsia="lv-LV"/>
              </w:rPr>
              <w:t>iem Nr.712</w:t>
            </w:r>
            <w:r w:rsidR="006E23E3" w:rsidRPr="000C044C">
              <w:rPr>
                <w:rFonts w:ascii="Times New Roman" w:eastAsia="Times New Roman" w:hAnsi="Times New Roman" w:cs="Times New Roman"/>
                <w:sz w:val="24"/>
                <w:szCs w:val="24"/>
                <w:lang w:eastAsia="lv-LV"/>
              </w:rPr>
              <w:t xml:space="preserve"> </w:t>
            </w:r>
            <w:r w:rsidR="00C5734C">
              <w:rPr>
                <w:rFonts w:ascii="Times New Roman" w:hAnsi="Times New Roman" w:cs="Times New Roman"/>
                <w:sz w:val="24"/>
                <w:szCs w:val="24"/>
              </w:rPr>
              <w:t>“</w:t>
            </w:r>
            <w:r w:rsidR="006E23E3" w:rsidRPr="000C044C">
              <w:rPr>
                <w:rFonts w:ascii="Times New Roman" w:eastAsia="Times New Roman" w:hAnsi="Times New Roman" w:cs="Times New Roman"/>
                <w:sz w:val="24"/>
                <w:szCs w:val="24"/>
                <w:lang w:eastAsia="lv-LV"/>
              </w:rPr>
              <w:t xml:space="preserve">Par Latvijas Republikas un </w:t>
            </w:r>
            <w:r w:rsidR="00822383" w:rsidRPr="000C044C">
              <w:rPr>
                <w:rFonts w:ascii="Times New Roman" w:eastAsia="Times New Roman" w:hAnsi="Times New Roman" w:cs="Times New Roman"/>
                <w:sz w:val="24"/>
                <w:szCs w:val="24"/>
                <w:lang w:eastAsia="lv-LV"/>
              </w:rPr>
              <w:t xml:space="preserve">Islandes, </w:t>
            </w:r>
            <w:r w:rsidR="0001319C" w:rsidRPr="000C044C">
              <w:rPr>
                <w:rFonts w:ascii="Times New Roman" w:eastAsia="Times New Roman" w:hAnsi="Times New Roman" w:cs="Times New Roman"/>
                <w:sz w:val="24"/>
                <w:szCs w:val="24"/>
                <w:lang w:eastAsia="lv-LV"/>
              </w:rPr>
              <w:t>Lihtenšteinas Firstistes</w:t>
            </w:r>
            <w:r w:rsidR="00822383" w:rsidRPr="000C044C">
              <w:rPr>
                <w:rFonts w:ascii="Times New Roman" w:eastAsia="Times New Roman" w:hAnsi="Times New Roman" w:cs="Times New Roman"/>
                <w:sz w:val="24"/>
                <w:szCs w:val="24"/>
                <w:lang w:eastAsia="lv-LV"/>
              </w:rPr>
              <w:t xml:space="preserve"> un Norvēģijas </w:t>
            </w:r>
            <w:r w:rsidR="0001319C" w:rsidRPr="000C044C">
              <w:rPr>
                <w:rFonts w:ascii="Times New Roman" w:eastAsia="Times New Roman" w:hAnsi="Times New Roman" w:cs="Times New Roman"/>
                <w:sz w:val="24"/>
                <w:szCs w:val="24"/>
                <w:lang w:eastAsia="lv-LV"/>
              </w:rPr>
              <w:t>K</w:t>
            </w:r>
            <w:r w:rsidR="00822383" w:rsidRPr="000C044C">
              <w:rPr>
                <w:rFonts w:ascii="Times New Roman" w:eastAsia="Times New Roman" w:hAnsi="Times New Roman" w:cs="Times New Roman"/>
                <w:sz w:val="24"/>
                <w:szCs w:val="24"/>
                <w:lang w:eastAsia="lv-LV"/>
              </w:rPr>
              <w:t>aralistes</w:t>
            </w:r>
            <w:r w:rsidR="006E23E3" w:rsidRPr="000C044C">
              <w:rPr>
                <w:rFonts w:ascii="Times New Roman" w:eastAsia="Times New Roman" w:hAnsi="Times New Roman" w:cs="Times New Roman"/>
                <w:sz w:val="24"/>
                <w:szCs w:val="24"/>
                <w:lang w:eastAsia="lv-LV"/>
              </w:rPr>
              <w:t xml:space="preserve"> saprašanās memorandu par </w:t>
            </w:r>
            <w:r w:rsidR="0032237F" w:rsidRPr="000C044C">
              <w:rPr>
                <w:rFonts w:ascii="Times New Roman" w:eastAsia="Times New Roman" w:hAnsi="Times New Roman" w:cs="Times New Roman"/>
                <w:sz w:val="24"/>
                <w:szCs w:val="24"/>
                <w:lang w:eastAsia="lv-LV"/>
              </w:rPr>
              <w:t>Eiropas Ekonomikas zonas</w:t>
            </w:r>
            <w:r w:rsidR="006E23E3" w:rsidRPr="000C044C">
              <w:rPr>
                <w:rFonts w:ascii="Times New Roman" w:eastAsia="Times New Roman" w:hAnsi="Times New Roman" w:cs="Times New Roman"/>
                <w:sz w:val="24"/>
                <w:szCs w:val="24"/>
                <w:lang w:eastAsia="lv-LV"/>
              </w:rPr>
              <w:t xml:space="preserve"> finanšu instrumenta ieviešanu 2014.</w:t>
            </w:r>
            <w:r w:rsidR="0001319C" w:rsidRPr="000C044C">
              <w:rPr>
                <w:rFonts w:ascii="Times New Roman" w:eastAsia="Times New Roman" w:hAnsi="Times New Roman" w:cs="Times New Roman"/>
                <w:sz w:val="24"/>
                <w:szCs w:val="24"/>
                <w:lang w:eastAsia="lv-LV"/>
              </w:rPr>
              <w:t xml:space="preserve"> – </w:t>
            </w:r>
            <w:r w:rsidR="006E23E3" w:rsidRPr="000C044C">
              <w:rPr>
                <w:rFonts w:ascii="Times New Roman" w:eastAsia="Times New Roman" w:hAnsi="Times New Roman" w:cs="Times New Roman"/>
                <w:sz w:val="24"/>
                <w:szCs w:val="24"/>
                <w:lang w:eastAsia="lv-LV"/>
              </w:rPr>
              <w:t>2021.gadā”)</w:t>
            </w:r>
            <w:r w:rsidR="00975314" w:rsidRPr="000C044C">
              <w:rPr>
                <w:rFonts w:ascii="Times New Roman" w:eastAsia="Times New Roman" w:hAnsi="Times New Roman" w:cs="Times New Roman"/>
                <w:sz w:val="24"/>
                <w:szCs w:val="24"/>
                <w:lang w:eastAsia="lv-LV"/>
              </w:rPr>
              <w:t xml:space="preserve"> (turpmāk – </w:t>
            </w:r>
            <w:r w:rsidR="007D3BAE" w:rsidRPr="000C044C">
              <w:rPr>
                <w:rFonts w:ascii="Times New Roman" w:eastAsia="Times New Roman" w:hAnsi="Times New Roman" w:cs="Times New Roman"/>
                <w:sz w:val="24"/>
                <w:szCs w:val="24"/>
                <w:lang w:eastAsia="lv-LV"/>
              </w:rPr>
              <w:t xml:space="preserve">saprašanās </w:t>
            </w:r>
            <w:r w:rsidR="00975314" w:rsidRPr="000C044C">
              <w:rPr>
                <w:rFonts w:ascii="Times New Roman" w:eastAsia="Times New Roman" w:hAnsi="Times New Roman" w:cs="Times New Roman"/>
                <w:sz w:val="24"/>
                <w:szCs w:val="24"/>
                <w:lang w:eastAsia="lv-LV"/>
              </w:rPr>
              <w:t>memorands)</w:t>
            </w:r>
            <w:r w:rsidRPr="000C044C">
              <w:rPr>
                <w:rFonts w:ascii="Times New Roman" w:eastAsia="Times New Roman" w:hAnsi="Times New Roman" w:cs="Times New Roman"/>
                <w:sz w:val="24"/>
                <w:szCs w:val="24"/>
                <w:lang w:eastAsia="lv-LV"/>
              </w:rPr>
              <w:t xml:space="preserve">, </w:t>
            </w:r>
            <w:r w:rsidR="0032237F" w:rsidRPr="000C044C">
              <w:rPr>
                <w:rFonts w:ascii="Times New Roman" w:eastAsia="Times New Roman" w:hAnsi="Times New Roman" w:cs="Times New Roman"/>
                <w:sz w:val="24"/>
                <w:szCs w:val="24"/>
                <w:lang w:eastAsia="lv-LV"/>
              </w:rPr>
              <w:t>programmai noteiktas trīs</w:t>
            </w:r>
            <w:r w:rsidR="00A953B8" w:rsidRPr="000C044C">
              <w:rPr>
                <w:rFonts w:ascii="Times New Roman" w:eastAsia="Times New Roman" w:hAnsi="Times New Roman" w:cs="Times New Roman"/>
                <w:sz w:val="24"/>
                <w:szCs w:val="24"/>
                <w:lang w:eastAsia="lv-LV"/>
              </w:rPr>
              <w:t xml:space="preserve"> atbalsta</w:t>
            </w:r>
            <w:r w:rsidR="0032237F" w:rsidRPr="000C044C">
              <w:rPr>
                <w:rFonts w:ascii="Times New Roman" w:eastAsia="Times New Roman" w:hAnsi="Times New Roman" w:cs="Times New Roman"/>
                <w:sz w:val="24"/>
                <w:szCs w:val="24"/>
                <w:lang w:eastAsia="lv-LV"/>
              </w:rPr>
              <w:t xml:space="preserve"> jomas:</w:t>
            </w:r>
          </w:p>
          <w:p w14:paraId="4A4B2EF7" w14:textId="77777777" w:rsidR="000C044C" w:rsidRDefault="000C044C" w:rsidP="00731493">
            <w:pPr>
              <w:pStyle w:val="ListParagraph"/>
              <w:numPr>
                <w:ilvl w:val="0"/>
                <w:numId w:val="11"/>
              </w:numPr>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32237F" w:rsidRPr="000C044C">
              <w:rPr>
                <w:rFonts w:ascii="Times New Roman" w:eastAsia="Times New Roman" w:hAnsi="Times New Roman" w:cs="Times New Roman"/>
                <w:sz w:val="24"/>
                <w:szCs w:val="24"/>
                <w:lang w:eastAsia="lv-LV"/>
              </w:rPr>
              <w:t>ietējā attīstība un nabadzības mazināšana;</w:t>
            </w:r>
          </w:p>
          <w:p w14:paraId="2989D47F" w14:textId="77777777" w:rsidR="000C044C" w:rsidRDefault="000C044C" w:rsidP="00731493">
            <w:pPr>
              <w:pStyle w:val="ListParagraph"/>
              <w:numPr>
                <w:ilvl w:val="0"/>
                <w:numId w:val="11"/>
              </w:numPr>
              <w:contextualSpacing w:val="0"/>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lastRenderedPageBreak/>
              <w:t xml:space="preserve">laba </w:t>
            </w:r>
            <w:r w:rsidR="0032237F" w:rsidRPr="000C044C">
              <w:rPr>
                <w:rFonts w:ascii="Times New Roman" w:eastAsia="Times New Roman" w:hAnsi="Times New Roman" w:cs="Times New Roman"/>
                <w:sz w:val="24"/>
                <w:szCs w:val="24"/>
                <w:lang w:eastAsia="lv-LV"/>
              </w:rPr>
              <w:t>pārvaldība, atbildīgas institūcijas, caurspīdīgums;</w:t>
            </w:r>
          </w:p>
          <w:p w14:paraId="11CC1695" w14:textId="0713B9C0" w:rsidR="0032237F" w:rsidRPr="000C044C" w:rsidRDefault="000C044C" w:rsidP="00731493">
            <w:pPr>
              <w:pStyle w:val="ListParagraph"/>
              <w:numPr>
                <w:ilvl w:val="0"/>
                <w:numId w:val="11"/>
              </w:numPr>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32237F" w:rsidRPr="000C044C">
              <w:rPr>
                <w:rFonts w:ascii="Times New Roman" w:eastAsia="Times New Roman" w:hAnsi="Times New Roman" w:cs="Times New Roman"/>
                <w:sz w:val="24"/>
                <w:szCs w:val="24"/>
                <w:lang w:eastAsia="lv-LV"/>
              </w:rPr>
              <w:t>ultūras uzņēmējdarbība, kultūras mantojums un kultūras sadarbība.</w:t>
            </w:r>
          </w:p>
          <w:p w14:paraId="4FDFE745" w14:textId="392DA019" w:rsidR="002F320A" w:rsidRDefault="004243FB" w:rsidP="00731493">
            <w:pPr>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 xml:space="preserve">Saskaņā ar </w:t>
            </w:r>
            <w:r w:rsidR="00190BD7" w:rsidRPr="000C044C">
              <w:rPr>
                <w:rFonts w:ascii="Times New Roman" w:eastAsia="Times New Roman" w:hAnsi="Times New Roman" w:cs="Times New Roman"/>
                <w:sz w:val="24"/>
                <w:szCs w:val="24"/>
                <w:lang w:eastAsia="lv-LV"/>
              </w:rPr>
              <w:t>s</w:t>
            </w:r>
            <w:r w:rsidRPr="000C044C">
              <w:rPr>
                <w:rFonts w:ascii="Times New Roman" w:eastAsia="Times New Roman" w:hAnsi="Times New Roman" w:cs="Times New Roman"/>
                <w:sz w:val="24"/>
                <w:szCs w:val="24"/>
                <w:lang w:eastAsia="lv-LV"/>
              </w:rPr>
              <w:t>aprašanās memoranda B</w:t>
            </w:r>
            <w:r w:rsidR="007D3BAE" w:rsidRPr="000C044C">
              <w:rPr>
                <w:rFonts w:ascii="Times New Roman" w:eastAsia="Times New Roman" w:hAnsi="Times New Roman" w:cs="Times New Roman"/>
                <w:sz w:val="24"/>
                <w:szCs w:val="24"/>
                <w:lang w:eastAsia="lv-LV"/>
              </w:rPr>
              <w:t> </w:t>
            </w:r>
            <w:r w:rsidRPr="000C044C">
              <w:rPr>
                <w:rFonts w:ascii="Times New Roman" w:eastAsia="Times New Roman" w:hAnsi="Times New Roman" w:cs="Times New Roman"/>
                <w:sz w:val="24"/>
                <w:szCs w:val="24"/>
                <w:lang w:eastAsia="lv-LV"/>
              </w:rPr>
              <w:t>pielikumu</w:t>
            </w:r>
            <w:r w:rsidR="005F4D01" w:rsidRPr="000C044C">
              <w:rPr>
                <w:rFonts w:ascii="Times New Roman" w:eastAsia="Times New Roman" w:hAnsi="Times New Roman" w:cs="Times New Roman"/>
                <w:sz w:val="24"/>
                <w:szCs w:val="24"/>
                <w:lang w:eastAsia="lv-LV"/>
              </w:rPr>
              <w:t xml:space="preserve"> un Eiropas Ekonomikas zonas finanšu instrumenta un Norvēģijas finanšu instrumenta 2014. – 2021.gada perioda vadības likumu</w:t>
            </w:r>
            <w:r w:rsidR="00B4341B">
              <w:rPr>
                <w:rFonts w:ascii="Times New Roman" w:eastAsia="Times New Roman" w:hAnsi="Times New Roman" w:cs="Times New Roman"/>
                <w:sz w:val="24"/>
                <w:szCs w:val="24"/>
                <w:lang w:eastAsia="lv-LV"/>
              </w:rPr>
              <w:t xml:space="preserve"> </w:t>
            </w:r>
            <w:r w:rsidR="00B4341B">
              <w:rPr>
                <w:rFonts w:ascii="Times New Roman" w:hAnsi="Times New Roman" w:cs="Times New Roman"/>
                <w:sz w:val="24"/>
                <w:szCs w:val="24"/>
              </w:rPr>
              <w:t>(turpmāk – Vadības likums)</w:t>
            </w:r>
            <w:r w:rsidRPr="000C044C">
              <w:rPr>
                <w:rFonts w:ascii="Times New Roman" w:eastAsia="Times New Roman" w:hAnsi="Times New Roman" w:cs="Times New Roman"/>
                <w:sz w:val="24"/>
                <w:szCs w:val="24"/>
                <w:lang w:eastAsia="lv-LV"/>
              </w:rPr>
              <w:t xml:space="preserve"> </w:t>
            </w:r>
            <w:r w:rsidR="00CF15C2" w:rsidRPr="000C044C">
              <w:rPr>
                <w:rFonts w:ascii="Times New Roman" w:eastAsia="Times New Roman" w:hAnsi="Times New Roman" w:cs="Times New Roman"/>
                <w:sz w:val="24"/>
                <w:szCs w:val="24"/>
                <w:lang w:eastAsia="lv-LV"/>
              </w:rPr>
              <w:t>programmas apsaimniekotājs ir Vides aizsardzības un reģionālās attīstības ministrija (turpmāk –</w:t>
            </w:r>
            <w:r w:rsidR="005F4D01" w:rsidRPr="000C044C">
              <w:rPr>
                <w:rFonts w:ascii="Times New Roman" w:eastAsia="Times New Roman" w:hAnsi="Times New Roman" w:cs="Times New Roman"/>
                <w:sz w:val="24"/>
                <w:szCs w:val="24"/>
                <w:lang w:eastAsia="lv-LV"/>
              </w:rPr>
              <w:t xml:space="preserve"> programmas apsaimniekotājs</w:t>
            </w:r>
            <w:r w:rsidR="00703681">
              <w:rPr>
                <w:rFonts w:ascii="Times New Roman" w:eastAsia="Times New Roman" w:hAnsi="Times New Roman" w:cs="Times New Roman"/>
                <w:sz w:val="24"/>
                <w:szCs w:val="24"/>
                <w:lang w:eastAsia="lv-LV"/>
              </w:rPr>
              <w:t xml:space="preserve"> </w:t>
            </w:r>
            <w:r w:rsidR="003D4BF4">
              <w:rPr>
                <w:rFonts w:ascii="Times New Roman" w:eastAsia="Times New Roman" w:hAnsi="Times New Roman" w:cs="Times New Roman"/>
                <w:sz w:val="24"/>
                <w:szCs w:val="24"/>
                <w:lang w:eastAsia="lv-LV"/>
              </w:rPr>
              <w:t>vai</w:t>
            </w:r>
            <w:r w:rsidR="00703681">
              <w:rPr>
                <w:rFonts w:ascii="Times New Roman" w:eastAsia="Times New Roman" w:hAnsi="Times New Roman" w:cs="Times New Roman"/>
                <w:sz w:val="24"/>
                <w:szCs w:val="24"/>
                <w:lang w:eastAsia="lv-LV"/>
              </w:rPr>
              <w:t xml:space="preserve"> VARAM</w:t>
            </w:r>
            <w:r w:rsidR="005F4D01" w:rsidRPr="000C044C">
              <w:rPr>
                <w:rFonts w:ascii="Times New Roman" w:eastAsia="Times New Roman" w:hAnsi="Times New Roman" w:cs="Times New Roman"/>
                <w:sz w:val="24"/>
                <w:szCs w:val="24"/>
                <w:lang w:eastAsia="lv-LV"/>
              </w:rPr>
              <w:t>) un programmas partner</w:t>
            </w:r>
            <w:r w:rsidR="00C5169B" w:rsidRPr="000C044C">
              <w:rPr>
                <w:rFonts w:ascii="Times New Roman" w:eastAsia="Times New Roman" w:hAnsi="Times New Roman" w:cs="Times New Roman"/>
                <w:sz w:val="24"/>
                <w:szCs w:val="24"/>
                <w:lang w:eastAsia="lv-LV"/>
              </w:rPr>
              <w:t>a funkciju pildīs</w:t>
            </w:r>
            <w:r w:rsidR="005F4D01" w:rsidRPr="000C044C">
              <w:rPr>
                <w:rFonts w:ascii="Times New Roman" w:eastAsia="Times New Roman" w:hAnsi="Times New Roman" w:cs="Times New Roman"/>
                <w:sz w:val="24"/>
                <w:szCs w:val="24"/>
                <w:lang w:eastAsia="lv-LV"/>
              </w:rPr>
              <w:t xml:space="preserve"> </w:t>
            </w:r>
            <w:r w:rsidR="00CF15C2" w:rsidRPr="000C044C">
              <w:rPr>
                <w:rFonts w:ascii="Times New Roman" w:eastAsia="Times New Roman" w:hAnsi="Times New Roman" w:cs="Times New Roman"/>
                <w:sz w:val="24"/>
                <w:szCs w:val="24"/>
                <w:lang w:eastAsia="lv-LV"/>
              </w:rPr>
              <w:t>Kultūras ministrija.</w:t>
            </w:r>
          </w:p>
          <w:p w14:paraId="30020CE6" w14:textId="3F0CAC2E" w:rsidR="008A752D" w:rsidRDefault="0092031D" w:rsidP="00731493">
            <w:pPr>
              <w:jc w:val="both"/>
              <w:rPr>
                <w:rFonts w:ascii="Times New Roman" w:hAnsi="Times New Roman" w:cs="Times New Roman"/>
                <w:sz w:val="24"/>
                <w:szCs w:val="24"/>
              </w:rPr>
            </w:pPr>
            <w:r>
              <w:rPr>
                <w:rFonts w:ascii="Times New Roman" w:hAnsi="Times New Roman" w:cs="Times New Roman"/>
                <w:sz w:val="24"/>
                <w:szCs w:val="24"/>
              </w:rPr>
              <w:t>Tāpat</w:t>
            </w:r>
            <w:r w:rsidR="008A752D">
              <w:rPr>
                <w:rFonts w:ascii="Times New Roman" w:hAnsi="Times New Roman" w:cs="Times New Roman"/>
                <w:sz w:val="24"/>
                <w:szCs w:val="24"/>
              </w:rPr>
              <w:t xml:space="preserve"> </w:t>
            </w:r>
            <w:r w:rsidR="00B4341B">
              <w:rPr>
                <w:rFonts w:ascii="Times New Roman" w:hAnsi="Times New Roman" w:cs="Times New Roman"/>
                <w:sz w:val="24"/>
                <w:szCs w:val="24"/>
              </w:rPr>
              <w:t>V</w:t>
            </w:r>
            <w:r w:rsidR="008A752D">
              <w:rPr>
                <w:rFonts w:ascii="Times New Roman" w:hAnsi="Times New Roman" w:cs="Times New Roman"/>
                <w:sz w:val="24"/>
                <w:szCs w:val="24"/>
              </w:rPr>
              <w:t>adības likuma</w:t>
            </w:r>
            <w:r w:rsidR="00575A44">
              <w:rPr>
                <w:rFonts w:ascii="Times New Roman" w:hAnsi="Times New Roman" w:cs="Times New Roman"/>
                <w:sz w:val="24"/>
                <w:szCs w:val="24"/>
              </w:rPr>
              <w:t xml:space="preserve"> </w:t>
            </w:r>
            <w:r w:rsidR="008A752D">
              <w:rPr>
                <w:rFonts w:ascii="Times New Roman" w:hAnsi="Times New Roman" w:cs="Times New Roman"/>
                <w:sz w:val="24"/>
                <w:szCs w:val="24"/>
              </w:rPr>
              <w:t xml:space="preserve"> anotācijas I. sadaļas 2.punktā noteikts, ka programmas apsaimniekotājs </w:t>
            </w:r>
            <w:r w:rsidR="008A752D">
              <w:rPr>
                <w:rFonts w:ascii="Times New Roman" w:eastAsia="Times New Roman" w:hAnsi="Times New Roman" w:cs="Times New Roman"/>
                <w:sz w:val="24"/>
                <w:szCs w:val="24"/>
              </w:rPr>
              <w:t>nepieciešamos normatīvos aktus izstrādās sadarbībā ar Kultūras ministriju kā programmas partneri, tādējādi norādot Kultūras ministrijas lomu programmas īstenošanas ietvara plānošanā un normatīvā regulējuma izstrādē.</w:t>
            </w:r>
            <w:r w:rsidR="008A752D">
              <w:rPr>
                <w:rFonts w:ascii="Times New Roman" w:hAnsi="Times New Roman" w:cs="Times New Roman"/>
                <w:sz w:val="24"/>
                <w:szCs w:val="24"/>
              </w:rPr>
              <w:t xml:space="preserve"> Tāpat </w:t>
            </w:r>
            <w:r w:rsidR="00575A44">
              <w:rPr>
                <w:rFonts w:ascii="Times New Roman" w:hAnsi="Times New Roman" w:cs="Times New Roman"/>
                <w:sz w:val="24"/>
                <w:szCs w:val="24"/>
              </w:rPr>
              <w:t>V</w:t>
            </w:r>
            <w:r w:rsidR="008A752D">
              <w:rPr>
                <w:rFonts w:ascii="Times New Roman" w:hAnsi="Times New Roman" w:cs="Times New Roman"/>
                <w:sz w:val="24"/>
                <w:szCs w:val="24"/>
              </w:rPr>
              <w:t xml:space="preserve">adības likumā ietvertas atsauces uz saprašanās memorandiem, kur savukārt ir ietverta norāde, ka saņēmējvalstīm jāievēro donorvalstu noteikumi. Proti, saprašanās memoranda 2.pants nosaka, ka tas lasāms kopā un pakļauts šādu dokumentu nosacījumiem, kuri kopā ar šo  saprašanās memorandu veido </w:t>
            </w:r>
            <w:r w:rsidR="00B4341B" w:rsidRPr="000C044C">
              <w:rPr>
                <w:rFonts w:ascii="Times New Roman" w:eastAsia="Times New Roman" w:hAnsi="Times New Roman" w:cs="Times New Roman"/>
                <w:sz w:val="24"/>
                <w:szCs w:val="24"/>
                <w:lang w:eastAsia="lv-LV"/>
              </w:rPr>
              <w:t>Eiropas Ekonomikas zonas</w:t>
            </w:r>
            <w:r w:rsidR="008A752D">
              <w:rPr>
                <w:rFonts w:ascii="Times New Roman" w:hAnsi="Times New Roman" w:cs="Times New Roman"/>
                <w:sz w:val="24"/>
                <w:szCs w:val="24"/>
              </w:rPr>
              <w:t xml:space="preserve"> finanšu instrumenta 2014. – 2021. gadam tiesisko pamatu:</w:t>
            </w:r>
          </w:p>
          <w:p w14:paraId="59B59F02" w14:textId="0C072C37" w:rsidR="008A752D" w:rsidRDefault="008A752D" w:rsidP="00731493">
            <w:pPr>
              <w:jc w:val="both"/>
              <w:rPr>
                <w:rFonts w:ascii="Times New Roman" w:hAnsi="Times New Roman" w:cs="Times New Roman"/>
                <w:sz w:val="24"/>
                <w:szCs w:val="24"/>
              </w:rPr>
            </w:pPr>
            <w:r>
              <w:rPr>
                <w:rFonts w:ascii="Times New Roman" w:hAnsi="Times New Roman" w:cs="Times New Roman"/>
                <w:sz w:val="24"/>
                <w:szCs w:val="24"/>
              </w:rPr>
              <w:t xml:space="preserve">(a)  </w:t>
            </w:r>
            <w:r w:rsidR="00B4341B" w:rsidRPr="000C044C">
              <w:rPr>
                <w:rFonts w:ascii="Times New Roman" w:eastAsia="Times New Roman" w:hAnsi="Times New Roman" w:cs="Times New Roman"/>
                <w:sz w:val="24"/>
                <w:szCs w:val="24"/>
                <w:lang w:eastAsia="lv-LV"/>
              </w:rPr>
              <w:t>Eiropas Ekonomikas zonas</w:t>
            </w:r>
            <w:r>
              <w:rPr>
                <w:rFonts w:ascii="Times New Roman" w:hAnsi="Times New Roman" w:cs="Times New Roman"/>
                <w:sz w:val="24"/>
                <w:szCs w:val="24"/>
              </w:rPr>
              <w:t xml:space="preserve"> līguma par </w:t>
            </w:r>
            <w:r w:rsidR="00B4341B" w:rsidRPr="000C044C">
              <w:rPr>
                <w:rFonts w:ascii="Times New Roman" w:eastAsia="Times New Roman" w:hAnsi="Times New Roman" w:cs="Times New Roman"/>
                <w:sz w:val="24"/>
                <w:szCs w:val="24"/>
                <w:lang w:eastAsia="lv-LV"/>
              </w:rPr>
              <w:t>Eiropas Ekonomikas zonas</w:t>
            </w:r>
            <w:r>
              <w:rPr>
                <w:rFonts w:ascii="Times New Roman" w:hAnsi="Times New Roman" w:cs="Times New Roman"/>
                <w:sz w:val="24"/>
                <w:szCs w:val="24"/>
              </w:rPr>
              <w:t xml:space="preserve"> finanšu instrumentu 2014. – 2021. gadam Protokols Nr. 38.c;</w:t>
            </w:r>
          </w:p>
          <w:p w14:paraId="27A1E632" w14:textId="15F641FC" w:rsidR="008A752D" w:rsidRDefault="008A752D" w:rsidP="00731493">
            <w:pPr>
              <w:jc w:val="both"/>
              <w:rPr>
                <w:rFonts w:ascii="Times New Roman" w:hAnsi="Times New Roman" w:cs="Times New Roman"/>
                <w:sz w:val="24"/>
                <w:szCs w:val="24"/>
              </w:rPr>
            </w:pPr>
            <w:r>
              <w:rPr>
                <w:rFonts w:ascii="Times New Roman" w:hAnsi="Times New Roman" w:cs="Times New Roman"/>
                <w:sz w:val="24"/>
                <w:szCs w:val="24"/>
              </w:rPr>
              <w:t xml:space="preserve">(b)  Noteikumi par </w:t>
            </w:r>
            <w:r w:rsidR="00B4341B" w:rsidRPr="000C044C">
              <w:rPr>
                <w:rFonts w:ascii="Times New Roman" w:eastAsia="Times New Roman" w:hAnsi="Times New Roman" w:cs="Times New Roman"/>
                <w:sz w:val="24"/>
                <w:szCs w:val="24"/>
                <w:lang w:eastAsia="lv-LV"/>
              </w:rPr>
              <w:t>Eiropas Ekonomikas zonas</w:t>
            </w:r>
            <w:r w:rsidR="00B4341B">
              <w:rPr>
                <w:rFonts w:ascii="Times New Roman" w:hAnsi="Times New Roman" w:cs="Times New Roman"/>
                <w:sz w:val="24"/>
                <w:szCs w:val="24"/>
              </w:rPr>
              <w:t xml:space="preserve"> </w:t>
            </w:r>
            <w:r>
              <w:rPr>
                <w:rFonts w:ascii="Times New Roman" w:hAnsi="Times New Roman" w:cs="Times New Roman"/>
                <w:sz w:val="24"/>
                <w:szCs w:val="24"/>
              </w:rPr>
              <w:t xml:space="preserve">finanšu instrumenta ieviešanu 2014. – 2021. gadā (turpmāk </w:t>
            </w:r>
            <w:r w:rsidR="003D4BF4">
              <w:rPr>
                <w:rFonts w:ascii="Times New Roman" w:hAnsi="Times New Roman" w:cs="Times New Roman"/>
                <w:sz w:val="24"/>
                <w:szCs w:val="24"/>
              </w:rPr>
              <w:t>–</w:t>
            </w:r>
            <w:r>
              <w:rPr>
                <w:rFonts w:ascii="Times New Roman" w:hAnsi="Times New Roman" w:cs="Times New Roman"/>
                <w:sz w:val="24"/>
                <w:szCs w:val="24"/>
              </w:rPr>
              <w:t xml:space="preserve"> </w:t>
            </w:r>
            <w:r w:rsidR="003D4BF4">
              <w:rPr>
                <w:rFonts w:ascii="Times New Roman" w:hAnsi="Times New Roman" w:cs="Times New Roman"/>
                <w:sz w:val="24"/>
                <w:szCs w:val="24"/>
              </w:rPr>
              <w:t>donorvalstu n</w:t>
            </w:r>
            <w:r>
              <w:rPr>
                <w:rFonts w:ascii="Times New Roman" w:hAnsi="Times New Roman" w:cs="Times New Roman"/>
                <w:sz w:val="24"/>
                <w:szCs w:val="24"/>
              </w:rPr>
              <w:t xml:space="preserve">oteikumi), ko izdevušas </w:t>
            </w:r>
            <w:r w:rsidR="00703681">
              <w:rPr>
                <w:rFonts w:ascii="Times New Roman" w:hAnsi="Times New Roman" w:cs="Times New Roman"/>
                <w:sz w:val="24"/>
                <w:szCs w:val="24"/>
              </w:rPr>
              <w:t>d</w:t>
            </w:r>
            <w:r>
              <w:rPr>
                <w:rFonts w:ascii="Times New Roman" w:hAnsi="Times New Roman" w:cs="Times New Roman"/>
                <w:sz w:val="24"/>
                <w:szCs w:val="24"/>
              </w:rPr>
              <w:t>onorvalstis saskaņā ar Protokola Nr. 38.c 10.5 pantu;</w:t>
            </w:r>
          </w:p>
          <w:p w14:paraId="0908D72C" w14:textId="234E2110" w:rsidR="008A752D" w:rsidRDefault="008A752D" w:rsidP="00731493">
            <w:pPr>
              <w:jc w:val="both"/>
              <w:rPr>
                <w:rFonts w:ascii="Times New Roman" w:hAnsi="Times New Roman" w:cs="Times New Roman"/>
                <w:sz w:val="24"/>
                <w:szCs w:val="24"/>
              </w:rPr>
            </w:pPr>
            <w:r>
              <w:rPr>
                <w:rFonts w:ascii="Times New Roman" w:hAnsi="Times New Roman" w:cs="Times New Roman"/>
                <w:sz w:val="24"/>
                <w:szCs w:val="24"/>
              </w:rPr>
              <w:t>(c)  programmu līgumi, kas ti</w:t>
            </w:r>
            <w:r w:rsidR="00703681">
              <w:rPr>
                <w:rFonts w:ascii="Times New Roman" w:hAnsi="Times New Roman" w:cs="Times New Roman"/>
                <w:sz w:val="24"/>
                <w:szCs w:val="24"/>
              </w:rPr>
              <w:t>e</w:t>
            </w:r>
            <w:r>
              <w:rPr>
                <w:rFonts w:ascii="Times New Roman" w:hAnsi="Times New Roman" w:cs="Times New Roman"/>
                <w:sz w:val="24"/>
                <w:szCs w:val="24"/>
              </w:rPr>
              <w:t xml:space="preserve">k noslēgti par katru programmu; </w:t>
            </w:r>
          </w:p>
          <w:p w14:paraId="33335FA5" w14:textId="77777777" w:rsidR="008A752D" w:rsidRDefault="008A752D" w:rsidP="00731493">
            <w:pPr>
              <w:jc w:val="both"/>
              <w:rPr>
                <w:rFonts w:ascii="Times New Roman" w:hAnsi="Times New Roman" w:cs="Times New Roman"/>
                <w:sz w:val="24"/>
                <w:szCs w:val="24"/>
              </w:rPr>
            </w:pPr>
            <w:r>
              <w:rPr>
                <w:rFonts w:ascii="Times New Roman" w:hAnsi="Times New Roman" w:cs="Times New Roman"/>
                <w:sz w:val="24"/>
                <w:szCs w:val="24"/>
              </w:rPr>
              <w:t>(d)  jebkādas Finanšu instrumenta komitejas atbilstoši Noteikumiem pieņemtās vadlīnijas.</w:t>
            </w:r>
          </w:p>
          <w:p w14:paraId="54E8FA4F" w14:textId="46599204" w:rsidR="008A752D" w:rsidRDefault="008A752D" w:rsidP="00731493">
            <w:pPr>
              <w:jc w:val="both"/>
              <w:rPr>
                <w:rFonts w:ascii="Times New Roman" w:hAnsi="Times New Roman" w:cs="Times New Roman"/>
                <w:sz w:val="24"/>
                <w:szCs w:val="24"/>
              </w:rPr>
            </w:pPr>
            <w:r>
              <w:rPr>
                <w:rFonts w:ascii="Times New Roman" w:hAnsi="Times New Roman" w:cs="Times New Roman"/>
                <w:sz w:val="24"/>
                <w:szCs w:val="24"/>
              </w:rPr>
              <w:t xml:space="preserve">Ņemot vērā to, ka donorvalstu noteikumi programmu īstenošanā paredz programmas partneri, kas var aktīvi piedalīties un sniegt faktisku ieguldījumu programmas ieviešanā, kā arī </w:t>
            </w:r>
            <w:r>
              <w:rPr>
                <w:rFonts w:ascii="Times New Roman" w:hAnsi="Times New Roman"/>
                <w:sz w:val="24"/>
                <w:szCs w:val="24"/>
                <w:lang w:eastAsia="lv-LV"/>
              </w:rPr>
              <w:t>Ministru kabineta 2018.gada 13.novembra noteikumu Nr. 683 “Eiropas Ekonomikas zonas finanšu instrumenta un Norvēģijas finanšu instrumenta 2014.–2021. gada perioda vadības noteikumi” (turpmāk – Vadības noteikumi)</w:t>
            </w:r>
            <w:r>
              <w:rPr>
                <w:rFonts w:ascii="Times New Roman" w:hAnsi="Times New Roman" w:cs="Times New Roman"/>
                <w:sz w:val="24"/>
                <w:szCs w:val="24"/>
              </w:rPr>
              <w:t xml:space="preserve"> </w:t>
            </w:r>
            <w:r>
              <w:rPr>
                <w:rFonts w:ascii="Times New Roman" w:hAnsi="Times New Roman"/>
                <w:sz w:val="24"/>
                <w:szCs w:val="24"/>
                <w:lang w:eastAsia="lv-LV"/>
              </w:rPr>
              <w:t>4.punktā noteikt</w:t>
            </w:r>
            <w:r w:rsidR="00703681">
              <w:rPr>
                <w:rFonts w:ascii="Times New Roman" w:hAnsi="Times New Roman"/>
                <w:sz w:val="24"/>
                <w:szCs w:val="24"/>
                <w:lang w:eastAsia="lv-LV"/>
              </w:rPr>
              <w:t>o</w:t>
            </w:r>
            <w:r>
              <w:rPr>
                <w:rFonts w:ascii="Times New Roman" w:hAnsi="Times New Roman"/>
                <w:sz w:val="24"/>
                <w:szCs w:val="24"/>
                <w:lang w:eastAsia="lv-LV"/>
              </w:rPr>
              <w:t xml:space="preserve">, ka Kultūras ministrija veic programmas partnera funkcijas, bet 5.punktā noteikts, ka </w:t>
            </w:r>
            <w:r w:rsidR="00703681">
              <w:rPr>
                <w:rFonts w:ascii="Times New Roman" w:hAnsi="Times New Roman"/>
                <w:sz w:val="24"/>
                <w:szCs w:val="24"/>
                <w:lang w:eastAsia="lv-LV"/>
              </w:rPr>
              <w:t>p</w:t>
            </w:r>
            <w:r>
              <w:rPr>
                <w:rFonts w:ascii="Times New Roman" w:hAnsi="Times New Roman"/>
                <w:sz w:val="24"/>
                <w:szCs w:val="24"/>
                <w:lang w:eastAsia="lv-LV"/>
              </w:rPr>
              <w:t>rogrammas partnera funkcijas nosaka normatīvajā aktā par programmas ieviešanu</w:t>
            </w:r>
            <w:r>
              <w:rPr>
                <w:rFonts w:ascii="Times New Roman" w:hAnsi="Times New Roman" w:cs="Times New Roman"/>
                <w:sz w:val="24"/>
                <w:szCs w:val="24"/>
              </w:rPr>
              <w:t>, Kultūras ministrija kā programmas partneris īsteno programmas atklāto konkursu.</w:t>
            </w:r>
          </w:p>
          <w:p w14:paraId="2E396AA3" w14:textId="0A7A9761" w:rsidR="005F4D01" w:rsidRPr="00406372" w:rsidRDefault="005F4D01" w:rsidP="00731493">
            <w:pPr>
              <w:jc w:val="both"/>
              <w:rPr>
                <w:rFonts w:ascii="Times New Roman" w:hAnsi="Times New Roman" w:cs="Times New Roman"/>
                <w:sz w:val="24"/>
                <w:szCs w:val="24"/>
              </w:rPr>
            </w:pPr>
          </w:p>
          <w:p w14:paraId="3AE5C40B" w14:textId="6E2D925E" w:rsidR="00406372" w:rsidRDefault="00406372" w:rsidP="00731493">
            <w:pPr>
              <w:jc w:val="both"/>
              <w:rPr>
                <w:rFonts w:ascii="Times New Roman" w:hAnsi="Times New Roman" w:cs="Times New Roman"/>
                <w:sz w:val="24"/>
                <w:szCs w:val="24"/>
              </w:rPr>
            </w:pPr>
            <w:r w:rsidRPr="00406372">
              <w:rPr>
                <w:rFonts w:ascii="Times New Roman" w:hAnsi="Times New Roman" w:cs="Times New Roman"/>
                <w:sz w:val="24"/>
                <w:szCs w:val="24"/>
              </w:rPr>
              <w:t>Tāpat programmas partnera pienākumi, t.sk. pienākumi attiecībā uz atklātā konkursa projektu vērtēšanu, līgumu slēgšanu, uzraudzību un maksājumu veikšanu ir noteikti Programmas līgum</w:t>
            </w:r>
            <w:r>
              <w:rPr>
                <w:rFonts w:ascii="Times New Roman" w:hAnsi="Times New Roman" w:cs="Times New Roman"/>
                <w:sz w:val="24"/>
                <w:szCs w:val="24"/>
              </w:rPr>
              <w:t>a II.</w:t>
            </w:r>
            <w:r w:rsidR="00575A44">
              <w:rPr>
                <w:rFonts w:ascii="Times New Roman" w:hAnsi="Times New Roman" w:cs="Times New Roman"/>
                <w:sz w:val="24"/>
                <w:szCs w:val="24"/>
              </w:rPr>
              <w:t xml:space="preserve"> </w:t>
            </w:r>
            <w:r>
              <w:rPr>
                <w:rFonts w:ascii="Times New Roman" w:hAnsi="Times New Roman" w:cs="Times New Roman"/>
                <w:sz w:val="24"/>
                <w:szCs w:val="24"/>
              </w:rPr>
              <w:t>pielikumā</w:t>
            </w:r>
            <w:r w:rsidRPr="00406372">
              <w:rPr>
                <w:rFonts w:ascii="Times New Roman" w:hAnsi="Times New Roman" w:cs="Times New Roman"/>
                <w:sz w:val="24"/>
                <w:szCs w:val="24"/>
              </w:rPr>
              <w:t>.</w:t>
            </w:r>
          </w:p>
          <w:p w14:paraId="2DCE4C8A" w14:textId="75AC1576" w:rsidR="007E134C" w:rsidRDefault="007E134C" w:rsidP="00731493">
            <w:pPr>
              <w:jc w:val="both"/>
              <w:rPr>
                <w:rFonts w:ascii="Times New Roman" w:hAnsi="Times New Roman" w:cs="Times New Roman"/>
                <w:sz w:val="24"/>
                <w:szCs w:val="24"/>
              </w:rPr>
            </w:pPr>
            <w:r>
              <w:rPr>
                <w:rFonts w:ascii="Times New Roman" w:hAnsi="Times New Roman"/>
                <w:sz w:val="24"/>
                <w:szCs w:val="24"/>
              </w:rPr>
              <w:t xml:space="preserve">Izvērtējot visus programmas saistošos normatīvos aktus un ņemot vērā to, ka donorvalstis ir saskaņojušas un noteikušas </w:t>
            </w:r>
            <w:r>
              <w:rPr>
                <w:rFonts w:ascii="Times New Roman" w:hAnsi="Times New Roman"/>
                <w:sz w:val="24"/>
                <w:szCs w:val="24"/>
              </w:rPr>
              <w:lastRenderedPageBreak/>
              <w:t xml:space="preserve">programmas līgumā programmas īstenošanas ietvaru, kurā programmas apsaimniekotāja pienākumus atklātajā konkursā veic Kultūras ministrija kā programmas partneris, tad </w:t>
            </w:r>
            <w:r w:rsidR="005641D7">
              <w:rPr>
                <w:rFonts w:ascii="Times New Roman" w:hAnsi="Times New Roman" w:cs="Times New Roman"/>
                <w:sz w:val="24"/>
                <w:szCs w:val="24"/>
              </w:rPr>
              <w:t>V</w:t>
            </w:r>
            <w:r>
              <w:rPr>
                <w:rFonts w:ascii="Times New Roman" w:hAnsi="Times New Roman" w:cs="Times New Roman"/>
                <w:sz w:val="24"/>
                <w:szCs w:val="24"/>
              </w:rPr>
              <w:t>adības likuma 15.panta 12.punktā ietvertais deleģējums, ņemot vērā konkrētās programmas specifisko īstenošanas ietvaru, ir ievērots.</w:t>
            </w:r>
          </w:p>
          <w:p w14:paraId="65C046A0" w14:textId="77777777" w:rsidR="003C64C8" w:rsidRDefault="003C64C8" w:rsidP="00731493">
            <w:pPr>
              <w:jc w:val="both"/>
              <w:rPr>
                <w:rFonts w:ascii="Times New Roman" w:hAnsi="Times New Roman" w:cs="Times New Roman"/>
                <w:sz w:val="24"/>
                <w:szCs w:val="24"/>
              </w:rPr>
            </w:pPr>
          </w:p>
          <w:p w14:paraId="0C97E13D" w14:textId="1F8CA2B4" w:rsidR="00176F35" w:rsidRDefault="00176F35" w:rsidP="00731493">
            <w:pPr>
              <w:jc w:val="both"/>
              <w:rPr>
                <w:rFonts w:ascii="Times New Roman" w:hAnsi="Times New Roman" w:cs="Times New Roman"/>
                <w:sz w:val="24"/>
                <w:szCs w:val="24"/>
              </w:rPr>
            </w:pPr>
            <w:r w:rsidRPr="00176F35">
              <w:rPr>
                <w:rFonts w:ascii="Times New Roman" w:hAnsi="Times New Roman" w:cs="Times New Roman"/>
                <w:sz w:val="24"/>
                <w:szCs w:val="24"/>
              </w:rPr>
              <w:t>VAR</w:t>
            </w:r>
            <w:r>
              <w:rPr>
                <w:rFonts w:ascii="Times New Roman" w:hAnsi="Times New Roman" w:cs="Times New Roman"/>
                <w:sz w:val="24"/>
                <w:szCs w:val="24"/>
              </w:rPr>
              <w:t>AM kā programmas apsaimniekotājs</w:t>
            </w:r>
            <w:r w:rsidRPr="00176F35">
              <w:rPr>
                <w:rFonts w:ascii="Times New Roman" w:hAnsi="Times New Roman" w:cs="Times New Roman"/>
                <w:sz w:val="24"/>
                <w:szCs w:val="24"/>
              </w:rPr>
              <w:t xml:space="preserve"> </w:t>
            </w:r>
            <w:r w:rsidR="00703681">
              <w:rPr>
                <w:rFonts w:ascii="Times New Roman" w:hAnsi="Times New Roman" w:cs="Times New Roman"/>
                <w:sz w:val="24"/>
                <w:szCs w:val="24"/>
              </w:rPr>
              <w:t>veiks uzraudzību</w:t>
            </w:r>
            <w:r w:rsidRPr="00176F35">
              <w:rPr>
                <w:rFonts w:ascii="Times New Roman" w:hAnsi="Times New Roman" w:cs="Times New Roman"/>
                <w:sz w:val="24"/>
                <w:szCs w:val="24"/>
              </w:rPr>
              <w:t xml:space="preserve"> par Kultūras ministrijai</w:t>
            </w:r>
            <w:r>
              <w:rPr>
                <w:rFonts w:ascii="Times New Roman" w:hAnsi="Times New Roman" w:cs="Times New Roman"/>
                <w:sz w:val="24"/>
                <w:szCs w:val="24"/>
              </w:rPr>
              <w:t xml:space="preserve"> kā programmas partnerim</w:t>
            </w:r>
            <w:r w:rsidRPr="00176F35">
              <w:rPr>
                <w:rFonts w:ascii="Times New Roman" w:hAnsi="Times New Roman" w:cs="Times New Roman"/>
                <w:sz w:val="24"/>
                <w:szCs w:val="24"/>
              </w:rPr>
              <w:t xml:space="preserve"> deleģēto funkciju atbilstošu izpildi.</w:t>
            </w:r>
          </w:p>
          <w:p w14:paraId="437406A6" w14:textId="77777777" w:rsidR="00575A44" w:rsidRPr="00406372" w:rsidRDefault="00575A44" w:rsidP="00731493">
            <w:pPr>
              <w:jc w:val="both"/>
              <w:rPr>
                <w:rFonts w:ascii="Times New Roman" w:hAnsi="Times New Roman" w:cs="Times New Roman"/>
                <w:sz w:val="24"/>
                <w:szCs w:val="24"/>
              </w:rPr>
            </w:pPr>
          </w:p>
          <w:p w14:paraId="01A28625" w14:textId="090A827F" w:rsidR="00FE3858" w:rsidRPr="000C044C" w:rsidRDefault="00104331" w:rsidP="00731493">
            <w:pPr>
              <w:jc w:val="both"/>
              <w:rPr>
                <w:rFonts w:ascii="Times New Roman" w:eastAsia="Times New Roman" w:hAnsi="Times New Roman" w:cs="Times New Roman"/>
                <w:sz w:val="24"/>
                <w:szCs w:val="24"/>
                <w:lang w:eastAsia="lv-LV"/>
              </w:rPr>
            </w:pPr>
            <w:r w:rsidRPr="000C044C">
              <w:rPr>
                <w:rFonts w:ascii="Times New Roman" w:hAnsi="Times New Roman" w:cs="Times New Roman"/>
                <w:sz w:val="24"/>
                <w:szCs w:val="24"/>
              </w:rPr>
              <w:t>P</w:t>
            </w:r>
            <w:r w:rsidR="005F4D01" w:rsidRPr="000C044C">
              <w:rPr>
                <w:rFonts w:ascii="Times New Roman" w:hAnsi="Times New Roman" w:cs="Times New Roman"/>
                <w:sz w:val="24"/>
                <w:szCs w:val="24"/>
              </w:rPr>
              <w:t>rogrammas apsaimniekotājs izstrādā</w:t>
            </w:r>
            <w:r w:rsidR="00703681">
              <w:rPr>
                <w:rFonts w:ascii="Times New Roman" w:hAnsi="Times New Roman" w:cs="Times New Roman"/>
                <w:sz w:val="24"/>
                <w:szCs w:val="24"/>
              </w:rPr>
              <w:t>ja</w:t>
            </w:r>
            <w:r w:rsidR="005F4D01" w:rsidRPr="000C044C">
              <w:rPr>
                <w:rFonts w:ascii="Times New Roman" w:hAnsi="Times New Roman" w:cs="Times New Roman"/>
                <w:sz w:val="24"/>
                <w:szCs w:val="24"/>
              </w:rPr>
              <w:t xml:space="preserve"> </w:t>
            </w:r>
            <w:r w:rsidR="00FE3858">
              <w:rPr>
                <w:rFonts w:ascii="Times New Roman" w:hAnsi="Times New Roman" w:cs="Times New Roman"/>
                <w:sz w:val="24"/>
                <w:szCs w:val="24"/>
              </w:rPr>
              <w:t xml:space="preserve">vispārīgos </w:t>
            </w:r>
            <w:r w:rsidR="005F4D01" w:rsidRPr="000C044C">
              <w:rPr>
                <w:rFonts w:ascii="Times New Roman" w:hAnsi="Times New Roman" w:cs="Times New Roman"/>
                <w:sz w:val="24"/>
                <w:szCs w:val="24"/>
              </w:rPr>
              <w:t>programmas</w:t>
            </w:r>
            <w:r w:rsidR="00FE3858">
              <w:rPr>
                <w:rFonts w:ascii="Times New Roman" w:hAnsi="Times New Roman" w:cs="Times New Roman"/>
                <w:sz w:val="24"/>
                <w:szCs w:val="24"/>
              </w:rPr>
              <w:t xml:space="preserve"> īstenošanas</w:t>
            </w:r>
            <w:r w:rsidR="005F4D01" w:rsidRPr="000C044C">
              <w:rPr>
                <w:rFonts w:ascii="Times New Roman" w:hAnsi="Times New Roman" w:cs="Times New Roman"/>
                <w:sz w:val="24"/>
                <w:szCs w:val="24"/>
              </w:rPr>
              <w:t xml:space="preserve"> </w:t>
            </w:r>
            <w:r w:rsidR="00D24EE7" w:rsidRPr="000C044C">
              <w:rPr>
                <w:rFonts w:ascii="Times New Roman" w:eastAsia="Times New Roman" w:hAnsi="Times New Roman" w:cs="Times New Roman"/>
                <w:sz w:val="24"/>
                <w:szCs w:val="24"/>
                <w:lang w:eastAsia="lv-LV"/>
              </w:rPr>
              <w:t xml:space="preserve">Ministru kabineta </w:t>
            </w:r>
            <w:r w:rsidR="00403647" w:rsidRPr="000C044C">
              <w:rPr>
                <w:rFonts w:ascii="Times New Roman" w:eastAsia="Times New Roman" w:hAnsi="Times New Roman" w:cs="Times New Roman"/>
                <w:sz w:val="24"/>
                <w:szCs w:val="24"/>
                <w:lang w:eastAsia="lv-LV"/>
              </w:rPr>
              <w:t xml:space="preserve"> noteikumus</w:t>
            </w:r>
            <w:r w:rsidR="00A97A08">
              <w:rPr>
                <w:rFonts w:ascii="Times New Roman" w:eastAsia="Times New Roman" w:hAnsi="Times New Roman" w:cs="Times New Roman"/>
                <w:sz w:val="24"/>
                <w:szCs w:val="24"/>
                <w:lang w:eastAsia="lv-LV"/>
              </w:rPr>
              <w:t xml:space="preserve"> (</w:t>
            </w:r>
            <w:r w:rsidR="00A97A08">
              <w:rPr>
                <w:rFonts w:ascii="Times New Roman" w:hAnsi="Times New Roman" w:cs="Times New Roman"/>
                <w:sz w:val="24"/>
                <w:szCs w:val="24"/>
                <w:shd w:val="clear" w:color="auto" w:fill="FFFFFF"/>
              </w:rPr>
              <w:t xml:space="preserve">Ministru kabineta 2020. gada 24. novembra noteikumi Nr. 700 </w:t>
            </w:r>
            <w:r w:rsidR="00A97A08">
              <w:rPr>
                <w:rFonts w:ascii="Times New Roman" w:hAnsi="Times New Roman" w:cs="Times New Roman"/>
                <w:sz w:val="24"/>
                <w:szCs w:val="24"/>
              </w:rPr>
              <w:t xml:space="preserve">“Eiropas Ekonomikas zonas finanšu instrumenta 2014. – 2021. gada perioda programmas </w:t>
            </w:r>
            <w:r w:rsidR="00A97A08">
              <w:rPr>
                <w:rFonts w:ascii="Times New Roman" w:eastAsia="Times New Roman" w:hAnsi="Times New Roman" w:cs="Times New Roman"/>
                <w:sz w:val="24"/>
                <w:szCs w:val="24"/>
                <w:lang w:eastAsia="lv-LV"/>
              </w:rPr>
              <w:t>“</w:t>
            </w:r>
            <w:r w:rsidR="00A97A08">
              <w:rPr>
                <w:rFonts w:ascii="Times New Roman" w:hAnsi="Times New Roman" w:cs="Times New Roman"/>
                <w:sz w:val="24"/>
                <w:szCs w:val="24"/>
              </w:rPr>
              <w:t>Vietējā attīstība, nabadzības mazināšana un kultūras sadarbība” vispārīgie un iepriekš noteikto projektu īstenošanas noteikumi”</w:t>
            </w:r>
            <w:r w:rsidR="00A97A08">
              <w:rPr>
                <w:rFonts w:ascii="Times New Roman" w:eastAsia="Times New Roman" w:hAnsi="Times New Roman" w:cs="Times New Roman"/>
                <w:sz w:val="24"/>
                <w:szCs w:val="24"/>
                <w:lang w:eastAsia="lv-LV"/>
              </w:rPr>
              <w:t>)</w:t>
            </w:r>
            <w:r w:rsidR="00D24EE7" w:rsidRPr="000C044C">
              <w:rPr>
                <w:rFonts w:ascii="Times New Roman" w:eastAsia="Times New Roman" w:hAnsi="Times New Roman" w:cs="Times New Roman"/>
                <w:sz w:val="24"/>
                <w:szCs w:val="24"/>
                <w:lang w:eastAsia="lv-LV"/>
              </w:rPr>
              <w:t xml:space="preserve"> </w:t>
            </w:r>
            <w:r w:rsidR="00CF15C2" w:rsidRPr="000C044C">
              <w:rPr>
                <w:rFonts w:ascii="Times New Roman" w:eastAsia="Times New Roman" w:hAnsi="Times New Roman" w:cs="Times New Roman"/>
                <w:sz w:val="24"/>
                <w:szCs w:val="24"/>
                <w:lang w:eastAsia="lv-LV"/>
              </w:rPr>
              <w:t>(turpmāk – programmas īstenošanas noteikumi)</w:t>
            </w:r>
            <w:r w:rsidR="00403647" w:rsidRPr="000C044C">
              <w:rPr>
                <w:rFonts w:ascii="Times New Roman" w:eastAsia="Times New Roman" w:hAnsi="Times New Roman" w:cs="Times New Roman"/>
                <w:sz w:val="24"/>
                <w:szCs w:val="24"/>
                <w:lang w:eastAsia="lv-LV"/>
              </w:rPr>
              <w:t>, kuri</w:t>
            </w:r>
            <w:r w:rsidR="00CF15C2" w:rsidRPr="000C044C">
              <w:rPr>
                <w:rFonts w:ascii="Times New Roman" w:eastAsia="Times New Roman" w:hAnsi="Times New Roman" w:cs="Times New Roman"/>
                <w:sz w:val="24"/>
                <w:szCs w:val="24"/>
                <w:lang w:eastAsia="lv-LV"/>
              </w:rPr>
              <w:t xml:space="preserve"> nosaka </w:t>
            </w:r>
            <w:r w:rsidR="00E155CC">
              <w:rPr>
                <w:rFonts w:ascii="Times New Roman" w:eastAsia="Times New Roman" w:hAnsi="Times New Roman" w:cs="Times New Roman"/>
                <w:sz w:val="24"/>
                <w:szCs w:val="24"/>
                <w:lang w:eastAsia="lv-LV"/>
              </w:rPr>
              <w:t xml:space="preserve">Kultūras ministrijas kā </w:t>
            </w:r>
            <w:r w:rsidR="00CF15C2" w:rsidRPr="000C044C">
              <w:rPr>
                <w:rFonts w:ascii="Times New Roman" w:eastAsia="Times New Roman" w:hAnsi="Times New Roman" w:cs="Times New Roman"/>
                <w:sz w:val="24"/>
                <w:szCs w:val="24"/>
                <w:lang w:eastAsia="lv-LV"/>
              </w:rPr>
              <w:t>programmas partnera pienākumus.</w:t>
            </w:r>
            <w:r w:rsidR="00FE3858">
              <w:rPr>
                <w:rFonts w:ascii="Times New Roman" w:eastAsia="Times New Roman" w:hAnsi="Times New Roman" w:cs="Times New Roman"/>
                <w:sz w:val="24"/>
                <w:szCs w:val="24"/>
                <w:lang w:eastAsia="lv-LV"/>
              </w:rPr>
              <w:t xml:space="preserve"> </w:t>
            </w:r>
            <w:r w:rsidR="00FE3858" w:rsidRPr="000C044C">
              <w:rPr>
                <w:rFonts w:ascii="Times New Roman" w:eastAsia="Times New Roman" w:hAnsi="Times New Roman" w:cs="Times New Roman"/>
                <w:sz w:val="24"/>
                <w:szCs w:val="24"/>
                <w:lang w:eastAsia="lv-LV"/>
              </w:rPr>
              <w:t xml:space="preserve">Starp programmas apsaimniekotāju un programmas partneri </w:t>
            </w:r>
            <w:r w:rsidR="00FE3858" w:rsidRPr="000C044C">
              <w:rPr>
                <w:rFonts w:ascii="Times New Roman" w:eastAsia="Calibri" w:hAnsi="Times New Roman"/>
                <w:bCs/>
                <w:iCs/>
                <w:sz w:val="24"/>
                <w:szCs w:val="24"/>
                <w:lang w:eastAsia="lv-LV"/>
              </w:rPr>
              <w:t>2020.gada 31.jūlijā</w:t>
            </w:r>
            <w:r w:rsidR="00FE3858" w:rsidRPr="000C044C">
              <w:rPr>
                <w:rFonts w:ascii="Times New Roman" w:eastAsia="Times New Roman" w:hAnsi="Times New Roman" w:cs="Times New Roman"/>
                <w:sz w:val="24"/>
                <w:szCs w:val="24"/>
                <w:lang w:eastAsia="lv-LV"/>
              </w:rPr>
              <w:t xml:space="preserve"> noslēgta starpresoru vienošanās, kurā </w:t>
            </w:r>
            <w:r w:rsidR="0015430C">
              <w:rPr>
                <w:rFonts w:ascii="Times New Roman" w:eastAsia="Times New Roman" w:hAnsi="Times New Roman" w:cs="Times New Roman"/>
                <w:sz w:val="24"/>
                <w:szCs w:val="24"/>
                <w:lang w:eastAsia="lv-LV"/>
              </w:rPr>
              <w:t xml:space="preserve"> </w:t>
            </w:r>
            <w:r w:rsidR="00103941" w:rsidRPr="0015430C">
              <w:rPr>
                <w:rFonts w:ascii="Times New Roman" w:eastAsia="Times New Roman" w:hAnsi="Times New Roman" w:cs="Times New Roman"/>
                <w:sz w:val="24"/>
                <w:szCs w:val="24"/>
                <w:lang w:eastAsia="lv-LV"/>
              </w:rPr>
              <w:t>ir</w:t>
            </w:r>
            <w:r w:rsidR="00FE3858" w:rsidRPr="000C044C">
              <w:rPr>
                <w:rFonts w:ascii="Times New Roman" w:eastAsia="Times New Roman" w:hAnsi="Times New Roman" w:cs="Times New Roman"/>
                <w:sz w:val="24"/>
                <w:szCs w:val="24"/>
                <w:lang w:eastAsia="lv-LV"/>
              </w:rPr>
              <w:t xml:space="preserve"> detalizēti noteikta programmas apsaimniekotāja un programmas partnera sadarbība programmas ieviešanā.</w:t>
            </w:r>
          </w:p>
          <w:p w14:paraId="6CF7C8CE" w14:textId="4EFC3E60" w:rsidR="00CF15C2" w:rsidRDefault="00CF15C2" w:rsidP="00731493">
            <w:pPr>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Programmas īstenošanas noteikumi nosaka šādus</w:t>
            </w:r>
            <w:r w:rsidR="00A76BCC">
              <w:rPr>
                <w:rFonts w:ascii="Times New Roman" w:eastAsia="Times New Roman" w:hAnsi="Times New Roman" w:cs="Times New Roman"/>
                <w:sz w:val="24"/>
                <w:szCs w:val="24"/>
                <w:lang w:eastAsia="lv-LV"/>
              </w:rPr>
              <w:t xml:space="preserve"> Kultūras ministrijas kā</w:t>
            </w:r>
            <w:r w:rsidRPr="000C044C">
              <w:rPr>
                <w:rFonts w:ascii="Times New Roman" w:eastAsia="Times New Roman" w:hAnsi="Times New Roman" w:cs="Times New Roman"/>
                <w:sz w:val="24"/>
                <w:szCs w:val="24"/>
                <w:lang w:eastAsia="lv-LV"/>
              </w:rPr>
              <w:t xml:space="preserve"> programmas partnera pienākumus:</w:t>
            </w:r>
          </w:p>
          <w:p w14:paraId="3583913A" w14:textId="77777777" w:rsidR="00A76BCC" w:rsidRDefault="00A76BCC" w:rsidP="00731493">
            <w:pPr>
              <w:pStyle w:val="xmsonormal"/>
              <w:numPr>
                <w:ilvl w:val="0"/>
                <w:numId w:val="15"/>
              </w:numPr>
              <w:jc w:val="both"/>
              <w:rPr>
                <w:rFonts w:ascii="Times New Roman" w:eastAsia="Times New Roman" w:hAnsi="Times New Roman"/>
                <w:sz w:val="24"/>
                <w:szCs w:val="24"/>
                <w:lang w:val="lv-LV" w:eastAsia="lv-LV"/>
              </w:rPr>
            </w:pPr>
            <w:r w:rsidRPr="00A76BCC">
              <w:rPr>
                <w:rFonts w:ascii="Times New Roman" w:eastAsia="Times New Roman" w:hAnsi="Times New Roman"/>
                <w:sz w:val="24"/>
                <w:szCs w:val="24"/>
                <w:lang w:val="lv-LV" w:eastAsia="lv-LV"/>
              </w:rPr>
              <w:t>izstrādā projektu iesniegumu atlases nolikumu, kuru pirms apstiprināšanas saskaņo ar programmas apsaimniekotāju;</w:t>
            </w:r>
          </w:p>
          <w:p w14:paraId="5D3713A5" w14:textId="77777777" w:rsidR="00A76BCC" w:rsidRDefault="00A76BCC" w:rsidP="00731493">
            <w:pPr>
              <w:pStyle w:val="xmsonormal"/>
              <w:numPr>
                <w:ilvl w:val="0"/>
                <w:numId w:val="15"/>
              </w:numPr>
              <w:jc w:val="both"/>
              <w:rPr>
                <w:rFonts w:ascii="Times New Roman" w:eastAsia="Times New Roman" w:hAnsi="Times New Roman"/>
                <w:sz w:val="24"/>
                <w:szCs w:val="24"/>
                <w:lang w:val="lv-LV" w:eastAsia="lv-LV"/>
              </w:rPr>
            </w:pPr>
            <w:r w:rsidRPr="00A76BCC">
              <w:rPr>
                <w:rFonts w:ascii="Times New Roman" w:eastAsia="Times New Roman" w:hAnsi="Times New Roman"/>
                <w:sz w:val="24"/>
                <w:szCs w:val="24"/>
                <w:lang w:val="lv-LV" w:eastAsia="lv-LV"/>
              </w:rPr>
              <w:t>izveido projektu iesniegumu vērtēšanas komisiju;</w:t>
            </w:r>
          </w:p>
          <w:p w14:paraId="68EAF70C" w14:textId="77777777" w:rsidR="00A76BCC" w:rsidRDefault="00A76BCC" w:rsidP="00731493">
            <w:pPr>
              <w:pStyle w:val="xmsonormal"/>
              <w:numPr>
                <w:ilvl w:val="0"/>
                <w:numId w:val="15"/>
              </w:numPr>
              <w:jc w:val="both"/>
              <w:rPr>
                <w:rFonts w:ascii="Times New Roman" w:eastAsia="Times New Roman" w:hAnsi="Times New Roman"/>
                <w:sz w:val="24"/>
                <w:szCs w:val="24"/>
                <w:lang w:val="lv-LV" w:eastAsia="lv-LV"/>
              </w:rPr>
            </w:pPr>
            <w:r w:rsidRPr="00A76BCC">
              <w:rPr>
                <w:rFonts w:ascii="Times New Roman" w:eastAsia="Times New Roman" w:hAnsi="Times New Roman"/>
                <w:sz w:val="24"/>
                <w:szCs w:val="24"/>
                <w:lang w:val="lv-LV" w:eastAsia="lv-LV"/>
              </w:rPr>
              <w:t xml:space="preserve">veic projektu iesniegumu atlasi, pieņem lēmumu par projekta iesnieguma apstiprināšanu, apstiprināšanu ar nosacījumu vai noraidīšanu; </w:t>
            </w:r>
          </w:p>
          <w:p w14:paraId="28D909DF" w14:textId="77777777" w:rsidR="00A76BCC" w:rsidRDefault="00A76BCC" w:rsidP="00731493">
            <w:pPr>
              <w:pStyle w:val="xmsonormal"/>
              <w:numPr>
                <w:ilvl w:val="0"/>
                <w:numId w:val="15"/>
              </w:numPr>
              <w:jc w:val="both"/>
              <w:rPr>
                <w:rFonts w:ascii="Times New Roman" w:eastAsia="Times New Roman" w:hAnsi="Times New Roman"/>
                <w:sz w:val="24"/>
                <w:szCs w:val="24"/>
                <w:lang w:val="lv-LV" w:eastAsia="lv-LV"/>
              </w:rPr>
            </w:pPr>
            <w:r w:rsidRPr="00A76BCC">
              <w:rPr>
                <w:rFonts w:ascii="Times New Roman" w:eastAsia="Times New Roman" w:hAnsi="Times New Roman"/>
                <w:sz w:val="24"/>
                <w:szCs w:val="24"/>
                <w:lang w:val="lv-LV" w:eastAsia="lv-LV"/>
              </w:rPr>
              <w:t>nodrošina pārstāvību tiesā gadījumā, ja ir pārsūdzēts tās lēmums par projekta iesnieguma apstiprināšanu, apstiprināšanu ar nosacījumu vai noraidīšanu;</w:t>
            </w:r>
          </w:p>
          <w:p w14:paraId="5E67B31A" w14:textId="77777777" w:rsidR="00A76BCC" w:rsidRDefault="00A76BCC" w:rsidP="00731493">
            <w:pPr>
              <w:pStyle w:val="xmsonormal"/>
              <w:numPr>
                <w:ilvl w:val="0"/>
                <w:numId w:val="15"/>
              </w:numPr>
              <w:jc w:val="both"/>
              <w:rPr>
                <w:rFonts w:ascii="Times New Roman" w:eastAsia="Times New Roman" w:hAnsi="Times New Roman"/>
                <w:sz w:val="24"/>
                <w:szCs w:val="24"/>
                <w:lang w:val="lv-LV" w:eastAsia="lv-LV"/>
              </w:rPr>
            </w:pPr>
            <w:r w:rsidRPr="00A76BCC">
              <w:rPr>
                <w:rFonts w:ascii="Times New Roman" w:eastAsia="Times New Roman" w:hAnsi="Times New Roman"/>
                <w:sz w:val="24"/>
                <w:szCs w:val="24"/>
                <w:lang w:val="lv-LV" w:eastAsia="lv-LV"/>
              </w:rPr>
              <w:t>slēdz projekta līgumu ar atklātā konkursa līdzfinansējuma saņēmēju;</w:t>
            </w:r>
          </w:p>
          <w:p w14:paraId="6A4358E7" w14:textId="77777777" w:rsidR="00A76BCC" w:rsidRDefault="00A76BCC" w:rsidP="00731493">
            <w:pPr>
              <w:pStyle w:val="xmsonormal"/>
              <w:numPr>
                <w:ilvl w:val="0"/>
                <w:numId w:val="15"/>
              </w:numPr>
              <w:jc w:val="both"/>
              <w:rPr>
                <w:rFonts w:ascii="Times New Roman" w:eastAsia="Times New Roman" w:hAnsi="Times New Roman"/>
                <w:sz w:val="24"/>
                <w:szCs w:val="24"/>
                <w:lang w:val="lv-LV" w:eastAsia="lv-LV"/>
              </w:rPr>
            </w:pPr>
            <w:r w:rsidRPr="00A76BCC">
              <w:rPr>
                <w:rFonts w:ascii="Times New Roman" w:eastAsia="Times New Roman" w:hAnsi="Times New Roman"/>
                <w:sz w:val="24"/>
                <w:szCs w:val="24"/>
                <w:lang w:val="lv-LV" w:eastAsia="lv-LV"/>
              </w:rPr>
              <w:t>veic projekta īstenošanas uzraudzību un kontroli;</w:t>
            </w:r>
          </w:p>
          <w:p w14:paraId="242BB8D2" w14:textId="1869F15D" w:rsidR="00A76BCC" w:rsidRPr="00A76BCC" w:rsidRDefault="00A76BCC" w:rsidP="00731493">
            <w:pPr>
              <w:pStyle w:val="xmsonormal"/>
              <w:numPr>
                <w:ilvl w:val="0"/>
                <w:numId w:val="15"/>
              </w:numPr>
              <w:jc w:val="both"/>
              <w:rPr>
                <w:rFonts w:ascii="Times New Roman" w:eastAsia="Times New Roman" w:hAnsi="Times New Roman"/>
                <w:sz w:val="24"/>
                <w:szCs w:val="24"/>
                <w:lang w:val="lv-LV" w:eastAsia="lv-LV"/>
              </w:rPr>
            </w:pPr>
            <w:r w:rsidRPr="00A76BCC">
              <w:rPr>
                <w:rFonts w:ascii="Times New Roman" w:eastAsia="Times New Roman" w:hAnsi="Times New Roman"/>
                <w:sz w:val="24"/>
                <w:szCs w:val="24"/>
                <w:lang w:val="lv-LV" w:eastAsia="lv-LV"/>
              </w:rPr>
              <w:t>nodrošina neatbilstoši veikto izdevumu konstatēšanu, pieņem lēmumu par neatbilstības konstatēšanu, nodrošina neatbilstoši veikto izdevumu atgūšanu</w:t>
            </w:r>
            <w:r w:rsidR="00E102F9">
              <w:rPr>
                <w:rFonts w:ascii="Times New Roman" w:eastAsia="Times New Roman" w:hAnsi="Times New Roman"/>
                <w:sz w:val="24"/>
                <w:szCs w:val="24"/>
                <w:lang w:val="lv-LV" w:eastAsia="lv-LV"/>
              </w:rPr>
              <w:t xml:space="preserve"> un</w:t>
            </w:r>
            <w:r w:rsidRPr="00A76BCC">
              <w:rPr>
                <w:rFonts w:ascii="Times New Roman" w:eastAsia="Times New Roman" w:hAnsi="Times New Roman"/>
                <w:sz w:val="24"/>
                <w:szCs w:val="24"/>
                <w:lang w:val="lv-LV" w:eastAsia="lv-LV"/>
              </w:rPr>
              <w:t xml:space="preserve"> uzskaiti un pieņem lēmumu par atklātā konkursa projektu pārskatos iekļauto attiecināmo izdevumu apmēru.</w:t>
            </w:r>
          </w:p>
          <w:p w14:paraId="7B00C0B3" w14:textId="77777777" w:rsidR="002F320A" w:rsidRPr="000C044C" w:rsidRDefault="002F320A" w:rsidP="00731493">
            <w:pPr>
              <w:jc w:val="both"/>
              <w:rPr>
                <w:rFonts w:ascii="Times New Roman" w:eastAsia="Times New Roman" w:hAnsi="Times New Roman" w:cs="Times New Roman"/>
                <w:sz w:val="24"/>
                <w:szCs w:val="24"/>
                <w:lang w:eastAsia="lv-LV"/>
              </w:rPr>
            </w:pPr>
          </w:p>
          <w:p w14:paraId="70CD8898" w14:textId="20818C0C" w:rsidR="00FC2D54" w:rsidRDefault="00FC2D54" w:rsidP="00731493">
            <w:pPr>
              <w:jc w:val="both"/>
              <w:rPr>
                <w:rFonts w:ascii="Times New Roman" w:hAnsi="Times New Roman" w:cs="Times New Roman"/>
                <w:sz w:val="24"/>
                <w:szCs w:val="24"/>
              </w:rPr>
            </w:pPr>
            <w:r w:rsidRPr="000C044C">
              <w:rPr>
                <w:rFonts w:ascii="Times New Roman" w:hAnsi="Times New Roman" w:cs="Times New Roman"/>
                <w:sz w:val="24"/>
                <w:szCs w:val="24"/>
                <w:shd w:val="clear" w:color="auto" w:fill="FFFFFF"/>
              </w:rPr>
              <w:t>Ņemot vērā minēto</w:t>
            </w:r>
            <w:r w:rsidR="007209D4" w:rsidRPr="000C044C">
              <w:rPr>
                <w:rFonts w:ascii="Times New Roman" w:hAnsi="Times New Roman" w:cs="Times New Roman"/>
                <w:sz w:val="24"/>
                <w:szCs w:val="24"/>
                <w:shd w:val="clear" w:color="auto" w:fill="FFFFFF"/>
              </w:rPr>
              <w:t xml:space="preserve"> un</w:t>
            </w:r>
            <w:r w:rsidRPr="000C044C">
              <w:rPr>
                <w:rFonts w:ascii="Times New Roman" w:hAnsi="Times New Roman" w:cs="Times New Roman"/>
                <w:sz w:val="24"/>
                <w:szCs w:val="24"/>
                <w:shd w:val="clear" w:color="auto" w:fill="FFFFFF"/>
              </w:rPr>
              <w:t>,</w:t>
            </w:r>
            <w:r w:rsidR="007209D4" w:rsidRPr="000C044C">
              <w:rPr>
                <w:rFonts w:ascii="Times New Roman" w:hAnsi="Times New Roman" w:cs="Times New Roman"/>
                <w:sz w:val="24"/>
                <w:szCs w:val="24"/>
                <w:shd w:val="clear" w:color="auto" w:fill="FFFFFF"/>
              </w:rPr>
              <w:t xml:space="preserve"> lai nodrošinātu efektīvāku programmas īstenošanu</w:t>
            </w:r>
            <w:r w:rsidRPr="000C044C">
              <w:rPr>
                <w:rFonts w:ascii="Times New Roman" w:hAnsi="Times New Roman" w:cs="Times New Roman"/>
                <w:sz w:val="24"/>
                <w:szCs w:val="24"/>
                <w:shd w:val="clear" w:color="auto" w:fill="FFFFFF"/>
              </w:rPr>
              <w:t xml:space="preserve"> un</w:t>
            </w:r>
            <w:r w:rsidR="007209D4" w:rsidRPr="000C044C">
              <w:rPr>
                <w:rFonts w:ascii="Times New Roman" w:hAnsi="Times New Roman" w:cs="Times New Roman"/>
                <w:sz w:val="24"/>
                <w:szCs w:val="24"/>
                <w:shd w:val="clear" w:color="auto" w:fill="FFFFFF"/>
              </w:rPr>
              <w:t xml:space="preserve"> projektu </w:t>
            </w:r>
            <w:r w:rsidR="00403647" w:rsidRPr="000C044C">
              <w:rPr>
                <w:rFonts w:ascii="Times New Roman" w:hAnsi="Times New Roman" w:cs="Times New Roman"/>
                <w:sz w:val="24"/>
                <w:szCs w:val="24"/>
                <w:shd w:val="clear" w:color="auto" w:fill="FFFFFF"/>
              </w:rPr>
              <w:t xml:space="preserve">iesniegumu iesniedzējiem </w:t>
            </w:r>
            <w:r w:rsidR="007209D4" w:rsidRPr="000C044C">
              <w:rPr>
                <w:rFonts w:ascii="Times New Roman" w:hAnsi="Times New Roman" w:cs="Times New Roman"/>
                <w:sz w:val="24"/>
                <w:szCs w:val="24"/>
                <w:shd w:val="clear" w:color="auto" w:fill="FFFFFF"/>
              </w:rPr>
              <w:t xml:space="preserve">plānoto programmas atklāto konkursu skaidru uztveramību un nodalītību, programmas </w:t>
            </w:r>
            <w:r w:rsidR="00F90C8A" w:rsidRPr="000C044C">
              <w:rPr>
                <w:rFonts w:ascii="Times New Roman" w:hAnsi="Times New Roman" w:cs="Times New Roman"/>
                <w:sz w:val="24"/>
                <w:szCs w:val="24"/>
                <w:shd w:val="clear" w:color="auto" w:fill="FFFFFF"/>
              </w:rPr>
              <w:t>apsaimniekotāj</w:t>
            </w:r>
            <w:r w:rsidR="00F90C8A">
              <w:rPr>
                <w:rFonts w:ascii="Times New Roman" w:hAnsi="Times New Roman" w:cs="Times New Roman"/>
                <w:sz w:val="24"/>
                <w:szCs w:val="24"/>
                <w:shd w:val="clear" w:color="auto" w:fill="FFFFFF"/>
              </w:rPr>
              <w:t>s</w:t>
            </w:r>
            <w:r w:rsidR="00F90C8A" w:rsidRPr="000C044C">
              <w:rPr>
                <w:rFonts w:ascii="Times New Roman" w:hAnsi="Times New Roman" w:cs="Times New Roman"/>
                <w:sz w:val="24"/>
                <w:szCs w:val="24"/>
                <w:shd w:val="clear" w:color="auto" w:fill="FFFFFF"/>
              </w:rPr>
              <w:t xml:space="preserve"> sadarbībā ar</w:t>
            </w:r>
            <w:r w:rsidR="00F90C8A" w:rsidRPr="000C044C">
              <w:rPr>
                <w:rFonts w:ascii="Times New Roman" w:hAnsi="Times New Roman" w:cs="Times New Roman"/>
                <w:sz w:val="24"/>
                <w:szCs w:val="24"/>
              </w:rPr>
              <w:t xml:space="preserve"> </w:t>
            </w:r>
            <w:r w:rsidR="00F90C8A" w:rsidRPr="000C044C">
              <w:rPr>
                <w:rFonts w:ascii="Times New Roman" w:hAnsi="Times New Roman" w:cs="Times New Roman"/>
                <w:sz w:val="24"/>
                <w:szCs w:val="24"/>
                <w:shd w:val="clear" w:color="auto" w:fill="FFFFFF"/>
              </w:rPr>
              <w:lastRenderedPageBreak/>
              <w:t>programmas partneri</w:t>
            </w:r>
            <w:r w:rsidR="00F90C8A">
              <w:rPr>
                <w:rFonts w:ascii="Times New Roman" w:hAnsi="Times New Roman" w:cs="Times New Roman"/>
                <w:sz w:val="24"/>
                <w:szCs w:val="24"/>
                <w:shd w:val="clear" w:color="auto" w:fill="FFFFFF"/>
              </w:rPr>
              <w:t xml:space="preserve"> </w:t>
            </w:r>
            <w:r w:rsidR="007209D4" w:rsidRPr="000C044C">
              <w:rPr>
                <w:rFonts w:ascii="Times New Roman" w:hAnsi="Times New Roman" w:cs="Times New Roman"/>
                <w:sz w:val="24"/>
                <w:szCs w:val="24"/>
              </w:rPr>
              <w:t xml:space="preserve">izstrādā atsevišķu </w:t>
            </w:r>
            <w:r w:rsidR="003F230E" w:rsidRPr="000C044C">
              <w:rPr>
                <w:rFonts w:ascii="Times New Roman" w:eastAsia="Times New Roman" w:hAnsi="Times New Roman" w:cs="Times New Roman"/>
                <w:sz w:val="24"/>
                <w:szCs w:val="24"/>
                <w:lang w:eastAsia="lv-LV"/>
              </w:rPr>
              <w:t>Noteikumu projektu</w:t>
            </w:r>
            <w:r w:rsidR="007209D4" w:rsidRPr="000C044C">
              <w:rPr>
                <w:rFonts w:ascii="Times New Roman" w:hAnsi="Times New Roman" w:cs="Times New Roman"/>
                <w:sz w:val="24"/>
                <w:szCs w:val="24"/>
              </w:rPr>
              <w:t>, kas nosaka atklātā projektu konkursa īstenošanas kārtību.</w:t>
            </w:r>
          </w:p>
          <w:p w14:paraId="51ACBDE8" w14:textId="77777777" w:rsidR="00731493" w:rsidRPr="000C044C" w:rsidRDefault="00731493" w:rsidP="00731493">
            <w:pPr>
              <w:jc w:val="both"/>
              <w:rPr>
                <w:rFonts w:ascii="Times New Roman" w:hAnsi="Times New Roman" w:cs="Times New Roman"/>
                <w:sz w:val="24"/>
                <w:szCs w:val="24"/>
              </w:rPr>
            </w:pPr>
          </w:p>
          <w:p w14:paraId="553D4567" w14:textId="0DD3DBE3" w:rsidR="0091570D" w:rsidRDefault="0091570D" w:rsidP="00731493">
            <w:pPr>
              <w:jc w:val="both"/>
              <w:rPr>
                <w:rFonts w:ascii="Times New Roman" w:hAnsi="Times New Roman" w:cs="Times New Roman"/>
                <w:sz w:val="24"/>
                <w:szCs w:val="24"/>
              </w:rPr>
            </w:pPr>
            <w:r w:rsidRPr="000C044C">
              <w:rPr>
                <w:rFonts w:ascii="Times New Roman" w:hAnsi="Times New Roman" w:cs="Times New Roman"/>
                <w:sz w:val="24"/>
                <w:szCs w:val="24"/>
              </w:rPr>
              <w:t xml:space="preserve">Potenciālie atklātā konkursa projektu iesniedzēji </w:t>
            </w:r>
            <w:r w:rsidR="00A51024">
              <w:rPr>
                <w:rFonts w:ascii="Times New Roman" w:hAnsi="Times New Roman" w:cs="Times New Roman"/>
                <w:sz w:val="24"/>
                <w:szCs w:val="24"/>
              </w:rPr>
              <w:t xml:space="preserve">Noteikumu projektā </w:t>
            </w:r>
            <w:r w:rsidRPr="000C044C">
              <w:rPr>
                <w:rFonts w:ascii="Times New Roman" w:hAnsi="Times New Roman" w:cs="Times New Roman"/>
                <w:sz w:val="24"/>
                <w:szCs w:val="24"/>
              </w:rPr>
              <w:t xml:space="preserve">varēs iepazīties ar </w:t>
            </w:r>
            <w:r w:rsidR="00A51024">
              <w:rPr>
                <w:rFonts w:ascii="Times New Roman" w:hAnsi="Times New Roman" w:cs="Times New Roman"/>
                <w:sz w:val="24"/>
                <w:szCs w:val="24"/>
              </w:rPr>
              <w:t>atklātā</w:t>
            </w:r>
            <w:r w:rsidRPr="000C044C">
              <w:rPr>
                <w:rFonts w:ascii="Times New Roman" w:hAnsi="Times New Roman" w:cs="Times New Roman"/>
                <w:sz w:val="24"/>
                <w:szCs w:val="24"/>
              </w:rPr>
              <w:t xml:space="preserve"> konkursa nosacījumiem un vērtēšanas kritērijiem. </w:t>
            </w:r>
          </w:p>
          <w:p w14:paraId="2A44EF4F" w14:textId="77777777" w:rsidR="00731493" w:rsidRPr="000C044C" w:rsidRDefault="00731493" w:rsidP="00731493">
            <w:pPr>
              <w:jc w:val="both"/>
              <w:rPr>
                <w:rFonts w:ascii="Times New Roman" w:hAnsi="Times New Roman" w:cs="Times New Roman"/>
                <w:sz w:val="24"/>
                <w:szCs w:val="24"/>
              </w:rPr>
            </w:pPr>
          </w:p>
          <w:p w14:paraId="076DC53C" w14:textId="020AE39F" w:rsidR="0091570D" w:rsidRPr="000C044C" w:rsidRDefault="0091570D" w:rsidP="00731493">
            <w:pPr>
              <w:jc w:val="both"/>
              <w:rPr>
                <w:rFonts w:ascii="Times New Roman" w:hAnsi="Times New Roman" w:cs="Times New Roman"/>
                <w:sz w:val="24"/>
                <w:szCs w:val="24"/>
                <w:shd w:val="clear" w:color="auto" w:fill="FFFFFF"/>
              </w:rPr>
            </w:pPr>
            <w:r w:rsidRPr="000C044C">
              <w:rPr>
                <w:rFonts w:ascii="Times New Roman" w:hAnsi="Times New Roman" w:cs="Times New Roman"/>
                <w:sz w:val="24"/>
                <w:szCs w:val="24"/>
              </w:rPr>
              <w:t>Programmas rezultāt</w:t>
            </w:r>
            <w:r w:rsidR="00A51024">
              <w:rPr>
                <w:rFonts w:ascii="Times New Roman" w:hAnsi="Times New Roman" w:cs="Times New Roman"/>
                <w:sz w:val="24"/>
                <w:szCs w:val="24"/>
              </w:rPr>
              <w:t>u</w:t>
            </w:r>
            <w:r w:rsidRPr="000C044C">
              <w:rPr>
                <w:rFonts w:ascii="Times New Roman" w:hAnsi="Times New Roman" w:cs="Times New Roman"/>
                <w:sz w:val="24"/>
                <w:szCs w:val="24"/>
              </w:rPr>
              <w:t xml:space="preserve"> un iznākum</w:t>
            </w:r>
            <w:r w:rsidR="00A51024">
              <w:rPr>
                <w:rFonts w:ascii="Times New Roman" w:hAnsi="Times New Roman" w:cs="Times New Roman"/>
                <w:sz w:val="24"/>
                <w:szCs w:val="24"/>
              </w:rPr>
              <w:t>u</w:t>
            </w:r>
            <w:r w:rsidRPr="000C044C">
              <w:rPr>
                <w:rFonts w:ascii="Times New Roman" w:hAnsi="Times New Roman" w:cs="Times New Roman"/>
                <w:sz w:val="24"/>
                <w:szCs w:val="24"/>
              </w:rPr>
              <w:t xml:space="preserve"> rādītāji ir noteikti </w:t>
            </w:r>
            <w:r w:rsidR="00F90C8A">
              <w:rPr>
                <w:rFonts w:ascii="Times New Roman" w:hAnsi="Times New Roman" w:cs="Times New Roman"/>
                <w:sz w:val="24"/>
                <w:szCs w:val="24"/>
              </w:rPr>
              <w:t>p</w:t>
            </w:r>
            <w:r w:rsidR="00A51024">
              <w:rPr>
                <w:rFonts w:ascii="Times New Roman" w:hAnsi="Times New Roman" w:cs="Times New Roman"/>
                <w:sz w:val="24"/>
                <w:szCs w:val="24"/>
              </w:rPr>
              <w:t>rogrammas īstenošanas noteikum</w:t>
            </w:r>
            <w:r w:rsidR="00F90C8A">
              <w:rPr>
                <w:rFonts w:ascii="Times New Roman" w:hAnsi="Times New Roman" w:cs="Times New Roman"/>
                <w:sz w:val="24"/>
                <w:szCs w:val="24"/>
              </w:rPr>
              <w:t>os</w:t>
            </w:r>
            <w:r w:rsidRPr="000C044C">
              <w:rPr>
                <w:rFonts w:ascii="Times New Roman" w:hAnsi="Times New Roman" w:cs="Times New Roman"/>
                <w:sz w:val="24"/>
                <w:szCs w:val="24"/>
              </w:rPr>
              <w:t>, jo tie attiecas uz programmas mērķu sasniegšanu kopumā. Katrs veiksmīgi īstenots projekts sniedz pienesumu programmas mērķu sasniegšanā, tomēr katram projektam tiek definēti tā individuālie mērķi un sasniedzamie rezultāti. Kultūras jomas atklātā konkursa ietvaros sasniedzamo rezultāt</w:t>
            </w:r>
            <w:r w:rsidR="00A51024">
              <w:rPr>
                <w:rFonts w:ascii="Times New Roman" w:hAnsi="Times New Roman" w:cs="Times New Roman"/>
                <w:sz w:val="24"/>
                <w:szCs w:val="24"/>
              </w:rPr>
              <w:t>u</w:t>
            </w:r>
            <w:r w:rsidRPr="000C044C">
              <w:rPr>
                <w:rFonts w:ascii="Times New Roman" w:hAnsi="Times New Roman" w:cs="Times New Roman"/>
                <w:sz w:val="24"/>
                <w:szCs w:val="24"/>
              </w:rPr>
              <w:t xml:space="preserve"> un iznākum</w:t>
            </w:r>
            <w:r w:rsidR="00A51024">
              <w:rPr>
                <w:rFonts w:ascii="Times New Roman" w:hAnsi="Times New Roman" w:cs="Times New Roman"/>
                <w:sz w:val="24"/>
                <w:szCs w:val="24"/>
              </w:rPr>
              <w:t>u</w:t>
            </w:r>
            <w:r w:rsidRPr="000C044C">
              <w:rPr>
                <w:rFonts w:ascii="Times New Roman" w:hAnsi="Times New Roman" w:cs="Times New Roman"/>
                <w:sz w:val="24"/>
                <w:szCs w:val="24"/>
              </w:rPr>
              <w:t xml:space="preserve"> rādītāju vērtības tiks norādītas </w:t>
            </w:r>
            <w:r w:rsidR="00A51024">
              <w:rPr>
                <w:rFonts w:ascii="Times New Roman" w:hAnsi="Times New Roman" w:cs="Times New Roman"/>
                <w:sz w:val="24"/>
                <w:szCs w:val="24"/>
              </w:rPr>
              <w:t xml:space="preserve">atklātā </w:t>
            </w:r>
            <w:r w:rsidRPr="000C044C">
              <w:rPr>
                <w:rFonts w:ascii="Times New Roman" w:hAnsi="Times New Roman" w:cs="Times New Roman"/>
                <w:sz w:val="24"/>
                <w:szCs w:val="24"/>
              </w:rPr>
              <w:t>konkurs</w:t>
            </w:r>
            <w:r w:rsidR="00A51024">
              <w:rPr>
                <w:rFonts w:ascii="Times New Roman" w:hAnsi="Times New Roman" w:cs="Times New Roman"/>
                <w:sz w:val="24"/>
                <w:szCs w:val="24"/>
              </w:rPr>
              <w:t>a</w:t>
            </w:r>
            <w:r w:rsidRPr="000C044C">
              <w:rPr>
                <w:rFonts w:ascii="Times New Roman" w:hAnsi="Times New Roman" w:cs="Times New Roman"/>
                <w:sz w:val="24"/>
                <w:szCs w:val="24"/>
              </w:rPr>
              <w:t xml:space="preserve"> nolikum</w:t>
            </w:r>
            <w:r w:rsidR="00A51024">
              <w:rPr>
                <w:rFonts w:ascii="Times New Roman" w:hAnsi="Times New Roman" w:cs="Times New Roman"/>
                <w:sz w:val="24"/>
                <w:szCs w:val="24"/>
              </w:rPr>
              <w:t>ā</w:t>
            </w:r>
            <w:r w:rsidRPr="000C044C">
              <w:rPr>
                <w:rFonts w:ascii="Times New Roman" w:hAnsi="Times New Roman" w:cs="Times New Roman"/>
                <w:sz w:val="24"/>
                <w:szCs w:val="24"/>
              </w:rPr>
              <w:t xml:space="preserve">. </w:t>
            </w:r>
          </w:p>
          <w:p w14:paraId="07604C44" w14:textId="77777777" w:rsidR="0091570D" w:rsidRPr="0013168C" w:rsidRDefault="0091570D" w:rsidP="00731493">
            <w:pPr>
              <w:jc w:val="both"/>
              <w:rPr>
                <w:rFonts w:ascii="Times New Roman" w:hAnsi="Times New Roman" w:cs="Times New Roman"/>
                <w:sz w:val="24"/>
                <w:szCs w:val="24"/>
                <w:shd w:val="clear" w:color="auto" w:fill="FFFFFF"/>
              </w:rPr>
            </w:pPr>
          </w:p>
          <w:p w14:paraId="4556B0A5" w14:textId="1FF9EFCC" w:rsidR="00FC2D54" w:rsidRPr="000C044C" w:rsidRDefault="006D082C" w:rsidP="00731493">
            <w:pPr>
              <w:widowControl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Atklātais konkurss tiks īstenots </w:t>
            </w:r>
            <w:r w:rsidR="008F3F64" w:rsidRPr="000C044C">
              <w:rPr>
                <w:rFonts w:ascii="Times New Roman" w:hAnsi="Times New Roman" w:cs="Times New Roman"/>
                <w:sz w:val="24"/>
                <w:szCs w:val="24"/>
                <w:shd w:val="clear" w:color="auto" w:fill="FFFFFF"/>
              </w:rPr>
              <w:t>divās kārtās ar mērķi uzlabot pieejamību profesionālajai laikmetīgajai mākslai un kultūrai Latvijas reģionos, atbalstot profesionālās laikmetīgās mākslas un kultūras produktu radīšanu un veicinot auditorijas attīstības un kultūras izpratnes un izpausmju kompetenču uzlabošanos visos Latvijas reģionos.</w:t>
            </w:r>
          </w:p>
          <w:p w14:paraId="1D7FD8C2" w14:textId="77777777" w:rsidR="005B208B" w:rsidRPr="000C044C" w:rsidRDefault="005B208B" w:rsidP="00731493">
            <w:pPr>
              <w:widowControl w:val="0"/>
              <w:jc w:val="both"/>
              <w:rPr>
                <w:rFonts w:ascii="Times New Roman" w:hAnsi="Times New Roman" w:cs="Times New Roman"/>
                <w:sz w:val="24"/>
                <w:szCs w:val="24"/>
                <w:shd w:val="clear" w:color="auto" w:fill="FFFFFF"/>
              </w:rPr>
            </w:pPr>
          </w:p>
          <w:p w14:paraId="5465F50F" w14:textId="362E6AC5" w:rsidR="00FC2D54" w:rsidRPr="000C044C" w:rsidRDefault="003F230E" w:rsidP="00731493">
            <w:pPr>
              <w:widowControl w:val="0"/>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 xml:space="preserve">Noteikumu projekts </w:t>
            </w:r>
            <w:r w:rsidR="005504F2" w:rsidRPr="000C044C">
              <w:rPr>
                <w:rFonts w:ascii="Times New Roman" w:eastAsia="Times New Roman" w:hAnsi="Times New Roman" w:cs="Times New Roman"/>
                <w:sz w:val="24"/>
                <w:szCs w:val="24"/>
                <w:lang w:eastAsia="lv-LV"/>
              </w:rPr>
              <w:t>nosaka</w:t>
            </w:r>
            <w:r w:rsidR="007C73F8" w:rsidRPr="000C044C">
              <w:rPr>
                <w:rFonts w:ascii="Times New Roman" w:eastAsia="Times New Roman" w:hAnsi="Times New Roman" w:cs="Times New Roman"/>
                <w:sz w:val="24"/>
                <w:szCs w:val="24"/>
                <w:lang w:eastAsia="lv-LV"/>
              </w:rPr>
              <w:t xml:space="preserve"> programmas</w:t>
            </w:r>
            <w:r w:rsidR="007209D4" w:rsidRPr="000C044C">
              <w:rPr>
                <w:rFonts w:ascii="Times New Roman" w:eastAsia="Times New Roman" w:hAnsi="Times New Roman" w:cs="Times New Roman"/>
                <w:sz w:val="24"/>
                <w:szCs w:val="24"/>
                <w:lang w:eastAsia="lv-LV"/>
              </w:rPr>
              <w:t xml:space="preserve"> atklātā konkursa</w:t>
            </w:r>
            <w:r w:rsidR="007C73F8" w:rsidRPr="000C044C">
              <w:rPr>
                <w:rFonts w:ascii="Times New Roman" w:eastAsia="Times New Roman" w:hAnsi="Times New Roman" w:cs="Times New Roman"/>
                <w:sz w:val="24"/>
                <w:szCs w:val="24"/>
                <w:lang w:eastAsia="lv-LV"/>
              </w:rPr>
              <w:t xml:space="preserve"> mērķi</w:t>
            </w:r>
            <w:r w:rsidR="005504F2" w:rsidRPr="000C044C">
              <w:rPr>
                <w:rFonts w:ascii="Times New Roman" w:eastAsia="Times New Roman" w:hAnsi="Times New Roman" w:cs="Times New Roman"/>
                <w:sz w:val="24"/>
                <w:szCs w:val="24"/>
                <w:lang w:eastAsia="lv-LV"/>
              </w:rPr>
              <w:t xml:space="preserve">, pieejamo finansējumu, </w:t>
            </w:r>
            <w:r w:rsidR="007209D4" w:rsidRPr="000C044C">
              <w:rPr>
                <w:rFonts w:ascii="Times New Roman" w:eastAsia="Times New Roman" w:hAnsi="Times New Roman" w:cs="Times New Roman"/>
                <w:sz w:val="24"/>
                <w:szCs w:val="24"/>
                <w:lang w:eastAsia="lv-LV"/>
              </w:rPr>
              <w:t xml:space="preserve">atklātā konkursa projektu atbalstāmās darbības, projektu </w:t>
            </w:r>
            <w:r w:rsidR="0007454F">
              <w:rPr>
                <w:rFonts w:ascii="Times New Roman" w:eastAsia="Times New Roman" w:hAnsi="Times New Roman" w:cs="Times New Roman"/>
                <w:sz w:val="24"/>
                <w:szCs w:val="24"/>
                <w:lang w:eastAsia="lv-LV"/>
              </w:rPr>
              <w:t xml:space="preserve">izmaksu </w:t>
            </w:r>
            <w:r w:rsidR="007209D4" w:rsidRPr="000C044C">
              <w:rPr>
                <w:rFonts w:ascii="Times New Roman" w:eastAsia="Times New Roman" w:hAnsi="Times New Roman" w:cs="Times New Roman"/>
                <w:sz w:val="24"/>
                <w:szCs w:val="24"/>
                <w:lang w:eastAsia="lv-LV"/>
              </w:rPr>
              <w:t>attiecināmības nosacījumus, prasības projektu iesniegum</w:t>
            </w:r>
            <w:r w:rsidR="00565169" w:rsidRPr="000C044C">
              <w:rPr>
                <w:rFonts w:ascii="Times New Roman" w:eastAsia="Times New Roman" w:hAnsi="Times New Roman" w:cs="Times New Roman"/>
                <w:sz w:val="24"/>
                <w:szCs w:val="24"/>
                <w:lang w:eastAsia="lv-LV"/>
              </w:rPr>
              <w:t>u</w:t>
            </w:r>
            <w:r w:rsidR="007209D4" w:rsidRPr="000C044C">
              <w:rPr>
                <w:rFonts w:ascii="Times New Roman" w:eastAsia="Times New Roman" w:hAnsi="Times New Roman" w:cs="Times New Roman"/>
                <w:sz w:val="24"/>
                <w:szCs w:val="24"/>
                <w:lang w:eastAsia="lv-LV"/>
              </w:rPr>
              <w:t xml:space="preserve"> iesniedzējiem un projekt</w:t>
            </w:r>
            <w:r w:rsidR="00565169" w:rsidRPr="000C044C">
              <w:rPr>
                <w:rFonts w:ascii="Times New Roman" w:eastAsia="Times New Roman" w:hAnsi="Times New Roman" w:cs="Times New Roman"/>
                <w:sz w:val="24"/>
                <w:szCs w:val="24"/>
                <w:lang w:eastAsia="lv-LV"/>
              </w:rPr>
              <w:t>u</w:t>
            </w:r>
            <w:r w:rsidR="007209D4" w:rsidRPr="000C044C">
              <w:rPr>
                <w:rFonts w:ascii="Times New Roman" w:eastAsia="Times New Roman" w:hAnsi="Times New Roman" w:cs="Times New Roman"/>
                <w:sz w:val="24"/>
                <w:szCs w:val="24"/>
                <w:lang w:eastAsia="lv-LV"/>
              </w:rPr>
              <w:t xml:space="preserve"> partneriem</w:t>
            </w:r>
            <w:r w:rsidR="007C73F8" w:rsidRPr="000C044C">
              <w:rPr>
                <w:rFonts w:ascii="Times New Roman" w:eastAsia="Times New Roman" w:hAnsi="Times New Roman" w:cs="Times New Roman"/>
                <w:sz w:val="24"/>
                <w:szCs w:val="24"/>
                <w:lang w:eastAsia="lv-LV"/>
              </w:rPr>
              <w:t>,</w:t>
            </w:r>
            <w:r w:rsidR="007209D4" w:rsidRPr="000C044C">
              <w:rPr>
                <w:rFonts w:ascii="Times New Roman" w:eastAsia="Times New Roman" w:hAnsi="Times New Roman" w:cs="Times New Roman"/>
                <w:sz w:val="24"/>
                <w:szCs w:val="24"/>
                <w:lang w:eastAsia="lv-LV"/>
              </w:rPr>
              <w:t xml:space="preserve"> </w:t>
            </w:r>
            <w:r w:rsidR="0007454F">
              <w:rPr>
                <w:rFonts w:ascii="Times New Roman" w:eastAsia="Times New Roman" w:hAnsi="Times New Roman" w:cs="Times New Roman"/>
                <w:sz w:val="24"/>
                <w:szCs w:val="24"/>
                <w:lang w:eastAsia="lv-LV"/>
              </w:rPr>
              <w:t xml:space="preserve">projektu iesniegumu vērtēšanas kritērijus, </w:t>
            </w:r>
            <w:r w:rsidR="007209D4" w:rsidRPr="000C044C">
              <w:rPr>
                <w:rFonts w:ascii="Times New Roman" w:eastAsia="Times New Roman" w:hAnsi="Times New Roman" w:cs="Times New Roman"/>
                <w:sz w:val="24"/>
                <w:szCs w:val="24"/>
                <w:lang w:eastAsia="lv-LV"/>
              </w:rPr>
              <w:t>kā arī</w:t>
            </w:r>
            <w:r w:rsidR="007C73F8" w:rsidRPr="000C044C">
              <w:rPr>
                <w:rFonts w:ascii="Times New Roman" w:eastAsia="Times New Roman" w:hAnsi="Times New Roman" w:cs="Times New Roman"/>
                <w:sz w:val="24"/>
                <w:szCs w:val="24"/>
                <w:lang w:eastAsia="lv-LV"/>
              </w:rPr>
              <w:t xml:space="preserve"> projekt</w:t>
            </w:r>
            <w:r w:rsidR="00A97A08">
              <w:rPr>
                <w:rFonts w:ascii="Times New Roman" w:eastAsia="Times New Roman" w:hAnsi="Times New Roman" w:cs="Times New Roman"/>
                <w:sz w:val="24"/>
                <w:szCs w:val="24"/>
                <w:lang w:eastAsia="lv-LV"/>
              </w:rPr>
              <w:t>a</w:t>
            </w:r>
            <w:r w:rsidR="007C73F8" w:rsidRPr="000C044C">
              <w:rPr>
                <w:rFonts w:ascii="Times New Roman" w:eastAsia="Times New Roman" w:hAnsi="Times New Roman" w:cs="Times New Roman"/>
                <w:sz w:val="24"/>
                <w:szCs w:val="24"/>
                <w:lang w:eastAsia="lv-LV"/>
              </w:rPr>
              <w:t xml:space="preserve"> līguma </w:t>
            </w:r>
            <w:r w:rsidR="005504F2" w:rsidRPr="000C044C">
              <w:rPr>
                <w:rFonts w:ascii="Times New Roman" w:eastAsia="Times New Roman" w:hAnsi="Times New Roman" w:cs="Times New Roman"/>
                <w:sz w:val="24"/>
                <w:szCs w:val="24"/>
                <w:lang w:eastAsia="lv-LV"/>
              </w:rPr>
              <w:t xml:space="preserve">grozījumu </w:t>
            </w:r>
            <w:r w:rsidR="0007454F">
              <w:rPr>
                <w:rFonts w:ascii="Times New Roman" w:eastAsia="Times New Roman" w:hAnsi="Times New Roman" w:cs="Times New Roman"/>
                <w:sz w:val="24"/>
                <w:szCs w:val="24"/>
                <w:lang w:eastAsia="lv-LV"/>
              </w:rPr>
              <w:t>izdarīšanas</w:t>
            </w:r>
            <w:r w:rsidR="0007454F" w:rsidRPr="000C044C">
              <w:rPr>
                <w:rFonts w:ascii="Times New Roman" w:eastAsia="Times New Roman" w:hAnsi="Times New Roman" w:cs="Times New Roman"/>
                <w:sz w:val="24"/>
                <w:szCs w:val="24"/>
                <w:lang w:eastAsia="lv-LV"/>
              </w:rPr>
              <w:t xml:space="preserve"> </w:t>
            </w:r>
            <w:r w:rsidR="005504F2" w:rsidRPr="000C044C">
              <w:rPr>
                <w:rFonts w:ascii="Times New Roman" w:eastAsia="Times New Roman" w:hAnsi="Times New Roman" w:cs="Times New Roman"/>
                <w:sz w:val="24"/>
                <w:szCs w:val="24"/>
                <w:lang w:eastAsia="lv-LV"/>
              </w:rPr>
              <w:t>kārtību</w:t>
            </w:r>
            <w:r w:rsidR="007C73F8" w:rsidRPr="000C044C">
              <w:rPr>
                <w:rFonts w:ascii="Times New Roman" w:eastAsia="Times New Roman" w:hAnsi="Times New Roman" w:cs="Times New Roman"/>
                <w:sz w:val="24"/>
                <w:szCs w:val="24"/>
                <w:lang w:eastAsia="lv-LV"/>
              </w:rPr>
              <w:t xml:space="preserve"> un projekta līguma </w:t>
            </w:r>
            <w:r w:rsidR="005504F2" w:rsidRPr="000C044C">
              <w:rPr>
                <w:rFonts w:ascii="Times New Roman" w:eastAsia="Times New Roman" w:hAnsi="Times New Roman" w:cs="Times New Roman"/>
                <w:sz w:val="24"/>
                <w:szCs w:val="24"/>
                <w:lang w:eastAsia="lv-LV"/>
              </w:rPr>
              <w:t xml:space="preserve">vienpusēja uzteikuma </w:t>
            </w:r>
            <w:r w:rsidR="0007454F">
              <w:rPr>
                <w:rFonts w:ascii="Times New Roman" w:eastAsia="Times New Roman" w:hAnsi="Times New Roman" w:cs="Times New Roman"/>
                <w:sz w:val="24"/>
                <w:szCs w:val="24"/>
                <w:lang w:eastAsia="lv-LV"/>
              </w:rPr>
              <w:t>kārtību</w:t>
            </w:r>
            <w:r w:rsidR="007209D4" w:rsidRPr="000C044C">
              <w:rPr>
                <w:rFonts w:ascii="Times New Roman" w:eastAsia="Times New Roman" w:hAnsi="Times New Roman" w:cs="Times New Roman"/>
                <w:sz w:val="24"/>
                <w:szCs w:val="24"/>
                <w:lang w:eastAsia="lv-LV"/>
              </w:rPr>
              <w:t xml:space="preserve">. </w:t>
            </w:r>
            <w:r w:rsidR="007C73F8" w:rsidRPr="000C044C">
              <w:rPr>
                <w:rFonts w:ascii="Times New Roman" w:eastAsia="Times New Roman" w:hAnsi="Times New Roman" w:cs="Times New Roman"/>
                <w:sz w:val="24"/>
                <w:szCs w:val="24"/>
                <w:lang w:eastAsia="lv-LV"/>
              </w:rPr>
              <w:t xml:space="preserve"> </w:t>
            </w:r>
          </w:p>
          <w:p w14:paraId="6FE6A776" w14:textId="77777777" w:rsidR="005B208B" w:rsidRPr="000C044C" w:rsidRDefault="005B208B" w:rsidP="00731493">
            <w:pPr>
              <w:widowControl w:val="0"/>
              <w:jc w:val="both"/>
              <w:rPr>
                <w:rFonts w:ascii="Times New Roman" w:eastAsia="Times New Roman" w:hAnsi="Times New Roman" w:cs="Times New Roman"/>
                <w:sz w:val="24"/>
                <w:szCs w:val="24"/>
                <w:lang w:eastAsia="lv-LV"/>
              </w:rPr>
            </w:pPr>
          </w:p>
          <w:p w14:paraId="13EF48E4" w14:textId="1B88EA62" w:rsidR="00FC2D54" w:rsidRPr="000C044C" w:rsidRDefault="008A427E" w:rsidP="00731493">
            <w:pPr>
              <w:widowControl w:val="0"/>
              <w:jc w:val="both"/>
              <w:rPr>
                <w:rFonts w:ascii="Times New Roman" w:hAnsi="Times New Roman" w:cs="Times New Roman"/>
                <w:sz w:val="24"/>
                <w:szCs w:val="24"/>
                <w:shd w:val="clear" w:color="auto" w:fill="FFFFFF"/>
              </w:rPr>
            </w:pPr>
            <w:r w:rsidRPr="000C044C">
              <w:rPr>
                <w:rFonts w:ascii="Times New Roman" w:hAnsi="Times New Roman" w:cs="Times New Roman"/>
                <w:sz w:val="24"/>
                <w:szCs w:val="24"/>
                <w:shd w:val="clear" w:color="auto" w:fill="FFFFFF"/>
              </w:rPr>
              <w:t>Latvijā šobrīd ir jārisina vairāki reģionāli izaicinājumi, piemēram, iedzīvotāju skaita samazināšanās, ievērojamas reģionālas atšķirības un vāja reģionu starptautiskā konkurētspēj</w:t>
            </w:r>
            <w:r w:rsidR="00452166" w:rsidRPr="000C044C">
              <w:rPr>
                <w:rFonts w:ascii="Times New Roman" w:hAnsi="Times New Roman" w:cs="Times New Roman"/>
                <w:sz w:val="24"/>
                <w:szCs w:val="24"/>
                <w:shd w:val="clear" w:color="auto" w:fill="FFFFFF"/>
              </w:rPr>
              <w:t>a.</w:t>
            </w:r>
            <w:r w:rsidR="00FC2D54" w:rsidRPr="000C044C">
              <w:rPr>
                <w:rFonts w:ascii="Times New Roman" w:hAnsi="Times New Roman" w:cs="Times New Roman"/>
                <w:sz w:val="24"/>
                <w:szCs w:val="24"/>
                <w:shd w:val="clear" w:color="auto" w:fill="FFFFFF"/>
              </w:rPr>
              <w:t xml:space="preserve"> </w:t>
            </w:r>
            <w:r w:rsidRPr="000C044C">
              <w:rPr>
                <w:rFonts w:ascii="Times New Roman" w:hAnsi="Times New Roman" w:cs="Times New Roman"/>
                <w:sz w:val="24"/>
                <w:szCs w:val="24"/>
                <w:shd w:val="clear" w:color="auto" w:fill="FFFFFF"/>
              </w:rPr>
              <w:t xml:space="preserve">Pieejamība profesionālajai laikmetīgajai mākslai un kultūrai ir būtisks aspekts, lai </w:t>
            </w:r>
            <w:r w:rsidR="00565169" w:rsidRPr="000C044C">
              <w:rPr>
                <w:rFonts w:ascii="Times New Roman" w:hAnsi="Times New Roman" w:cs="Times New Roman"/>
                <w:sz w:val="24"/>
                <w:szCs w:val="24"/>
                <w:shd w:val="clear" w:color="auto" w:fill="FFFFFF"/>
              </w:rPr>
              <w:t xml:space="preserve">veicinātu </w:t>
            </w:r>
            <w:r w:rsidRPr="000C044C">
              <w:rPr>
                <w:rFonts w:ascii="Times New Roman" w:hAnsi="Times New Roman" w:cs="Times New Roman"/>
                <w:sz w:val="24"/>
                <w:szCs w:val="24"/>
                <w:shd w:val="clear" w:color="auto" w:fill="FFFFFF"/>
              </w:rPr>
              <w:t>reģionālo konkurētspēju un sociālo saliedētību, kā arī personīgo izaugsmi, kritisko domāšanu, līdzdalību un demokrātiskās vērtības. Pieejamība profesionālajai laikmetīgajai mākslai un kultūrai, kā arī līdzdalība radošajos procesos veicinās izpratni par starpkultūru kompetencēm un viedokļu daudzveidību.</w:t>
            </w:r>
            <w:r w:rsidR="00FC2D54" w:rsidRPr="000C044C">
              <w:rPr>
                <w:rFonts w:ascii="Times New Roman" w:hAnsi="Times New Roman" w:cs="Times New Roman"/>
                <w:sz w:val="24"/>
                <w:szCs w:val="24"/>
                <w:shd w:val="clear" w:color="auto" w:fill="FFFFFF"/>
              </w:rPr>
              <w:t xml:space="preserve"> </w:t>
            </w:r>
            <w:r w:rsidR="00FF5C28" w:rsidRPr="000C044C">
              <w:rPr>
                <w:rFonts w:ascii="Times New Roman" w:hAnsi="Times New Roman" w:cs="Times New Roman"/>
                <w:sz w:val="24"/>
                <w:szCs w:val="24"/>
                <w:shd w:val="clear" w:color="auto" w:fill="FFFFFF"/>
              </w:rPr>
              <w:t xml:space="preserve">Ar </w:t>
            </w:r>
            <w:r w:rsidR="00FB4D4C" w:rsidRPr="000C044C">
              <w:rPr>
                <w:rFonts w:ascii="Times New Roman" w:hAnsi="Times New Roman" w:cs="Times New Roman"/>
                <w:sz w:val="24"/>
                <w:szCs w:val="24"/>
                <w:shd w:val="clear" w:color="auto" w:fill="FFFFFF"/>
              </w:rPr>
              <w:t>profesionāl</w:t>
            </w:r>
            <w:r w:rsidR="00193B23" w:rsidRPr="000C044C">
              <w:rPr>
                <w:rFonts w:ascii="Times New Roman" w:hAnsi="Times New Roman" w:cs="Times New Roman"/>
                <w:sz w:val="24"/>
                <w:szCs w:val="24"/>
                <w:shd w:val="clear" w:color="auto" w:fill="FFFFFF"/>
              </w:rPr>
              <w:t>iem</w:t>
            </w:r>
            <w:r w:rsidR="00FB4D4C" w:rsidRPr="000C044C">
              <w:rPr>
                <w:rFonts w:ascii="Times New Roman" w:hAnsi="Times New Roman" w:cs="Times New Roman"/>
                <w:sz w:val="24"/>
                <w:szCs w:val="24"/>
                <w:shd w:val="clear" w:color="auto" w:fill="FFFFFF"/>
              </w:rPr>
              <w:t xml:space="preserve"> </w:t>
            </w:r>
            <w:r w:rsidR="00FF5C28" w:rsidRPr="000C044C">
              <w:rPr>
                <w:rFonts w:ascii="Times New Roman" w:hAnsi="Times New Roman" w:cs="Times New Roman"/>
                <w:sz w:val="24"/>
                <w:szCs w:val="24"/>
                <w:shd w:val="clear" w:color="auto" w:fill="FFFFFF"/>
              </w:rPr>
              <w:t>laikmetīg</w:t>
            </w:r>
            <w:r w:rsidR="00193B23" w:rsidRPr="000C044C">
              <w:rPr>
                <w:rFonts w:ascii="Times New Roman" w:hAnsi="Times New Roman" w:cs="Times New Roman"/>
                <w:sz w:val="24"/>
                <w:szCs w:val="24"/>
                <w:shd w:val="clear" w:color="auto" w:fill="FFFFFF"/>
              </w:rPr>
              <w:t>iem</w:t>
            </w:r>
            <w:r w:rsidR="00FF5C28" w:rsidRPr="000C044C">
              <w:rPr>
                <w:rFonts w:ascii="Times New Roman" w:hAnsi="Times New Roman" w:cs="Times New Roman"/>
                <w:sz w:val="24"/>
                <w:szCs w:val="24"/>
                <w:shd w:val="clear" w:color="auto" w:fill="FFFFFF"/>
              </w:rPr>
              <w:t xml:space="preserve"> māksl</w:t>
            </w:r>
            <w:r w:rsidR="00193B23" w:rsidRPr="000C044C">
              <w:rPr>
                <w:rFonts w:ascii="Times New Roman" w:hAnsi="Times New Roman" w:cs="Times New Roman"/>
                <w:sz w:val="24"/>
                <w:szCs w:val="24"/>
                <w:shd w:val="clear" w:color="auto" w:fill="FFFFFF"/>
              </w:rPr>
              <w:t>as</w:t>
            </w:r>
            <w:r w:rsidR="00FF5C28" w:rsidRPr="000C044C">
              <w:rPr>
                <w:rFonts w:ascii="Times New Roman" w:hAnsi="Times New Roman" w:cs="Times New Roman"/>
                <w:sz w:val="24"/>
                <w:szCs w:val="24"/>
                <w:shd w:val="clear" w:color="auto" w:fill="FFFFFF"/>
              </w:rPr>
              <w:t xml:space="preserve"> un kultūr</w:t>
            </w:r>
            <w:r w:rsidR="00193B23" w:rsidRPr="000C044C">
              <w:rPr>
                <w:rFonts w:ascii="Times New Roman" w:hAnsi="Times New Roman" w:cs="Times New Roman"/>
                <w:sz w:val="24"/>
                <w:szCs w:val="24"/>
                <w:shd w:val="clear" w:color="auto" w:fill="FFFFFF"/>
              </w:rPr>
              <w:t xml:space="preserve">as produktiem </w:t>
            </w:r>
            <w:r w:rsidR="00FF5C28" w:rsidRPr="000C044C">
              <w:rPr>
                <w:rFonts w:ascii="Times New Roman" w:hAnsi="Times New Roman" w:cs="Times New Roman"/>
                <w:sz w:val="24"/>
                <w:szCs w:val="24"/>
                <w:shd w:val="clear" w:color="auto" w:fill="FFFFFF"/>
              </w:rPr>
              <w:t>šīs programmas ietvaros sapr</w:t>
            </w:r>
            <w:r w:rsidR="00D343CA" w:rsidRPr="000C044C">
              <w:rPr>
                <w:rFonts w:ascii="Times New Roman" w:hAnsi="Times New Roman" w:cs="Times New Roman"/>
                <w:sz w:val="24"/>
                <w:szCs w:val="24"/>
                <w:shd w:val="clear" w:color="auto" w:fill="FFFFFF"/>
              </w:rPr>
              <w:t>o</w:t>
            </w:r>
            <w:r w:rsidR="00FF5C28" w:rsidRPr="000C044C">
              <w:rPr>
                <w:rFonts w:ascii="Times New Roman" w:hAnsi="Times New Roman" w:cs="Times New Roman"/>
                <w:sz w:val="24"/>
                <w:szCs w:val="24"/>
                <w:shd w:val="clear" w:color="auto" w:fill="FFFFFF"/>
              </w:rPr>
              <w:t>t tād</w:t>
            </w:r>
            <w:r w:rsidR="00FC2D54" w:rsidRPr="000C044C">
              <w:rPr>
                <w:rFonts w:ascii="Times New Roman" w:hAnsi="Times New Roman" w:cs="Times New Roman"/>
                <w:sz w:val="24"/>
                <w:szCs w:val="24"/>
                <w:shd w:val="clear" w:color="auto" w:fill="FFFFFF"/>
              </w:rPr>
              <w:t>us</w:t>
            </w:r>
            <w:r w:rsidR="00FF5C28" w:rsidRPr="000C044C">
              <w:rPr>
                <w:rFonts w:ascii="Times New Roman" w:hAnsi="Times New Roman" w:cs="Times New Roman"/>
                <w:sz w:val="24"/>
                <w:szCs w:val="24"/>
                <w:shd w:val="clear" w:color="auto" w:fill="FFFFFF"/>
              </w:rPr>
              <w:t xml:space="preserve"> kultūras un mākslas </w:t>
            </w:r>
            <w:r w:rsidR="00FB4D4C" w:rsidRPr="000C044C">
              <w:rPr>
                <w:rFonts w:ascii="Times New Roman" w:hAnsi="Times New Roman" w:cs="Times New Roman"/>
                <w:sz w:val="24"/>
                <w:szCs w:val="24"/>
                <w:shd w:val="clear" w:color="auto" w:fill="FFFFFF"/>
              </w:rPr>
              <w:t>produkt</w:t>
            </w:r>
            <w:r w:rsidR="00FC2D54" w:rsidRPr="000C044C">
              <w:rPr>
                <w:rFonts w:ascii="Times New Roman" w:hAnsi="Times New Roman" w:cs="Times New Roman"/>
                <w:sz w:val="24"/>
                <w:szCs w:val="24"/>
                <w:shd w:val="clear" w:color="auto" w:fill="FFFFFF"/>
              </w:rPr>
              <w:t>us</w:t>
            </w:r>
            <w:r w:rsidR="00FF5C28" w:rsidRPr="000C044C">
              <w:rPr>
                <w:rFonts w:ascii="Times New Roman" w:hAnsi="Times New Roman" w:cs="Times New Roman"/>
                <w:sz w:val="24"/>
                <w:szCs w:val="24"/>
                <w:shd w:val="clear" w:color="auto" w:fill="FFFFFF"/>
              </w:rPr>
              <w:t>, kas</w:t>
            </w:r>
            <w:r w:rsidR="006D1C76" w:rsidRPr="000C044C">
              <w:rPr>
                <w:rFonts w:ascii="Times New Roman" w:hAnsi="Times New Roman" w:cs="Times New Roman"/>
                <w:sz w:val="24"/>
                <w:szCs w:val="24"/>
                <w:shd w:val="clear" w:color="auto" w:fill="FFFFFF"/>
              </w:rPr>
              <w:t xml:space="preserve"> </w:t>
            </w:r>
            <w:r w:rsidR="000800E8" w:rsidRPr="000C044C">
              <w:rPr>
                <w:rFonts w:ascii="Times New Roman" w:hAnsi="Times New Roman" w:cs="Times New Roman"/>
                <w:sz w:val="24"/>
                <w:szCs w:val="24"/>
                <w:shd w:val="clear" w:color="auto" w:fill="FFFFFF"/>
              </w:rPr>
              <w:t>ir</w:t>
            </w:r>
            <w:r w:rsidR="00FB4D4C" w:rsidRPr="000C044C">
              <w:rPr>
                <w:rFonts w:ascii="Times New Roman" w:hAnsi="Times New Roman" w:cs="Times New Roman"/>
                <w:sz w:val="24"/>
                <w:szCs w:val="24"/>
                <w:shd w:val="clear" w:color="auto" w:fill="FFFFFF"/>
              </w:rPr>
              <w:t xml:space="preserve"> laikmetam </w:t>
            </w:r>
            <w:r w:rsidR="00FB4D4C" w:rsidRPr="000C044C">
              <w:rPr>
                <w:rFonts w:ascii="Times New Roman" w:hAnsi="Times New Roman" w:cs="Times New Roman"/>
                <w:color w:val="000000" w:themeColor="text1"/>
                <w:sz w:val="24"/>
                <w:szCs w:val="24"/>
                <w:shd w:val="clear" w:color="auto" w:fill="FFFFFF"/>
              </w:rPr>
              <w:t>atbilstoš</w:t>
            </w:r>
            <w:r w:rsidR="000800E8" w:rsidRPr="000C044C">
              <w:rPr>
                <w:rFonts w:ascii="Times New Roman" w:hAnsi="Times New Roman" w:cs="Times New Roman"/>
                <w:color w:val="000000" w:themeColor="text1"/>
                <w:sz w:val="24"/>
                <w:szCs w:val="24"/>
                <w:shd w:val="clear" w:color="auto" w:fill="FFFFFF"/>
              </w:rPr>
              <w:t>i</w:t>
            </w:r>
            <w:r w:rsidR="00FB4D4C" w:rsidRPr="000C044C">
              <w:rPr>
                <w:rFonts w:ascii="Times New Roman" w:hAnsi="Times New Roman" w:cs="Times New Roman"/>
                <w:color w:val="000000" w:themeColor="text1"/>
                <w:sz w:val="24"/>
                <w:szCs w:val="24"/>
                <w:shd w:val="clear" w:color="auto" w:fill="FFFFFF"/>
              </w:rPr>
              <w:t xml:space="preserve">, </w:t>
            </w:r>
            <w:r w:rsidR="00193B23" w:rsidRPr="000C044C">
              <w:rPr>
                <w:rFonts w:ascii="Times New Roman" w:hAnsi="Times New Roman" w:cs="Times New Roman"/>
                <w:sz w:val="24"/>
                <w:szCs w:val="24"/>
                <w:shd w:val="clear" w:color="auto" w:fill="FFFFFF"/>
              </w:rPr>
              <w:t xml:space="preserve">veicina kultūras izpratni, līdzpārdzīvojumu un kritisko domāšanu, </w:t>
            </w:r>
            <w:r w:rsidR="006D1C76" w:rsidRPr="000C044C">
              <w:rPr>
                <w:rFonts w:ascii="Times New Roman" w:hAnsi="Times New Roman" w:cs="Times New Roman"/>
                <w:sz w:val="24"/>
                <w:szCs w:val="24"/>
                <w:shd w:val="clear" w:color="auto" w:fill="FFFFFF"/>
              </w:rPr>
              <w:t>dod iespēju</w:t>
            </w:r>
            <w:r w:rsidR="00FB4D4C" w:rsidRPr="000C044C">
              <w:rPr>
                <w:rFonts w:ascii="Times New Roman" w:hAnsi="Times New Roman" w:cs="Times New Roman"/>
                <w:sz w:val="24"/>
                <w:szCs w:val="24"/>
                <w:shd w:val="clear" w:color="auto" w:fill="FFFFFF"/>
              </w:rPr>
              <w:t xml:space="preserve"> interpretēt </w:t>
            </w:r>
            <w:r w:rsidR="006D1C76" w:rsidRPr="000C044C">
              <w:rPr>
                <w:rFonts w:ascii="Times New Roman" w:hAnsi="Times New Roman" w:cs="Times New Roman"/>
                <w:sz w:val="24"/>
                <w:szCs w:val="24"/>
                <w:shd w:val="clear" w:color="auto" w:fill="FFFFFF"/>
              </w:rPr>
              <w:t>mākslas un kultūras produktu</w:t>
            </w:r>
            <w:r w:rsidR="000644F3" w:rsidRPr="000C044C">
              <w:rPr>
                <w:rFonts w:ascii="Times New Roman" w:hAnsi="Times New Roman" w:cs="Times New Roman"/>
                <w:sz w:val="24"/>
                <w:szCs w:val="24"/>
                <w:shd w:val="clear" w:color="auto" w:fill="FFFFFF"/>
              </w:rPr>
              <w:t>,</w:t>
            </w:r>
            <w:r w:rsidR="00193B23" w:rsidRPr="000C044C">
              <w:rPr>
                <w:rFonts w:ascii="Times New Roman" w:hAnsi="Times New Roman" w:cs="Times New Roman"/>
                <w:sz w:val="24"/>
                <w:szCs w:val="24"/>
                <w:shd w:val="clear" w:color="auto" w:fill="FFFFFF"/>
              </w:rPr>
              <w:t xml:space="preserve"> </w:t>
            </w:r>
            <w:r w:rsidR="000800E8" w:rsidRPr="000C044C">
              <w:rPr>
                <w:rFonts w:ascii="Times New Roman" w:hAnsi="Times New Roman" w:cs="Times New Roman"/>
                <w:sz w:val="24"/>
                <w:szCs w:val="24"/>
                <w:shd w:val="clear" w:color="auto" w:fill="FFFFFF"/>
              </w:rPr>
              <w:t>ietver</w:t>
            </w:r>
            <w:r w:rsidR="00193B23" w:rsidRPr="000C044C">
              <w:rPr>
                <w:rFonts w:ascii="Times New Roman" w:hAnsi="Times New Roman" w:cs="Times New Roman"/>
                <w:sz w:val="24"/>
                <w:szCs w:val="24"/>
                <w:shd w:val="clear" w:color="auto" w:fill="FFFFFF"/>
              </w:rPr>
              <w:t xml:space="preserve"> aktuāla</w:t>
            </w:r>
            <w:r w:rsidR="000800E8" w:rsidRPr="000C044C">
              <w:rPr>
                <w:rFonts w:ascii="Times New Roman" w:hAnsi="Times New Roman" w:cs="Times New Roman"/>
                <w:sz w:val="24"/>
                <w:szCs w:val="24"/>
                <w:shd w:val="clear" w:color="auto" w:fill="FFFFFF"/>
              </w:rPr>
              <w:t>s</w:t>
            </w:r>
            <w:r w:rsidR="000644F3" w:rsidRPr="000C044C">
              <w:rPr>
                <w:rFonts w:ascii="Times New Roman" w:hAnsi="Times New Roman" w:cs="Times New Roman"/>
                <w:sz w:val="24"/>
                <w:szCs w:val="24"/>
                <w:shd w:val="clear" w:color="auto" w:fill="FFFFFF"/>
              </w:rPr>
              <w:t xml:space="preserve"> tēm</w:t>
            </w:r>
            <w:r w:rsidR="000800E8" w:rsidRPr="000C044C">
              <w:rPr>
                <w:rFonts w:ascii="Times New Roman" w:hAnsi="Times New Roman" w:cs="Times New Roman"/>
                <w:sz w:val="24"/>
                <w:szCs w:val="24"/>
                <w:shd w:val="clear" w:color="auto" w:fill="FFFFFF"/>
              </w:rPr>
              <w:t>as</w:t>
            </w:r>
            <w:r w:rsidR="000644F3" w:rsidRPr="000C044C">
              <w:rPr>
                <w:rFonts w:ascii="Times New Roman" w:hAnsi="Times New Roman" w:cs="Times New Roman"/>
                <w:sz w:val="24"/>
                <w:szCs w:val="24"/>
                <w:shd w:val="clear" w:color="auto" w:fill="FFFFFF"/>
              </w:rPr>
              <w:t xml:space="preserve">, </w:t>
            </w:r>
            <w:r w:rsidR="000800E8" w:rsidRPr="000C044C">
              <w:rPr>
                <w:rFonts w:ascii="Times New Roman" w:hAnsi="Times New Roman" w:cs="Times New Roman"/>
                <w:sz w:val="24"/>
                <w:szCs w:val="24"/>
                <w:shd w:val="clear" w:color="auto" w:fill="FFFFFF"/>
              </w:rPr>
              <w:t xml:space="preserve">runā par sabiedrībai svarīgiem </w:t>
            </w:r>
            <w:r w:rsidR="00193B23" w:rsidRPr="000C044C">
              <w:rPr>
                <w:rFonts w:ascii="Times New Roman" w:hAnsi="Times New Roman" w:cs="Times New Roman"/>
                <w:sz w:val="24"/>
                <w:szCs w:val="24"/>
                <w:shd w:val="clear" w:color="auto" w:fill="FFFFFF"/>
              </w:rPr>
              <w:t xml:space="preserve">kopīgiem </w:t>
            </w:r>
            <w:r w:rsidR="000644F3" w:rsidRPr="000C044C">
              <w:rPr>
                <w:rFonts w:ascii="Times New Roman" w:hAnsi="Times New Roman" w:cs="Times New Roman"/>
                <w:sz w:val="24"/>
                <w:szCs w:val="24"/>
                <w:shd w:val="clear" w:color="auto" w:fill="FFFFFF"/>
              </w:rPr>
              <w:t>uzskatiem un vērtībām</w:t>
            </w:r>
            <w:r w:rsidR="00193B23" w:rsidRPr="000C044C">
              <w:rPr>
                <w:rFonts w:ascii="Times New Roman" w:hAnsi="Times New Roman" w:cs="Times New Roman"/>
                <w:sz w:val="24"/>
                <w:szCs w:val="24"/>
                <w:shd w:val="clear" w:color="auto" w:fill="FFFFFF"/>
              </w:rPr>
              <w:t xml:space="preserve">, kā arī </w:t>
            </w:r>
            <w:r w:rsidR="006D1C76" w:rsidRPr="000C044C">
              <w:rPr>
                <w:rFonts w:ascii="Times New Roman" w:hAnsi="Times New Roman" w:cs="Times New Roman"/>
                <w:sz w:val="24"/>
                <w:szCs w:val="24"/>
                <w:shd w:val="clear" w:color="auto" w:fill="FFFFFF"/>
              </w:rPr>
              <w:t>nav amatiermāksla</w:t>
            </w:r>
            <w:r w:rsidR="00193B23" w:rsidRPr="000C044C">
              <w:rPr>
                <w:rFonts w:ascii="Times New Roman" w:hAnsi="Times New Roman" w:cs="Times New Roman"/>
                <w:sz w:val="24"/>
                <w:szCs w:val="24"/>
                <w:shd w:val="clear" w:color="auto" w:fill="FFFFFF"/>
              </w:rPr>
              <w:t>.</w:t>
            </w:r>
            <w:r w:rsidR="00FC2D54" w:rsidRPr="000C044C">
              <w:rPr>
                <w:rFonts w:ascii="Times New Roman" w:hAnsi="Times New Roman" w:cs="Times New Roman"/>
                <w:sz w:val="24"/>
                <w:szCs w:val="24"/>
                <w:shd w:val="clear" w:color="auto" w:fill="FFFFFF"/>
              </w:rPr>
              <w:t xml:space="preserve"> </w:t>
            </w:r>
          </w:p>
          <w:p w14:paraId="6E9468D2" w14:textId="77777777" w:rsidR="005B208B" w:rsidRPr="000C044C" w:rsidRDefault="005B208B" w:rsidP="00731493">
            <w:pPr>
              <w:widowControl w:val="0"/>
              <w:jc w:val="both"/>
              <w:rPr>
                <w:rFonts w:ascii="Times New Roman" w:hAnsi="Times New Roman" w:cs="Times New Roman"/>
                <w:sz w:val="24"/>
                <w:szCs w:val="24"/>
                <w:shd w:val="clear" w:color="auto" w:fill="FFFFFF"/>
              </w:rPr>
            </w:pPr>
          </w:p>
          <w:p w14:paraId="24F27E5B" w14:textId="603801A3" w:rsidR="00FC2D54" w:rsidRDefault="00FC2D54" w:rsidP="00731493">
            <w:pPr>
              <w:widowControl w:val="0"/>
              <w:jc w:val="both"/>
              <w:rPr>
                <w:rFonts w:ascii="Times New Roman" w:hAnsi="Times New Roman" w:cs="Times New Roman"/>
                <w:sz w:val="24"/>
                <w:szCs w:val="24"/>
                <w:shd w:val="clear" w:color="auto" w:fill="FFFFFF"/>
              </w:rPr>
            </w:pPr>
            <w:r w:rsidRPr="000C044C">
              <w:rPr>
                <w:rFonts w:ascii="Times New Roman" w:hAnsi="Times New Roman" w:cs="Times New Roman"/>
                <w:sz w:val="24"/>
                <w:szCs w:val="24"/>
                <w:shd w:val="clear" w:color="auto" w:fill="FFFFFF"/>
              </w:rPr>
              <w:t>P</w:t>
            </w:r>
            <w:bookmarkStart w:id="0" w:name="_Hlk38966036"/>
            <w:r w:rsidR="00E87885" w:rsidRPr="000C044C">
              <w:rPr>
                <w:rFonts w:ascii="Times New Roman" w:hAnsi="Times New Roman" w:cs="Times New Roman"/>
                <w:sz w:val="24"/>
                <w:szCs w:val="24"/>
                <w:shd w:val="clear" w:color="auto" w:fill="FFFFFF"/>
              </w:rPr>
              <w:t xml:space="preserve">rojekta iesnieguma iesniedzējs </w:t>
            </w:r>
            <w:r w:rsidR="00E26661" w:rsidRPr="000C044C">
              <w:rPr>
                <w:rFonts w:ascii="Times New Roman" w:hAnsi="Times New Roman" w:cs="Times New Roman"/>
                <w:sz w:val="24"/>
                <w:szCs w:val="24"/>
                <w:shd w:val="clear" w:color="auto" w:fill="FFFFFF"/>
              </w:rPr>
              <w:t>var būt</w:t>
            </w:r>
            <w:r w:rsidR="00E87885" w:rsidRPr="000C044C">
              <w:rPr>
                <w:rFonts w:ascii="Times New Roman" w:hAnsi="Times New Roman" w:cs="Times New Roman"/>
                <w:sz w:val="24"/>
                <w:szCs w:val="24"/>
                <w:shd w:val="clear" w:color="auto" w:fill="FFFFFF"/>
              </w:rPr>
              <w:t xml:space="preserve"> Latvijas Republikas publisko vai privāto tiesību juridiskā persona, tiešās vai </w:t>
            </w:r>
            <w:r w:rsidR="00E87885" w:rsidRPr="000C044C">
              <w:rPr>
                <w:rFonts w:ascii="Times New Roman" w:hAnsi="Times New Roman" w:cs="Times New Roman"/>
                <w:sz w:val="24"/>
                <w:szCs w:val="24"/>
                <w:shd w:val="clear" w:color="auto" w:fill="FFFFFF"/>
              </w:rPr>
              <w:lastRenderedPageBreak/>
              <w:t xml:space="preserve">pastarpinātās pārvaldes iestāde, </w:t>
            </w:r>
            <w:bookmarkStart w:id="1" w:name="_Hlk38966272"/>
            <w:bookmarkEnd w:id="0"/>
            <w:r w:rsidR="00E87885" w:rsidRPr="000C044C">
              <w:rPr>
                <w:rFonts w:ascii="Times New Roman" w:hAnsi="Times New Roman" w:cs="Times New Roman"/>
                <w:sz w:val="24"/>
                <w:szCs w:val="24"/>
                <w:shd w:val="clear" w:color="auto" w:fill="FFFFFF"/>
              </w:rPr>
              <w:t xml:space="preserve">kuru pamatdarbība ir kultūras vai radošajā nozarē </w:t>
            </w:r>
            <w:bookmarkEnd w:id="1"/>
            <w:r w:rsidR="00E87885" w:rsidRPr="000C044C">
              <w:rPr>
                <w:rFonts w:ascii="Times New Roman" w:hAnsi="Times New Roman" w:cs="Times New Roman"/>
                <w:sz w:val="24"/>
                <w:szCs w:val="24"/>
                <w:shd w:val="clear" w:color="auto" w:fill="FFFFFF"/>
              </w:rPr>
              <w:t xml:space="preserve">saskaņā ar Eiropas Parlamenta un Padomes </w:t>
            </w:r>
            <w:r w:rsidRPr="000C044C">
              <w:rPr>
                <w:rFonts w:ascii="Times New Roman" w:hAnsi="Times New Roman" w:cs="Times New Roman"/>
                <w:sz w:val="24"/>
                <w:szCs w:val="24"/>
                <w:shd w:val="clear" w:color="auto" w:fill="FFFFFF"/>
              </w:rPr>
              <w:t xml:space="preserve">2013.gada 11.decembra </w:t>
            </w:r>
            <w:r w:rsidR="00E87885" w:rsidRPr="000C044C">
              <w:rPr>
                <w:rFonts w:ascii="Times New Roman" w:hAnsi="Times New Roman" w:cs="Times New Roman"/>
                <w:sz w:val="24"/>
                <w:szCs w:val="24"/>
                <w:shd w:val="clear" w:color="auto" w:fill="FFFFFF"/>
              </w:rPr>
              <w:t>Regula</w:t>
            </w:r>
            <w:r w:rsidRPr="000C044C">
              <w:rPr>
                <w:rFonts w:ascii="Times New Roman" w:hAnsi="Times New Roman" w:cs="Times New Roman"/>
                <w:sz w:val="24"/>
                <w:szCs w:val="24"/>
                <w:shd w:val="clear" w:color="auto" w:fill="FFFFFF"/>
              </w:rPr>
              <w:t>s</w:t>
            </w:r>
            <w:r w:rsidR="00E87885" w:rsidRPr="000C044C">
              <w:rPr>
                <w:rFonts w:ascii="Times New Roman" w:hAnsi="Times New Roman" w:cs="Times New Roman"/>
                <w:sz w:val="24"/>
                <w:szCs w:val="24"/>
                <w:shd w:val="clear" w:color="auto" w:fill="FFFFFF"/>
              </w:rPr>
              <w:t xml:space="preserve"> (ES) Nr.1295/2013</w:t>
            </w:r>
            <w:r w:rsidRPr="000C044C">
              <w:rPr>
                <w:rFonts w:ascii="Times New Roman" w:hAnsi="Times New Roman" w:cs="Times New Roman"/>
                <w:sz w:val="24"/>
                <w:szCs w:val="24"/>
                <w:shd w:val="clear" w:color="auto" w:fill="FFFFFF"/>
              </w:rPr>
              <w:t>,</w:t>
            </w:r>
            <w:r w:rsidR="00E87885" w:rsidRPr="000C044C">
              <w:rPr>
                <w:rFonts w:ascii="Times New Roman" w:hAnsi="Times New Roman" w:cs="Times New Roman"/>
                <w:sz w:val="24"/>
                <w:szCs w:val="24"/>
                <w:shd w:val="clear" w:color="auto" w:fill="FFFFFF"/>
              </w:rPr>
              <w:t xml:space="preserve"> ar ko izveido programmu </w:t>
            </w:r>
            <w:r w:rsidR="007A1EBC" w:rsidRPr="000C044C">
              <w:rPr>
                <w:rFonts w:ascii="Times New Roman" w:hAnsi="Times New Roman" w:cs="Times New Roman"/>
                <w:sz w:val="24"/>
                <w:szCs w:val="24"/>
                <w:shd w:val="clear" w:color="auto" w:fill="FFFFFF"/>
              </w:rPr>
              <w:t>“</w:t>
            </w:r>
            <w:r w:rsidR="00E87885" w:rsidRPr="000C044C">
              <w:rPr>
                <w:rFonts w:ascii="Times New Roman" w:hAnsi="Times New Roman" w:cs="Times New Roman"/>
                <w:sz w:val="24"/>
                <w:szCs w:val="24"/>
                <w:shd w:val="clear" w:color="auto" w:fill="FFFFFF"/>
              </w:rPr>
              <w:t>Radošā Eiropa</w:t>
            </w:r>
            <w:r w:rsidRPr="000C044C">
              <w:rPr>
                <w:rFonts w:ascii="Times New Roman" w:hAnsi="Times New Roman" w:cs="Times New Roman"/>
                <w:sz w:val="24"/>
                <w:szCs w:val="24"/>
                <w:shd w:val="clear" w:color="auto" w:fill="FFFFFF"/>
              </w:rPr>
              <w:t>”</w:t>
            </w:r>
            <w:r w:rsidR="00E87885" w:rsidRPr="000C044C">
              <w:rPr>
                <w:rFonts w:ascii="Times New Roman" w:hAnsi="Times New Roman" w:cs="Times New Roman"/>
                <w:sz w:val="24"/>
                <w:szCs w:val="24"/>
                <w:shd w:val="clear" w:color="auto" w:fill="FFFFFF"/>
              </w:rPr>
              <w:t xml:space="preserve"> (2014.</w:t>
            </w:r>
            <w:r w:rsidRPr="000C044C">
              <w:rPr>
                <w:rFonts w:ascii="Times New Roman" w:hAnsi="Times New Roman" w:cs="Times New Roman"/>
                <w:sz w:val="24"/>
                <w:szCs w:val="24"/>
                <w:shd w:val="clear" w:color="auto" w:fill="FFFFFF"/>
              </w:rPr>
              <w:t> </w:t>
            </w:r>
            <w:r w:rsidR="00E87885" w:rsidRPr="000C044C">
              <w:rPr>
                <w:rFonts w:ascii="Times New Roman" w:hAnsi="Times New Roman" w:cs="Times New Roman"/>
                <w:sz w:val="24"/>
                <w:szCs w:val="24"/>
                <w:shd w:val="clear" w:color="auto" w:fill="FFFFFF"/>
              </w:rPr>
              <w:t>–</w:t>
            </w:r>
            <w:r w:rsidRPr="000C044C">
              <w:rPr>
                <w:rFonts w:ascii="Times New Roman" w:hAnsi="Times New Roman" w:cs="Times New Roman"/>
                <w:sz w:val="24"/>
                <w:szCs w:val="24"/>
                <w:shd w:val="clear" w:color="auto" w:fill="FFFFFF"/>
              </w:rPr>
              <w:t> </w:t>
            </w:r>
            <w:r w:rsidR="00E87885" w:rsidRPr="000C044C">
              <w:rPr>
                <w:rFonts w:ascii="Times New Roman" w:hAnsi="Times New Roman" w:cs="Times New Roman"/>
                <w:sz w:val="24"/>
                <w:szCs w:val="24"/>
                <w:shd w:val="clear" w:color="auto" w:fill="FFFFFF"/>
              </w:rPr>
              <w:t>2020.gads) un atceļ Lēmumu Nr.1718/2006/EK, Lēmumu Nr.1855/2006/EK un Lēmumu Nr.1041/2009/EK</w:t>
            </w:r>
            <w:r w:rsidR="00E456AE" w:rsidRPr="000C044C">
              <w:rPr>
                <w:rFonts w:ascii="Times New Roman" w:hAnsi="Times New Roman" w:cs="Times New Roman"/>
                <w:sz w:val="24"/>
                <w:szCs w:val="24"/>
                <w:shd w:val="clear" w:color="auto" w:fill="FFFFFF"/>
              </w:rPr>
              <w:t xml:space="preserve"> (</w:t>
            </w:r>
            <w:r w:rsidR="00E456AE" w:rsidRPr="000C044C">
              <w:rPr>
                <w:rFonts w:ascii="Times New Roman" w:eastAsia="Times New Roman" w:hAnsi="Times New Roman" w:cs="Times New Roman"/>
                <w:sz w:val="24"/>
                <w:szCs w:val="24"/>
                <w:lang w:eastAsia="lv-LV"/>
              </w:rPr>
              <w:t>turpmāk – Regula Nr. 1295/2013)</w:t>
            </w:r>
            <w:r w:rsidR="00E87885" w:rsidRPr="000C044C">
              <w:rPr>
                <w:rFonts w:ascii="Times New Roman" w:hAnsi="Times New Roman" w:cs="Times New Roman"/>
                <w:sz w:val="24"/>
                <w:szCs w:val="24"/>
                <w:shd w:val="clear" w:color="auto" w:fill="FFFFFF"/>
              </w:rPr>
              <w:t>, 2.panta 1.punktā noteikto definīciju.</w:t>
            </w:r>
          </w:p>
          <w:p w14:paraId="5FA3A327" w14:textId="77777777" w:rsidR="00731493" w:rsidRPr="000C044C" w:rsidRDefault="00731493" w:rsidP="00731493">
            <w:pPr>
              <w:widowControl w:val="0"/>
              <w:jc w:val="both"/>
              <w:rPr>
                <w:rFonts w:ascii="Times New Roman" w:hAnsi="Times New Roman" w:cs="Times New Roman"/>
                <w:sz w:val="24"/>
                <w:szCs w:val="24"/>
                <w:shd w:val="clear" w:color="auto" w:fill="FFFFFF"/>
              </w:rPr>
            </w:pPr>
          </w:p>
          <w:p w14:paraId="081EE128" w14:textId="0AFAE01E" w:rsidR="00494CAB" w:rsidRDefault="00911B03" w:rsidP="00731493">
            <w:pPr>
              <w:widowControl w:val="0"/>
              <w:jc w:val="both"/>
              <w:rPr>
                <w:rFonts w:ascii="Times New Roman" w:hAnsi="Times New Roman" w:cs="Times New Roman"/>
                <w:sz w:val="24"/>
                <w:szCs w:val="24"/>
                <w:shd w:val="clear" w:color="auto" w:fill="FFFFFF"/>
              </w:rPr>
            </w:pPr>
            <w:r w:rsidRPr="000C044C">
              <w:rPr>
                <w:rFonts w:ascii="Times New Roman" w:hAnsi="Times New Roman" w:cs="Times New Roman"/>
                <w:sz w:val="24"/>
                <w:szCs w:val="24"/>
                <w:shd w:val="clear" w:color="auto" w:fill="FFFFFF"/>
              </w:rPr>
              <w:t xml:space="preserve">Gadījumā, ja projekta iesnieguma iesniedzējs ir pašvaldība, tad tai ir obligāta prasība izveidot partnerību ar kultūras organizāciju, kas ir </w:t>
            </w:r>
            <w:r w:rsidR="00753331" w:rsidRPr="000C044C">
              <w:rPr>
                <w:rFonts w:ascii="Times New Roman" w:hAnsi="Times New Roman" w:cs="Times New Roman"/>
                <w:sz w:val="24"/>
                <w:szCs w:val="24"/>
                <w:shd w:val="clear" w:color="auto" w:fill="FFFFFF"/>
              </w:rPr>
              <w:t>Latvijas Republikas publisko vai privāto tiesību juridiskā persona, tiešās vai pastarpinātās pārvaldes iestāde, kuru pamatdarbība ir kultūras vai radošajā nozarē saskaņā ar</w:t>
            </w:r>
            <w:r w:rsidR="00E456AE" w:rsidRPr="000C044C">
              <w:rPr>
                <w:rFonts w:ascii="Times New Roman" w:eastAsia="Times New Roman" w:hAnsi="Times New Roman" w:cs="Times New Roman"/>
                <w:sz w:val="24"/>
                <w:szCs w:val="24"/>
                <w:lang w:eastAsia="lv-LV"/>
              </w:rPr>
              <w:t xml:space="preserve"> Regulas Nr. 1295/2013</w:t>
            </w:r>
            <w:r w:rsidR="00753331" w:rsidRPr="000C044C">
              <w:rPr>
                <w:rFonts w:ascii="Times New Roman" w:hAnsi="Times New Roman" w:cs="Times New Roman"/>
                <w:sz w:val="24"/>
                <w:szCs w:val="24"/>
                <w:shd w:val="clear" w:color="auto" w:fill="FFFFFF"/>
              </w:rPr>
              <w:t xml:space="preserve"> 2.panta 1.punktā noteikto definīciju</w:t>
            </w:r>
            <w:r w:rsidR="00E87885" w:rsidRPr="000C044C">
              <w:rPr>
                <w:rFonts w:ascii="Times New Roman" w:hAnsi="Times New Roman" w:cs="Times New Roman"/>
                <w:sz w:val="24"/>
                <w:szCs w:val="24"/>
                <w:shd w:val="clear" w:color="auto" w:fill="FFFFFF"/>
              </w:rPr>
              <w:t>.</w:t>
            </w:r>
            <w:r w:rsidR="00FC2D54" w:rsidRPr="000C044C">
              <w:rPr>
                <w:rFonts w:ascii="Times New Roman" w:hAnsi="Times New Roman" w:cs="Times New Roman"/>
                <w:sz w:val="24"/>
                <w:szCs w:val="24"/>
                <w:shd w:val="clear" w:color="auto" w:fill="FFFFFF"/>
              </w:rPr>
              <w:t xml:space="preserve"> </w:t>
            </w:r>
            <w:r w:rsidR="00E87885" w:rsidRPr="000C044C">
              <w:rPr>
                <w:rFonts w:ascii="Times New Roman" w:hAnsi="Times New Roman" w:cs="Times New Roman"/>
                <w:sz w:val="24"/>
                <w:szCs w:val="24"/>
                <w:shd w:val="clear" w:color="auto" w:fill="FFFFFF"/>
              </w:rPr>
              <w:t xml:space="preserve">Projekta iesnieguma iesniedzējs projektu īsteno kopā ar vienu vai vairākiem projekta donorvalstu partneriem, kas ir donorvalstu publisko vai privāto tiesību juridiskā persona, kuru pamatdarbība ir kultūras vai radošajā nozarē saskaņā ar </w:t>
            </w:r>
            <w:r w:rsidR="003F230E" w:rsidRPr="000C044C">
              <w:rPr>
                <w:rFonts w:ascii="Times New Roman" w:hAnsi="Times New Roman" w:cs="Times New Roman"/>
                <w:sz w:val="24"/>
                <w:szCs w:val="24"/>
                <w:shd w:val="clear" w:color="auto" w:fill="FFFFFF"/>
              </w:rPr>
              <w:t>Regulas</w:t>
            </w:r>
            <w:r w:rsidR="00E456AE" w:rsidRPr="000C044C">
              <w:rPr>
                <w:rFonts w:ascii="Times New Roman" w:eastAsia="Times New Roman" w:hAnsi="Times New Roman" w:cs="Times New Roman"/>
                <w:sz w:val="24"/>
                <w:szCs w:val="24"/>
                <w:lang w:eastAsia="lv-LV"/>
              </w:rPr>
              <w:t xml:space="preserve"> Nr. 1295/2013</w:t>
            </w:r>
            <w:r w:rsidR="00E87885" w:rsidRPr="000C044C">
              <w:rPr>
                <w:rFonts w:ascii="Times New Roman" w:hAnsi="Times New Roman" w:cs="Times New Roman"/>
                <w:sz w:val="24"/>
                <w:szCs w:val="24"/>
                <w:shd w:val="clear" w:color="auto" w:fill="FFFFFF"/>
              </w:rPr>
              <w:t xml:space="preserve"> 2.pantā noteikto definīciju, kā arī fiziskas personas, kas ir Lihtenšteinas</w:t>
            </w:r>
            <w:r w:rsidR="00494CAB">
              <w:rPr>
                <w:rFonts w:ascii="Times New Roman" w:hAnsi="Times New Roman" w:cs="Times New Roman"/>
                <w:sz w:val="24"/>
                <w:szCs w:val="24"/>
                <w:shd w:val="clear" w:color="auto" w:fill="FFFFFF"/>
              </w:rPr>
              <w:t xml:space="preserve"> Firstistes</w:t>
            </w:r>
            <w:r w:rsidR="00E87885" w:rsidRPr="000C044C">
              <w:rPr>
                <w:rFonts w:ascii="Times New Roman" w:hAnsi="Times New Roman" w:cs="Times New Roman"/>
                <w:sz w:val="24"/>
                <w:szCs w:val="24"/>
                <w:shd w:val="clear" w:color="auto" w:fill="FFFFFF"/>
              </w:rPr>
              <w:t xml:space="preserve"> likumīgie rezidenti.</w:t>
            </w:r>
            <w:r w:rsidR="00494CAB">
              <w:rPr>
                <w:rFonts w:ascii="Times New Roman" w:hAnsi="Times New Roman" w:cs="Times New Roman"/>
                <w:sz w:val="24"/>
                <w:szCs w:val="24"/>
                <w:shd w:val="clear" w:color="auto" w:fill="FFFFFF"/>
              </w:rPr>
              <w:t xml:space="preserve"> </w:t>
            </w:r>
          </w:p>
          <w:p w14:paraId="22D571E5" w14:textId="77777777" w:rsidR="00731493" w:rsidRPr="00510DFB" w:rsidRDefault="00731493" w:rsidP="00731493">
            <w:pPr>
              <w:pStyle w:val="naisc"/>
              <w:spacing w:before="0" w:after="0"/>
              <w:jc w:val="both"/>
              <w:rPr>
                <w:sz w:val="22"/>
                <w:szCs w:val="22"/>
              </w:rPr>
            </w:pPr>
          </w:p>
          <w:p w14:paraId="374879E4" w14:textId="175300F2" w:rsidR="007D2A46" w:rsidRDefault="0073493A" w:rsidP="00731493">
            <w:pPr>
              <w:widowControl w:val="0"/>
              <w:jc w:val="both"/>
              <w:rPr>
                <w:rFonts w:ascii="Times New Roman" w:hAnsi="Times New Roman" w:cs="Times New Roman"/>
                <w:sz w:val="24"/>
                <w:szCs w:val="24"/>
                <w:shd w:val="clear" w:color="auto" w:fill="FFFFFF"/>
              </w:rPr>
            </w:pPr>
            <w:r w:rsidRPr="000C044C">
              <w:rPr>
                <w:rFonts w:ascii="Times New Roman" w:hAnsi="Times New Roman" w:cs="Times New Roman"/>
                <w:sz w:val="24"/>
                <w:szCs w:val="24"/>
                <w:shd w:val="clear" w:color="auto" w:fill="FFFFFF"/>
              </w:rPr>
              <w:t xml:space="preserve">Programmas koncepcijas </w:t>
            </w:r>
            <w:r w:rsidR="00FC2D54" w:rsidRPr="000C044C">
              <w:rPr>
                <w:rFonts w:ascii="Times New Roman" w:hAnsi="Times New Roman" w:cs="Times New Roman"/>
                <w:sz w:val="24"/>
                <w:szCs w:val="24"/>
                <w:shd w:val="clear" w:color="auto" w:fill="FFFFFF"/>
              </w:rPr>
              <w:t>(apstiprināta ar Ministru kabineta 2019</w:t>
            </w:r>
            <w:r w:rsidR="007D2A46" w:rsidRPr="000C044C">
              <w:rPr>
                <w:rFonts w:ascii="Times New Roman" w:hAnsi="Times New Roman" w:cs="Times New Roman"/>
                <w:sz w:val="24"/>
                <w:szCs w:val="24"/>
                <w:shd w:val="clear" w:color="auto" w:fill="FFFFFF"/>
              </w:rPr>
              <w:t>.</w:t>
            </w:r>
            <w:r w:rsidR="00FC2D54" w:rsidRPr="000C044C">
              <w:rPr>
                <w:rFonts w:ascii="Times New Roman" w:hAnsi="Times New Roman" w:cs="Times New Roman"/>
                <w:sz w:val="24"/>
                <w:szCs w:val="24"/>
                <w:shd w:val="clear" w:color="auto" w:fill="FFFFFF"/>
              </w:rPr>
              <w:t>gada 16</w:t>
            </w:r>
            <w:r w:rsidR="007D2A46" w:rsidRPr="000C044C">
              <w:rPr>
                <w:rFonts w:ascii="Times New Roman" w:hAnsi="Times New Roman" w:cs="Times New Roman"/>
                <w:sz w:val="24"/>
                <w:szCs w:val="24"/>
                <w:shd w:val="clear" w:color="auto" w:fill="FFFFFF"/>
              </w:rPr>
              <w:t>.</w:t>
            </w:r>
            <w:r w:rsidR="00FC2D54" w:rsidRPr="000C044C">
              <w:rPr>
                <w:rFonts w:ascii="Times New Roman" w:hAnsi="Times New Roman" w:cs="Times New Roman"/>
                <w:sz w:val="24"/>
                <w:szCs w:val="24"/>
                <w:shd w:val="clear" w:color="auto" w:fill="FFFFFF"/>
              </w:rPr>
              <w:t>aprī</w:t>
            </w:r>
            <w:r w:rsidR="007D2A46" w:rsidRPr="000C044C">
              <w:rPr>
                <w:rFonts w:ascii="Times New Roman" w:hAnsi="Times New Roman" w:cs="Times New Roman"/>
                <w:sz w:val="24"/>
                <w:szCs w:val="24"/>
                <w:shd w:val="clear" w:color="auto" w:fill="FFFFFF"/>
              </w:rPr>
              <w:t>ļa</w:t>
            </w:r>
            <w:r w:rsidR="00FC2D54" w:rsidRPr="000C044C">
              <w:rPr>
                <w:rFonts w:ascii="Times New Roman" w:hAnsi="Times New Roman" w:cs="Times New Roman"/>
                <w:sz w:val="24"/>
                <w:szCs w:val="24"/>
                <w:shd w:val="clear" w:color="auto" w:fill="FFFFFF"/>
              </w:rPr>
              <w:t xml:space="preserve"> rīkojumu Nr.185</w:t>
            </w:r>
            <w:r w:rsidR="007A1EBC" w:rsidRPr="000C044C">
              <w:rPr>
                <w:rFonts w:ascii="Times New Roman" w:hAnsi="Times New Roman" w:cs="Times New Roman"/>
                <w:sz w:val="24"/>
                <w:szCs w:val="24"/>
                <w:shd w:val="clear" w:color="auto" w:fill="FFFFFF"/>
              </w:rPr>
              <w:t xml:space="preserve"> “</w:t>
            </w:r>
            <w:r w:rsidR="007A1EBC" w:rsidRPr="000C044C">
              <w:rPr>
                <w:rFonts w:ascii="Times New Roman" w:eastAsia="Times New Roman" w:hAnsi="Times New Roman" w:cs="Times New Roman"/>
                <w:bCs/>
                <w:sz w:val="24"/>
                <w:szCs w:val="24"/>
                <w:lang w:eastAsia="lv-LV"/>
              </w:rPr>
              <w:t>Par Eiropas Ekonomikas zonas finanšu instrum</w:t>
            </w:r>
            <w:r w:rsidR="00494CAB">
              <w:rPr>
                <w:rFonts w:ascii="Times New Roman" w:eastAsia="Times New Roman" w:hAnsi="Times New Roman" w:cs="Times New Roman"/>
                <w:bCs/>
                <w:sz w:val="24"/>
                <w:szCs w:val="24"/>
                <w:lang w:eastAsia="lv-LV"/>
              </w:rPr>
              <w:t>enta līdzfinansētās programmas “</w:t>
            </w:r>
            <w:r w:rsidR="007A1EBC" w:rsidRPr="000C044C">
              <w:rPr>
                <w:rFonts w:ascii="Times New Roman" w:eastAsia="Times New Roman" w:hAnsi="Times New Roman" w:cs="Times New Roman"/>
                <w:bCs/>
                <w:sz w:val="24"/>
                <w:szCs w:val="24"/>
                <w:lang w:eastAsia="lv-LV"/>
              </w:rPr>
              <w:t>Vietējā attīstība, nabadzības mazināšana un kultūras sadarbība</w:t>
            </w:r>
            <w:r w:rsidR="00494CAB">
              <w:rPr>
                <w:rFonts w:ascii="Times New Roman" w:eastAsia="Times New Roman" w:hAnsi="Times New Roman" w:cs="Times New Roman"/>
                <w:bCs/>
                <w:sz w:val="24"/>
                <w:szCs w:val="24"/>
                <w:lang w:eastAsia="lv-LV"/>
              </w:rPr>
              <w:t>”</w:t>
            </w:r>
            <w:r w:rsidR="007A1EBC" w:rsidRPr="000C044C">
              <w:rPr>
                <w:rFonts w:ascii="Times New Roman" w:eastAsia="Times New Roman" w:hAnsi="Times New Roman" w:cs="Times New Roman"/>
                <w:bCs/>
                <w:sz w:val="24"/>
                <w:szCs w:val="24"/>
                <w:lang w:eastAsia="lv-LV"/>
              </w:rPr>
              <w:t xml:space="preserve"> koncepcijas projektu</w:t>
            </w:r>
            <w:r w:rsidR="007A1EBC" w:rsidRPr="000C044C">
              <w:rPr>
                <w:rFonts w:ascii="Times New Roman" w:hAnsi="Times New Roman" w:cs="Times New Roman"/>
                <w:sz w:val="24"/>
                <w:szCs w:val="24"/>
                <w:shd w:val="clear" w:color="auto" w:fill="FFFFFF"/>
              </w:rPr>
              <w:t>”</w:t>
            </w:r>
            <w:r w:rsidR="00FC2D54" w:rsidRPr="000C044C">
              <w:rPr>
                <w:rFonts w:ascii="Times New Roman" w:hAnsi="Times New Roman" w:cs="Times New Roman"/>
                <w:sz w:val="24"/>
                <w:szCs w:val="24"/>
                <w:shd w:val="clear" w:color="auto" w:fill="FFFFFF"/>
              </w:rPr>
              <w:t xml:space="preserve">) </w:t>
            </w:r>
            <w:r w:rsidRPr="000C044C">
              <w:rPr>
                <w:rFonts w:ascii="Times New Roman" w:hAnsi="Times New Roman" w:cs="Times New Roman"/>
                <w:sz w:val="24"/>
                <w:szCs w:val="24"/>
                <w:shd w:val="clear" w:color="auto" w:fill="FFFFFF"/>
              </w:rPr>
              <w:t xml:space="preserve">izstrādes gaitā, definējot atbalstāmo projektu donorvalstu partneru veidu, Norvēģijas </w:t>
            </w:r>
            <w:r w:rsidR="007D2A46" w:rsidRPr="000C044C">
              <w:rPr>
                <w:rFonts w:ascii="Times New Roman" w:hAnsi="Times New Roman" w:cs="Times New Roman"/>
                <w:sz w:val="24"/>
                <w:szCs w:val="24"/>
                <w:shd w:val="clear" w:color="auto" w:fill="FFFFFF"/>
              </w:rPr>
              <w:t xml:space="preserve">Karalistes </w:t>
            </w:r>
            <w:r w:rsidRPr="000C044C">
              <w:rPr>
                <w:rFonts w:ascii="Times New Roman" w:hAnsi="Times New Roman" w:cs="Times New Roman"/>
                <w:sz w:val="24"/>
                <w:szCs w:val="24"/>
                <w:shd w:val="clear" w:color="auto" w:fill="FFFFFF"/>
              </w:rPr>
              <w:t>Mākslas padome, kas ir donorvalsts partneris</w:t>
            </w:r>
            <w:r w:rsidR="000800E8" w:rsidRPr="000C044C">
              <w:rPr>
                <w:rFonts w:ascii="Times New Roman" w:hAnsi="Times New Roman" w:cs="Times New Roman"/>
                <w:sz w:val="24"/>
                <w:szCs w:val="24"/>
                <w:shd w:val="clear" w:color="auto" w:fill="FFFFFF"/>
              </w:rPr>
              <w:t xml:space="preserve"> un aktīvi piedalījās programmas koncepcijas izstrādē</w:t>
            </w:r>
            <w:r w:rsidRPr="000C044C">
              <w:rPr>
                <w:rFonts w:ascii="Times New Roman" w:hAnsi="Times New Roman" w:cs="Times New Roman"/>
                <w:sz w:val="24"/>
                <w:szCs w:val="24"/>
                <w:shd w:val="clear" w:color="auto" w:fill="FFFFFF"/>
              </w:rPr>
              <w:t xml:space="preserve">, </w:t>
            </w:r>
            <w:r w:rsidR="00340CC7" w:rsidRPr="000C044C">
              <w:rPr>
                <w:rFonts w:ascii="Times New Roman" w:hAnsi="Times New Roman" w:cs="Times New Roman"/>
                <w:sz w:val="24"/>
                <w:szCs w:val="24"/>
                <w:shd w:val="clear" w:color="auto" w:fill="FFFFFF"/>
              </w:rPr>
              <w:t xml:space="preserve">vērsa uzmanību uz to, ka potenciālie projektu partneri </w:t>
            </w:r>
            <w:r w:rsidR="007D2A46" w:rsidRPr="000C044C">
              <w:rPr>
                <w:rFonts w:ascii="Times New Roman" w:hAnsi="Times New Roman" w:cs="Times New Roman"/>
                <w:sz w:val="24"/>
                <w:szCs w:val="24"/>
                <w:shd w:val="clear" w:color="auto" w:fill="FFFFFF"/>
              </w:rPr>
              <w:t xml:space="preserve">Lihtenšteinas Firstistē </w:t>
            </w:r>
            <w:r w:rsidR="00340CC7" w:rsidRPr="000C044C">
              <w:rPr>
                <w:rFonts w:ascii="Times New Roman" w:hAnsi="Times New Roman" w:cs="Times New Roman"/>
                <w:sz w:val="24"/>
                <w:szCs w:val="24"/>
                <w:shd w:val="clear" w:color="auto" w:fill="FFFFFF"/>
              </w:rPr>
              <w:t>nav reģistrēti kā juridiskas personas</w:t>
            </w:r>
            <w:r w:rsidR="00CF46F8" w:rsidRPr="000C044C">
              <w:rPr>
                <w:rFonts w:ascii="Times New Roman" w:hAnsi="Times New Roman" w:cs="Times New Roman"/>
                <w:sz w:val="24"/>
                <w:szCs w:val="24"/>
                <w:shd w:val="clear" w:color="auto" w:fill="FFFFFF"/>
              </w:rPr>
              <w:t>, bet gan kā fiziskas personas.</w:t>
            </w:r>
            <w:r w:rsidR="00340CC7" w:rsidRPr="000C044C">
              <w:rPr>
                <w:rFonts w:ascii="Times New Roman" w:hAnsi="Times New Roman" w:cs="Times New Roman"/>
                <w:sz w:val="24"/>
                <w:szCs w:val="24"/>
                <w:shd w:val="clear" w:color="auto" w:fill="FFFFFF"/>
              </w:rPr>
              <w:t xml:space="preserve"> </w:t>
            </w:r>
            <w:r w:rsidR="00CF46F8" w:rsidRPr="000C044C">
              <w:rPr>
                <w:rFonts w:ascii="Times New Roman" w:hAnsi="Times New Roman" w:cs="Times New Roman"/>
                <w:sz w:val="24"/>
                <w:szCs w:val="24"/>
                <w:shd w:val="clear" w:color="auto" w:fill="FFFFFF"/>
              </w:rPr>
              <w:t>Tādējādi, lai projektu ietvaros būtu iespējams piesaistīt projekta donorvalstu pa</w:t>
            </w:r>
            <w:r w:rsidR="007A1EBC" w:rsidRPr="000C044C">
              <w:rPr>
                <w:rFonts w:ascii="Times New Roman" w:hAnsi="Times New Roman" w:cs="Times New Roman"/>
                <w:sz w:val="24"/>
                <w:szCs w:val="24"/>
                <w:shd w:val="clear" w:color="auto" w:fill="FFFFFF"/>
              </w:rPr>
              <w:t>r</w:t>
            </w:r>
            <w:r w:rsidR="00CF46F8" w:rsidRPr="000C044C">
              <w:rPr>
                <w:rFonts w:ascii="Times New Roman" w:hAnsi="Times New Roman" w:cs="Times New Roman"/>
                <w:sz w:val="24"/>
                <w:szCs w:val="24"/>
                <w:shd w:val="clear" w:color="auto" w:fill="FFFFFF"/>
              </w:rPr>
              <w:t>t</w:t>
            </w:r>
            <w:r w:rsidR="007A1EBC" w:rsidRPr="000C044C">
              <w:rPr>
                <w:rFonts w:ascii="Times New Roman" w:hAnsi="Times New Roman" w:cs="Times New Roman"/>
                <w:sz w:val="24"/>
                <w:szCs w:val="24"/>
                <w:shd w:val="clear" w:color="auto" w:fill="FFFFFF"/>
              </w:rPr>
              <w:t>n</w:t>
            </w:r>
            <w:r w:rsidR="00CF46F8" w:rsidRPr="000C044C">
              <w:rPr>
                <w:rFonts w:ascii="Times New Roman" w:hAnsi="Times New Roman" w:cs="Times New Roman"/>
                <w:sz w:val="24"/>
                <w:szCs w:val="24"/>
                <w:shd w:val="clear" w:color="auto" w:fill="FFFFFF"/>
              </w:rPr>
              <w:t>erus no Lihtenšteinas</w:t>
            </w:r>
            <w:r w:rsidR="007D2A46" w:rsidRPr="000C044C">
              <w:rPr>
                <w:rFonts w:ascii="Times New Roman" w:hAnsi="Times New Roman" w:cs="Times New Roman"/>
                <w:sz w:val="24"/>
                <w:szCs w:val="24"/>
                <w:shd w:val="clear" w:color="auto" w:fill="FFFFFF"/>
              </w:rPr>
              <w:t xml:space="preserve"> Firstistes</w:t>
            </w:r>
            <w:r w:rsidR="00CF46F8" w:rsidRPr="000C044C">
              <w:rPr>
                <w:rFonts w:ascii="Times New Roman" w:hAnsi="Times New Roman" w:cs="Times New Roman"/>
                <w:sz w:val="24"/>
                <w:szCs w:val="24"/>
                <w:shd w:val="clear" w:color="auto" w:fill="FFFFFF"/>
              </w:rPr>
              <w:t>,</w:t>
            </w:r>
            <w:r w:rsidR="00340CC7" w:rsidRPr="000C044C">
              <w:rPr>
                <w:rFonts w:ascii="Times New Roman" w:hAnsi="Times New Roman" w:cs="Times New Roman"/>
                <w:sz w:val="24"/>
                <w:szCs w:val="24"/>
                <w:shd w:val="clear" w:color="auto" w:fill="FFFFFF"/>
              </w:rPr>
              <w:t xml:space="preserve"> ir nepieciešams pieļaut iespēju piesaistīt arī fiziskas personas, kas ir Lihtenšteinas </w:t>
            </w:r>
            <w:r w:rsidR="007D2A46" w:rsidRPr="000C044C">
              <w:rPr>
                <w:rFonts w:ascii="Times New Roman" w:hAnsi="Times New Roman" w:cs="Times New Roman"/>
                <w:sz w:val="24"/>
                <w:szCs w:val="24"/>
                <w:shd w:val="clear" w:color="auto" w:fill="FFFFFF"/>
              </w:rPr>
              <w:t xml:space="preserve">Firstistes </w:t>
            </w:r>
            <w:r w:rsidR="00340CC7" w:rsidRPr="000C044C">
              <w:rPr>
                <w:rFonts w:ascii="Times New Roman" w:hAnsi="Times New Roman" w:cs="Times New Roman"/>
                <w:sz w:val="24"/>
                <w:szCs w:val="24"/>
                <w:shd w:val="clear" w:color="auto" w:fill="FFFFFF"/>
              </w:rPr>
              <w:t>likumīgie rezidenti</w:t>
            </w:r>
            <w:r w:rsidR="007A1EBC" w:rsidRPr="000C044C">
              <w:rPr>
                <w:rFonts w:ascii="Times New Roman" w:hAnsi="Times New Roman" w:cs="Times New Roman"/>
                <w:sz w:val="24"/>
                <w:szCs w:val="24"/>
                <w:shd w:val="clear" w:color="auto" w:fill="FFFFFF"/>
              </w:rPr>
              <w:t>.</w:t>
            </w:r>
            <w:r w:rsidR="00340CC7" w:rsidRPr="000C044C">
              <w:rPr>
                <w:rFonts w:ascii="Times New Roman" w:hAnsi="Times New Roman" w:cs="Times New Roman"/>
                <w:sz w:val="24"/>
                <w:szCs w:val="24"/>
                <w:shd w:val="clear" w:color="auto" w:fill="FFFFFF"/>
              </w:rPr>
              <w:t xml:space="preserve"> Šāds formulējums iekļauts arī citu </w:t>
            </w:r>
            <w:r w:rsidR="007D2A46" w:rsidRPr="000C044C">
              <w:rPr>
                <w:rFonts w:ascii="Times New Roman" w:hAnsi="Times New Roman" w:cs="Times New Roman"/>
                <w:sz w:val="24"/>
                <w:szCs w:val="24"/>
                <w:shd w:val="clear" w:color="auto" w:fill="FFFFFF"/>
              </w:rPr>
              <w:t>Eiropas Ekonomikas zonas</w:t>
            </w:r>
            <w:r w:rsidR="00D343CA" w:rsidRPr="000C044C">
              <w:rPr>
                <w:rFonts w:ascii="Times New Roman" w:hAnsi="Times New Roman" w:cs="Times New Roman"/>
                <w:sz w:val="24"/>
                <w:szCs w:val="24"/>
                <w:shd w:val="clear" w:color="auto" w:fill="FFFFFF"/>
              </w:rPr>
              <w:t xml:space="preserve"> finanšu instrumenta</w:t>
            </w:r>
            <w:r w:rsidR="007D2A46" w:rsidRPr="000C044C">
              <w:rPr>
                <w:rFonts w:ascii="Times New Roman" w:hAnsi="Times New Roman" w:cs="Times New Roman"/>
                <w:sz w:val="24"/>
                <w:szCs w:val="24"/>
                <w:shd w:val="clear" w:color="auto" w:fill="FFFFFF"/>
              </w:rPr>
              <w:t xml:space="preserve"> </w:t>
            </w:r>
            <w:r w:rsidR="00340CC7" w:rsidRPr="000C044C">
              <w:rPr>
                <w:rFonts w:ascii="Times New Roman" w:hAnsi="Times New Roman" w:cs="Times New Roman"/>
                <w:sz w:val="24"/>
                <w:szCs w:val="24"/>
                <w:shd w:val="clear" w:color="auto" w:fill="FFFFFF"/>
              </w:rPr>
              <w:t xml:space="preserve">saņēmējvalstu kultūras programmās. </w:t>
            </w:r>
          </w:p>
          <w:p w14:paraId="2EB6EC8A" w14:textId="77777777" w:rsidR="00E96E21" w:rsidRDefault="00E96E21" w:rsidP="00731493">
            <w:pPr>
              <w:widowControl w:val="0"/>
              <w:jc w:val="both"/>
              <w:rPr>
                <w:rFonts w:ascii="Times New Roman" w:hAnsi="Times New Roman" w:cs="Times New Roman"/>
                <w:sz w:val="24"/>
                <w:szCs w:val="24"/>
                <w:shd w:val="clear" w:color="auto" w:fill="FFFFFF"/>
              </w:rPr>
            </w:pPr>
          </w:p>
          <w:p w14:paraId="3AACFD7D" w14:textId="77777777" w:rsidR="00E96E21" w:rsidRDefault="00E96E21" w:rsidP="00E96E21">
            <w:pPr>
              <w:pStyle w:val="naisc"/>
              <w:spacing w:before="0" w:after="0"/>
              <w:jc w:val="both"/>
            </w:pPr>
            <w:r w:rsidRPr="000C044C">
              <w:rPr>
                <w:shd w:val="clear" w:color="auto" w:fill="FFFFFF"/>
              </w:rPr>
              <w:t>Lihtenšteinas Firstistes gadījumā attiecībā uz projekta donorvalstu partneru juridisko statusu pieļaujams izņēmums, ņemot vērā Lihtenšteinas Firstistes kultūras jomas spēlētāju specifiku</w:t>
            </w:r>
            <w:r w:rsidRPr="00717E88">
              <w:rPr>
                <w:shd w:val="clear" w:color="auto" w:fill="FFFFFF"/>
              </w:rPr>
              <w:t xml:space="preserve">, </w:t>
            </w:r>
            <w:r w:rsidRPr="00717E88">
              <w:t>kad radošās personas kultūras jomā var darboties bez juridiskā statusa kā individuālie mākslinieki. Papildus norādām, ka gan pret juridiskām, gan fiziskām personām tiks izvirzītas vienlīdzīgas prasības</w:t>
            </w:r>
            <w:r>
              <w:t xml:space="preserve">, t.sk. prasības attiecībā uz </w:t>
            </w:r>
            <w:r w:rsidRPr="00D13148">
              <w:t>maksājumiem, pārskatu sniegšanu un dokumentu glabāšanu</w:t>
            </w:r>
            <w:r w:rsidRPr="00717E88">
              <w:t>.</w:t>
            </w:r>
            <w:r>
              <w:t xml:space="preserve"> Prasības tiks ietvertas projekta partnerības līgumā.</w:t>
            </w:r>
          </w:p>
          <w:p w14:paraId="4F2384CE" w14:textId="77777777" w:rsidR="00731493" w:rsidRPr="000C044C" w:rsidRDefault="00731493" w:rsidP="00731493">
            <w:pPr>
              <w:widowControl w:val="0"/>
              <w:jc w:val="both"/>
              <w:rPr>
                <w:rFonts w:ascii="Times New Roman" w:hAnsi="Times New Roman" w:cs="Times New Roman"/>
                <w:sz w:val="24"/>
                <w:szCs w:val="24"/>
                <w:shd w:val="clear" w:color="auto" w:fill="FFFFFF"/>
              </w:rPr>
            </w:pPr>
          </w:p>
          <w:p w14:paraId="70133616" w14:textId="36FEF62B" w:rsidR="00C70822" w:rsidRDefault="00494CAB" w:rsidP="00731493">
            <w:pPr>
              <w:widowControl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C70822" w:rsidRPr="000C044C">
              <w:rPr>
                <w:rFonts w:ascii="Times New Roman" w:hAnsi="Times New Roman" w:cs="Times New Roman"/>
                <w:sz w:val="24"/>
                <w:szCs w:val="24"/>
                <w:shd w:val="clear" w:color="auto" w:fill="FFFFFF"/>
              </w:rPr>
              <w:t xml:space="preserve">rogrammas koncepcijas izstrādes procesā, definējot uz </w:t>
            </w:r>
            <w:r w:rsidR="00C70822" w:rsidRPr="000C044C">
              <w:rPr>
                <w:rFonts w:ascii="Times New Roman" w:hAnsi="Times New Roman" w:cs="Times New Roman"/>
                <w:sz w:val="24"/>
                <w:szCs w:val="24"/>
                <w:shd w:val="clear" w:color="auto" w:fill="FFFFFF"/>
              </w:rPr>
              <w:lastRenderedPageBreak/>
              <w:t xml:space="preserve">projekta iesnieguma iesniedzēju un donorvalstu partneriem attiecināmos nosacījumus, tika panākta vienošanās ar programmas donorvalstu partneri – Norvēģijas Mākslas padomi – un iekļauta atsauce uz </w:t>
            </w:r>
            <w:r w:rsidR="00C70822" w:rsidRPr="000C044C">
              <w:rPr>
                <w:rFonts w:ascii="Times New Roman" w:eastAsia="Times New Roman" w:hAnsi="Times New Roman" w:cs="Times New Roman"/>
                <w:sz w:val="24"/>
                <w:szCs w:val="24"/>
                <w:lang w:eastAsia="lv-LV"/>
              </w:rPr>
              <w:t>Regula</w:t>
            </w:r>
            <w:r>
              <w:rPr>
                <w:rFonts w:ascii="Times New Roman" w:eastAsia="Times New Roman" w:hAnsi="Times New Roman" w:cs="Times New Roman"/>
                <w:sz w:val="24"/>
                <w:szCs w:val="24"/>
                <w:lang w:eastAsia="lv-LV"/>
              </w:rPr>
              <w:t>s</w:t>
            </w:r>
            <w:r w:rsidR="00C70822" w:rsidRPr="000C044C">
              <w:rPr>
                <w:rFonts w:ascii="Times New Roman" w:eastAsia="Times New Roman" w:hAnsi="Times New Roman" w:cs="Times New Roman"/>
                <w:sz w:val="24"/>
                <w:szCs w:val="24"/>
                <w:lang w:eastAsia="lv-LV"/>
              </w:rPr>
              <w:t xml:space="preserve"> Nr. 1295/201</w:t>
            </w:r>
            <w:r w:rsidR="00C70822" w:rsidRPr="0015430C">
              <w:rPr>
                <w:rFonts w:ascii="Times New Roman" w:eastAsia="Times New Roman" w:hAnsi="Times New Roman" w:cs="Times New Roman"/>
                <w:sz w:val="24"/>
                <w:szCs w:val="24"/>
                <w:lang w:eastAsia="lv-LV"/>
              </w:rPr>
              <w:t>3</w:t>
            </w:r>
            <w:r w:rsidR="00C70822" w:rsidRPr="000C044C">
              <w:rPr>
                <w:rFonts w:ascii="Times New Roman" w:hAnsi="Times New Roman" w:cs="Times New Roman"/>
                <w:sz w:val="24"/>
                <w:szCs w:val="24"/>
                <w:shd w:val="clear" w:color="auto" w:fill="FFFFFF"/>
              </w:rPr>
              <w:t xml:space="preserve"> 2.panta 1.punktā noteikto definīciju, kas sniedz “kultūras un radošās nozares” definīciju. Tādējādi ir sniegts skaidrojums, ar ko šī atklātā konkursa ietvaros tiek saprasta pamatdarbība kultūras vai radošajā nozarē. </w:t>
            </w:r>
          </w:p>
          <w:p w14:paraId="6E368F88" w14:textId="77777777" w:rsidR="00731493" w:rsidRPr="000C044C" w:rsidRDefault="00731493" w:rsidP="00731493">
            <w:pPr>
              <w:widowControl w:val="0"/>
              <w:jc w:val="both"/>
              <w:rPr>
                <w:rFonts w:ascii="Times New Roman" w:hAnsi="Times New Roman" w:cs="Times New Roman"/>
                <w:sz w:val="24"/>
                <w:szCs w:val="24"/>
                <w:shd w:val="clear" w:color="auto" w:fill="FFFFFF"/>
              </w:rPr>
            </w:pPr>
          </w:p>
          <w:p w14:paraId="56916C0D" w14:textId="6F5F9B2F" w:rsidR="007D2A46" w:rsidRDefault="008376AD" w:rsidP="00731493">
            <w:pPr>
              <w:shd w:val="clear" w:color="auto" w:fill="FFFFFF"/>
              <w:jc w:val="both"/>
              <w:rPr>
                <w:rFonts w:ascii="Times New Roman" w:hAnsi="Times New Roman" w:cs="Times New Roman"/>
                <w:sz w:val="24"/>
                <w:szCs w:val="24"/>
                <w:shd w:val="clear" w:color="auto" w:fill="FFFFFF"/>
              </w:rPr>
            </w:pPr>
            <w:r w:rsidRPr="000C044C">
              <w:rPr>
                <w:rFonts w:ascii="Times New Roman" w:hAnsi="Times New Roman" w:cs="Times New Roman"/>
                <w:sz w:val="24"/>
                <w:szCs w:val="24"/>
                <w:shd w:val="clear" w:color="auto" w:fill="FFFFFF"/>
              </w:rPr>
              <w:t xml:space="preserve">Ar vietējām kopienām </w:t>
            </w:r>
            <w:r w:rsidR="00494CAB">
              <w:rPr>
                <w:rFonts w:ascii="Times New Roman" w:hAnsi="Times New Roman" w:cs="Times New Roman"/>
                <w:sz w:val="24"/>
                <w:szCs w:val="24"/>
                <w:shd w:val="clear" w:color="auto" w:fill="FFFFFF"/>
              </w:rPr>
              <w:t xml:space="preserve">Noteikumu projekta </w:t>
            </w:r>
            <w:r w:rsidR="00BF2C92">
              <w:rPr>
                <w:rFonts w:ascii="Times New Roman" w:hAnsi="Times New Roman" w:cs="Times New Roman"/>
                <w:sz w:val="24"/>
                <w:szCs w:val="24"/>
                <w:shd w:val="clear" w:color="auto" w:fill="FFFFFF"/>
              </w:rPr>
              <w:t>13</w:t>
            </w:r>
            <w:r w:rsidR="00731493">
              <w:rPr>
                <w:rFonts w:ascii="Times New Roman" w:hAnsi="Times New Roman" w:cs="Times New Roman"/>
                <w:sz w:val="24"/>
                <w:szCs w:val="24"/>
                <w:shd w:val="clear" w:color="auto" w:fill="FFFFFF"/>
              </w:rPr>
              <w:t>.1.4</w:t>
            </w:r>
            <w:r w:rsidRPr="000C044C">
              <w:rPr>
                <w:rFonts w:ascii="Times New Roman" w:hAnsi="Times New Roman" w:cs="Times New Roman"/>
                <w:sz w:val="24"/>
                <w:szCs w:val="24"/>
                <w:shd w:val="clear" w:color="auto" w:fill="FFFFFF"/>
              </w:rPr>
              <w:t>.</w:t>
            </w:r>
            <w:r w:rsidR="00731493">
              <w:rPr>
                <w:rFonts w:ascii="Times New Roman" w:hAnsi="Times New Roman" w:cs="Times New Roman"/>
                <w:sz w:val="24"/>
                <w:szCs w:val="24"/>
                <w:shd w:val="clear" w:color="auto" w:fill="FFFFFF"/>
              </w:rPr>
              <w:t xml:space="preserve"> </w:t>
            </w:r>
            <w:r w:rsidRPr="000C044C">
              <w:rPr>
                <w:rFonts w:ascii="Times New Roman" w:hAnsi="Times New Roman" w:cs="Times New Roman"/>
                <w:sz w:val="24"/>
                <w:szCs w:val="24"/>
                <w:shd w:val="clear" w:color="auto" w:fill="FFFFFF"/>
              </w:rPr>
              <w:t>apakšpunkta izpratnē saprotam</w:t>
            </w:r>
            <w:r w:rsidR="00BE48F4" w:rsidRPr="000C044C">
              <w:rPr>
                <w:rFonts w:ascii="Times New Roman" w:hAnsi="Times New Roman" w:cs="Times New Roman"/>
                <w:sz w:val="24"/>
                <w:szCs w:val="24"/>
                <w:shd w:val="clear" w:color="auto" w:fill="FFFFFF"/>
              </w:rPr>
              <w:t>i</w:t>
            </w:r>
            <w:r w:rsidRPr="000C044C">
              <w:rPr>
                <w:rFonts w:ascii="Times New Roman" w:hAnsi="Times New Roman" w:cs="Times New Roman"/>
                <w:sz w:val="24"/>
                <w:szCs w:val="24"/>
                <w:shd w:val="clear" w:color="auto" w:fill="FFFFFF"/>
              </w:rPr>
              <w:t xml:space="preserve"> vietējie iedzīvotāji, sabiedrības locekļi, kuru iesaiste ir īpaši svarīga, ja kultūras produkts tiek radīts reģionos</w:t>
            </w:r>
            <w:r w:rsidR="00BE48F4" w:rsidRPr="000C044C">
              <w:rPr>
                <w:rFonts w:ascii="Times New Roman" w:hAnsi="Times New Roman" w:cs="Times New Roman"/>
                <w:sz w:val="24"/>
                <w:szCs w:val="24"/>
                <w:shd w:val="clear" w:color="auto" w:fill="FFFFFF"/>
              </w:rPr>
              <w:t xml:space="preserve"> vai tas ir vietēja mēroga projekts. Šādā gadījumā projekta primārā mērķa grupa būs vietējie iedzīvotāji, tādēļ vietējās kopienas iesaiste kultūras produkta radīšanā, izzinot vietējās kopienas viedokli, iesaistot to kultūras procesos un izmantojot vietējās kopienas zināšanas, prasmes un radošo potenciālu</w:t>
            </w:r>
            <w:r w:rsidR="00CC01A9" w:rsidRPr="0015430C">
              <w:rPr>
                <w:rFonts w:ascii="Times New Roman" w:hAnsi="Times New Roman" w:cs="Times New Roman"/>
                <w:sz w:val="24"/>
                <w:szCs w:val="24"/>
                <w:shd w:val="clear" w:color="auto" w:fill="FFFFFF"/>
              </w:rPr>
              <w:t>,</w:t>
            </w:r>
            <w:r w:rsidR="00BE48F4" w:rsidRPr="000C044C">
              <w:rPr>
                <w:rFonts w:ascii="Times New Roman" w:hAnsi="Times New Roman" w:cs="Times New Roman"/>
                <w:sz w:val="24"/>
                <w:szCs w:val="24"/>
                <w:shd w:val="clear" w:color="auto" w:fill="FFFFFF"/>
              </w:rPr>
              <w:t xml:space="preserve"> var būt būtiska. </w:t>
            </w:r>
            <w:r w:rsidR="007A1EBC" w:rsidRPr="000C044C">
              <w:rPr>
                <w:rFonts w:ascii="Times New Roman" w:hAnsi="Times New Roman" w:cs="Times New Roman"/>
                <w:sz w:val="24"/>
                <w:szCs w:val="24"/>
                <w:shd w:val="clear" w:color="auto" w:fill="FFFFFF"/>
              </w:rPr>
              <w:t>Noteikumu p</w:t>
            </w:r>
            <w:r w:rsidR="00E26661" w:rsidRPr="000C044C">
              <w:rPr>
                <w:rFonts w:ascii="Times New Roman" w:hAnsi="Times New Roman" w:cs="Times New Roman"/>
                <w:sz w:val="24"/>
                <w:szCs w:val="24"/>
                <w:shd w:val="clear" w:color="auto" w:fill="FFFFFF"/>
              </w:rPr>
              <w:t>rojektā paredzēts, ka projekta administrēšanas izmaksas nepārsniedz 20</w:t>
            </w:r>
            <w:r w:rsidR="007D2A46" w:rsidRPr="000C044C">
              <w:rPr>
                <w:rFonts w:ascii="Times New Roman" w:hAnsi="Times New Roman" w:cs="Times New Roman"/>
                <w:sz w:val="24"/>
                <w:szCs w:val="24"/>
                <w:shd w:val="clear" w:color="auto" w:fill="FFFFFF"/>
              </w:rPr>
              <w:t> </w:t>
            </w:r>
            <w:r w:rsidR="00E26661" w:rsidRPr="000C044C">
              <w:rPr>
                <w:rFonts w:ascii="Times New Roman" w:hAnsi="Times New Roman" w:cs="Times New Roman"/>
                <w:sz w:val="24"/>
                <w:szCs w:val="24"/>
                <w:shd w:val="clear" w:color="auto" w:fill="FFFFFF"/>
              </w:rPr>
              <w:t xml:space="preserve">procentus no projekta kopējām attiecināmajām izmaksām. Šāds slieksnis paredzēts, jo </w:t>
            </w:r>
            <w:r w:rsidR="00E26661" w:rsidRPr="000C044C" w:rsidDel="008F6190">
              <w:rPr>
                <w:rFonts w:ascii="Times New Roman" w:hAnsi="Times New Roman" w:cs="Times New Roman"/>
                <w:sz w:val="24"/>
                <w:szCs w:val="24"/>
                <w:shd w:val="clear" w:color="auto" w:fill="FFFFFF"/>
              </w:rPr>
              <w:t>vienam projektam minimāli pieļaujamais programmas līdzfinansējums ir 100 000 </w:t>
            </w:r>
            <w:r w:rsidR="00E26661" w:rsidRPr="000C044C" w:rsidDel="008F6190">
              <w:rPr>
                <w:rFonts w:ascii="Times New Roman" w:hAnsi="Times New Roman" w:cs="Times New Roman"/>
                <w:i/>
                <w:iCs/>
                <w:sz w:val="24"/>
                <w:szCs w:val="24"/>
                <w:shd w:val="clear" w:color="auto" w:fill="FFFFFF"/>
              </w:rPr>
              <w:t>euro</w:t>
            </w:r>
            <w:r w:rsidR="00E26661" w:rsidRPr="000C044C" w:rsidDel="008F6190">
              <w:rPr>
                <w:rFonts w:ascii="Times New Roman" w:hAnsi="Times New Roman" w:cs="Times New Roman"/>
                <w:sz w:val="24"/>
                <w:szCs w:val="24"/>
                <w:shd w:val="clear" w:color="auto" w:fill="FFFFFF"/>
              </w:rPr>
              <w:t xml:space="preserve">, </w:t>
            </w:r>
            <w:r w:rsidR="003D4723" w:rsidRPr="000C044C" w:rsidDel="008F6190">
              <w:rPr>
                <w:rFonts w:ascii="Times New Roman" w:hAnsi="Times New Roman" w:cs="Times New Roman"/>
                <w:sz w:val="24"/>
                <w:szCs w:val="24"/>
                <w:shd w:val="clear" w:color="auto" w:fill="FFFFFF"/>
              </w:rPr>
              <w:t xml:space="preserve">savukārt </w:t>
            </w:r>
            <w:r w:rsidR="00E26661" w:rsidRPr="000C044C" w:rsidDel="008F6190">
              <w:rPr>
                <w:rFonts w:ascii="Times New Roman" w:hAnsi="Times New Roman" w:cs="Times New Roman"/>
                <w:sz w:val="24"/>
                <w:szCs w:val="24"/>
                <w:shd w:val="clear" w:color="auto" w:fill="FFFFFF"/>
              </w:rPr>
              <w:t>maksimāli pieļaujamais programmas līdzfinansējums ir 250 000 </w:t>
            </w:r>
            <w:r w:rsidR="00E26661" w:rsidRPr="000C044C" w:rsidDel="008F6190">
              <w:rPr>
                <w:rFonts w:ascii="Times New Roman" w:hAnsi="Times New Roman" w:cs="Times New Roman"/>
                <w:i/>
                <w:iCs/>
                <w:sz w:val="24"/>
                <w:szCs w:val="24"/>
                <w:shd w:val="clear" w:color="auto" w:fill="FFFFFF"/>
              </w:rPr>
              <w:t>euro</w:t>
            </w:r>
            <w:r w:rsidR="00E26661" w:rsidRPr="000C044C" w:rsidDel="008F6190">
              <w:rPr>
                <w:rFonts w:ascii="Times New Roman" w:hAnsi="Times New Roman" w:cs="Times New Roman"/>
                <w:sz w:val="24"/>
                <w:szCs w:val="24"/>
                <w:shd w:val="clear" w:color="auto" w:fill="FFFFFF"/>
              </w:rPr>
              <w:t xml:space="preserve">. Tā kā līdzfinansējums ir </w:t>
            </w:r>
            <w:r w:rsidR="00BA3A9A">
              <w:rPr>
                <w:rFonts w:ascii="Times New Roman" w:hAnsi="Times New Roman" w:cs="Times New Roman"/>
                <w:sz w:val="24"/>
                <w:szCs w:val="24"/>
                <w:shd w:val="clear" w:color="auto" w:fill="FFFFFF"/>
              </w:rPr>
              <w:t xml:space="preserve">salīdzinoši </w:t>
            </w:r>
            <w:r w:rsidR="00E26661" w:rsidRPr="000C044C" w:rsidDel="008F6190">
              <w:rPr>
                <w:rFonts w:ascii="Times New Roman" w:hAnsi="Times New Roman" w:cs="Times New Roman"/>
                <w:sz w:val="24"/>
                <w:szCs w:val="24"/>
                <w:shd w:val="clear" w:color="auto" w:fill="FFFFFF"/>
              </w:rPr>
              <w:t>neliels un</w:t>
            </w:r>
            <w:r w:rsidR="007D2A46" w:rsidRPr="000C044C">
              <w:rPr>
                <w:rFonts w:ascii="Times New Roman" w:hAnsi="Times New Roman" w:cs="Times New Roman"/>
                <w:sz w:val="24"/>
                <w:szCs w:val="24"/>
                <w:shd w:val="clear" w:color="auto" w:fill="FFFFFF"/>
              </w:rPr>
              <w:t>,</w:t>
            </w:r>
            <w:r w:rsidR="00E26661" w:rsidRPr="000C044C" w:rsidDel="008F6190">
              <w:rPr>
                <w:rFonts w:ascii="Times New Roman" w:hAnsi="Times New Roman" w:cs="Times New Roman"/>
                <w:sz w:val="24"/>
                <w:szCs w:val="24"/>
                <w:shd w:val="clear" w:color="auto" w:fill="FFFFFF"/>
              </w:rPr>
              <w:t xml:space="preserve"> ņemot vērā projektu aktivitāšu specifiku, projekt</w:t>
            </w:r>
            <w:r w:rsidR="00111DC5" w:rsidRPr="000C044C" w:rsidDel="008F6190">
              <w:rPr>
                <w:rFonts w:ascii="Times New Roman" w:hAnsi="Times New Roman" w:cs="Times New Roman"/>
                <w:sz w:val="24"/>
                <w:szCs w:val="24"/>
                <w:shd w:val="clear" w:color="auto" w:fill="FFFFFF"/>
              </w:rPr>
              <w:t>o</w:t>
            </w:r>
            <w:r w:rsidR="00E26661" w:rsidRPr="000C044C" w:rsidDel="008F6190">
              <w:rPr>
                <w:rFonts w:ascii="Times New Roman" w:hAnsi="Times New Roman" w:cs="Times New Roman"/>
                <w:sz w:val="24"/>
                <w:szCs w:val="24"/>
                <w:shd w:val="clear" w:color="auto" w:fill="FFFFFF"/>
              </w:rPr>
              <w:t xml:space="preserve">s nepieciešams </w:t>
            </w:r>
            <w:r w:rsidR="00111DC5" w:rsidRPr="000C044C" w:rsidDel="008F6190">
              <w:rPr>
                <w:rFonts w:ascii="Times New Roman" w:hAnsi="Times New Roman" w:cs="Times New Roman"/>
                <w:sz w:val="24"/>
                <w:szCs w:val="24"/>
                <w:shd w:val="clear" w:color="auto" w:fill="FFFFFF"/>
              </w:rPr>
              <w:t>pieļaut</w:t>
            </w:r>
            <w:r w:rsidR="00E26661" w:rsidRPr="000C044C" w:rsidDel="008F6190">
              <w:rPr>
                <w:rFonts w:ascii="Times New Roman" w:hAnsi="Times New Roman" w:cs="Times New Roman"/>
                <w:sz w:val="24"/>
                <w:szCs w:val="24"/>
                <w:shd w:val="clear" w:color="auto" w:fill="FFFFFF"/>
              </w:rPr>
              <w:t xml:space="preserve"> 20</w:t>
            </w:r>
            <w:r w:rsidR="007D2A46" w:rsidRPr="000C044C">
              <w:rPr>
                <w:rFonts w:ascii="Times New Roman" w:hAnsi="Times New Roman" w:cs="Times New Roman"/>
                <w:sz w:val="24"/>
                <w:szCs w:val="24"/>
                <w:shd w:val="clear" w:color="auto" w:fill="FFFFFF"/>
              </w:rPr>
              <w:t> </w:t>
            </w:r>
            <w:r w:rsidR="00E26661" w:rsidRPr="000C044C" w:rsidDel="008F6190">
              <w:rPr>
                <w:rFonts w:ascii="Times New Roman" w:hAnsi="Times New Roman" w:cs="Times New Roman"/>
                <w:sz w:val="24"/>
                <w:szCs w:val="24"/>
                <w:shd w:val="clear" w:color="auto" w:fill="FFFFFF"/>
              </w:rPr>
              <w:t xml:space="preserve">procentu slieksni administrēšanas izmaksām. </w:t>
            </w:r>
            <w:r w:rsidR="00E26661" w:rsidRPr="000C044C">
              <w:rPr>
                <w:rFonts w:ascii="Times New Roman" w:hAnsi="Times New Roman" w:cs="Times New Roman"/>
                <w:sz w:val="24"/>
                <w:szCs w:val="24"/>
                <w:shd w:val="clear" w:color="auto" w:fill="FFFFFF"/>
              </w:rPr>
              <w:t>Cit</w:t>
            </w:r>
            <w:r w:rsidR="003D4723" w:rsidRPr="000C044C">
              <w:rPr>
                <w:rFonts w:ascii="Times New Roman" w:hAnsi="Times New Roman" w:cs="Times New Roman"/>
                <w:sz w:val="24"/>
                <w:szCs w:val="24"/>
                <w:shd w:val="clear" w:color="auto" w:fill="FFFFFF"/>
              </w:rPr>
              <w:t>ās</w:t>
            </w:r>
            <w:r w:rsidR="00E26661" w:rsidRPr="000C044C">
              <w:rPr>
                <w:rFonts w:ascii="Times New Roman" w:hAnsi="Times New Roman" w:cs="Times New Roman"/>
                <w:sz w:val="24"/>
                <w:szCs w:val="24"/>
                <w:shd w:val="clear" w:color="auto" w:fill="FFFFFF"/>
              </w:rPr>
              <w:t xml:space="preserve"> līdzīga veida </w:t>
            </w:r>
            <w:r w:rsidR="007D2A46" w:rsidRPr="000C044C">
              <w:rPr>
                <w:rFonts w:ascii="Times New Roman" w:hAnsi="Times New Roman" w:cs="Times New Roman"/>
                <w:sz w:val="24"/>
                <w:szCs w:val="24"/>
                <w:shd w:val="clear" w:color="auto" w:fill="FFFFFF"/>
              </w:rPr>
              <w:t>Eiropas Ekonomikas zonas</w:t>
            </w:r>
            <w:r w:rsidR="00BF7402" w:rsidRPr="000C044C">
              <w:rPr>
                <w:rFonts w:ascii="Times New Roman" w:hAnsi="Times New Roman" w:cs="Times New Roman"/>
                <w:sz w:val="24"/>
                <w:szCs w:val="24"/>
                <w:shd w:val="clear" w:color="auto" w:fill="FFFFFF"/>
              </w:rPr>
              <w:t xml:space="preserve"> finanšu instrumenta</w:t>
            </w:r>
            <w:r w:rsidR="00E26661" w:rsidRPr="000C044C">
              <w:rPr>
                <w:rFonts w:ascii="Times New Roman" w:hAnsi="Times New Roman" w:cs="Times New Roman"/>
                <w:sz w:val="24"/>
                <w:szCs w:val="24"/>
                <w:shd w:val="clear" w:color="auto" w:fill="FFFFFF"/>
              </w:rPr>
              <w:t xml:space="preserve"> saņēmējvalstu kultūras programmās tiek paredzēti līdz 30</w:t>
            </w:r>
            <w:r w:rsidR="005A0602" w:rsidRPr="000C044C">
              <w:rPr>
                <w:rFonts w:ascii="Times New Roman" w:hAnsi="Times New Roman" w:cs="Times New Roman"/>
                <w:sz w:val="24"/>
                <w:szCs w:val="24"/>
                <w:shd w:val="clear" w:color="auto" w:fill="FFFFFF"/>
              </w:rPr>
              <w:t xml:space="preserve"> procentiem</w:t>
            </w:r>
            <w:r w:rsidR="00E26661" w:rsidRPr="000C044C">
              <w:rPr>
                <w:rFonts w:ascii="Times New Roman" w:hAnsi="Times New Roman" w:cs="Times New Roman"/>
                <w:sz w:val="24"/>
                <w:szCs w:val="24"/>
                <w:shd w:val="clear" w:color="auto" w:fill="FFFFFF"/>
              </w:rPr>
              <w:t xml:space="preserve"> no administratīvajām izmaksām. </w:t>
            </w:r>
          </w:p>
          <w:p w14:paraId="41D147D8" w14:textId="77777777" w:rsidR="001A21BD" w:rsidRPr="000C044C" w:rsidRDefault="001A21BD" w:rsidP="00731493">
            <w:pPr>
              <w:shd w:val="clear" w:color="auto" w:fill="FFFFFF"/>
              <w:jc w:val="both"/>
              <w:rPr>
                <w:rFonts w:ascii="Times New Roman" w:hAnsi="Times New Roman" w:cs="Times New Roman"/>
                <w:sz w:val="24"/>
                <w:szCs w:val="24"/>
                <w:shd w:val="clear" w:color="auto" w:fill="FFFFFF"/>
              </w:rPr>
            </w:pPr>
          </w:p>
          <w:p w14:paraId="6DABC6D6" w14:textId="1EA93A14" w:rsidR="007D2A46" w:rsidRDefault="00991904" w:rsidP="00731493">
            <w:pPr>
              <w:widowControl w:val="0"/>
              <w:jc w:val="both"/>
              <w:rPr>
                <w:rFonts w:ascii="Times New Roman" w:eastAsia="Times New Roman" w:hAnsi="Times New Roman" w:cs="Times New Roman"/>
                <w:sz w:val="24"/>
                <w:szCs w:val="24"/>
                <w:lang w:eastAsia="lv-LV"/>
              </w:rPr>
            </w:pPr>
            <w:r w:rsidRPr="000C044C">
              <w:rPr>
                <w:rFonts w:ascii="Times New Roman" w:hAnsi="Times New Roman" w:cs="Times New Roman"/>
                <w:sz w:val="24"/>
                <w:szCs w:val="24"/>
                <w:lang w:eastAsia="lv-LV"/>
              </w:rPr>
              <w:t>Vadības noteikumu</w:t>
            </w:r>
            <w:r w:rsidR="008B1680" w:rsidRPr="000C044C">
              <w:rPr>
                <w:rFonts w:ascii="Times New Roman" w:hAnsi="Times New Roman" w:cs="Times New Roman"/>
                <w:sz w:val="24"/>
                <w:szCs w:val="24"/>
                <w:lang w:eastAsia="lv-LV"/>
              </w:rPr>
              <w:t xml:space="preserve"> </w:t>
            </w:r>
            <w:r w:rsidR="00BE6AF2" w:rsidRPr="000C044C">
              <w:rPr>
                <w:rFonts w:ascii="Times New Roman" w:hAnsi="Times New Roman" w:cs="Times New Roman"/>
                <w:sz w:val="24"/>
                <w:szCs w:val="24"/>
                <w:lang w:eastAsia="lv-LV"/>
              </w:rPr>
              <w:t>18.punkts paredz,</w:t>
            </w:r>
            <w:r w:rsidR="008B1680" w:rsidRPr="000C044C">
              <w:rPr>
                <w:rFonts w:ascii="Times New Roman" w:hAnsi="Times New Roman" w:cs="Times New Roman"/>
                <w:sz w:val="24"/>
                <w:szCs w:val="24"/>
                <w:lang w:eastAsia="lv-LV"/>
              </w:rPr>
              <w:t xml:space="preserve"> ja pēc projekta līguma noslēgšanas tajā ir nepieciešami grozījumi, programmas </w:t>
            </w:r>
            <w:r w:rsidR="00573A47" w:rsidRPr="000C044C">
              <w:rPr>
                <w:rFonts w:ascii="Times New Roman" w:hAnsi="Times New Roman" w:cs="Times New Roman"/>
                <w:sz w:val="24"/>
                <w:szCs w:val="24"/>
                <w:lang w:eastAsia="lv-LV"/>
              </w:rPr>
              <w:t>partneris</w:t>
            </w:r>
            <w:r w:rsidR="008B1680" w:rsidRPr="000C044C">
              <w:rPr>
                <w:rFonts w:ascii="Times New Roman" w:hAnsi="Times New Roman" w:cs="Times New Roman"/>
                <w:sz w:val="24"/>
                <w:szCs w:val="24"/>
                <w:lang w:eastAsia="lv-LV"/>
              </w:rPr>
              <w:t xml:space="preserve"> vai līdzfinansējuma saņēmējs ierosina projekta līguma grozījumus. </w:t>
            </w:r>
            <w:r w:rsidR="00573A47" w:rsidRPr="000C044C">
              <w:rPr>
                <w:rFonts w:ascii="Times New Roman" w:hAnsi="Times New Roman" w:cs="Times New Roman"/>
                <w:sz w:val="24"/>
                <w:szCs w:val="24"/>
                <w:lang w:eastAsia="lv-LV"/>
              </w:rPr>
              <w:t>Programmas partneris</w:t>
            </w:r>
            <w:r w:rsidR="008B1680" w:rsidRPr="000C044C">
              <w:rPr>
                <w:rFonts w:ascii="Times New Roman" w:hAnsi="Times New Roman" w:cs="Times New Roman"/>
                <w:sz w:val="24"/>
                <w:szCs w:val="24"/>
                <w:lang w:eastAsia="lv-LV"/>
              </w:rPr>
              <w:t xml:space="preserve"> lemj par grozījumu veikšanu projektā un minētos grozījumus veic šajā nodaļā noteiktajā kārtībā, ja vien normatīvajā aktā par programmas ieviešanu netiek paredzēta cita kārtība</w:t>
            </w:r>
            <w:r w:rsidR="002F6716" w:rsidRPr="000C044C">
              <w:rPr>
                <w:rFonts w:ascii="Times New Roman" w:hAnsi="Times New Roman" w:cs="Times New Roman"/>
                <w:sz w:val="24"/>
                <w:szCs w:val="24"/>
                <w:lang w:eastAsia="lv-LV"/>
              </w:rPr>
              <w:t xml:space="preserve">. </w:t>
            </w:r>
            <w:r w:rsidR="008B1680" w:rsidRPr="000C044C">
              <w:rPr>
                <w:rFonts w:ascii="Times New Roman" w:eastAsia="Times New Roman" w:hAnsi="Times New Roman" w:cs="Times New Roman"/>
                <w:sz w:val="24"/>
                <w:szCs w:val="24"/>
                <w:lang w:eastAsia="lv-LV"/>
              </w:rPr>
              <w:t>Ņemot vērā programmas specifi</w:t>
            </w:r>
            <w:r w:rsidR="002F6716" w:rsidRPr="000C044C">
              <w:rPr>
                <w:rFonts w:ascii="Times New Roman" w:eastAsia="Times New Roman" w:hAnsi="Times New Roman" w:cs="Times New Roman"/>
                <w:sz w:val="24"/>
                <w:szCs w:val="24"/>
                <w:lang w:eastAsia="lv-LV"/>
              </w:rPr>
              <w:t>k</w:t>
            </w:r>
            <w:r w:rsidR="00CC34F8" w:rsidRPr="000C044C">
              <w:rPr>
                <w:rFonts w:ascii="Times New Roman" w:eastAsia="Times New Roman" w:hAnsi="Times New Roman" w:cs="Times New Roman"/>
                <w:sz w:val="24"/>
                <w:szCs w:val="24"/>
                <w:lang w:eastAsia="lv-LV"/>
              </w:rPr>
              <w:t xml:space="preserve">u, </w:t>
            </w:r>
            <w:r w:rsidR="003F230E" w:rsidRPr="000C044C">
              <w:rPr>
                <w:rFonts w:ascii="Times New Roman" w:eastAsia="Times New Roman" w:hAnsi="Times New Roman" w:cs="Times New Roman"/>
                <w:sz w:val="24"/>
                <w:szCs w:val="24"/>
                <w:lang w:eastAsia="lv-LV"/>
              </w:rPr>
              <w:t>Noteikumu projekts</w:t>
            </w:r>
            <w:r w:rsidR="008B1680" w:rsidRPr="000C044C">
              <w:rPr>
                <w:rFonts w:ascii="Times New Roman" w:eastAsia="Times New Roman" w:hAnsi="Times New Roman" w:cs="Times New Roman"/>
                <w:sz w:val="24"/>
                <w:szCs w:val="24"/>
                <w:lang w:eastAsia="lv-LV"/>
              </w:rPr>
              <w:t xml:space="preserve"> paredz atkāpes no vispārējās projekta līguma grozīšanas kārtības</w:t>
            </w:r>
            <w:r w:rsidR="002F6716" w:rsidRPr="000C044C">
              <w:rPr>
                <w:rFonts w:ascii="Times New Roman" w:eastAsia="Times New Roman" w:hAnsi="Times New Roman" w:cs="Times New Roman"/>
                <w:sz w:val="24"/>
                <w:szCs w:val="24"/>
                <w:lang w:eastAsia="lv-LV"/>
              </w:rPr>
              <w:t>, kas noteikta Vadības noteikumos.</w:t>
            </w:r>
          </w:p>
          <w:p w14:paraId="5D25C5A4" w14:textId="77777777" w:rsidR="00731493" w:rsidRPr="000C044C" w:rsidRDefault="00731493" w:rsidP="00731493">
            <w:pPr>
              <w:widowControl w:val="0"/>
              <w:jc w:val="both"/>
              <w:rPr>
                <w:rFonts w:ascii="Times New Roman" w:eastAsia="Times New Roman" w:hAnsi="Times New Roman" w:cs="Times New Roman"/>
                <w:sz w:val="24"/>
                <w:szCs w:val="24"/>
                <w:lang w:eastAsia="lv-LV"/>
              </w:rPr>
            </w:pPr>
          </w:p>
          <w:p w14:paraId="0781A698" w14:textId="327A60C5" w:rsidR="007D2A46" w:rsidRDefault="000B7753" w:rsidP="00731493">
            <w:pPr>
              <w:widowControl w:val="0"/>
              <w:jc w:val="both"/>
              <w:rPr>
                <w:rFonts w:ascii="Times New Roman" w:hAnsi="Times New Roman" w:cs="Times New Roman"/>
                <w:sz w:val="24"/>
                <w:szCs w:val="24"/>
              </w:rPr>
            </w:pPr>
            <w:r w:rsidRPr="000C044C">
              <w:rPr>
                <w:rFonts w:ascii="Times New Roman" w:eastAsia="Times New Roman" w:hAnsi="Times New Roman" w:cs="Times New Roman"/>
                <w:sz w:val="24"/>
                <w:szCs w:val="24"/>
                <w:lang w:eastAsia="lv-LV"/>
              </w:rPr>
              <w:t xml:space="preserve">Ievērojot to, ka projekta </w:t>
            </w:r>
            <w:r w:rsidR="007D2A46" w:rsidRPr="000C044C">
              <w:rPr>
                <w:rFonts w:ascii="Times New Roman" w:eastAsia="Times New Roman" w:hAnsi="Times New Roman" w:cs="Times New Roman"/>
                <w:sz w:val="24"/>
                <w:szCs w:val="24"/>
                <w:lang w:eastAsia="lv-LV"/>
              </w:rPr>
              <w:t>detalizēto budžetu sagatavo</w:t>
            </w:r>
            <w:r w:rsidR="006D6DE6">
              <w:rPr>
                <w:rFonts w:ascii="Times New Roman" w:eastAsia="Times New Roman" w:hAnsi="Times New Roman" w:cs="Times New Roman"/>
                <w:sz w:val="24"/>
                <w:szCs w:val="24"/>
                <w:lang w:eastAsia="lv-LV"/>
              </w:rPr>
              <w:t>,</w:t>
            </w:r>
            <w:r w:rsidRPr="000C044C">
              <w:rPr>
                <w:rFonts w:ascii="Times New Roman" w:eastAsia="Times New Roman" w:hAnsi="Times New Roman" w:cs="Times New Roman"/>
                <w:sz w:val="24"/>
                <w:szCs w:val="24"/>
                <w:lang w:eastAsia="lv-LV"/>
              </w:rPr>
              <w:t xml:space="preserve"> balstoties uz pieņēmumiem par izmaksām, kādas radīsies projekta īstenošanas laikā, īstenojot projektu</w:t>
            </w:r>
            <w:r w:rsidR="007D2A46" w:rsidRPr="000C044C">
              <w:rPr>
                <w:rFonts w:ascii="Times New Roman" w:eastAsia="Times New Roman" w:hAnsi="Times New Roman" w:cs="Times New Roman"/>
                <w:sz w:val="24"/>
                <w:szCs w:val="24"/>
                <w:lang w:eastAsia="lv-LV"/>
              </w:rPr>
              <w:t>,</w:t>
            </w:r>
            <w:r w:rsidRPr="000C044C">
              <w:rPr>
                <w:rFonts w:ascii="Times New Roman" w:eastAsia="Times New Roman" w:hAnsi="Times New Roman" w:cs="Times New Roman"/>
                <w:sz w:val="24"/>
                <w:szCs w:val="24"/>
                <w:lang w:eastAsia="lv-LV"/>
              </w:rPr>
              <w:t xml:space="preserve"> bieži rodas situācijas, kad kādā no budžeta pozīcijām izmaksas ir ieplānotas pārāk maz, vienlaikus citās pozīcijās veidojas atlikums. Vadības noteikumu 20.punkts paredz vispārēju kārtību, kādā saskaņo</w:t>
            </w:r>
            <w:r w:rsidR="007D2A46" w:rsidRPr="000C044C">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projekta līguma grozījum</w:t>
            </w:r>
            <w:r w:rsidR="00C61807" w:rsidRPr="000C044C">
              <w:rPr>
                <w:rFonts w:ascii="Times New Roman" w:eastAsia="Times New Roman" w:hAnsi="Times New Roman" w:cs="Times New Roman"/>
                <w:sz w:val="24"/>
                <w:szCs w:val="24"/>
                <w:lang w:eastAsia="lv-LV"/>
              </w:rPr>
              <w:t>us</w:t>
            </w:r>
            <w:r w:rsidRPr="000C044C">
              <w:rPr>
                <w:rFonts w:ascii="Times New Roman" w:eastAsia="Times New Roman" w:hAnsi="Times New Roman" w:cs="Times New Roman"/>
                <w:sz w:val="24"/>
                <w:szCs w:val="24"/>
                <w:lang w:eastAsia="lv-LV"/>
              </w:rPr>
              <w:t xml:space="preserve">, proti, līdzfinansējuma saņēmējs šādos gadījumos iesniedz līguma grozījumu pieprasījumu un programmas </w:t>
            </w:r>
            <w:r w:rsidR="00C61807" w:rsidRPr="000C044C">
              <w:rPr>
                <w:rFonts w:ascii="Times New Roman" w:eastAsia="Times New Roman" w:hAnsi="Times New Roman" w:cs="Times New Roman"/>
                <w:sz w:val="24"/>
                <w:szCs w:val="24"/>
                <w:lang w:eastAsia="lv-LV"/>
              </w:rPr>
              <w:t>partneris</w:t>
            </w:r>
            <w:r w:rsidR="00753331" w:rsidRPr="000C044C">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 xml:space="preserve">20 darbdienu laikā, izvērtējot šādu </w:t>
            </w:r>
            <w:r w:rsidRPr="000C044C">
              <w:rPr>
                <w:rFonts w:ascii="Times New Roman" w:eastAsia="Times New Roman" w:hAnsi="Times New Roman" w:cs="Times New Roman"/>
                <w:sz w:val="24"/>
                <w:szCs w:val="24"/>
                <w:lang w:eastAsia="lv-LV"/>
              </w:rPr>
              <w:lastRenderedPageBreak/>
              <w:t xml:space="preserve">grozījumu lietderību, pamatotību un nepieciešamību projekta sākotnējā mērķa sasniegšanai, izdara atbilstošus projekta līguma grozījumus vai noraida grozījumu priekšlikumu. </w:t>
            </w:r>
            <w:r w:rsidR="00850444" w:rsidRPr="000C044C">
              <w:rPr>
                <w:rFonts w:ascii="Times New Roman" w:hAnsi="Times New Roman" w:cs="Times New Roman"/>
                <w:sz w:val="24"/>
                <w:szCs w:val="24"/>
              </w:rPr>
              <w:t>Gadījumos, kad projekts pamatā ietver t</w:t>
            </w:r>
            <w:r w:rsidR="007D2A46" w:rsidRPr="000C044C">
              <w:rPr>
                <w:rFonts w:ascii="Times New Roman" w:hAnsi="Times New Roman" w:cs="Times New Roman"/>
                <w:sz w:val="24"/>
                <w:szCs w:val="24"/>
              </w:rPr>
              <w:t>ā sauktās</w:t>
            </w:r>
            <w:r w:rsidR="00850444" w:rsidRPr="000C044C">
              <w:rPr>
                <w:rFonts w:ascii="Times New Roman" w:hAnsi="Times New Roman" w:cs="Times New Roman"/>
                <w:sz w:val="24"/>
                <w:szCs w:val="24"/>
              </w:rPr>
              <w:t xml:space="preserve"> </w:t>
            </w:r>
            <w:r w:rsidR="006D6DE6">
              <w:rPr>
                <w:rFonts w:ascii="Times New Roman" w:hAnsi="Times New Roman" w:cs="Times New Roman"/>
                <w:sz w:val="24"/>
                <w:szCs w:val="24"/>
              </w:rPr>
              <w:t>“</w:t>
            </w:r>
            <w:r w:rsidR="00850444" w:rsidRPr="000C044C">
              <w:rPr>
                <w:rFonts w:ascii="Times New Roman" w:hAnsi="Times New Roman" w:cs="Times New Roman"/>
                <w:sz w:val="24"/>
                <w:szCs w:val="24"/>
              </w:rPr>
              <w:t>mīkstās aktivitātes</w:t>
            </w:r>
            <w:r w:rsidR="00F3055D" w:rsidRPr="00494CAB">
              <w:rPr>
                <w:rStyle w:val="FootnoteReference"/>
                <w:rFonts w:ascii="Times New Roman" w:hAnsi="Times New Roman" w:cs="Times New Roman"/>
                <w:sz w:val="24"/>
                <w:szCs w:val="24"/>
              </w:rPr>
              <w:footnoteReference w:id="1"/>
            </w:r>
            <w:r w:rsidR="00850444" w:rsidRPr="000C044C">
              <w:rPr>
                <w:rFonts w:ascii="Times New Roman" w:hAnsi="Times New Roman" w:cs="Times New Roman"/>
                <w:sz w:val="24"/>
                <w:szCs w:val="24"/>
              </w:rPr>
              <w:t xml:space="preserve">”, projekta budžeta detalizācijas pakāpe ir augsta, tādējādi projekta līguma grozīšana var būt nepieciešama pat vairākas reizes viena pārskata periodā laikā. Ja izmaiņas projekta budžetā ir maznozīmīgas, grozījumu veikšana projekta līgumā rada nesamērīgu administratīvu slogu gan līdzfinansējuma saņēmējam, gan programmas partnerim. Paredzams, ka programmā šāda situācija veidosies, ņemot vērā, ka kultūras jomas projekti ietver tikai </w:t>
            </w:r>
            <w:r w:rsidR="006D6DE6">
              <w:rPr>
                <w:rFonts w:ascii="Times New Roman" w:hAnsi="Times New Roman" w:cs="Times New Roman"/>
                <w:sz w:val="24"/>
                <w:szCs w:val="24"/>
              </w:rPr>
              <w:t>“</w:t>
            </w:r>
            <w:r w:rsidR="00850444" w:rsidRPr="000C044C">
              <w:rPr>
                <w:rFonts w:ascii="Times New Roman" w:hAnsi="Times New Roman" w:cs="Times New Roman"/>
                <w:sz w:val="24"/>
                <w:szCs w:val="24"/>
              </w:rPr>
              <w:t>mīkstās aktivitātes”.</w:t>
            </w:r>
          </w:p>
          <w:p w14:paraId="02E294DD" w14:textId="77777777" w:rsidR="00731493" w:rsidRPr="000C044C" w:rsidRDefault="00731493" w:rsidP="00731493">
            <w:pPr>
              <w:widowControl w:val="0"/>
              <w:jc w:val="both"/>
              <w:rPr>
                <w:rFonts w:ascii="Times New Roman" w:hAnsi="Times New Roman" w:cs="Times New Roman"/>
                <w:sz w:val="24"/>
                <w:szCs w:val="24"/>
              </w:rPr>
            </w:pPr>
          </w:p>
          <w:p w14:paraId="51D5A448" w14:textId="340E6208" w:rsidR="007D2A46" w:rsidRDefault="00850444" w:rsidP="00731493">
            <w:pPr>
              <w:widowControl w:val="0"/>
              <w:jc w:val="both"/>
              <w:rPr>
                <w:rFonts w:ascii="Times New Roman" w:hAnsi="Times New Roman" w:cs="Times New Roman"/>
                <w:sz w:val="24"/>
                <w:szCs w:val="24"/>
              </w:rPr>
            </w:pPr>
            <w:r w:rsidRPr="000C044C">
              <w:rPr>
                <w:rFonts w:ascii="Times New Roman" w:hAnsi="Times New Roman" w:cs="Times New Roman"/>
                <w:sz w:val="24"/>
                <w:szCs w:val="24"/>
              </w:rPr>
              <w:t xml:space="preserve">Ievērojot minēto, lai mazinātu administratīvo slogu, </w:t>
            </w:r>
            <w:r w:rsidR="003D1DD9" w:rsidRPr="000C044C">
              <w:rPr>
                <w:rFonts w:ascii="Times New Roman" w:hAnsi="Times New Roman" w:cs="Times New Roman"/>
                <w:sz w:val="24"/>
                <w:szCs w:val="24"/>
              </w:rPr>
              <w:t>Noteikumu p</w:t>
            </w:r>
            <w:r w:rsidRPr="000C044C">
              <w:rPr>
                <w:rFonts w:ascii="Times New Roman" w:hAnsi="Times New Roman" w:cs="Times New Roman"/>
                <w:sz w:val="24"/>
                <w:szCs w:val="24"/>
              </w:rPr>
              <w:t>rojektā ir iekļauts projekta budžeta elastības noteikums, kas pieļauj tādas atkāpes no projekta budžetā plānotā, kas vienlaikus nav lielākas par 10</w:t>
            </w:r>
            <w:r w:rsidR="007D2A46" w:rsidRPr="000C044C">
              <w:rPr>
                <w:rFonts w:ascii="Times New Roman" w:hAnsi="Times New Roman" w:cs="Times New Roman"/>
                <w:sz w:val="24"/>
                <w:szCs w:val="24"/>
              </w:rPr>
              <w:t xml:space="preserve"> procentiem </w:t>
            </w:r>
            <w:r w:rsidRPr="000C044C">
              <w:rPr>
                <w:rFonts w:ascii="Times New Roman" w:hAnsi="Times New Roman" w:cs="Times New Roman"/>
                <w:sz w:val="24"/>
                <w:szCs w:val="24"/>
              </w:rPr>
              <w:t xml:space="preserve">no attiecīgās budžeta pozīcijas un to iespējams segt no ietaupījumiem citā budžeta pozīcijā, kas paredzēta tās pašas aktivitātes īstenošanai. Jāņem vērā, ka programmas partnera kontrole pār izmaiņām projektā būtiski nesamazinās, jo gadījumā, ja pārsniegtas attiecīgās aktivitātes kopējās izmaksas, līdzfinansējuma saņēmējam joprojām ir pienākums šīs izmaiņas saskaņot ar programmas </w:t>
            </w:r>
            <w:r w:rsidR="00753331" w:rsidRPr="000C044C">
              <w:rPr>
                <w:rFonts w:ascii="Times New Roman" w:hAnsi="Times New Roman" w:cs="Times New Roman"/>
                <w:sz w:val="24"/>
                <w:szCs w:val="24"/>
              </w:rPr>
              <w:t>partneri</w:t>
            </w:r>
            <w:r w:rsidRPr="000C044C">
              <w:rPr>
                <w:rFonts w:ascii="Times New Roman" w:hAnsi="Times New Roman" w:cs="Times New Roman"/>
                <w:sz w:val="24"/>
                <w:szCs w:val="24"/>
              </w:rPr>
              <w:t xml:space="preserve"> atbilstoši vispārējai kārtībai, kas paredzēta </w:t>
            </w:r>
            <w:r w:rsidR="003D1DD9" w:rsidRPr="000C044C">
              <w:rPr>
                <w:rFonts w:ascii="Times New Roman" w:hAnsi="Times New Roman" w:cs="Times New Roman"/>
                <w:sz w:val="24"/>
                <w:szCs w:val="24"/>
              </w:rPr>
              <w:t>V</w:t>
            </w:r>
            <w:r w:rsidRPr="000C044C">
              <w:rPr>
                <w:rFonts w:ascii="Times New Roman" w:hAnsi="Times New Roman" w:cs="Times New Roman"/>
                <w:sz w:val="24"/>
                <w:szCs w:val="24"/>
              </w:rPr>
              <w:t xml:space="preserve">adības noteikumos. </w:t>
            </w:r>
          </w:p>
          <w:p w14:paraId="26D3A2C7" w14:textId="77777777" w:rsidR="00731493" w:rsidRPr="000C044C" w:rsidRDefault="00731493" w:rsidP="00731493">
            <w:pPr>
              <w:widowControl w:val="0"/>
              <w:jc w:val="both"/>
              <w:rPr>
                <w:rFonts w:ascii="Times New Roman" w:hAnsi="Times New Roman" w:cs="Times New Roman"/>
                <w:sz w:val="24"/>
                <w:szCs w:val="24"/>
              </w:rPr>
            </w:pPr>
          </w:p>
          <w:p w14:paraId="73BCBA51" w14:textId="130E8E4E" w:rsidR="00AA7C99" w:rsidRPr="000C044C" w:rsidRDefault="000B7753" w:rsidP="00731493">
            <w:pPr>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 xml:space="preserve">Atbilstoši </w:t>
            </w:r>
            <w:r w:rsidR="003D4BF4">
              <w:rPr>
                <w:rFonts w:ascii="Times New Roman" w:eastAsia="Times New Roman" w:hAnsi="Times New Roman" w:cs="Times New Roman"/>
                <w:sz w:val="24"/>
                <w:szCs w:val="24"/>
                <w:lang w:eastAsia="lv-LV"/>
              </w:rPr>
              <w:t xml:space="preserve">donorvalstu noteikumu </w:t>
            </w:r>
            <w:r w:rsidRPr="000C044C">
              <w:rPr>
                <w:rFonts w:ascii="Times New Roman" w:eastAsia="Times New Roman" w:hAnsi="Times New Roman" w:cs="Times New Roman"/>
                <w:sz w:val="24"/>
                <w:szCs w:val="24"/>
                <w:lang w:eastAsia="lv-LV"/>
              </w:rPr>
              <w:t>4.4.panta 2.</w:t>
            </w:r>
            <w:r w:rsidR="00C61807" w:rsidRPr="000C044C">
              <w:rPr>
                <w:rFonts w:ascii="Times New Roman" w:eastAsia="Times New Roman" w:hAnsi="Times New Roman" w:cs="Times New Roman"/>
                <w:sz w:val="24"/>
                <w:szCs w:val="24"/>
                <w:lang w:eastAsia="lv-LV"/>
              </w:rPr>
              <w:t> </w:t>
            </w:r>
            <w:r w:rsidRPr="000C044C">
              <w:rPr>
                <w:rFonts w:ascii="Times New Roman" w:eastAsia="Times New Roman" w:hAnsi="Times New Roman" w:cs="Times New Roman"/>
                <w:sz w:val="24"/>
                <w:szCs w:val="24"/>
                <w:lang w:eastAsia="lv-LV"/>
              </w:rPr>
              <w:t>i)</w:t>
            </w:r>
            <w:r w:rsidR="00C61807" w:rsidRPr="000C044C">
              <w:rPr>
                <w:rFonts w:ascii="Times New Roman" w:eastAsia="Times New Roman" w:hAnsi="Times New Roman" w:cs="Times New Roman"/>
                <w:sz w:val="24"/>
                <w:szCs w:val="24"/>
                <w:lang w:eastAsia="lv-LV"/>
              </w:rPr>
              <w:t> </w:t>
            </w:r>
            <w:r w:rsidRPr="000C044C">
              <w:rPr>
                <w:rFonts w:ascii="Times New Roman" w:eastAsia="Times New Roman" w:hAnsi="Times New Roman" w:cs="Times New Roman"/>
                <w:sz w:val="24"/>
                <w:szCs w:val="24"/>
                <w:lang w:eastAsia="lv-LV"/>
              </w:rPr>
              <w:t>punktā noteiktajam</w:t>
            </w:r>
            <w:r w:rsidR="0029235C" w:rsidRPr="000C044C">
              <w:rPr>
                <w:rFonts w:ascii="Times New Roman" w:eastAsia="Times New Roman" w:hAnsi="Times New Roman" w:cs="Times New Roman"/>
                <w:sz w:val="24"/>
                <w:szCs w:val="24"/>
                <w:lang w:eastAsia="lv-LV"/>
              </w:rPr>
              <w:t>,</w:t>
            </w:r>
            <w:r w:rsidRPr="000C044C">
              <w:rPr>
                <w:rFonts w:ascii="Times New Roman" w:eastAsia="Times New Roman" w:hAnsi="Times New Roman" w:cs="Times New Roman"/>
                <w:sz w:val="24"/>
                <w:szCs w:val="24"/>
                <w:lang w:eastAsia="lv-LV"/>
              </w:rPr>
              <w:t xml:space="preserve"> Sadarbības komitejas uzdevums ir konsultēt programmas apsaimniekotāju par jebkurām izmaiņām programmā, kas var ietekmēt programmas sasniedzamos rezultātus. Ja līdzfinansējuma saņēmējs ierosina projekta līguma grozījumus, kas ietekmē programmas rezultāta un iznākuma rādītājus,</w:t>
            </w:r>
            <w:r w:rsidR="00C712F6" w:rsidRPr="000C044C">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projekta līgum</w:t>
            </w:r>
            <w:r w:rsidR="003B52AE">
              <w:rPr>
                <w:rFonts w:ascii="Times New Roman" w:eastAsia="Times New Roman" w:hAnsi="Times New Roman" w:cs="Times New Roman"/>
                <w:sz w:val="24"/>
                <w:szCs w:val="24"/>
                <w:lang w:eastAsia="lv-LV"/>
              </w:rPr>
              <w:t>a</w:t>
            </w:r>
            <w:r w:rsidRPr="000C044C">
              <w:rPr>
                <w:rFonts w:ascii="Times New Roman" w:eastAsia="Times New Roman" w:hAnsi="Times New Roman" w:cs="Times New Roman"/>
                <w:sz w:val="24"/>
                <w:szCs w:val="24"/>
                <w:lang w:eastAsia="lv-LV"/>
              </w:rPr>
              <w:t xml:space="preserve"> grozījumu procesā ir jāiesaista </w:t>
            </w:r>
            <w:r w:rsidR="00CC34F8" w:rsidRPr="000C044C">
              <w:rPr>
                <w:rFonts w:ascii="Times New Roman" w:eastAsia="Times New Roman" w:hAnsi="Times New Roman" w:cs="Times New Roman"/>
                <w:sz w:val="24"/>
                <w:szCs w:val="24"/>
                <w:lang w:eastAsia="lv-LV"/>
              </w:rPr>
              <w:t xml:space="preserve">Sadarbības komiteja. Attiecīgi </w:t>
            </w:r>
            <w:r w:rsidR="003F230E" w:rsidRPr="000C044C">
              <w:rPr>
                <w:rFonts w:ascii="Times New Roman" w:eastAsia="Times New Roman" w:hAnsi="Times New Roman" w:cs="Times New Roman"/>
                <w:sz w:val="24"/>
                <w:szCs w:val="24"/>
                <w:lang w:eastAsia="lv-LV"/>
              </w:rPr>
              <w:t>Noteikumu projekts</w:t>
            </w:r>
            <w:r w:rsidRPr="000C044C">
              <w:rPr>
                <w:rFonts w:ascii="Times New Roman" w:eastAsia="Times New Roman" w:hAnsi="Times New Roman" w:cs="Times New Roman"/>
                <w:sz w:val="24"/>
                <w:szCs w:val="24"/>
                <w:lang w:eastAsia="lv-LV"/>
              </w:rPr>
              <w:t xml:space="preserve"> paredz, ka programmas </w:t>
            </w:r>
            <w:r w:rsidR="00753331" w:rsidRPr="000C044C">
              <w:rPr>
                <w:rFonts w:ascii="Times New Roman" w:eastAsia="Times New Roman" w:hAnsi="Times New Roman" w:cs="Times New Roman"/>
                <w:sz w:val="24"/>
                <w:szCs w:val="24"/>
                <w:lang w:eastAsia="lv-LV"/>
              </w:rPr>
              <w:t>partneris</w:t>
            </w:r>
            <w:r w:rsidRPr="000C044C">
              <w:rPr>
                <w:rFonts w:ascii="Times New Roman" w:eastAsia="Times New Roman" w:hAnsi="Times New Roman" w:cs="Times New Roman"/>
                <w:sz w:val="24"/>
                <w:szCs w:val="24"/>
                <w:lang w:eastAsia="lv-LV"/>
              </w:rPr>
              <w:t xml:space="preserve"> šādus grozījumus projekta līgumā papildus saskaņo ar </w:t>
            </w:r>
            <w:r w:rsidR="00753331" w:rsidRPr="000C044C">
              <w:rPr>
                <w:rFonts w:ascii="Times New Roman" w:eastAsia="Times New Roman" w:hAnsi="Times New Roman" w:cs="Times New Roman"/>
                <w:sz w:val="24"/>
                <w:szCs w:val="24"/>
                <w:lang w:eastAsia="lv-LV"/>
              </w:rPr>
              <w:t>programmas apsaimniekotāju</w:t>
            </w:r>
            <w:r w:rsidRPr="000C044C">
              <w:rPr>
                <w:rFonts w:ascii="Times New Roman" w:eastAsia="Times New Roman" w:hAnsi="Times New Roman" w:cs="Times New Roman"/>
                <w:sz w:val="24"/>
                <w:szCs w:val="24"/>
                <w:lang w:eastAsia="lv-LV"/>
              </w:rPr>
              <w:t>.</w:t>
            </w:r>
          </w:p>
          <w:p w14:paraId="2D975A3C" w14:textId="34B70E85" w:rsidR="00DD17F2" w:rsidRDefault="00DD17F2" w:rsidP="00731493">
            <w:pPr>
              <w:jc w:val="both"/>
              <w:rPr>
                <w:rFonts w:ascii="Times New Roman" w:eastAsia="Times New Roman" w:hAnsi="Times New Roman" w:cs="Times New Roman"/>
                <w:sz w:val="24"/>
                <w:szCs w:val="24"/>
                <w:lang w:eastAsia="lv-LV"/>
              </w:rPr>
            </w:pPr>
            <w:bookmarkStart w:id="2" w:name="_Hlk49347210"/>
            <w:r w:rsidRPr="000C044C">
              <w:rPr>
                <w:rFonts w:ascii="Times New Roman" w:eastAsia="Times New Roman" w:hAnsi="Times New Roman" w:cs="Times New Roman"/>
                <w:sz w:val="24"/>
                <w:szCs w:val="24"/>
                <w:lang w:eastAsia="lv-LV"/>
              </w:rPr>
              <w:t>Atbilstoši programmas līguma 5.4.panta 2.punktam, projekta līgumā</w:t>
            </w:r>
            <w:r w:rsidR="000259BB">
              <w:rPr>
                <w:rFonts w:ascii="Times New Roman" w:eastAsia="Times New Roman" w:hAnsi="Times New Roman" w:cs="Times New Roman"/>
                <w:sz w:val="24"/>
                <w:szCs w:val="24"/>
                <w:lang w:eastAsia="lv-LV"/>
              </w:rPr>
              <w:t xml:space="preserve"> un partnerības līgumā</w:t>
            </w:r>
            <w:r w:rsidRPr="000C044C">
              <w:rPr>
                <w:rFonts w:ascii="Times New Roman" w:eastAsia="Times New Roman" w:hAnsi="Times New Roman" w:cs="Times New Roman"/>
                <w:sz w:val="24"/>
                <w:szCs w:val="24"/>
                <w:lang w:eastAsia="lv-LV"/>
              </w:rPr>
              <w:t xml:space="preserve"> tiks ietverti nosacījumi par līdzfinansējuma saņēmēja un projekta partnera pienākumu nodrošināt dokumentu glabāšanu vismaz </w:t>
            </w:r>
            <w:r w:rsidR="006D6DE6">
              <w:rPr>
                <w:rFonts w:ascii="Times New Roman" w:eastAsia="Times New Roman" w:hAnsi="Times New Roman" w:cs="Times New Roman"/>
                <w:sz w:val="24"/>
                <w:szCs w:val="24"/>
                <w:lang w:eastAsia="lv-LV"/>
              </w:rPr>
              <w:t>piecus</w:t>
            </w:r>
            <w:r w:rsidRPr="000C044C">
              <w:rPr>
                <w:rFonts w:ascii="Times New Roman" w:eastAsia="Times New Roman" w:hAnsi="Times New Roman" w:cs="Times New Roman"/>
                <w:sz w:val="24"/>
                <w:szCs w:val="24"/>
                <w:lang w:eastAsia="lv-LV"/>
              </w:rPr>
              <w:t xml:space="preserve"> gadus pēc programmas noslēguma pārskata apstiprināšanas</w:t>
            </w:r>
            <w:r w:rsidR="00811143" w:rsidRPr="000C044C">
              <w:rPr>
                <w:rFonts w:ascii="Times New Roman" w:eastAsia="Times New Roman" w:hAnsi="Times New Roman" w:cs="Times New Roman"/>
                <w:sz w:val="24"/>
                <w:szCs w:val="24"/>
                <w:lang w:eastAsia="lv-LV"/>
              </w:rPr>
              <w:t>.</w:t>
            </w:r>
          </w:p>
          <w:p w14:paraId="24AF9600" w14:textId="77777777" w:rsidR="00731493" w:rsidRDefault="00731493" w:rsidP="00731493">
            <w:pPr>
              <w:jc w:val="both"/>
              <w:rPr>
                <w:rFonts w:ascii="Times New Roman" w:eastAsia="Times New Roman" w:hAnsi="Times New Roman" w:cs="Times New Roman"/>
                <w:sz w:val="24"/>
                <w:szCs w:val="24"/>
                <w:lang w:eastAsia="lv-LV"/>
              </w:rPr>
            </w:pPr>
          </w:p>
          <w:p w14:paraId="6F96EC32" w14:textId="379D73A1" w:rsidR="00FD5384" w:rsidRDefault="00FD5384" w:rsidP="00731493">
            <w:pPr>
              <w:jc w:val="both"/>
              <w:rPr>
                <w:rFonts w:ascii="Times New Roman" w:eastAsia="Times New Roman" w:hAnsi="Times New Roman" w:cs="Times New Roman"/>
                <w:sz w:val="24"/>
                <w:szCs w:val="24"/>
                <w:lang w:eastAsia="lv-LV"/>
              </w:rPr>
            </w:pPr>
            <w:r w:rsidRPr="00360E10">
              <w:rPr>
                <w:rFonts w:ascii="Times New Roman" w:hAnsi="Times New Roman" w:cs="Times New Roman"/>
                <w:sz w:val="24"/>
                <w:szCs w:val="24"/>
              </w:rPr>
              <w:t>Atbilstoši Eiropas Komisijas Paziņojumā par valsts atbalsta jēdzienu</w:t>
            </w:r>
            <w:r w:rsidRPr="00360E10">
              <w:rPr>
                <w:rFonts w:ascii="Times New Roman" w:eastAsia="Times New Roman" w:hAnsi="Times New Roman" w:cs="Times New Roman"/>
                <w:sz w:val="24"/>
                <w:szCs w:val="24"/>
                <w:lang w:eastAsia="lv-LV"/>
              </w:rPr>
              <w:t xml:space="preserve"> noteiktajam atsevišķas ar kultūru, kultūrvēsturiskā mantojuma saglabāšanu un dabas aizsardzību saistītas darbības var, ņemot vērā to īpašo raksturu, būt organizētas nekomerciāli </w:t>
            </w:r>
            <w:r w:rsidRPr="00360E10">
              <w:rPr>
                <w:rFonts w:ascii="Times New Roman" w:eastAsia="Times New Roman" w:hAnsi="Times New Roman" w:cs="Times New Roman"/>
                <w:sz w:val="24"/>
                <w:szCs w:val="24"/>
                <w:lang w:eastAsia="lv-LV"/>
              </w:rPr>
              <w:lastRenderedPageBreak/>
              <w:t xml:space="preserve">un tādējādi būt tādas, kurām nav saimnieciska rakstura. Tādējādi to publiskais finansējums var nebūt valsts atbalsts. Komisija uzskata, ka publiskā finansējuma piešķiršana kultūras vai kultūrvēsturiskā mantojuma saglabāšanas pasākumam, kas visai sabiedrībai pieejams bez maksas, kalpo tīri sociālam un kultūras mērķim, kam nav saimnieciska rakstura. </w:t>
            </w:r>
          </w:p>
          <w:p w14:paraId="2E69C141" w14:textId="77777777" w:rsidR="00731493" w:rsidRPr="00360E10" w:rsidRDefault="00731493" w:rsidP="00731493">
            <w:pPr>
              <w:jc w:val="both"/>
              <w:rPr>
                <w:rFonts w:ascii="Times New Roman" w:eastAsia="Times New Roman" w:hAnsi="Times New Roman" w:cs="Times New Roman"/>
                <w:sz w:val="24"/>
                <w:szCs w:val="24"/>
                <w:lang w:eastAsia="lv-LV"/>
              </w:rPr>
            </w:pPr>
          </w:p>
          <w:bookmarkEnd w:id="2"/>
          <w:p w14:paraId="13CA5046" w14:textId="38DDC468" w:rsidR="00AA7C99" w:rsidRDefault="00452166" w:rsidP="00731493">
            <w:pPr>
              <w:widowControl w:val="0"/>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Kultūras jomas projektu mērķis ir uzlabot pieejamību profesionālajai laikmetīgajai mākslai un kultūrai visos Latvijas reģionos, un mērķa</w:t>
            </w:r>
            <w:r w:rsidR="00C61807" w:rsidRPr="000C044C">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 xml:space="preserve">grupa (gala saņēmēji) būs </w:t>
            </w:r>
            <w:r w:rsidR="00560B17" w:rsidRPr="000C044C">
              <w:rPr>
                <w:rFonts w:ascii="Times New Roman" w:eastAsia="Times New Roman" w:hAnsi="Times New Roman" w:cs="Times New Roman"/>
                <w:sz w:val="24"/>
                <w:szCs w:val="24"/>
                <w:lang w:eastAsia="lv-LV"/>
              </w:rPr>
              <w:t>bērni un jaunieši</w:t>
            </w:r>
            <w:r w:rsidR="00907B43" w:rsidRPr="000C044C">
              <w:rPr>
                <w:rFonts w:ascii="Times New Roman" w:eastAsia="Times New Roman" w:hAnsi="Times New Roman" w:cs="Times New Roman"/>
                <w:sz w:val="24"/>
                <w:szCs w:val="24"/>
                <w:lang w:eastAsia="lv-LV"/>
              </w:rPr>
              <w:t xml:space="preserve"> vecuma grupā </w:t>
            </w:r>
            <w:r w:rsidR="00560B17" w:rsidRPr="000C044C">
              <w:rPr>
                <w:rFonts w:ascii="Times New Roman" w:eastAsia="Times New Roman" w:hAnsi="Times New Roman" w:cs="Times New Roman"/>
                <w:sz w:val="24"/>
                <w:szCs w:val="24"/>
                <w:lang w:eastAsia="lv-LV"/>
              </w:rPr>
              <w:t>no</w:t>
            </w:r>
            <w:r w:rsidR="00907B43" w:rsidRPr="000C044C">
              <w:rPr>
                <w:rFonts w:ascii="Times New Roman" w:eastAsia="Times New Roman" w:hAnsi="Times New Roman" w:cs="Times New Roman"/>
                <w:sz w:val="24"/>
                <w:szCs w:val="24"/>
                <w:lang w:eastAsia="lv-LV"/>
              </w:rPr>
              <w:t xml:space="preserve"> </w:t>
            </w:r>
            <w:r w:rsidR="00C61807" w:rsidRPr="000C044C">
              <w:rPr>
                <w:rFonts w:ascii="Times New Roman" w:eastAsia="Times New Roman" w:hAnsi="Times New Roman" w:cs="Times New Roman"/>
                <w:sz w:val="24"/>
                <w:szCs w:val="24"/>
                <w:lang w:eastAsia="lv-LV"/>
              </w:rPr>
              <w:t>sešiem</w:t>
            </w:r>
            <w:r w:rsidR="00907B43" w:rsidRPr="000C044C">
              <w:rPr>
                <w:rFonts w:ascii="Times New Roman" w:eastAsia="Times New Roman" w:hAnsi="Times New Roman" w:cs="Times New Roman"/>
                <w:sz w:val="24"/>
                <w:szCs w:val="24"/>
                <w:lang w:eastAsia="lv-LV"/>
              </w:rPr>
              <w:t xml:space="preserve"> </w:t>
            </w:r>
            <w:r w:rsidR="00560B17" w:rsidRPr="000C044C">
              <w:rPr>
                <w:rFonts w:ascii="Times New Roman" w:eastAsia="Times New Roman" w:hAnsi="Times New Roman" w:cs="Times New Roman"/>
                <w:sz w:val="24"/>
                <w:szCs w:val="24"/>
                <w:lang w:eastAsia="lv-LV"/>
              </w:rPr>
              <w:t>līdz</w:t>
            </w:r>
            <w:r w:rsidR="00907B43" w:rsidRPr="000C044C">
              <w:rPr>
                <w:rFonts w:ascii="Times New Roman" w:eastAsia="Times New Roman" w:hAnsi="Times New Roman" w:cs="Times New Roman"/>
                <w:sz w:val="24"/>
                <w:szCs w:val="24"/>
                <w:lang w:eastAsia="lv-LV"/>
              </w:rPr>
              <w:t xml:space="preserve"> 18 gadi</w:t>
            </w:r>
            <w:r w:rsidR="00560B17" w:rsidRPr="000C044C">
              <w:rPr>
                <w:rFonts w:ascii="Times New Roman" w:eastAsia="Times New Roman" w:hAnsi="Times New Roman" w:cs="Times New Roman"/>
                <w:sz w:val="24"/>
                <w:szCs w:val="24"/>
                <w:lang w:eastAsia="lv-LV"/>
              </w:rPr>
              <w:t>em</w:t>
            </w:r>
            <w:r w:rsidR="00907B43" w:rsidRPr="000C044C">
              <w:rPr>
                <w:rFonts w:ascii="Times New Roman" w:eastAsia="Times New Roman" w:hAnsi="Times New Roman" w:cs="Times New Roman"/>
                <w:sz w:val="24"/>
                <w:szCs w:val="24"/>
                <w:lang w:eastAsia="lv-LV"/>
              </w:rPr>
              <w:t>.</w:t>
            </w:r>
            <w:r w:rsidRPr="000C044C">
              <w:rPr>
                <w:rFonts w:ascii="Times New Roman" w:eastAsia="Times New Roman" w:hAnsi="Times New Roman" w:cs="Times New Roman"/>
                <w:sz w:val="24"/>
                <w:szCs w:val="24"/>
                <w:lang w:eastAsia="lv-LV"/>
              </w:rPr>
              <w:t xml:space="preserve"> Projektu rezultāts būs kultūras produkts (produkti un pakalpojumi, kas ietver mākslu</w:t>
            </w:r>
            <w:r w:rsidR="00907B43" w:rsidRPr="000C044C">
              <w:rPr>
                <w:rFonts w:ascii="Times New Roman" w:eastAsia="Times New Roman" w:hAnsi="Times New Roman" w:cs="Times New Roman"/>
                <w:sz w:val="24"/>
                <w:szCs w:val="24"/>
                <w:lang w:eastAsia="lv-LV"/>
              </w:rPr>
              <w:t>)</w:t>
            </w:r>
            <w:r w:rsidRPr="000C044C">
              <w:rPr>
                <w:rFonts w:ascii="Times New Roman" w:eastAsia="Times New Roman" w:hAnsi="Times New Roman" w:cs="Times New Roman"/>
                <w:sz w:val="24"/>
                <w:szCs w:val="24"/>
                <w:lang w:eastAsia="lv-LV"/>
              </w:rPr>
              <w:t xml:space="preserve">, un to galvenais uzdevums būs nodrošināt kvalitatīvu kultūras piedāvājumu </w:t>
            </w:r>
            <w:r w:rsidR="00560B17" w:rsidRPr="000C044C">
              <w:rPr>
                <w:rFonts w:ascii="Times New Roman" w:eastAsia="Times New Roman" w:hAnsi="Times New Roman" w:cs="Times New Roman"/>
                <w:sz w:val="24"/>
                <w:szCs w:val="24"/>
                <w:lang w:eastAsia="lv-LV"/>
              </w:rPr>
              <w:t xml:space="preserve">bērniem un jauniešiem vecuma grupā no </w:t>
            </w:r>
            <w:r w:rsidR="00C61807" w:rsidRPr="000C044C">
              <w:rPr>
                <w:rFonts w:ascii="Times New Roman" w:eastAsia="Times New Roman" w:hAnsi="Times New Roman" w:cs="Times New Roman"/>
                <w:sz w:val="24"/>
                <w:szCs w:val="24"/>
                <w:lang w:eastAsia="lv-LV"/>
              </w:rPr>
              <w:t>sešiem</w:t>
            </w:r>
            <w:r w:rsidR="00560B17" w:rsidRPr="000C044C">
              <w:rPr>
                <w:rFonts w:ascii="Times New Roman" w:eastAsia="Times New Roman" w:hAnsi="Times New Roman" w:cs="Times New Roman"/>
                <w:sz w:val="24"/>
                <w:szCs w:val="24"/>
                <w:lang w:eastAsia="lv-LV"/>
              </w:rPr>
              <w:t xml:space="preserve"> līdz 18 gadiem</w:t>
            </w:r>
            <w:r w:rsidR="00907B43" w:rsidRPr="000C044C" w:rsidDel="00907B43">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visā Latvijā.</w:t>
            </w:r>
            <w:r w:rsidR="00907B43" w:rsidRPr="000C044C">
              <w:rPr>
                <w:rFonts w:ascii="Times New Roman" w:eastAsia="Times New Roman" w:hAnsi="Times New Roman" w:cs="Times New Roman"/>
                <w:sz w:val="24"/>
                <w:szCs w:val="24"/>
                <w:lang w:eastAsia="lv-LV"/>
              </w:rPr>
              <w:t xml:space="preserve"> Programmas ietvaros nav paredzēts sniegt atbalstu televīzijas pārraižu un filmu veidošanai.</w:t>
            </w:r>
            <w:r w:rsidRPr="000C044C">
              <w:rPr>
                <w:rFonts w:ascii="Times New Roman" w:eastAsia="Times New Roman" w:hAnsi="Times New Roman" w:cs="Times New Roman"/>
                <w:sz w:val="24"/>
                <w:szCs w:val="24"/>
                <w:lang w:eastAsia="lv-LV"/>
              </w:rPr>
              <w:t xml:space="preserve"> Komponentes, </w:t>
            </w:r>
            <w:r w:rsidR="00AA7C99" w:rsidRPr="000C044C">
              <w:rPr>
                <w:rFonts w:ascii="Times New Roman" w:eastAsia="Times New Roman" w:hAnsi="Times New Roman" w:cs="Times New Roman"/>
                <w:sz w:val="24"/>
                <w:szCs w:val="24"/>
                <w:lang w:eastAsia="lv-LV"/>
              </w:rPr>
              <w:t xml:space="preserve">ko plānots </w:t>
            </w:r>
            <w:r w:rsidRPr="000C044C">
              <w:rPr>
                <w:rFonts w:ascii="Times New Roman" w:eastAsia="Times New Roman" w:hAnsi="Times New Roman" w:cs="Times New Roman"/>
                <w:sz w:val="24"/>
                <w:szCs w:val="24"/>
                <w:lang w:eastAsia="lv-LV"/>
              </w:rPr>
              <w:t>ietvert projektos, ir kultūras produkta izstrāde, kas piemērota mērķa</w:t>
            </w:r>
            <w:r w:rsidR="00C61807" w:rsidRPr="000C044C">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grupai, kā arī auditorijas attīstība, kas ietver  diskusijas, seminārus</w:t>
            </w:r>
            <w:r w:rsidR="007721FC" w:rsidRPr="000C044C">
              <w:rPr>
                <w:rFonts w:ascii="Times New Roman" w:eastAsia="Times New Roman" w:hAnsi="Times New Roman" w:cs="Times New Roman"/>
                <w:sz w:val="24"/>
                <w:szCs w:val="24"/>
                <w:lang w:eastAsia="lv-LV"/>
              </w:rPr>
              <w:t>,</w:t>
            </w:r>
            <w:r w:rsidRPr="000C044C">
              <w:rPr>
                <w:rFonts w:ascii="Times New Roman" w:eastAsia="Times New Roman" w:hAnsi="Times New Roman" w:cs="Times New Roman"/>
                <w:sz w:val="24"/>
                <w:szCs w:val="24"/>
                <w:lang w:eastAsia="lv-LV"/>
              </w:rPr>
              <w:t xml:space="preserve"> </w:t>
            </w:r>
            <w:r w:rsidR="00AD3E19">
              <w:rPr>
                <w:rFonts w:ascii="Times New Roman" w:eastAsia="Times New Roman" w:hAnsi="Times New Roman" w:cs="Times New Roman"/>
                <w:sz w:val="24"/>
                <w:szCs w:val="24"/>
                <w:lang w:eastAsia="lv-LV"/>
              </w:rPr>
              <w:t xml:space="preserve">pieredzes apmaiņu, </w:t>
            </w:r>
            <w:r w:rsidRPr="000C044C">
              <w:rPr>
                <w:rFonts w:ascii="Times New Roman" w:eastAsia="Times New Roman" w:hAnsi="Times New Roman" w:cs="Times New Roman"/>
                <w:sz w:val="24"/>
                <w:szCs w:val="24"/>
                <w:lang w:eastAsia="lv-LV"/>
              </w:rPr>
              <w:t>t</w:t>
            </w:r>
            <w:r w:rsidR="00AA7C99" w:rsidRPr="000C044C">
              <w:rPr>
                <w:rFonts w:ascii="Times New Roman" w:eastAsia="Times New Roman" w:hAnsi="Times New Roman" w:cs="Times New Roman"/>
                <w:sz w:val="24"/>
                <w:szCs w:val="24"/>
                <w:lang w:eastAsia="lv-LV"/>
              </w:rPr>
              <w:t>ai skaitā</w:t>
            </w:r>
            <w:r w:rsidRPr="000C044C">
              <w:rPr>
                <w:rFonts w:ascii="Times New Roman" w:eastAsia="Times New Roman" w:hAnsi="Times New Roman" w:cs="Times New Roman"/>
                <w:sz w:val="24"/>
                <w:szCs w:val="24"/>
                <w:lang w:eastAsia="lv-LV"/>
              </w:rPr>
              <w:t xml:space="preserve"> izglītības un kultūras jomas speciālistiem, kas nodrošinās labāku kultūras izpratnes kompetenci. Lai nodrošinātu projektu ilgtspēju un nodrošinātu plašāku kultūras pieejamību skolēniem, mērķis ir apstiprināt projektus, ko būs iespējams iekļaut Latvijas Skolas somas programmā. </w:t>
            </w:r>
            <w:r w:rsidR="00EB3C88" w:rsidRPr="00360E10">
              <w:rPr>
                <w:rFonts w:ascii="Times New Roman" w:eastAsia="Times New Roman" w:hAnsi="Times New Roman" w:cs="Times New Roman"/>
                <w:sz w:val="24"/>
                <w:szCs w:val="24"/>
                <w:lang w:eastAsia="lv-LV"/>
              </w:rPr>
              <w:t>Projektam ir nekomerciāls raksturs</w:t>
            </w:r>
            <w:r w:rsidR="00E16F15" w:rsidRPr="00360E10">
              <w:rPr>
                <w:rFonts w:ascii="Times New Roman" w:eastAsia="Times New Roman" w:hAnsi="Times New Roman" w:cs="Times New Roman"/>
                <w:sz w:val="24"/>
                <w:szCs w:val="24"/>
                <w:lang w:eastAsia="lv-LV"/>
              </w:rPr>
              <w:t>,</w:t>
            </w:r>
            <w:r w:rsidR="00EB3C88" w:rsidRPr="00360E10">
              <w:rPr>
                <w:rFonts w:ascii="Times New Roman" w:eastAsia="Times New Roman" w:hAnsi="Times New Roman" w:cs="Times New Roman"/>
                <w:sz w:val="24"/>
                <w:szCs w:val="24"/>
                <w:lang w:eastAsia="lv-LV"/>
              </w:rPr>
              <w:t xml:space="preserve"> un</w:t>
            </w:r>
            <w:r w:rsidR="00360E10" w:rsidRPr="00360E10">
              <w:rPr>
                <w:rFonts w:ascii="Times New Roman" w:eastAsia="Times New Roman" w:hAnsi="Times New Roman" w:cs="Times New Roman"/>
                <w:sz w:val="24"/>
                <w:szCs w:val="24"/>
                <w:lang w:eastAsia="lv-LV"/>
              </w:rPr>
              <w:t>,</w:t>
            </w:r>
            <w:r w:rsidR="00EB3C88" w:rsidRPr="00360E10">
              <w:rPr>
                <w:rFonts w:ascii="Times New Roman" w:eastAsia="Times New Roman" w:hAnsi="Times New Roman" w:cs="Times New Roman"/>
                <w:sz w:val="24"/>
                <w:szCs w:val="24"/>
                <w:lang w:eastAsia="lv-LV"/>
              </w:rPr>
              <w:t xml:space="preserve"> to īstenojot</w:t>
            </w:r>
            <w:r w:rsidR="00360E10" w:rsidRPr="00360E10">
              <w:rPr>
                <w:rFonts w:ascii="Times New Roman" w:eastAsia="Times New Roman" w:hAnsi="Times New Roman" w:cs="Times New Roman"/>
                <w:sz w:val="24"/>
                <w:szCs w:val="24"/>
                <w:lang w:eastAsia="lv-LV"/>
              </w:rPr>
              <w:t>,</w:t>
            </w:r>
            <w:r w:rsidR="00EB3C88" w:rsidRPr="00360E10">
              <w:rPr>
                <w:rFonts w:ascii="Times New Roman" w:eastAsia="Times New Roman" w:hAnsi="Times New Roman" w:cs="Times New Roman"/>
                <w:sz w:val="24"/>
                <w:szCs w:val="24"/>
                <w:lang w:eastAsia="lv-LV"/>
              </w:rPr>
              <w:t xml:space="preserve"> nav plānots gūt ieņēmumus. Projekta</w:t>
            </w:r>
            <w:r w:rsidR="007E372E" w:rsidRPr="00360E10">
              <w:rPr>
                <w:rFonts w:ascii="Times New Roman" w:eastAsia="Times New Roman" w:hAnsi="Times New Roman" w:cs="Times New Roman"/>
                <w:sz w:val="24"/>
                <w:szCs w:val="24"/>
                <w:lang w:eastAsia="lv-LV"/>
              </w:rPr>
              <w:t xml:space="preserve"> īstenošanas laikā</w:t>
            </w:r>
            <w:r w:rsidR="00EB3C88" w:rsidRPr="00360E10">
              <w:rPr>
                <w:rFonts w:ascii="Times New Roman" w:eastAsia="Times New Roman" w:hAnsi="Times New Roman" w:cs="Times New Roman"/>
                <w:sz w:val="24"/>
                <w:szCs w:val="24"/>
                <w:lang w:eastAsia="lv-LV"/>
              </w:rPr>
              <w:t xml:space="preserve"> tiek radīts </w:t>
            </w:r>
            <w:r w:rsidR="007E372E" w:rsidRPr="00360E10">
              <w:rPr>
                <w:rFonts w:ascii="Times New Roman" w:eastAsia="Times New Roman" w:hAnsi="Times New Roman" w:cs="Times New Roman"/>
                <w:sz w:val="24"/>
                <w:szCs w:val="24"/>
                <w:lang w:eastAsia="lv-LV"/>
              </w:rPr>
              <w:t>jauns</w:t>
            </w:r>
            <w:r w:rsidR="00EB3C88" w:rsidRPr="00360E10">
              <w:rPr>
                <w:rFonts w:ascii="Times New Roman" w:eastAsia="Times New Roman" w:hAnsi="Times New Roman" w:cs="Times New Roman"/>
                <w:sz w:val="24"/>
                <w:szCs w:val="24"/>
                <w:lang w:eastAsia="lv-LV"/>
              </w:rPr>
              <w:t xml:space="preserve"> vai uzlabots esošs kultūras produkts</w:t>
            </w:r>
            <w:r w:rsidR="007E372E" w:rsidRPr="00360E10">
              <w:rPr>
                <w:rFonts w:ascii="Times New Roman" w:eastAsia="Times New Roman" w:hAnsi="Times New Roman" w:cs="Times New Roman"/>
                <w:sz w:val="24"/>
                <w:szCs w:val="24"/>
                <w:lang w:eastAsia="lv-LV"/>
              </w:rPr>
              <w:t>. Projekt</w:t>
            </w:r>
            <w:r w:rsidR="00360E10" w:rsidRPr="00360E10">
              <w:rPr>
                <w:rFonts w:ascii="Times New Roman" w:eastAsia="Times New Roman" w:hAnsi="Times New Roman" w:cs="Times New Roman"/>
                <w:sz w:val="24"/>
                <w:szCs w:val="24"/>
                <w:lang w:eastAsia="lv-LV"/>
              </w:rPr>
              <w:t xml:space="preserve">ā </w:t>
            </w:r>
            <w:r w:rsidR="00EB3C88" w:rsidRPr="00360E10">
              <w:rPr>
                <w:rFonts w:ascii="Times New Roman" w:eastAsia="Times New Roman" w:hAnsi="Times New Roman" w:cs="Times New Roman"/>
                <w:sz w:val="24"/>
                <w:szCs w:val="24"/>
                <w:lang w:eastAsia="lv-LV"/>
              </w:rPr>
              <w:t xml:space="preserve">ir paredzēta radītā kultūras produkta </w:t>
            </w:r>
            <w:r w:rsidR="00E16F15" w:rsidRPr="00360E10">
              <w:rPr>
                <w:rFonts w:ascii="Times New Roman" w:eastAsia="Times New Roman" w:hAnsi="Times New Roman" w:cs="Times New Roman"/>
                <w:sz w:val="24"/>
                <w:szCs w:val="24"/>
                <w:lang w:eastAsia="lv-LV"/>
              </w:rPr>
              <w:t>bezmaksas demonstrēšan</w:t>
            </w:r>
            <w:r w:rsidR="00360E10" w:rsidRPr="00360E10">
              <w:rPr>
                <w:rFonts w:ascii="Times New Roman" w:eastAsia="Times New Roman" w:hAnsi="Times New Roman" w:cs="Times New Roman"/>
                <w:sz w:val="24"/>
                <w:szCs w:val="24"/>
                <w:lang w:eastAsia="lv-LV"/>
              </w:rPr>
              <w:t>a</w:t>
            </w:r>
            <w:r w:rsidR="00E16F15" w:rsidRPr="00360E10">
              <w:rPr>
                <w:rFonts w:ascii="Times New Roman" w:eastAsia="Times New Roman" w:hAnsi="Times New Roman" w:cs="Times New Roman"/>
                <w:sz w:val="24"/>
                <w:szCs w:val="24"/>
                <w:lang w:eastAsia="lv-LV"/>
              </w:rPr>
              <w:t xml:space="preserve"> </w:t>
            </w:r>
            <w:r w:rsidR="00EB3C88" w:rsidRPr="00360E10">
              <w:rPr>
                <w:rFonts w:ascii="Times New Roman" w:eastAsia="Times New Roman" w:hAnsi="Times New Roman" w:cs="Times New Roman"/>
                <w:sz w:val="24"/>
                <w:szCs w:val="24"/>
                <w:lang w:eastAsia="lv-LV"/>
              </w:rPr>
              <w:t>mērķa grupai</w:t>
            </w:r>
            <w:r w:rsidR="00E16F15" w:rsidRPr="00360E10">
              <w:rPr>
                <w:rFonts w:ascii="Times New Roman" w:eastAsia="Times New Roman" w:hAnsi="Times New Roman" w:cs="Times New Roman"/>
                <w:sz w:val="24"/>
                <w:szCs w:val="24"/>
                <w:lang w:eastAsia="lv-LV"/>
              </w:rPr>
              <w:t>, un</w:t>
            </w:r>
            <w:r w:rsidR="00EB3C88" w:rsidRPr="00360E10">
              <w:rPr>
                <w:rFonts w:ascii="Times New Roman" w:eastAsia="Times New Roman" w:hAnsi="Times New Roman" w:cs="Times New Roman"/>
                <w:sz w:val="24"/>
                <w:szCs w:val="24"/>
                <w:lang w:eastAsia="lv-LV"/>
              </w:rPr>
              <w:t xml:space="preserve"> </w:t>
            </w:r>
            <w:r w:rsidR="00360E10" w:rsidRPr="00360E10">
              <w:rPr>
                <w:rFonts w:ascii="Times New Roman" w:eastAsia="Times New Roman" w:hAnsi="Times New Roman" w:cs="Times New Roman"/>
                <w:sz w:val="24"/>
                <w:szCs w:val="24"/>
                <w:lang w:eastAsia="lv-LV"/>
              </w:rPr>
              <w:t>tā ietvaros</w:t>
            </w:r>
            <w:r w:rsidR="00EB3C88" w:rsidRPr="00360E10">
              <w:rPr>
                <w:rFonts w:ascii="Times New Roman" w:eastAsia="Times New Roman" w:hAnsi="Times New Roman" w:cs="Times New Roman"/>
                <w:sz w:val="24"/>
                <w:szCs w:val="24"/>
                <w:lang w:eastAsia="lv-LV"/>
              </w:rPr>
              <w:t xml:space="preserve"> projekta īstenotājs negūs biļešu ieņēmumus. Finansējuma saņēmējam ir jānodrošina projekta ilgtspēja pēc projekta pabeigšanas, taču projekta uzturēšana un turpmāka </w:t>
            </w:r>
            <w:r w:rsidR="007E372E" w:rsidRPr="00360E10">
              <w:rPr>
                <w:rFonts w:ascii="Times New Roman" w:eastAsia="Times New Roman" w:hAnsi="Times New Roman" w:cs="Times New Roman"/>
                <w:sz w:val="24"/>
                <w:szCs w:val="24"/>
                <w:lang w:eastAsia="lv-LV"/>
              </w:rPr>
              <w:t>realizācija</w:t>
            </w:r>
            <w:r w:rsidR="00EB3C88" w:rsidRPr="00360E10">
              <w:rPr>
                <w:rFonts w:ascii="Times New Roman" w:eastAsia="Times New Roman" w:hAnsi="Times New Roman" w:cs="Times New Roman"/>
                <w:sz w:val="24"/>
                <w:szCs w:val="24"/>
                <w:lang w:eastAsia="lv-LV"/>
              </w:rPr>
              <w:t xml:space="preserve"> pēc projekta pabeigšanas tiek segta no citiem </w:t>
            </w:r>
            <w:r w:rsidR="007E372E" w:rsidRPr="00360E10">
              <w:rPr>
                <w:rFonts w:ascii="Times New Roman" w:eastAsia="Times New Roman" w:hAnsi="Times New Roman" w:cs="Times New Roman"/>
                <w:sz w:val="24"/>
                <w:szCs w:val="24"/>
                <w:lang w:eastAsia="lv-LV"/>
              </w:rPr>
              <w:t xml:space="preserve">finanšu </w:t>
            </w:r>
            <w:r w:rsidR="00EB3C88" w:rsidRPr="00360E10">
              <w:rPr>
                <w:rFonts w:ascii="Times New Roman" w:eastAsia="Times New Roman" w:hAnsi="Times New Roman" w:cs="Times New Roman"/>
                <w:sz w:val="24"/>
                <w:szCs w:val="24"/>
                <w:lang w:eastAsia="lv-LV"/>
              </w:rPr>
              <w:t>līdzekļiem</w:t>
            </w:r>
            <w:r w:rsidR="007E372E" w:rsidRPr="00360E10">
              <w:rPr>
                <w:rFonts w:ascii="Times New Roman" w:eastAsia="Times New Roman" w:hAnsi="Times New Roman" w:cs="Times New Roman"/>
                <w:sz w:val="24"/>
                <w:szCs w:val="24"/>
                <w:lang w:eastAsia="lv-LV"/>
              </w:rPr>
              <w:t xml:space="preserve"> un neietilps </w:t>
            </w:r>
            <w:r w:rsidR="00E16F15" w:rsidRPr="00360E10">
              <w:rPr>
                <w:rFonts w:ascii="Times New Roman" w:eastAsia="Times New Roman" w:hAnsi="Times New Roman" w:cs="Times New Roman"/>
                <w:sz w:val="24"/>
                <w:szCs w:val="24"/>
                <w:lang w:eastAsia="lv-LV"/>
              </w:rPr>
              <w:t>projekta</w:t>
            </w:r>
            <w:r w:rsidR="007E372E" w:rsidRPr="00360E10">
              <w:rPr>
                <w:rFonts w:ascii="Times New Roman" w:eastAsia="Times New Roman" w:hAnsi="Times New Roman" w:cs="Times New Roman"/>
                <w:sz w:val="24"/>
                <w:szCs w:val="24"/>
                <w:lang w:eastAsia="lv-LV"/>
              </w:rPr>
              <w:t xml:space="preserve"> tvērumā</w:t>
            </w:r>
            <w:r w:rsidR="00EB3C88" w:rsidRPr="00360E10">
              <w:rPr>
                <w:rFonts w:ascii="Times New Roman" w:eastAsia="Times New Roman" w:hAnsi="Times New Roman" w:cs="Times New Roman"/>
                <w:sz w:val="24"/>
                <w:szCs w:val="24"/>
                <w:lang w:eastAsia="lv-LV"/>
              </w:rPr>
              <w:t xml:space="preserve">. </w:t>
            </w:r>
          </w:p>
          <w:p w14:paraId="2EC48C2B" w14:textId="77777777" w:rsidR="00731493" w:rsidRPr="000C044C" w:rsidRDefault="00731493" w:rsidP="00731493">
            <w:pPr>
              <w:widowControl w:val="0"/>
              <w:jc w:val="both"/>
              <w:rPr>
                <w:rFonts w:ascii="Times New Roman" w:eastAsia="Times New Roman" w:hAnsi="Times New Roman" w:cs="Times New Roman"/>
                <w:sz w:val="24"/>
                <w:szCs w:val="24"/>
                <w:lang w:eastAsia="lv-LV"/>
              </w:rPr>
            </w:pPr>
          </w:p>
          <w:p w14:paraId="6307DDB5" w14:textId="304BD946" w:rsidR="00C51E7F" w:rsidRDefault="00452166" w:rsidP="00731493">
            <w:pPr>
              <w:widowControl w:val="0"/>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Aktīvi iesaistot mērķa grupu</w:t>
            </w:r>
            <w:r w:rsidR="00C51E7F" w:rsidRPr="000C044C">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veicinot mērķa grupas sadarbību ar radošajiem profesionāļiem</w:t>
            </w:r>
            <w:r w:rsidR="00C51E7F" w:rsidRPr="000C044C">
              <w:rPr>
                <w:rFonts w:ascii="Times New Roman" w:eastAsia="Times New Roman" w:hAnsi="Times New Roman" w:cs="Times New Roman"/>
                <w:sz w:val="24"/>
                <w:szCs w:val="24"/>
                <w:lang w:eastAsia="lv-LV"/>
              </w:rPr>
              <w:t xml:space="preserve"> un</w:t>
            </w:r>
            <w:r w:rsidRPr="000C044C">
              <w:rPr>
                <w:rFonts w:ascii="Times New Roman" w:eastAsia="Times New Roman" w:hAnsi="Times New Roman" w:cs="Times New Roman"/>
                <w:sz w:val="24"/>
                <w:szCs w:val="24"/>
                <w:lang w:eastAsia="lv-LV"/>
              </w:rPr>
              <w:t xml:space="preserve"> </w:t>
            </w:r>
            <w:r w:rsidR="00AA7C99" w:rsidRPr="000C044C">
              <w:rPr>
                <w:rFonts w:ascii="Times New Roman" w:eastAsia="Times New Roman" w:hAnsi="Times New Roman" w:cs="Times New Roman"/>
                <w:sz w:val="24"/>
                <w:szCs w:val="24"/>
                <w:lang w:eastAsia="lv-LV"/>
              </w:rPr>
              <w:t>rad</w:t>
            </w:r>
            <w:r w:rsidR="00C51E7F" w:rsidRPr="000C044C">
              <w:rPr>
                <w:rFonts w:ascii="Times New Roman" w:eastAsia="Times New Roman" w:hAnsi="Times New Roman" w:cs="Times New Roman"/>
                <w:sz w:val="24"/>
                <w:szCs w:val="24"/>
                <w:lang w:eastAsia="lv-LV"/>
              </w:rPr>
              <w:t>ot</w:t>
            </w:r>
            <w:r w:rsidR="00AA7C99" w:rsidRPr="000C044C">
              <w:rPr>
                <w:rFonts w:ascii="Times New Roman" w:eastAsia="Times New Roman" w:hAnsi="Times New Roman" w:cs="Times New Roman"/>
                <w:sz w:val="24"/>
                <w:szCs w:val="24"/>
                <w:lang w:eastAsia="lv-LV"/>
              </w:rPr>
              <w:t xml:space="preserve"> jaunus </w:t>
            </w:r>
            <w:r w:rsidRPr="000C044C">
              <w:rPr>
                <w:rFonts w:ascii="Times New Roman" w:eastAsia="Times New Roman" w:hAnsi="Times New Roman" w:cs="Times New Roman"/>
                <w:sz w:val="24"/>
                <w:szCs w:val="24"/>
                <w:lang w:eastAsia="lv-LV"/>
              </w:rPr>
              <w:t>kultūras produkt</w:t>
            </w:r>
            <w:r w:rsidR="00AA7C99" w:rsidRPr="000C044C">
              <w:rPr>
                <w:rFonts w:ascii="Times New Roman" w:eastAsia="Times New Roman" w:hAnsi="Times New Roman" w:cs="Times New Roman"/>
                <w:sz w:val="24"/>
                <w:szCs w:val="24"/>
                <w:lang w:eastAsia="lv-LV"/>
              </w:rPr>
              <w:t>us</w:t>
            </w:r>
            <w:r w:rsidRPr="000C044C">
              <w:rPr>
                <w:rFonts w:ascii="Times New Roman" w:eastAsia="Times New Roman" w:hAnsi="Times New Roman" w:cs="Times New Roman"/>
                <w:sz w:val="24"/>
                <w:szCs w:val="24"/>
                <w:lang w:eastAsia="lv-LV"/>
              </w:rPr>
              <w:t xml:space="preserve">, </w:t>
            </w:r>
            <w:r w:rsidR="00412254" w:rsidRPr="000C044C">
              <w:rPr>
                <w:rFonts w:ascii="Times New Roman" w:eastAsia="Times New Roman" w:hAnsi="Times New Roman" w:cs="Times New Roman"/>
                <w:sz w:val="24"/>
                <w:szCs w:val="24"/>
                <w:lang w:eastAsia="lv-LV"/>
              </w:rPr>
              <w:t xml:space="preserve">tiks </w:t>
            </w:r>
            <w:r w:rsidR="00AA7C99" w:rsidRPr="000C044C">
              <w:rPr>
                <w:rFonts w:ascii="Times New Roman" w:eastAsia="Times New Roman" w:hAnsi="Times New Roman" w:cs="Times New Roman"/>
                <w:sz w:val="24"/>
                <w:szCs w:val="24"/>
                <w:lang w:eastAsia="lv-LV"/>
              </w:rPr>
              <w:t>veicinā</w:t>
            </w:r>
            <w:r w:rsidR="00412254" w:rsidRPr="000C044C">
              <w:rPr>
                <w:rFonts w:ascii="Times New Roman" w:eastAsia="Times New Roman" w:hAnsi="Times New Roman" w:cs="Times New Roman"/>
                <w:sz w:val="24"/>
                <w:szCs w:val="24"/>
                <w:lang w:eastAsia="lv-LV"/>
              </w:rPr>
              <w:t>ta</w:t>
            </w:r>
            <w:r w:rsidR="00AA7C99" w:rsidRPr="000C044C">
              <w:rPr>
                <w:rFonts w:ascii="Times New Roman" w:eastAsia="Times New Roman" w:hAnsi="Times New Roman" w:cs="Times New Roman"/>
                <w:sz w:val="24"/>
                <w:szCs w:val="24"/>
                <w:lang w:eastAsia="lv-LV"/>
              </w:rPr>
              <w:t xml:space="preserve"> </w:t>
            </w:r>
            <w:r w:rsidR="0029235C" w:rsidRPr="000C044C">
              <w:rPr>
                <w:rFonts w:ascii="Times New Roman" w:eastAsia="Times New Roman" w:hAnsi="Times New Roman" w:cs="Times New Roman"/>
                <w:sz w:val="24"/>
                <w:szCs w:val="24"/>
                <w:lang w:eastAsia="lv-LV"/>
              </w:rPr>
              <w:t xml:space="preserve">plašāka </w:t>
            </w:r>
            <w:r w:rsidRPr="000C044C">
              <w:rPr>
                <w:rFonts w:ascii="Times New Roman" w:eastAsia="Times New Roman" w:hAnsi="Times New Roman" w:cs="Times New Roman"/>
                <w:sz w:val="24"/>
                <w:szCs w:val="24"/>
                <w:lang w:eastAsia="lv-LV"/>
              </w:rPr>
              <w:t xml:space="preserve">kultūras </w:t>
            </w:r>
            <w:r w:rsidR="0029235C" w:rsidRPr="000C044C">
              <w:rPr>
                <w:rFonts w:ascii="Times New Roman" w:eastAsia="Times New Roman" w:hAnsi="Times New Roman" w:cs="Times New Roman"/>
                <w:sz w:val="24"/>
                <w:szCs w:val="24"/>
                <w:lang w:eastAsia="lv-LV"/>
              </w:rPr>
              <w:t xml:space="preserve">pieejamība </w:t>
            </w:r>
            <w:r w:rsidRPr="000C044C">
              <w:rPr>
                <w:rFonts w:ascii="Times New Roman" w:eastAsia="Times New Roman" w:hAnsi="Times New Roman" w:cs="Times New Roman"/>
                <w:sz w:val="24"/>
                <w:szCs w:val="24"/>
                <w:lang w:eastAsia="lv-LV"/>
              </w:rPr>
              <w:t>visos Latvijas reģionos. Projekt</w:t>
            </w:r>
            <w:r w:rsidR="00AA7C99" w:rsidRPr="000C044C">
              <w:rPr>
                <w:rFonts w:ascii="Times New Roman" w:eastAsia="Times New Roman" w:hAnsi="Times New Roman" w:cs="Times New Roman"/>
                <w:sz w:val="24"/>
                <w:szCs w:val="24"/>
                <w:lang w:eastAsia="lv-LV"/>
              </w:rPr>
              <w:t>us</w:t>
            </w:r>
            <w:r w:rsidR="0093304A" w:rsidRPr="000C044C">
              <w:rPr>
                <w:rFonts w:ascii="Times New Roman" w:eastAsia="Times New Roman" w:hAnsi="Times New Roman" w:cs="Times New Roman"/>
                <w:sz w:val="24"/>
                <w:szCs w:val="24"/>
                <w:lang w:eastAsia="lv-LV"/>
              </w:rPr>
              <w:t xml:space="preserve"> varēs</w:t>
            </w:r>
            <w:r w:rsidRPr="000C044C">
              <w:rPr>
                <w:rFonts w:ascii="Times New Roman" w:eastAsia="Times New Roman" w:hAnsi="Times New Roman" w:cs="Times New Roman"/>
                <w:sz w:val="24"/>
                <w:szCs w:val="24"/>
                <w:lang w:eastAsia="lv-LV"/>
              </w:rPr>
              <w:t xml:space="preserve"> īsteno</w:t>
            </w:r>
            <w:r w:rsidR="0093304A" w:rsidRPr="000C044C">
              <w:rPr>
                <w:rFonts w:ascii="Times New Roman" w:eastAsia="Times New Roman" w:hAnsi="Times New Roman" w:cs="Times New Roman"/>
                <w:sz w:val="24"/>
                <w:szCs w:val="24"/>
                <w:lang w:eastAsia="lv-LV"/>
              </w:rPr>
              <w:t>t</w:t>
            </w:r>
            <w:r w:rsidRPr="000C044C">
              <w:rPr>
                <w:rFonts w:ascii="Times New Roman" w:eastAsia="Times New Roman" w:hAnsi="Times New Roman" w:cs="Times New Roman"/>
                <w:sz w:val="24"/>
                <w:szCs w:val="24"/>
                <w:lang w:eastAsia="lv-LV"/>
              </w:rPr>
              <w:t xml:space="preserve"> sadarbībā ar kultūras organizācijām, vietējām pašvaldībām, izglītības iestādēm</w:t>
            </w:r>
            <w:r w:rsidR="0093304A" w:rsidRPr="000C044C">
              <w:rPr>
                <w:rFonts w:ascii="Times New Roman" w:eastAsia="Times New Roman" w:hAnsi="Times New Roman" w:cs="Times New Roman"/>
                <w:sz w:val="24"/>
                <w:szCs w:val="24"/>
                <w:lang w:eastAsia="lv-LV"/>
              </w:rPr>
              <w:t>,</w:t>
            </w:r>
            <w:r w:rsidRPr="000C044C">
              <w:rPr>
                <w:rFonts w:ascii="Times New Roman" w:eastAsia="Times New Roman" w:hAnsi="Times New Roman" w:cs="Times New Roman"/>
                <w:sz w:val="24"/>
                <w:szCs w:val="24"/>
                <w:lang w:eastAsia="lv-LV"/>
              </w:rPr>
              <w:t xml:space="preserve"> </w:t>
            </w:r>
            <w:r w:rsidR="00C51E7F" w:rsidRPr="000C044C">
              <w:rPr>
                <w:rFonts w:ascii="Times New Roman" w:eastAsia="Times New Roman" w:hAnsi="Times New Roman" w:cs="Times New Roman"/>
                <w:sz w:val="24"/>
                <w:szCs w:val="24"/>
                <w:lang w:eastAsia="lv-LV"/>
              </w:rPr>
              <w:t>biedrībām un nodibinājumiem</w:t>
            </w:r>
            <w:r w:rsidRPr="000C044C">
              <w:rPr>
                <w:rFonts w:ascii="Times New Roman" w:eastAsia="Times New Roman" w:hAnsi="Times New Roman" w:cs="Times New Roman"/>
                <w:sz w:val="24"/>
                <w:szCs w:val="24"/>
                <w:lang w:eastAsia="lv-LV"/>
              </w:rPr>
              <w:t xml:space="preserve">. Projektu ietvaros veidotie kultūras produkti </w:t>
            </w:r>
            <w:r w:rsidR="00C51E7F" w:rsidRPr="000C044C">
              <w:rPr>
                <w:rFonts w:ascii="Times New Roman" w:eastAsia="Times New Roman" w:hAnsi="Times New Roman" w:cs="Times New Roman"/>
                <w:sz w:val="24"/>
                <w:szCs w:val="24"/>
                <w:lang w:eastAsia="lv-LV"/>
              </w:rPr>
              <w:t xml:space="preserve">būs </w:t>
            </w:r>
            <w:r w:rsidRPr="000C044C">
              <w:rPr>
                <w:rFonts w:ascii="Times New Roman" w:eastAsia="Times New Roman" w:hAnsi="Times New Roman" w:cs="Times New Roman"/>
                <w:sz w:val="24"/>
                <w:szCs w:val="24"/>
                <w:lang w:eastAsia="lv-LV"/>
              </w:rPr>
              <w:t>fokusēti uz izpratnes veidošanu bērnu un jauniešu auditorijai par kultūras procesiem, zināšanu palielināšanu un kompetences celšanas aktivitātēm, tādējādi var secināt, ka šāda veida aktivitātes kalpo sociālam un kultūras mērķim, kam nav saimnieciska rakstura pazīmes</w:t>
            </w:r>
            <w:r w:rsidR="008C320B" w:rsidRPr="000C044C">
              <w:rPr>
                <w:rFonts w:ascii="Times New Roman" w:eastAsia="Times New Roman" w:hAnsi="Times New Roman" w:cs="Times New Roman"/>
                <w:sz w:val="24"/>
                <w:szCs w:val="24"/>
                <w:lang w:eastAsia="lv-LV"/>
              </w:rPr>
              <w:t>,</w:t>
            </w:r>
            <w:r w:rsidR="00C51E7F" w:rsidRPr="000C044C">
              <w:rPr>
                <w:rFonts w:ascii="Times New Roman" w:eastAsia="Times New Roman" w:hAnsi="Times New Roman" w:cs="Times New Roman"/>
                <w:sz w:val="24"/>
                <w:szCs w:val="24"/>
                <w:lang w:eastAsia="lv-LV"/>
              </w:rPr>
              <w:t xml:space="preserve"> </w:t>
            </w:r>
            <w:r w:rsidRPr="000C044C">
              <w:rPr>
                <w:rFonts w:ascii="Times New Roman" w:eastAsia="Times New Roman" w:hAnsi="Times New Roman" w:cs="Times New Roman"/>
                <w:sz w:val="24"/>
                <w:szCs w:val="24"/>
                <w:lang w:eastAsia="lv-LV"/>
              </w:rPr>
              <w:t>attiecīgi komercdarbības atbalsta noteikumi nav jāpiemēro.</w:t>
            </w:r>
          </w:p>
          <w:p w14:paraId="617A6A5E" w14:textId="54A504EC" w:rsidR="008215F0" w:rsidRPr="008215F0" w:rsidRDefault="008215F0" w:rsidP="00731493">
            <w:pPr>
              <w:widowControl w:val="0"/>
              <w:jc w:val="both"/>
              <w:rPr>
                <w:rFonts w:ascii="Times New Roman" w:eastAsia="Times New Roman" w:hAnsi="Times New Roman" w:cs="Times New Roman"/>
                <w:sz w:val="24"/>
                <w:szCs w:val="24"/>
                <w:lang w:eastAsia="lv-LV"/>
              </w:rPr>
            </w:pPr>
          </w:p>
          <w:p w14:paraId="3FD14FA1" w14:textId="77777777" w:rsidR="00644224" w:rsidRPr="000C044C" w:rsidRDefault="00402005" w:rsidP="00731493">
            <w:pPr>
              <w:widowControl w:val="0"/>
              <w:jc w:val="both"/>
              <w:rPr>
                <w:rFonts w:ascii="Times New Roman" w:hAnsi="Times New Roman"/>
                <w:sz w:val="24"/>
                <w:szCs w:val="24"/>
                <w:lang w:eastAsia="lv-LV"/>
              </w:rPr>
            </w:pPr>
            <w:bookmarkStart w:id="3" w:name="_Hlk52781990"/>
            <w:r w:rsidRPr="000C044C">
              <w:rPr>
                <w:rFonts w:ascii="Times New Roman" w:hAnsi="Times New Roman" w:cs="Times New Roman"/>
                <w:sz w:val="24"/>
                <w:szCs w:val="24"/>
                <w:lang w:eastAsia="lv-LV"/>
              </w:rPr>
              <w:t xml:space="preserve">Atbilstoši Starptautisko un </w:t>
            </w:r>
            <w:r w:rsidR="00B12E4B" w:rsidRPr="000C044C">
              <w:rPr>
                <w:rFonts w:ascii="Times New Roman" w:hAnsi="Times New Roman" w:cs="Times New Roman"/>
                <w:sz w:val="24"/>
                <w:szCs w:val="24"/>
                <w:lang w:eastAsia="lv-LV"/>
              </w:rPr>
              <w:t>Latvijas nacionālo sankciju likumam</w:t>
            </w:r>
            <w:r w:rsidR="009A7115" w:rsidRPr="000C044C">
              <w:rPr>
                <w:rFonts w:ascii="Times New Roman" w:hAnsi="Times New Roman" w:cs="Times New Roman"/>
                <w:sz w:val="24"/>
                <w:szCs w:val="24"/>
                <w:lang w:eastAsia="lv-LV"/>
              </w:rPr>
              <w:t xml:space="preserve"> (turpmāk – Sankciju likums)</w:t>
            </w:r>
            <w:r w:rsidR="00B12E4B" w:rsidRPr="000C044C">
              <w:rPr>
                <w:rFonts w:ascii="Times New Roman" w:hAnsi="Times New Roman" w:cs="Times New Roman"/>
                <w:sz w:val="24"/>
                <w:szCs w:val="24"/>
                <w:lang w:eastAsia="lv-LV"/>
              </w:rPr>
              <w:t xml:space="preserve">, lai gūtu pārliecību, ka </w:t>
            </w:r>
            <w:r w:rsidR="00B12E4B" w:rsidRPr="000C044C">
              <w:rPr>
                <w:rFonts w:ascii="Times New Roman" w:hAnsi="Times New Roman" w:cs="Times New Roman"/>
                <w:sz w:val="24"/>
                <w:szCs w:val="24"/>
                <w:lang w:eastAsia="lv-LV"/>
              </w:rPr>
              <w:lastRenderedPageBreak/>
              <w:t>programmas līdzekļi netiek izmaksāti</w:t>
            </w:r>
            <w:r w:rsidR="00E93523" w:rsidRPr="000C044C">
              <w:rPr>
                <w:rFonts w:ascii="Times New Roman" w:hAnsi="Times New Roman" w:cs="Times New Roman"/>
                <w:sz w:val="24"/>
                <w:szCs w:val="24"/>
                <w:lang w:eastAsia="lv-LV"/>
              </w:rPr>
              <w:t xml:space="preserve"> </w:t>
            </w:r>
            <w:r w:rsidR="00B12E4B" w:rsidRPr="000C044C">
              <w:rPr>
                <w:rFonts w:ascii="Times New Roman" w:hAnsi="Times New Roman" w:cs="Times New Roman"/>
                <w:sz w:val="24"/>
                <w:szCs w:val="24"/>
                <w:lang w:eastAsia="lv-LV"/>
              </w:rPr>
              <w:t xml:space="preserve">sankciju </w:t>
            </w:r>
            <w:r w:rsidR="00E93523" w:rsidRPr="000C044C">
              <w:rPr>
                <w:rFonts w:ascii="Times New Roman" w:hAnsi="Times New Roman" w:cs="Times New Roman"/>
                <w:sz w:val="24"/>
                <w:szCs w:val="24"/>
                <w:lang w:eastAsia="lv-LV"/>
              </w:rPr>
              <w:t xml:space="preserve">sarakstā esošiem </w:t>
            </w:r>
            <w:r w:rsidR="00B12E4B" w:rsidRPr="000C044C">
              <w:rPr>
                <w:rFonts w:ascii="Times New Roman" w:hAnsi="Times New Roman" w:cs="Times New Roman"/>
                <w:sz w:val="24"/>
                <w:szCs w:val="24"/>
                <w:lang w:eastAsia="lv-LV"/>
              </w:rPr>
              <w:t>subje</w:t>
            </w:r>
            <w:r w:rsidR="00644224" w:rsidRPr="000C044C">
              <w:rPr>
                <w:rFonts w:ascii="Times New Roman" w:hAnsi="Times New Roman" w:cs="Times New Roman"/>
                <w:sz w:val="24"/>
                <w:szCs w:val="24"/>
                <w:lang w:eastAsia="lv-LV"/>
              </w:rPr>
              <w:t>ktiem:</w:t>
            </w:r>
          </w:p>
          <w:p w14:paraId="5BE8BC63" w14:textId="0DC03BA4" w:rsidR="009A7115" w:rsidRPr="000C044C" w:rsidRDefault="00644224" w:rsidP="00731493">
            <w:pPr>
              <w:pStyle w:val="tvhtml1"/>
              <w:numPr>
                <w:ilvl w:val="0"/>
                <w:numId w:val="1"/>
              </w:numPr>
              <w:spacing w:before="0" w:beforeAutospacing="0" w:line="240" w:lineRule="auto"/>
              <w:ind w:left="317" w:hanging="283"/>
              <w:jc w:val="both"/>
              <w:rPr>
                <w:rFonts w:ascii="Times New Roman" w:hAnsi="Times New Roman"/>
                <w:sz w:val="24"/>
                <w:szCs w:val="24"/>
                <w:lang w:val="lv-LV" w:eastAsia="lv-LV"/>
              </w:rPr>
            </w:pPr>
            <w:r w:rsidRPr="000C044C">
              <w:rPr>
                <w:rFonts w:ascii="Times New Roman" w:hAnsi="Times New Roman"/>
                <w:sz w:val="24"/>
                <w:szCs w:val="24"/>
                <w:lang w:val="lv-LV" w:eastAsia="lv-LV"/>
              </w:rPr>
              <w:t xml:space="preserve">pirms </w:t>
            </w:r>
            <w:r w:rsidR="009A7115" w:rsidRPr="000C044C">
              <w:rPr>
                <w:rFonts w:ascii="Times New Roman" w:hAnsi="Times New Roman"/>
                <w:sz w:val="24"/>
                <w:szCs w:val="24"/>
                <w:lang w:val="lv-LV" w:eastAsia="lv-LV"/>
              </w:rPr>
              <w:t xml:space="preserve">projekta līguma noslēgšanas </w:t>
            </w:r>
            <w:r w:rsidR="00D03423" w:rsidRPr="000C044C">
              <w:rPr>
                <w:rFonts w:ascii="Times New Roman" w:hAnsi="Times New Roman"/>
                <w:sz w:val="24"/>
                <w:szCs w:val="24"/>
                <w:lang w:val="lv-LV" w:eastAsia="lv-LV"/>
              </w:rPr>
              <w:t>programmas partneris</w:t>
            </w:r>
            <w:r w:rsidRPr="000C044C">
              <w:rPr>
                <w:rFonts w:ascii="Times New Roman" w:hAnsi="Times New Roman"/>
                <w:sz w:val="24"/>
                <w:szCs w:val="24"/>
                <w:lang w:val="lv-LV" w:eastAsia="lv-LV"/>
              </w:rPr>
              <w:t xml:space="preserve"> pārliecināsies, ka </w:t>
            </w:r>
            <w:r w:rsidR="00A10936">
              <w:rPr>
                <w:rFonts w:ascii="Times New Roman" w:hAnsi="Times New Roman"/>
                <w:sz w:val="24"/>
                <w:szCs w:val="24"/>
                <w:lang w:val="lv-LV" w:eastAsia="lv-LV"/>
              </w:rPr>
              <w:t xml:space="preserve">projekta iesnieguma iesniedzējam un projekta partnerim </w:t>
            </w:r>
            <w:r w:rsidR="00A10936" w:rsidRPr="000C044C">
              <w:rPr>
                <w:rFonts w:ascii="Times New Roman" w:hAnsi="Times New Roman"/>
                <w:sz w:val="24"/>
                <w:szCs w:val="24"/>
                <w:lang w:val="lv-LV" w:eastAsia="lv-LV"/>
              </w:rPr>
              <w:t>(vai to attiecīgajām amatpersonām)</w:t>
            </w:r>
            <w:r w:rsidR="00A10936">
              <w:rPr>
                <w:rFonts w:ascii="Times New Roman" w:hAnsi="Times New Roman"/>
                <w:sz w:val="24"/>
                <w:szCs w:val="24"/>
                <w:lang w:val="lv-LV" w:eastAsia="lv-LV"/>
              </w:rPr>
              <w:t xml:space="preserve"> </w:t>
            </w:r>
            <w:r w:rsidRPr="000C044C">
              <w:rPr>
                <w:rFonts w:ascii="Times New Roman" w:hAnsi="Times New Roman"/>
                <w:sz w:val="24"/>
                <w:szCs w:val="24"/>
                <w:lang w:val="lv-LV" w:eastAsia="lv-LV"/>
              </w:rPr>
              <w:t>nav noteiktas starptautiskās vai nacionālās sankcijas vai būtiskas finanšu un kapitāla tirgus intereses ietekmējošas Eiropas Savienības vai Ziemeļatlantijas līguma organizācijas dalībvalsts sankcijas</w:t>
            </w:r>
            <w:r w:rsidR="009A7115" w:rsidRPr="000C044C">
              <w:rPr>
                <w:rFonts w:ascii="Times New Roman" w:hAnsi="Times New Roman"/>
                <w:sz w:val="24"/>
                <w:szCs w:val="24"/>
                <w:lang w:val="lv-LV" w:eastAsia="lv-LV"/>
              </w:rPr>
              <w:t xml:space="preserve"> (turpmāk – sankcijas)</w:t>
            </w:r>
            <w:r w:rsidR="00976261" w:rsidRPr="000C044C">
              <w:rPr>
                <w:rFonts w:ascii="Times New Roman" w:hAnsi="Times New Roman"/>
                <w:sz w:val="24"/>
                <w:szCs w:val="24"/>
                <w:lang w:val="lv-LV" w:eastAsia="lv-LV"/>
              </w:rPr>
              <w:t>, a</w:t>
            </w:r>
            <w:r w:rsidR="00366897" w:rsidRPr="000C044C">
              <w:rPr>
                <w:rFonts w:ascii="Times New Roman" w:hAnsi="Times New Roman"/>
                <w:sz w:val="24"/>
                <w:szCs w:val="24"/>
                <w:lang w:val="lv-LV" w:eastAsia="lv-LV"/>
              </w:rPr>
              <w:t>tbilstoši Sankciju likuma 11.</w:t>
            </w:r>
            <w:r w:rsidR="00366897" w:rsidRPr="000C044C">
              <w:rPr>
                <w:rFonts w:ascii="Times New Roman" w:hAnsi="Times New Roman"/>
                <w:sz w:val="24"/>
                <w:szCs w:val="24"/>
                <w:vertAlign w:val="superscript"/>
                <w:lang w:val="lv-LV" w:eastAsia="lv-LV"/>
              </w:rPr>
              <w:t>2</w:t>
            </w:r>
            <w:r w:rsidR="00C51E7F" w:rsidRPr="000C044C">
              <w:rPr>
                <w:rFonts w:ascii="Times New Roman" w:hAnsi="Times New Roman"/>
                <w:sz w:val="24"/>
                <w:szCs w:val="24"/>
                <w:lang w:val="lv-LV" w:eastAsia="lv-LV"/>
              </w:rPr>
              <w:t> </w:t>
            </w:r>
            <w:r w:rsidR="00366897" w:rsidRPr="000C044C">
              <w:rPr>
                <w:rFonts w:ascii="Times New Roman" w:hAnsi="Times New Roman"/>
                <w:sz w:val="24"/>
                <w:szCs w:val="24"/>
                <w:lang w:val="lv-LV" w:eastAsia="lv-LV"/>
              </w:rPr>
              <w:t>panta pirmaj</w:t>
            </w:r>
            <w:r w:rsidR="00976261" w:rsidRPr="000C044C">
              <w:rPr>
                <w:rFonts w:ascii="Times New Roman" w:hAnsi="Times New Roman"/>
                <w:sz w:val="24"/>
                <w:szCs w:val="24"/>
                <w:lang w:val="lv-LV" w:eastAsia="lv-LV"/>
              </w:rPr>
              <w:t>ai daļai</w:t>
            </w:r>
            <w:r w:rsidR="009A7115" w:rsidRPr="000C044C">
              <w:rPr>
                <w:rFonts w:ascii="Times New Roman" w:hAnsi="Times New Roman"/>
                <w:sz w:val="24"/>
                <w:szCs w:val="24"/>
                <w:lang w:val="lv-LV" w:eastAsia="lv-LV"/>
              </w:rPr>
              <w:t>;</w:t>
            </w:r>
          </w:p>
          <w:p w14:paraId="0A900732" w14:textId="724FD3B3" w:rsidR="00EA7C00" w:rsidRPr="000C044C" w:rsidRDefault="00EA7C00" w:rsidP="00731493">
            <w:pPr>
              <w:pStyle w:val="tvhtml1"/>
              <w:numPr>
                <w:ilvl w:val="0"/>
                <w:numId w:val="1"/>
              </w:numPr>
              <w:spacing w:before="0" w:beforeAutospacing="0" w:line="240" w:lineRule="auto"/>
              <w:ind w:left="317" w:hanging="283"/>
              <w:jc w:val="both"/>
              <w:rPr>
                <w:rFonts w:ascii="Times New Roman" w:hAnsi="Times New Roman"/>
                <w:sz w:val="24"/>
                <w:szCs w:val="24"/>
                <w:lang w:val="lv-LV" w:eastAsia="lv-LV"/>
              </w:rPr>
            </w:pPr>
            <w:bookmarkStart w:id="4" w:name="_Hlk39577968"/>
            <w:r w:rsidRPr="000C044C">
              <w:rPr>
                <w:rFonts w:ascii="Times New Roman" w:hAnsi="Times New Roman"/>
                <w:sz w:val="24"/>
                <w:szCs w:val="24"/>
                <w:lang w:val="lv-LV" w:eastAsia="lv-LV"/>
              </w:rPr>
              <w:t xml:space="preserve">sankciju pārbaude ir paredzēta arī </w:t>
            </w:r>
            <w:r w:rsidR="008832D8" w:rsidRPr="000C044C">
              <w:rPr>
                <w:rFonts w:ascii="Times New Roman" w:hAnsi="Times New Roman"/>
                <w:sz w:val="24"/>
                <w:szCs w:val="24"/>
                <w:lang w:val="lv-LV" w:eastAsia="lv-LV"/>
              </w:rPr>
              <w:t xml:space="preserve">projektu </w:t>
            </w:r>
            <w:r w:rsidRPr="000C044C">
              <w:rPr>
                <w:rFonts w:ascii="Times New Roman" w:hAnsi="Times New Roman"/>
                <w:sz w:val="24"/>
                <w:szCs w:val="24"/>
                <w:lang w:val="lv-LV" w:eastAsia="lv-LV"/>
              </w:rPr>
              <w:t>uzraudzības posmā, proti, veicot pārskat</w:t>
            </w:r>
            <w:r w:rsidR="00366897" w:rsidRPr="000C044C">
              <w:rPr>
                <w:rFonts w:ascii="Times New Roman" w:hAnsi="Times New Roman"/>
                <w:sz w:val="24"/>
                <w:szCs w:val="24"/>
                <w:lang w:val="lv-LV" w:eastAsia="lv-LV"/>
              </w:rPr>
              <w:t>a</w:t>
            </w:r>
            <w:r w:rsidRPr="000C044C">
              <w:rPr>
                <w:rFonts w:ascii="Times New Roman" w:hAnsi="Times New Roman"/>
                <w:sz w:val="24"/>
                <w:szCs w:val="24"/>
                <w:lang w:val="lv-LV" w:eastAsia="lv-LV"/>
              </w:rPr>
              <w:t xml:space="preserve"> pārbaud</w:t>
            </w:r>
            <w:r w:rsidR="00366897" w:rsidRPr="000C044C">
              <w:rPr>
                <w:rFonts w:ascii="Times New Roman" w:hAnsi="Times New Roman"/>
                <w:sz w:val="24"/>
                <w:szCs w:val="24"/>
                <w:lang w:val="lv-LV" w:eastAsia="lv-LV"/>
              </w:rPr>
              <w:t>i (pirms maksājuma veikšanas)</w:t>
            </w:r>
            <w:r w:rsidRPr="000C044C">
              <w:rPr>
                <w:rFonts w:ascii="Times New Roman" w:hAnsi="Times New Roman"/>
                <w:sz w:val="24"/>
                <w:szCs w:val="24"/>
                <w:lang w:val="lv-LV" w:eastAsia="lv-LV"/>
              </w:rPr>
              <w:t xml:space="preserve">, pārbaudīs vai attiecībā uz līdzfinansējuma saņēmēju vai </w:t>
            </w:r>
            <w:r w:rsidR="008832D8" w:rsidRPr="000C044C">
              <w:rPr>
                <w:rFonts w:ascii="Times New Roman" w:hAnsi="Times New Roman"/>
                <w:sz w:val="24"/>
                <w:szCs w:val="24"/>
                <w:lang w:val="lv-LV" w:eastAsia="lv-LV"/>
              </w:rPr>
              <w:t>tā</w:t>
            </w:r>
            <w:r w:rsidRPr="000C044C">
              <w:rPr>
                <w:rFonts w:ascii="Times New Roman" w:hAnsi="Times New Roman"/>
                <w:sz w:val="24"/>
                <w:szCs w:val="24"/>
                <w:lang w:val="lv-LV" w:eastAsia="lv-LV"/>
              </w:rPr>
              <w:t xml:space="preserve"> partneri (vai to attiecīgajām amatpersonām) nav noteiktas sankcijas;</w:t>
            </w:r>
          </w:p>
          <w:bookmarkEnd w:id="4"/>
          <w:p w14:paraId="5270CBD9" w14:textId="1AC536AD" w:rsidR="00A92559" w:rsidRPr="000C044C" w:rsidRDefault="00644224" w:rsidP="00731493">
            <w:pPr>
              <w:pStyle w:val="tvhtml1"/>
              <w:numPr>
                <w:ilvl w:val="0"/>
                <w:numId w:val="1"/>
              </w:numPr>
              <w:spacing w:before="0" w:beforeAutospacing="0" w:line="240" w:lineRule="auto"/>
              <w:ind w:left="317" w:hanging="283"/>
              <w:jc w:val="both"/>
              <w:rPr>
                <w:rFonts w:ascii="Times New Roman" w:hAnsi="Times New Roman"/>
                <w:sz w:val="24"/>
                <w:szCs w:val="24"/>
                <w:lang w:val="lv-LV" w:eastAsia="lv-LV"/>
              </w:rPr>
            </w:pPr>
            <w:r w:rsidRPr="000C044C">
              <w:rPr>
                <w:rFonts w:ascii="Times New Roman" w:hAnsi="Times New Roman"/>
                <w:sz w:val="24"/>
                <w:szCs w:val="24"/>
                <w:lang w:val="lv-LV" w:eastAsia="lv-LV"/>
              </w:rPr>
              <w:t xml:space="preserve">projektu līgumos paredzēta iespēja </w:t>
            </w:r>
            <w:r w:rsidR="00907B43" w:rsidRPr="000C044C">
              <w:rPr>
                <w:rFonts w:ascii="Times New Roman" w:hAnsi="Times New Roman"/>
                <w:sz w:val="24"/>
                <w:szCs w:val="24"/>
                <w:lang w:val="lv-LV" w:eastAsia="lv-LV"/>
              </w:rPr>
              <w:t xml:space="preserve">programmas partnerim </w:t>
            </w:r>
            <w:r w:rsidRPr="000C044C">
              <w:rPr>
                <w:rFonts w:ascii="Times New Roman" w:hAnsi="Times New Roman"/>
                <w:sz w:val="24"/>
                <w:szCs w:val="24"/>
                <w:lang w:val="lv-LV" w:eastAsia="lv-LV"/>
              </w:rPr>
              <w:t xml:space="preserve">vienpusēji atkāpties no </w:t>
            </w:r>
            <w:r w:rsidR="00366897" w:rsidRPr="000C044C">
              <w:rPr>
                <w:rFonts w:ascii="Times New Roman" w:hAnsi="Times New Roman"/>
                <w:sz w:val="24"/>
                <w:szCs w:val="24"/>
                <w:lang w:val="lv-LV" w:eastAsia="lv-LV"/>
              </w:rPr>
              <w:t xml:space="preserve">projekta </w:t>
            </w:r>
            <w:r w:rsidRPr="000C044C">
              <w:rPr>
                <w:rFonts w:ascii="Times New Roman" w:hAnsi="Times New Roman"/>
                <w:sz w:val="24"/>
                <w:szCs w:val="24"/>
                <w:lang w:val="lv-LV" w:eastAsia="lv-LV"/>
              </w:rPr>
              <w:t>līguma atbilstoši Sankciju likuma 11.</w:t>
            </w:r>
            <w:r w:rsidRPr="000C044C">
              <w:rPr>
                <w:rFonts w:ascii="Times New Roman" w:hAnsi="Times New Roman"/>
                <w:sz w:val="24"/>
                <w:szCs w:val="24"/>
                <w:vertAlign w:val="superscript"/>
                <w:lang w:val="lv-LV" w:eastAsia="lv-LV"/>
              </w:rPr>
              <w:t>2</w:t>
            </w:r>
            <w:r w:rsidR="00C51E7F" w:rsidRPr="000C044C">
              <w:rPr>
                <w:rFonts w:ascii="Times New Roman" w:hAnsi="Times New Roman"/>
                <w:sz w:val="24"/>
                <w:szCs w:val="24"/>
                <w:lang w:val="lv-LV" w:eastAsia="lv-LV"/>
              </w:rPr>
              <w:t> </w:t>
            </w:r>
            <w:r w:rsidRPr="000C044C">
              <w:rPr>
                <w:rFonts w:ascii="Times New Roman" w:hAnsi="Times New Roman"/>
                <w:sz w:val="24"/>
                <w:szCs w:val="24"/>
                <w:lang w:val="lv-LV" w:eastAsia="lv-LV"/>
              </w:rPr>
              <w:t>panta trešajai daļai</w:t>
            </w:r>
            <w:r w:rsidR="00366897" w:rsidRPr="000C044C">
              <w:rPr>
                <w:rFonts w:ascii="Times New Roman" w:hAnsi="Times New Roman"/>
                <w:sz w:val="24"/>
                <w:szCs w:val="24"/>
                <w:lang w:val="lv-LV" w:eastAsia="lv-LV"/>
              </w:rPr>
              <w:t xml:space="preserve">, ja </w:t>
            </w:r>
            <w:r w:rsidR="008B1680" w:rsidRPr="000C044C">
              <w:rPr>
                <w:rFonts w:ascii="Times New Roman" w:hAnsi="Times New Roman"/>
                <w:sz w:val="24"/>
                <w:szCs w:val="24"/>
                <w:lang w:val="lv-LV" w:eastAsia="lv-LV"/>
              </w:rPr>
              <w:t xml:space="preserve">to </w:t>
            </w:r>
            <w:r w:rsidR="00366897" w:rsidRPr="000C044C">
              <w:rPr>
                <w:rFonts w:ascii="Times New Roman" w:hAnsi="Times New Roman"/>
                <w:sz w:val="24"/>
                <w:szCs w:val="24"/>
                <w:lang w:val="lv-LV" w:eastAsia="lv-LV"/>
              </w:rPr>
              <w:t>nav iespējams izpildīt tādēļ, ka ir piemērotas sankcijas</w:t>
            </w:r>
            <w:r w:rsidR="00402005" w:rsidRPr="000C044C">
              <w:rPr>
                <w:rFonts w:ascii="Times New Roman" w:hAnsi="Times New Roman"/>
                <w:sz w:val="24"/>
                <w:szCs w:val="24"/>
                <w:lang w:val="lv-LV" w:eastAsia="lv-LV"/>
              </w:rPr>
              <w:t>.</w:t>
            </w:r>
          </w:p>
          <w:p w14:paraId="1ACF576D" w14:textId="524B0A0A" w:rsidR="00C9351F" w:rsidRPr="000C044C" w:rsidRDefault="00C9351F" w:rsidP="00731493">
            <w:pPr>
              <w:pStyle w:val="tvhtml1"/>
              <w:spacing w:before="0" w:beforeAutospacing="0" w:line="240" w:lineRule="auto"/>
              <w:jc w:val="both"/>
              <w:rPr>
                <w:rFonts w:ascii="Times New Roman" w:hAnsi="Times New Roman"/>
                <w:sz w:val="24"/>
                <w:szCs w:val="24"/>
                <w:lang w:val="lv-LV" w:eastAsia="lv-LV"/>
              </w:rPr>
            </w:pPr>
            <w:r w:rsidRPr="000C044C">
              <w:rPr>
                <w:rFonts w:ascii="Times New Roman" w:hAnsi="Times New Roman"/>
                <w:sz w:val="24"/>
                <w:szCs w:val="24"/>
                <w:lang w:val="lv-LV" w:eastAsia="lv-LV"/>
              </w:rPr>
              <w:t>Šie nosacījumi tiks ietverti atklātā konkursa nolikumā</w:t>
            </w:r>
            <w:r w:rsidR="009556B9">
              <w:rPr>
                <w:rFonts w:ascii="Times New Roman" w:hAnsi="Times New Roman"/>
                <w:sz w:val="24"/>
                <w:szCs w:val="24"/>
                <w:lang w:val="lv-LV" w:eastAsia="lv-LV"/>
              </w:rPr>
              <w:t xml:space="preserve"> un iekšējās procedūrās</w:t>
            </w:r>
            <w:r w:rsidRPr="000C044C">
              <w:rPr>
                <w:rFonts w:ascii="Times New Roman" w:hAnsi="Times New Roman"/>
                <w:sz w:val="24"/>
                <w:szCs w:val="24"/>
                <w:lang w:val="lv-LV" w:eastAsia="lv-LV"/>
              </w:rPr>
              <w:t>.</w:t>
            </w:r>
          </w:p>
          <w:bookmarkEnd w:id="3"/>
          <w:p w14:paraId="50A1546A" w14:textId="77777777" w:rsidR="00C9351F" w:rsidRPr="000C044C" w:rsidRDefault="00C9351F" w:rsidP="00731493">
            <w:pPr>
              <w:pStyle w:val="tvhtml1"/>
              <w:spacing w:before="0" w:beforeAutospacing="0" w:line="240" w:lineRule="auto"/>
              <w:jc w:val="both"/>
              <w:rPr>
                <w:rFonts w:ascii="Times New Roman" w:hAnsi="Times New Roman"/>
                <w:sz w:val="24"/>
                <w:szCs w:val="24"/>
                <w:lang w:val="lv-LV" w:eastAsia="lv-LV"/>
              </w:rPr>
            </w:pPr>
          </w:p>
          <w:p w14:paraId="7D2C4611" w14:textId="027D759B" w:rsidR="00190386" w:rsidRDefault="00842ECB" w:rsidP="00731493">
            <w:pPr>
              <w:tabs>
                <w:tab w:val="left" w:pos="5460"/>
              </w:tabs>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A</w:t>
            </w:r>
            <w:r w:rsidR="00643F9C" w:rsidRPr="000C044C">
              <w:rPr>
                <w:rFonts w:ascii="Times New Roman" w:eastAsia="Times New Roman" w:hAnsi="Times New Roman" w:cs="Times New Roman"/>
                <w:sz w:val="24"/>
                <w:szCs w:val="24"/>
                <w:lang w:eastAsia="lv-LV"/>
              </w:rPr>
              <w:t>r</w:t>
            </w:r>
            <w:r w:rsidR="00C51E7F" w:rsidRPr="000C044C">
              <w:rPr>
                <w:rFonts w:ascii="Times New Roman" w:eastAsia="Times New Roman" w:hAnsi="Times New Roman" w:cs="Times New Roman"/>
                <w:sz w:val="24"/>
                <w:szCs w:val="24"/>
                <w:lang w:eastAsia="lv-LV"/>
              </w:rPr>
              <w:t xml:space="preserve"> </w:t>
            </w:r>
            <w:r w:rsidR="00643F9C" w:rsidRPr="000C044C">
              <w:rPr>
                <w:rFonts w:ascii="Times New Roman" w:eastAsia="Times New Roman" w:hAnsi="Times New Roman" w:cs="Times New Roman"/>
                <w:sz w:val="24"/>
                <w:szCs w:val="24"/>
                <w:lang w:eastAsia="lv-LV"/>
              </w:rPr>
              <w:t>a</w:t>
            </w:r>
            <w:r w:rsidR="00190386" w:rsidRPr="000C044C">
              <w:rPr>
                <w:rFonts w:ascii="Times New Roman" w:eastAsia="Times New Roman" w:hAnsi="Times New Roman" w:cs="Times New Roman"/>
                <w:sz w:val="24"/>
                <w:szCs w:val="24"/>
                <w:lang w:eastAsia="lv-LV"/>
              </w:rPr>
              <w:t>tklātā konkursa projektu iesniegumu vērtēšanas kritēriji</w:t>
            </w:r>
            <w:r w:rsidR="00643F9C" w:rsidRPr="000C044C">
              <w:rPr>
                <w:rFonts w:ascii="Times New Roman" w:eastAsia="Times New Roman" w:hAnsi="Times New Roman" w:cs="Times New Roman"/>
                <w:sz w:val="24"/>
                <w:szCs w:val="24"/>
                <w:lang w:eastAsia="lv-LV"/>
              </w:rPr>
              <w:t xml:space="preserve">em </w:t>
            </w:r>
            <w:r w:rsidR="00C51E7F" w:rsidRPr="000C044C">
              <w:rPr>
                <w:rFonts w:ascii="Times New Roman" w:eastAsia="Times New Roman" w:hAnsi="Times New Roman" w:cs="Times New Roman"/>
                <w:sz w:val="24"/>
                <w:szCs w:val="24"/>
                <w:lang w:eastAsia="lv-LV"/>
              </w:rPr>
              <w:t xml:space="preserve">programmas partneris </w:t>
            </w:r>
            <w:r w:rsidR="00643F9C" w:rsidRPr="000C044C">
              <w:rPr>
                <w:rFonts w:ascii="Times New Roman" w:eastAsia="Times New Roman" w:hAnsi="Times New Roman" w:cs="Times New Roman"/>
                <w:sz w:val="24"/>
                <w:szCs w:val="24"/>
                <w:lang w:eastAsia="lv-LV"/>
              </w:rPr>
              <w:t>vērtē</w:t>
            </w:r>
            <w:r w:rsidR="00C51E7F" w:rsidRPr="000C044C">
              <w:rPr>
                <w:rFonts w:ascii="Times New Roman" w:eastAsia="Times New Roman" w:hAnsi="Times New Roman" w:cs="Times New Roman"/>
                <w:sz w:val="24"/>
                <w:szCs w:val="24"/>
                <w:lang w:eastAsia="lv-LV"/>
              </w:rPr>
              <w:t>s</w:t>
            </w:r>
            <w:r w:rsidR="00643F9C" w:rsidRPr="000C044C">
              <w:rPr>
                <w:rFonts w:ascii="Times New Roman" w:eastAsia="Times New Roman" w:hAnsi="Times New Roman" w:cs="Times New Roman"/>
                <w:sz w:val="24"/>
                <w:szCs w:val="24"/>
                <w:lang w:eastAsia="lv-LV"/>
              </w:rPr>
              <w:t xml:space="preserve"> projekta iesniegumā iekļauto attiecināmo izmaksu </w:t>
            </w:r>
            <w:r w:rsidR="00C51E7F" w:rsidRPr="000C044C">
              <w:rPr>
                <w:rFonts w:ascii="Times New Roman" w:eastAsia="Times New Roman" w:hAnsi="Times New Roman" w:cs="Times New Roman"/>
                <w:sz w:val="24"/>
                <w:szCs w:val="24"/>
                <w:lang w:eastAsia="lv-LV"/>
              </w:rPr>
              <w:t xml:space="preserve">atbilstību </w:t>
            </w:r>
            <w:r w:rsidR="00643F9C" w:rsidRPr="000C044C">
              <w:rPr>
                <w:rFonts w:ascii="Times New Roman" w:eastAsia="Times New Roman" w:hAnsi="Times New Roman" w:cs="Times New Roman"/>
                <w:sz w:val="24"/>
                <w:szCs w:val="24"/>
                <w:lang w:eastAsia="lv-LV"/>
              </w:rPr>
              <w:t xml:space="preserve">un </w:t>
            </w:r>
            <w:r w:rsidR="00C51E7F" w:rsidRPr="000C044C">
              <w:rPr>
                <w:rFonts w:ascii="Times New Roman" w:eastAsia="Times New Roman" w:hAnsi="Times New Roman" w:cs="Times New Roman"/>
                <w:sz w:val="24"/>
                <w:szCs w:val="24"/>
                <w:lang w:eastAsia="lv-LV"/>
              </w:rPr>
              <w:t>samērīgumu</w:t>
            </w:r>
            <w:r w:rsidR="00643F9C" w:rsidRPr="000C044C">
              <w:rPr>
                <w:rFonts w:ascii="Times New Roman" w:eastAsia="Times New Roman" w:hAnsi="Times New Roman" w:cs="Times New Roman"/>
                <w:sz w:val="24"/>
                <w:szCs w:val="24"/>
                <w:lang w:eastAsia="lv-LV"/>
              </w:rPr>
              <w:t xml:space="preserve">. Samērīgas izmaksas ir tādas, kuru vērtība ir proporcionāla sagaidāmajam rezultātam. Par izmaksu samērīgumu var pārliecināties, ņemot vērā līdzīgos projektos veiktās izmaksas, ņemot vērā </w:t>
            </w:r>
            <w:r w:rsidR="005A0602" w:rsidRPr="000C044C">
              <w:rPr>
                <w:rFonts w:ascii="Times New Roman" w:eastAsia="Times New Roman" w:hAnsi="Times New Roman" w:cs="Times New Roman"/>
                <w:sz w:val="24"/>
                <w:szCs w:val="24"/>
                <w:lang w:eastAsia="lv-LV"/>
              </w:rPr>
              <w:t xml:space="preserve">vērtēšanai pieaicināto </w:t>
            </w:r>
            <w:r w:rsidR="00643F9C" w:rsidRPr="000C044C">
              <w:rPr>
                <w:rFonts w:ascii="Times New Roman" w:eastAsia="Times New Roman" w:hAnsi="Times New Roman" w:cs="Times New Roman"/>
                <w:sz w:val="24"/>
                <w:szCs w:val="24"/>
                <w:lang w:eastAsia="lv-LV"/>
              </w:rPr>
              <w:t xml:space="preserve">ekspertu profesionālo pieredzi, vērtējot, vai izmaksas būtiski nepārsniedz ierastās izmaksas par konkrētiem produktiem vai pakalpojumiem, ar kuriem būtu iespējams sasniegt projekta mērķi un sasniedzamos rezultātus tādā pašā kvalitātē. </w:t>
            </w:r>
          </w:p>
          <w:p w14:paraId="22156AD1" w14:textId="77777777" w:rsidR="00731493" w:rsidRPr="000C044C" w:rsidRDefault="00731493" w:rsidP="00731493">
            <w:pPr>
              <w:tabs>
                <w:tab w:val="left" w:pos="5460"/>
              </w:tabs>
              <w:jc w:val="both"/>
              <w:rPr>
                <w:rFonts w:ascii="Times New Roman" w:eastAsia="Times New Roman" w:hAnsi="Times New Roman" w:cs="Times New Roman"/>
                <w:sz w:val="24"/>
                <w:szCs w:val="24"/>
                <w:lang w:eastAsia="lv-LV"/>
              </w:rPr>
            </w:pPr>
          </w:p>
          <w:p w14:paraId="320AA262" w14:textId="77777777" w:rsidR="00246104" w:rsidRPr="000C044C" w:rsidRDefault="00246104" w:rsidP="00731493">
            <w:pPr>
              <w:tabs>
                <w:tab w:val="left" w:pos="5460"/>
              </w:tabs>
              <w:jc w:val="both"/>
              <w:rPr>
                <w:rFonts w:ascii="Times New Roman" w:eastAsia="Times New Roman" w:hAnsi="Times New Roman" w:cs="Times New Roman"/>
                <w:sz w:val="24"/>
                <w:szCs w:val="24"/>
                <w:lang w:eastAsia="lv-LV"/>
              </w:rPr>
            </w:pPr>
            <w:r w:rsidRPr="000C044C">
              <w:rPr>
                <w:rFonts w:ascii="Times New Roman" w:eastAsia="Times New Roman" w:hAnsi="Times New Roman" w:cs="Times New Roman"/>
                <w:sz w:val="24"/>
                <w:szCs w:val="24"/>
                <w:lang w:eastAsia="lv-LV"/>
              </w:rPr>
              <w:t>Ar atklātā konkursa projektu iesniegumu vērtēšanas kritērijiem programmas partneris vērtēs arī projekta iesniegumā iekļauto projekta aktivitāšu atbilstību un samērīgumu. Samērīgas projekta aktivitātes ir tādas, kuru sniegtais ieguldījums ir proporcionāls sagaidāmajam rezultātam.</w:t>
            </w:r>
          </w:p>
          <w:p w14:paraId="089383D4" w14:textId="4664E380" w:rsidR="00217CF3" w:rsidRPr="000C044C" w:rsidRDefault="00217CF3" w:rsidP="00731493">
            <w:pPr>
              <w:tabs>
                <w:tab w:val="left" w:pos="5460"/>
              </w:tabs>
              <w:jc w:val="both"/>
              <w:rPr>
                <w:rFonts w:ascii="Times New Roman" w:eastAsia="Times New Roman" w:hAnsi="Times New Roman" w:cs="Times New Roman"/>
                <w:sz w:val="24"/>
                <w:szCs w:val="24"/>
                <w:lang w:eastAsia="lv-LV"/>
              </w:rPr>
            </w:pPr>
          </w:p>
          <w:p w14:paraId="1384F531" w14:textId="465B5502" w:rsidR="00217CF3" w:rsidRDefault="00217CF3" w:rsidP="00731493">
            <w:pPr>
              <w:tabs>
                <w:tab w:val="left" w:pos="5460"/>
              </w:tabs>
              <w:jc w:val="both"/>
              <w:rPr>
                <w:rFonts w:ascii="Times New Roman" w:eastAsia="Times New Roman" w:hAnsi="Times New Roman" w:cs="Times New Roman"/>
                <w:sz w:val="24"/>
                <w:szCs w:val="24"/>
                <w:lang w:eastAsia="lv-LV"/>
              </w:rPr>
            </w:pPr>
            <w:r w:rsidRPr="000C044C">
              <w:rPr>
                <w:rFonts w:ascii="Times New Roman" w:hAnsi="Times New Roman" w:cs="Times New Roman"/>
                <w:sz w:val="24"/>
                <w:szCs w:val="24"/>
              </w:rPr>
              <w:t xml:space="preserve">Finanšu instrumenta birojs 2020.gada 20.aprīļa vēstulē sniedza informāciju par pasākumiem, kurus var ieviest noslēgto programmu līgumu ietvaros vai nepieciešamības gadījumā veicot programmu līgumu grozījumus, lai mazinātu koronavīrusa (Covid-19) radīto ietekmi programmu un divpusējās sadarbības aktivitāšu ieviešanā. Viens no Finanšu instrumenta biroja ierosinātajiem pasākumiem ir līdzfinansējuma likmes paaugstināšana līdz 100% </w:t>
            </w:r>
            <w:r w:rsidR="0015430C">
              <w:rPr>
                <w:rFonts w:ascii="Times New Roman" w:hAnsi="Times New Roman" w:cs="Times New Roman"/>
                <w:sz w:val="24"/>
                <w:szCs w:val="24"/>
              </w:rPr>
              <w:t>nevalstisko organizāciju</w:t>
            </w:r>
            <w:r w:rsidRPr="000C044C">
              <w:rPr>
                <w:rFonts w:ascii="Times New Roman" w:hAnsi="Times New Roman" w:cs="Times New Roman"/>
                <w:sz w:val="24"/>
                <w:szCs w:val="24"/>
              </w:rPr>
              <w:t xml:space="preserve"> sektoram. </w:t>
            </w:r>
            <w:r w:rsidRPr="000C044C">
              <w:rPr>
                <w:rFonts w:ascii="Times New Roman" w:eastAsia="Times New Roman" w:hAnsi="Times New Roman" w:cs="Times New Roman"/>
                <w:sz w:val="24"/>
                <w:szCs w:val="24"/>
                <w:lang w:eastAsia="lv-LV"/>
              </w:rPr>
              <w:t xml:space="preserve">2020.gada 18.augustā </w:t>
            </w:r>
            <w:r w:rsidR="0055381B" w:rsidRPr="0015430C">
              <w:rPr>
                <w:rFonts w:ascii="Times New Roman" w:eastAsia="Times New Roman" w:hAnsi="Times New Roman" w:cs="Times New Roman"/>
                <w:sz w:val="24"/>
                <w:szCs w:val="24"/>
                <w:lang w:eastAsia="lv-LV"/>
              </w:rPr>
              <w:t xml:space="preserve">Ministru kabinetā </w:t>
            </w:r>
            <w:r w:rsidRPr="000C044C">
              <w:rPr>
                <w:rFonts w:ascii="Times New Roman" w:eastAsia="Times New Roman" w:hAnsi="Times New Roman" w:cs="Times New Roman"/>
                <w:sz w:val="24"/>
                <w:szCs w:val="24"/>
                <w:lang w:eastAsia="lv-LV"/>
              </w:rPr>
              <w:t xml:space="preserve">tika atbalstīts informatīvais ziņojums “Par izmaiņām Eiropas Ekonomikas zonas finanšu instrumenta līdzfinansētās </w:t>
            </w:r>
            <w:r w:rsidRPr="000C044C">
              <w:rPr>
                <w:rFonts w:ascii="Times New Roman" w:eastAsia="Times New Roman" w:hAnsi="Times New Roman" w:cs="Times New Roman"/>
                <w:sz w:val="24"/>
                <w:szCs w:val="24"/>
                <w:lang w:eastAsia="lv-LV"/>
              </w:rPr>
              <w:lastRenderedPageBreak/>
              <w:t xml:space="preserve">programmas “Vietējā attīstība, nabadzības mazināšana un kultūras sadarbība” koncepcijā”, ar kuru paredzēta līdzfinansējuma atbalsta intensitātes palielināšana nevalstiskajām organizācijām no 90% uz 100% programmas kultūras jomas atklātajā konkursā. </w:t>
            </w:r>
            <w:r w:rsidR="005408F5">
              <w:rPr>
                <w:rFonts w:ascii="Times New Roman" w:eastAsia="Times New Roman" w:hAnsi="Times New Roman" w:cs="Times New Roman"/>
                <w:sz w:val="24"/>
                <w:szCs w:val="24"/>
                <w:lang w:eastAsia="lv-LV"/>
              </w:rPr>
              <w:t>Finanšu ministrija kā v</w:t>
            </w:r>
            <w:r w:rsidRPr="000C044C">
              <w:rPr>
                <w:rFonts w:ascii="Times New Roman" w:eastAsia="Times New Roman" w:hAnsi="Times New Roman" w:cs="Times New Roman"/>
                <w:sz w:val="24"/>
                <w:szCs w:val="24"/>
                <w:lang w:eastAsia="lv-LV"/>
              </w:rPr>
              <w:t xml:space="preserve">adošā iestāde pēc </w:t>
            </w:r>
            <w:r w:rsidR="00092E75" w:rsidRPr="0015430C">
              <w:rPr>
                <w:rFonts w:ascii="Times New Roman" w:eastAsia="Times New Roman" w:hAnsi="Times New Roman" w:cs="Times New Roman"/>
                <w:sz w:val="24"/>
                <w:szCs w:val="24"/>
                <w:lang w:eastAsia="lv-LV"/>
              </w:rPr>
              <w:t>Ministru kabineta</w:t>
            </w:r>
            <w:r w:rsidRPr="000C044C">
              <w:rPr>
                <w:rFonts w:ascii="Times New Roman" w:eastAsia="Times New Roman" w:hAnsi="Times New Roman" w:cs="Times New Roman"/>
                <w:sz w:val="24"/>
                <w:szCs w:val="24"/>
                <w:lang w:eastAsia="lv-LV"/>
              </w:rPr>
              <w:t xml:space="preserve"> protokollēmuma saņemšanas par </w:t>
            </w:r>
            <w:r w:rsidR="00092E75" w:rsidRPr="0015430C">
              <w:rPr>
                <w:rFonts w:ascii="Times New Roman" w:eastAsia="Times New Roman" w:hAnsi="Times New Roman" w:cs="Times New Roman"/>
                <w:sz w:val="24"/>
                <w:szCs w:val="24"/>
                <w:lang w:eastAsia="lv-LV"/>
              </w:rPr>
              <w:t>Ministru kabineta</w:t>
            </w:r>
            <w:r w:rsidRPr="000C044C">
              <w:rPr>
                <w:rFonts w:ascii="Times New Roman" w:eastAsia="Times New Roman" w:hAnsi="Times New Roman" w:cs="Times New Roman"/>
                <w:sz w:val="24"/>
                <w:szCs w:val="24"/>
                <w:lang w:eastAsia="lv-LV"/>
              </w:rPr>
              <w:t xml:space="preserve"> informatīvā ziņojuma apstiprināšanu, saskaņo</w:t>
            </w:r>
            <w:r w:rsidR="005408F5">
              <w:rPr>
                <w:rFonts w:ascii="Times New Roman" w:eastAsia="Times New Roman" w:hAnsi="Times New Roman" w:cs="Times New Roman"/>
                <w:sz w:val="24"/>
                <w:szCs w:val="24"/>
                <w:lang w:eastAsia="lv-LV"/>
              </w:rPr>
              <w:t>ja</w:t>
            </w:r>
            <w:r w:rsidRPr="000C044C">
              <w:rPr>
                <w:rFonts w:ascii="Times New Roman" w:eastAsia="Times New Roman" w:hAnsi="Times New Roman" w:cs="Times New Roman"/>
                <w:sz w:val="24"/>
                <w:szCs w:val="24"/>
                <w:lang w:eastAsia="lv-LV"/>
              </w:rPr>
              <w:t xml:space="preserve"> GRACE sistēmā programmas līguma grozījumu projektu un elektroniski parakst</w:t>
            </w:r>
            <w:r w:rsidR="005408F5">
              <w:rPr>
                <w:rFonts w:ascii="Times New Roman" w:eastAsia="Times New Roman" w:hAnsi="Times New Roman" w:cs="Times New Roman"/>
                <w:sz w:val="24"/>
                <w:szCs w:val="24"/>
                <w:lang w:eastAsia="lv-LV"/>
              </w:rPr>
              <w:t>īja</w:t>
            </w:r>
            <w:r w:rsidRPr="000C044C">
              <w:rPr>
                <w:rFonts w:ascii="Times New Roman" w:eastAsia="Times New Roman" w:hAnsi="Times New Roman" w:cs="Times New Roman"/>
                <w:sz w:val="24"/>
                <w:szCs w:val="24"/>
                <w:lang w:eastAsia="lv-LV"/>
              </w:rPr>
              <w:t xml:space="preserve"> Finanšu instrumenta biroja sagatavoto un parakstīto programmas līguma grozījumu oriģinālu</w:t>
            </w:r>
            <w:r w:rsidR="005408F5">
              <w:rPr>
                <w:rFonts w:ascii="Times New Roman" w:eastAsia="Times New Roman" w:hAnsi="Times New Roman" w:cs="Times New Roman"/>
                <w:sz w:val="24"/>
                <w:szCs w:val="24"/>
                <w:lang w:eastAsia="lv-LV"/>
              </w:rPr>
              <w:t xml:space="preserve"> </w:t>
            </w:r>
            <w:r w:rsidR="0088288F" w:rsidRPr="0015430C">
              <w:rPr>
                <w:rFonts w:ascii="Times New Roman" w:eastAsia="Times New Roman" w:hAnsi="Times New Roman" w:cs="Times New Roman"/>
                <w:sz w:val="24"/>
                <w:szCs w:val="24"/>
                <w:lang w:eastAsia="lv-LV"/>
              </w:rPr>
              <w:t>2020.</w:t>
            </w:r>
            <w:r w:rsidR="005408F5" w:rsidRPr="0015430C">
              <w:rPr>
                <w:rFonts w:ascii="Times New Roman" w:eastAsia="Times New Roman" w:hAnsi="Times New Roman" w:cs="Times New Roman"/>
                <w:sz w:val="24"/>
                <w:szCs w:val="24"/>
                <w:lang w:eastAsia="lv-LV"/>
              </w:rPr>
              <w:t>g</w:t>
            </w:r>
            <w:r w:rsidR="0088288F" w:rsidRPr="0015430C">
              <w:rPr>
                <w:rFonts w:ascii="Times New Roman" w:eastAsia="Times New Roman" w:hAnsi="Times New Roman" w:cs="Times New Roman"/>
                <w:sz w:val="24"/>
                <w:szCs w:val="24"/>
                <w:lang w:eastAsia="lv-LV"/>
              </w:rPr>
              <w:t>ada</w:t>
            </w:r>
            <w:r w:rsidR="005408F5">
              <w:rPr>
                <w:rFonts w:ascii="Times New Roman" w:eastAsia="Times New Roman" w:hAnsi="Times New Roman" w:cs="Times New Roman"/>
                <w:sz w:val="24"/>
                <w:szCs w:val="24"/>
                <w:lang w:eastAsia="lv-LV"/>
              </w:rPr>
              <w:t xml:space="preserve"> 3.septembrī</w:t>
            </w:r>
            <w:r w:rsidRPr="000C044C">
              <w:rPr>
                <w:rFonts w:ascii="Times New Roman" w:eastAsia="Times New Roman" w:hAnsi="Times New Roman" w:cs="Times New Roman"/>
                <w:sz w:val="24"/>
                <w:szCs w:val="24"/>
                <w:lang w:eastAsia="lv-LV"/>
              </w:rPr>
              <w:t xml:space="preserve">. </w:t>
            </w:r>
          </w:p>
          <w:p w14:paraId="35D32899" w14:textId="77777777" w:rsidR="00272F29" w:rsidRDefault="00272F29" w:rsidP="00731493">
            <w:pPr>
              <w:tabs>
                <w:tab w:val="left" w:pos="5460"/>
              </w:tabs>
              <w:jc w:val="both"/>
              <w:rPr>
                <w:rFonts w:ascii="Times New Roman" w:eastAsia="Times New Roman" w:hAnsi="Times New Roman" w:cs="Times New Roman"/>
                <w:sz w:val="24"/>
                <w:szCs w:val="24"/>
                <w:lang w:eastAsia="lv-LV"/>
              </w:rPr>
            </w:pPr>
          </w:p>
          <w:p w14:paraId="39BBDD1B" w14:textId="7938D31C" w:rsidR="00731493" w:rsidRDefault="00272F29" w:rsidP="00731493">
            <w:pPr>
              <w:pStyle w:val="naisc"/>
              <w:spacing w:before="0" w:after="0"/>
              <w:jc w:val="both"/>
            </w:pPr>
            <w:r w:rsidRPr="00272F29">
              <w:t>Eiropas Savienībā (</w:t>
            </w:r>
            <w:r w:rsidR="00DE3FF9">
              <w:t xml:space="preserve">turpmāk - </w:t>
            </w:r>
            <w:r w:rsidRPr="00272F29">
              <w:t xml:space="preserve">ES) un </w:t>
            </w:r>
            <w:r w:rsidR="00DE3FF9" w:rsidRPr="000C044C">
              <w:t>Eiropas Ekonomikas zonas</w:t>
            </w:r>
            <w:r w:rsidRPr="00272F29">
              <w:t xml:space="preserve"> teritorijā tiek piemēroti starptautiskie grāmatvedības (finanšu pārskatu) standarti, kas ES tiek pārņemti ar Eiropas Komisijas regulām, kas groza galveno regulu Eiropas Parlamenta un Padomes Regula (EK) Nr. 1606/2002 (2002. gada 19. jūlijs). Ieskatam ES pārņemto Starptautisko finanšu pārskatu standartu (SFPS) saraksts pieejams šeit:</w:t>
            </w:r>
          </w:p>
          <w:p w14:paraId="00C95139" w14:textId="74D0EABD" w:rsidR="00272F29" w:rsidRDefault="006F5D96" w:rsidP="00731493">
            <w:pPr>
              <w:pStyle w:val="naisc"/>
              <w:spacing w:before="0" w:after="0"/>
              <w:jc w:val="both"/>
            </w:pPr>
            <w:hyperlink r:id="rId11" w:history="1">
              <w:r w:rsidR="00731493" w:rsidRPr="00730719">
                <w:rPr>
                  <w:rStyle w:val="Hyperlink"/>
                </w:rPr>
                <w:t>https://www.fm.gov.lv/lv/sadalas/gramatvedibas_un_revizijas_politika/gramatvedibas_politika/starptautiskie_gramatvedibas__finansu_parskatu__standarti_es/es_parnemto_starptautisko_finansu_parskatu_standartu__sfps__saraksts/55400-es-parnemto-starptautisko-finansu-parskatu-standartu-sfps- saraksts</w:t>
              </w:r>
            </w:hyperlink>
            <w:r w:rsidR="00272F29" w:rsidRPr="00272F29">
              <w:t xml:space="preserve">. </w:t>
            </w:r>
          </w:p>
          <w:p w14:paraId="0DCA426F" w14:textId="77777777" w:rsidR="00731493" w:rsidRPr="00272F29" w:rsidRDefault="00731493" w:rsidP="00731493">
            <w:pPr>
              <w:pStyle w:val="naisc"/>
              <w:spacing w:before="0" w:after="0"/>
              <w:jc w:val="both"/>
            </w:pPr>
          </w:p>
          <w:p w14:paraId="713E78D7" w14:textId="754C5CC3" w:rsidR="00272F29" w:rsidRDefault="00272F29" w:rsidP="00731493">
            <w:pPr>
              <w:tabs>
                <w:tab w:val="left" w:pos="5460"/>
              </w:tabs>
              <w:jc w:val="both"/>
              <w:rPr>
                <w:rFonts w:ascii="Times New Roman" w:eastAsia="Times New Roman" w:hAnsi="Times New Roman" w:cs="Times New Roman"/>
                <w:sz w:val="24"/>
                <w:szCs w:val="24"/>
                <w:lang w:eastAsia="lv-LV"/>
              </w:rPr>
            </w:pPr>
            <w:r w:rsidRPr="00272F29">
              <w:rPr>
                <w:rFonts w:ascii="Times New Roman" w:eastAsia="Times New Roman" w:hAnsi="Times New Roman" w:cs="Times New Roman"/>
                <w:sz w:val="24"/>
                <w:szCs w:val="24"/>
                <w:lang w:eastAsia="lv-LV"/>
              </w:rPr>
              <w:t xml:space="preserve">Papildus norādām, ka katra ES dalībvalsts un </w:t>
            </w:r>
            <w:r w:rsidR="00DE3FF9" w:rsidRPr="000C044C">
              <w:rPr>
                <w:rFonts w:ascii="Times New Roman" w:eastAsia="Times New Roman" w:hAnsi="Times New Roman" w:cs="Times New Roman"/>
                <w:sz w:val="24"/>
                <w:szCs w:val="24"/>
                <w:lang w:eastAsia="lv-LV"/>
              </w:rPr>
              <w:t>Eiropas Ekonomikas zonas</w:t>
            </w:r>
            <w:r w:rsidRPr="00272F29">
              <w:rPr>
                <w:rFonts w:ascii="Times New Roman" w:eastAsia="Times New Roman" w:hAnsi="Times New Roman" w:cs="Times New Roman"/>
                <w:sz w:val="24"/>
                <w:szCs w:val="24"/>
                <w:lang w:eastAsia="lv-LV"/>
              </w:rPr>
              <w:t xml:space="preserve"> dalībvalsts nosaka savu valsts politiku grāmatvedības jomā, kas ietver konkrētus principus, nostādnes, metodes, noteikumus un prakses, ko uzņēmums lieto, sagatavojot finanšu pārskatu, kā arī izdod normatīvos aktus, kas noteic grāmatvedības kārtošanas prasības un pienākumu uzņēmumiem kārtot grāmatvedību, nodrošinot gada pārskata vai citu pārskatu sagatavošanu, kā arī citu grāmatvedības uzdevumu izpildei nepieciešamo grāmatvedības informāciju par saimnieciskajiem darījumiem. Ar šo punktu tiek noteiktas </w:t>
            </w:r>
            <w:r w:rsidR="003D4BF4">
              <w:rPr>
                <w:rFonts w:ascii="Times New Roman" w:eastAsia="Times New Roman" w:hAnsi="Times New Roman" w:cs="Times New Roman"/>
                <w:sz w:val="24"/>
                <w:szCs w:val="24"/>
                <w:lang w:eastAsia="lv-LV"/>
              </w:rPr>
              <w:t>d</w:t>
            </w:r>
            <w:r w:rsidRPr="00272F29">
              <w:rPr>
                <w:rFonts w:ascii="Times New Roman" w:eastAsia="Times New Roman" w:hAnsi="Times New Roman" w:cs="Times New Roman"/>
                <w:sz w:val="24"/>
                <w:szCs w:val="24"/>
                <w:lang w:eastAsia="lv-LV"/>
              </w:rPr>
              <w:t>onorvalstu noteikumu 8.2.pant</w:t>
            </w:r>
            <w:r w:rsidR="009D7563">
              <w:rPr>
                <w:rFonts w:ascii="Times New Roman" w:eastAsia="Times New Roman" w:hAnsi="Times New Roman" w:cs="Times New Roman"/>
                <w:sz w:val="24"/>
                <w:szCs w:val="24"/>
                <w:lang w:eastAsia="lv-LV"/>
              </w:rPr>
              <w:t>a</w:t>
            </w:r>
            <w:r w:rsidRPr="00272F29">
              <w:rPr>
                <w:rFonts w:ascii="Times New Roman" w:eastAsia="Times New Roman" w:hAnsi="Times New Roman" w:cs="Times New Roman"/>
                <w:sz w:val="24"/>
                <w:szCs w:val="24"/>
                <w:lang w:eastAsia="lv-LV"/>
              </w:rPr>
              <w:t xml:space="preserve"> e) apakšpunktā noteiktās prasības grāmatvedības uzskaites veikšanai, t.i., ka līdzfinansējuma saņēmējs, īstenojot projektu, piemēro savas valsts grāmatvedību regulējošo normatīvo aktu prasības.</w:t>
            </w:r>
          </w:p>
          <w:p w14:paraId="40498628" w14:textId="4932D569" w:rsidR="00F4057D" w:rsidRDefault="00F4057D" w:rsidP="00731493">
            <w:pPr>
              <w:tabs>
                <w:tab w:val="left" w:pos="5460"/>
              </w:tabs>
              <w:jc w:val="both"/>
              <w:rPr>
                <w:rFonts w:ascii="Times New Roman" w:eastAsia="Times New Roman" w:hAnsi="Times New Roman" w:cs="Times New Roman"/>
                <w:sz w:val="24"/>
                <w:szCs w:val="24"/>
                <w:lang w:eastAsia="lv-LV"/>
              </w:rPr>
            </w:pPr>
          </w:p>
          <w:p w14:paraId="209DAC1A" w14:textId="27DED5CF" w:rsidR="00F4057D" w:rsidRDefault="00F4057D" w:rsidP="00F4057D">
            <w:pPr>
              <w:jc w:val="both"/>
              <w:rPr>
                <w:rFonts w:ascii="Times New Roman" w:hAnsi="Times New Roman" w:cs="Times New Roman"/>
                <w:sz w:val="24"/>
                <w:szCs w:val="24"/>
              </w:rPr>
            </w:pPr>
            <w:r>
              <w:rPr>
                <w:rFonts w:ascii="Times New Roman" w:hAnsi="Times New Roman" w:cs="Times New Roman"/>
                <w:sz w:val="24"/>
                <w:szCs w:val="24"/>
              </w:rPr>
              <w:t xml:space="preserve">Donorvalstu noteikumu </w:t>
            </w:r>
            <w:r w:rsidRPr="00F4057D">
              <w:rPr>
                <w:rFonts w:ascii="Times New Roman" w:hAnsi="Times New Roman" w:cs="Times New Roman"/>
                <w:sz w:val="24"/>
                <w:szCs w:val="24"/>
              </w:rPr>
              <w:t>7.4.panta 5. punkts nosaka, ka, ja atklātie konkursi ir paredzēti tikai donoru partnerības projektiem</w:t>
            </w:r>
            <w:r w:rsidR="009D7563">
              <w:rPr>
                <w:rFonts w:ascii="Times New Roman" w:hAnsi="Times New Roman" w:cs="Times New Roman"/>
                <w:sz w:val="24"/>
                <w:szCs w:val="24"/>
              </w:rPr>
              <w:t>,</w:t>
            </w:r>
            <w:r w:rsidRPr="00F4057D">
              <w:rPr>
                <w:rFonts w:ascii="Times New Roman" w:hAnsi="Times New Roman" w:cs="Times New Roman"/>
                <w:sz w:val="24"/>
                <w:szCs w:val="24"/>
              </w:rPr>
              <w:t xml:space="preserve"> gan darba valoda, gan valoda, kurā sagatavo projektu iesniegumus un citus attiecīgos dokumentus, ir angļu valoda. </w:t>
            </w:r>
            <w:r>
              <w:rPr>
                <w:rFonts w:ascii="Times New Roman" w:hAnsi="Times New Roman" w:cs="Times New Roman"/>
                <w:sz w:val="24"/>
                <w:szCs w:val="24"/>
              </w:rPr>
              <w:t>Atklātaj</w:t>
            </w:r>
            <w:r w:rsidRPr="00F4057D">
              <w:rPr>
                <w:rFonts w:ascii="Times New Roman" w:hAnsi="Times New Roman" w:cs="Times New Roman"/>
                <w:sz w:val="24"/>
                <w:szCs w:val="24"/>
              </w:rPr>
              <w:t>ā konkursā uz finansējumu varēs pretendēt tikai tie projektu iesniedzēji, kuriem ir piesaistīts vismaz viens partneris no donorvalstīm</w:t>
            </w:r>
            <w:r w:rsidR="00BF2C92">
              <w:rPr>
                <w:rFonts w:ascii="Times New Roman" w:hAnsi="Times New Roman" w:cs="Times New Roman"/>
                <w:sz w:val="24"/>
                <w:szCs w:val="24"/>
              </w:rPr>
              <w:t xml:space="preserve"> un </w:t>
            </w:r>
            <w:r w:rsidRPr="00F4057D">
              <w:rPr>
                <w:rFonts w:ascii="Times New Roman" w:hAnsi="Times New Roman" w:cs="Times New Roman"/>
                <w:sz w:val="24"/>
                <w:szCs w:val="24"/>
              </w:rPr>
              <w:t xml:space="preserve">šis atklātais konkurss ir paredzēts donoru partnerības projektiem. Tādējādi saskaņā ar </w:t>
            </w:r>
            <w:r>
              <w:rPr>
                <w:rFonts w:ascii="Times New Roman" w:hAnsi="Times New Roman" w:cs="Times New Roman"/>
                <w:sz w:val="24"/>
                <w:szCs w:val="24"/>
              </w:rPr>
              <w:t>donorvalstu noteikumiem</w:t>
            </w:r>
            <w:r w:rsidRPr="00F4057D">
              <w:rPr>
                <w:rFonts w:ascii="Times New Roman" w:hAnsi="Times New Roman" w:cs="Times New Roman"/>
                <w:sz w:val="24"/>
                <w:szCs w:val="24"/>
              </w:rPr>
              <w:t xml:space="preserve"> projektu iesniegumi jāiesniedz </w:t>
            </w:r>
            <w:r w:rsidRPr="00F4057D">
              <w:rPr>
                <w:rFonts w:ascii="Times New Roman" w:hAnsi="Times New Roman" w:cs="Times New Roman"/>
                <w:sz w:val="24"/>
                <w:szCs w:val="24"/>
              </w:rPr>
              <w:lastRenderedPageBreak/>
              <w:t>angļu valodā.</w:t>
            </w:r>
            <w:r>
              <w:rPr>
                <w:rFonts w:ascii="Times New Roman" w:hAnsi="Times New Roman" w:cs="Times New Roman"/>
                <w:sz w:val="24"/>
                <w:szCs w:val="24"/>
              </w:rPr>
              <w:t xml:space="preserve"> T</w:t>
            </w:r>
            <w:r w:rsidRPr="00F4057D">
              <w:rPr>
                <w:rFonts w:ascii="Times New Roman" w:hAnsi="Times New Roman" w:cs="Times New Roman"/>
                <w:sz w:val="24"/>
                <w:szCs w:val="24"/>
              </w:rPr>
              <w:t xml:space="preserve">aču valsts valodas likuma 8.pants nosaka, ka valsts un pašvaldību iestādēs, tiesās un tiesu sistēmai piederīgās iestādēs, valsts un pašvaldību uzņēmumos, kā arī uzņēmējsabiedrībās, kurās lielākā kapitāla daļa pieder valstij vai pašvaldībai, lietvedībā un dokumentos lietojama valsts valoda. Sarakste un cita veida saziņa ar ārvalstīm var notikt svešvalodā. </w:t>
            </w:r>
          </w:p>
          <w:p w14:paraId="03D01B8A" w14:textId="61BD340E" w:rsidR="00F4057D" w:rsidRDefault="00F4057D" w:rsidP="00F4057D">
            <w:pPr>
              <w:jc w:val="both"/>
              <w:rPr>
                <w:rFonts w:ascii="Times New Roman" w:hAnsi="Times New Roman" w:cs="Times New Roman"/>
                <w:sz w:val="24"/>
                <w:szCs w:val="24"/>
              </w:rPr>
            </w:pPr>
          </w:p>
          <w:p w14:paraId="6E76C01F" w14:textId="04880A44" w:rsidR="00F4057D" w:rsidRDefault="00F4057D" w:rsidP="00F4057D">
            <w:pPr>
              <w:jc w:val="both"/>
              <w:rPr>
                <w:rFonts w:ascii="Times New Roman" w:hAnsi="Times New Roman" w:cs="Times New Roman"/>
                <w:sz w:val="24"/>
                <w:szCs w:val="24"/>
              </w:rPr>
            </w:pPr>
            <w:r>
              <w:rPr>
                <w:rFonts w:ascii="Times New Roman" w:hAnsi="Times New Roman" w:cs="Times New Roman"/>
                <w:sz w:val="24"/>
                <w:szCs w:val="24"/>
              </w:rPr>
              <w:t>Ņemot vērā to</w:t>
            </w:r>
            <w:r w:rsidRPr="00F4057D">
              <w:rPr>
                <w:rFonts w:ascii="Times New Roman" w:hAnsi="Times New Roman" w:cs="Times New Roman"/>
                <w:sz w:val="24"/>
                <w:szCs w:val="24"/>
              </w:rPr>
              <w:t xml:space="preserve">, ka prasība iesniegt projekta iesniegumus divās valodās </w:t>
            </w:r>
            <w:r>
              <w:rPr>
                <w:rFonts w:ascii="Times New Roman" w:hAnsi="Times New Roman" w:cs="Times New Roman"/>
                <w:sz w:val="24"/>
                <w:szCs w:val="24"/>
              </w:rPr>
              <w:t>ir</w:t>
            </w:r>
            <w:r w:rsidRPr="00F4057D">
              <w:rPr>
                <w:rFonts w:ascii="Times New Roman" w:hAnsi="Times New Roman" w:cs="Times New Roman"/>
                <w:sz w:val="24"/>
                <w:szCs w:val="24"/>
              </w:rPr>
              <w:t xml:space="preserve"> pārāk liels administratīvais slogs kultūras organizācijām</w:t>
            </w:r>
            <w:r>
              <w:rPr>
                <w:rFonts w:ascii="Times New Roman" w:hAnsi="Times New Roman" w:cs="Times New Roman"/>
                <w:sz w:val="24"/>
                <w:szCs w:val="24"/>
              </w:rPr>
              <w:t xml:space="preserve">, kā arī to, ka vērtēšanā piedalās </w:t>
            </w:r>
            <w:r w:rsidRPr="000C044C">
              <w:rPr>
                <w:rFonts w:ascii="Times New Roman" w:hAnsi="Times New Roman" w:cs="Times New Roman"/>
                <w:sz w:val="24"/>
                <w:szCs w:val="24"/>
                <w:shd w:val="clear" w:color="auto" w:fill="FFFFFF"/>
              </w:rPr>
              <w:t>programmas donorvalstu partneri</w:t>
            </w:r>
            <w:r>
              <w:rPr>
                <w:rFonts w:ascii="Times New Roman" w:hAnsi="Times New Roman" w:cs="Times New Roman"/>
                <w:sz w:val="24"/>
                <w:szCs w:val="24"/>
                <w:shd w:val="clear" w:color="auto" w:fill="FFFFFF"/>
              </w:rPr>
              <w:t>s – Norvēģijas Mākslas padome</w:t>
            </w:r>
            <w:r w:rsidR="00BF2C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programmas </w:t>
            </w:r>
            <w:r w:rsidRPr="00F4057D">
              <w:rPr>
                <w:rFonts w:ascii="Times New Roman" w:hAnsi="Times New Roman" w:cs="Times New Roman"/>
                <w:sz w:val="24"/>
                <w:szCs w:val="24"/>
              </w:rPr>
              <w:t xml:space="preserve">partneris </w:t>
            </w:r>
            <w:r>
              <w:rPr>
                <w:rFonts w:ascii="Times New Roman" w:hAnsi="Times New Roman" w:cs="Times New Roman"/>
                <w:sz w:val="24"/>
                <w:szCs w:val="24"/>
              </w:rPr>
              <w:t xml:space="preserve">2020.gada 23.oktobrī </w:t>
            </w:r>
            <w:r w:rsidRPr="00F4057D">
              <w:rPr>
                <w:rFonts w:ascii="Times New Roman" w:hAnsi="Times New Roman" w:cs="Times New Roman"/>
                <w:sz w:val="24"/>
                <w:szCs w:val="24"/>
              </w:rPr>
              <w:t>saskaņoja ar Valsts valodas centru, ka kon</w:t>
            </w:r>
            <w:r w:rsidR="001A21BD">
              <w:rPr>
                <w:rFonts w:ascii="Times New Roman" w:hAnsi="Times New Roman" w:cs="Times New Roman"/>
                <w:sz w:val="24"/>
                <w:szCs w:val="24"/>
              </w:rPr>
              <w:t>krētajā gadījumā EEZ programmu “</w:t>
            </w:r>
            <w:r w:rsidRPr="00F4057D">
              <w:rPr>
                <w:rFonts w:ascii="Times New Roman" w:hAnsi="Times New Roman" w:cs="Times New Roman"/>
                <w:sz w:val="24"/>
                <w:szCs w:val="24"/>
              </w:rPr>
              <w:t>Vietējā attīstība, nabadzības mazināšana un kultūras sadarbība”, kuras ietvaros Kultūras ministrija plāno sludināt atklātu projektu konkursu, iespējams atzīt par starptautisku projektu un piemērot analoģiskas prasības tām, ko Valsts valodas likums paredz attiecībā uz starptautisku pasākumu rīkošanu, proti, ja Latvijas teritorijā notiekoša pasākuma rīkošanā piedalās Valsts valodas likuma 2. panta pirmās daļas subjekts (valsts un pašvaldību iestādes, tiesas un tiesu sistēmai piederīgas iestādes, kā arī citas iestādes, organizācijas un uzņēmumi) un vienlaikus šajā pasākumā piedalās arī ārvalstu fiziskās vai juridiskās personas, rīkotāju ir iespējams atbrīvot no tulkojuma nodrošināšanas valsts valodā, ja visi dalībnieki ir vienojušies par citu darba valodu.</w:t>
            </w:r>
            <w:r w:rsidR="00BF2C92">
              <w:rPr>
                <w:rFonts w:ascii="Times New Roman" w:hAnsi="Times New Roman" w:cs="Times New Roman"/>
                <w:sz w:val="24"/>
                <w:szCs w:val="24"/>
              </w:rPr>
              <w:t xml:space="preserve"> </w:t>
            </w:r>
            <w:r w:rsidRPr="00F4057D">
              <w:rPr>
                <w:rFonts w:ascii="Times New Roman" w:hAnsi="Times New Roman" w:cs="Times New Roman"/>
                <w:sz w:val="24"/>
                <w:szCs w:val="24"/>
              </w:rPr>
              <w:t xml:space="preserve">Tādējādi </w:t>
            </w:r>
            <w:r>
              <w:rPr>
                <w:rFonts w:ascii="Times New Roman" w:hAnsi="Times New Roman" w:cs="Times New Roman"/>
                <w:sz w:val="24"/>
                <w:szCs w:val="24"/>
              </w:rPr>
              <w:t xml:space="preserve">Valsts valodas </w:t>
            </w:r>
            <w:r w:rsidRPr="00F4057D">
              <w:rPr>
                <w:rFonts w:ascii="Times New Roman" w:hAnsi="Times New Roman" w:cs="Times New Roman"/>
                <w:sz w:val="24"/>
                <w:szCs w:val="24"/>
              </w:rPr>
              <w:t>centrs uzskata par iespējamu atbilstoši donorvalstu noteikumiem projekta iesniegumus lūgt iesniegt angļu valodā, paredzot atsevišķu projekta sadaļu iesniegšanu valsts valodā.</w:t>
            </w:r>
          </w:p>
          <w:p w14:paraId="6E4E6401" w14:textId="505F73AC" w:rsidR="00AF545B" w:rsidRDefault="00AF545B" w:rsidP="00F4057D">
            <w:pPr>
              <w:jc w:val="both"/>
              <w:rPr>
                <w:rFonts w:ascii="Times New Roman" w:hAnsi="Times New Roman" w:cs="Times New Roman"/>
                <w:sz w:val="24"/>
                <w:szCs w:val="24"/>
              </w:rPr>
            </w:pPr>
          </w:p>
          <w:p w14:paraId="3AC5AEEA" w14:textId="77777777" w:rsidR="008D0EC3" w:rsidRDefault="00AF545B">
            <w:pPr>
              <w:jc w:val="both"/>
              <w:rPr>
                <w:rFonts w:ascii="Times New Roman" w:hAnsi="Times New Roman" w:cs="Times New Roman"/>
                <w:sz w:val="24"/>
                <w:szCs w:val="24"/>
              </w:rPr>
            </w:pPr>
            <w:r>
              <w:rPr>
                <w:rFonts w:ascii="Times New Roman" w:hAnsi="Times New Roman"/>
                <w:sz w:val="24"/>
                <w:szCs w:val="24"/>
                <w:lang w:eastAsia="lv-LV"/>
              </w:rPr>
              <w:t xml:space="preserve">Prasības </w:t>
            </w:r>
            <w:r w:rsidR="009D7563">
              <w:rPr>
                <w:rFonts w:ascii="Times New Roman" w:hAnsi="Times New Roman"/>
                <w:sz w:val="24"/>
                <w:szCs w:val="24"/>
                <w:lang w:eastAsia="lv-LV"/>
              </w:rPr>
              <w:t>N</w:t>
            </w:r>
            <w:r w:rsidRPr="003A090B">
              <w:rPr>
                <w:rFonts w:ascii="Times New Roman" w:hAnsi="Times New Roman"/>
                <w:sz w:val="24"/>
                <w:szCs w:val="24"/>
                <w:lang w:eastAsia="lv-LV"/>
              </w:rPr>
              <w:t xml:space="preserve">oteikumu projekta </w:t>
            </w:r>
            <w:r w:rsidRPr="00660CD9">
              <w:rPr>
                <w:rFonts w:ascii="Times New Roman" w:hAnsi="Times New Roman" w:cs="Times New Roman"/>
                <w:sz w:val="24"/>
                <w:szCs w:val="24"/>
              </w:rPr>
              <w:t>1</w:t>
            </w:r>
            <w:r>
              <w:rPr>
                <w:rFonts w:ascii="Times New Roman" w:hAnsi="Times New Roman" w:cs="Times New Roman"/>
                <w:sz w:val="24"/>
                <w:szCs w:val="24"/>
              </w:rPr>
              <w:t>4</w:t>
            </w:r>
            <w:r w:rsidRPr="00660CD9">
              <w:rPr>
                <w:rFonts w:ascii="Times New Roman" w:hAnsi="Times New Roman" w:cs="Times New Roman"/>
                <w:sz w:val="24"/>
                <w:szCs w:val="24"/>
              </w:rPr>
              <w:t xml:space="preserve">.2. </w:t>
            </w:r>
            <w:r w:rsidR="009D7563">
              <w:rPr>
                <w:rFonts w:ascii="Times New Roman" w:hAnsi="Times New Roman" w:cs="Times New Roman"/>
                <w:sz w:val="24"/>
                <w:szCs w:val="24"/>
              </w:rPr>
              <w:t>apakš</w:t>
            </w:r>
            <w:r>
              <w:rPr>
                <w:rFonts w:ascii="Times New Roman" w:hAnsi="Times New Roman" w:cs="Times New Roman"/>
                <w:sz w:val="24"/>
                <w:szCs w:val="24"/>
              </w:rPr>
              <w:t>punktā minētās</w:t>
            </w:r>
            <w:r w:rsidRPr="00660CD9">
              <w:rPr>
                <w:rFonts w:ascii="Times New Roman" w:hAnsi="Times New Roman" w:cs="Times New Roman"/>
                <w:sz w:val="24"/>
                <w:szCs w:val="24"/>
              </w:rPr>
              <w:t xml:space="preserve"> tirgus priekšizpētes veikšanai ir </w:t>
            </w:r>
            <w:r>
              <w:rPr>
                <w:rFonts w:ascii="Times New Roman" w:hAnsi="Times New Roman" w:cs="Times New Roman"/>
                <w:sz w:val="24"/>
                <w:szCs w:val="24"/>
              </w:rPr>
              <w:t xml:space="preserve">noteiktas </w:t>
            </w:r>
            <w:r w:rsidRPr="003A090B">
              <w:rPr>
                <w:rFonts w:ascii="Times New Roman" w:hAnsi="Times New Roman" w:cs="Times New Roman"/>
                <w:sz w:val="24"/>
                <w:szCs w:val="24"/>
              </w:rPr>
              <w:t>Iepirkumu uzraudzības biroja </w:t>
            </w:r>
            <w:r>
              <w:rPr>
                <w:rFonts w:ascii="Times New Roman" w:hAnsi="Times New Roman" w:cs="Times New Roman"/>
                <w:sz w:val="24"/>
                <w:szCs w:val="24"/>
              </w:rPr>
              <w:t>vadlīnijās “</w:t>
            </w:r>
            <w:r w:rsidRPr="003A090B">
              <w:rPr>
                <w:rFonts w:ascii="Times New Roman" w:hAnsi="Times New Roman" w:cs="Times New Roman"/>
                <w:sz w:val="24"/>
                <w:szCs w:val="24"/>
              </w:rPr>
              <w:t>Ieteikumi pasūtītājiem, sabiedrisko pakalpojumu sniedzējiem un finansējuma saņēmējiem tirgus izpētes veikšanā</w:t>
            </w:r>
            <w:r>
              <w:rPr>
                <w:rFonts w:ascii="Times New Roman" w:hAnsi="Times New Roman" w:cs="Times New Roman"/>
                <w:sz w:val="24"/>
                <w:szCs w:val="24"/>
              </w:rPr>
              <w:t>”</w:t>
            </w:r>
          </w:p>
          <w:p w14:paraId="3320BF7F" w14:textId="77777777" w:rsidR="008D0EC3" w:rsidRDefault="006F5D96">
            <w:pPr>
              <w:jc w:val="both"/>
              <w:rPr>
                <w:rFonts w:ascii="Times New Roman" w:hAnsi="Times New Roman" w:cs="Times New Roman"/>
                <w:i/>
                <w:iCs/>
                <w:sz w:val="24"/>
                <w:szCs w:val="24"/>
              </w:rPr>
            </w:pPr>
            <w:hyperlink r:id="rId12" w:history="1">
              <w:r w:rsidR="00AF545B" w:rsidRPr="00660CD9">
                <w:rPr>
                  <w:rStyle w:val="Hyperlink"/>
                  <w:rFonts w:ascii="Times New Roman" w:hAnsi="Times New Roman" w:cs="Times New Roman"/>
                  <w:i/>
                  <w:iCs/>
                  <w:sz w:val="24"/>
                  <w:szCs w:val="24"/>
                </w:rPr>
                <w:t>https://www.iub.gov.lv/lv/jaunums/ieteikumi-pasutitajiem-sabiedrisko-pakalpojumu-sniedzejiem-un-finansejuma-sanemejiem-tirgus-izpetes-veiksana</w:t>
              </w:r>
            </w:hyperlink>
            <w:r w:rsidR="00295C4A">
              <w:rPr>
                <w:rFonts w:ascii="Times New Roman" w:hAnsi="Times New Roman" w:cs="Times New Roman"/>
                <w:i/>
                <w:iCs/>
                <w:sz w:val="24"/>
                <w:szCs w:val="24"/>
              </w:rPr>
              <w:t>.</w:t>
            </w:r>
            <w:r w:rsidR="00CF17EE">
              <w:rPr>
                <w:rFonts w:ascii="Times New Roman" w:hAnsi="Times New Roman" w:cs="Times New Roman"/>
                <w:i/>
                <w:iCs/>
                <w:sz w:val="24"/>
                <w:szCs w:val="24"/>
              </w:rPr>
              <w:t xml:space="preserve"> </w:t>
            </w:r>
          </w:p>
          <w:p w14:paraId="70AF9E6E" w14:textId="7F030D43" w:rsidR="00295C4A" w:rsidRDefault="00CF17EE">
            <w:pPr>
              <w:jc w:val="both"/>
              <w:rPr>
                <w:rFonts w:ascii="Times New Roman" w:hAnsi="Times New Roman" w:cs="Times New Roman"/>
                <w:iCs/>
                <w:sz w:val="24"/>
                <w:szCs w:val="24"/>
              </w:rPr>
            </w:pPr>
            <w:r>
              <w:rPr>
                <w:rFonts w:ascii="Times New Roman" w:hAnsi="Times New Roman"/>
                <w:sz w:val="24"/>
                <w:szCs w:val="24"/>
                <w:lang w:eastAsia="lv-LV"/>
              </w:rPr>
              <w:t xml:space="preserve">Tāpat EEZ un Norvēģijas finanšu instrumentu vienotajā tīmekļvietnē </w:t>
            </w:r>
            <w:hyperlink r:id="rId13" w:history="1">
              <w:r w:rsidRPr="007F5AEC">
                <w:rPr>
                  <w:rStyle w:val="Hyperlink"/>
                  <w:rFonts w:ascii="Times New Roman" w:hAnsi="Times New Roman"/>
                  <w:sz w:val="24"/>
                  <w:szCs w:val="24"/>
                  <w:lang w:eastAsia="lv-LV"/>
                </w:rPr>
                <w:t>www.eeagrants.lv</w:t>
              </w:r>
            </w:hyperlink>
            <w:r>
              <w:rPr>
                <w:rFonts w:ascii="Times New Roman" w:hAnsi="Times New Roman"/>
                <w:sz w:val="24"/>
                <w:szCs w:val="24"/>
                <w:lang w:eastAsia="lv-LV"/>
              </w:rPr>
              <w:t xml:space="preserve"> programmas dokumentu sadaļā VARAM plāno publicēt labās prakses ieteikumus Programmas līdzfinansējuma saņēmējiem un projekta partneriem tirgus izpētes veikšanai. </w:t>
            </w:r>
            <w:r w:rsidR="00295C4A">
              <w:rPr>
                <w:rFonts w:ascii="Times New Roman" w:hAnsi="Times New Roman" w:cs="Times New Roman"/>
                <w:i/>
                <w:iCs/>
                <w:sz w:val="24"/>
                <w:szCs w:val="24"/>
              </w:rPr>
              <w:t xml:space="preserve"> </w:t>
            </w:r>
          </w:p>
          <w:p w14:paraId="2B6D806D" w14:textId="6015BAA4" w:rsidR="001A21BD" w:rsidRDefault="009C668D" w:rsidP="001A21BD">
            <w:pPr>
              <w:pStyle w:val="tvhtml1"/>
              <w:spacing w:line="240" w:lineRule="auto"/>
              <w:jc w:val="both"/>
              <w:rPr>
                <w:rFonts w:ascii="Times New Roman" w:hAnsi="Times New Roman"/>
                <w:sz w:val="24"/>
                <w:szCs w:val="24"/>
                <w:lang w:val="lv-LV" w:eastAsia="lv-LV"/>
              </w:rPr>
            </w:pPr>
            <w:r w:rsidRPr="00246A05">
              <w:rPr>
                <w:rFonts w:ascii="Times New Roman" w:hAnsi="Times New Roman"/>
                <w:iCs/>
                <w:sz w:val="24"/>
                <w:szCs w:val="24"/>
                <w:lang w:val="lv-LV"/>
              </w:rPr>
              <w:t xml:space="preserve">Lai mazinātu donorvalstu un citu Eiropas Ekonomikas zonas finanšu instrumenta saņēmējvalstu projekta partneru administratīvo slogu, iesniedzot dokumentus programmas partnerim, </w:t>
            </w:r>
            <w:r w:rsidR="00E34753" w:rsidRPr="00246A05">
              <w:rPr>
                <w:rFonts w:ascii="Times New Roman" w:hAnsi="Times New Roman"/>
                <w:iCs/>
                <w:sz w:val="24"/>
                <w:szCs w:val="24"/>
                <w:lang w:val="lv-LV"/>
              </w:rPr>
              <w:t xml:space="preserve">Noteikumu </w:t>
            </w:r>
            <w:r w:rsidRPr="00246A05">
              <w:rPr>
                <w:rFonts w:ascii="Times New Roman" w:hAnsi="Times New Roman"/>
                <w:iCs/>
                <w:sz w:val="24"/>
                <w:szCs w:val="24"/>
                <w:lang w:val="lv-LV"/>
              </w:rPr>
              <w:t xml:space="preserve">projekta </w:t>
            </w:r>
            <w:r w:rsidR="00E34753" w:rsidRPr="00246A05">
              <w:rPr>
                <w:rFonts w:ascii="Times New Roman" w:hAnsi="Times New Roman"/>
                <w:iCs/>
                <w:sz w:val="24"/>
                <w:szCs w:val="24"/>
                <w:lang w:val="lv-LV"/>
              </w:rPr>
              <w:t>15.1.</w:t>
            </w:r>
            <w:r w:rsidR="004A2DE3" w:rsidRPr="00246A05">
              <w:rPr>
                <w:rFonts w:ascii="Times New Roman" w:hAnsi="Times New Roman"/>
                <w:iCs/>
                <w:sz w:val="24"/>
                <w:szCs w:val="24"/>
                <w:lang w:val="lv-LV"/>
              </w:rPr>
              <w:t>8. apakšpunktā</w:t>
            </w:r>
            <w:r w:rsidR="00E34753" w:rsidRPr="00246A05">
              <w:rPr>
                <w:rFonts w:ascii="Times New Roman" w:hAnsi="Times New Roman"/>
                <w:iCs/>
                <w:sz w:val="24"/>
                <w:szCs w:val="24"/>
                <w:lang w:val="lv-LV"/>
              </w:rPr>
              <w:t xml:space="preserve"> paredzētas izmaksas zvērināta revidenta vai zvērinātu revidentu </w:t>
            </w:r>
            <w:r w:rsidR="00E34753" w:rsidRPr="00246A05">
              <w:rPr>
                <w:rFonts w:ascii="Times New Roman" w:hAnsi="Times New Roman"/>
                <w:iCs/>
                <w:sz w:val="24"/>
                <w:szCs w:val="24"/>
                <w:lang w:val="lv-LV"/>
              </w:rPr>
              <w:lastRenderedPageBreak/>
              <w:t>komercsabiedrības pakalpojumu izmaksas vai iekšējā audita struktūrvienības izmaksas, ja piesaistīts partneris, kas nav reģistrēts Latvijas Republik</w:t>
            </w:r>
            <w:r w:rsidRPr="00246A05">
              <w:rPr>
                <w:rFonts w:ascii="Times New Roman" w:hAnsi="Times New Roman"/>
                <w:iCs/>
                <w:sz w:val="24"/>
                <w:szCs w:val="24"/>
                <w:lang w:val="lv-LV"/>
              </w:rPr>
              <w:t xml:space="preserve">ā. </w:t>
            </w:r>
            <w:r w:rsidR="001A21BD" w:rsidRPr="00246A05">
              <w:rPr>
                <w:rFonts w:ascii="Times New Roman" w:hAnsi="Times New Roman"/>
                <w:iCs/>
                <w:sz w:val="24"/>
                <w:szCs w:val="24"/>
                <w:lang w:val="lv-LV"/>
              </w:rPr>
              <w:t>M</w:t>
            </w:r>
            <w:r w:rsidR="001A21BD" w:rsidRPr="003A090B">
              <w:rPr>
                <w:rFonts w:ascii="Times New Roman" w:hAnsi="Times New Roman"/>
                <w:sz w:val="24"/>
                <w:szCs w:val="24"/>
                <w:lang w:val="lv-LV" w:eastAsia="lv-LV"/>
              </w:rPr>
              <w:t>inētās zvērināta revidenta vai zvērinātu revidentu komercsabiedrības pakalpojumu izmaksas ir pielīdzināmās arī līdzvērtīgam neatkarīga un sertificēta auditora statusam atbilstoši normatīvajam regulējumam par auditoru kvalifikācijas (sertificēšanas) procedūrām donorvalstīs. Attiecībā uz iekšējā audita struktūrvienības izmaksām ir attiecināmas arī izmaksas attiecīgās valsts iestāžu atzītai, kompetentai un neatkarīgai valsts amatpersonai, kura ir atbildīga par budžeta un finanšu kontroli institūcijā, kas veikusi izmaksas un kura nav piedalījusies finanšu pārskatu sagatavošanā saskaņā ar Donorvalstu noteikumu 8.12.panta 4.punktu</w:t>
            </w:r>
            <w:r w:rsidR="001A21BD">
              <w:rPr>
                <w:rFonts w:ascii="Times New Roman" w:hAnsi="Times New Roman"/>
                <w:sz w:val="24"/>
                <w:szCs w:val="24"/>
                <w:lang w:val="lv-LV" w:eastAsia="lv-LV"/>
              </w:rPr>
              <w:t>.</w:t>
            </w:r>
          </w:p>
          <w:p w14:paraId="456134A4" w14:textId="77777777" w:rsidR="001A21BD" w:rsidRDefault="001A21BD" w:rsidP="00BF2C92">
            <w:pPr>
              <w:jc w:val="both"/>
              <w:rPr>
                <w:rFonts w:ascii="Times New Roman" w:hAnsi="Times New Roman" w:cs="Times New Roman"/>
                <w:iCs/>
                <w:sz w:val="24"/>
                <w:szCs w:val="24"/>
              </w:rPr>
            </w:pPr>
          </w:p>
          <w:p w14:paraId="12A5910D" w14:textId="152F29B0" w:rsidR="00BF2C92" w:rsidRPr="003A090B" w:rsidRDefault="009C668D" w:rsidP="00BF2C92">
            <w:pPr>
              <w:jc w:val="both"/>
            </w:pPr>
            <w:r>
              <w:rPr>
                <w:rFonts w:ascii="Times New Roman" w:hAnsi="Times New Roman" w:cs="Times New Roman"/>
                <w:iCs/>
                <w:sz w:val="24"/>
                <w:szCs w:val="24"/>
              </w:rPr>
              <w:t xml:space="preserve">Līdz ar to </w:t>
            </w:r>
            <w:r>
              <w:rPr>
                <w:rFonts w:ascii="Times New Roman" w:hAnsi="Times New Roman" w:cs="Times New Roman"/>
                <w:sz w:val="24"/>
                <w:szCs w:val="24"/>
              </w:rPr>
              <w:t>a</w:t>
            </w:r>
            <w:r w:rsidR="00BF2C92" w:rsidRPr="00660CD9">
              <w:rPr>
                <w:rFonts w:ascii="Times New Roman" w:hAnsi="Times New Roman" w:cs="Times New Roman"/>
                <w:sz w:val="24"/>
                <w:szCs w:val="24"/>
              </w:rPr>
              <w:t xml:space="preserve">ttiecībā uz </w:t>
            </w:r>
            <w:r w:rsidR="00BF2C92">
              <w:rPr>
                <w:rFonts w:ascii="Times New Roman" w:hAnsi="Times New Roman" w:cs="Times New Roman"/>
                <w:sz w:val="24"/>
                <w:szCs w:val="24"/>
              </w:rPr>
              <w:t>N</w:t>
            </w:r>
            <w:r w:rsidR="00BF2C92" w:rsidRPr="00660CD9">
              <w:rPr>
                <w:rFonts w:ascii="Times New Roman" w:hAnsi="Times New Roman" w:cs="Times New Roman"/>
                <w:sz w:val="24"/>
                <w:szCs w:val="24"/>
              </w:rPr>
              <w:t>oteikumu projekta 1</w:t>
            </w:r>
            <w:r w:rsidR="00BF2C92">
              <w:rPr>
                <w:rFonts w:ascii="Times New Roman" w:hAnsi="Times New Roman" w:cs="Times New Roman"/>
                <w:sz w:val="24"/>
                <w:szCs w:val="24"/>
              </w:rPr>
              <w:t>5</w:t>
            </w:r>
            <w:r w:rsidR="00BF2C92" w:rsidRPr="00660CD9">
              <w:rPr>
                <w:rFonts w:ascii="Times New Roman" w:hAnsi="Times New Roman" w:cs="Times New Roman"/>
                <w:sz w:val="24"/>
                <w:szCs w:val="24"/>
              </w:rPr>
              <w:t>.1.1.2., 1</w:t>
            </w:r>
            <w:r w:rsidR="00BF2C92">
              <w:rPr>
                <w:rFonts w:ascii="Times New Roman" w:hAnsi="Times New Roman" w:cs="Times New Roman"/>
                <w:sz w:val="24"/>
                <w:szCs w:val="24"/>
              </w:rPr>
              <w:t>5</w:t>
            </w:r>
            <w:r w:rsidR="00BF2C92" w:rsidRPr="00660CD9">
              <w:rPr>
                <w:rFonts w:ascii="Times New Roman" w:hAnsi="Times New Roman" w:cs="Times New Roman"/>
                <w:sz w:val="24"/>
                <w:szCs w:val="24"/>
              </w:rPr>
              <w:t>.1.2.2. un 1</w:t>
            </w:r>
            <w:r w:rsidR="00BF2C92">
              <w:rPr>
                <w:rFonts w:ascii="Times New Roman" w:hAnsi="Times New Roman" w:cs="Times New Roman"/>
                <w:sz w:val="24"/>
                <w:szCs w:val="24"/>
              </w:rPr>
              <w:t>5</w:t>
            </w:r>
            <w:r w:rsidR="003A0D05">
              <w:rPr>
                <w:rFonts w:ascii="Times New Roman" w:hAnsi="Times New Roman" w:cs="Times New Roman"/>
                <w:sz w:val="24"/>
                <w:szCs w:val="24"/>
              </w:rPr>
              <w:t>.1.4</w:t>
            </w:r>
            <w:r w:rsidR="00BF2C92" w:rsidRPr="00660CD9">
              <w:rPr>
                <w:rFonts w:ascii="Times New Roman" w:hAnsi="Times New Roman" w:cs="Times New Roman"/>
                <w:sz w:val="24"/>
                <w:szCs w:val="24"/>
              </w:rPr>
              <w:t>.apakšpunktos ietverto informāciju, ka izmaksas ir attiecināmas atbilstoši donorvalsts vai citas saņēmējvalsts attiecīgajos normatīvajos aktos noteiktajām normām,</w:t>
            </w:r>
            <w:r w:rsidR="00BF2C92">
              <w:rPr>
                <w:rFonts w:ascii="Times New Roman" w:hAnsi="Times New Roman" w:cs="Times New Roman"/>
                <w:sz w:val="24"/>
                <w:szCs w:val="24"/>
              </w:rPr>
              <w:t xml:space="preserve"> </w:t>
            </w:r>
            <w:r w:rsidR="00BF2C92" w:rsidRPr="003143CD">
              <w:rPr>
                <w:rFonts w:ascii="Times New Roman" w:hAnsi="Times New Roman" w:cs="Times New Roman"/>
                <w:sz w:val="24"/>
                <w:szCs w:val="24"/>
              </w:rPr>
              <w:t xml:space="preserve">informējam, ka minēto izmaksu pārbaude </w:t>
            </w:r>
            <w:r>
              <w:rPr>
                <w:rFonts w:ascii="Times New Roman" w:hAnsi="Times New Roman" w:cs="Times New Roman"/>
                <w:sz w:val="24"/>
                <w:szCs w:val="24"/>
              </w:rPr>
              <w:t xml:space="preserve">līdzfinansējuma </w:t>
            </w:r>
            <w:r w:rsidR="005C447E">
              <w:rPr>
                <w:rFonts w:ascii="Times New Roman" w:hAnsi="Times New Roman" w:cs="Times New Roman"/>
                <w:sz w:val="24"/>
                <w:szCs w:val="24"/>
              </w:rPr>
              <w:t xml:space="preserve">saņēmējam </w:t>
            </w:r>
            <w:r w:rsidR="00BF2C92" w:rsidRPr="003143CD">
              <w:rPr>
                <w:rFonts w:ascii="Times New Roman" w:hAnsi="Times New Roman" w:cs="Times New Roman"/>
                <w:sz w:val="24"/>
                <w:szCs w:val="24"/>
              </w:rPr>
              <w:t>tiks veikta pie izdevumu pamatojošo dokumentu pārbaudes</w:t>
            </w:r>
            <w:r w:rsidR="00BF2C92">
              <w:rPr>
                <w:rFonts w:ascii="Times New Roman" w:hAnsi="Times New Roman" w:cs="Times New Roman"/>
                <w:sz w:val="24"/>
                <w:szCs w:val="24"/>
              </w:rPr>
              <w:t>, ņ</w:t>
            </w:r>
            <w:r w:rsidR="00BF2C92" w:rsidRPr="003143CD">
              <w:rPr>
                <w:rFonts w:ascii="Times New Roman" w:hAnsi="Times New Roman" w:cs="Times New Roman"/>
                <w:sz w:val="24"/>
                <w:szCs w:val="24"/>
              </w:rPr>
              <w:t>emot vērā donorvalsts vai citas saņēmējvalsts attiecīgajos normatīvajos aktos noteikt</w:t>
            </w:r>
            <w:r w:rsidR="00BF2C92">
              <w:rPr>
                <w:rFonts w:ascii="Times New Roman" w:hAnsi="Times New Roman" w:cs="Times New Roman"/>
                <w:sz w:val="24"/>
                <w:szCs w:val="24"/>
              </w:rPr>
              <w:t>ā</w:t>
            </w:r>
            <w:r w:rsidR="00BF2C92" w:rsidRPr="003143CD">
              <w:rPr>
                <w:rFonts w:ascii="Times New Roman" w:hAnsi="Times New Roman" w:cs="Times New Roman"/>
                <w:sz w:val="24"/>
                <w:szCs w:val="24"/>
              </w:rPr>
              <w:t>s normas, proti, pamatojoties uz iepriekšējā perioda pieredzi, nepieciešamības gadījum</w:t>
            </w:r>
            <w:r w:rsidR="00BF2C92">
              <w:rPr>
                <w:rFonts w:ascii="Times New Roman" w:hAnsi="Times New Roman" w:cs="Times New Roman"/>
                <w:sz w:val="24"/>
                <w:szCs w:val="24"/>
              </w:rPr>
              <w:t>ā</w:t>
            </w:r>
            <w:r w:rsidR="00BF2C92" w:rsidRPr="003143CD">
              <w:rPr>
                <w:rFonts w:ascii="Times New Roman" w:hAnsi="Times New Roman" w:cs="Times New Roman"/>
                <w:sz w:val="24"/>
                <w:szCs w:val="24"/>
              </w:rPr>
              <w:t xml:space="preserve"> veicot izdevumu pārbaudes, tiks skatīt</w:t>
            </w:r>
            <w:r w:rsidR="00E34753">
              <w:rPr>
                <w:rFonts w:ascii="Times New Roman" w:hAnsi="Times New Roman" w:cs="Times New Roman"/>
                <w:sz w:val="24"/>
                <w:szCs w:val="24"/>
              </w:rPr>
              <w:t>i</w:t>
            </w:r>
            <w:r w:rsidR="00BF2C92" w:rsidRPr="003143CD">
              <w:rPr>
                <w:rFonts w:ascii="Times New Roman" w:hAnsi="Times New Roman" w:cs="Times New Roman"/>
                <w:sz w:val="24"/>
                <w:szCs w:val="24"/>
              </w:rPr>
              <w:t xml:space="preserve"> arī attiecīgās valsts normatīvie akti, kur iekļauti pārbaudāmo izdevumu apmēri</w:t>
            </w:r>
            <w:r>
              <w:rPr>
                <w:rFonts w:ascii="Times New Roman" w:hAnsi="Times New Roman" w:cs="Times New Roman"/>
                <w:sz w:val="24"/>
                <w:szCs w:val="24"/>
              </w:rPr>
              <w:t>, savukārt projekta partneru, kuri nav reģistrēti Latvijas Republikā</w:t>
            </w:r>
            <w:r w:rsidR="009D7563">
              <w:rPr>
                <w:rFonts w:ascii="Times New Roman" w:hAnsi="Times New Roman" w:cs="Times New Roman"/>
                <w:sz w:val="24"/>
                <w:szCs w:val="24"/>
              </w:rPr>
              <w:t>,</w:t>
            </w:r>
            <w:r>
              <w:rPr>
                <w:rFonts w:ascii="Times New Roman" w:hAnsi="Times New Roman" w:cs="Times New Roman"/>
                <w:sz w:val="24"/>
                <w:szCs w:val="24"/>
              </w:rPr>
              <w:t xml:space="preserve"> veikto izdevumu atbilstību </w:t>
            </w:r>
            <w:r w:rsidRPr="00660CD9">
              <w:rPr>
                <w:rFonts w:ascii="Times New Roman" w:hAnsi="Times New Roman" w:cs="Times New Roman"/>
                <w:sz w:val="24"/>
                <w:szCs w:val="24"/>
              </w:rPr>
              <w:t>donorvalsts vai citas saņēmējvalsts attiecīgajos normatīvajos aktos noteiktajām normām</w:t>
            </w:r>
            <w:r>
              <w:rPr>
                <w:rFonts w:ascii="Times New Roman" w:hAnsi="Times New Roman" w:cs="Times New Roman"/>
                <w:sz w:val="24"/>
                <w:szCs w:val="24"/>
              </w:rPr>
              <w:t xml:space="preserve"> pārbaudīs </w:t>
            </w:r>
            <w:r w:rsidRPr="00E34753">
              <w:rPr>
                <w:rFonts w:ascii="Times New Roman" w:hAnsi="Times New Roman" w:cs="Times New Roman"/>
                <w:iCs/>
                <w:sz w:val="24"/>
                <w:szCs w:val="24"/>
              </w:rPr>
              <w:t>zvērināt</w:t>
            </w:r>
            <w:r>
              <w:rPr>
                <w:rFonts w:ascii="Times New Roman" w:hAnsi="Times New Roman" w:cs="Times New Roman"/>
                <w:iCs/>
                <w:sz w:val="24"/>
                <w:szCs w:val="24"/>
              </w:rPr>
              <w:t>s</w:t>
            </w:r>
            <w:r w:rsidRPr="00E34753">
              <w:rPr>
                <w:rFonts w:ascii="Times New Roman" w:hAnsi="Times New Roman" w:cs="Times New Roman"/>
                <w:iCs/>
                <w:sz w:val="24"/>
                <w:szCs w:val="24"/>
              </w:rPr>
              <w:t xml:space="preserve"> revident</w:t>
            </w:r>
            <w:r>
              <w:rPr>
                <w:rFonts w:ascii="Times New Roman" w:hAnsi="Times New Roman" w:cs="Times New Roman"/>
                <w:iCs/>
                <w:sz w:val="24"/>
                <w:szCs w:val="24"/>
              </w:rPr>
              <w:t>s</w:t>
            </w:r>
            <w:r w:rsidRPr="00E34753">
              <w:rPr>
                <w:rFonts w:ascii="Times New Roman" w:hAnsi="Times New Roman" w:cs="Times New Roman"/>
                <w:iCs/>
                <w:sz w:val="24"/>
                <w:szCs w:val="24"/>
              </w:rPr>
              <w:t xml:space="preserve"> vai zvērinātu revidentu komercsabiedrība</w:t>
            </w:r>
            <w:r>
              <w:rPr>
                <w:rFonts w:ascii="Times New Roman" w:hAnsi="Times New Roman" w:cs="Times New Roman"/>
                <w:iCs/>
                <w:sz w:val="24"/>
                <w:szCs w:val="24"/>
              </w:rPr>
              <w:t xml:space="preserve"> </w:t>
            </w:r>
            <w:r w:rsidRPr="00E34753">
              <w:rPr>
                <w:rFonts w:ascii="Times New Roman" w:hAnsi="Times New Roman" w:cs="Times New Roman"/>
                <w:iCs/>
                <w:sz w:val="24"/>
                <w:szCs w:val="24"/>
              </w:rPr>
              <w:t>vai iekšējā audita struktūrvienība</w:t>
            </w:r>
            <w:r w:rsidR="009D7563">
              <w:rPr>
                <w:rFonts w:ascii="Times New Roman" w:hAnsi="Times New Roman" w:cs="Times New Roman"/>
                <w:iCs/>
                <w:sz w:val="24"/>
                <w:szCs w:val="24"/>
              </w:rPr>
              <w:t>,</w:t>
            </w:r>
            <w:r>
              <w:rPr>
                <w:rFonts w:ascii="Times New Roman" w:hAnsi="Times New Roman" w:cs="Times New Roman"/>
                <w:iCs/>
                <w:sz w:val="24"/>
                <w:szCs w:val="24"/>
              </w:rPr>
              <w:t xml:space="preserve"> un informāciju iekļaus pārbaudes ziņojumā, kuru iesniegs programmas partnerim.</w:t>
            </w:r>
            <w:r>
              <w:rPr>
                <w:rFonts w:ascii="Times New Roman" w:hAnsi="Times New Roman" w:cs="Times New Roman"/>
                <w:sz w:val="24"/>
                <w:szCs w:val="24"/>
              </w:rPr>
              <w:t xml:space="preserve"> </w:t>
            </w:r>
          </w:p>
          <w:p w14:paraId="2A4BB0A0" w14:textId="77777777" w:rsidR="00C73214" w:rsidRDefault="00C73214" w:rsidP="00C73214">
            <w:pPr>
              <w:jc w:val="both"/>
              <w:rPr>
                <w:rFonts w:ascii="Times New Roman" w:hAnsi="Times New Roman"/>
                <w:sz w:val="24"/>
                <w:szCs w:val="24"/>
                <w:lang w:eastAsia="lv-LV"/>
              </w:rPr>
            </w:pPr>
            <w:bookmarkStart w:id="5" w:name="_Hlk56764285"/>
          </w:p>
          <w:p w14:paraId="0DE1A42E" w14:textId="77777777" w:rsidR="00F4057D" w:rsidRDefault="001A21BD" w:rsidP="00BB7003">
            <w:pPr>
              <w:jc w:val="both"/>
              <w:rPr>
                <w:rFonts w:ascii="Times New Roman" w:hAnsi="Times New Roman"/>
                <w:sz w:val="24"/>
                <w:szCs w:val="24"/>
                <w:lang w:eastAsia="lv-LV"/>
              </w:rPr>
            </w:pPr>
            <w:r>
              <w:rPr>
                <w:rFonts w:ascii="Times New Roman" w:hAnsi="Times New Roman"/>
                <w:sz w:val="24"/>
                <w:szCs w:val="24"/>
                <w:lang w:eastAsia="lv-LV"/>
              </w:rPr>
              <w:t xml:space="preserve">Papildus skaidrojam, </w:t>
            </w:r>
            <w:r w:rsidR="004A2DE3">
              <w:rPr>
                <w:rFonts w:ascii="Times New Roman" w:hAnsi="Times New Roman"/>
                <w:sz w:val="24"/>
                <w:szCs w:val="24"/>
                <w:lang w:eastAsia="lv-LV"/>
              </w:rPr>
              <w:t xml:space="preserve">ka </w:t>
            </w:r>
            <w:r w:rsidR="00BB7003">
              <w:rPr>
                <w:rFonts w:ascii="Times New Roman" w:hAnsi="Times New Roman"/>
                <w:sz w:val="24"/>
                <w:szCs w:val="24"/>
                <w:lang w:eastAsia="lv-LV"/>
              </w:rPr>
              <w:t xml:space="preserve">donorvalstu noteikumu 8.3. a) punkts nosaka, ka projekta </w:t>
            </w:r>
            <w:r w:rsidR="00BB7003" w:rsidRPr="00BB7003">
              <w:rPr>
                <w:rFonts w:ascii="Times New Roman" w:hAnsi="Times New Roman"/>
                <w:sz w:val="24"/>
                <w:szCs w:val="24"/>
                <w:lang w:eastAsia="lv-LV"/>
              </w:rPr>
              <w:t xml:space="preserve">personāla </w:t>
            </w:r>
            <w:r w:rsidR="00BB7003">
              <w:rPr>
                <w:rFonts w:ascii="Times New Roman" w:hAnsi="Times New Roman"/>
                <w:sz w:val="24"/>
                <w:szCs w:val="24"/>
                <w:lang w:eastAsia="lv-LV"/>
              </w:rPr>
              <w:t xml:space="preserve">atlīdzības un </w:t>
            </w:r>
            <w:r w:rsidR="00BB7003" w:rsidRPr="00BB7003">
              <w:rPr>
                <w:rFonts w:ascii="Times New Roman" w:hAnsi="Times New Roman"/>
                <w:sz w:val="24"/>
                <w:szCs w:val="24"/>
                <w:lang w:eastAsia="lv-LV"/>
              </w:rPr>
              <w:t>sociālās apdrošināšanas izmaksas</w:t>
            </w:r>
            <w:r w:rsidR="00BB7003">
              <w:rPr>
                <w:rFonts w:ascii="Times New Roman" w:hAnsi="Times New Roman"/>
                <w:sz w:val="24"/>
                <w:szCs w:val="24"/>
                <w:lang w:eastAsia="lv-LV"/>
              </w:rPr>
              <w:t>,</w:t>
            </w:r>
            <w:r w:rsidR="00BB7003" w:rsidRPr="00BB7003">
              <w:rPr>
                <w:rFonts w:ascii="Times New Roman" w:hAnsi="Times New Roman"/>
                <w:sz w:val="24"/>
                <w:szCs w:val="24"/>
                <w:lang w:eastAsia="lv-LV"/>
              </w:rPr>
              <w:t xml:space="preserve"> un citas likumā noteiktās izmaksas, kas iekļautas atalgojumā, </w:t>
            </w:r>
            <w:r w:rsidR="00BB7003">
              <w:rPr>
                <w:rFonts w:ascii="Times New Roman" w:hAnsi="Times New Roman"/>
                <w:sz w:val="24"/>
                <w:szCs w:val="24"/>
                <w:lang w:eastAsia="lv-LV"/>
              </w:rPr>
              <w:t>ir attiecināmas ar nosacījumu, ka tā</w:t>
            </w:r>
            <w:r w:rsidR="00BB7003" w:rsidRPr="00BB7003">
              <w:rPr>
                <w:rFonts w:ascii="Times New Roman" w:hAnsi="Times New Roman"/>
                <w:sz w:val="24"/>
                <w:szCs w:val="24"/>
                <w:lang w:eastAsia="lv-LV"/>
              </w:rPr>
              <w:t xml:space="preserve">s atbilst </w:t>
            </w:r>
            <w:r w:rsidR="00BB7003">
              <w:rPr>
                <w:rFonts w:ascii="Times New Roman" w:hAnsi="Times New Roman"/>
                <w:sz w:val="24"/>
                <w:szCs w:val="24"/>
                <w:lang w:eastAsia="lv-LV"/>
              </w:rPr>
              <w:t>līdzfinansējuma saņēmēja</w:t>
            </w:r>
            <w:r w:rsidR="00BB7003" w:rsidRPr="00BB7003">
              <w:rPr>
                <w:rFonts w:ascii="Times New Roman" w:hAnsi="Times New Roman"/>
                <w:sz w:val="24"/>
                <w:szCs w:val="24"/>
                <w:lang w:eastAsia="lv-LV"/>
              </w:rPr>
              <w:t xml:space="preserve"> un projekta partnera </w:t>
            </w:r>
            <w:r w:rsidR="00BB7003">
              <w:rPr>
                <w:rFonts w:ascii="Times New Roman" w:hAnsi="Times New Roman"/>
                <w:sz w:val="24"/>
                <w:szCs w:val="24"/>
                <w:lang w:eastAsia="lv-LV"/>
              </w:rPr>
              <w:t xml:space="preserve">ierastajai atalgojuma politikai, un </w:t>
            </w:r>
            <w:r w:rsidR="00BB7003" w:rsidRPr="00BB7003">
              <w:rPr>
                <w:rFonts w:ascii="Times New Roman" w:hAnsi="Times New Roman"/>
                <w:sz w:val="24"/>
                <w:szCs w:val="24"/>
                <w:lang w:eastAsia="lv-LV"/>
              </w:rPr>
              <w:t>izmaksas ir attiecināmas tiktāl, ciktāl tās ir saistītas ar tādu darbību izmaksām, kuras attiecīgā valsts iestāde neveic, ja neti</w:t>
            </w:r>
            <w:r w:rsidR="00BB7003">
              <w:rPr>
                <w:rFonts w:ascii="Times New Roman" w:hAnsi="Times New Roman"/>
                <w:sz w:val="24"/>
                <w:szCs w:val="24"/>
                <w:lang w:eastAsia="lv-LV"/>
              </w:rPr>
              <w:t xml:space="preserve">ktu veikts attiecīgais projekts. Vienlaikus arī </w:t>
            </w:r>
            <w:r w:rsidR="00EA0E5E">
              <w:rPr>
                <w:rFonts w:ascii="Times New Roman" w:hAnsi="Times New Roman" w:cs="Times New Roman"/>
                <w:sz w:val="24"/>
                <w:szCs w:val="24"/>
              </w:rPr>
              <w:t>ES struktūrfondu atklāto projektu iesniegumu konkursu normatīvajos aktos kā attiecināmās izmaksas tiek</w:t>
            </w:r>
            <w:r w:rsidR="00EA0E5E" w:rsidRPr="00E63887">
              <w:rPr>
                <w:rFonts w:ascii="Times New Roman" w:hAnsi="Times New Roman" w:cs="Times New Roman"/>
                <w:sz w:val="24"/>
                <w:szCs w:val="24"/>
              </w:rPr>
              <w:t xml:space="preserve"> norād</w:t>
            </w:r>
            <w:r w:rsidR="00EA0E5E">
              <w:rPr>
                <w:rFonts w:ascii="Times New Roman" w:hAnsi="Times New Roman" w:cs="Times New Roman"/>
                <w:sz w:val="24"/>
                <w:szCs w:val="24"/>
              </w:rPr>
              <w:t xml:space="preserve">ītas </w:t>
            </w:r>
            <w:r w:rsidR="00EA0E5E" w:rsidRPr="00E63887">
              <w:rPr>
                <w:rFonts w:ascii="Times New Roman" w:hAnsi="Times New Roman" w:cs="Times New Roman"/>
                <w:sz w:val="24"/>
                <w:szCs w:val="24"/>
              </w:rPr>
              <w:t xml:space="preserve">amatpersonu un darbinieku atlīdzība, </w:t>
            </w:r>
            <w:r w:rsidR="00EA0E5E">
              <w:rPr>
                <w:rFonts w:ascii="Times New Roman" w:hAnsi="Times New Roman" w:cs="Times New Roman"/>
                <w:sz w:val="24"/>
                <w:szCs w:val="24"/>
              </w:rPr>
              <w:t xml:space="preserve">kas </w:t>
            </w:r>
            <w:r w:rsidR="00EA0E5E" w:rsidRPr="00E63887">
              <w:rPr>
                <w:rFonts w:ascii="Times New Roman" w:hAnsi="Times New Roman" w:cs="Times New Roman"/>
                <w:sz w:val="24"/>
                <w:szCs w:val="24"/>
              </w:rPr>
              <w:t>tiek noteikta saskaņā ar normatīvajiem aktiem par valsts un pašvaldību institūciju amatpersonu un darbinieku atlīdzību, kā arī attiecīgās iestādes iekšējiem normatīvajiem aktiem</w:t>
            </w:r>
            <w:r w:rsidR="00EA0E5E">
              <w:rPr>
                <w:rFonts w:ascii="Times New Roman" w:hAnsi="Times New Roman" w:cs="Times New Roman"/>
                <w:sz w:val="24"/>
                <w:szCs w:val="24"/>
              </w:rPr>
              <w:t xml:space="preserve">, </w:t>
            </w:r>
            <w:r w:rsidR="000F6FA5">
              <w:rPr>
                <w:rFonts w:ascii="Times New Roman" w:hAnsi="Times New Roman" w:cs="Times New Roman"/>
                <w:sz w:val="24"/>
                <w:szCs w:val="24"/>
              </w:rPr>
              <w:t>un</w:t>
            </w:r>
            <w:r w:rsidR="00EA0E5E">
              <w:rPr>
                <w:rFonts w:ascii="Times New Roman" w:hAnsi="Times New Roman" w:cs="Times New Roman"/>
                <w:sz w:val="24"/>
                <w:szCs w:val="24"/>
              </w:rPr>
              <w:t xml:space="preserve"> tajos ir </w:t>
            </w:r>
            <w:r w:rsidR="00EA0E5E">
              <w:rPr>
                <w:rFonts w:ascii="Times New Roman" w:hAnsi="Times New Roman"/>
                <w:sz w:val="24"/>
                <w:szCs w:val="24"/>
                <w:lang w:eastAsia="lv-LV"/>
              </w:rPr>
              <w:t>ietvertas normas attiecībā uz atalgojuma politiku</w:t>
            </w:r>
            <w:r w:rsidR="000F6FA5" w:rsidRPr="00E63887">
              <w:rPr>
                <w:rFonts w:ascii="Times New Roman" w:hAnsi="Times New Roman" w:cs="Times New Roman"/>
                <w:sz w:val="24"/>
                <w:szCs w:val="24"/>
              </w:rPr>
              <w:t xml:space="preserve">, kas ir noteikta projekta iesnieguma iesniedzēja iekšējos normatīvajos aktos. Projekta īstenotājs uzraudzības posmā, pie pārskata iesniegšanas, </w:t>
            </w:r>
            <w:r w:rsidR="000F6FA5" w:rsidRPr="00E63887">
              <w:rPr>
                <w:rFonts w:ascii="Times New Roman" w:hAnsi="Times New Roman" w:cs="Times New Roman"/>
                <w:sz w:val="24"/>
                <w:szCs w:val="24"/>
              </w:rPr>
              <w:lastRenderedPageBreak/>
              <w:t>iesniedz arī izdevumu pamatojošo dokumentāciju, kas šajā gadījumā būtu rīkojums, vai tam līdzvērtīgs dokuments, kas apstiprināts iestādē, lai pierādītu, ka minētās atlīdzības izmaksas atbilst līdzfinansējuma saņēmēja vai projekta partnera ierastajai atlīdzības politikai.</w:t>
            </w:r>
            <w:r w:rsidR="000F6FA5">
              <w:rPr>
                <w:rFonts w:ascii="Times New Roman" w:hAnsi="Times New Roman"/>
                <w:sz w:val="24"/>
                <w:szCs w:val="24"/>
                <w:lang w:eastAsia="lv-LV"/>
              </w:rPr>
              <w:t xml:space="preserve"> </w:t>
            </w:r>
            <w:r w:rsidR="00EA0E5E">
              <w:rPr>
                <w:rFonts w:ascii="Times New Roman" w:hAnsi="Times New Roman"/>
                <w:sz w:val="24"/>
                <w:szCs w:val="24"/>
                <w:lang w:eastAsia="lv-LV"/>
              </w:rPr>
              <w:t>Pārņemot labo praksi normatīvo aktu</w:t>
            </w:r>
            <w:r w:rsidR="00EA0E5E">
              <w:rPr>
                <w:rFonts w:ascii="Times New Roman" w:hAnsi="Times New Roman" w:cs="Times New Roman"/>
                <w:sz w:val="24"/>
                <w:szCs w:val="24"/>
              </w:rPr>
              <w:t xml:space="preserve"> izstrādāšanā,</w:t>
            </w:r>
            <w:r w:rsidR="00EA0E5E">
              <w:rPr>
                <w:rFonts w:ascii="Times New Roman" w:hAnsi="Times New Roman"/>
                <w:sz w:val="24"/>
                <w:szCs w:val="24"/>
                <w:lang w:eastAsia="lv-LV"/>
              </w:rPr>
              <w:t xml:space="preserve"> </w:t>
            </w:r>
            <w:r w:rsidR="00370F07">
              <w:rPr>
                <w:rFonts w:ascii="Times New Roman" w:hAnsi="Times New Roman"/>
                <w:sz w:val="24"/>
                <w:szCs w:val="24"/>
                <w:lang w:eastAsia="lv-LV"/>
              </w:rPr>
              <w:t>N</w:t>
            </w:r>
            <w:r w:rsidR="00370F07" w:rsidRPr="003A090B">
              <w:rPr>
                <w:rFonts w:ascii="Times New Roman" w:hAnsi="Times New Roman"/>
                <w:sz w:val="24"/>
                <w:szCs w:val="24"/>
                <w:lang w:eastAsia="lv-LV"/>
              </w:rPr>
              <w:t xml:space="preserve">oteikumu projekta </w:t>
            </w:r>
            <w:r w:rsidR="00370F07" w:rsidRPr="00BF3FDA">
              <w:rPr>
                <w:rFonts w:ascii="Times New Roman" w:hAnsi="Times New Roman"/>
                <w:sz w:val="24"/>
                <w:szCs w:val="24"/>
                <w:lang w:eastAsia="lv-LV"/>
              </w:rPr>
              <w:t>15.1.1.</w:t>
            </w:r>
            <w:r w:rsidR="00245DDD">
              <w:rPr>
                <w:rFonts w:ascii="Times New Roman" w:hAnsi="Times New Roman"/>
                <w:sz w:val="24"/>
                <w:szCs w:val="24"/>
                <w:lang w:eastAsia="lv-LV"/>
              </w:rPr>
              <w:t>1.</w:t>
            </w:r>
            <w:r w:rsidR="00370F07" w:rsidRPr="00BF3FDA">
              <w:rPr>
                <w:rFonts w:ascii="Times New Roman" w:hAnsi="Times New Roman"/>
                <w:sz w:val="24"/>
                <w:szCs w:val="24"/>
                <w:lang w:eastAsia="lv-LV"/>
              </w:rPr>
              <w:t xml:space="preserve"> un 15.1.2.</w:t>
            </w:r>
            <w:r w:rsidR="00245DDD">
              <w:rPr>
                <w:rFonts w:ascii="Times New Roman" w:hAnsi="Times New Roman"/>
                <w:sz w:val="24"/>
                <w:szCs w:val="24"/>
                <w:lang w:eastAsia="lv-LV"/>
              </w:rPr>
              <w:t>1.</w:t>
            </w:r>
            <w:r w:rsidR="00370F07" w:rsidRPr="00BF3FDA">
              <w:rPr>
                <w:rFonts w:ascii="Times New Roman" w:hAnsi="Times New Roman"/>
                <w:sz w:val="24"/>
                <w:szCs w:val="24"/>
                <w:lang w:eastAsia="lv-LV"/>
              </w:rPr>
              <w:t xml:space="preserve"> </w:t>
            </w:r>
            <w:r w:rsidR="00370F07" w:rsidRPr="00E63887">
              <w:rPr>
                <w:rFonts w:ascii="Times New Roman" w:hAnsi="Times New Roman"/>
                <w:sz w:val="24"/>
                <w:szCs w:val="24"/>
                <w:lang w:eastAsia="lv-LV"/>
              </w:rPr>
              <w:t>apakšpunktā</w:t>
            </w:r>
            <w:r w:rsidR="00245DDD">
              <w:rPr>
                <w:rFonts w:ascii="Times New Roman" w:hAnsi="Times New Roman"/>
                <w:sz w:val="24"/>
                <w:szCs w:val="24"/>
                <w:lang w:eastAsia="lv-LV"/>
              </w:rPr>
              <w:t xml:space="preserve"> </w:t>
            </w:r>
            <w:r w:rsidR="00EA0E5E">
              <w:rPr>
                <w:rFonts w:ascii="Times New Roman" w:hAnsi="Times New Roman"/>
                <w:sz w:val="24"/>
                <w:szCs w:val="24"/>
                <w:lang w:eastAsia="lv-LV"/>
              </w:rPr>
              <w:t xml:space="preserve">ir </w:t>
            </w:r>
            <w:r w:rsidR="00245DDD">
              <w:rPr>
                <w:rFonts w:ascii="Times New Roman" w:hAnsi="Times New Roman"/>
                <w:sz w:val="24"/>
                <w:szCs w:val="24"/>
                <w:lang w:eastAsia="lv-LV"/>
              </w:rPr>
              <w:t>ietvert</w:t>
            </w:r>
            <w:r w:rsidR="00EA0E5E">
              <w:rPr>
                <w:rFonts w:ascii="Times New Roman" w:hAnsi="Times New Roman"/>
                <w:sz w:val="24"/>
                <w:szCs w:val="24"/>
                <w:lang w:eastAsia="lv-LV"/>
              </w:rPr>
              <w:t>as atbilstošas</w:t>
            </w:r>
            <w:r w:rsidR="00245DDD">
              <w:rPr>
                <w:rFonts w:ascii="Times New Roman" w:hAnsi="Times New Roman"/>
                <w:sz w:val="24"/>
                <w:szCs w:val="24"/>
                <w:lang w:eastAsia="lv-LV"/>
              </w:rPr>
              <w:t xml:space="preserve"> normas attiecībā uz atlīdz</w:t>
            </w:r>
            <w:r w:rsidR="00EA0E5E">
              <w:rPr>
                <w:rFonts w:ascii="Times New Roman" w:hAnsi="Times New Roman"/>
                <w:sz w:val="24"/>
                <w:szCs w:val="24"/>
                <w:lang w:eastAsia="lv-LV"/>
              </w:rPr>
              <w:t>ību.</w:t>
            </w:r>
            <w:r w:rsidR="000F6FA5">
              <w:rPr>
                <w:rFonts w:ascii="Times New Roman" w:hAnsi="Times New Roman"/>
                <w:sz w:val="24"/>
                <w:szCs w:val="24"/>
                <w:lang w:eastAsia="lv-LV"/>
              </w:rPr>
              <w:t xml:space="preserve"> </w:t>
            </w:r>
            <w:bookmarkEnd w:id="5"/>
          </w:p>
          <w:p w14:paraId="405C5E10" w14:textId="77777777" w:rsidR="003A0D05" w:rsidRDefault="003A0D05" w:rsidP="00BB7003">
            <w:pPr>
              <w:jc w:val="both"/>
              <w:rPr>
                <w:rFonts w:ascii="Times New Roman" w:hAnsi="Times New Roman"/>
                <w:sz w:val="24"/>
                <w:szCs w:val="24"/>
                <w:lang w:eastAsia="lv-LV"/>
              </w:rPr>
            </w:pPr>
          </w:p>
          <w:p w14:paraId="2414F53A" w14:textId="77777777" w:rsidR="003A0D05" w:rsidRDefault="003A0D05" w:rsidP="00947E28">
            <w:pPr>
              <w:jc w:val="both"/>
              <w:rPr>
                <w:rFonts w:ascii="Times New Roman" w:hAnsi="Times New Roman" w:cs="Times New Roman"/>
                <w:sz w:val="24"/>
                <w:szCs w:val="24"/>
              </w:rPr>
            </w:pPr>
            <w:r>
              <w:rPr>
                <w:rFonts w:ascii="Times New Roman" w:hAnsi="Times New Roman" w:cs="Times New Roman"/>
                <w:sz w:val="24"/>
                <w:szCs w:val="24"/>
              </w:rPr>
              <w:t xml:space="preserve">Papildus </w:t>
            </w:r>
            <w:r w:rsidRPr="003A0D05">
              <w:rPr>
                <w:rFonts w:ascii="Times New Roman" w:hAnsi="Times New Roman" w:cs="Times New Roman"/>
                <w:sz w:val="24"/>
                <w:szCs w:val="24"/>
              </w:rPr>
              <w:t xml:space="preserve">skaidrojam, ka </w:t>
            </w:r>
            <w:r w:rsidR="006D4AA2">
              <w:rPr>
                <w:rFonts w:ascii="Times New Roman" w:hAnsi="Times New Roman" w:cs="Times New Roman"/>
                <w:sz w:val="24"/>
                <w:szCs w:val="24"/>
              </w:rPr>
              <w:t>N</w:t>
            </w:r>
            <w:r w:rsidRPr="003A0D05">
              <w:rPr>
                <w:rFonts w:ascii="Times New Roman" w:hAnsi="Times New Roman" w:cs="Times New Roman"/>
                <w:sz w:val="24"/>
                <w:szCs w:val="24"/>
              </w:rPr>
              <w:t xml:space="preserve">oteikumu projekta 15.2. </w:t>
            </w:r>
            <w:r w:rsidR="006D4AA2">
              <w:rPr>
                <w:rFonts w:ascii="Times New Roman" w:hAnsi="Times New Roman" w:cs="Times New Roman"/>
                <w:sz w:val="24"/>
                <w:szCs w:val="24"/>
              </w:rPr>
              <w:t>apakš</w:t>
            </w:r>
            <w:r w:rsidRPr="003A0D05">
              <w:rPr>
                <w:rFonts w:ascii="Times New Roman" w:hAnsi="Times New Roman" w:cs="Times New Roman"/>
                <w:sz w:val="24"/>
                <w:szCs w:val="24"/>
              </w:rPr>
              <w:t>punkts nosaka, ka netiešās attiecināmās izmaksas, tai skaitā izmaksas, kas netieši saistītas ar projekta īstenošanas administrēšanu, piemēram, ar telpu nomu, komunālo pakalpojumu izmaksām, kancelejas preču, aprīkojuma un programmatūras iegādes izmaksām</w:t>
            </w:r>
            <w:r w:rsidR="006D4AA2">
              <w:rPr>
                <w:rFonts w:ascii="Times New Roman" w:hAnsi="Times New Roman" w:cs="Times New Roman"/>
                <w:sz w:val="24"/>
                <w:szCs w:val="24"/>
              </w:rPr>
              <w:t>,</w:t>
            </w:r>
            <w:r w:rsidRPr="003A0D05">
              <w:rPr>
                <w:rFonts w:ascii="Times New Roman" w:hAnsi="Times New Roman" w:cs="Times New Roman"/>
                <w:sz w:val="24"/>
                <w:szCs w:val="24"/>
              </w:rPr>
              <w:t xml:space="preserve"> tiek aprēķinātas kā vienota likme 10 procentu apmērā no šo noteikumu 15.1.1.1. un 15.1.2.</w:t>
            </w:r>
            <w:r w:rsidR="002717FF">
              <w:rPr>
                <w:rFonts w:ascii="Times New Roman" w:hAnsi="Times New Roman" w:cs="Times New Roman"/>
                <w:sz w:val="24"/>
                <w:szCs w:val="24"/>
              </w:rPr>
              <w:t>1.</w:t>
            </w:r>
            <w:r w:rsidRPr="003A0D05">
              <w:rPr>
                <w:rFonts w:ascii="Times New Roman" w:hAnsi="Times New Roman" w:cs="Times New Roman"/>
                <w:sz w:val="24"/>
                <w:szCs w:val="24"/>
              </w:rPr>
              <w:t xml:space="preserve"> apakšpunktā minētā personāla tiešajām attiecināmajām atlīdzības izmaksām. </w:t>
            </w:r>
            <w:r>
              <w:rPr>
                <w:rFonts w:ascii="Times New Roman" w:hAnsi="Times New Roman" w:cs="Times New Roman"/>
                <w:sz w:val="24"/>
                <w:szCs w:val="24"/>
              </w:rPr>
              <w:t xml:space="preserve">Skaidrojam, ka </w:t>
            </w:r>
            <w:r w:rsidRPr="003A0D05">
              <w:rPr>
                <w:rFonts w:ascii="Times New Roman" w:hAnsi="Times New Roman" w:cs="Times New Roman"/>
                <w:sz w:val="24"/>
                <w:szCs w:val="24"/>
              </w:rPr>
              <w:t xml:space="preserve">gadījumā, ja kāds no </w:t>
            </w:r>
            <w:r>
              <w:rPr>
                <w:rFonts w:ascii="Times New Roman" w:hAnsi="Times New Roman" w:cs="Times New Roman"/>
                <w:sz w:val="24"/>
                <w:szCs w:val="24"/>
              </w:rPr>
              <w:t xml:space="preserve">projekta </w:t>
            </w:r>
            <w:r w:rsidRPr="003A0D05">
              <w:rPr>
                <w:rFonts w:ascii="Times New Roman" w:hAnsi="Times New Roman" w:cs="Times New Roman"/>
                <w:sz w:val="24"/>
                <w:szCs w:val="24"/>
              </w:rPr>
              <w:t xml:space="preserve">administrēšanas personāla tiks iesaistīts arī kādās </w:t>
            </w:r>
            <w:r>
              <w:rPr>
                <w:rFonts w:ascii="Times New Roman" w:hAnsi="Times New Roman" w:cs="Times New Roman"/>
                <w:sz w:val="24"/>
                <w:szCs w:val="24"/>
              </w:rPr>
              <w:t>projekta aktivitātēs, ti</w:t>
            </w:r>
            <w:r w:rsidRPr="003A0D05">
              <w:rPr>
                <w:rFonts w:ascii="Times New Roman" w:hAnsi="Times New Roman" w:cs="Times New Roman"/>
                <w:sz w:val="24"/>
                <w:szCs w:val="24"/>
              </w:rPr>
              <w:t>k</w:t>
            </w:r>
            <w:r>
              <w:rPr>
                <w:rFonts w:ascii="Times New Roman" w:hAnsi="Times New Roman" w:cs="Times New Roman"/>
                <w:sz w:val="24"/>
                <w:szCs w:val="24"/>
              </w:rPr>
              <w:t>s</w:t>
            </w:r>
            <w:r w:rsidRPr="003A0D05">
              <w:rPr>
                <w:rFonts w:ascii="Times New Roman" w:hAnsi="Times New Roman" w:cs="Times New Roman"/>
                <w:sz w:val="24"/>
                <w:szCs w:val="24"/>
              </w:rPr>
              <w:t xml:space="preserve"> </w:t>
            </w:r>
            <w:r>
              <w:rPr>
                <w:rFonts w:ascii="Times New Roman" w:hAnsi="Times New Roman" w:cs="Times New Roman"/>
                <w:sz w:val="24"/>
                <w:szCs w:val="24"/>
              </w:rPr>
              <w:t>veikts</w:t>
            </w:r>
            <w:r w:rsidRPr="003A0D05">
              <w:rPr>
                <w:rFonts w:ascii="Times New Roman" w:hAnsi="Times New Roman" w:cs="Times New Roman"/>
                <w:sz w:val="24"/>
                <w:szCs w:val="24"/>
              </w:rPr>
              <w:t xml:space="preserve"> dalīts atlīdzības aprēķins</w:t>
            </w:r>
            <w:r w:rsidR="006D4AA2">
              <w:rPr>
                <w:rFonts w:ascii="Times New Roman" w:hAnsi="Times New Roman" w:cs="Times New Roman"/>
                <w:sz w:val="24"/>
                <w:szCs w:val="24"/>
              </w:rPr>
              <w:t>,</w:t>
            </w:r>
            <w:r w:rsidRPr="003A0D05">
              <w:rPr>
                <w:rFonts w:ascii="Times New Roman" w:hAnsi="Times New Roman" w:cs="Times New Roman"/>
                <w:sz w:val="24"/>
                <w:szCs w:val="24"/>
              </w:rPr>
              <w:t xml:space="preserve"> nodrošinot, ka par vienām un tām pašām izmaksām netiek maksāts dubultā</w:t>
            </w:r>
            <w:r w:rsidR="006D4AA2">
              <w:rPr>
                <w:rFonts w:ascii="Times New Roman" w:hAnsi="Times New Roman" w:cs="Times New Roman"/>
                <w:sz w:val="24"/>
                <w:szCs w:val="24"/>
              </w:rPr>
              <w:t>,</w:t>
            </w:r>
            <w:r w:rsidRPr="003A0D05">
              <w:rPr>
                <w:rFonts w:ascii="Times New Roman" w:hAnsi="Times New Roman" w:cs="Times New Roman"/>
                <w:sz w:val="24"/>
                <w:szCs w:val="24"/>
              </w:rPr>
              <w:t xml:space="preserve"> un budžetā skaidri norādot </w:t>
            </w:r>
            <w:r>
              <w:rPr>
                <w:rFonts w:ascii="Times New Roman" w:hAnsi="Times New Roman" w:cs="Times New Roman"/>
                <w:sz w:val="24"/>
                <w:szCs w:val="24"/>
              </w:rPr>
              <w:t>aprēķinu netiešo izmaksu apmēram</w:t>
            </w:r>
            <w:r w:rsidRPr="003A0D05">
              <w:rPr>
                <w:rFonts w:ascii="Times New Roman" w:hAnsi="Times New Roman" w:cs="Times New Roman"/>
                <w:sz w:val="24"/>
                <w:szCs w:val="24"/>
              </w:rPr>
              <w:t>.</w:t>
            </w:r>
          </w:p>
          <w:p w14:paraId="581D2741" w14:textId="77777777" w:rsidR="00526BC2" w:rsidRDefault="00526BC2" w:rsidP="00947E28">
            <w:pPr>
              <w:jc w:val="both"/>
              <w:rPr>
                <w:rFonts w:ascii="Times New Roman" w:hAnsi="Times New Roman" w:cs="Times New Roman"/>
                <w:sz w:val="24"/>
                <w:szCs w:val="24"/>
              </w:rPr>
            </w:pPr>
          </w:p>
          <w:p w14:paraId="4E70A3F7" w14:textId="4F7FC07E" w:rsidR="00526BC2" w:rsidRPr="000F6FA5" w:rsidRDefault="00526BC2" w:rsidP="00526BC2">
            <w:pPr>
              <w:jc w:val="both"/>
              <w:rPr>
                <w:rFonts w:ascii="Times New Roman" w:hAnsi="Times New Roman"/>
                <w:sz w:val="24"/>
                <w:szCs w:val="24"/>
                <w:lang w:eastAsia="lv-LV"/>
              </w:rPr>
            </w:pPr>
            <w:r>
              <w:rPr>
                <w:rFonts w:ascii="Times New Roman" w:hAnsi="Times New Roman" w:cs="Times New Roman"/>
                <w:sz w:val="24"/>
                <w:szCs w:val="24"/>
              </w:rPr>
              <w:t xml:space="preserve">Vienlaikus skaidrojam, ka Noteikumu projekta 21.punktā ar vārdiem “donorvalstu institūcijās ir apstiprināts attiecīgais grozījums programmas līgumā” tiek saprasts, ka programmas līguma grozījumi ir oficiāli parakstīti no donorvalstu un Finanšu ministrijas puses. </w:t>
            </w:r>
          </w:p>
        </w:tc>
      </w:tr>
      <w:tr w:rsidR="00B6303F" w:rsidRPr="0013168C" w14:paraId="28CA0087" w14:textId="77777777" w:rsidTr="00FB46EB">
        <w:trPr>
          <w:trHeight w:val="372"/>
          <w:tblCellSpacing w:w="20" w:type="dxa"/>
        </w:trPr>
        <w:tc>
          <w:tcPr>
            <w:tcW w:w="331" w:type="pct"/>
            <w:hideMark/>
          </w:tcPr>
          <w:p w14:paraId="3ED216D7" w14:textId="6FECE103" w:rsidR="00894C55" w:rsidRPr="00FB46EB" w:rsidRDefault="00B32BBE" w:rsidP="00731493">
            <w:pPr>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lastRenderedPageBreak/>
              <w:t>3.</w:t>
            </w:r>
          </w:p>
        </w:tc>
        <w:tc>
          <w:tcPr>
            <w:tcW w:w="1376" w:type="pct"/>
            <w:hideMark/>
          </w:tcPr>
          <w:p w14:paraId="1CC3139E" w14:textId="77777777" w:rsidR="00894C55" w:rsidRPr="00FB46EB" w:rsidRDefault="00B32BBE" w:rsidP="00731493">
            <w:pP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Projekta izstrādē iesaistītās institūcijas un publiskas personas kapitālsabiedrības</w:t>
            </w:r>
          </w:p>
        </w:tc>
        <w:tc>
          <w:tcPr>
            <w:tcW w:w="3205" w:type="pct"/>
            <w:shd w:val="clear" w:color="auto" w:fill="auto"/>
            <w:hideMark/>
          </w:tcPr>
          <w:p w14:paraId="02D46241" w14:textId="538794D7" w:rsidR="00894C55" w:rsidRPr="00FB46EB" w:rsidRDefault="009B3E3E" w:rsidP="00731493">
            <w:pPr>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Programmas partneris un programmas apsaimniekotājs</w:t>
            </w:r>
            <w:r w:rsidR="00D832B9">
              <w:rPr>
                <w:rFonts w:ascii="Times New Roman" w:eastAsia="Times New Roman" w:hAnsi="Times New Roman" w:cs="Times New Roman"/>
                <w:sz w:val="24"/>
                <w:szCs w:val="24"/>
                <w:lang w:eastAsia="lv-LV"/>
              </w:rPr>
              <w:t>.</w:t>
            </w:r>
            <w:r w:rsidR="002527DA" w:rsidRPr="00FB46EB">
              <w:rPr>
                <w:rFonts w:ascii="Times New Roman" w:eastAsia="Times New Roman" w:hAnsi="Times New Roman" w:cs="Times New Roman"/>
                <w:sz w:val="24"/>
                <w:szCs w:val="24"/>
                <w:lang w:eastAsia="lv-LV"/>
              </w:rPr>
              <w:t xml:space="preserve"> </w:t>
            </w:r>
          </w:p>
        </w:tc>
      </w:tr>
      <w:tr w:rsidR="00B6303F" w:rsidRPr="0013168C" w14:paraId="65F7FAE1" w14:textId="77777777" w:rsidTr="00FB46EB">
        <w:trPr>
          <w:tblCellSpacing w:w="20" w:type="dxa"/>
        </w:trPr>
        <w:tc>
          <w:tcPr>
            <w:tcW w:w="331" w:type="pct"/>
            <w:hideMark/>
          </w:tcPr>
          <w:p w14:paraId="6882F543" w14:textId="77777777" w:rsidR="00894C55" w:rsidRPr="00FB46EB" w:rsidRDefault="00B32BBE" w:rsidP="00731493">
            <w:pPr>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4.</w:t>
            </w:r>
          </w:p>
        </w:tc>
        <w:tc>
          <w:tcPr>
            <w:tcW w:w="1376" w:type="pct"/>
            <w:hideMark/>
          </w:tcPr>
          <w:p w14:paraId="0308015B" w14:textId="77777777" w:rsidR="00894C55" w:rsidRPr="00FB46EB" w:rsidRDefault="00B32BBE" w:rsidP="00731493">
            <w:pPr>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 informācija</w:t>
            </w:r>
          </w:p>
        </w:tc>
        <w:tc>
          <w:tcPr>
            <w:tcW w:w="3205" w:type="pct"/>
            <w:hideMark/>
          </w:tcPr>
          <w:p w14:paraId="6528B6C1" w14:textId="71893DB5" w:rsidR="0001577C" w:rsidRPr="00FB46EB" w:rsidRDefault="000E7AAE" w:rsidP="00731493">
            <w:pPr>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Nav</w:t>
            </w:r>
          </w:p>
        </w:tc>
      </w:tr>
    </w:tbl>
    <w:p w14:paraId="136AB64B" w14:textId="118EE456" w:rsidR="00AB07CB" w:rsidRDefault="00AB07CB" w:rsidP="00731493">
      <w:pPr>
        <w:shd w:val="clear" w:color="auto" w:fill="FFFFFF"/>
        <w:spacing w:after="0" w:line="240" w:lineRule="auto"/>
        <w:ind w:firstLine="301"/>
        <w:rPr>
          <w:rFonts w:ascii="Times New Roman" w:eastAsia="Times New Roman" w:hAnsi="Times New Roman" w:cs="Times New Roman"/>
          <w:sz w:val="24"/>
          <w:szCs w:val="24"/>
          <w:lang w:eastAsia="lv-LV"/>
        </w:rPr>
      </w:pPr>
    </w:p>
    <w:p w14:paraId="31DA6B8B" w14:textId="77777777" w:rsidR="00731493" w:rsidRPr="00FB46EB" w:rsidRDefault="00731493" w:rsidP="0073149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52" w:type="pct"/>
        <w:tblCellSpacing w:w="20" w:type="dxa"/>
        <w:tblInd w:w="-1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55"/>
        <w:gridCol w:w="3440"/>
        <w:gridCol w:w="5428"/>
      </w:tblGrid>
      <w:tr w:rsidR="00152C21" w:rsidRPr="0013168C" w14:paraId="55B7F1CE" w14:textId="77777777" w:rsidTr="00B52256">
        <w:trPr>
          <w:trHeight w:val="444"/>
          <w:tblCellSpacing w:w="20" w:type="dxa"/>
        </w:trPr>
        <w:tc>
          <w:tcPr>
            <w:tcW w:w="4956" w:type="pct"/>
            <w:gridSpan w:val="3"/>
            <w:vAlign w:val="center"/>
            <w:hideMark/>
          </w:tcPr>
          <w:p w14:paraId="7FE029FE" w14:textId="77777777" w:rsidR="00894C55" w:rsidRPr="00FB46EB" w:rsidRDefault="00B32BBE" w:rsidP="00731493">
            <w:pPr>
              <w:spacing w:after="0" w:line="240" w:lineRule="auto"/>
              <w:jc w:val="center"/>
              <w:rPr>
                <w:rFonts w:ascii="Times New Roman" w:eastAsia="Times New Roman" w:hAnsi="Times New Roman" w:cs="Times New Roman"/>
                <w:b/>
                <w:bCs/>
                <w:sz w:val="24"/>
                <w:szCs w:val="24"/>
                <w:lang w:eastAsia="lv-LV"/>
              </w:rPr>
            </w:pPr>
            <w:r w:rsidRPr="00FB46EB">
              <w:rPr>
                <w:rFonts w:ascii="Times New Roman" w:eastAsia="Times New Roman" w:hAnsi="Times New Roman" w:cs="Times New Roman"/>
                <w:b/>
                <w:bCs/>
                <w:sz w:val="24"/>
                <w:szCs w:val="24"/>
                <w:lang w:eastAsia="lv-LV"/>
              </w:rPr>
              <w:t>II.</w:t>
            </w:r>
            <w:r w:rsidR="0050178F" w:rsidRPr="00FB46EB">
              <w:rPr>
                <w:rFonts w:ascii="Times New Roman" w:eastAsia="Times New Roman" w:hAnsi="Times New Roman" w:cs="Times New Roman"/>
                <w:b/>
                <w:bCs/>
                <w:sz w:val="24"/>
                <w:szCs w:val="24"/>
                <w:lang w:eastAsia="lv-LV"/>
              </w:rPr>
              <w:t> </w:t>
            </w:r>
            <w:r w:rsidRPr="00FB46E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52C21" w:rsidRPr="0013168C" w14:paraId="558AAF46" w14:textId="77777777" w:rsidTr="00B52256">
        <w:trPr>
          <w:trHeight w:val="372"/>
          <w:tblCellSpacing w:w="20" w:type="dxa"/>
        </w:trPr>
        <w:tc>
          <w:tcPr>
            <w:tcW w:w="412" w:type="pct"/>
            <w:hideMark/>
          </w:tcPr>
          <w:p w14:paraId="0CC4417C" w14:textId="77777777" w:rsidR="00894C55" w:rsidRPr="00FB46EB" w:rsidRDefault="00B32BBE"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1.</w:t>
            </w:r>
          </w:p>
        </w:tc>
        <w:tc>
          <w:tcPr>
            <w:tcW w:w="1762" w:type="pct"/>
            <w:hideMark/>
          </w:tcPr>
          <w:p w14:paraId="6010D6C3"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Sabiedrības mērķgrupas, kuras tiesiskais regulējums ietekmē vai varētu ietekmēt</w:t>
            </w:r>
          </w:p>
        </w:tc>
        <w:tc>
          <w:tcPr>
            <w:tcW w:w="2738" w:type="pct"/>
            <w:hideMark/>
          </w:tcPr>
          <w:p w14:paraId="010BD0D5" w14:textId="6ADD5E5C" w:rsidR="00211D97" w:rsidRPr="00FB46EB" w:rsidRDefault="00211D97" w:rsidP="00731493">
            <w:pPr>
              <w:tabs>
                <w:tab w:val="left" w:pos="883"/>
              </w:tabs>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 xml:space="preserve">Ar programmas jomu saistītās valsts institūcijas, pašvaldības, izglītības organizācijas, </w:t>
            </w:r>
            <w:r w:rsidR="00C51E7F" w:rsidRPr="00FB46EB">
              <w:rPr>
                <w:rFonts w:ascii="Times New Roman" w:eastAsia="Times New Roman" w:hAnsi="Times New Roman" w:cs="Times New Roman"/>
                <w:sz w:val="24"/>
                <w:szCs w:val="24"/>
                <w:lang w:eastAsia="lv-LV"/>
              </w:rPr>
              <w:t>biedrības un nodibinājumi</w:t>
            </w:r>
            <w:r w:rsidRPr="00FB46EB">
              <w:rPr>
                <w:rFonts w:ascii="Times New Roman" w:eastAsia="Times New Roman" w:hAnsi="Times New Roman" w:cs="Times New Roman"/>
                <w:sz w:val="24"/>
                <w:szCs w:val="24"/>
                <w:lang w:eastAsia="lv-LV"/>
              </w:rPr>
              <w:t>, projektu iesniedzēji un projektu īstenotāji. To konkrēts skaits nav zināms.</w:t>
            </w:r>
          </w:p>
          <w:p w14:paraId="3D5734A0" w14:textId="57854A68" w:rsidR="00832397" w:rsidRPr="00FB46EB" w:rsidRDefault="00211D97"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 xml:space="preserve">Programmā atbalstāmās </w:t>
            </w:r>
            <w:r w:rsidR="00691708" w:rsidRPr="00FB46EB">
              <w:rPr>
                <w:rFonts w:ascii="Times New Roman" w:eastAsia="Times New Roman" w:hAnsi="Times New Roman" w:cs="Times New Roman"/>
                <w:sz w:val="24"/>
                <w:szCs w:val="24"/>
                <w:lang w:eastAsia="lv-LV"/>
              </w:rPr>
              <w:t xml:space="preserve">kultūras jomas </w:t>
            </w:r>
            <w:r w:rsidRPr="00FB46EB">
              <w:rPr>
                <w:rFonts w:ascii="Times New Roman" w:eastAsia="Times New Roman" w:hAnsi="Times New Roman" w:cs="Times New Roman"/>
                <w:sz w:val="24"/>
                <w:szCs w:val="24"/>
                <w:lang w:eastAsia="lv-LV"/>
              </w:rPr>
              <w:t>aktivitātes ievies</w:t>
            </w:r>
            <w:r w:rsidR="00C51E7F" w:rsidRPr="00FB46EB">
              <w:rPr>
                <w:rFonts w:ascii="Times New Roman" w:eastAsia="Times New Roman" w:hAnsi="Times New Roman" w:cs="Times New Roman"/>
                <w:sz w:val="24"/>
                <w:szCs w:val="24"/>
                <w:lang w:eastAsia="lv-LV"/>
              </w:rPr>
              <w:t>īs</w:t>
            </w:r>
            <w:r w:rsidRPr="00FB46EB">
              <w:rPr>
                <w:rFonts w:ascii="Times New Roman" w:eastAsia="Times New Roman" w:hAnsi="Times New Roman" w:cs="Times New Roman"/>
                <w:sz w:val="24"/>
                <w:szCs w:val="24"/>
                <w:lang w:eastAsia="lv-LV"/>
              </w:rPr>
              <w:t xml:space="preserve"> visā Latvijā</w:t>
            </w:r>
            <w:r w:rsidR="003F230E" w:rsidRPr="00FB46EB">
              <w:rPr>
                <w:rFonts w:ascii="Times New Roman" w:eastAsia="Times New Roman" w:hAnsi="Times New Roman" w:cs="Times New Roman"/>
                <w:sz w:val="24"/>
                <w:szCs w:val="24"/>
                <w:lang w:eastAsia="lv-LV"/>
              </w:rPr>
              <w:t>,</w:t>
            </w:r>
            <w:r w:rsidR="00691708" w:rsidRPr="00FB46EB">
              <w:rPr>
                <w:rFonts w:ascii="Times New Roman" w:eastAsia="Times New Roman" w:hAnsi="Times New Roman" w:cs="Times New Roman"/>
                <w:sz w:val="24"/>
                <w:szCs w:val="24"/>
                <w:lang w:eastAsia="lv-LV"/>
              </w:rPr>
              <w:t xml:space="preserve"> un tās</w:t>
            </w:r>
            <w:r w:rsidRPr="00FB46EB">
              <w:rPr>
                <w:rFonts w:ascii="Times New Roman" w:eastAsia="Times New Roman" w:hAnsi="Times New Roman" w:cs="Times New Roman"/>
                <w:sz w:val="24"/>
                <w:szCs w:val="24"/>
                <w:lang w:eastAsia="lv-LV"/>
              </w:rPr>
              <w:t xml:space="preserve"> ir aktuālas visā valstī kopumā.</w:t>
            </w:r>
          </w:p>
        </w:tc>
      </w:tr>
      <w:tr w:rsidR="00152C21" w:rsidRPr="0013168C" w14:paraId="22E19A23" w14:textId="77777777" w:rsidTr="00B52256">
        <w:trPr>
          <w:trHeight w:val="408"/>
          <w:tblCellSpacing w:w="20" w:type="dxa"/>
        </w:trPr>
        <w:tc>
          <w:tcPr>
            <w:tcW w:w="412" w:type="pct"/>
            <w:hideMark/>
          </w:tcPr>
          <w:p w14:paraId="4472EADE" w14:textId="77777777" w:rsidR="00894C55" w:rsidRPr="00FB46EB" w:rsidRDefault="00B32BBE"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2.</w:t>
            </w:r>
          </w:p>
        </w:tc>
        <w:tc>
          <w:tcPr>
            <w:tcW w:w="1762" w:type="pct"/>
            <w:hideMark/>
          </w:tcPr>
          <w:p w14:paraId="07A929B5"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Tiesiskā regulējuma ietekme uz tautsaimniecību un administratīvo slogu</w:t>
            </w:r>
          </w:p>
        </w:tc>
        <w:tc>
          <w:tcPr>
            <w:tcW w:w="2738" w:type="pct"/>
            <w:hideMark/>
          </w:tcPr>
          <w:p w14:paraId="60B33891" w14:textId="300F63F3" w:rsidR="00CD5244" w:rsidRPr="00FB46EB" w:rsidRDefault="00CD5244" w:rsidP="00731493">
            <w:pPr>
              <w:spacing w:after="0" w:line="240" w:lineRule="auto"/>
              <w:jc w:val="both"/>
              <w:rPr>
                <w:rFonts w:ascii="Times New Roman" w:hAnsi="Times New Roman" w:cs="Times New Roman"/>
                <w:i/>
                <w:sz w:val="24"/>
                <w:szCs w:val="24"/>
              </w:rPr>
            </w:pPr>
            <w:r w:rsidRPr="00FB46EB">
              <w:rPr>
                <w:rFonts w:ascii="Times New Roman" w:eastAsia="Times New Roman" w:hAnsi="Times New Roman" w:cs="Times New Roman"/>
                <w:sz w:val="24"/>
                <w:szCs w:val="24"/>
                <w:lang w:eastAsia="lv-LV"/>
              </w:rPr>
              <w:t>Kopējais atklātajā konkursā pieejamais programmas līdzfinansējums ir 3 192</w:t>
            </w:r>
            <w:r w:rsidR="00C61807" w:rsidRPr="00FB46EB">
              <w:rPr>
                <w:rFonts w:ascii="Times New Roman" w:eastAsia="Times New Roman" w:hAnsi="Times New Roman" w:cs="Times New Roman"/>
                <w:sz w:val="24"/>
                <w:szCs w:val="24"/>
                <w:lang w:eastAsia="lv-LV"/>
              </w:rPr>
              <w:t> </w:t>
            </w:r>
            <w:r w:rsidR="003E12A3" w:rsidRPr="00A01E0A">
              <w:rPr>
                <w:rFonts w:ascii="Times New Roman" w:eastAsia="Times New Roman" w:hAnsi="Times New Roman" w:cs="Times New Roman"/>
                <w:sz w:val="24"/>
                <w:szCs w:val="24"/>
                <w:lang w:eastAsia="lv-LV"/>
              </w:rPr>
              <w:t>35</w:t>
            </w:r>
            <w:r w:rsidR="00DF2C2D" w:rsidRPr="00A01E0A">
              <w:rPr>
                <w:rFonts w:ascii="Times New Roman" w:eastAsia="Times New Roman" w:hAnsi="Times New Roman" w:cs="Times New Roman"/>
                <w:sz w:val="24"/>
                <w:szCs w:val="24"/>
                <w:lang w:eastAsia="lv-LV"/>
              </w:rPr>
              <w:t>3</w:t>
            </w:r>
            <w:r w:rsidR="003E12A3" w:rsidRPr="00FB46EB">
              <w:rPr>
                <w:rFonts w:ascii="Times New Roman" w:eastAsia="Times New Roman" w:hAnsi="Times New Roman" w:cs="Times New Roman"/>
                <w:sz w:val="24"/>
                <w:szCs w:val="24"/>
                <w:lang w:eastAsia="lv-LV"/>
              </w:rPr>
              <w:t>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 ko veido Latvijas valsts budžeta līdzfinansējums</w:t>
            </w:r>
            <w:r w:rsidR="006D133C" w:rsidRPr="00FB46EB">
              <w:rPr>
                <w:rFonts w:ascii="Times New Roman" w:eastAsia="Times New Roman" w:hAnsi="Times New Roman" w:cs="Times New Roman"/>
                <w:sz w:val="24"/>
                <w:szCs w:val="24"/>
                <w:lang w:eastAsia="lv-LV"/>
              </w:rPr>
              <w:t xml:space="preserve"> (nacionālais programmas līdzfinansējums)</w:t>
            </w:r>
            <w:r w:rsidR="006D133C" w:rsidRPr="00FB46EB">
              <w:rPr>
                <w:sz w:val="24"/>
                <w:szCs w:val="24"/>
              </w:rPr>
              <w:t xml:space="preserve"> </w:t>
            </w:r>
            <w:r w:rsidRPr="00FB46EB">
              <w:rPr>
                <w:rFonts w:ascii="Times New Roman" w:eastAsia="Times New Roman" w:hAnsi="Times New Roman" w:cs="Times New Roman"/>
                <w:sz w:val="24"/>
                <w:szCs w:val="24"/>
                <w:lang w:eastAsia="lv-LV"/>
              </w:rPr>
              <w:t xml:space="preserve"> 15 procentu apmērā </w:t>
            </w:r>
            <w:r w:rsidR="00530062" w:rsidRPr="00FB46EB">
              <w:rPr>
                <w:rFonts w:ascii="Times New Roman" w:eastAsia="Times New Roman" w:hAnsi="Times New Roman" w:cs="Times New Roman"/>
                <w:sz w:val="24"/>
                <w:szCs w:val="24"/>
                <w:lang w:eastAsia="lv-LV"/>
              </w:rPr>
              <w:t xml:space="preserve"> </w:t>
            </w:r>
            <w:r w:rsidRPr="00FB46EB">
              <w:rPr>
                <w:rFonts w:ascii="Times New Roman" w:eastAsia="Times New Roman" w:hAnsi="Times New Roman" w:cs="Times New Roman"/>
                <w:sz w:val="24"/>
                <w:szCs w:val="24"/>
                <w:lang w:eastAsia="lv-LV"/>
              </w:rPr>
              <w:t xml:space="preserve">– </w:t>
            </w:r>
            <w:r w:rsidR="005A0602" w:rsidRPr="00FB46EB">
              <w:rPr>
                <w:rFonts w:ascii="Times New Roman" w:hAnsi="Times New Roman" w:cs="Times New Roman"/>
                <w:sz w:val="24"/>
                <w:szCs w:val="24"/>
              </w:rPr>
              <w:lastRenderedPageBreak/>
              <w:t>478 853 </w:t>
            </w:r>
            <w:r w:rsidRPr="00FB46EB">
              <w:rPr>
                <w:rFonts w:ascii="Times New Roman" w:eastAsia="Times New Roman" w:hAnsi="Times New Roman" w:cs="Times New Roman"/>
                <w:i/>
                <w:iCs/>
                <w:sz w:val="24"/>
                <w:szCs w:val="24"/>
                <w:lang w:eastAsia="lv-LV"/>
              </w:rPr>
              <w:t>euro</w:t>
            </w:r>
            <w:r w:rsidR="006D4AA2">
              <w:rPr>
                <w:rFonts w:ascii="Times New Roman" w:eastAsia="Times New Roman" w:hAnsi="Times New Roman" w:cs="Times New Roman"/>
                <w:i/>
                <w:iCs/>
                <w:sz w:val="24"/>
                <w:szCs w:val="24"/>
                <w:lang w:eastAsia="lv-LV"/>
              </w:rPr>
              <w:t>,</w:t>
            </w:r>
            <w:r w:rsidRPr="00FB46EB">
              <w:rPr>
                <w:rFonts w:ascii="Times New Roman" w:eastAsia="Times New Roman" w:hAnsi="Times New Roman" w:cs="Times New Roman"/>
                <w:sz w:val="24"/>
                <w:szCs w:val="24"/>
                <w:lang w:eastAsia="lv-LV"/>
              </w:rPr>
              <w:t xml:space="preserve"> un </w:t>
            </w:r>
            <w:r w:rsidR="00C51E7F" w:rsidRPr="00FB46EB">
              <w:rPr>
                <w:rFonts w:ascii="Times New Roman" w:eastAsia="Times New Roman" w:hAnsi="Times New Roman" w:cs="Times New Roman"/>
                <w:sz w:val="24"/>
                <w:szCs w:val="24"/>
                <w:lang w:eastAsia="lv-LV"/>
              </w:rPr>
              <w:t>Eiropas Ekonomi</w:t>
            </w:r>
            <w:r w:rsidR="00691708" w:rsidRPr="00FB46EB">
              <w:rPr>
                <w:rFonts w:ascii="Times New Roman" w:eastAsia="Times New Roman" w:hAnsi="Times New Roman" w:cs="Times New Roman"/>
                <w:sz w:val="24"/>
                <w:szCs w:val="24"/>
                <w:lang w:eastAsia="lv-LV"/>
              </w:rPr>
              <w:t>k</w:t>
            </w:r>
            <w:r w:rsidR="00C51E7F" w:rsidRPr="00FB46EB">
              <w:rPr>
                <w:rFonts w:ascii="Times New Roman" w:eastAsia="Times New Roman" w:hAnsi="Times New Roman" w:cs="Times New Roman"/>
                <w:sz w:val="24"/>
                <w:szCs w:val="24"/>
                <w:lang w:eastAsia="lv-LV"/>
              </w:rPr>
              <w:t xml:space="preserve">as zonas </w:t>
            </w:r>
            <w:r w:rsidRPr="00FB46EB">
              <w:rPr>
                <w:rFonts w:ascii="Times New Roman" w:eastAsia="Times New Roman" w:hAnsi="Times New Roman" w:cs="Times New Roman"/>
                <w:sz w:val="24"/>
                <w:szCs w:val="24"/>
                <w:lang w:eastAsia="lv-LV"/>
              </w:rPr>
              <w:t xml:space="preserve">finanšu instrumenta līdzfinansējums 85 procentu apmērā – </w:t>
            </w:r>
            <w:r w:rsidR="005A0602" w:rsidRPr="00FB46EB">
              <w:rPr>
                <w:rFonts w:ascii="Times New Roman" w:hAnsi="Times New Roman" w:cs="Times New Roman"/>
                <w:sz w:val="24"/>
                <w:szCs w:val="24"/>
              </w:rPr>
              <w:t>2 713 </w:t>
            </w:r>
            <w:r w:rsidR="00DF2C2D" w:rsidRPr="00A01E0A">
              <w:rPr>
                <w:rFonts w:ascii="Times New Roman" w:hAnsi="Times New Roman" w:cs="Times New Roman"/>
                <w:sz w:val="24"/>
                <w:szCs w:val="24"/>
              </w:rPr>
              <w:t>500</w:t>
            </w:r>
            <w:r w:rsidR="00DF2C2D" w:rsidRPr="00FB46EB">
              <w:rPr>
                <w:rFonts w:ascii="Times New Roman" w:hAnsi="Times New Roman" w:cs="Times New Roman"/>
                <w:sz w:val="24"/>
                <w:szCs w:val="24"/>
              </w:rPr>
              <w:t>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w:t>
            </w:r>
            <w:r w:rsidRPr="00FB46EB">
              <w:rPr>
                <w:rFonts w:ascii="Times New Roman" w:hAnsi="Times New Roman" w:cs="Times New Roman"/>
                <w:i/>
                <w:sz w:val="24"/>
                <w:szCs w:val="24"/>
              </w:rPr>
              <w:t xml:space="preserve"> </w:t>
            </w:r>
            <w:r w:rsidR="00211D97" w:rsidRPr="00FB46EB">
              <w:rPr>
                <w:rFonts w:ascii="Times New Roman" w:eastAsia="Times New Roman" w:hAnsi="Times New Roman" w:cs="Times New Roman"/>
                <w:sz w:val="24"/>
                <w:szCs w:val="24"/>
                <w:lang w:eastAsia="lv-LV"/>
              </w:rPr>
              <w:t xml:space="preserve">Projektu īstenošana </w:t>
            </w:r>
            <w:r w:rsidR="00C51E7F" w:rsidRPr="00FB46EB">
              <w:rPr>
                <w:rFonts w:ascii="Times New Roman" w:eastAsia="Times New Roman" w:hAnsi="Times New Roman" w:cs="Times New Roman"/>
                <w:sz w:val="24"/>
                <w:szCs w:val="24"/>
                <w:lang w:eastAsia="lv-LV"/>
              </w:rPr>
              <w:t>plānota</w:t>
            </w:r>
            <w:r w:rsidR="00211D97" w:rsidRPr="00FB46EB">
              <w:rPr>
                <w:rFonts w:ascii="Times New Roman" w:eastAsia="Times New Roman" w:hAnsi="Times New Roman" w:cs="Times New Roman"/>
                <w:sz w:val="24"/>
                <w:szCs w:val="24"/>
                <w:lang w:eastAsia="lv-LV"/>
              </w:rPr>
              <w:t xml:space="preserve"> līdz 2024.gada 30.aprīlim, tiesiskais regulējums pozitīvi ietekmēs tautsaimniecību kopumā, t</w:t>
            </w:r>
            <w:r w:rsidR="00C51E7F" w:rsidRPr="00FB46EB">
              <w:rPr>
                <w:rFonts w:ascii="Times New Roman" w:eastAsia="Times New Roman" w:hAnsi="Times New Roman" w:cs="Times New Roman"/>
                <w:sz w:val="24"/>
                <w:szCs w:val="24"/>
                <w:lang w:eastAsia="lv-LV"/>
              </w:rPr>
              <w:t xml:space="preserve">ai </w:t>
            </w:r>
            <w:r w:rsidR="00B52256" w:rsidRPr="00FB46EB">
              <w:rPr>
                <w:rFonts w:ascii="Times New Roman" w:eastAsia="Times New Roman" w:hAnsi="Times New Roman" w:cs="Times New Roman"/>
                <w:sz w:val="24"/>
                <w:szCs w:val="24"/>
                <w:lang w:eastAsia="lv-LV"/>
              </w:rPr>
              <w:t>s</w:t>
            </w:r>
            <w:r w:rsidR="00C51E7F" w:rsidRPr="00FB46EB">
              <w:rPr>
                <w:rFonts w:ascii="Times New Roman" w:eastAsia="Times New Roman" w:hAnsi="Times New Roman" w:cs="Times New Roman"/>
                <w:sz w:val="24"/>
                <w:szCs w:val="24"/>
                <w:lang w:eastAsia="lv-LV"/>
              </w:rPr>
              <w:t>kaitā</w:t>
            </w:r>
            <w:r w:rsidR="00211D97" w:rsidRPr="00FB46EB">
              <w:rPr>
                <w:rFonts w:ascii="Times New Roman" w:eastAsia="Times New Roman" w:hAnsi="Times New Roman" w:cs="Times New Roman"/>
                <w:sz w:val="24"/>
                <w:szCs w:val="24"/>
                <w:lang w:eastAsia="lv-LV"/>
              </w:rPr>
              <w:t xml:space="preserve"> tādas jomas kā </w:t>
            </w:r>
            <w:r w:rsidRPr="00FB46EB">
              <w:rPr>
                <w:rFonts w:ascii="Times New Roman" w:eastAsia="Times New Roman" w:hAnsi="Times New Roman" w:cs="Times New Roman"/>
                <w:sz w:val="24"/>
                <w:szCs w:val="24"/>
                <w:lang w:eastAsia="lv-LV"/>
              </w:rPr>
              <w:t>kultūras sadarbība un</w:t>
            </w:r>
            <w:r w:rsidR="00D832B9">
              <w:rPr>
                <w:rFonts w:ascii="Times New Roman" w:eastAsia="Times New Roman" w:hAnsi="Times New Roman" w:cs="Times New Roman"/>
                <w:sz w:val="24"/>
                <w:szCs w:val="24"/>
                <w:lang w:eastAsia="lv-LV"/>
              </w:rPr>
              <w:t xml:space="preserve"> kultūras</w:t>
            </w:r>
            <w:r w:rsidRPr="00FB46EB">
              <w:rPr>
                <w:rFonts w:ascii="Times New Roman" w:eastAsia="Times New Roman" w:hAnsi="Times New Roman" w:cs="Times New Roman"/>
                <w:sz w:val="24"/>
                <w:szCs w:val="24"/>
                <w:lang w:eastAsia="lv-LV"/>
              </w:rPr>
              <w:t xml:space="preserve"> pieejamība</w:t>
            </w:r>
            <w:r w:rsidR="00211D97" w:rsidRPr="00FB46EB">
              <w:rPr>
                <w:rFonts w:ascii="Times New Roman" w:eastAsia="Times New Roman" w:hAnsi="Times New Roman" w:cs="Times New Roman"/>
                <w:sz w:val="24"/>
                <w:szCs w:val="24"/>
                <w:lang w:eastAsia="lv-LV"/>
              </w:rPr>
              <w:t xml:space="preserve">.  </w:t>
            </w:r>
          </w:p>
          <w:p w14:paraId="568E0EFB" w14:textId="6FB41735" w:rsidR="00B84CFB" w:rsidRPr="00FB46EB" w:rsidRDefault="00B32BBE"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w:t>
            </w:r>
            <w:r w:rsidR="006F408F" w:rsidRPr="00FB46EB">
              <w:rPr>
                <w:rFonts w:ascii="Times New Roman" w:eastAsia="Times New Roman" w:hAnsi="Times New Roman" w:cs="Times New Roman"/>
                <w:sz w:val="24"/>
                <w:szCs w:val="24"/>
                <w:lang w:eastAsia="lv-LV"/>
              </w:rPr>
              <w:t>s</w:t>
            </w:r>
            <w:r w:rsidR="00C51E7F" w:rsidRPr="00FB46EB">
              <w:rPr>
                <w:rFonts w:ascii="Times New Roman" w:eastAsia="Times New Roman" w:hAnsi="Times New Roman" w:cs="Times New Roman"/>
                <w:sz w:val="24"/>
                <w:szCs w:val="24"/>
                <w:lang w:eastAsia="lv-LV"/>
              </w:rPr>
              <w:t xml:space="preserve"> un a</w:t>
            </w:r>
            <w:r w:rsidRPr="00FB46EB">
              <w:rPr>
                <w:rFonts w:ascii="Times New Roman" w:eastAsia="Times New Roman" w:hAnsi="Times New Roman" w:cs="Times New Roman"/>
                <w:sz w:val="24"/>
                <w:szCs w:val="24"/>
                <w:lang w:eastAsia="lv-LV"/>
              </w:rPr>
              <w:t>dministratīvais slogs nemainās.</w:t>
            </w:r>
          </w:p>
        </w:tc>
      </w:tr>
      <w:tr w:rsidR="00152C21" w:rsidRPr="0013168C" w14:paraId="15E91440" w14:textId="77777777" w:rsidTr="00B52256">
        <w:trPr>
          <w:trHeight w:val="408"/>
          <w:tblCellSpacing w:w="20" w:type="dxa"/>
        </w:trPr>
        <w:tc>
          <w:tcPr>
            <w:tcW w:w="412" w:type="pct"/>
            <w:hideMark/>
          </w:tcPr>
          <w:p w14:paraId="43E2FA38" w14:textId="77777777" w:rsidR="00894C55" w:rsidRPr="00FB46EB" w:rsidRDefault="00B32BBE" w:rsidP="00731493">
            <w:pPr>
              <w:spacing w:after="0" w:line="240" w:lineRule="auto"/>
              <w:jc w:val="center"/>
              <w:rPr>
                <w:rFonts w:ascii="Times New Roman" w:eastAsia="Times New Roman" w:hAnsi="Times New Roman" w:cs="Times New Roman"/>
                <w:sz w:val="24"/>
                <w:szCs w:val="24"/>
                <w:lang w:eastAsia="lv-LV"/>
              </w:rPr>
            </w:pPr>
            <w:bookmarkStart w:id="6" w:name="_Hlk40087601"/>
            <w:r w:rsidRPr="00FB46EB">
              <w:rPr>
                <w:rFonts w:ascii="Times New Roman" w:eastAsia="Times New Roman" w:hAnsi="Times New Roman" w:cs="Times New Roman"/>
                <w:sz w:val="24"/>
                <w:szCs w:val="24"/>
                <w:lang w:eastAsia="lv-LV"/>
              </w:rPr>
              <w:lastRenderedPageBreak/>
              <w:t>3.</w:t>
            </w:r>
          </w:p>
        </w:tc>
        <w:tc>
          <w:tcPr>
            <w:tcW w:w="1762" w:type="pct"/>
            <w:hideMark/>
          </w:tcPr>
          <w:p w14:paraId="75A61773"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Administratīvo izmaksu monetārs novērtējums</w:t>
            </w:r>
          </w:p>
        </w:tc>
        <w:tc>
          <w:tcPr>
            <w:tcW w:w="2738" w:type="pct"/>
            <w:hideMark/>
          </w:tcPr>
          <w:p w14:paraId="7FDE8033" w14:textId="7EB22B9F" w:rsidR="00F710BC" w:rsidRPr="00FB46EB" w:rsidRDefault="003F230E"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Noteikumu projekts</w:t>
            </w:r>
            <w:r w:rsidRPr="00FB46EB">
              <w:rPr>
                <w:rFonts w:ascii="Times New Roman" w:hAnsi="Times New Roman" w:cs="Times New Roman"/>
                <w:sz w:val="24"/>
                <w:szCs w:val="24"/>
              </w:rPr>
              <w:t xml:space="preserve"> šo jomu neskar</w:t>
            </w:r>
            <w:r w:rsidR="00C61807" w:rsidRPr="00FB46EB">
              <w:rPr>
                <w:rFonts w:ascii="Times New Roman" w:eastAsia="Times New Roman" w:hAnsi="Times New Roman" w:cs="Times New Roman"/>
                <w:sz w:val="24"/>
                <w:szCs w:val="24"/>
                <w:lang w:eastAsia="lv-LV"/>
              </w:rPr>
              <w:t>.</w:t>
            </w:r>
          </w:p>
        </w:tc>
      </w:tr>
      <w:bookmarkEnd w:id="6"/>
      <w:tr w:rsidR="00152C21" w:rsidRPr="0013168C" w14:paraId="1F65C377" w14:textId="77777777" w:rsidTr="00B52256">
        <w:trPr>
          <w:trHeight w:val="408"/>
          <w:tblCellSpacing w:w="20" w:type="dxa"/>
        </w:trPr>
        <w:tc>
          <w:tcPr>
            <w:tcW w:w="412" w:type="pct"/>
          </w:tcPr>
          <w:p w14:paraId="29BA8822" w14:textId="77777777" w:rsidR="00462A8F" w:rsidRPr="00FB46EB" w:rsidRDefault="00B32BBE"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4.</w:t>
            </w:r>
          </w:p>
        </w:tc>
        <w:tc>
          <w:tcPr>
            <w:tcW w:w="1762" w:type="pct"/>
          </w:tcPr>
          <w:p w14:paraId="7405529F" w14:textId="77777777" w:rsidR="00462A8F"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Atbilstības izmaksu monetārs novērtējums</w:t>
            </w:r>
          </w:p>
        </w:tc>
        <w:tc>
          <w:tcPr>
            <w:tcW w:w="2738" w:type="pct"/>
          </w:tcPr>
          <w:p w14:paraId="0B3F888A" w14:textId="0D5861BD" w:rsidR="00462A8F" w:rsidRPr="00FB46EB" w:rsidRDefault="003F230E" w:rsidP="00731493">
            <w:pPr>
              <w:pStyle w:val="CommentText"/>
              <w:spacing w:after="0"/>
              <w:rPr>
                <w:rFonts w:ascii="Times New Roman" w:hAnsi="Times New Roman" w:cs="Times New Roman"/>
                <w:sz w:val="24"/>
                <w:szCs w:val="24"/>
              </w:rPr>
            </w:pPr>
            <w:r w:rsidRPr="00FB46EB">
              <w:rPr>
                <w:rFonts w:ascii="Times New Roman" w:eastAsia="Times New Roman" w:hAnsi="Times New Roman" w:cs="Times New Roman"/>
                <w:sz w:val="24"/>
                <w:szCs w:val="24"/>
                <w:lang w:eastAsia="lv-LV"/>
              </w:rPr>
              <w:t>Noteikumu projekts</w:t>
            </w:r>
            <w:r w:rsidR="00B32BBE" w:rsidRPr="00FB46EB">
              <w:rPr>
                <w:rFonts w:ascii="Times New Roman" w:hAnsi="Times New Roman" w:cs="Times New Roman"/>
                <w:sz w:val="24"/>
                <w:szCs w:val="24"/>
              </w:rPr>
              <w:t xml:space="preserve"> šo jomu neskar</w:t>
            </w:r>
            <w:r w:rsidR="00B32BBE" w:rsidRPr="00FB46EB">
              <w:rPr>
                <w:rFonts w:ascii="Times New Roman" w:eastAsiaTheme="minorEastAsia" w:hAnsi="Times New Roman" w:cs="Times New Roman"/>
                <w:sz w:val="24"/>
                <w:szCs w:val="24"/>
                <w:lang w:eastAsia="lv-LV"/>
              </w:rPr>
              <w:t>.</w:t>
            </w:r>
          </w:p>
        </w:tc>
      </w:tr>
      <w:tr w:rsidR="00152C21" w:rsidRPr="0013168C" w14:paraId="3886AECD" w14:textId="77777777" w:rsidTr="00B52256">
        <w:trPr>
          <w:trHeight w:val="276"/>
          <w:tblCellSpacing w:w="20" w:type="dxa"/>
        </w:trPr>
        <w:tc>
          <w:tcPr>
            <w:tcW w:w="412" w:type="pct"/>
            <w:hideMark/>
          </w:tcPr>
          <w:p w14:paraId="1E0881F3" w14:textId="77777777" w:rsidR="00894C55" w:rsidRPr="00FB46EB" w:rsidRDefault="00B32BBE"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5.</w:t>
            </w:r>
          </w:p>
        </w:tc>
        <w:tc>
          <w:tcPr>
            <w:tcW w:w="1762" w:type="pct"/>
            <w:hideMark/>
          </w:tcPr>
          <w:p w14:paraId="476E1953"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 informācija</w:t>
            </w:r>
          </w:p>
        </w:tc>
        <w:tc>
          <w:tcPr>
            <w:tcW w:w="2738" w:type="pct"/>
            <w:hideMark/>
          </w:tcPr>
          <w:p w14:paraId="65CE5B05" w14:textId="12927472"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Nav</w:t>
            </w:r>
          </w:p>
        </w:tc>
      </w:tr>
    </w:tbl>
    <w:p w14:paraId="21ECBC1A" w14:textId="77777777" w:rsidR="00894C55" w:rsidRPr="00FB46EB" w:rsidRDefault="00894C55" w:rsidP="00731493">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516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102"/>
        <w:gridCol w:w="1054"/>
        <w:gridCol w:w="1205"/>
        <w:gridCol w:w="884"/>
        <w:gridCol w:w="1175"/>
        <w:gridCol w:w="900"/>
        <w:gridCol w:w="1261"/>
        <w:gridCol w:w="1354"/>
      </w:tblGrid>
      <w:tr w:rsidR="00152C21" w:rsidRPr="0013168C" w14:paraId="3CA4941D" w14:textId="77777777" w:rsidTr="00731493">
        <w:trPr>
          <w:tblCellSpacing w:w="20" w:type="dxa"/>
          <w:jc w:val="center"/>
        </w:trPr>
        <w:tc>
          <w:tcPr>
            <w:tcW w:w="9855" w:type="dxa"/>
            <w:gridSpan w:val="8"/>
            <w:hideMark/>
          </w:tcPr>
          <w:p w14:paraId="157B7783" w14:textId="77777777" w:rsidR="00462A8F" w:rsidRPr="00FB46EB" w:rsidRDefault="00B32BBE" w:rsidP="00731493">
            <w:pPr>
              <w:jc w:val="center"/>
              <w:rPr>
                <w:rFonts w:ascii="Times New Roman" w:eastAsia="Times New Roman" w:hAnsi="Times New Roman" w:cs="Times New Roman"/>
                <w:b/>
                <w:bCs/>
                <w:iCs/>
                <w:sz w:val="24"/>
                <w:szCs w:val="24"/>
                <w:highlight w:val="yellow"/>
                <w:lang w:eastAsia="lv-LV"/>
              </w:rPr>
            </w:pPr>
            <w:r w:rsidRPr="00FB46EB">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152C21" w:rsidRPr="0013168C" w14:paraId="61323180" w14:textId="77777777" w:rsidTr="00731493">
        <w:trPr>
          <w:tblCellSpacing w:w="20" w:type="dxa"/>
          <w:jc w:val="center"/>
        </w:trPr>
        <w:tc>
          <w:tcPr>
            <w:tcW w:w="2042" w:type="dxa"/>
            <w:vMerge w:val="restart"/>
            <w:shd w:val="clear" w:color="auto" w:fill="auto"/>
            <w:vAlign w:val="center"/>
            <w:hideMark/>
          </w:tcPr>
          <w:p w14:paraId="10D2E6DE" w14:textId="77777777" w:rsidR="00462A8F" w:rsidRPr="00FB46EB" w:rsidRDefault="00B32BBE"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Rādītāji</w:t>
            </w:r>
          </w:p>
        </w:tc>
        <w:tc>
          <w:tcPr>
            <w:tcW w:w="2219" w:type="dxa"/>
            <w:gridSpan w:val="2"/>
            <w:vMerge w:val="restart"/>
            <w:shd w:val="clear" w:color="auto" w:fill="auto"/>
            <w:vAlign w:val="center"/>
            <w:hideMark/>
          </w:tcPr>
          <w:p w14:paraId="05EF8D52" w14:textId="77777777" w:rsidR="00462A8F" w:rsidRPr="00FB46EB" w:rsidRDefault="004011DD"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20</w:t>
            </w:r>
            <w:r w:rsidR="00941CE8" w:rsidRPr="00FB46EB">
              <w:rPr>
                <w:rFonts w:ascii="Times New Roman" w:eastAsia="Times New Roman" w:hAnsi="Times New Roman" w:cs="Times New Roman"/>
                <w:iCs/>
                <w:sz w:val="24"/>
                <w:szCs w:val="24"/>
                <w:lang w:eastAsia="lv-LV"/>
              </w:rPr>
              <w:t>20</w:t>
            </w:r>
            <w:r w:rsidR="00B32BBE" w:rsidRPr="00FB46EB">
              <w:rPr>
                <w:rFonts w:ascii="Times New Roman" w:eastAsia="Times New Roman" w:hAnsi="Times New Roman" w:cs="Times New Roman"/>
                <w:iCs/>
                <w:sz w:val="24"/>
                <w:szCs w:val="24"/>
                <w:lang w:eastAsia="lv-LV"/>
              </w:rPr>
              <w:t>.gads</w:t>
            </w:r>
          </w:p>
        </w:tc>
        <w:tc>
          <w:tcPr>
            <w:tcW w:w="5514" w:type="dxa"/>
            <w:gridSpan w:val="5"/>
            <w:shd w:val="clear" w:color="auto" w:fill="auto"/>
            <w:hideMark/>
          </w:tcPr>
          <w:p w14:paraId="520D3EE1"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Turpmākie trīs gadi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iCs/>
                <w:sz w:val="24"/>
                <w:szCs w:val="24"/>
                <w:lang w:eastAsia="lv-LV"/>
              </w:rPr>
              <w:t>)</w:t>
            </w:r>
          </w:p>
        </w:tc>
      </w:tr>
      <w:tr w:rsidR="00152C21" w:rsidRPr="0013168C" w14:paraId="66CF4B24" w14:textId="77777777" w:rsidTr="00731493">
        <w:trPr>
          <w:tblCellSpacing w:w="20" w:type="dxa"/>
          <w:jc w:val="center"/>
        </w:trPr>
        <w:tc>
          <w:tcPr>
            <w:tcW w:w="2042" w:type="dxa"/>
            <w:vMerge/>
            <w:shd w:val="clear" w:color="auto" w:fill="auto"/>
            <w:hideMark/>
          </w:tcPr>
          <w:p w14:paraId="5DA1EDB0" w14:textId="77777777" w:rsidR="00462A8F" w:rsidRPr="00575A44" w:rsidRDefault="00462A8F" w:rsidP="00731493">
            <w:pPr>
              <w:rPr>
                <w:rFonts w:ascii="Times New Roman" w:eastAsia="Times New Roman" w:hAnsi="Times New Roman" w:cs="Times New Roman"/>
                <w:iCs/>
                <w:sz w:val="24"/>
                <w:szCs w:val="24"/>
                <w:lang w:eastAsia="lv-LV"/>
              </w:rPr>
            </w:pPr>
          </w:p>
        </w:tc>
        <w:tc>
          <w:tcPr>
            <w:tcW w:w="2219" w:type="dxa"/>
            <w:gridSpan w:val="2"/>
            <w:vMerge/>
            <w:shd w:val="clear" w:color="auto" w:fill="auto"/>
            <w:hideMark/>
          </w:tcPr>
          <w:p w14:paraId="28287240" w14:textId="77777777" w:rsidR="00462A8F" w:rsidRPr="00575A44" w:rsidRDefault="00462A8F" w:rsidP="00731493">
            <w:pPr>
              <w:rPr>
                <w:rFonts w:ascii="Times New Roman" w:eastAsia="Times New Roman" w:hAnsi="Times New Roman" w:cs="Times New Roman"/>
                <w:iCs/>
                <w:sz w:val="24"/>
                <w:szCs w:val="24"/>
                <w:lang w:eastAsia="lv-LV"/>
              </w:rPr>
            </w:pPr>
          </w:p>
        </w:tc>
        <w:tc>
          <w:tcPr>
            <w:tcW w:w="2019" w:type="dxa"/>
            <w:gridSpan w:val="2"/>
            <w:shd w:val="clear" w:color="auto" w:fill="auto"/>
            <w:vAlign w:val="center"/>
            <w:hideMark/>
          </w:tcPr>
          <w:p w14:paraId="32B3B7A6" w14:textId="77777777" w:rsidR="00462A8F" w:rsidRPr="00575A44" w:rsidRDefault="004011DD" w:rsidP="00731493">
            <w:pPr>
              <w:jc w:val="cente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20</w:t>
            </w:r>
            <w:r w:rsidR="00941CE8" w:rsidRPr="00575A44">
              <w:rPr>
                <w:rFonts w:ascii="Times New Roman" w:eastAsia="Times New Roman" w:hAnsi="Times New Roman" w:cs="Times New Roman"/>
                <w:iCs/>
                <w:sz w:val="24"/>
                <w:szCs w:val="24"/>
                <w:lang w:eastAsia="lv-LV"/>
              </w:rPr>
              <w:t>21</w:t>
            </w:r>
            <w:r w:rsidR="00B32BBE" w:rsidRPr="00575A44">
              <w:rPr>
                <w:rFonts w:ascii="Times New Roman" w:eastAsia="Times New Roman" w:hAnsi="Times New Roman" w:cs="Times New Roman"/>
                <w:iCs/>
                <w:sz w:val="24"/>
                <w:szCs w:val="24"/>
                <w:lang w:eastAsia="lv-LV"/>
              </w:rPr>
              <w:t>.</w:t>
            </w:r>
            <w:r w:rsidR="00C51E7F" w:rsidRPr="00575A44">
              <w:rPr>
                <w:rFonts w:ascii="Times New Roman" w:eastAsia="Times New Roman" w:hAnsi="Times New Roman" w:cs="Times New Roman"/>
                <w:iCs/>
                <w:sz w:val="24"/>
                <w:szCs w:val="24"/>
                <w:lang w:eastAsia="lv-LV"/>
              </w:rPr>
              <w:t>gads</w:t>
            </w:r>
          </w:p>
        </w:tc>
        <w:tc>
          <w:tcPr>
            <w:tcW w:w="2121" w:type="dxa"/>
            <w:gridSpan w:val="2"/>
            <w:shd w:val="clear" w:color="auto" w:fill="auto"/>
            <w:vAlign w:val="center"/>
            <w:hideMark/>
          </w:tcPr>
          <w:p w14:paraId="33993033" w14:textId="77777777" w:rsidR="00462A8F" w:rsidRPr="00575A44" w:rsidRDefault="004011DD" w:rsidP="00731493">
            <w:pPr>
              <w:jc w:val="cente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202</w:t>
            </w:r>
            <w:r w:rsidR="00941CE8" w:rsidRPr="00575A44">
              <w:rPr>
                <w:rFonts w:ascii="Times New Roman" w:eastAsia="Times New Roman" w:hAnsi="Times New Roman" w:cs="Times New Roman"/>
                <w:iCs/>
                <w:sz w:val="24"/>
                <w:szCs w:val="24"/>
                <w:lang w:eastAsia="lv-LV"/>
              </w:rPr>
              <w:t>2</w:t>
            </w:r>
            <w:r w:rsidR="00B32BBE" w:rsidRPr="00575A44">
              <w:rPr>
                <w:rFonts w:ascii="Times New Roman" w:eastAsia="Times New Roman" w:hAnsi="Times New Roman" w:cs="Times New Roman"/>
                <w:iCs/>
                <w:sz w:val="24"/>
                <w:szCs w:val="24"/>
                <w:lang w:eastAsia="lv-LV"/>
              </w:rPr>
              <w:t>.</w:t>
            </w:r>
            <w:r w:rsidR="00C51E7F" w:rsidRPr="00575A44">
              <w:rPr>
                <w:rFonts w:ascii="Times New Roman" w:eastAsia="Times New Roman" w:hAnsi="Times New Roman" w:cs="Times New Roman"/>
                <w:iCs/>
                <w:sz w:val="24"/>
                <w:szCs w:val="24"/>
                <w:lang w:eastAsia="lv-LV"/>
              </w:rPr>
              <w:t>gads</w:t>
            </w:r>
          </w:p>
        </w:tc>
        <w:tc>
          <w:tcPr>
            <w:tcW w:w="1294" w:type="dxa"/>
            <w:shd w:val="clear" w:color="auto" w:fill="auto"/>
            <w:hideMark/>
          </w:tcPr>
          <w:p w14:paraId="16DAE6A7" w14:textId="77777777" w:rsidR="00462A8F" w:rsidRPr="00575A44" w:rsidRDefault="004011DD" w:rsidP="00731493">
            <w:pPr>
              <w:jc w:val="cente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202</w:t>
            </w:r>
            <w:r w:rsidR="00941CE8" w:rsidRPr="00575A44">
              <w:rPr>
                <w:rFonts w:ascii="Times New Roman" w:eastAsia="Times New Roman" w:hAnsi="Times New Roman" w:cs="Times New Roman"/>
                <w:iCs/>
                <w:sz w:val="24"/>
                <w:szCs w:val="24"/>
                <w:lang w:eastAsia="lv-LV"/>
              </w:rPr>
              <w:t>3</w:t>
            </w:r>
            <w:r w:rsidR="00B32BBE" w:rsidRPr="00575A44">
              <w:rPr>
                <w:rFonts w:ascii="Times New Roman" w:eastAsia="Times New Roman" w:hAnsi="Times New Roman" w:cs="Times New Roman"/>
                <w:iCs/>
                <w:sz w:val="24"/>
                <w:szCs w:val="24"/>
                <w:lang w:eastAsia="lv-LV"/>
              </w:rPr>
              <w:t>.</w:t>
            </w:r>
            <w:r w:rsidR="00C51E7F" w:rsidRPr="00575A44">
              <w:rPr>
                <w:rFonts w:ascii="Times New Roman" w:eastAsia="Times New Roman" w:hAnsi="Times New Roman" w:cs="Times New Roman"/>
                <w:iCs/>
                <w:sz w:val="24"/>
                <w:szCs w:val="24"/>
                <w:lang w:eastAsia="lv-LV"/>
              </w:rPr>
              <w:t xml:space="preserve"> gads</w:t>
            </w:r>
          </w:p>
        </w:tc>
      </w:tr>
      <w:tr w:rsidR="00152C21" w:rsidRPr="0013168C" w14:paraId="0AECC96E" w14:textId="77777777" w:rsidTr="00731493">
        <w:trPr>
          <w:tblCellSpacing w:w="20" w:type="dxa"/>
          <w:jc w:val="center"/>
        </w:trPr>
        <w:tc>
          <w:tcPr>
            <w:tcW w:w="2042" w:type="dxa"/>
            <w:vMerge/>
            <w:shd w:val="clear" w:color="auto" w:fill="auto"/>
            <w:hideMark/>
          </w:tcPr>
          <w:p w14:paraId="39827FF1" w14:textId="77777777" w:rsidR="00462A8F" w:rsidRPr="00575A44" w:rsidRDefault="00462A8F" w:rsidP="00731493">
            <w:pPr>
              <w:rPr>
                <w:rFonts w:ascii="Times New Roman" w:eastAsia="Times New Roman" w:hAnsi="Times New Roman" w:cs="Times New Roman"/>
                <w:iCs/>
                <w:sz w:val="24"/>
                <w:szCs w:val="24"/>
                <w:lang w:eastAsia="lv-LV"/>
              </w:rPr>
            </w:pPr>
          </w:p>
        </w:tc>
        <w:tc>
          <w:tcPr>
            <w:tcW w:w="1014" w:type="dxa"/>
            <w:shd w:val="clear" w:color="auto" w:fill="auto"/>
            <w:hideMark/>
          </w:tcPr>
          <w:p w14:paraId="5E730E8D" w14:textId="77777777" w:rsidR="00462A8F" w:rsidRPr="00575A44" w:rsidRDefault="00B32BBE" w:rsidP="00731493">
            <w:pP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saskaņā ar valsts budžetu kārtējam gadam</w:t>
            </w:r>
          </w:p>
        </w:tc>
        <w:tc>
          <w:tcPr>
            <w:tcW w:w="1165" w:type="dxa"/>
            <w:shd w:val="clear" w:color="auto" w:fill="auto"/>
            <w:hideMark/>
          </w:tcPr>
          <w:p w14:paraId="7F02146E" w14:textId="77777777" w:rsidR="00462A8F" w:rsidRPr="00575A44" w:rsidRDefault="00B32BBE" w:rsidP="00731493">
            <w:pP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izmaiņas kārtējā gadā, salīdzinot ar valsts budžetu kārtējam gadam</w:t>
            </w:r>
          </w:p>
        </w:tc>
        <w:tc>
          <w:tcPr>
            <w:tcW w:w="844" w:type="dxa"/>
            <w:shd w:val="clear" w:color="auto" w:fill="auto"/>
            <w:hideMark/>
          </w:tcPr>
          <w:p w14:paraId="0DD6BEAB" w14:textId="77777777" w:rsidR="00462A8F" w:rsidRPr="00575A44" w:rsidRDefault="00B32BBE" w:rsidP="00731493">
            <w:pP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saskaņā ar vidēja termiņa budžeta ietvaru</w:t>
            </w:r>
          </w:p>
        </w:tc>
        <w:tc>
          <w:tcPr>
            <w:tcW w:w="1135" w:type="dxa"/>
            <w:shd w:val="clear" w:color="auto" w:fill="auto"/>
            <w:hideMark/>
          </w:tcPr>
          <w:p w14:paraId="025D5F98" w14:textId="77777777" w:rsidR="00462A8F" w:rsidRPr="00575A44" w:rsidRDefault="00B32BBE" w:rsidP="00731493">
            <w:pP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 xml:space="preserve">izmaiņas, salīdzinot ar vidēja termiņa budžeta ietvaru </w:t>
            </w:r>
            <w:r w:rsidR="00FF11A7" w:rsidRPr="00575A44">
              <w:rPr>
                <w:rFonts w:ascii="Times New Roman" w:eastAsia="Times New Roman" w:hAnsi="Times New Roman" w:cs="Times New Roman"/>
                <w:iCs/>
                <w:sz w:val="24"/>
                <w:szCs w:val="24"/>
                <w:lang w:eastAsia="lv-LV"/>
              </w:rPr>
              <w:t>2021</w:t>
            </w:r>
            <w:r w:rsidRPr="00575A44">
              <w:rPr>
                <w:rFonts w:ascii="Times New Roman" w:eastAsia="Times New Roman" w:hAnsi="Times New Roman" w:cs="Times New Roman"/>
                <w:iCs/>
                <w:sz w:val="24"/>
                <w:szCs w:val="24"/>
                <w:lang w:eastAsia="lv-LV"/>
              </w:rPr>
              <w:t>. gadam</w:t>
            </w:r>
          </w:p>
        </w:tc>
        <w:tc>
          <w:tcPr>
            <w:tcW w:w="860" w:type="dxa"/>
            <w:shd w:val="clear" w:color="auto" w:fill="auto"/>
            <w:hideMark/>
          </w:tcPr>
          <w:p w14:paraId="532909E8" w14:textId="77777777" w:rsidR="00462A8F" w:rsidRPr="00575A44" w:rsidRDefault="00B32BBE" w:rsidP="00731493">
            <w:pP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saskaņā ar vidēja termiņa budžeta ietvaru</w:t>
            </w:r>
          </w:p>
        </w:tc>
        <w:tc>
          <w:tcPr>
            <w:tcW w:w="1221" w:type="dxa"/>
            <w:shd w:val="clear" w:color="auto" w:fill="auto"/>
            <w:hideMark/>
          </w:tcPr>
          <w:p w14:paraId="686DF242" w14:textId="77777777" w:rsidR="00462A8F" w:rsidRPr="00575A44" w:rsidRDefault="00B32BBE" w:rsidP="00731493">
            <w:pP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 xml:space="preserve">izmaiņas, salīdzinot ar vidēja termiņa budžeta ietvaru </w:t>
            </w:r>
            <w:r w:rsidR="00054CF3" w:rsidRPr="00575A44">
              <w:rPr>
                <w:rFonts w:ascii="Times New Roman" w:eastAsia="Times New Roman" w:hAnsi="Times New Roman" w:cs="Times New Roman"/>
                <w:iCs/>
                <w:sz w:val="24"/>
                <w:szCs w:val="24"/>
                <w:lang w:eastAsia="lv-LV"/>
              </w:rPr>
              <w:t>2022</w:t>
            </w:r>
            <w:r w:rsidRPr="00575A44">
              <w:rPr>
                <w:rFonts w:ascii="Times New Roman" w:eastAsia="Times New Roman" w:hAnsi="Times New Roman" w:cs="Times New Roman"/>
                <w:iCs/>
                <w:sz w:val="24"/>
                <w:szCs w:val="24"/>
                <w:lang w:eastAsia="lv-LV"/>
              </w:rPr>
              <w:t>. gadam</w:t>
            </w:r>
          </w:p>
        </w:tc>
        <w:tc>
          <w:tcPr>
            <w:tcW w:w="1294" w:type="dxa"/>
            <w:shd w:val="clear" w:color="auto" w:fill="auto"/>
            <w:hideMark/>
          </w:tcPr>
          <w:p w14:paraId="5CF3AAD0" w14:textId="77777777" w:rsidR="00462A8F" w:rsidRPr="00575A44" w:rsidRDefault="00B32BBE" w:rsidP="00731493">
            <w:pPr>
              <w:rPr>
                <w:rFonts w:ascii="Times New Roman" w:eastAsia="Times New Roman" w:hAnsi="Times New Roman" w:cs="Times New Roman"/>
                <w:iCs/>
                <w:sz w:val="24"/>
                <w:szCs w:val="24"/>
                <w:lang w:eastAsia="lv-LV"/>
              </w:rPr>
            </w:pPr>
            <w:r w:rsidRPr="00575A44">
              <w:rPr>
                <w:rFonts w:ascii="Times New Roman" w:eastAsia="Times New Roman" w:hAnsi="Times New Roman" w:cs="Times New Roman"/>
                <w:iCs/>
                <w:sz w:val="24"/>
                <w:szCs w:val="24"/>
                <w:lang w:eastAsia="lv-LV"/>
              </w:rPr>
              <w:t xml:space="preserve">izmaiņas, salīdzinot ar vidēja termiņa budžeta ietvaru </w:t>
            </w:r>
            <w:r w:rsidR="001C1DB0" w:rsidRPr="00575A44">
              <w:rPr>
                <w:rFonts w:ascii="Times New Roman" w:eastAsia="Times New Roman" w:hAnsi="Times New Roman" w:cs="Times New Roman"/>
                <w:iCs/>
                <w:sz w:val="24"/>
                <w:szCs w:val="24"/>
                <w:lang w:eastAsia="lv-LV"/>
              </w:rPr>
              <w:t>20</w:t>
            </w:r>
            <w:r w:rsidR="00FF11A7" w:rsidRPr="00575A44">
              <w:rPr>
                <w:rFonts w:ascii="Times New Roman" w:eastAsia="Times New Roman" w:hAnsi="Times New Roman" w:cs="Times New Roman"/>
                <w:iCs/>
                <w:sz w:val="24"/>
                <w:szCs w:val="24"/>
                <w:lang w:eastAsia="lv-LV"/>
              </w:rPr>
              <w:t>22</w:t>
            </w:r>
            <w:r w:rsidR="00036959" w:rsidRPr="00575A44">
              <w:rPr>
                <w:rFonts w:ascii="Times New Roman" w:eastAsia="Times New Roman" w:hAnsi="Times New Roman" w:cs="Times New Roman"/>
                <w:iCs/>
                <w:sz w:val="24"/>
                <w:szCs w:val="24"/>
                <w:lang w:eastAsia="lv-LV"/>
              </w:rPr>
              <w:t>.</w:t>
            </w:r>
            <w:r w:rsidR="00B6303F" w:rsidRPr="00575A44">
              <w:rPr>
                <w:rFonts w:ascii="Times New Roman" w:eastAsia="Times New Roman" w:hAnsi="Times New Roman" w:cs="Times New Roman"/>
                <w:iCs/>
                <w:sz w:val="24"/>
                <w:szCs w:val="24"/>
                <w:lang w:eastAsia="lv-LV"/>
              </w:rPr>
              <w:t xml:space="preserve"> </w:t>
            </w:r>
            <w:r w:rsidRPr="00575A44">
              <w:rPr>
                <w:rFonts w:ascii="Times New Roman" w:eastAsia="Times New Roman" w:hAnsi="Times New Roman" w:cs="Times New Roman"/>
                <w:iCs/>
                <w:sz w:val="24"/>
                <w:szCs w:val="24"/>
                <w:lang w:eastAsia="lv-LV"/>
              </w:rPr>
              <w:t>gadam</w:t>
            </w:r>
          </w:p>
        </w:tc>
      </w:tr>
      <w:tr w:rsidR="00152C21" w:rsidRPr="0013168C" w14:paraId="6FFC6AF4" w14:textId="77777777" w:rsidTr="00731493">
        <w:trPr>
          <w:tblCellSpacing w:w="20" w:type="dxa"/>
          <w:jc w:val="center"/>
        </w:trPr>
        <w:tc>
          <w:tcPr>
            <w:tcW w:w="2042" w:type="dxa"/>
            <w:shd w:val="clear" w:color="auto" w:fill="auto"/>
            <w:hideMark/>
          </w:tcPr>
          <w:p w14:paraId="38F82899"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w:t>
            </w:r>
          </w:p>
        </w:tc>
        <w:tc>
          <w:tcPr>
            <w:tcW w:w="1014" w:type="dxa"/>
            <w:shd w:val="clear" w:color="auto" w:fill="auto"/>
            <w:hideMark/>
          </w:tcPr>
          <w:p w14:paraId="233A52CB"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2</w:t>
            </w:r>
          </w:p>
        </w:tc>
        <w:tc>
          <w:tcPr>
            <w:tcW w:w="1165" w:type="dxa"/>
            <w:shd w:val="clear" w:color="auto" w:fill="auto"/>
            <w:hideMark/>
          </w:tcPr>
          <w:p w14:paraId="0F870E17"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3</w:t>
            </w:r>
          </w:p>
        </w:tc>
        <w:tc>
          <w:tcPr>
            <w:tcW w:w="844" w:type="dxa"/>
            <w:shd w:val="clear" w:color="auto" w:fill="auto"/>
            <w:hideMark/>
          </w:tcPr>
          <w:p w14:paraId="4B3441C0"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4</w:t>
            </w:r>
          </w:p>
        </w:tc>
        <w:tc>
          <w:tcPr>
            <w:tcW w:w="1135" w:type="dxa"/>
            <w:shd w:val="clear" w:color="auto" w:fill="auto"/>
            <w:hideMark/>
          </w:tcPr>
          <w:p w14:paraId="2ECB41D6"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5</w:t>
            </w:r>
          </w:p>
        </w:tc>
        <w:tc>
          <w:tcPr>
            <w:tcW w:w="860" w:type="dxa"/>
            <w:shd w:val="clear" w:color="auto" w:fill="auto"/>
            <w:hideMark/>
          </w:tcPr>
          <w:p w14:paraId="46A97579"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6</w:t>
            </w:r>
          </w:p>
        </w:tc>
        <w:tc>
          <w:tcPr>
            <w:tcW w:w="1221" w:type="dxa"/>
            <w:shd w:val="clear" w:color="auto" w:fill="auto"/>
            <w:hideMark/>
          </w:tcPr>
          <w:p w14:paraId="6E0C8EC7"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7</w:t>
            </w:r>
          </w:p>
        </w:tc>
        <w:tc>
          <w:tcPr>
            <w:tcW w:w="1294" w:type="dxa"/>
            <w:shd w:val="clear" w:color="auto" w:fill="auto"/>
            <w:hideMark/>
          </w:tcPr>
          <w:p w14:paraId="72CE50BE" w14:textId="77777777" w:rsidR="00462A8F" w:rsidRPr="00FB46EB" w:rsidRDefault="00B32BBE"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8</w:t>
            </w:r>
          </w:p>
        </w:tc>
      </w:tr>
      <w:tr w:rsidR="004011DD" w:rsidRPr="0013168C" w14:paraId="5573A8A6" w14:textId="77777777" w:rsidTr="00731493">
        <w:trPr>
          <w:tblCellSpacing w:w="20" w:type="dxa"/>
          <w:jc w:val="center"/>
        </w:trPr>
        <w:tc>
          <w:tcPr>
            <w:tcW w:w="2042" w:type="dxa"/>
            <w:shd w:val="clear" w:color="auto" w:fill="auto"/>
            <w:hideMark/>
          </w:tcPr>
          <w:p w14:paraId="419FFC11" w14:textId="77777777" w:rsidR="004011DD" w:rsidRPr="00FB46EB" w:rsidRDefault="004011DD"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 Budžeta ieņēmumi</w:t>
            </w:r>
          </w:p>
        </w:tc>
        <w:tc>
          <w:tcPr>
            <w:tcW w:w="1014" w:type="dxa"/>
            <w:shd w:val="clear" w:color="auto" w:fill="auto"/>
            <w:hideMark/>
          </w:tcPr>
          <w:p w14:paraId="3195E188" w14:textId="77777777" w:rsidR="004011DD" w:rsidRPr="00FB46EB" w:rsidRDefault="004011DD"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shd w:val="clear" w:color="auto" w:fill="auto"/>
            <w:hideMark/>
          </w:tcPr>
          <w:p w14:paraId="5DF9F193" w14:textId="77777777" w:rsidR="004011DD" w:rsidRPr="00FB46EB" w:rsidRDefault="00A724BB"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shd w:val="clear" w:color="auto" w:fill="auto"/>
            <w:hideMark/>
          </w:tcPr>
          <w:p w14:paraId="58B58611" w14:textId="77777777" w:rsidR="004011DD" w:rsidRPr="00FB46EB" w:rsidRDefault="004011DD"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shd w:val="clear" w:color="auto" w:fill="auto"/>
          </w:tcPr>
          <w:p w14:paraId="46E52912" w14:textId="77777777" w:rsidR="004011DD" w:rsidRPr="0013168C" w:rsidRDefault="000E61A9"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542 700</w:t>
            </w:r>
          </w:p>
        </w:tc>
        <w:tc>
          <w:tcPr>
            <w:tcW w:w="860" w:type="dxa"/>
            <w:shd w:val="clear" w:color="auto" w:fill="auto"/>
            <w:hideMark/>
          </w:tcPr>
          <w:p w14:paraId="60656AC8" w14:textId="77777777" w:rsidR="004011DD" w:rsidRPr="00FB46EB" w:rsidRDefault="004011DD"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shd w:val="clear" w:color="auto" w:fill="auto"/>
          </w:tcPr>
          <w:p w14:paraId="2DBE734B" w14:textId="6A100A31" w:rsidR="004011DD"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 xml:space="preserve">814 </w:t>
            </w:r>
            <w:r w:rsidR="00E310A1" w:rsidRPr="0013168C">
              <w:rPr>
                <w:rFonts w:ascii="Times New Roman" w:eastAsia="Times New Roman" w:hAnsi="Times New Roman" w:cs="Times New Roman"/>
                <w:iCs/>
                <w:sz w:val="24"/>
                <w:szCs w:val="24"/>
                <w:lang w:eastAsia="lv-LV"/>
              </w:rPr>
              <w:t>049</w:t>
            </w:r>
          </w:p>
        </w:tc>
        <w:tc>
          <w:tcPr>
            <w:tcW w:w="1294" w:type="dxa"/>
            <w:shd w:val="clear" w:color="auto" w:fill="auto"/>
          </w:tcPr>
          <w:p w14:paraId="7E59C8A7" w14:textId="77777777" w:rsidR="004011DD"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1 085 400</w:t>
            </w:r>
          </w:p>
        </w:tc>
      </w:tr>
      <w:tr w:rsidR="008027A1" w:rsidRPr="0013168C" w14:paraId="49C2FD5D" w14:textId="77777777" w:rsidTr="00731493">
        <w:trPr>
          <w:tblCellSpacing w:w="20" w:type="dxa"/>
          <w:jc w:val="center"/>
        </w:trPr>
        <w:tc>
          <w:tcPr>
            <w:tcW w:w="2042" w:type="dxa"/>
            <w:shd w:val="clear" w:color="auto" w:fill="auto"/>
            <w:hideMark/>
          </w:tcPr>
          <w:p w14:paraId="5119DD6B"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14" w:type="dxa"/>
            <w:shd w:val="clear" w:color="auto" w:fill="auto"/>
            <w:hideMark/>
          </w:tcPr>
          <w:p w14:paraId="6850280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shd w:val="clear" w:color="auto" w:fill="auto"/>
            <w:hideMark/>
          </w:tcPr>
          <w:p w14:paraId="661CDD2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 0</w:t>
            </w:r>
          </w:p>
          <w:p w14:paraId="7C5BF820"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844" w:type="dxa"/>
            <w:shd w:val="clear" w:color="auto" w:fill="auto"/>
            <w:hideMark/>
          </w:tcPr>
          <w:p w14:paraId="6F4AEC37"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shd w:val="clear" w:color="auto" w:fill="auto"/>
          </w:tcPr>
          <w:p w14:paraId="2854FF48" w14:textId="77777777" w:rsidR="008027A1" w:rsidRPr="0013168C" w:rsidRDefault="000E61A9"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542 700</w:t>
            </w:r>
          </w:p>
        </w:tc>
        <w:tc>
          <w:tcPr>
            <w:tcW w:w="860" w:type="dxa"/>
            <w:shd w:val="clear" w:color="auto" w:fill="auto"/>
            <w:hideMark/>
          </w:tcPr>
          <w:p w14:paraId="5FD22606"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shd w:val="clear" w:color="auto" w:fill="auto"/>
          </w:tcPr>
          <w:p w14:paraId="1C09AF37" w14:textId="6EA10074"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 xml:space="preserve">814 </w:t>
            </w:r>
            <w:r w:rsidR="00E310A1" w:rsidRPr="0013168C">
              <w:rPr>
                <w:rFonts w:ascii="Times New Roman" w:eastAsia="Times New Roman" w:hAnsi="Times New Roman" w:cs="Times New Roman"/>
                <w:iCs/>
                <w:sz w:val="24"/>
                <w:szCs w:val="24"/>
                <w:lang w:eastAsia="lv-LV"/>
              </w:rPr>
              <w:t>049</w:t>
            </w:r>
          </w:p>
        </w:tc>
        <w:tc>
          <w:tcPr>
            <w:tcW w:w="1294" w:type="dxa"/>
            <w:shd w:val="clear" w:color="auto" w:fill="auto"/>
          </w:tcPr>
          <w:p w14:paraId="3A938E33" w14:textId="77777777"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1 085 400</w:t>
            </w:r>
          </w:p>
        </w:tc>
      </w:tr>
      <w:tr w:rsidR="008027A1" w:rsidRPr="0013168C" w14:paraId="1DB730D4" w14:textId="77777777" w:rsidTr="00731493">
        <w:trPr>
          <w:tblCellSpacing w:w="20" w:type="dxa"/>
          <w:jc w:val="center"/>
        </w:trPr>
        <w:tc>
          <w:tcPr>
            <w:tcW w:w="2042" w:type="dxa"/>
            <w:shd w:val="clear" w:color="auto" w:fill="auto"/>
            <w:hideMark/>
          </w:tcPr>
          <w:p w14:paraId="587EB386"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1.2. valsts speciālais budžets</w:t>
            </w:r>
          </w:p>
        </w:tc>
        <w:tc>
          <w:tcPr>
            <w:tcW w:w="1014" w:type="dxa"/>
            <w:shd w:val="clear" w:color="auto" w:fill="auto"/>
            <w:hideMark/>
          </w:tcPr>
          <w:p w14:paraId="0FB9F44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shd w:val="clear" w:color="auto" w:fill="auto"/>
            <w:hideMark/>
          </w:tcPr>
          <w:p w14:paraId="6BDBE32F"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shd w:val="clear" w:color="auto" w:fill="auto"/>
            <w:hideMark/>
          </w:tcPr>
          <w:p w14:paraId="6DA77B28"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shd w:val="clear" w:color="auto" w:fill="auto"/>
            <w:hideMark/>
          </w:tcPr>
          <w:p w14:paraId="4D2C9BC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shd w:val="clear" w:color="auto" w:fill="auto"/>
            <w:hideMark/>
          </w:tcPr>
          <w:p w14:paraId="435FF615"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shd w:val="clear" w:color="auto" w:fill="auto"/>
            <w:hideMark/>
          </w:tcPr>
          <w:p w14:paraId="53705B98"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shd w:val="clear" w:color="auto" w:fill="auto"/>
            <w:hideMark/>
          </w:tcPr>
          <w:p w14:paraId="1876B98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524A39B5" w14:textId="77777777" w:rsidTr="00731493">
        <w:trPr>
          <w:tblCellSpacing w:w="20" w:type="dxa"/>
          <w:jc w:val="center"/>
        </w:trPr>
        <w:tc>
          <w:tcPr>
            <w:tcW w:w="2042" w:type="dxa"/>
            <w:shd w:val="clear" w:color="auto" w:fill="auto"/>
            <w:hideMark/>
          </w:tcPr>
          <w:p w14:paraId="17D8F9E1"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1.3. pašvaldību budžets</w:t>
            </w:r>
          </w:p>
        </w:tc>
        <w:tc>
          <w:tcPr>
            <w:tcW w:w="1014" w:type="dxa"/>
            <w:shd w:val="clear" w:color="auto" w:fill="auto"/>
            <w:hideMark/>
          </w:tcPr>
          <w:p w14:paraId="79F6DD7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shd w:val="clear" w:color="auto" w:fill="auto"/>
            <w:hideMark/>
          </w:tcPr>
          <w:p w14:paraId="0E9A1471"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shd w:val="clear" w:color="auto" w:fill="auto"/>
            <w:hideMark/>
          </w:tcPr>
          <w:p w14:paraId="480EE52D"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shd w:val="clear" w:color="auto" w:fill="auto"/>
            <w:hideMark/>
          </w:tcPr>
          <w:p w14:paraId="7E7ADD0A"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shd w:val="clear" w:color="auto" w:fill="auto"/>
            <w:hideMark/>
          </w:tcPr>
          <w:p w14:paraId="4A7EC5D6"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shd w:val="clear" w:color="auto" w:fill="auto"/>
            <w:hideMark/>
          </w:tcPr>
          <w:p w14:paraId="7C7890A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shd w:val="clear" w:color="auto" w:fill="auto"/>
            <w:hideMark/>
          </w:tcPr>
          <w:p w14:paraId="38528F24"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17D7FE04" w14:textId="77777777" w:rsidTr="00731493">
        <w:trPr>
          <w:tblCellSpacing w:w="20" w:type="dxa"/>
          <w:jc w:val="center"/>
        </w:trPr>
        <w:tc>
          <w:tcPr>
            <w:tcW w:w="2042" w:type="dxa"/>
            <w:shd w:val="clear" w:color="auto" w:fill="auto"/>
            <w:hideMark/>
          </w:tcPr>
          <w:p w14:paraId="0494C899"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2. Budžeta izdevumi</w:t>
            </w:r>
          </w:p>
        </w:tc>
        <w:tc>
          <w:tcPr>
            <w:tcW w:w="1014" w:type="dxa"/>
            <w:shd w:val="clear" w:color="auto" w:fill="auto"/>
            <w:hideMark/>
          </w:tcPr>
          <w:p w14:paraId="5AE04203"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shd w:val="clear" w:color="auto" w:fill="auto"/>
            <w:hideMark/>
          </w:tcPr>
          <w:p w14:paraId="15341AEF" w14:textId="2C6AB944"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shd w:val="clear" w:color="auto" w:fill="auto"/>
            <w:hideMark/>
          </w:tcPr>
          <w:p w14:paraId="0AF9EDD6"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shd w:val="clear" w:color="auto" w:fill="auto"/>
          </w:tcPr>
          <w:p w14:paraId="3125E842" w14:textId="77777777" w:rsidR="008027A1" w:rsidRPr="0013168C" w:rsidRDefault="000E61A9"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638 471</w:t>
            </w:r>
          </w:p>
        </w:tc>
        <w:tc>
          <w:tcPr>
            <w:tcW w:w="860" w:type="dxa"/>
            <w:shd w:val="clear" w:color="auto" w:fill="auto"/>
            <w:hideMark/>
          </w:tcPr>
          <w:p w14:paraId="164C0AB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shd w:val="clear" w:color="auto" w:fill="auto"/>
          </w:tcPr>
          <w:p w14:paraId="7E42CC30" w14:textId="77777777"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957 705</w:t>
            </w:r>
          </w:p>
        </w:tc>
        <w:tc>
          <w:tcPr>
            <w:tcW w:w="1294" w:type="dxa"/>
            <w:shd w:val="clear" w:color="auto" w:fill="auto"/>
          </w:tcPr>
          <w:p w14:paraId="63A04DDD" w14:textId="77777777"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1 276 941</w:t>
            </w:r>
          </w:p>
        </w:tc>
      </w:tr>
      <w:tr w:rsidR="008027A1" w:rsidRPr="0013168C" w14:paraId="7C6B2A62" w14:textId="77777777" w:rsidTr="00731493">
        <w:trPr>
          <w:tblCellSpacing w:w="20" w:type="dxa"/>
          <w:jc w:val="center"/>
        </w:trPr>
        <w:tc>
          <w:tcPr>
            <w:tcW w:w="2042" w:type="dxa"/>
            <w:shd w:val="clear" w:color="auto" w:fill="auto"/>
            <w:hideMark/>
          </w:tcPr>
          <w:p w14:paraId="5438940D"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2.1. valsts pamatbudžets</w:t>
            </w:r>
          </w:p>
        </w:tc>
        <w:tc>
          <w:tcPr>
            <w:tcW w:w="1014" w:type="dxa"/>
            <w:shd w:val="clear" w:color="auto" w:fill="auto"/>
            <w:hideMark/>
          </w:tcPr>
          <w:p w14:paraId="1994A432"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shd w:val="clear" w:color="auto" w:fill="auto"/>
            <w:hideMark/>
          </w:tcPr>
          <w:p w14:paraId="766BD41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 xml:space="preserve"> 0</w:t>
            </w:r>
          </w:p>
        </w:tc>
        <w:tc>
          <w:tcPr>
            <w:tcW w:w="844" w:type="dxa"/>
            <w:shd w:val="clear" w:color="auto" w:fill="auto"/>
            <w:hideMark/>
          </w:tcPr>
          <w:p w14:paraId="21B4BD4B"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shd w:val="clear" w:color="auto" w:fill="auto"/>
          </w:tcPr>
          <w:p w14:paraId="2DCEA39D" w14:textId="77777777" w:rsidR="008027A1" w:rsidRPr="0013168C" w:rsidRDefault="000E61A9"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638 471</w:t>
            </w:r>
          </w:p>
        </w:tc>
        <w:tc>
          <w:tcPr>
            <w:tcW w:w="860" w:type="dxa"/>
            <w:shd w:val="clear" w:color="auto" w:fill="auto"/>
            <w:hideMark/>
          </w:tcPr>
          <w:p w14:paraId="6B678ECE"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shd w:val="clear" w:color="auto" w:fill="auto"/>
          </w:tcPr>
          <w:p w14:paraId="7EDE6DB1" w14:textId="77777777"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957 705</w:t>
            </w:r>
          </w:p>
        </w:tc>
        <w:tc>
          <w:tcPr>
            <w:tcW w:w="1294" w:type="dxa"/>
            <w:shd w:val="clear" w:color="auto" w:fill="auto"/>
          </w:tcPr>
          <w:p w14:paraId="36231F0E" w14:textId="77777777"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1 276 941</w:t>
            </w:r>
          </w:p>
        </w:tc>
      </w:tr>
      <w:tr w:rsidR="008027A1" w:rsidRPr="0013168C" w14:paraId="0C326030" w14:textId="77777777" w:rsidTr="00731493">
        <w:trPr>
          <w:tblCellSpacing w:w="20" w:type="dxa"/>
          <w:jc w:val="center"/>
        </w:trPr>
        <w:tc>
          <w:tcPr>
            <w:tcW w:w="2042" w:type="dxa"/>
            <w:hideMark/>
          </w:tcPr>
          <w:p w14:paraId="3645EAB0"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lastRenderedPageBreak/>
              <w:t>2.2. valsts speciālais budžets</w:t>
            </w:r>
          </w:p>
        </w:tc>
        <w:tc>
          <w:tcPr>
            <w:tcW w:w="1014" w:type="dxa"/>
            <w:hideMark/>
          </w:tcPr>
          <w:p w14:paraId="334929CB"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hideMark/>
          </w:tcPr>
          <w:p w14:paraId="18D53201"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hideMark/>
          </w:tcPr>
          <w:p w14:paraId="45EC215C"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hideMark/>
          </w:tcPr>
          <w:p w14:paraId="0EC8ADD4"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hideMark/>
          </w:tcPr>
          <w:p w14:paraId="43C1449B"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hideMark/>
          </w:tcPr>
          <w:p w14:paraId="6871B6B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hideMark/>
          </w:tcPr>
          <w:p w14:paraId="6D7A699B"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3607EFEC" w14:textId="77777777" w:rsidTr="00731493">
        <w:trPr>
          <w:tblCellSpacing w:w="20" w:type="dxa"/>
          <w:jc w:val="center"/>
        </w:trPr>
        <w:tc>
          <w:tcPr>
            <w:tcW w:w="2042" w:type="dxa"/>
            <w:hideMark/>
          </w:tcPr>
          <w:p w14:paraId="03A0D51A"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2.3. pašvaldību budžets</w:t>
            </w:r>
          </w:p>
        </w:tc>
        <w:tc>
          <w:tcPr>
            <w:tcW w:w="1014" w:type="dxa"/>
            <w:hideMark/>
          </w:tcPr>
          <w:p w14:paraId="4C1BFABF"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hideMark/>
          </w:tcPr>
          <w:p w14:paraId="686F42FB"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hideMark/>
          </w:tcPr>
          <w:p w14:paraId="0F698FF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hideMark/>
          </w:tcPr>
          <w:p w14:paraId="5FC4EF7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hideMark/>
          </w:tcPr>
          <w:p w14:paraId="21228D6E"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hideMark/>
          </w:tcPr>
          <w:p w14:paraId="45988476"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hideMark/>
          </w:tcPr>
          <w:p w14:paraId="071E71FF"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414D8832" w14:textId="77777777" w:rsidTr="00731493">
        <w:trPr>
          <w:tblCellSpacing w:w="20" w:type="dxa"/>
          <w:jc w:val="center"/>
        </w:trPr>
        <w:tc>
          <w:tcPr>
            <w:tcW w:w="2042" w:type="dxa"/>
            <w:hideMark/>
          </w:tcPr>
          <w:p w14:paraId="698BF19F"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3. Finansiālā ietekme</w:t>
            </w:r>
          </w:p>
        </w:tc>
        <w:tc>
          <w:tcPr>
            <w:tcW w:w="1014" w:type="dxa"/>
            <w:hideMark/>
          </w:tcPr>
          <w:p w14:paraId="38C14624"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tcPr>
          <w:p w14:paraId="69ACA3B3"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hideMark/>
          </w:tcPr>
          <w:p w14:paraId="1F10F4F4"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tcPr>
          <w:p w14:paraId="6891EFD5" w14:textId="77777777" w:rsidR="008027A1" w:rsidRPr="0013168C" w:rsidRDefault="000E61A9"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sz w:val="24"/>
                <w:szCs w:val="24"/>
                <w:lang w:eastAsia="lv-LV"/>
              </w:rPr>
              <w:t>-95 771</w:t>
            </w:r>
            <w:r w:rsidR="008027A1" w:rsidRPr="0013168C">
              <w:rPr>
                <w:rFonts w:ascii="Times New Roman" w:eastAsia="Times New Roman" w:hAnsi="Times New Roman" w:cs="Times New Roman"/>
                <w:sz w:val="24"/>
                <w:szCs w:val="24"/>
                <w:lang w:eastAsia="lv-LV"/>
              </w:rPr>
              <w:t> </w:t>
            </w:r>
          </w:p>
        </w:tc>
        <w:tc>
          <w:tcPr>
            <w:tcW w:w="860" w:type="dxa"/>
            <w:hideMark/>
          </w:tcPr>
          <w:p w14:paraId="41AAAB4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tcPr>
          <w:p w14:paraId="4B788D2B" w14:textId="0C95EF3C"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 xml:space="preserve">-143 </w:t>
            </w:r>
            <w:r w:rsidR="00E310A1" w:rsidRPr="0013168C">
              <w:rPr>
                <w:rFonts w:ascii="Times New Roman" w:eastAsia="Times New Roman" w:hAnsi="Times New Roman" w:cs="Times New Roman"/>
                <w:iCs/>
                <w:sz w:val="24"/>
                <w:szCs w:val="24"/>
                <w:lang w:eastAsia="lv-LV"/>
              </w:rPr>
              <w:t>656</w:t>
            </w:r>
          </w:p>
        </w:tc>
        <w:tc>
          <w:tcPr>
            <w:tcW w:w="1294" w:type="dxa"/>
          </w:tcPr>
          <w:p w14:paraId="6ACC7912" w14:textId="77777777"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-191 541</w:t>
            </w:r>
          </w:p>
        </w:tc>
      </w:tr>
      <w:tr w:rsidR="008027A1" w:rsidRPr="0013168C" w14:paraId="7EF4D6CD" w14:textId="77777777" w:rsidTr="00731493">
        <w:trPr>
          <w:tblCellSpacing w:w="20" w:type="dxa"/>
          <w:jc w:val="center"/>
        </w:trPr>
        <w:tc>
          <w:tcPr>
            <w:tcW w:w="2042" w:type="dxa"/>
            <w:hideMark/>
          </w:tcPr>
          <w:p w14:paraId="566ECC4A"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3.1. valsts pamatbudžets</w:t>
            </w:r>
          </w:p>
        </w:tc>
        <w:tc>
          <w:tcPr>
            <w:tcW w:w="1014" w:type="dxa"/>
            <w:hideMark/>
          </w:tcPr>
          <w:p w14:paraId="73A022D3"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tcPr>
          <w:p w14:paraId="6164E0BA"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hideMark/>
          </w:tcPr>
          <w:p w14:paraId="760E24F2"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tcPr>
          <w:p w14:paraId="17AC4EE7" w14:textId="77777777" w:rsidR="008027A1" w:rsidRPr="0013168C" w:rsidRDefault="000E61A9"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-95 771</w:t>
            </w:r>
          </w:p>
        </w:tc>
        <w:tc>
          <w:tcPr>
            <w:tcW w:w="860" w:type="dxa"/>
            <w:hideMark/>
          </w:tcPr>
          <w:p w14:paraId="485BB87A"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tcPr>
          <w:p w14:paraId="01C101E2" w14:textId="2DD64921"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 xml:space="preserve">-143 </w:t>
            </w:r>
            <w:r w:rsidR="00E310A1" w:rsidRPr="0013168C">
              <w:rPr>
                <w:rFonts w:ascii="Times New Roman" w:eastAsia="Times New Roman" w:hAnsi="Times New Roman" w:cs="Times New Roman"/>
                <w:iCs/>
                <w:sz w:val="24"/>
                <w:szCs w:val="24"/>
                <w:lang w:eastAsia="lv-LV"/>
              </w:rPr>
              <w:t>656</w:t>
            </w:r>
          </w:p>
        </w:tc>
        <w:tc>
          <w:tcPr>
            <w:tcW w:w="1294" w:type="dxa"/>
          </w:tcPr>
          <w:p w14:paraId="6471DB3E" w14:textId="77777777" w:rsidR="008027A1" w:rsidRPr="0013168C" w:rsidRDefault="00E47DEE" w:rsidP="00731493">
            <w:pPr>
              <w:jc w:val="center"/>
              <w:rPr>
                <w:rFonts w:ascii="Times New Roman" w:eastAsia="Times New Roman" w:hAnsi="Times New Roman" w:cs="Times New Roman"/>
                <w:iCs/>
                <w:sz w:val="24"/>
                <w:szCs w:val="24"/>
                <w:lang w:eastAsia="lv-LV"/>
              </w:rPr>
            </w:pPr>
            <w:r w:rsidRPr="0013168C">
              <w:rPr>
                <w:rFonts w:ascii="Times New Roman" w:eastAsia="Times New Roman" w:hAnsi="Times New Roman" w:cs="Times New Roman"/>
                <w:iCs/>
                <w:sz w:val="24"/>
                <w:szCs w:val="24"/>
                <w:lang w:eastAsia="lv-LV"/>
              </w:rPr>
              <w:t>-191 541</w:t>
            </w:r>
          </w:p>
        </w:tc>
      </w:tr>
      <w:tr w:rsidR="008027A1" w:rsidRPr="0013168C" w14:paraId="74819B79" w14:textId="77777777" w:rsidTr="00731493">
        <w:trPr>
          <w:tblCellSpacing w:w="20" w:type="dxa"/>
          <w:jc w:val="center"/>
        </w:trPr>
        <w:tc>
          <w:tcPr>
            <w:tcW w:w="2042" w:type="dxa"/>
            <w:hideMark/>
          </w:tcPr>
          <w:p w14:paraId="11E1824B"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3.2. speciālais budžets</w:t>
            </w:r>
          </w:p>
        </w:tc>
        <w:tc>
          <w:tcPr>
            <w:tcW w:w="1014" w:type="dxa"/>
            <w:hideMark/>
          </w:tcPr>
          <w:p w14:paraId="135028A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hideMark/>
          </w:tcPr>
          <w:p w14:paraId="05335081"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hideMark/>
          </w:tcPr>
          <w:p w14:paraId="1CA41831"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hideMark/>
          </w:tcPr>
          <w:p w14:paraId="5E40D38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hideMark/>
          </w:tcPr>
          <w:p w14:paraId="78001066"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hideMark/>
          </w:tcPr>
          <w:p w14:paraId="35820CE5"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hideMark/>
          </w:tcPr>
          <w:p w14:paraId="59358023"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62B895E1" w14:textId="77777777" w:rsidTr="00731493">
        <w:trPr>
          <w:tblCellSpacing w:w="20" w:type="dxa"/>
          <w:jc w:val="center"/>
        </w:trPr>
        <w:tc>
          <w:tcPr>
            <w:tcW w:w="2042" w:type="dxa"/>
            <w:hideMark/>
          </w:tcPr>
          <w:p w14:paraId="2B366C37"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3.3. pašvaldību budžets</w:t>
            </w:r>
          </w:p>
        </w:tc>
        <w:tc>
          <w:tcPr>
            <w:tcW w:w="1014" w:type="dxa"/>
            <w:hideMark/>
          </w:tcPr>
          <w:p w14:paraId="61E24C2D"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65" w:type="dxa"/>
            <w:hideMark/>
          </w:tcPr>
          <w:p w14:paraId="41913E27"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hideMark/>
          </w:tcPr>
          <w:p w14:paraId="7C0A35E8"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135" w:type="dxa"/>
            <w:hideMark/>
          </w:tcPr>
          <w:p w14:paraId="2EC2FA05"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hideMark/>
          </w:tcPr>
          <w:p w14:paraId="08FE6BA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21" w:type="dxa"/>
            <w:hideMark/>
          </w:tcPr>
          <w:p w14:paraId="2374DDB5"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hideMark/>
          </w:tcPr>
          <w:p w14:paraId="556A1BC7"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22C8CA00" w14:textId="77777777" w:rsidTr="00731493">
        <w:trPr>
          <w:tblCellSpacing w:w="20" w:type="dxa"/>
          <w:jc w:val="center"/>
        </w:trPr>
        <w:tc>
          <w:tcPr>
            <w:tcW w:w="2042" w:type="dxa"/>
            <w:hideMark/>
          </w:tcPr>
          <w:p w14:paraId="5E5ACADA"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14" w:type="dxa"/>
            <w:hideMark/>
          </w:tcPr>
          <w:p w14:paraId="5C24FF8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X</w:t>
            </w:r>
          </w:p>
        </w:tc>
        <w:tc>
          <w:tcPr>
            <w:tcW w:w="1165" w:type="dxa"/>
            <w:hideMark/>
          </w:tcPr>
          <w:p w14:paraId="126C0BA8"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hideMark/>
          </w:tcPr>
          <w:p w14:paraId="5607DA30"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X</w:t>
            </w:r>
          </w:p>
        </w:tc>
        <w:tc>
          <w:tcPr>
            <w:tcW w:w="1135" w:type="dxa"/>
            <w:hideMark/>
          </w:tcPr>
          <w:p w14:paraId="064A3916"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hideMark/>
          </w:tcPr>
          <w:p w14:paraId="687CA5B4"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X</w:t>
            </w:r>
          </w:p>
        </w:tc>
        <w:tc>
          <w:tcPr>
            <w:tcW w:w="1221" w:type="dxa"/>
            <w:hideMark/>
          </w:tcPr>
          <w:p w14:paraId="10EDEABF"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hideMark/>
          </w:tcPr>
          <w:p w14:paraId="12535AA3"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182D30FB" w14:textId="77777777" w:rsidTr="00731493">
        <w:trPr>
          <w:tblCellSpacing w:w="20" w:type="dxa"/>
          <w:jc w:val="center"/>
        </w:trPr>
        <w:tc>
          <w:tcPr>
            <w:tcW w:w="2042" w:type="dxa"/>
            <w:hideMark/>
          </w:tcPr>
          <w:p w14:paraId="0BFA30FA"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5. Precizēta finansiālā ietekme</w:t>
            </w:r>
          </w:p>
        </w:tc>
        <w:tc>
          <w:tcPr>
            <w:tcW w:w="1014" w:type="dxa"/>
            <w:vMerge w:val="restart"/>
            <w:hideMark/>
          </w:tcPr>
          <w:p w14:paraId="1835AB88"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5E024989"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18CBF167"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62F8ADB8"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792D599C"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5BD3B9D8"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X</w:t>
            </w:r>
          </w:p>
        </w:tc>
        <w:tc>
          <w:tcPr>
            <w:tcW w:w="1165" w:type="dxa"/>
          </w:tcPr>
          <w:p w14:paraId="648D7D31"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vMerge w:val="restart"/>
            <w:hideMark/>
          </w:tcPr>
          <w:p w14:paraId="2308A5F5"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1DD363B9"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51A58121"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5557AF6C"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1FF1934F"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11AD05B5"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X</w:t>
            </w:r>
          </w:p>
        </w:tc>
        <w:tc>
          <w:tcPr>
            <w:tcW w:w="1135" w:type="dxa"/>
          </w:tcPr>
          <w:p w14:paraId="35C0B996" w14:textId="46DAECAE" w:rsidR="008027A1" w:rsidRPr="00FB46EB" w:rsidRDefault="00777AFA"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-95</w:t>
            </w:r>
            <w:r w:rsidR="00FB46EB">
              <w:rPr>
                <w:rFonts w:ascii="Times New Roman" w:eastAsia="Times New Roman" w:hAnsi="Times New Roman" w:cs="Times New Roman"/>
                <w:iCs/>
                <w:sz w:val="24"/>
                <w:szCs w:val="24"/>
                <w:lang w:eastAsia="lv-LV"/>
              </w:rPr>
              <w:t> </w:t>
            </w:r>
            <w:r w:rsidRPr="00FB46EB">
              <w:rPr>
                <w:rFonts w:ascii="Times New Roman" w:eastAsia="Times New Roman" w:hAnsi="Times New Roman" w:cs="Times New Roman"/>
                <w:iCs/>
                <w:sz w:val="24"/>
                <w:szCs w:val="24"/>
                <w:lang w:eastAsia="lv-LV"/>
              </w:rPr>
              <w:t>771</w:t>
            </w:r>
          </w:p>
        </w:tc>
        <w:tc>
          <w:tcPr>
            <w:tcW w:w="860" w:type="dxa"/>
            <w:vMerge w:val="restart"/>
            <w:hideMark/>
          </w:tcPr>
          <w:p w14:paraId="3D9C783F"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36BDF10A"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2FD4D28B"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129DE408"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4E41CFF6" w14:textId="77777777" w:rsidR="008027A1" w:rsidRPr="00FB46EB" w:rsidRDefault="008027A1" w:rsidP="00731493">
            <w:pPr>
              <w:jc w:val="center"/>
              <w:rPr>
                <w:rFonts w:ascii="Times New Roman" w:eastAsia="Times New Roman" w:hAnsi="Times New Roman" w:cs="Times New Roman"/>
                <w:iCs/>
                <w:sz w:val="24"/>
                <w:szCs w:val="24"/>
                <w:lang w:eastAsia="lv-LV"/>
              </w:rPr>
            </w:pPr>
          </w:p>
          <w:p w14:paraId="4DD3EE07"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X</w:t>
            </w:r>
          </w:p>
        </w:tc>
        <w:tc>
          <w:tcPr>
            <w:tcW w:w="1221" w:type="dxa"/>
          </w:tcPr>
          <w:p w14:paraId="565F5E54" w14:textId="57B6A9A6" w:rsidR="00777AFA" w:rsidRPr="00FB46EB" w:rsidRDefault="00777AFA"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-143</w:t>
            </w:r>
            <w:r w:rsidR="00FB46EB">
              <w:rPr>
                <w:rFonts w:ascii="Times New Roman" w:eastAsia="Times New Roman" w:hAnsi="Times New Roman" w:cs="Times New Roman"/>
                <w:iCs/>
                <w:sz w:val="24"/>
                <w:szCs w:val="24"/>
                <w:lang w:eastAsia="lv-LV"/>
              </w:rPr>
              <w:t> </w:t>
            </w:r>
            <w:r w:rsidRPr="00FB46EB">
              <w:rPr>
                <w:rFonts w:ascii="Times New Roman" w:eastAsia="Times New Roman" w:hAnsi="Times New Roman" w:cs="Times New Roman"/>
                <w:iCs/>
                <w:sz w:val="24"/>
                <w:szCs w:val="24"/>
                <w:lang w:eastAsia="lv-LV"/>
              </w:rPr>
              <w:t>656</w:t>
            </w:r>
          </w:p>
        </w:tc>
        <w:tc>
          <w:tcPr>
            <w:tcW w:w="1294" w:type="dxa"/>
          </w:tcPr>
          <w:p w14:paraId="23B2A9EA" w14:textId="42DD832E" w:rsidR="00777AFA" w:rsidRPr="00FB46EB" w:rsidRDefault="00777AFA"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-191 541</w:t>
            </w:r>
          </w:p>
        </w:tc>
      </w:tr>
      <w:tr w:rsidR="008027A1" w:rsidRPr="0013168C" w14:paraId="4FFD15C3" w14:textId="77777777" w:rsidTr="00731493">
        <w:trPr>
          <w:tblCellSpacing w:w="20" w:type="dxa"/>
          <w:jc w:val="center"/>
        </w:trPr>
        <w:tc>
          <w:tcPr>
            <w:tcW w:w="2042" w:type="dxa"/>
            <w:hideMark/>
          </w:tcPr>
          <w:p w14:paraId="18BCBECA"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5.1. valsts pamatbudžets</w:t>
            </w:r>
          </w:p>
        </w:tc>
        <w:tc>
          <w:tcPr>
            <w:tcW w:w="1014" w:type="dxa"/>
            <w:vMerge/>
            <w:hideMark/>
          </w:tcPr>
          <w:p w14:paraId="1BF0084D"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165" w:type="dxa"/>
          </w:tcPr>
          <w:p w14:paraId="627B3F4C"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vMerge/>
            <w:hideMark/>
          </w:tcPr>
          <w:p w14:paraId="2D3831D5"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135" w:type="dxa"/>
          </w:tcPr>
          <w:p w14:paraId="5FDC8F72" w14:textId="4F271719" w:rsidR="008027A1" w:rsidRPr="00FB46EB" w:rsidRDefault="00777AFA"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-95 771</w:t>
            </w:r>
          </w:p>
        </w:tc>
        <w:tc>
          <w:tcPr>
            <w:tcW w:w="860" w:type="dxa"/>
            <w:vMerge/>
            <w:hideMark/>
          </w:tcPr>
          <w:p w14:paraId="2B77E4CD"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221" w:type="dxa"/>
          </w:tcPr>
          <w:p w14:paraId="319164E4" w14:textId="1597285D" w:rsidR="008027A1" w:rsidRPr="00FB46EB" w:rsidRDefault="00777AFA"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-143</w:t>
            </w:r>
            <w:r w:rsidR="00FB46EB">
              <w:rPr>
                <w:rFonts w:ascii="Times New Roman" w:eastAsia="Times New Roman" w:hAnsi="Times New Roman" w:cs="Times New Roman"/>
                <w:iCs/>
                <w:sz w:val="24"/>
                <w:szCs w:val="24"/>
                <w:lang w:eastAsia="lv-LV"/>
              </w:rPr>
              <w:t> </w:t>
            </w:r>
            <w:r w:rsidRPr="00FB46EB">
              <w:rPr>
                <w:rFonts w:ascii="Times New Roman" w:eastAsia="Times New Roman" w:hAnsi="Times New Roman" w:cs="Times New Roman"/>
                <w:iCs/>
                <w:sz w:val="24"/>
                <w:szCs w:val="24"/>
                <w:lang w:eastAsia="lv-LV"/>
              </w:rPr>
              <w:t>656</w:t>
            </w:r>
          </w:p>
        </w:tc>
        <w:tc>
          <w:tcPr>
            <w:tcW w:w="1294" w:type="dxa"/>
          </w:tcPr>
          <w:p w14:paraId="31D83F31" w14:textId="666D3C1A" w:rsidR="008027A1" w:rsidRPr="00FB46EB" w:rsidRDefault="00777AFA"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-191 541</w:t>
            </w:r>
          </w:p>
        </w:tc>
      </w:tr>
      <w:tr w:rsidR="008027A1" w:rsidRPr="0013168C" w14:paraId="7163F222" w14:textId="77777777" w:rsidTr="00731493">
        <w:trPr>
          <w:tblCellSpacing w:w="20" w:type="dxa"/>
          <w:jc w:val="center"/>
        </w:trPr>
        <w:tc>
          <w:tcPr>
            <w:tcW w:w="2042" w:type="dxa"/>
            <w:hideMark/>
          </w:tcPr>
          <w:p w14:paraId="3B38C750"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5.2. speciālais budžets</w:t>
            </w:r>
          </w:p>
        </w:tc>
        <w:tc>
          <w:tcPr>
            <w:tcW w:w="1014" w:type="dxa"/>
            <w:vMerge/>
            <w:hideMark/>
          </w:tcPr>
          <w:p w14:paraId="0C430A01"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165" w:type="dxa"/>
            <w:hideMark/>
          </w:tcPr>
          <w:p w14:paraId="02E375D9"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vMerge/>
            <w:hideMark/>
          </w:tcPr>
          <w:p w14:paraId="6B2CC31F"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135" w:type="dxa"/>
            <w:hideMark/>
          </w:tcPr>
          <w:p w14:paraId="2F466C6F"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vMerge/>
            <w:hideMark/>
          </w:tcPr>
          <w:p w14:paraId="3BBAA595"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221" w:type="dxa"/>
            <w:hideMark/>
          </w:tcPr>
          <w:p w14:paraId="026F1502"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hideMark/>
          </w:tcPr>
          <w:p w14:paraId="7A8592F6"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6BDB6276" w14:textId="77777777" w:rsidTr="00731493">
        <w:trPr>
          <w:tblCellSpacing w:w="20" w:type="dxa"/>
          <w:jc w:val="center"/>
        </w:trPr>
        <w:tc>
          <w:tcPr>
            <w:tcW w:w="2042" w:type="dxa"/>
            <w:hideMark/>
          </w:tcPr>
          <w:p w14:paraId="224D028E"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5.3. pašvaldību budžets</w:t>
            </w:r>
          </w:p>
        </w:tc>
        <w:tc>
          <w:tcPr>
            <w:tcW w:w="1014" w:type="dxa"/>
            <w:vMerge/>
            <w:hideMark/>
          </w:tcPr>
          <w:p w14:paraId="7F67D354"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165" w:type="dxa"/>
            <w:hideMark/>
          </w:tcPr>
          <w:p w14:paraId="4D23443C"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44" w:type="dxa"/>
            <w:vMerge/>
            <w:hideMark/>
          </w:tcPr>
          <w:p w14:paraId="5CFDA26A"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135" w:type="dxa"/>
            <w:hideMark/>
          </w:tcPr>
          <w:p w14:paraId="094C9693"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860" w:type="dxa"/>
            <w:vMerge/>
            <w:hideMark/>
          </w:tcPr>
          <w:p w14:paraId="5A39459D" w14:textId="77777777" w:rsidR="008027A1" w:rsidRPr="00FB46EB" w:rsidRDefault="008027A1" w:rsidP="00731493">
            <w:pPr>
              <w:jc w:val="center"/>
              <w:rPr>
                <w:rFonts w:ascii="Times New Roman" w:eastAsia="Times New Roman" w:hAnsi="Times New Roman" w:cs="Times New Roman"/>
                <w:iCs/>
                <w:sz w:val="24"/>
                <w:szCs w:val="24"/>
                <w:lang w:eastAsia="lv-LV"/>
              </w:rPr>
            </w:pPr>
          </w:p>
        </w:tc>
        <w:tc>
          <w:tcPr>
            <w:tcW w:w="1221" w:type="dxa"/>
            <w:hideMark/>
          </w:tcPr>
          <w:p w14:paraId="62308B6C"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c>
          <w:tcPr>
            <w:tcW w:w="1294" w:type="dxa"/>
            <w:hideMark/>
          </w:tcPr>
          <w:p w14:paraId="7B61A3F2" w14:textId="77777777" w:rsidR="008027A1" w:rsidRPr="00FB46EB" w:rsidRDefault="008027A1" w:rsidP="00731493">
            <w:pPr>
              <w:jc w:val="cente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0</w:t>
            </w:r>
          </w:p>
        </w:tc>
      </w:tr>
      <w:tr w:rsidR="008027A1" w:rsidRPr="0013168C" w14:paraId="67781ECE" w14:textId="77777777" w:rsidTr="00731493">
        <w:trPr>
          <w:tblCellSpacing w:w="20" w:type="dxa"/>
          <w:jc w:val="center"/>
        </w:trPr>
        <w:tc>
          <w:tcPr>
            <w:tcW w:w="2042" w:type="dxa"/>
            <w:hideMark/>
          </w:tcPr>
          <w:p w14:paraId="5A5D4A44"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73" w:type="dxa"/>
            <w:gridSpan w:val="7"/>
            <w:vMerge w:val="restart"/>
            <w:hideMark/>
          </w:tcPr>
          <w:p w14:paraId="6ADCB420" w14:textId="67E788AA" w:rsidR="0041152A" w:rsidRDefault="008027A1" w:rsidP="00731493">
            <w:pPr>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Kopējais atklātajā konkursā pieejamais programmas līdzfinansējums ir 3 192 </w:t>
            </w:r>
            <w:r w:rsidR="00BC0E39" w:rsidRPr="00FB46EB">
              <w:rPr>
                <w:rFonts w:ascii="Times New Roman" w:eastAsia="Times New Roman" w:hAnsi="Times New Roman" w:cs="Times New Roman"/>
                <w:sz w:val="24"/>
                <w:szCs w:val="24"/>
                <w:lang w:eastAsia="lv-LV"/>
              </w:rPr>
              <w:t>353</w:t>
            </w:r>
            <w:r w:rsidRPr="00FB46EB">
              <w:rPr>
                <w:rFonts w:ascii="Times New Roman" w:eastAsia="Times New Roman" w:hAnsi="Times New Roman" w:cs="Times New Roman"/>
                <w:sz w:val="24"/>
                <w:szCs w:val="24"/>
                <w:lang w:eastAsia="lv-LV"/>
              </w:rPr>
              <w:t>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 ko veido Latvijas valsts budžeta līdzfinansējums 15 procentu apmērā – 478 85</w:t>
            </w:r>
            <w:r w:rsidR="000E61A9" w:rsidRPr="00FB46EB">
              <w:rPr>
                <w:rFonts w:ascii="Times New Roman" w:eastAsia="Times New Roman" w:hAnsi="Times New Roman" w:cs="Times New Roman"/>
                <w:sz w:val="24"/>
                <w:szCs w:val="24"/>
                <w:lang w:eastAsia="lv-LV"/>
              </w:rPr>
              <w:t>3</w:t>
            </w:r>
            <w:r w:rsidRPr="00FB46EB">
              <w:rPr>
                <w:rFonts w:ascii="Times New Roman" w:eastAsia="Times New Roman" w:hAnsi="Times New Roman" w:cs="Times New Roman"/>
                <w:sz w:val="24"/>
                <w:szCs w:val="24"/>
                <w:lang w:eastAsia="lv-LV"/>
              </w:rPr>
              <w:t>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 xml:space="preserve"> un </w:t>
            </w:r>
            <w:r w:rsidR="0041152A" w:rsidRPr="00FB46EB">
              <w:rPr>
                <w:rFonts w:ascii="Times New Roman" w:eastAsia="Times New Roman" w:hAnsi="Times New Roman" w:cs="Times New Roman"/>
                <w:sz w:val="24"/>
                <w:szCs w:val="24"/>
                <w:lang w:eastAsia="lv-LV"/>
              </w:rPr>
              <w:t>Eiropas Ekonomikas zonas</w:t>
            </w:r>
            <w:r w:rsidRPr="00FB46EB">
              <w:rPr>
                <w:rFonts w:ascii="Times New Roman" w:eastAsia="Times New Roman" w:hAnsi="Times New Roman" w:cs="Times New Roman"/>
                <w:sz w:val="24"/>
                <w:szCs w:val="24"/>
                <w:lang w:eastAsia="lv-LV"/>
              </w:rPr>
              <w:t xml:space="preserve"> finanšu instrumenta līdzfinansējums 85 procentu apmērā – 2 713 </w:t>
            </w:r>
            <w:r w:rsidR="00BC0E39" w:rsidRPr="00FB46EB">
              <w:rPr>
                <w:rFonts w:ascii="Times New Roman" w:eastAsia="Times New Roman" w:hAnsi="Times New Roman" w:cs="Times New Roman"/>
                <w:sz w:val="24"/>
                <w:szCs w:val="24"/>
                <w:lang w:eastAsia="lv-LV"/>
              </w:rPr>
              <w:t>500 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w:t>
            </w:r>
          </w:p>
          <w:p w14:paraId="3872D812" w14:textId="75FABD51" w:rsidR="00731493" w:rsidRDefault="00731493" w:rsidP="00731493">
            <w:pPr>
              <w:jc w:val="both"/>
              <w:rPr>
                <w:rFonts w:ascii="Times New Roman" w:eastAsia="Times New Roman" w:hAnsi="Times New Roman" w:cs="Times New Roman"/>
                <w:sz w:val="24"/>
                <w:szCs w:val="24"/>
                <w:lang w:eastAsia="lv-LV"/>
              </w:rPr>
            </w:pPr>
          </w:p>
          <w:p w14:paraId="377CFA93" w14:textId="77777777" w:rsidR="008027A1" w:rsidRPr="00FB46EB" w:rsidRDefault="008027A1" w:rsidP="00731493">
            <w:pPr>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Atklātais konkurss tiek īstenots divās atlases kārtās:</w:t>
            </w:r>
          </w:p>
          <w:p w14:paraId="00A07A47" w14:textId="70D2F3C4" w:rsidR="0041152A" w:rsidRPr="00FB46EB" w:rsidRDefault="008027A1" w:rsidP="00731493">
            <w:pPr>
              <w:pStyle w:val="ListParagraph"/>
              <w:numPr>
                <w:ilvl w:val="0"/>
                <w:numId w:val="8"/>
              </w:numPr>
              <w:tabs>
                <w:tab w:val="left" w:pos="848"/>
              </w:tabs>
              <w:ind w:left="0" w:firstLine="565"/>
              <w:contextualSpacing w:val="0"/>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pirmajā atlases kārtā pieejamais programmas līdzfinansējums ir 1 915 </w:t>
            </w:r>
            <w:r w:rsidR="00BC0E39" w:rsidRPr="00FB46EB">
              <w:rPr>
                <w:rFonts w:ascii="Times New Roman" w:eastAsia="Times New Roman" w:hAnsi="Times New Roman" w:cs="Times New Roman"/>
                <w:sz w:val="24"/>
                <w:szCs w:val="24"/>
                <w:lang w:eastAsia="lv-LV"/>
              </w:rPr>
              <w:t xml:space="preserve">412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 ko veido Latvijas valsts budžeta līdzfinansējums 15 procentu apmērā –</w:t>
            </w:r>
            <w:r w:rsidR="0041152A" w:rsidRPr="00FB46EB">
              <w:rPr>
                <w:rFonts w:ascii="Times New Roman" w:eastAsia="Times New Roman" w:hAnsi="Times New Roman" w:cs="Times New Roman"/>
                <w:sz w:val="24"/>
                <w:szCs w:val="24"/>
                <w:lang w:eastAsia="lv-LV"/>
              </w:rPr>
              <w:t> </w:t>
            </w:r>
            <w:r w:rsidRPr="00FB46EB">
              <w:rPr>
                <w:rFonts w:ascii="Times New Roman" w:eastAsia="Times New Roman" w:hAnsi="Times New Roman" w:cs="Times New Roman"/>
                <w:sz w:val="24"/>
                <w:szCs w:val="24"/>
                <w:lang w:eastAsia="lv-LV"/>
              </w:rPr>
              <w:t>287 31</w:t>
            </w:r>
            <w:r w:rsidR="00FD3D70" w:rsidRPr="00FB46EB">
              <w:rPr>
                <w:rFonts w:ascii="Times New Roman" w:eastAsia="Times New Roman" w:hAnsi="Times New Roman" w:cs="Times New Roman"/>
                <w:sz w:val="24"/>
                <w:szCs w:val="24"/>
                <w:lang w:eastAsia="lv-LV"/>
              </w:rPr>
              <w:t>2</w:t>
            </w:r>
            <w:r w:rsidRPr="00FB46EB">
              <w:rPr>
                <w:rFonts w:ascii="Times New Roman" w:eastAsia="Times New Roman" w:hAnsi="Times New Roman" w:cs="Times New Roman"/>
                <w:sz w:val="24"/>
                <w:szCs w:val="24"/>
                <w:lang w:eastAsia="lv-LV"/>
              </w:rPr>
              <w:t xml:space="preserve">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 xml:space="preserve"> un </w:t>
            </w:r>
            <w:r w:rsidR="0041152A" w:rsidRPr="00FB46EB">
              <w:rPr>
                <w:rFonts w:ascii="Times New Roman" w:eastAsia="Times New Roman" w:hAnsi="Times New Roman" w:cs="Times New Roman"/>
                <w:sz w:val="24"/>
                <w:szCs w:val="24"/>
                <w:lang w:eastAsia="lv-LV"/>
              </w:rPr>
              <w:t>Eiropas Ekonomikas zonas</w:t>
            </w:r>
            <w:r w:rsidRPr="00FB46EB">
              <w:rPr>
                <w:rFonts w:ascii="Times New Roman" w:eastAsia="Times New Roman" w:hAnsi="Times New Roman" w:cs="Times New Roman"/>
                <w:sz w:val="24"/>
                <w:szCs w:val="24"/>
                <w:lang w:eastAsia="lv-LV"/>
              </w:rPr>
              <w:t xml:space="preserve"> finanšu instrumenta līdzfinansējums 85 procentu apmērā – 1 628 </w:t>
            </w:r>
            <w:r w:rsidR="00BC0E39" w:rsidRPr="00FB46EB">
              <w:rPr>
                <w:rFonts w:ascii="Times New Roman" w:eastAsia="Times New Roman" w:hAnsi="Times New Roman" w:cs="Times New Roman"/>
                <w:sz w:val="24"/>
                <w:szCs w:val="24"/>
                <w:lang w:eastAsia="lv-LV"/>
              </w:rPr>
              <w:t>100 </w:t>
            </w:r>
            <w:r w:rsidRPr="00FB46EB">
              <w:rPr>
                <w:rFonts w:ascii="Times New Roman" w:eastAsia="Times New Roman" w:hAnsi="Times New Roman" w:cs="Times New Roman"/>
                <w:i/>
                <w:iCs/>
                <w:sz w:val="24"/>
                <w:szCs w:val="24"/>
                <w:lang w:eastAsia="lv-LV"/>
              </w:rPr>
              <w:t>euro</w:t>
            </w:r>
            <w:r w:rsidR="001F1297" w:rsidRPr="00FB46EB">
              <w:rPr>
                <w:rFonts w:ascii="Times New Roman" w:eastAsia="Times New Roman" w:hAnsi="Times New Roman" w:cs="Times New Roman"/>
                <w:i/>
                <w:iCs/>
                <w:sz w:val="24"/>
                <w:szCs w:val="24"/>
                <w:lang w:eastAsia="lv-LV"/>
              </w:rPr>
              <w:t>.</w:t>
            </w:r>
          </w:p>
          <w:p w14:paraId="651DC9CD" w14:textId="67DE94B8" w:rsidR="0041152A" w:rsidRPr="00FB46EB" w:rsidRDefault="008027A1" w:rsidP="00731493">
            <w:pPr>
              <w:pStyle w:val="ListParagraph"/>
              <w:numPr>
                <w:ilvl w:val="0"/>
                <w:numId w:val="8"/>
              </w:numPr>
              <w:tabs>
                <w:tab w:val="left" w:pos="848"/>
              </w:tabs>
              <w:ind w:left="0" w:firstLine="565"/>
              <w:contextualSpacing w:val="0"/>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 xml:space="preserve">otrajā atlases kārtā pieejamais programmas līdzfinansējums ir 1 276 941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 xml:space="preserve">, ko veido Latvijas valsts budžeta līdzfinansējums 15 procentu apmērā – 191 541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 xml:space="preserve"> un </w:t>
            </w:r>
            <w:r w:rsidR="0041152A" w:rsidRPr="00FB46EB">
              <w:rPr>
                <w:rFonts w:ascii="Times New Roman" w:eastAsia="Times New Roman" w:hAnsi="Times New Roman" w:cs="Times New Roman"/>
                <w:sz w:val="24"/>
                <w:szCs w:val="24"/>
                <w:lang w:eastAsia="lv-LV"/>
              </w:rPr>
              <w:t>Eiropas Ekonomikas zonas</w:t>
            </w:r>
            <w:r w:rsidRPr="00FB46EB">
              <w:rPr>
                <w:rFonts w:ascii="Times New Roman" w:eastAsia="Times New Roman" w:hAnsi="Times New Roman" w:cs="Times New Roman"/>
                <w:sz w:val="24"/>
                <w:szCs w:val="24"/>
                <w:lang w:eastAsia="lv-LV"/>
              </w:rPr>
              <w:t xml:space="preserve"> finanšu instrumenta līdzfinansējums 85 procentu apmērā – 1 085 </w:t>
            </w:r>
            <w:r w:rsidR="00FD3D70" w:rsidRPr="00FB46EB">
              <w:rPr>
                <w:rFonts w:ascii="Times New Roman" w:eastAsia="Times New Roman" w:hAnsi="Times New Roman" w:cs="Times New Roman"/>
                <w:sz w:val="24"/>
                <w:szCs w:val="24"/>
                <w:lang w:eastAsia="lv-LV"/>
              </w:rPr>
              <w:t>400</w:t>
            </w:r>
            <w:r w:rsidRPr="00FB46EB">
              <w:rPr>
                <w:rFonts w:ascii="Times New Roman" w:eastAsia="Times New Roman" w:hAnsi="Times New Roman" w:cs="Times New Roman"/>
                <w:sz w:val="24"/>
                <w:szCs w:val="24"/>
                <w:lang w:eastAsia="lv-LV"/>
              </w:rPr>
              <w:t> </w:t>
            </w:r>
            <w:r w:rsidRPr="00FB46EB">
              <w:rPr>
                <w:rFonts w:ascii="Times New Roman" w:eastAsia="Times New Roman" w:hAnsi="Times New Roman" w:cs="Times New Roman"/>
                <w:i/>
                <w:iCs/>
                <w:sz w:val="24"/>
                <w:szCs w:val="24"/>
                <w:lang w:eastAsia="lv-LV"/>
              </w:rPr>
              <w:t>euro</w:t>
            </w:r>
            <w:r w:rsidRPr="00FB46EB">
              <w:rPr>
                <w:rFonts w:ascii="Times New Roman" w:eastAsia="Times New Roman" w:hAnsi="Times New Roman" w:cs="Times New Roman"/>
                <w:sz w:val="24"/>
                <w:szCs w:val="24"/>
                <w:lang w:eastAsia="lv-LV"/>
              </w:rPr>
              <w:t>.</w:t>
            </w:r>
          </w:p>
          <w:p w14:paraId="00A8C23E" w14:textId="25D5BBF4" w:rsidR="0041152A" w:rsidRPr="00FB46EB" w:rsidRDefault="008027A1" w:rsidP="00731493">
            <w:pPr>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Projektu īstenošana plānota līdz 2024. gada 30.aprīlim</w:t>
            </w:r>
            <w:r w:rsidR="00E47DEE" w:rsidRPr="00FB46EB">
              <w:rPr>
                <w:rFonts w:ascii="Times New Roman" w:eastAsia="Times New Roman" w:hAnsi="Times New Roman" w:cs="Times New Roman"/>
                <w:sz w:val="24"/>
                <w:szCs w:val="24"/>
                <w:lang w:eastAsia="lv-LV"/>
              </w:rPr>
              <w:t>.</w:t>
            </w:r>
            <w:r w:rsidRPr="00FB46EB">
              <w:rPr>
                <w:rFonts w:ascii="Times New Roman" w:eastAsia="Times New Roman" w:hAnsi="Times New Roman" w:cs="Times New Roman"/>
                <w:sz w:val="24"/>
                <w:szCs w:val="24"/>
                <w:lang w:eastAsia="lv-LV"/>
              </w:rPr>
              <w:t xml:space="preserve"> </w:t>
            </w:r>
            <w:r w:rsidR="00E47DEE" w:rsidRPr="00FB46EB">
              <w:rPr>
                <w:rFonts w:ascii="Times New Roman" w:eastAsia="Times New Roman" w:hAnsi="Times New Roman" w:cs="Times New Roman"/>
                <w:sz w:val="24"/>
                <w:szCs w:val="24"/>
                <w:lang w:eastAsia="lv-LV"/>
              </w:rPr>
              <w:t xml:space="preserve">Projekta ieņēmumus veido </w:t>
            </w:r>
            <w:r w:rsidR="0041152A" w:rsidRPr="00FB46EB">
              <w:rPr>
                <w:rFonts w:ascii="Times New Roman" w:eastAsia="Times New Roman" w:hAnsi="Times New Roman" w:cs="Times New Roman"/>
                <w:sz w:val="24"/>
                <w:szCs w:val="24"/>
                <w:lang w:eastAsia="lv-LV"/>
              </w:rPr>
              <w:t>Eiropas Ekonomikas zonas</w:t>
            </w:r>
            <w:r w:rsidR="00E47DEE" w:rsidRPr="00FB46EB">
              <w:rPr>
                <w:rFonts w:ascii="Times New Roman" w:eastAsia="Times New Roman" w:hAnsi="Times New Roman" w:cs="Times New Roman"/>
                <w:sz w:val="24"/>
                <w:szCs w:val="24"/>
                <w:lang w:eastAsia="lv-LV"/>
              </w:rPr>
              <w:t xml:space="preserve"> finanšu instrumenta līdzfinansējums un izdevumus kopīgie nepieciešamie finanšu līdzekļi attiecīgajā gadā</w:t>
            </w:r>
            <w:r w:rsidR="0011089B" w:rsidRPr="00FB46EB">
              <w:rPr>
                <w:rFonts w:ascii="Times New Roman" w:eastAsia="Times New Roman" w:hAnsi="Times New Roman" w:cs="Times New Roman"/>
                <w:sz w:val="24"/>
                <w:szCs w:val="24"/>
                <w:lang w:eastAsia="lv-LV"/>
              </w:rPr>
              <w:t>.</w:t>
            </w:r>
          </w:p>
          <w:p w14:paraId="10DFB983" w14:textId="0BD02F40" w:rsidR="008027A1" w:rsidRPr="00FB46EB" w:rsidRDefault="008027A1" w:rsidP="00731493">
            <w:pPr>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Provizoriski plānotā naudas plūsma 2021.</w:t>
            </w:r>
            <w:r w:rsidR="0041152A" w:rsidRPr="00FB46EB">
              <w:rPr>
                <w:rFonts w:ascii="Times New Roman" w:eastAsia="Times New Roman" w:hAnsi="Times New Roman" w:cs="Times New Roman"/>
                <w:sz w:val="24"/>
                <w:szCs w:val="24"/>
                <w:lang w:eastAsia="lv-LV"/>
              </w:rPr>
              <w:t> – </w:t>
            </w:r>
            <w:r w:rsidRPr="00FB46EB">
              <w:rPr>
                <w:rFonts w:ascii="Times New Roman" w:eastAsia="Times New Roman" w:hAnsi="Times New Roman" w:cs="Times New Roman"/>
                <w:sz w:val="24"/>
                <w:szCs w:val="24"/>
                <w:lang w:eastAsia="lv-LV"/>
              </w:rPr>
              <w:t>2024.gadā:</w:t>
            </w:r>
          </w:p>
          <w:p w14:paraId="71DC84AB" w14:textId="60FC540C" w:rsidR="008027A1" w:rsidRPr="00FB46EB" w:rsidRDefault="008027A1" w:rsidP="00731493">
            <w:pPr>
              <w:pStyle w:val="ListParagraph"/>
              <w:numPr>
                <w:ilvl w:val="0"/>
                <w:numId w:val="9"/>
              </w:numPr>
              <w:tabs>
                <w:tab w:val="left" w:pos="848"/>
              </w:tabs>
              <w:ind w:left="-2" w:firstLine="567"/>
              <w:contextualSpacing w:val="0"/>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u w:val="single"/>
                <w:lang w:eastAsia="lv-LV"/>
              </w:rPr>
              <w:lastRenderedPageBreak/>
              <w:t>2021. gadā</w:t>
            </w:r>
            <w:r w:rsidRPr="00FB46EB">
              <w:rPr>
                <w:rFonts w:ascii="Times New Roman" w:eastAsia="Times New Roman" w:hAnsi="Times New Roman" w:cs="Times New Roman"/>
                <w:sz w:val="24"/>
                <w:szCs w:val="24"/>
                <w:lang w:eastAsia="lv-LV"/>
              </w:rPr>
              <w:t xml:space="preserve"> projektu īstenošanai – </w:t>
            </w:r>
            <w:r w:rsidRPr="00FB46EB">
              <w:rPr>
                <w:rFonts w:ascii="Times New Roman" w:hAnsi="Times New Roman" w:cs="Times New Roman"/>
                <w:sz w:val="24"/>
                <w:szCs w:val="24"/>
              </w:rPr>
              <w:t>638 47</w:t>
            </w:r>
            <w:r w:rsidR="000E61A9" w:rsidRPr="00FB46EB">
              <w:rPr>
                <w:rFonts w:ascii="Times New Roman" w:hAnsi="Times New Roman" w:cs="Times New Roman"/>
                <w:sz w:val="24"/>
                <w:szCs w:val="24"/>
              </w:rPr>
              <w:t>1</w:t>
            </w:r>
            <w:r w:rsidRPr="00FB46EB">
              <w:rPr>
                <w:rFonts w:ascii="Times New Roman" w:hAnsi="Times New Roman" w:cs="Times New Roman"/>
                <w:sz w:val="24"/>
                <w:szCs w:val="24"/>
              </w:rPr>
              <w:t xml:space="preserve"> </w:t>
            </w:r>
            <w:r w:rsidRPr="00FB46EB">
              <w:rPr>
                <w:rFonts w:ascii="Times New Roman" w:eastAsia="Times New Roman" w:hAnsi="Times New Roman" w:cs="Times New Roman"/>
                <w:i/>
                <w:sz w:val="24"/>
                <w:szCs w:val="24"/>
                <w:lang w:eastAsia="lv-LV"/>
              </w:rPr>
              <w:t>euro</w:t>
            </w:r>
            <w:r w:rsidRPr="00FB46EB">
              <w:rPr>
                <w:rFonts w:ascii="Times New Roman" w:eastAsia="Times New Roman" w:hAnsi="Times New Roman" w:cs="Times New Roman"/>
                <w:sz w:val="24"/>
                <w:szCs w:val="24"/>
                <w:lang w:eastAsia="lv-LV"/>
              </w:rPr>
              <w:t xml:space="preserve"> (</w:t>
            </w:r>
            <w:r w:rsidR="0041152A" w:rsidRPr="00FB46EB">
              <w:rPr>
                <w:rFonts w:ascii="Times New Roman" w:eastAsia="Times New Roman" w:hAnsi="Times New Roman" w:cs="Times New Roman"/>
                <w:sz w:val="24"/>
                <w:szCs w:val="24"/>
                <w:lang w:eastAsia="lv-LV"/>
              </w:rPr>
              <w:t>Eiropas Ekonomikas zonas</w:t>
            </w:r>
            <w:r w:rsidRPr="00FB46EB">
              <w:rPr>
                <w:rFonts w:ascii="Times New Roman" w:eastAsia="Times New Roman" w:hAnsi="Times New Roman" w:cs="Times New Roman"/>
                <w:sz w:val="24"/>
                <w:szCs w:val="24"/>
                <w:lang w:eastAsia="lv-LV"/>
              </w:rPr>
              <w:t xml:space="preserve"> </w:t>
            </w:r>
            <w:r w:rsidRPr="00FB46EB">
              <w:rPr>
                <w:rFonts w:ascii="Times New Roman" w:hAnsi="Times New Roman" w:cs="Times New Roman"/>
                <w:sz w:val="24"/>
                <w:szCs w:val="24"/>
              </w:rPr>
              <w:t>finanšu instrumenta piešķīrums</w:t>
            </w:r>
            <w:r w:rsidRPr="00FB46EB">
              <w:rPr>
                <w:rFonts w:ascii="Times New Roman" w:eastAsia="Times New Roman" w:hAnsi="Times New Roman" w:cs="Times New Roman"/>
                <w:sz w:val="24"/>
                <w:szCs w:val="24"/>
                <w:lang w:eastAsia="lv-LV"/>
              </w:rPr>
              <w:t xml:space="preserve"> </w:t>
            </w:r>
            <w:r w:rsidRPr="00FB46EB">
              <w:rPr>
                <w:rFonts w:ascii="Times New Roman" w:hAnsi="Times New Roman" w:cs="Times New Roman"/>
                <w:sz w:val="24"/>
                <w:szCs w:val="24"/>
              </w:rPr>
              <w:t>542 </w:t>
            </w:r>
            <w:r w:rsidR="000E61A9" w:rsidRPr="00FB46EB">
              <w:rPr>
                <w:rFonts w:ascii="Times New Roman" w:hAnsi="Times New Roman" w:cs="Times New Roman"/>
                <w:sz w:val="24"/>
                <w:szCs w:val="24"/>
              </w:rPr>
              <w:t>700</w:t>
            </w:r>
            <w:r w:rsidRPr="00FB46EB">
              <w:rPr>
                <w:rFonts w:ascii="Times New Roman" w:eastAsia="Times New Roman" w:hAnsi="Times New Roman" w:cs="Times New Roman"/>
                <w:i/>
                <w:sz w:val="24"/>
                <w:szCs w:val="24"/>
                <w:lang w:eastAsia="lv-LV"/>
              </w:rPr>
              <w:t xml:space="preserve"> euro</w:t>
            </w:r>
            <w:r w:rsidRPr="00FB46EB">
              <w:rPr>
                <w:rFonts w:ascii="Times New Roman" w:eastAsia="Times New Roman" w:hAnsi="Times New Roman" w:cs="Times New Roman"/>
                <w:sz w:val="24"/>
                <w:szCs w:val="24"/>
                <w:lang w:eastAsia="lv-LV"/>
              </w:rPr>
              <w:t xml:space="preserve">, </w:t>
            </w:r>
            <w:r w:rsidR="00F25C06" w:rsidRPr="00FB46EB">
              <w:rPr>
                <w:rFonts w:ascii="Times New Roman" w:eastAsia="Times New Roman" w:hAnsi="Times New Roman" w:cs="Times New Roman"/>
                <w:sz w:val="24"/>
                <w:szCs w:val="24"/>
                <w:lang w:eastAsia="lv-LV"/>
              </w:rPr>
              <w:t>Latvijas valsts budžeta</w:t>
            </w:r>
            <w:r w:rsidRPr="00FB46EB">
              <w:rPr>
                <w:rFonts w:ascii="Times New Roman" w:eastAsia="Times New Roman" w:hAnsi="Times New Roman" w:cs="Times New Roman"/>
                <w:sz w:val="24"/>
                <w:szCs w:val="24"/>
                <w:lang w:eastAsia="lv-LV"/>
              </w:rPr>
              <w:t xml:space="preserve"> līdzfinansējums </w:t>
            </w:r>
            <w:r w:rsidRPr="00FB46EB">
              <w:rPr>
                <w:rFonts w:ascii="Times New Roman" w:hAnsi="Times New Roman" w:cs="Times New Roman"/>
                <w:sz w:val="24"/>
                <w:szCs w:val="24"/>
              </w:rPr>
              <w:t>95 77</w:t>
            </w:r>
            <w:r w:rsidR="000E61A9" w:rsidRPr="00FB46EB">
              <w:rPr>
                <w:rFonts w:ascii="Times New Roman" w:hAnsi="Times New Roman" w:cs="Times New Roman"/>
                <w:sz w:val="24"/>
                <w:szCs w:val="24"/>
              </w:rPr>
              <w:t>1</w:t>
            </w:r>
            <w:r w:rsidRPr="00FB46EB">
              <w:rPr>
                <w:rFonts w:ascii="Times New Roman" w:eastAsia="Times New Roman" w:hAnsi="Times New Roman" w:cs="Times New Roman"/>
                <w:sz w:val="24"/>
                <w:szCs w:val="24"/>
                <w:lang w:eastAsia="lv-LV"/>
              </w:rPr>
              <w:t> </w:t>
            </w:r>
            <w:r w:rsidRPr="00FB46EB">
              <w:rPr>
                <w:rFonts w:ascii="Times New Roman" w:eastAsia="Times New Roman" w:hAnsi="Times New Roman" w:cs="Times New Roman"/>
                <w:i/>
                <w:sz w:val="24"/>
                <w:szCs w:val="24"/>
                <w:lang w:eastAsia="lv-LV"/>
              </w:rPr>
              <w:t>euro)</w:t>
            </w:r>
            <w:r w:rsidRPr="00FB46EB">
              <w:rPr>
                <w:rFonts w:ascii="Times New Roman" w:eastAsia="Times New Roman" w:hAnsi="Times New Roman" w:cs="Times New Roman"/>
                <w:sz w:val="24"/>
                <w:szCs w:val="24"/>
                <w:lang w:eastAsia="lv-LV"/>
              </w:rPr>
              <w:t>;</w:t>
            </w:r>
          </w:p>
          <w:p w14:paraId="33DA8929" w14:textId="4B313E34" w:rsidR="008027A1" w:rsidRPr="00FB46EB" w:rsidRDefault="008027A1" w:rsidP="00731493">
            <w:pPr>
              <w:pStyle w:val="ListParagraph"/>
              <w:numPr>
                <w:ilvl w:val="0"/>
                <w:numId w:val="9"/>
              </w:numPr>
              <w:tabs>
                <w:tab w:val="left" w:pos="848"/>
              </w:tabs>
              <w:ind w:left="-2" w:firstLine="567"/>
              <w:contextualSpacing w:val="0"/>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u w:val="single"/>
                <w:lang w:eastAsia="lv-LV"/>
              </w:rPr>
              <w:t>2022. gadā</w:t>
            </w:r>
            <w:r w:rsidRPr="00FB46EB">
              <w:rPr>
                <w:rFonts w:ascii="Times New Roman" w:eastAsia="Times New Roman" w:hAnsi="Times New Roman" w:cs="Times New Roman"/>
                <w:sz w:val="24"/>
                <w:szCs w:val="24"/>
                <w:lang w:eastAsia="lv-LV"/>
              </w:rPr>
              <w:t xml:space="preserve"> projektu īstenošanai – </w:t>
            </w:r>
            <w:r w:rsidRPr="00FB46EB">
              <w:rPr>
                <w:rFonts w:ascii="Times New Roman" w:hAnsi="Times New Roman" w:cs="Times New Roman"/>
                <w:sz w:val="24"/>
                <w:szCs w:val="24"/>
              </w:rPr>
              <w:t xml:space="preserve">957 705 </w:t>
            </w:r>
            <w:r w:rsidRPr="00FB46EB">
              <w:rPr>
                <w:rFonts w:ascii="Times New Roman" w:eastAsia="Times New Roman" w:hAnsi="Times New Roman" w:cs="Times New Roman"/>
                <w:i/>
                <w:sz w:val="24"/>
                <w:szCs w:val="24"/>
                <w:lang w:eastAsia="lv-LV"/>
              </w:rPr>
              <w:t>euro</w:t>
            </w:r>
            <w:r w:rsidRPr="00FB46EB">
              <w:rPr>
                <w:rFonts w:ascii="Times New Roman" w:eastAsia="Times New Roman" w:hAnsi="Times New Roman" w:cs="Times New Roman"/>
                <w:sz w:val="24"/>
                <w:szCs w:val="24"/>
                <w:lang w:eastAsia="lv-LV"/>
              </w:rPr>
              <w:t xml:space="preserve"> (</w:t>
            </w:r>
            <w:r w:rsidR="0041152A" w:rsidRPr="00FB46EB">
              <w:rPr>
                <w:rFonts w:ascii="Times New Roman" w:eastAsia="Times New Roman" w:hAnsi="Times New Roman" w:cs="Times New Roman"/>
                <w:sz w:val="24"/>
                <w:szCs w:val="24"/>
                <w:lang w:eastAsia="lv-LV"/>
              </w:rPr>
              <w:t>Eiropas Ekonomikas zonas</w:t>
            </w:r>
            <w:r w:rsidRPr="00FB46EB">
              <w:rPr>
                <w:rFonts w:ascii="Times New Roman" w:eastAsia="Times New Roman" w:hAnsi="Times New Roman" w:cs="Times New Roman"/>
                <w:sz w:val="24"/>
                <w:szCs w:val="24"/>
                <w:lang w:eastAsia="lv-LV"/>
              </w:rPr>
              <w:t xml:space="preserve"> </w:t>
            </w:r>
            <w:r w:rsidRPr="00FB46EB">
              <w:rPr>
                <w:rFonts w:ascii="Times New Roman" w:hAnsi="Times New Roman" w:cs="Times New Roman"/>
                <w:sz w:val="24"/>
                <w:szCs w:val="24"/>
              </w:rPr>
              <w:t>finanšu instrumenta piešķīrums</w:t>
            </w:r>
            <w:r w:rsidRPr="00FB46EB">
              <w:rPr>
                <w:rFonts w:ascii="Times New Roman" w:eastAsia="Times New Roman" w:hAnsi="Times New Roman" w:cs="Times New Roman"/>
                <w:sz w:val="24"/>
                <w:szCs w:val="24"/>
                <w:lang w:eastAsia="lv-LV"/>
              </w:rPr>
              <w:t xml:space="preserve"> </w:t>
            </w:r>
            <w:r w:rsidRPr="00FB46EB">
              <w:rPr>
                <w:rFonts w:ascii="Times New Roman" w:hAnsi="Times New Roman" w:cs="Times New Roman"/>
                <w:sz w:val="24"/>
                <w:szCs w:val="24"/>
              </w:rPr>
              <w:t>814</w:t>
            </w:r>
            <w:r w:rsidR="0041152A" w:rsidRPr="00FB46EB">
              <w:rPr>
                <w:rFonts w:ascii="Times New Roman" w:hAnsi="Times New Roman" w:cs="Times New Roman"/>
                <w:sz w:val="24"/>
                <w:szCs w:val="24"/>
              </w:rPr>
              <w:t> </w:t>
            </w:r>
            <w:r w:rsidR="00E310A1" w:rsidRPr="00FB46EB">
              <w:rPr>
                <w:rFonts w:ascii="Times New Roman" w:hAnsi="Times New Roman" w:cs="Times New Roman"/>
                <w:sz w:val="24"/>
                <w:szCs w:val="24"/>
              </w:rPr>
              <w:t>049</w:t>
            </w:r>
            <w:r w:rsidR="00E310A1" w:rsidRPr="00FB46EB">
              <w:rPr>
                <w:rFonts w:ascii="Times New Roman" w:eastAsia="Times New Roman" w:hAnsi="Times New Roman" w:cs="Times New Roman"/>
                <w:i/>
                <w:sz w:val="24"/>
                <w:szCs w:val="24"/>
                <w:lang w:eastAsia="lv-LV"/>
              </w:rPr>
              <w:t> </w:t>
            </w:r>
            <w:r w:rsidRPr="00FB46EB">
              <w:rPr>
                <w:rFonts w:ascii="Times New Roman" w:eastAsia="Times New Roman" w:hAnsi="Times New Roman" w:cs="Times New Roman"/>
                <w:i/>
                <w:sz w:val="24"/>
                <w:szCs w:val="24"/>
                <w:lang w:eastAsia="lv-LV"/>
              </w:rPr>
              <w:t>euro</w:t>
            </w:r>
            <w:r w:rsidRPr="00FB46EB">
              <w:rPr>
                <w:rFonts w:ascii="Times New Roman" w:eastAsia="Times New Roman" w:hAnsi="Times New Roman" w:cs="Times New Roman"/>
                <w:sz w:val="24"/>
                <w:szCs w:val="24"/>
                <w:lang w:eastAsia="lv-LV"/>
              </w:rPr>
              <w:t xml:space="preserve">, </w:t>
            </w:r>
            <w:r w:rsidR="00F25C06" w:rsidRPr="00FB46EB">
              <w:rPr>
                <w:rFonts w:ascii="Times New Roman" w:eastAsia="Times New Roman" w:hAnsi="Times New Roman" w:cs="Times New Roman"/>
                <w:sz w:val="24"/>
                <w:szCs w:val="24"/>
                <w:lang w:eastAsia="lv-LV"/>
              </w:rPr>
              <w:t xml:space="preserve">Latvijas valsts budžeta </w:t>
            </w:r>
            <w:r w:rsidRPr="00FB46EB">
              <w:rPr>
                <w:rFonts w:ascii="Times New Roman" w:eastAsia="Times New Roman" w:hAnsi="Times New Roman" w:cs="Times New Roman"/>
                <w:sz w:val="24"/>
                <w:szCs w:val="24"/>
                <w:lang w:eastAsia="lv-LV"/>
              </w:rPr>
              <w:t xml:space="preserve">līdzfinansējums </w:t>
            </w:r>
            <w:r w:rsidRPr="00FB46EB">
              <w:rPr>
                <w:rFonts w:ascii="Times New Roman" w:hAnsi="Times New Roman" w:cs="Times New Roman"/>
                <w:sz w:val="24"/>
                <w:szCs w:val="24"/>
              </w:rPr>
              <w:t>143 </w:t>
            </w:r>
            <w:r w:rsidR="00E310A1" w:rsidRPr="00FB46EB">
              <w:rPr>
                <w:rFonts w:ascii="Times New Roman" w:hAnsi="Times New Roman" w:cs="Times New Roman"/>
                <w:sz w:val="24"/>
                <w:szCs w:val="24"/>
              </w:rPr>
              <w:t>656</w:t>
            </w:r>
            <w:r w:rsidR="00E310A1" w:rsidRPr="00FB46EB">
              <w:rPr>
                <w:rFonts w:ascii="Times New Roman" w:eastAsia="Times New Roman" w:hAnsi="Times New Roman" w:cs="Times New Roman"/>
                <w:i/>
                <w:sz w:val="24"/>
                <w:szCs w:val="24"/>
                <w:lang w:eastAsia="lv-LV"/>
              </w:rPr>
              <w:t xml:space="preserve"> </w:t>
            </w:r>
            <w:r w:rsidRPr="00FB46EB">
              <w:rPr>
                <w:rFonts w:ascii="Times New Roman" w:eastAsia="Times New Roman" w:hAnsi="Times New Roman" w:cs="Times New Roman"/>
                <w:i/>
                <w:sz w:val="24"/>
                <w:szCs w:val="24"/>
                <w:lang w:eastAsia="lv-LV"/>
              </w:rPr>
              <w:t>euro</w:t>
            </w:r>
            <w:r w:rsidRPr="00FB46EB">
              <w:rPr>
                <w:rFonts w:ascii="Times New Roman" w:eastAsia="Times New Roman" w:hAnsi="Times New Roman" w:cs="Times New Roman"/>
                <w:sz w:val="24"/>
                <w:szCs w:val="24"/>
                <w:lang w:eastAsia="lv-LV"/>
              </w:rPr>
              <w:t>);</w:t>
            </w:r>
          </w:p>
          <w:p w14:paraId="05EB6714" w14:textId="3B2C35AB" w:rsidR="0041152A" w:rsidRPr="00FB46EB" w:rsidRDefault="008027A1" w:rsidP="00731493">
            <w:pPr>
              <w:pStyle w:val="ListParagraph"/>
              <w:numPr>
                <w:ilvl w:val="0"/>
                <w:numId w:val="9"/>
              </w:numPr>
              <w:tabs>
                <w:tab w:val="left" w:pos="848"/>
              </w:tabs>
              <w:ind w:left="-2" w:firstLine="567"/>
              <w:contextualSpacing w:val="0"/>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u w:val="single"/>
                <w:lang w:eastAsia="lv-LV"/>
              </w:rPr>
              <w:t>2023. gadā</w:t>
            </w:r>
            <w:r w:rsidRPr="00FB46EB">
              <w:rPr>
                <w:rFonts w:ascii="Times New Roman" w:eastAsia="Times New Roman" w:hAnsi="Times New Roman" w:cs="Times New Roman"/>
                <w:sz w:val="24"/>
                <w:szCs w:val="24"/>
                <w:lang w:eastAsia="lv-LV"/>
              </w:rPr>
              <w:t xml:space="preserve"> projektu īstenošanai – </w:t>
            </w:r>
            <w:r w:rsidRPr="00FB46EB">
              <w:rPr>
                <w:rFonts w:ascii="Times New Roman" w:hAnsi="Times New Roman" w:cs="Times New Roman"/>
                <w:sz w:val="24"/>
                <w:szCs w:val="24"/>
              </w:rPr>
              <w:t xml:space="preserve">1 276 941 </w:t>
            </w:r>
            <w:r w:rsidRPr="00FB46EB">
              <w:rPr>
                <w:rFonts w:ascii="Times New Roman" w:eastAsia="Times New Roman" w:hAnsi="Times New Roman" w:cs="Times New Roman"/>
                <w:i/>
                <w:sz w:val="24"/>
                <w:szCs w:val="24"/>
                <w:lang w:eastAsia="lv-LV"/>
              </w:rPr>
              <w:t>euro</w:t>
            </w:r>
            <w:r w:rsidRPr="00FB46EB">
              <w:rPr>
                <w:rFonts w:ascii="Times New Roman" w:eastAsia="Times New Roman" w:hAnsi="Times New Roman" w:cs="Times New Roman"/>
                <w:sz w:val="24"/>
                <w:szCs w:val="24"/>
                <w:lang w:eastAsia="lv-LV"/>
              </w:rPr>
              <w:t xml:space="preserve"> (</w:t>
            </w:r>
            <w:r w:rsidR="0041152A" w:rsidRPr="00FB46EB">
              <w:rPr>
                <w:rFonts w:ascii="Times New Roman" w:eastAsia="Times New Roman" w:hAnsi="Times New Roman" w:cs="Times New Roman"/>
                <w:sz w:val="24"/>
                <w:szCs w:val="24"/>
                <w:lang w:eastAsia="lv-LV"/>
              </w:rPr>
              <w:t>Eiropas Ekonomikas zonas</w:t>
            </w:r>
            <w:r w:rsidRPr="00FB46EB">
              <w:rPr>
                <w:rFonts w:ascii="Times New Roman" w:eastAsia="Times New Roman" w:hAnsi="Times New Roman" w:cs="Times New Roman"/>
                <w:sz w:val="24"/>
                <w:szCs w:val="24"/>
                <w:lang w:eastAsia="lv-LV"/>
              </w:rPr>
              <w:t xml:space="preserve"> </w:t>
            </w:r>
            <w:r w:rsidRPr="00FB46EB">
              <w:rPr>
                <w:rFonts w:ascii="Times New Roman" w:hAnsi="Times New Roman" w:cs="Times New Roman"/>
                <w:sz w:val="24"/>
                <w:szCs w:val="24"/>
              </w:rPr>
              <w:t>finanšu instrumenta piešķīrums</w:t>
            </w:r>
            <w:r w:rsidRPr="00FB46EB">
              <w:rPr>
                <w:rFonts w:ascii="Times New Roman" w:eastAsia="Times New Roman" w:hAnsi="Times New Roman" w:cs="Times New Roman"/>
                <w:sz w:val="24"/>
                <w:szCs w:val="24"/>
                <w:lang w:eastAsia="lv-LV"/>
              </w:rPr>
              <w:t xml:space="preserve"> </w:t>
            </w:r>
            <w:r w:rsidRPr="00FB46EB">
              <w:rPr>
                <w:rFonts w:ascii="Times New Roman" w:hAnsi="Times New Roman" w:cs="Times New Roman"/>
                <w:sz w:val="24"/>
                <w:szCs w:val="24"/>
              </w:rPr>
              <w:t>1 085 </w:t>
            </w:r>
            <w:r w:rsidR="000E61A9" w:rsidRPr="00FB46EB">
              <w:rPr>
                <w:rFonts w:ascii="Times New Roman" w:hAnsi="Times New Roman" w:cs="Times New Roman"/>
                <w:sz w:val="24"/>
                <w:szCs w:val="24"/>
              </w:rPr>
              <w:t>400</w:t>
            </w:r>
            <w:r w:rsidRPr="00FB46EB">
              <w:rPr>
                <w:rFonts w:ascii="Times New Roman" w:eastAsia="Times New Roman" w:hAnsi="Times New Roman" w:cs="Times New Roman"/>
                <w:i/>
                <w:sz w:val="24"/>
                <w:szCs w:val="24"/>
                <w:lang w:eastAsia="lv-LV"/>
              </w:rPr>
              <w:t xml:space="preserve"> euro</w:t>
            </w:r>
            <w:r w:rsidRPr="00FB46EB">
              <w:rPr>
                <w:rFonts w:ascii="Times New Roman" w:eastAsia="Times New Roman" w:hAnsi="Times New Roman" w:cs="Times New Roman"/>
                <w:sz w:val="24"/>
                <w:szCs w:val="24"/>
                <w:lang w:eastAsia="lv-LV"/>
              </w:rPr>
              <w:t xml:space="preserve">, </w:t>
            </w:r>
            <w:r w:rsidR="00F25C06" w:rsidRPr="00FB46EB">
              <w:rPr>
                <w:rFonts w:ascii="Times New Roman" w:eastAsia="Times New Roman" w:hAnsi="Times New Roman" w:cs="Times New Roman"/>
                <w:sz w:val="24"/>
                <w:szCs w:val="24"/>
                <w:lang w:eastAsia="lv-LV"/>
              </w:rPr>
              <w:t xml:space="preserve">Latvijas valsts budžeta </w:t>
            </w:r>
            <w:r w:rsidRPr="00FB46EB">
              <w:rPr>
                <w:rFonts w:ascii="Times New Roman" w:hAnsi="Times New Roman" w:cs="Times New Roman"/>
                <w:sz w:val="24"/>
                <w:szCs w:val="24"/>
              </w:rPr>
              <w:t>191 541</w:t>
            </w:r>
            <w:r w:rsidRPr="00FB46EB">
              <w:rPr>
                <w:rFonts w:ascii="Times New Roman" w:eastAsia="Times New Roman" w:hAnsi="Times New Roman" w:cs="Times New Roman"/>
                <w:i/>
                <w:sz w:val="24"/>
                <w:szCs w:val="24"/>
                <w:lang w:eastAsia="lv-LV"/>
              </w:rPr>
              <w:t xml:space="preserve"> euro</w:t>
            </w:r>
            <w:r w:rsidRPr="00FB46EB">
              <w:rPr>
                <w:rFonts w:ascii="Times New Roman" w:eastAsia="Times New Roman" w:hAnsi="Times New Roman" w:cs="Times New Roman"/>
                <w:sz w:val="24"/>
                <w:szCs w:val="24"/>
                <w:lang w:eastAsia="lv-LV"/>
              </w:rPr>
              <w:t>);</w:t>
            </w:r>
          </w:p>
          <w:p w14:paraId="0E5011E3" w14:textId="3ED7BB0F" w:rsidR="008D4CDE" w:rsidRPr="00731493" w:rsidRDefault="008027A1" w:rsidP="00731493">
            <w:pPr>
              <w:pStyle w:val="ListParagraph"/>
              <w:numPr>
                <w:ilvl w:val="0"/>
                <w:numId w:val="9"/>
              </w:numPr>
              <w:tabs>
                <w:tab w:val="left" w:pos="848"/>
              </w:tabs>
              <w:ind w:left="-2" w:firstLine="567"/>
              <w:contextualSpacing w:val="0"/>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u w:val="single"/>
                <w:lang w:eastAsia="lv-LV"/>
              </w:rPr>
              <w:t>2024. gadā</w:t>
            </w:r>
            <w:r w:rsidRPr="00FB46EB">
              <w:rPr>
                <w:rFonts w:ascii="Times New Roman" w:eastAsia="Times New Roman" w:hAnsi="Times New Roman" w:cs="Times New Roman"/>
                <w:sz w:val="24"/>
                <w:szCs w:val="24"/>
                <w:lang w:eastAsia="lv-LV"/>
              </w:rPr>
              <w:t xml:space="preserve"> projektu īstenošanai – </w:t>
            </w:r>
            <w:r w:rsidRPr="00731493">
              <w:rPr>
                <w:rFonts w:ascii="Times New Roman" w:hAnsi="Times New Roman" w:cs="Times New Roman"/>
                <w:sz w:val="24"/>
                <w:szCs w:val="24"/>
              </w:rPr>
              <w:t>319 </w:t>
            </w:r>
            <w:r w:rsidR="00BC0E39" w:rsidRPr="00731493">
              <w:rPr>
                <w:rFonts w:ascii="Times New Roman" w:hAnsi="Times New Roman" w:cs="Times New Roman"/>
                <w:sz w:val="24"/>
                <w:szCs w:val="24"/>
              </w:rPr>
              <w:t>236</w:t>
            </w:r>
            <w:r w:rsidR="00BC0E39" w:rsidRPr="00731493">
              <w:rPr>
                <w:rFonts w:ascii="Times New Roman" w:eastAsia="Times New Roman" w:hAnsi="Times New Roman" w:cs="Times New Roman"/>
                <w:sz w:val="24"/>
                <w:szCs w:val="24"/>
                <w:lang w:eastAsia="lv-LV"/>
              </w:rPr>
              <w:t xml:space="preserve"> </w:t>
            </w:r>
            <w:r w:rsidRPr="00731493">
              <w:rPr>
                <w:rFonts w:ascii="Times New Roman" w:eastAsia="Times New Roman" w:hAnsi="Times New Roman" w:cs="Times New Roman"/>
                <w:i/>
                <w:sz w:val="24"/>
                <w:szCs w:val="24"/>
                <w:lang w:eastAsia="lv-LV"/>
              </w:rPr>
              <w:t>euro</w:t>
            </w:r>
            <w:r w:rsidRPr="00731493">
              <w:rPr>
                <w:rFonts w:ascii="Times New Roman" w:eastAsia="Times New Roman" w:hAnsi="Times New Roman" w:cs="Times New Roman"/>
                <w:sz w:val="24"/>
                <w:szCs w:val="24"/>
                <w:lang w:eastAsia="lv-LV"/>
              </w:rPr>
              <w:t xml:space="preserve"> (</w:t>
            </w:r>
            <w:r w:rsidR="0041152A" w:rsidRPr="00731493">
              <w:rPr>
                <w:rFonts w:ascii="Times New Roman" w:eastAsia="Times New Roman" w:hAnsi="Times New Roman" w:cs="Times New Roman"/>
                <w:sz w:val="24"/>
                <w:szCs w:val="24"/>
                <w:lang w:eastAsia="lv-LV"/>
              </w:rPr>
              <w:t>Eiropas Ekonomikas zonas</w:t>
            </w:r>
            <w:r w:rsidRPr="00731493">
              <w:rPr>
                <w:rFonts w:ascii="Times New Roman" w:eastAsia="Times New Roman" w:hAnsi="Times New Roman" w:cs="Times New Roman"/>
                <w:sz w:val="24"/>
                <w:szCs w:val="24"/>
                <w:lang w:eastAsia="lv-LV"/>
              </w:rPr>
              <w:t xml:space="preserve"> </w:t>
            </w:r>
            <w:r w:rsidRPr="00731493">
              <w:rPr>
                <w:rFonts w:ascii="Times New Roman" w:hAnsi="Times New Roman" w:cs="Times New Roman"/>
                <w:sz w:val="24"/>
                <w:szCs w:val="24"/>
              </w:rPr>
              <w:t>finanšu instrumenta piešķīrums</w:t>
            </w:r>
            <w:r w:rsidRPr="00731493">
              <w:rPr>
                <w:rFonts w:ascii="Times New Roman" w:eastAsia="Times New Roman" w:hAnsi="Times New Roman" w:cs="Times New Roman"/>
                <w:sz w:val="24"/>
                <w:szCs w:val="24"/>
                <w:lang w:eastAsia="lv-LV"/>
              </w:rPr>
              <w:t xml:space="preserve"> </w:t>
            </w:r>
            <w:r w:rsidRPr="00731493">
              <w:rPr>
                <w:rFonts w:ascii="Times New Roman" w:hAnsi="Times New Roman" w:cs="Times New Roman"/>
                <w:sz w:val="24"/>
                <w:szCs w:val="24"/>
              </w:rPr>
              <w:t>271 351</w:t>
            </w:r>
            <w:r w:rsidRPr="00731493">
              <w:rPr>
                <w:rFonts w:ascii="Times New Roman" w:eastAsia="Times New Roman" w:hAnsi="Times New Roman" w:cs="Times New Roman"/>
                <w:i/>
                <w:sz w:val="24"/>
                <w:szCs w:val="24"/>
                <w:lang w:eastAsia="lv-LV"/>
              </w:rPr>
              <w:t xml:space="preserve"> euro</w:t>
            </w:r>
            <w:r w:rsidRPr="00731493">
              <w:rPr>
                <w:rFonts w:ascii="Times New Roman" w:eastAsia="Times New Roman" w:hAnsi="Times New Roman" w:cs="Times New Roman"/>
                <w:sz w:val="24"/>
                <w:szCs w:val="24"/>
                <w:lang w:eastAsia="lv-LV"/>
              </w:rPr>
              <w:t xml:space="preserve">, </w:t>
            </w:r>
            <w:r w:rsidR="00F25C06" w:rsidRPr="00731493">
              <w:rPr>
                <w:rFonts w:ascii="Times New Roman" w:eastAsia="Times New Roman" w:hAnsi="Times New Roman" w:cs="Times New Roman"/>
                <w:sz w:val="24"/>
                <w:szCs w:val="24"/>
                <w:lang w:eastAsia="lv-LV"/>
              </w:rPr>
              <w:t xml:space="preserve">Latvijas valsts budžeta </w:t>
            </w:r>
            <w:r w:rsidRPr="00731493">
              <w:rPr>
                <w:rFonts w:ascii="Times New Roman" w:hAnsi="Times New Roman" w:cs="Times New Roman"/>
                <w:sz w:val="24"/>
                <w:szCs w:val="24"/>
              </w:rPr>
              <w:t>47 </w:t>
            </w:r>
            <w:r w:rsidR="00BC0E39" w:rsidRPr="00731493">
              <w:rPr>
                <w:rFonts w:ascii="Times New Roman" w:hAnsi="Times New Roman" w:cs="Times New Roman"/>
                <w:sz w:val="24"/>
                <w:szCs w:val="24"/>
              </w:rPr>
              <w:t>885</w:t>
            </w:r>
            <w:r w:rsidR="00BC0E39" w:rsidRPr="00731493">
              <w:rPr>
                <w:rFonts w:ascii="Times New Roman" w:eastAsia="Times New Roman" w:hAnsi="Times New Roman" w:cs="Times New Roman"/>
                <w:sz w:val="24"/>
                <w:szCs w:val="24"/>
                <w:lang w:eastAsia="lv-LV"/>
              </w:rPr>
              <w:t> </w:t>
            </w:r>
            <w:r w:rsidRPr="00731493">
              <w:rPr>
                <w:rFonts w:ascii="Times New Roman" w:eastAsia="Times New Roman" w:hAnsi="Times New Roman" w:cs="Times New Roman"/>
                <w:i/>
                <w:sz w:val="24"/>
                <w:szCs w:val="24"/>
                <w:lang w:eastAsia="lv-LV"/>
              </w:rPr>
              <w:t>euro</w:t>
            </w:r>
            <w:r w:rsidRPr="00731493">
              <w:rPr>
                <w:rFonts w:ascii="Times New Roman" w:eastAsia="Times New Roman" w:hAnsi="Times New Roman" w:cs="Times New Roman"/>
                <w:sz w:val="24"/>
                <w:szCs w:val="24"/>
                <w:lang w:eastAsia="lv-LV"/>
              </w:rPr>
              <w:t>).</w:t>
            </w:r>
          </w:p>
          <w:p w14:paraId="492DCFFB" w14:textId="7D5D342F" w:rsidR="008D4CDE" w:rsidRPr="00FB46EB" w:rsidRDefault="008027A1" w:rsidP="00731493">
            <w:pPr>
              <w:pStyle w:val="ListParagraph"/>
              <w:tabs>
                <w:tab w:val="left" w:pos="848"/>
              </w:tabs>
              <w:ind w:left="0"/>
              <w:contextualSpacing w:val="0"/>
              <w:jc w:val="both"/>
              <w:rPr>
                <w:rFonts w:ascii="Times New Roman" w:hAnsi="Times New Roman" w:cs="Times New Roman"/>
                <w:sz w:val="24"/>
                <w:szCs w:val="24"/>
                <w:lang w:eastAsia="lv-LV"/>
              </w:rPr>
            </w:pPr>
            <w:r w:rsidRPr="00731493">
              <w:rPr>
                <w:rFonts w:ascii="Times New Roman" w:hAnsi="Times New Roman" w:cs="Times New Roman"/>
                <w:sz w:val="24"/>
                <w:szCs w:val="24"/>
                <w:lang w:eastAsia="lv-LV"/>
              </w:rPr>
              <w:t>Programmas provizoriskā naudas plūsma ir</w:t>
            </w:r>
            <w:r w:rsidRPr="00FB46EB">
              <w:rPr>
                <w:rFonts w:ascii="Times New Roman" w:hAnsi="Times New Roman" w:cs="Times New Roman"/>
                <w:sz w:val="24"/>
                <w:szCs w:val="24"/>
                <w:lang w:eastAsia="lv-LV"/>
              </w:rPr>
              <w:t xml:space="preserve"> sagatavota, pamatojoties uz programmas izstrādes un īstenošanas laika grafiku. </w:t>
            </w:r>
          </w:p>
          <w:p w14:paraId="3289B1D6" w14:textId="4256E69E" w:rsidR="008027A1" w:rsidRPr="00FB46EB" w:rsidRDefault="008027A1" w:rsidP="00225C43">
            <w:pPr>
              <w:pStyle w:val="ListParagraph"/>
              <w:tabs>
                <w:tab w:val="left" w:pos="848"/>
              </w:tabs>
              <w:ind w:left="0"/>
              <w:contextualSpacing w:val="0"/>
              <w:jc w:val="both"/>
              <w:rPr>
                <w:rFonts w:ascii="Times New Roman" w:hAnsi="Times New Roman" w:cs="Times New Roman"/>
                <w:sz w:val="24"/>
                <w:szCs w:val="24"/>
                <w:lang w:eastAsia="lv-LV"/>
              </w:rPr>
            </w:pPr>
            <w:r w:rsidRPr="00FB46EB">
              <w:rPr>
                <w:rFonts w:ascii="Times New Roman" w:hAnsi="Times New Roman" w:cs="Times New Roman"/>
                <w:sz w:val="24"/>
                <w:szCs w:val="24"/>
                <w:lang w:eastAsia="lv-LV"/>
              </w:rPr>
              <w:t>202</w:t>
            </w:r>
            <w:r w:rsidR="00AB0F1D">
              <w:rPr>
                <w:rFonts w:ascii="Times New Roman" w:hAnsi="Times New Roman" w:cs="Times New Roman"/>
                <w:sz w:val="24"/>
                <w:szCs w:val="24"/>
                <w:lang w:eastAsia="lv-LV"/>
              </w:rPr>
              <w:t>1</w:t>
            </w:r>
            <w:r w:rsidRPr="00FB46EB">
              <w:rPr>
                <w:rFonts w:ascii="Times New Roman" w:hAnsi="Times New Roman" w:cs="Times New Roman"/>
                <w:sz w:val="24"/>
                <w:szCs w:val="24"/>
                <w:lang w:eastAsia="lv-LV"/>
              </w:rPr>
              <w:t>.gad</w:t>
            </w:r>
            <w:r w:rsidR="00E3537A">
              <w:rPr>
                <w:rFonts w:ascii="Times New Roman" w:hAnsi="Times New Roman" w:cs="Times New Roman"/>
                <w:sz w:val="24"/>
                <w:szCs w:val="24"/>
                <w:lang w:eastAsia="lv-LV"/>
              </w:rPr>
              <w:t>a sākumā</w:t>
            </w:r>
            <w:r w:rsidRPr="00FB46EB">
              <w:rPr>
                <w:rFonts w:ascii="Times New Roman" w:hAnsi="Times New Roman" w:cs="Times New Roman"/>
                <w:sz w:val="24"/>
                <w:szCs w:val="24"/>
                <w:lang w:eastAsia="lv-LV"/>
              </w:rPr>
              <w:t xml:space="preserve"> plānots izsludināt atklātā projektu konkursa pirmo kārtu un </w:t>
            </w:r>
            <w:r w:rsidR="00E3537A">
              <w:rPr>
                <w:rFonts w:ascii="Times New Roman" w:hAnsi="Times New Roman" w:cs="Times New Roman"/>
                <w:sz w:val="24"/>
                <w:szCs w:val="24"/>
                <w:lang w:eastAsia="lv-LV"/>
              </w:rPr>
              <w:t xml:space="preserve">ne vēlāk kā </w:t>
            </w:r>
            <w:r w:rsidRPr="00FB46EB">
              <w:rPr>
                <w:rFonts w:ascii="Times New Roman" w:hAnsi="Times New Roman" w:cs="Times New Roman"/>
                <w:sz w:val="24"/>
                <w:szCs w:val="24"/>
                <w:lang w:eastAsia="lv-LV"/>
              </w:rPr>
              <w:t>20</w:t>
            </w:r>
            <w:r w:rsidR="00E3537A">
              <w:rPr>
                <w:rFonts w:ascii="Times New Roman" w:hAnsi="Times New Roman" w:cs="Times New Roman"/>
                <w:sz w:val="24"/>
                <w:szCs w:val="24"/>
                <w:lang w:eastAsia="lv-LV"/>
              </w:rPr>
              <w:t>1</w:t>
            </w:r>
            <w:r w:rsidR="00225C43">
              <w:rPr>
                <w:rFonts w:ascii="Times New Roman" w:hAnsi="Times New Roman" w:cs="Times New Roman"/>
                <w:sz w:val="24"/>
                <w:szCs w:val="24"/>
                <w:lang w:eastAsia="lv-LV"/>
              </w:rPr>
              <w:t>2</w:t>
            </w:r>
            <w:r w:rsidRPr="00FB46EB">
              <w:rPr>
                <w:rFonts w:ascii="Times New Roman" w:hAnsi="Times New Roman" w:cs="Times New Roman"/>
                <w:sz w:val="24"/>
                <w:szCs w:val="24"/>
                <w:lang w:eastAsia="lv-LV"/>
              </w:rPr>
              <w:t>.gad</w:t>
            </w:r>
            <w:r w:rsidR="00E3537A">
              <w:rPr>
                <w:rFonts w:ascii="Times New Roman" w:hAnsi="Times New Roman" w:cs="Times New Roman"/>
                <w:sz w:val="24"/>
                <w:szCs w:val="24"/>
                <w:lang w:eastAsia="lv-LV"/>
              </w:rPr>
              <w:t>a 4.ceturksnī</w:t>
            </w:r>
            <w:r w:rsidRPr="00FB46EB">
              <w:rPr>
                <w:rFonts w:ascii="Times New Roman" w:hAnsi="Times New Roman" w:cs="Times New Roman"/>
                <w:sz w:val="24"/>
                <w:szCs w:val="24"/>
                <w:lang w:eastAsia="lv-LV"/>
              </w:rPr>
              <w:t xml:space="preserve"> plānots izsludināt atklātā projektu konkursa otro kārtu. 2021</w:t>
            </w:r>
            <w:r w:rsidR="008D4CDE" w:rsidRPr="00FB46EB">
              <w:rPr>
                <w:rFonts w:ascii="Times New Roman" w:hAnsi="Times New Roman" w:cs="Times New Roman"/>
                <w:sz w:val="24"/>
                <w:szCs w:val="24"/>
                <w:lang w:eastAsia="lv-LV"/>
              </w:rPr>
              <w:t>. – </w:t>
            </w:r>
            <w:r w:rsidRPr="00FB46EB">
              <w:rPr>
                <w:rFonts w:ascii="Times New Roman" w:hAnsi="Times New Roman" w:cs="Times New Roman"/>
                <w:sz w:val="24"/>
                <w:szCs w:val="24"/>
                <w:lang w:eastAsia="lv-LV"/>
              </w:rPr>
              <w:t>2024.gadā paredzēta projektu aktivitāšu īstenošana, kur naudas plūsma plānota</w:t>
            </w:r>
            <w:r w:rsidR="00467000" w:rsidRPr="00FB46EB">
              <w:rPr>
                <w:rFonts w:ascii="Times New Roman" w:hAnsi="Times New Roman" w:cs="Times New Roman"/>
                <w:sz w:val="24"/>
                <w:szCs w:val="24"/>
                <w:lang w:eastAsia="lv-LV"/>
              </w:rPr>
              <w:t>,</w:t>
            </w:r>
            <w:r w:rsidRPr="00FB46EB">
              <w:rPr>
                <w:rFonts w:ascii="Times New Roman" w:hAnsi="Times New Roman" w:cs="Times New Roman"/>
                <w:sz w:val="24"/>
                <w:szCs w:val="24"/>
                <w:lang w:eastAsia="lv-LV"/>
              </w:rPr>
              <w:t xml:space="preserve"> balstoties uz iepriekšējo pieredzi. 2024.gadā plānots veikt projektu noslēgumu maksājumus.  </w:t>
            </w:r>
          </w:p>
        </w:tc>
      </w:tr>
      <w:tr w:rsidR="008027A1" w:rsidRPr="0013168C" w14:paraId="77FDF8C1" w14:textId="77777777" w:rsidTr="00731493">
        <w:trPr>
          <w:tblCellSpacing w:w="20" w:type="dxa"/>
          <w:jc w:val="center"/>
        </w:trPr>
        <w:tc>
          <w:tcPr>
            <w:tcW w:w="2042" w:type="dxa"/>
            <w:hideMark/>
          </w:tcPr>
          <w:p w14:paraId="0642AA4B"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6.1. detalizēts ieņēmumu aprēķins</w:t>
            </w:r>
          </w:p>
        </w:tc>
        <w:tc>
          <w:tcPr>
            <w:tcW w:w="7773" w:type="dxa"/>
            <w:gridSpan w:val="7"/>
            <w:vMerge/>
            <w:hideMark/>
          </w:tcPr>
          <w:p w14:paraId="468BB079" w14:textId="77777777" w:rsidR="008027A1" w:rsidRPr="00FB46EB" w:rsidRDefault="008027A1" w:rsidP="00731493">
            <w:pPr>
              <w:rPr>
                <w:rFonts w:ascii="Times New Roman" w:eastAsia="Times New Roman" w:hAnsi="Times New Roman" w:cs="Times New Roman"/>
                <w:iCs/>
                <w:sz w:val="24"/>
                <w:szCs w:val="24"/>
                <w:lang w:eastAsia="lv-LV"/>
              </w:rPr>
            </w:pPr>
          </w:p>
        </w:tc>
      </w:tr>
      <w:tr w:rsidR="008027A1" w:rsidRPr="0013168C" w14:paraId="32134989" w14:textId="77777777" w:rsidTr="00731493">
        <w:trPr>
          <w:tblCellSpacing w:w="20" w:type="dxa"/>
          <w:jc w:val="center"/>
        </w:trPr>
        <w:tc>
          <w:tcPr>
            <w:tcW w:w="2042" w:type="dxa"/>
            <w:hideMark/>
          </w:tcPr>
          <w:p w14:paraId="653D0C68"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sz w:val="24"/>
                <w:szCs w:val="24"/>
                <w:lang w:eastAsia="lv-LV"/>
              </w:rPr>
              <w:t>6.2. detalizēts izdevumu aprēķins</w:t>
            </w:r>
          </w:p>
        </w:tc>
        <w:tc>
          <w:tcPr>
            <w:tcW w:w="7773" w:type="dxa"/>
            <w:gridSpan w:val="7"/>
            <w:vMerge/>
            <w:hideMark/>
          </w:tcPr>
          <w:p w14:paraId="7211DB34" w14:textId="77777777" w:rsidR="008027A1" w:rsidRPr="00FB46EB" w:rsidRDefault="008027A1" w:rsidP="00731493">
            <w:pPr>
              <w:rPr>
                <w:rFonts w:ascii="Times New Roman" w:eastAsia="Times New Roman" w:hAnsi="Times New Roman" w:cs="Times New Roman"/>
                <w:iCs/>
                <w:sz w:val="24"/>
                <w:szCs w:val="24"/>
                <w:lang w:eastAsia="lv-LV"/>
              </w:rPr>
            </w:pPr>
          </w:p>
        </w:tc>
      </w:tr>
      <w:tr w:rsidR="008027A1" w:rsidRPr="0013168C" w14:paraId="5464550A" w14:textId="77777777" w:rsidTr="00731493">
        <w:trPr>
          <w:tblCellSpacing w:w="20" w:type="dxa"/>
          <w:jc w:val="center"/>
        </w:trPr>
        <w:tc>
          <w:tcPr>
            <w:tcW w:w="2042" w:type="dxa"/>
            <w:hideMark/>
          </w:tcPr>
          <w:p w14:paraId="28F8D920"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color w:val="0D0D0D" w:themeColor="text1" w:themeTint="F2"/>
                <w:sz w:val="24"/>
                <w:szCs w:val="24"/>
                <w:lang w:eastAsia="lv-LV"/>
              </w:rPr>
              <w:t>7. Amata vietu skaita izmaiņas</w:t>
            </w:r>
          </w:p>
        </w:tc>
        <w:tc>
          <w:tcPr>
            <w:tcW w:w="7773" w:type="dxa"/>
            <w:gridSpan w:val="7"/>
            <w:hideMark/>
          </w:tcPr>
          <w:p w14:paraId="6DAE579F" w14:textId="47FA24D7" w:rsidR="008027A1" w:rsidRPr="00FB46EB" w:rsidRDefault="003F230E"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sz w:val="24"/>
                <w:szCs w:val="24"/>
                <w:lang w:eastAsia="lv-LV"/>
              </w:rPr>
              <w:t>Noteikumu projekts</w:t>
            </w:r>
            <w:r w:rsidR="008027A1" w:rsidRPr="00FB46EB">
              <w:rPr>
                <w:rFonts w:ascii="Times New Roman" w:hAnsi="Times New Roman" w:cs="Times New Roman"/>
                <w:sz w:val="24"/>
                <w:szCs w:val="24"/>
              </w:rPr>
              <w:t xml:space="preserve"> šo jomu neskar</w:t>
            </w:r>
            <w:r w:rsidR="008027A1" w:rsidRPr="00FB46EB">
              <w:rPr>
                <w:rFonts w:ascii="Times New Roman" w:eastAsiaTheme="minorEastAsia" w:hAnsi="Times New Roman" w:cs="Times New Roman"/>
                <w:sz w:val="24"/>
                <w:szCs w:val="24"/>
                <w:lang w:eastAsia="lv-LV"/>
              </w:rPr>
              <w:t>.</w:t>
            </w:r>
          </w:p>
        </w:tc>
      </w:tr>
      <w:tr w:rsidR="008027A1" w:rsidRPr="0013168C" w14:paraId="758B6228" w14:textId="77777777" w:rsidTr="00731493">
        <w:trPr>
          <w:tblCellSpacing w:w="20" w:type="dxa"/>
          <w:jc w:val="center"/>
        </w:trPr>
        <w:tc>
          <w:tcPr>
            <w:tcW w:w="2042" w:type="dxa"/>
            <w:hideMark/>
          </w:tcPr>
          <w:p w14:paraId="281F383A" w14:textId="77777777" w:rsidR="008027A1" w:rsidRPr="00FB46EB" w:rsidRDefault="008027A1" w:rsidP="00731493">
            <w:pPr>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iCs/>
                <w:color w:val="0D0D0D" w:themeColor="text1" w:themeTint="F2"/>
                <w:sz w:val="24"/>
                <w:szCs w:val="24"/>
                <w:lang w:eastAsia="lv-LV"/>
              </w:rPr>
              <w:t>8. Cita informācija</w:t>
            </w:r>
          </w:p>
        </w:tc>
        <w:tc>
          <w:tcPr>
            <w:tcW w:w="7773" w:type="dxa"/>
            <w:gridSpan w:val="7"/>
            <w:hideMark/>
          </w:tcPr>
          <w:p w14:paraId="50BCC982" w14:textId="44B1D778" w:rsidR="008027A1" w:rsidRPr="00FB46EB" w:rsidRDefault="00104331" w:rsidP="00731493">
            <w:pPr>
              <w:jc w:val="both"/>
              <w:rPr>
                <w:rFonts w:ascii="Times New Roman" w:eastAsia="Times New Roman" w:hAnsi="Times New Roman" w:cs="Times New Roman"/>
                <w:iCs/>
                <w:sz w:val="24"/>
                <w:szCs w:val="24"/>
                <w:lang w:eastAsia="lv-LV"/>
              </w:rPr>
            </w:pPr>
            <w:r w:rsidRPr="00FB46EB">
              <w:rPr>
                <w:rFonts w:ascii="Times New Roman" w:eastAsia="Times New Roman" w:hAnsi="Times New Roman" w:cs="Times New Roman"/>
                <w:sz w:val="24"/>
                <w:szCs w:val="24"/>
                <w:lang w:eastAsia="lv-LV"/>
              </w:rPr>
              <w:t>Pēc projektu apstiprināšanas līdzekļi izdevumu segšanai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7F4181E0" w14:textId="77777777" w:rsidR="00DA06D8" w:rsidRPr="00FB46EB" w:rsidRDefault="00DA06D8" w:rsidP="00731493">
      <w:pPr>
        <w:shd w:val="clear" w:color="auto" w:fill="FFFFFF"/>
        <w:spacing w:after="0" w:line="240" w:lineRule="auto"/>
        <w:rPr>
          <w:rFonts w:ascii="Times New Roman" w:eastAsia="Times New Roman" w:hAnsi="Times New Roman" w:cs="Times New Roman"/>
          <w:sz w:val="24"/>
          <w:szCs w:val="24"/>
          <w:lang w:eastAsia="lv-LV"/>
        </w:rPr>
      </w:pPr>
    </w:p>
    <w:tbl>
      <w:tblPr>
        <w:tblW w:w="514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86"/>
        <w:gridCol w:w="2909"/>
        <w:gridCol w:w="6197"/>
      </w:tblGrid>
      <w:tr w:rsidR="00E93523" w:rsidRPr="0013168C" w14:paraId="6C7DDBA5" w14:textId="77777777" w:rsidTr="00676AB9">
        <w:trPr>
          <w:tblCellSpacing w:w="20" w:type="dxa"/>
          <w:jc w:val="center"/>
        </w:trPr>
        <w:tc>
          <w:tcPr>
            <w:tcW w:w="4957" w:type="pct"/>
            <w:gridSpan w:val="3"/>
            <w:vAlign w:val="center"/>
            <w:hideMark/>
          </w:tcPr>
          <w:p w14:paraId="0F207D91" w14:textId="77777777" w:rsidR="00E93523" w:rsidRPr="00FB46EB" w:rsidRDefault="00E93523" w:rsidP="00731493">
            <w:pPr>
              <w:spacing w:after="0" w:line="240" w:lineRule="auto"/>
              <w:ind w:firstLine="301"/>
              <w:jc w:val="center"/>
              <w:rPr>
                <w:rFonts w:ascii="Times New Roman" w:eastAsia="Times New Roman" w:hAnsi="Times New Roman" w:cs="Times New Roman"/>
                <w:b/>
                <w:bCs/>
                <w:color w:val="000000" w:themeColor="text1"/>
                <w:sz w:val="24"/>
                <w:szCs w:val="24"/>
                <w:lang w:eastAsia="lv-LV"/>
              </w:rPr>
            </w:pPr>
            <w:r w:rsidRPr="00FB46EB">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6702BA" w:rsidRPr="0013168C" w14:paraId="0E141717" w14:textId="6E4F7BEA" w:rsidTr="00676AB9">
        <w:trPr>
          <w:tblCellSpacing w:w="20" w:type="dxa"/>
          <w:jc w:val="center"/>
        </w:trPr>
        <w:tc>
          <w:tcPr>
            <w:tcW w:w="370" w:type="pct"/>
            <w:tcBorders>
              <w:right w:val="outset" w:sz="6" w:space="0" w:color="auto"/>
            </w:tcBorders>
          </w:tcPr>
          <w:p w14:paraId="33603D15" w14:textId="7E39AB37" w:rsidR="006702BA" w:rsidRPr="00FB46EB" w:rsidRDefault="006702BA" w:rsidP="00731493">
            <w:pPr>
              <w:spacing w:after="0" w:line="240" w:lineRule="auto"/>
              <w:ind w:firstLine="300"/>
              <w:jc w:val="both"/>
              <w:rPr>
                <w:rFonts w:ascii="Times New Roman" w:eastAsia="Times New Roman" w:hAnsi="Times New Roman" w:cs="Times New Roman"/>
                <w:bCs/>
                <w:color w:val="000000" w:themeColor="text1"/>
                <w:sz w:val="24"/>
                <w:szCs w:val="24"/>
                <w:lang w:eastAsia="lv-LV"/>
              </w:rPr>
            </w:pPr>
            <w:r w:rsidRPr="00FB46EB">
              <w:rPr>
                <w:rFonts w:ascii="Times New Roman" w:eastAsia="Times New Roman" w:hAnsi="Times New Roman" w:cs="Times New Roman"/>
                <w:sz w:val="24"/>
                <w:szCs w:val="24"/>
                <w:lang w:eastAsia="lv-LV"/>
              </w:rPr>
              <w:t>1.</w:t>
            </w:r>
          </w:p>
        </w:tc>
        <w:tc>
          <w:tcPr>
            <w:tcW w:w="1461" w:type="pct"/>
            <w:tcBorders>
              <w:left w:val="outset" w:sz="6" w:space="0" w:color="auto"/>
              <w:right w:val="outset" w:sz="6" w:space="0" w:color="auto"/>
            </w:tcBorders>
            <w:vAlign w:val="center"/>
          </w:tcPr>
          <w:p w14:paraId="61A70D76" w14:textId="4E0ADACE" w:rsidR="006702BA" w:rsidRPr="00FB46EB" w:rsidRDefault="006702BA"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Saistītie tiesību aktu projekti</w:t>
            </w:r>
          </w:p>
        </w:tc>
        <w:tc>
          <w:tcPr>
            <w:tcW w:w="3083" w:type="pct"/>
            <w:tcBorders>
              <w:left w:val="outset" w:sz="6" w:space="0" w:color="auto"/>
            </w:tcBorders>
            <w:vAlign w:val="center"/>
          </w:tcPr>
          <w:p w14:paraId="7A51ABC0" w14:textId="2D2F0CD8" w:rsidR="006702BA" w:rsidRPr="00FB46EB" w:rsidRDefault="0063759D" w:rsidP="00731493">
            <w:pPr>
              <w:widowControl w:val="0"/>
              <w:spacing w:after="0" w:line="240" w:lineRule="auto"/>
              <w:jc w:val="both"/>
              <w:rPr>
                <w:rFonts w:ascii="Times New Roman" w:hAnsi="Times New Roman" w:cs="Times New Roman"/>
                <w:sz w:val="24"/>
                <w:szCs w:val="24"/>
                <w:shd w:val="clear" w:color="auto" w:fill="FFFFFF"/>
              </w:rPr>
            </w:pPr>
            <w:r w:rsidRPr="00FB46EB">
              <w:rPr>
                <w:rFonts w:ascii="Times New Roman" w:hAnsi="Times New Roman" w:cs="Times New Roman"/>
                <w:sz w:val="24"/>
                <w:szCs w:val="24"/>
                <w:shd w:val="clear" w:color="auto" w:fill="FFFFFF"/>
              </w:rPr>
              <w:t>P</w:t>
            </w:r>
            <w:r w:rsidR="00E268FD" w:rsidRPr="00FB46EB">
              <w:rPr>
                <w:rFonts w:ascii="Times New Roman" w:hAnsi="Times New Roman" w:cs="Times New Roman"/>
                <w:sz w:val="24"/>
                <w:szCs w:val="24"/>
              </w:rPr>
              <w:t>rogrammas īstenošanas noteikum</w:t>
            </w:r>
            <w:r w:rsidRPr="00FB46EB">
              <w:rPr>
                <w:rFonts w:ascii="Times New Roman" w:hAnsi="Times New Roman" w:cs="Times New Roman"/>
                <w:sz w:val="24"/>
                <w:szCs w:val="24"/>
              </w:rPr>
              <w:t>i</w:t>
            </w:r>
            <w:r w:rsidR="00860FE3" w:rsidRPr="00FB46EB">
              <w:rPr>
                <w:rFonts w:ascii="Times New Roman" w:hAnsi="Times New Roman" w:cs="Times New Roman"/>
                <w:sz w:val="24"/>
                <w:szCs w:val="24"/>
                <w:shd w:val="clear" w:color="auto" w:fill="FFFFFF"/>
              </w:rPr>
              <w:t>, kas nos</w:t>
            </w:r>
            <w:r w:rsidR="002325B4">
              <w:rPr>
                <w:rFonts w:ascii="Times New Roman" w:hAnsi="Times New Roman" w:cs="Times New Roman"/>
                <w:sz w:val="24"/>
                <w:szCs w:val="24"/>
                <w:shd w:val="clear" w:color="auto" w:fill="FFFFFF"/>
              </w:rPr>
              <w:t>aka</w:t>
            </w:r>
            <w:r w:rsidR="00860FE3" w:rsidRPr="00FB46EB">
              <w:rPr>
                <w:rFonts w:ascii="Times New Roman" w:hAnsi="Times New Roman" w:cs="Times New Roman"/>
                <w:sz w:val="24"/>
                <w:szCs w:val="24"/>
                <w:shd w:val="clear" w:color="auto" w:fill="FFFFFF"/>
              </w:rPr>
              <w:t xml:space="preserve"> programmas </w:t>
            </w:r>
            <w:r w:rsidR="00860FE3" w:rsidRPr="00FB46EB">
              <w:rPr>
                <w:rFonts w:ascii="Times New Roman" w:hAnsi="Times New Roman" w:cs="Times New Roman"/>
                <w:sz w:val="24"/>
                <w:szCs w:val="24"/>
              </w:rPr>
              <w:t>mērķi, pieejamo finansējumu, sasniedzamos rezultātus un apsaimniekotāju; programmas partneri, neliela apjoma grantu shēmas apsaimniekotāju un to pienākumus; iepriekš noteiktos projektus, to iesniedzējus un partnerus; iepriekš noteikto projektu atbalstāmās darbības; iepriekš noteikto projektu izmaksu attiecināmības nosacījumus; projekta līguma grozījumu veikšanas kārtību un projekta līguma vienpusēja uzteikuma nosacījumus iepriekš noteiktajiem projektiem; divpusējās sadarbības fonda aktivitāšu ieviešanas kārtību; komercdarbības atbalsta kontroles nosacījumus.</w:t>
            </w:r>
          </w:p>
        </w:tc>
      </w:tr>
      <w:tr w:rsidR="006702BA" w:rsidRPr="0013168C" w14:paraId="0F54115F" w14:textId="5A67347A" w:rsidTr="00676AB9">
        <w:trPr>
          <w:tblCellSpacing w:w="20" w:type="dxa"/>
          <w:jc w:val="center"/>
        </w:trPr>
        <w:tc>
          <w:tcPr>
            <w:tcW w:w="370" w:type="pct"/>
            <w:tcBorders>
              <w:right w:val="outset" w:sz="6" w:space="0" w:color="auto"/>
            </w:tcBorders>
          </w:tcPr>
          <w:p w14:paraId="275F5531" w14:textId="056A697A" w:rsidR="006702BA" w:rsidRPr="00FB46EB" w:rsidRDefault="006702BA" w:rsidP="00731493">
            <w:pPr>
              <w:spacing w:after="0" w:line="240" w:lineRule="auto"/>
              <w:ind w:firstLine="300"/>
              <w:jc w:val="both"/>
              <w:rPr>
                <w:rFonts w:ascii="Times New Roman" w:hAnsi="Times New Roman" w:cs="Times New Roman"/>
                <w:sz w:val="24"/>
                <w:szCs w:val="24"/>
                <w:shd w:val="clear" w:color="auto" w:fill="FFFFFF"/>
              </w:rPr>
            </w:pPr>
            <w:r w:rsidRPr="00FB46EB">
              <w:rPr>
                <w:rFonts w:ascii="Times New Roman" w:eastAsia="Times New Roman" w:hAnsi="Times New Roman" w:cs="Times New Roman"/>
                <w:sz w:val="24"/>
                <w:szCs w:val="24"/>
                <w:lang w:eastAsia="lv-LV"/>
              </w:rPr>
              <w:t>2.</w:t>
            </w:r>
          </w:p>
        </w:tc>
        <w:tc>
          <w:tcPr>
            <w:tcW w:w="1461" w:type="pct"/>
            <w:tcBorders>
              <w:left w:val="outset" w:sz="6" w:space="0" w:color="auto"/>
              <w:right w:val="outset" w:sz="6" w:space="0" w:color="auto"/>
            </w:tcBorders>
            <w:vAlign w:val="center"/>
          </w:tcPr>
          <w:p w14:paraId="066A0653" w14:textId="00E0A2EB" w:rsidR="006702BA" w:rsidRPr="00FB46EB" w:rsidRDefault="006702BA"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Atbildīgā institūcija</w:t>
            </w:r>
          </w:p>
        </w:tc>
        <w:tc>
          <w:tcPr>
            <w:tcW w:w="3083" w:type="pct"/>
            <w:tcBorders>
              <w:left w:val="outset" w:sz="6" w:space="0" w:color="auto"/>
            </w:tcBorders>
            <w:vAlign w:val="center"/>
          </w:tcPr>
          <w:p w14:paraId="44552089" w14:textId="45B56B8B" w:rsidR="006702BA" w:rsidRPr="00FB46EB" w:rsidRDefault="009B3E3E" w:rsidP="00731493">
            <w:pPr>
              <w:spacing w:after="0" w:line="240" w:lineRule="auto"/>
              <w:jc w:val="both"/>
              <w:rPr>
                <w:rFonts w:ascii="Times New Roman" w:hAnsi="Times New Roman" w:cs="Times New Roman"/>
                <w:sz w:val="24"/>
                <w:szCs w:val="24"/>
                <w:shd w:val="clear" w:color="auto" w:fill="FFFFFF"/>
              </w:rPr>
            </w:pPr>
            <w:r w:rsidRPr="00FB46EB">
              <w:rPr>
                <w:rFonts w:ascii="Times New Roman" w:hAnsi="Times New Roman" w:cs="Times New Roman"/>
                <w:sz w:val="24"/>
                <w:szCs w:val="24"/>
                <w:shd w:val="clear" w:color="auto" w:fill="FFFFFF"/>
              </w:rPr>
              <w:t>Programmas apsaimniekotājs</w:t>
            </w:r>
          </w:p>
        </w:tc>
      </w:tr>
      <w:tr w:rsidR="006702BA" w:rsidRPr="0013168C" w14:paraId="3A493B80" w14:textId="3612C408" w:rsidTr="00676AB9">
        <w:trPr>
          <w:tblCellSpacing w:w="20" w:type="dxa"/>
          <w:jc w:val="center"/>
        </w:trPr>
        <w:tc>
          <w:tcPr>
            <w:tcW w:w="370" w:type="pct"/>
            <w:tcBorders>
              <w:right w:val="outset" w:sz="6" w:space="0" w:color="auto"/>
            </w:tcBorders>
          </w:tcPr>
          <w:p w14:paraId="272B1173" w14:textId="5E5D109C" w:rsidR="006702BA" w:rsidRPr="00FB46EB" w:rsidRDefault="006702BA" w:rsidP="00731493">
            <w:pPr>
              <w:spacing w:after="0" w:line="240" w:lineRule="auto"/>
              <w:ind w:firstLine="300"/>
              <w:jc w:val="both"/>
              <w:rPr>
                <w:rFonts w:ascii="Times New Roman" w:hAnsi="Times New Roman" w:cs="Times New Roman"/>
                <w:sz w:val="24"/>
                <w:szCs w:val="24"/>
                <w:shd w:val="clear" w:color="auto" w:fill="FFFFFF"/>
              </w:rPr>
            </w:pPr>
            <w:r w:rsidRPr="00FB46EB">
              <w:rPr>
                <w:rFonts w:ascii="Times New Roman" w:eastAsia="Times New Roman" w:hAnsi="Times New Roman" w:cs="Times New Roman"/>
                <w:sz w:val="24"/>
                <w:szCs w:val="24"/>
                <w:lang w:eastAsia="lv-LV"/>
              </w:rPr>
              <w:t>3.</w:t>
            </w:r>
          </w:p>
        </w:tc>
        <w:tc>
          <w:tcPr>
            <w:tcW w:w="1461" w:type="pct"/>
            <w:tcBorders>
              <w:left w:val="outset" w:sz="6" w:space="0" w:color="auto"/>
              <w:right w:val="outset" w:sz="6" w:space="0" w:color="auto"/>
            </w:tcBorders>
            <w:vAlign w:val="center"/>
          </w:tcPr>
          <w:p w14:paraId="46BA0DB5" w14:textId="19823830" w:rsidR="006702BA" w:rsidRPr="00FB46EB" w:rsidRDefault="006702BA"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 informācija</w:t>
            </w:r>
          </w:p>
        </w:tc>
        <w:tc>
          <w:tcPr>
            <w:tcW w:w="3083" w:type="pct"/>
            <w:tcBorders>
              <w:left w:val="outset" w:sz="6" w:space="0" w:color="auto"/>
            </w:tcBorders>
            <w:vAlign w:val="center"/>
          </w:tcPr>
          <w:p w14:paraId="08F728C6" w14:textId="3137E3C6" w:rsidR="006702BA" w:rsidRPr="00FB46EB" w:rsidRDefault="006702BA" w:rsidP="00731493">
            <w:pPr>
              <w:spacing w:after="0" w:line="240" w:lineRule="auto"/>
              <w:jc w:val="both"/>
              <w:rPr>
                <w:rFonts w:ascii="Times New Roman" w:hAnsi="Times New Roman" w:cs="Times New Roman"/>
                <w:sz w:val="24"/>
                <w:szCs w:val="24"/>
                <w:shd w:val="clear" w:color="auto" w:fill="FFFFFF"/>
              </w:rPr>
            </w:pPr>
            <w:r w:rsidRPr="00FB46EB">
              <w:rPr>
                <w:rFonts w:ascii="Times New Roman" w:hAnsi="Times New Roman" w:cs="Times New Roman"/>
                <w:sz w:val="24"/>
                <w:szCs w:val="24"/>
                <w:shd w:val="clear" w:color="auto" w:fill="FFFFFF"/>
              </w:rPr>
              <w:t>Nav</w:t>
            </w:r>
          </w:p>
        </w:tc>
      </w:tr>
    </w:tbl>
    <w:p w14:paraId="5F40F475" w14:textId="77777777" w:rsidR="00E93523" w:rsidRPr="00FB46EB" w:rsidRDefault="00E93523" w:rsidP="00731493">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674"/>
        <w:gridCol w:w="2711"/>
        <w:gridCol w:w="6398"/>
      </w:tblGrid>
      <w:tr w:rsidR="00152C21" w:rsidRPr="0013168C" w14:paraId="444E730F" w14:textId="77777777" w:rsidTr="009773F0">
        <w:trPr>
          <w:tblCellSpacing w:w="20" w:type="dxa"/>
        </w:trPr>
        <w:tc>
          <w:tcPr>
            <w:tcW w:w="4957" w:type="pct"/>
            <w:gridSpan w:val="3"/>
            <w:vAlign w:val="center"/>
            <w:hideMark/>
          </w:tcPr>
          <w:p w14:paraId="59EF16E7" w14:textId="77777777" w:rsidR="00894C55" w:rsidRPr="00FB46EB" w:rsidRDefault="00B32BBE" w:rsidP="00731493">
            <w:pPr>
              <w:spacing w:after="0" w:line="240" w:lineRule="auto"/>
              <w:jc w:val="center"/>
              <w:rPr>
                <w:rFonts w:ascii="Times New Roman" w:eastAsia="Times New Roman" w:hAnsi="Times New Roman" w:cs="Times New Roman"/>
                <w:b/>
                <w:bCs/>
                <w:sz w:val="24"/>
                <w:szCs w:val="24"/>
                <w:lang w:eastAsia="lv-LV"/>
              </w:rPr>
            </w:pPr>
            <w:r w:rsidRPr="00FB46EB">
              <w:rPr>
                <w:rFonts w:ascii="Times New Roman" w:eastAsia="Times New Roman" w:hAnsi="Times New Roman" w:cs="Times New Roman"/>
                <w:b/>
                <w:bCs/>
                <w:sz w:val="24"/>
                <w:szCs w:val="24"/>
                <w:lang w:eastAsia="lv-LV"/>
              </w:rPr>
              <w:t>V.</w:t>
            </w:r>
            <w:r w:rsidR="003E0791" w:rsidRPr="00FB46EB">
              <w:rPr>
                <w:rFonts w:ascii="Times New Roman" w:eastAsia="Times New Roman" w:hAnsi="Times New Roman" w:cs="Times New Roman"/>
                <w:b/>
                <w:bCs/>
                <w:sz w:val="24"/>
                <w:szCs w:val="24"/>
                <w:lang w:eastAsia="lv-LV"/>
              </w:rPr>
              <w:t> </w:t>
            </w:r>
            <w:r w:rsidRPr="00FB46EB">
              <w:rPr>
                <w:rFonts w:ascii="Times New Roman" w:eastAsia="Times New Roman" w:hAnsi="Times New Roman" w:cs="Times New Roman"/>
                <w:b/>
                <w:bCs/>
                <w:sz w:val="24"/>
                <w:szCs w:val="24"/>
                <w:lang w:eastAsia="lv-LV"/>
              </w:rPr>
              <w:t>Tiesību akta projekta atbilstība Latvijas Republikas starptautiskajām saistībām</w:t>
            </w:r>
          </w:p>
        </w:tc>
      </w:tr>
      <w:tr w:rsidR="00152C21" w:rsidRPr="0013168C" w14:paraId="506536CC" w14:textId="77777777" w:rsidTr="009773F0">
        <w:trPr>
          <w:tblCellSpacing w:w="20" w:type="dxa"/>
        </w:trPr>
        <w:tc>
          <w:tcPr>
            <w:tcW w:w="316" w:type="pct"/>
            <w:hideMark/>
          </w:tcPr>
          <w:p w14:paraId="10A0E9CF" w14:textId="77777777" w:rsidR="00894C55" w:rsidRPr="00FB46EB" w:rsidRDefault="00B32BBE"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1.</w:t>
            </w:r>
          </w:p>
        </w:tc>
        <w:tc>
          <w:tcPr>
            <w:tcW w:w="1376" w:type="pct"/>
            <w:hideMark/>
          </w:tcPr>
          <w:p w14:paraId="08365822"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Saistības pret Eiropas Savienību</w:t>
            </w:r>
          </w:p>
        </w:tc>
        <w:tc>
          <w:tcPr>
            <w:tcW w:w="3221" w:type="pct"/>
            <w:hideMark/>
          </w:tcPr>
          <w:p w14:paraId="27DFD117" w14:textId="11099518" w:rsidR="00894C55" w:rsidRPr="00FB46EB" w:rsidRDefault="0059592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Regula Nr. 1295/2013</w:t>
            </w:r>
            <w:r w:rsidRPr="00FB46EB">
              <w:rPr>
                <w:rFonts w:ascii="Times New Roman" w:eastAsia="Times New Roman" w:hAnsi="Times New Roman" w:cs="Times New Roman"/>
                <w:sz w:val="24"/>
                <w:szCs w:val="24"/>
                <w:lang w:eastAsia="lv-LV"/>
              </w:rPr>
              <w:t>.</w:t>
            </w:r>
          </w:p>
        </w:tc>
      </w:tr>
      <w:tr w:rsidR="00152C21" w:rsidRPr="0013168C" w14:paraId="182032B7" w14:textId="77777777" w:rsidTr="009773F0">
        <w:trPr>
          <w:tblCellSpacing w:w="20" w:type="dxa"/>
        </w:trPr>
        <w:tc>
          <w:tcPr>
            <w:tcW w:w="316" w:type="pct"/>
            <w:hideMark/>
          </w:tcPr>
          <w:p w14:paraId="55F408F9" w14:textId="77777777" w:rsidR="00894C55" w:rsidRPr="00FB46EB" w:rsidRDefault="00B32BBE"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2.</w:t>
            </w:r>
          </w:p>
        </w:tc>
        <w:tc>
          <w:tcPr>
            <w:tcW w:w="1376" w:type="pct"/>
            <w:hideMark/>
          </w:tcPr>
          <w:p w14:paraId="0E0922A2"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Citas starptautiskās saistības</w:t>
            </w:r>
          </w:p>
        </w:tc>
        <w:tc>
          <w:tcPr>
            <w:tcW w:w="3221" w:type="pct"/>
            <w:hideMark/>
          </w:tcPr>
          <w:p w14:paraId="26FE56A4" w14:textId="2BC625BD" w:rsidR="00225C43" w:rsidRDefault="005E1912" w:rsidP="00225C4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 xml:space="preserve">Noteikumu projekts izstrādāts, lai nodrošinātu Saprašanās memoranda B pielikumā noteiktā uzdevuma daļēju izpildi. </w:t>
            </w:r>
            <w:r w:rsidRPr="00FB46EB">
              <w:rPr>
                <w:rFonts w:ascii="Times New Roman" w:eastAsia="Times New Roman" w:hAnsi="Times New Roman" w:cs="Times New Roman"/>
                <w:sz w:val="24"/>
                <w:szCs w:val="24"/>
                <w:lang w:eastAsia="lv-LV"/>
              </w:rPr>
              <w:lastRenderedPageBreak/>
              <w:t>Saprašanās memoranda B pielikumā noteiktā uzdevuma pilnīga izpilde tiks nodrošināta pēc “Eiropas Ekonomikas zonas finanšu instrumenta 2014.–2021. gada perioda programmas “Vietējā attīstība, nabadzības mazināšana un kultūras sadarbība</w:t>
            </w:r>
            <w:r w:rsidR="00225C43">
              <w:rPr>
                <w:rFonts w:ascii="Times New Roman" w:eastAsia="Times New Roman" w:hAnsi="Times New Roman" w:cs="Times New Roman"/>
                <w:sz w:val="24"/>
                <w:szCs w:val="24"/>
                <w:lang w:eastAsia="lv-LV"/>
              </w:rPr>
              <w:t>” neliela apjoma grantu shēmas atklātā projektu iesniegumu konkursa “Atbalsts biznesa ideju īstenošanai Latgalē” īstenošanas noteikumi” stāšanās spēkā.</w:t>
            </w:r>
          </w:p>
          <w:p w14:paraId="0F826317" w14:textId="0854599B" w:rsidR="00AB4FC9" w:rsidRPr="00FB46EB" w:rsidRDefault="005E1912" w:rsidP="00225C4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Par minēto Ministru kabineta noteikumu izstrādi ir atbildīga VARAM</w:t>
            </w:r>
            <w:r w:rsidR="00D832B9">
              <w:rPr>
                <w:rFonts w:ascii="Times New Roman" w:eastAsia="Times New Roman" w:hAnsi="Times New Roman" w:cs="Times New Roman"/>
                <w:sz w:val="24"/>
                <w:szCs w:val="24"/>
                <w:lang w:eastAsia="lv-LV"/>
              </w:rPr>
              <w:t>.</w:t>
            </w:r>
          </w:p>
        </w:tc>
      </w:tr>
      <w:tr w:rsidR="00152C21" w:rsidRPr="0013168C" w14:paraId="4ABB3357" w14:textId="77777777" w:rsidTr="009773F0">
        <w:trPr>
          <w:tblCellSpacing w:w="20" w:type="dxa"/>
        </w:trPr>
        <w:tc>
          <w:tcPr>
            <w:tcW w:w="316" w:type="pct"/>
            <w:hideMark/>
          </w:tcPr>
          <w:p w14:paraId="2646434A" w14:textId="77777777" w:rsidR="00894C55" w:rsidRPr="00FB46EB" w:rsidRDefault="00B32BBE"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lastRenderedPageBreak/>
              <w:t>3.</w:t>
            </w:r>
          </w:p>
        </w:tc>
        <w:tc>
          <w:tcPr>
            <w:tcW w:w="1376" w:type="pct"/>
            <w:hideMark/>
          </w:tcPr>
          <w:p w14:paraId="7090392F"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 informācija</w:t>
            </w:r>
          </w:p>
        </w:tc>
        <w:tc>
          <w:tcPr>
            <w:tcW w:w="3221" w:type="pct"/>
            <w:hideMark/>
          </w:tcPr>
          <w:p w14:paraId="67EEAEF7" w14:textId="07D57AF4" w:rsidR="00894C55" w:rsidRPr="00FB46EB" w:rsidRDefault="00B32BBE"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Nav</w:t>
            </w:r>
          </w:p>
        </w:tc>
      </w:tr>
      <w:tr w:rsidR="00AD3391" w:rsidRPr="0013168C" w14:paraId="485E6882" w14:textId="77777777" w:rsidTr="009773F0">
        <w:trPr>
          <w:tblCellSpacing w:w="20" w:type="dxa"/>
        </w:trPr>
        <w:tc>
          <w:tcPr>
            <w:tcW w:w="316" w:type="pct"/>
          </w:tcPr>
          <w:p w14:paraId="73D614E4" w14:textId="77777777" w:rsidR="00AD3391" w:rsidRPr="00FB46EB" w:rsidRDefault="00AD3391" w:rsidP="00731493">
            <w:pPr>
              <w:spacing w:after="0" w:line="240" w:lineRule="auto"/>
              <w:rPr>
                <w:rFonts w:ascii="Times New Roman" w:eastAsia="Times New Roman" w:hAnsi="Times New Roman" w:cs="Times New Roman"/>
                <w:sz w:val="24"/>
                <w:szCs w:val="24"/>
                <w:lang w:eastAsia="lv-LV"/>
              </w:rPr>
            </w:pPr>
          </w:p>
        </w:tc>
        <w:tc>
          <w:tcPr>
            <w:tcW w:w="1376" w:type="pct"/>
          </w:tcPr>
          <w:p w14:paraId="76EC6D61" w14:textId="77777777" w:rsidR="00AD3391" w:rsidRPr="00FB46EB" w:rsidRDefault="00AD3391" w:rsidP="00731493">
            <w:pPr>
              <w:spacing w:after="0" w:line="240" w:lineRule="auto"/>
              <w:rPr>
                <w:rFonts w:ascii="Times New Roman" w:eastAsia="Times New Roman" w:hAnsi="Times New Roman" w:cs="Times New Roman"/>
                <w:sz w:val="24"/>
                <w:szCs w:val="24"/>
                <w:lang w:eastAsia="lv-LV"/>
              </w:rPr>
            </w:pPr>
          </w:p>
        </w:tc>
        <w:tc>
          <w:tcPr>
            <w:tcW w:w="3221" w:type="pct"/>
          </w:tcPr>
          <w:p w14:paraId="672D1A7F"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p>
        </w:tc>
      </w:tr>
      <w:tr w:rsidR="00AD3391" w:rsidRPr="0013168C" w14:paraId="03D67E56" w14:textId="77777777" w:rsidTr="009773F0">
        <w:trPr>
          <w:tblCellSpacing w:w="20" w:type="dxa"/>
        </w:trPr>
        <w:tc>
          <w:tcPr>
            <w:tcW w:w="4957" w:type="pct"/>
            <w:gridSpan w:val="3"/>
          </w:tcPr>
          <w:tbl>
            <w:tblPr>
              <w:tblW w:w="505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2466"/>
              <w:gridCol w:w="2339"/>
              <w:gridCol w:w="2438"/>
              <w:gridCol w:w="2466"/>
            </w:tblGrid>
            <w:tr w:rsidR="00AD3391" w:rsidRPr="0013168C" w14:paraId="217097F3" w14:textId="77777777" w:rsidTr="00B52256">
              <w:trPr>
                <w:tblCellSpacing w:w="20" w:type="dxa"/>
              </w:trPr>
              <w:tc>
                <w:tcPr>
                  <w:tcW w:w="4956" w:type="pct"/>
                  <w:gridSpan w:val="4"/>
                  <w:hideMark/>
                </w:tcPr>
                <w:p w14:paraId="352D2EFE" w14:textId="799A3E19" w:rsidR="00AD3391" w:rsidRPr="00FB46EB" w:rsidRDefault="00C73214" w:rsidP="0073149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00AD3391" w:rsidRPr="00FB46EB">
                    <w:rPr>
                      <w:rFonts w:ascii="Times New Roman" w:eastAsia="Times New Roman" w:hAnsi="Times New Roman" w:cs="Times New Roman"/>
                      <w:b/>
                      <w:sz w:val="24"/>
                      <w:szCs w:val="24"/>
                      <w:lang w:eastAsia="lv-LV"/>
                    </w:rPr>
                    <w:t>tabula</w:t>
                  </w:r>
                  <w:r w:rsidR="00AD3391" w:rsidRPr="00FB46EB">
                    <w:rPr>
                      <w:rFonts w:ascii="Times New Roman" w:eastAsia="Times New Roman" w:hAnsi="Times New Roman" w:cs="Times New Roman"/>
                      <w:b/>
                      <w:sz w:val="24"/>
                      <w:szCs w:val="24"/>
                      <w:lang w:eastAsia="lv-LV"/>
                    </w:rPr>
                    <w:br/>
                    <w:t>Tiesību akta projekta atbilstība ES tiesību aktiem</w:t>
                  </w:r>
                </w:p>
              </w:tc>
            </w:tr>
            <w:tr w:rsidR="00AD3391" w:rsidRPr="0013168C" w14:paraId="6560FF0C" w14:textId="77777777" w:rsidTr="00B52256">
              <w:trPr>
                <w:trHeight w:val="1233"/>
                <w:tblCellSpacing w:w="20" w:type="dxa"/>
              </w:trPr>
              <w:tc>
                <w:tcPr>
                  <w:tcW w:w="1254" w:type="pct"/>
                  <w:hideMark/>
                </w:tcPr>
                <w:p w14:paraId="66DFDE10" w14:textId="6513530F"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Attiecīgā ES tiesību akta datums, numurs un nosaukums</w:t>
                  </w:r>
                </w:p>
              </w:tc>
              <w:tc>
                <w:tcPr>
                  <w:tcW w:w="3681" w:type="pct"/>
                  <w:gridSpan w:val="3"/>
                  <w:hideMark/>
                </w:tcPr>
                <w:p w14:paraId="3556FE27" w14:textId="37A979C9" w:rsidR="00AD3391" w:rsidRPr="00FB46EB" w:rsidRDefault="00AD3391" w:rsidP="00731493">
                  <w:pPr>
                    <w:shd w:val="clear" w:color="auto" w:fill="FFFFFF"/>
                    <w:tabs>
                      <w:tab w:val="left" w:pos="426"/>
                    </w:tabs>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Regula Nr. 1295/2013</w:t>
                  </w:r>
                  <w:r w:rsidR="009773F0" w:rsidRPr="00FB46EB">
                    <w:rPr>
                      <w:rFonts w:ascii="Times New Roman" w:eastAsia="Times New Roman" w:hAnsi="Times New Roman" w:cs="Times New Roman"/>
                      <w:sz w:val="24"/>
                      <w:szCs w:val="24"/>
                      <w:lang w:eastAsia="lv-LV"/>
                    </w:rPr>
                    <w:t>.</w:t>
                  </w:r>
                </w:p>
              </w:tc>
            </w:tr>
            <w:tr w:rsidR="00AD3391" w:rsidRPr="0013168C" w14:paraId="172B9810" w14:textId="77777777" w:rsidTr="00B52256">
              <w:trPr>
                <w:tblCellSpacing w:w="20" w:type="dxa"/>
              </w:trPr>
              <w:tc>
                <w:tcPr>
                  <w:tcW w:w="1254" w:type="pct"/>
                  <w:vAlign w:val="bottom"/>
                  <w:hideMark/>
                </w:tcPr>
                <w:p w14:paraId="55256A3E"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w:t>
                  </w:r>
                </w:p>
              </w:tc>
              <w:tc>
                <w:tcPr>
                  <w:tcW w:w="1198" w:type="pct"/>
                  <w:vAlign w:val="bottom"/>
                  <w:hideMark/>
                </w:tcPr>
                <w:p w14:paraId="1769A22B"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B</w:t>
                  </w:r>
                </w:p>
              </w:tc>
              <w:tc>
                <w:tcPr>
                  <w:tcW w:w="1250" w:type="pct"/>
                  <w:vAlign w:val="bottom"/>
                  <w:hideMark/>
                </w:tcPr>
                <w:p w14:paraId="4A7F16B3"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w:t>
                  </w:r>
                </w:p>
              </w:tc>
              <w:tc>
                <w:tcPr>
                  <w:tcW w:w="1189" w:type="pct"/>
                  <w:vAlign w:val="bottom"/>
                </w:tcPr>
                <w:p w14:paraId="0896AB05"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D</w:t>
                  </w:r>
                </w:p>
              </w:tc>
            </w:tr>
            <w:tr w:rsidR="00AD3391" w:rsidRPr="0013168C" w14:paraId="150517C3" w14:textId="77777777" w:rsidTr="00B52256">
              <w:trPr>
                <w:tblCellSpacing w:w="20" w:type="dxa"/>
              </w:trPr>
              <w:tc>
                <w:tcPr>
                  <w:tcW w:w="1254" w:type="pct"/>
                  <w:hideMark/>
                </w:tcPr>
                <w:p w14:paraId="7A2EA257" w14:textId="3F49542E"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98" w:type="pct"/>
                  <w:hideMark/>
                </w:tcPr>
                <w:p w14:paraId="6A16CED3"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hideMark/>
                </w:tcPr>
                <w:p w14:paraId="3859F58E" w14:textId="7B2F2EB1" w:rsidR="009773F0"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08097229" w14:textId="5C1F2F2A"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r w:rsidR="009773F0" w:rsidRPr="00FB46EB">
                    <w:rPr>
                      <w:rFonts w:ascii="Times New Roman" w:eastAsia="Times New Roman" w:hAnsi="Times New Roman" w:cs="Times New Roman"/>
                      <w:sz w:val="24"/>
                      <w:szCs w:val="24"/>
                      <w:lang w:eastAsia="lv-LV"/>
                    </w:rPr>
                    <w:t xml:space="preserve"> </w:t>
                  </w:r>
                  <w:r w:rsidRPr="00FB46EB">
                    <w:rPr>
                      <w:rFonts w:ascii="Times New Roman" w:eastAsia="Times New Roman" w:hAnsi="Times New Roman" w:cs="Times New Roman"/>
                      <w:sz w:val="24"/>
                      <w:szCs w:val="24"/>
                      <w:lang w:eastAsia="lv-LV"/>
                    </w:rPr>
                    <w:t>Norāda institūciju, kas ir atbildīga par šo saistību izpildi pilnībā</w:t>
                  </w:r>
                </w:p>
              </w:tc>
              <w:tc>
                <w:tcPr>
                  <w:tcW w:w="1189" w:type="pct"/>
                </w:tcPr>
                <w:p w14:paraId="026010FE" w14:textId="336149A2" w:rsidR="009773F0"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6D6D4BE2" w14:textId="36528A7E"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Ja projekts satur stingrākas prasības nekā attiecīgais ES tiesību akts, norāda pamatojumu un samērīgumu.</w:t>
                  </w:r>
                  <w:r w:rsidR="009773F0" w:rsidRPr="00FB46EB">
                    <w:rPr>
                      <w:rFonts w:ascii="Times New Roman" w:eastAsia="Times New Roman" w:hAnsi="Times New Roman" w:cs="Times New Roman"/>
                      <w:sz w:val="24"/>
                      <w:szCs w:val="24"/>
                      <w:lang w:eastAsia="lv-LV"/>
                    </w:rPr>
                    <w:t xml:space="preserve"> </w:t>
                  </w:r>
                  <w:r w:rsidRPr="00FB46E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AD3391" w:rsidRPr="0013168C" w14:paraId="14F36AA7" w14:textId="77777777" w:rsidTr="00B52256">
              <w:trPr>
                <w:tblCellSpacing w:w="20" w:type="dxa"/>
              </w:trPr>
              <w:tc>
                <w:tcPr>
                  <w:tcW w:w="1254" w:type="pct"/>
                  <w:hideMark/>
                </w:tcPr>
                <w:p w14:paraId="7F6D54A6"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Regulas Nr. 1295/2013</w:t>
                  </w:r>
                </w:p>
                <w:p w14:paraId="20556914"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2.panta 1.punkts</w:t>
                  </w:r>
                </w:p>
                <w:p w14:paraId="07ACF903"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Vispārēja atsauce</w:t>
                  </w:r>
                </w:p>
              </w:tc>
              <w:tc>
                <w:tcPr>
                  <w:tcW w:w="1198" w:type="pct"/>
                  <w:hideMark/>
                </w:tcPr>
                <w:p w14:paraId="11D9AC47" w14:textId="3856F7CB"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hAnsi="Times New Roman" w:cs="Times New Roman"/>
                      <w:bCs/>
                      <w:sz w:val="24"/>
                      <w:szCs w:val="24"/>
                    </w:rPr>
                    <w:t xml:space="preserve">Noteikumu projekta </w:t>
                  </w:r>
                  <w:r w:rsidR="00AF545B" w:rsidRPr="00FB46EB">
                    <w:rPr>
                      <w:rFonts w:ascii="Times New Roman" w:hAnsi="Times New Roman" w:cs="Times New Roman"/>
                      <w:bCs/>
                      <w:sz w:val="24"/>
                      <w:szCs w:val="24"/>
                    </w:rPr>
                    <w:t>1</w:t>
                  </w:r>
                  <w:r w:rsidR="00AF545B">
                    <w:rPr>
                      <w:rFonts w:ascii="Times New Roman" w:hAnsi="Times New Roman" w:cs="Times New Roman"/>
                      <w:bCs/>
                      <w:sz w:val="24"/>
                      <w:szCs w:val="24"/>
                    </w:rPr>
                    <w:t>0</w:t>
                  </w:r>
                  <w:r w:rsidRPr="00FB46EB">
                    <w:rPr>
                      <w:rFonts w:ascii="Times New Roman" w:hAnsi="Times New Roman" w:cs="Times New Roman"/>
                      <w:bCs/>
                      <w:sz w:val="24"/>
                      <w:szCs w:val="24"/>
                    </w:rPr>
                    <w:t>.punkts</w:t>
                  </w:r>
                </w:p>
              </w:tc>
              <w:tc>
                <w:tcPr>
                  <w:tcW w:w="1250" w:type="pct"/>
                  <w:hideMark/>
                </w:tcPr>
                <w:p w14:paraId="66B2DE82"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hAnsi="Times New Roman" w:cs="Times New Roman"/>
                      <w:bCs/>
                      <w:sz w:val="24"/>
                      <w:szCs w:val="24"/>
                    </w:rPr>
                    <w:t>Ieviesta pilnībā</w:t>
                  </w:r>
                </w:p>
              </w:tc>
              <w:tc>
                <w:tcPr>
                  <w:tcW w:w="1189" w:type="pct"/>
                </w:tcPr>
                <w:p w14:paraId="770EFC56"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hAnsi="Times New Roman" w:cs="Times New Roman"/>
                      <w:bCs/>
                      <w:sz w:val="24"/>
                      <w:szCs w:val="24"/>
                    </w:rPr>
                    <w:t>Neparedz stingrākas prasības</w:t>
                  </w:r>
                </w:p>
              </w:tc>
            </w:tr>
          </w:tbl>
          <w:p w14:paraId="50B49E40"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3034"/>
              <w:gridCol w:w="2429"/>
              <w:gridCol w:w="4146"/>
            </w:tblGrid>
            <w:tr w:rsidR="00AD3391" w:rsidRPr="0013168C" w14:paraId="3255498E" w14:textId="77777777" w:rsidTr="009773F0">
              <w:trPr>
                <w:trHeight w:val="1253"/>
                <w:tblCellSpacing w:w="20" w:type="dxa"/>
                <w:jc w:val="center"/>
              </w:trPr>
              <w:tc>
                <w:tcPr>
                  <w:tcW w:w="4979" w:type="pct"/>
                  <w:gridSpan w:val="3"/>
                  <w:vAlign w:val="center"/>
                  <w:hideMark/>
                </w:tcPr>
                <w:p w14:paraId="22C2548F" w14:textId="37432B89" w:rsidR="009773F0" w:rsidRPr="00FB46EB" w:rsidRDefault="00AD3391" w:rsidP="00731493">
                  <w:pPr>
                    <w:spacing w:after="0" w:line="240" w:lineRule="auto"/>
                    <w:jc w:val="both"/>
                    <w:rPr>
                      <w:rFonts w:ascii="Times New Roman" w:eastAsia="Times New Roman" w:hAnsi="Times New Roman" w:cs="Times New Roman"/>
                      <w:b/>
                      <w:bCs/>
                      <w:sz w:val="24"/>
                      <w:szCs w:val="24"/>
                      <w:lang w:eastAsia="lv-LV"/>
                    </w:rPr>
                  </w:pPr>
                  <w:r w:rsidRPr="00FB46EB">
                    <w:rPr>
                      <w:rFonts w:ascii="Times New Roman" w:eastAsia="Times New Roman" w:hAnsi="Times New Roman" w:cs="Times New Roman"/>
                      <w:b/>
                      <w:bCs/>
                      <w:sz w:val="24"/>
                      <w:szCs w:val="24"/>
                      <w:lang w:eastAsia="lv-LV"/>
                    </w:rPr>
                    <w:lastRenderedPageBreak/>
                    <w:t>2.tabula</w:t>
                  </w:r>
                </w:p>
                <w:p w14:paraId="3F015CE3" w14:textId="7B066841" w:rsidR="00AD3391" w:rsidRPr="00FB46EB" w:rsidRDefault="00AD3391" w:rsidP="00731493">
                  <w:pPr>
                    <w:spacing w:after="0" w:line="240" w:lineRule="auto"/>
                    <w:ind w:left="-30"/>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009773F0" w:rsidRPr="00FB46EB">
                    <w:rPr>
                      <w:rFonts w:ascii="Times New Roman" w:eastAsia="Times New Roman" w:hAnsi="Times New Roman" w:cs="Times New Roman"/>
                      <w:b/>
                      <w:bCs/>
                      <w:sz w:val="24"/>
                      <w:szCs w:val="24"/>
                      <w:lang w:eastAsia="lv-LV"/>
                    </w:rPr>
                    <w:t xml:space="preserve"> </w:t>
                  </w:r>
                  <w:r w:rsidRPr="00FB46EB">
                    <w:rPr>
                      <w:rFonts w:ascii="Times New Roman" w:eastAsia="Times New Roman" w:hAnsi="Times New Roman" w:cs="Times New Roman"/>
                      <w:b/>
                      <w:bCs/>
                      <w:sz w:val="24"/>
                      <w:szCs w:val="24"/>
                      <w:lang w:eastAsia="lv-LV"/>
                    </w:rPr>
                    <w:t>Pasākumi šo saistību izpildei</w:t>
                  </w:r>
                </w:p>
              </w:tc>
            </w:tr>
            <w:tr w:rsidR="00AD3391" w:rsidRPr="0013168C" w14:paraId="39337D19" w14:textId="77777777" w:rsidTr="009773F0">
              <w:trPr>
                <w:trHeight w:val="2254"/>
                <w:tblCellSpacing w:w="20" w:type="dxa"/>
                <w:jc w:val="center"/>
              </w:trPr>
              <w:tc>
                <w:tcPr>
                  <w:tcW w:w="1567" w:type="pct"/>
                  <w:vAlign w:val="center"/>
                  <w:hideMark/>
                </w:tcPr>
                <w:p w14:paraId="0CF3A54E"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401" w:type="pct"/>
                  <w:gridSpan w:val="2"/>
                  <w:hideMark/>
                </w:tcPr>
                <w:p w14:paraId="7A195735" w14:textId="49EC3C7F"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hAnsi="Times New Roman" w:cs="Times New Roman"/>
                      <w:sz w:val="24"/>
                      <w:szCs w:val="24"/>
                    </w:rPr>
                    <w:t xml:space="preserve">Saprašanās memoranda </w:t>
                  </w:r>
                  <w:r w:rsidRPr="00FB46EB">
                    <w:rPr>
                      <w:rFonts w:ascii="Times New Roman" w:hAnsi="Times New Roman" w:cs="Times New Roman"/>
                      <w:color w:val="000000"/>
                      <w:spacing w:val="-2"/>
                      <w:sz w:val="24"/>
                      <w:szCs w:val="24"/>
                      <w:shd w:val="clear" w:color="auto" w:fill="FFFFFF"/>
                    </w:rPr>
                    <w:t>B pielikums</w:t>
                  </w:r>
                  <w:r w:rsidRPr="00FB46EB">
                    <w:rPr>
                      <w:rFonts w:ascii="Times New Roman" w:hAnsi="Times New Roman" w:cs="Times New Roman"/>
                      <w:sz w:val="24"/>
                      <w:szCs w:val="24"/>
                    </w:rPr>
                    <w:t>.</w:t>
                  </w:r>
                </w:p>
              </w:tc>
            </w:tr>
            <w:tr w:rsidR="00AD3391" w:rsidRPr="0013168C" w14:paraId="09D936FB" w14:textId="77777777" w:rsidTr="009773F0">
              <w:trPr>
                <w:trHeight w:val="291"/>
                <w:tblCellSpacing w:w="20" w:type="dxa"/>
                <w:jc w:val="center"/>
              </w:trPr>
              <w:tc>
                <w:tcPr>
                  <w:tcW w:w="1567" w:type="pct"/>
                  <w:vAlign w:val="center"/>
                  <w:hideMark/>
                </w:tcPr>
                <w:p w14:paraId="0752F0D7"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A</w:t>
                  </w:r>
                </w:p>
              </w:tc>
              <w:tc>
                <w:tcPr>
                  <w:tcW w:w="1259" w:type="pct"/>
                  <w:vAlign w:val="center"/>
                  <w:hideMark/>
                </w:tcPr>
                <w:p w14:paraId="13EE29E5"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B</w:t>
                  </w:r>
                </w:p>
              </w:tc>
              <w:tc>
                <w:tcPr>
                  <w:tcW w:w="2132" w:type="pct"/>
                  <w:vAlign w:val="center"/>
                  <w:hideMark/>
                </w:tcPr>
                <w:p w14:paraId="32C9FC1A"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w:t>
                  </w:r>
                </w:p>
              </w:tc>
            </w:tr>
            <w:tr w:rsidR="00AD3391" w:rsidRPr="0013168C" w14:paraId="242B61EB" w14:textId="77777777" w:rsidTr="00676AB9">
              <w:trPr>
                <w:tblCellSpacing w:w="20" w:type="dxa"/>
                <w:jc w:val="center"/>
              </w:trPr>
              <w:tc>
                <w:tcPr>
                  <w:tcW w:w="1567" w:type="pct"/>
                </w:tcPr>
                <w:p w14:paraId="6D1F043C" w14:textId="77777777" w:rsidR="00AD3391" w:rsidRPr="00FB46EB" w:rsidRDefault="00AD3391" w:rsidP="00731493">
                  <w:pPr>
                    <w:spacing w:after="0" w:line="240" w:lineRule="auto"/>
                    <w:jc w:val="both"/>
                    <w:rPr>
                      <w:rFonts w:ascii="Times New Roman" w:hAnsi="Times New Roman" w:cs="Times New Roman"/>
                      <w:sz w:val="24"/>
                      <w:szCs w:val="24"/>
                    </w:rPr>
                  </w:pPr>
                  <w:r w:rsidRPr="00FB46EB">
                    <w:rPr>
                      <w:rFonts w:ascii="Times New Roman" w:hAnsi="Times New Roman" w:cs="Times New Roman"/>
                      <w:sz w:val="24"/>
                      <w:szCs w:val="24"/>
                    </w:rPr>
                    <w:t>Starptautiskās saistības (pēc būtības), kas izriet no norādītā starptautiskā dokumenta.</w:t>
                  </w:r>
                </w:p>
                <w:p w14:paraId="59F275D2" w14:textId="77777777" w:rsidR="00AD3391" w:rsidRPr="00FB46EB" w:rsidRDefault="00AD3391" w:rsidP="00731493">
                  <w:pPr>
                    <w:spacing w:after="0" w:line="240" w:lineRule="auto"/>
                    <w:jc w:val="both"/>
                    <w:rPr>
                      <w:rFonts w:ascii="Times New Roman" w:hAnsi="Times New Roman" w:cs="Times New Roman"/>
                      <w:sz w:val="24"/>
                      <w:szCs w:val="24"/>
                    </w:rPr>
                  </w:pPr>
                  <w:r w:rsidRPr="00FB46EB">
                    <w:rPr>
                      <w:rFonts w:ascii="Times New Roman" w:hAnsi="Times New Roman" w:cs="Times New Roman"/>
                      <w:sz w:val="24"/>
                      <w:szCs w:val="24"/>
                    </w:rPr>
                    <w:t>Konkrēti veicamie pasākumi vai uzdevumi, kas nepieciešami šo starptautisko saistību izpildei</w:t>
                  </w:r>
                </w:p>
              </w:tc>
              <w:tc>
                <w:tcPr>
                  <w:tcW w:w="1259" w:type="pct"/>
                </w:tcPr>
                <w:p w14:paraId="459ED53A"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32" w:type="pct"/>
                </w:tcPr>
                <w:p w14:paraId="7966E709"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7BBA43B8"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33C4E900"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Norāda institūciju, kas ir atbildīga par šo saistību izpildi pilnībā</w:t>
                  </w:r>
                </w:p>
              </w:tc>
            </w:tr>
            <w:tr w:rsidR="00AD3391" w:rsidRPr="0013168C" w14:paraId="17BAA0CC" w14:textId="77777777" w:rsidTr="009773F0">
              <w:trPr>
                <w:trHeight w:val="2254"/>
                <w:tblCellSpacing w:w="20" w:type="dxa"/>
                <w:jc w:val="center"/>
              </w:trPr>
              <w:tc>
                <w:tcPr>
                  <w:tcW w:w="1567" w:type="pct"/>
                  <w:hideMark/>
                </w:tcPr>
                <w:p w14:paraId="2F5841B3" w14:textId="77777777" w:rsidR="00AD3391" w:rsidRPr="00FB46EB" w:rsidRDefault="00AD3391" w:rsidP="00731493">
                  <w:pPr>
                    <w:spacing w:after="0" w:line="240" w:lineRule="auto"/>
                    <w:jc w:val="both"/>
                    <w:rPr>
                      <w:rFonts w:ascii="Times New Roman" w:hAnsi="Times New Roman" w:cs="Times New Roman"/>
                      <w:sz w:val="24"/>
                      <w:szCs w:val="24"/>
                    </w:rPr>
                  </w:pPr>
                  <w:r w:rsidRPr="00FB46EB">
                    <w:rPr>
                      <w:rFonts w:ascii="Times New Roman" w:hAnsi="Times New Roman" w:cs="Times New Roman"/>
                      <w:sz w:val="24"/>
                      <w:szCs w:val="24"/>
                    </w:rPr>
                    <w:t xml:space="preserve">Saskaņā ar Saprašanās memoranda Ieviešanas ietvaru (B pielikums 3. daļas B. punktu) Latvijas Republikas Kultūras ministrija pilda programmas partnera funkciju </w:t>
                  </w:r>
                </w:p>
              </w:tc>
              <w:tc>
                <w:tcPr>
                  <w:tcW w:w="1259" w:type="pct"/>
                  <w:hideMark/>
                </w:tcPr>
                <w:p w14:paraId="67DD34E2" w14:textId="2840DF6D" w:rsidR="00AD3391" w:rsidRPr="00FB46EB" w:rsidRDefault="00AD3391" w:rsidP="00731493">
                  <w:pPr>
                    <w:spacing w:after="0" w:line="240" w:lineRule="auto"/>
                    <w:jc w:val="both"/>
                    <w:rPr>
                      <w:rFonts w:ascii="Times New Roman" w:hAnsi="Times New Roman" w:cs="Times New Roman"/>
                      <w:sz w:val="24"/>
                      <w:szCs w:val="24"/>
                    </w:rPr>
                  </w:pPr>
                  <w:r w:rsidRPr="00FB46EB">
                    <w:rPr>
                      <w:rFonts w:ascii="Times New Roman" w:hAnsi="Times New Roman" w:cs="Times New Roman"/>
                      <w:sz w:val="24"/>
                      <w:szCs w:val="24"/>
                    </w:rPr>
                    <w:t xml:space="preserve">Viss </w:t>
                  </w:r>
                  <w:r w:rsidR="003F230E" w:rsidRPr="00FB46EB">
                    <w:rPr>
                      <w:rFonts w:ascii="Times New Roman" w:eastAsia="Times New Roman" w:hAnsi="Times New Roman" w:cs="Times New Roman"/>
                      <w:sz w:val="24"/>
                      <w:szCs w:val="24"/>
                      <w:lang w:eastAsia="lv-LV"/>
                    </w:rPr>
                    <w:t>Noteikumu projekts</w:t>
                  </w:r>
                  <w:r w:rsidRPr="00FB46EB">
                    <w:rPr>
                      <w:rFonts w:ascii="Times New Roman" w:hAnsi="Times New Roman" w:cs="Times New Roman"/>
                      <w:sz w:val="24"/>
                      <w:szCs w:val="24"/>
                    </w:rPr>
                    <w:t xml:space="preserve"> kopumā.</w:t>
                  </w:r>
                </w:p>
              </w:tc>
              <w:tc>
                <w:tcPr>
                  <w:tcW w:w="2132" w:type="pct"/>
                  <w:hideMark/>
                </w:tcPr>
                <w:p w14:paraId="2C42BF88" w14:textId="5162AF0E" w:rsidR="00AD3391" w:rsidRPr="00FB46EB" w:rsidRDefault="00AD3391" w:rsidP="00731493">
                  <w:pPr>
                    <w:spacing w:after="0" w:line="240" w:lineRule="auto"/>
                    <w:jc w:val="both"/>
                    <w:rPr>
                      <w:rFonts w:ascii="Times New Roman" w:hAnsi="Times New Roman" w:cs="Times New Roman"/>
                      <w:sz w:val="24"/>
                      <w:szCs w:val="24"/>
                    </w:rPr>
                  </w:pPr>
                  <w:r w:rsidRPr="00FB46EB">
                    <w:rPr>
                      <w:rFonts w:ascii="Times New Roman" w:hAnsi="Times New Roman" w:cs="Times New Roman"/>
                      <w:sz w:val="24"/>
                      <w:szCs w:val="24"/>
                    </w:rPr>
                    <w:t xml:space="preserve">Starptautiskās saistības izpildītas </w:t>
                  </w:r>
                  <w:r w:rsidR="005E1912" w:rsidRPr="00FB46EB">
                    <w:rPr>
                      <w:rFonts w:ascii="Times New Roman" w:hAnsi="Times New Roman" w:cs="Times New Roman"/>
                      <w:sz w:val="24"/>
                      <w:szCs w:val="24"/>
                    </w:rPr>
                    <w:t>daļēji</w:t>
                  </w:r>
                  <w:r w:rsidRPr="00FB46EB">
                    <w:rPr>
                      <w:rFonts w:ascii="Times New Roman" w:hAnsi="Times New Roman" w:cs="Times New Roman"/>
                      <w:sz w:val="24"/>
                      <w:szCs w:val="24"/>
                    </w:rPr>
                    <w:t>.</w:t>
                  </w:r>
                  <w:r w:rsidR="003E7D94">
                    <w:rPr>
                      <w:rFonts w:ascii="Times New Roman" w:hAnsi="Times New Roman" w:cs="Times New Roman"/>
                      <w:sz w:val="24"/>
                      <w:szCs w:val="24"/>
                    </w:rPr>
                    <w:t xml:space="preserve"> </w:t>
                  </w:r>
                  <w:r w:rsidR="003E7D94">
                    <w:rPr>
                      <w:rFonts w:ascii="Times New Roman" w:eastAsia="Times New Roman" w:hAnsi="Times New Roman" w:cs="Times New Roman"/>
                      <w:sz w:val="24"/>
                      <w:szCs w:val="24"/>
                      <w:lang w:eastAsia="lv-LV"/>
                    </w:rPr>
                    <w:t>Saistības tiks izpildītas pilnībā pēc neliela apjoma grantu shēmas Ministru kabineta noteikumu apstiprināšanas. Plānots, ka minētie Ministru kabineta noteikumi tiks apstiprināti 202</w:t>
                  </w:r>
                  <w:r w:rsidR="002325B4">
                    <w:rPr>
                      <w:rFonts w:ascii="Times New Roman" w:eastAsia="Times New Roman" w:hAnsi="Times New Roman" w:cs="Times New Roman"/>
                      <w:sz w:val="24"/>
                      <w:szCs w:val="24"/>
                      <w:lang w:eastAsia="lv-LV"/>
                    </w:rPr>
                    <w:t>1</w:t>
                  </w:r>
                  <w:r w:rsidR="003E7D94">
                    <w:rPr>
                      <w:rFonts w:ascii="Times New Roman" w:eastAsia="Times New Roman" w:hAnsi="Times New Roman" w:cs="Times New Roman"/>
                      <w:sz w:val="24"/>
                      <w:szCs w:val="24"/>
                      <w:lang w:eastAsia="lv-LV"/>
                    </w:rPr>
                    <w:t xml:space="preserve">.gada I. ceturksnī. Par saistību pilnīgu izpildi ir atbildīga VARAM.  </w:t>
                  </w:r>
                </w:p>
              </w:tc>
            </w:tr>
            <w:tr w:rsidR="00AD3391" w:rsidRPr="0013168C" w14:paraId="6A8331CC" w14:textId="77777777" w:rsidTr="009773F0">
              <w:trPr>
                <w:trHeight w:val="2254"/>
                <w:tblCellSpacing w:w="20" w:type="dxa"/>
                <w:jc w:val="center"/>
              </w:trPr>
              <w:tc>
                <w:tcPr>
                  <w:tcW w:w="1567" w:type="pct"/>
                  <w:hideMark/>
                </w:tcPr>
                <w:p w14:paraId="6DB76429"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401" w:type="pct"/>
                  <w:gridSpan w:val="2"/>
                  <w:hideMark/>
                </w:tcPr>
                <w:p w14:paraId="2F8A5F9F"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Saprašanās memorandā paredzētās saistības nav pretrunā ar jau esošajām Latvijas Republikas starptautiskajām saistībām.</w:t>
                  </w:r>
                </w:p>
              </w:tc>
            </w:tr>
            <w:tr w:rsidR="00AD3391" w:rsidRPr="0013168C" w14:paraId="646881DA" w14:textId="77777777" w:rsidTr="00676AB9">
              <w:trPr>
                <w:trHeight w:val="330"/>
                <w:tblCellSpacing w:w="20" w:type="dxa"/>
                <w:jc w:val="center"/>
              </w:trPr>
              <w:tc>
                <w:tcPr>
                  <w:tcW w:w="1567" w:type="pct"/>
                  <w:hideMark/>
                </w:tcPr>
                <w:p w14:paraId="461A538C" w14:textId="77777777"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 informācija</w:t>
                  </w:r>
                </w:p>
              </w:tc>
              <w:tc>
                <w:tcPr>
                  <w:tcW w:w="3401" w:type="pct"/>
                  <w:gridSpan w:val="2"/>
                  <w:hideMark/>
                </w:tcPr>
                <w:p w14:paraId="7B040609" w14:textId="3B0D8E8A"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Nav</w:t>
                  </w:r>
                </w:p>
              </w:tc>
            </w:tr>
          </w:tbl>
          <w:p w14:paraId="3A9F1431" w14:textId="594F4270" w:rsidR="00AD3391" w:rsidRPr="00FB46EB" w:rsidRDefault="00AD3391" w:rsidP="00731493">
            <w:pPr>
              <w:spacing w:after="0" w:line="240" w:lineRule="auto"/>
              <w:jc w:val="both"/>
              <w:rPr>
                <w:rFonts w:ascii="Times New Roman" w:eastAsia="Times New Roman" w:hAnsi="Times New Roman" w:cs="Times New Roman"/>
                <w:sz w:val="24"/>
                <w:szCs w:val="24"/>
                <w:lang w:eastAsia="lv-LV"/>
              </w:rPr>
            </w:pPr>
          </w:p>
        </w:tc>
      </w:tr>
    </w:tbl>
    <w:p w14:paraId="4C7D113D" w14:textId="799D45C8" w:rsidR="00DA06D8" w:rsidRDefault="00DA06D8" w:rsidP="00731493">
      <w:pPr>
        <w:shd w:val="clear" w:color="auto" w:fill="FFFFFF"/>
        <w:spacing w:after="0" w:line="240" w:lineRule="auto"/>
        <w:rPr>
          <w:rFonts w:ascii="Times New Roman" w:eastAsia="Times New Roman" w:hAnsi="Times New Roman" w:cs="Times New Roman"/>
          <w:sz w:val="24"/>
          <w:szCs w:val="24"/>
          <w:lang w:eastAsia="lv-LV"/>
        </w:rPr>
      </w:pPr>
    </w:p>
    <w:p w14:paraId="218B0511" w14:textId="010C72AB" w:rsidR="00225C43" w:rsidRDefault="00225C43" w:rsidP="00731493">
      <w:pPr>
        <w:shd w:val="clear" w:color="auto" w:fill="FFFFFF"/>
        <w:spacing w:after="0" w:line="240" w:lineRule="auto"/>
        <w:rPr>
          <w:rFonts w:ascii="Times New Roman" w:eastAsia="Times New Roman" w:hAnsi="Times New Roman" w:cs="Times New Roman"/>
          <w:sz w:val="24"/>
          <w:szCs w:val="24"/>
          <w:lang w:eastAsia="lv-LV"/>
        </w:rPr>
      </w:pPr>
    </w:p>
    <w:p w14:paraId="5597C670" w14:textId="3AA498FF" w:rsidR="002325B4" w:rsidRDefault="002325B4" w:rsidP="00731493">
      <w:pPr>
        <w:shd w:val="clear" w:color="auto" w:fill="FFFFFF"/>
        <w:spacing w:after="0" w:line="240" w:lineRule="auto"/>
        <w:rPr>
          <w:rFonts w:ascii="Times New Roman" w:eastAsia="Times New Roman" w:hAnsi="Times New Roman" w:cs="Times New Roman"/>
          <w:sz w:val="24"/>
          <w:szCs w:val="24"/>
          <w:lang w:eastAsia="lv-LV"/>
        </w:rPr>
      </w:pPr>
    </w:p>
    <w:p w14:paraId="578E3990" w14:textId="77777777" w:rsidR="002325B4" w:rsidRPr="00FB46EB" w:rsidRDefault="002325B4" w:rsidP="00731493">
      <w:pPr>
        <w:shd w:val="clear" w:color="auto" w:fill="FFFFFF"/>
        <w:spacing w:after="0" w:line="240" w:lineRule="auto"/>
        <w:rPr>
          <w:rFonts w:ascii="Times New Roman" w:eastAsia="Times New Roman" w:hAnsi="Times New Roman" w:cs="Times New Roman"/>
          <w:sz w:val="24"/>
          <w:szCs w:val="24"/>
          <w:lang w:eastAsia="lv-LV"/>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05"/>
        <w:gridCol w:w="3150"/>
        <w:gridCol w:w="5828"/>
      </w:tblGrid>
      <w:tr w:rsidR="00152C21" w:rsidRPr="0013168C" w14:paraId="47BCD956" w14:textId="77777777" w:rsidTr="00676AB9">
        <w:trPr>
          <w:trHeight w:val="336"/>
          <w:tblCellSpacing w:w="20" w:type="dxa"/>
          <w:jc w:val="center"/>
        </w:trPr>
        <w:tc>
          <w:tcPr>
            <w:tcW w:w="4957" w:type="pct"/>
            <w:gridSpan w:val="3"/>
            <w:vAlign w:val="center"/>
            <w:hideMark/>
          </w:tcPr>
          <w:p w14:paraId="750B25FA" w14:textId="77777777" w:rsidR="00894C55" w:rsidRPr="00FB46EB" w:rsidRDefault="00B32BBE" w:rsidP="00731493">
            <w:pPr>
              <w:spacing w:after="0" w:line="240" w:lineRule="auto"/>
              <w:jc w:val="center"/>
              <w:rPr>
                <w:rFonts w:ascii="Times New Roman" w:eastAsia="Times New Roman" w:hAnsi="Times New Roman" w:cs="Times New Roman"/>
                <w:b/>
                <w:bCs/>
                <w:sz w:val="24"/>
                <w:szCs w:val="24"/>
                <w:lang w:eastAsia="lv-LV"/>
              </w:rPr>
            </w:pPr>
            <w:r w:rsidRPr="00FB46EB">
              <w:rPr>
                <w:rFonts w:ascii="Times New Roman" w:eastAsia="Times New Roman" w:hAnsi="Times New Roman" w:cs="Times New Roman"/>
                <w:b/>
                <w:bCs/>
                <w:sz w:val="24"/>
                <w:szCs w:val="24"/>
                <w:lang w:eastAsia="lv-LV"/>
              </w:rPr>
              <w:lastRenderedPageBreak/>
              <w:t>VI.</w:t>
            </w:r>
            <w:r w:rsidR="00816C11" w:rsidRPr="00FB46EB">
              <w:rPr>
                <w:rFonts w:ascii="Times New Roman" w:eastAsia="Times New Roman" w:hAnsi="Times New Roman" w:cs="Times New Roman"/>
                <w:b/>
                <w:bCs/>
                <w:sz w:val="24"/>
                <w:szCs w:val="24"/>
                <w:lang w:eastAsia="lv-LV"/>
              </w:rPr>
              <w:t> </w:t>
            </w:r>
            <w:r w:rsidRPr="00FB46EB">
              <w:rPr>
                <w:rFonts w:ascii="Times New Roman" w:eastAsia="Times New Roman" w:hAnsi="Times New Roman" w:cs="Times New Roman"/>
                <w:b/>
                <w:bCs/>
                <w:sz w:val="24"/>
                <w:szCs w:val="24"/>
                <w:lang w:eastAsia="lv-LV"/>
              </w:rPr>
              <w:t>Sabiedrības līdzdalība un komunikācijas aktivitātes</w:t>
            </w:r>
          </w:p>
        </w:tc>
      </w:tr>
      <w:tr w:rsidR="00412E16" w:rsidRPr="0013168C" w14:paraId="77B21F5A" w14:textId="77777777" w:rsidTr="007C7951">
        <w:trPr>
          <w:trHeight w:val="432"/>
          <w:tblCellSpacing w:w="20" w:type="dxa"/>
          <w:jc w:val="center"/>
        </w:trPr>
        <w:tc>
          <w:tcPr>
            <w:tcW w:w="384" w:type="pct"/>
            <w:hideMark/>
          </w:tcPr>
          <w:p w14:paraId="32EA9947" w14:textId="77777777" w:rsidR="00412E16" w:rsidRPr="00FB46EB" w:rsidRDefault="00412E16" w:rsidP="00731493">
            <w:pPr>
              <w:spacing w:after="0" w:line="240" w:lineRule="auto"/>
              <w:jc w:val="center"/>
              <w:rPr>
                <w:rFonts w:ascii="Times New Roman" w:eastAsia="Times New Roman" w:hAnsi="Times New Roman" w:cs="Times New Roman"/>
                <w:sz w:val="24"/>
                <w:szCs w:val="24"/>
                <w:lang w:eastAsia="lv-LV"/>
              </w:rPr>
            </w:pPr>
            <w:bookmarkStart w:id="7" w:name="_Hlk40089235"/>
            <w:r w:rsidRPr="00FB46EB">
              <w:rPr>
                <w:rFonts w:ascii="Times New Roman" w:eastAsia="Times New Roman" w:hAnsi="Times New Roman" w:cs="Times New Roman"/>
                <w:sz w:val="24"/>
                <w:szCs w:val="24"/>
                <w:lang w:eastAsia="lv-LV"/>
              </w:rPr>
              <w:t>1.</w:t>
            </w:r>
          </w:p>
        </w:tc>
        <w:tc>
          <w:tcPr>
            <w:tcW w:w="1602" w:type="pct"/>
            <w:hideMark/>
          </w:tcPr>
          <w:p w14:paraId="6D06F4E2" w14:textId="77777777" w:rsidR="00412E16" w:rsidRPr="00FB46EB" w:rsidRDefault="00412E16"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Plānotās sabiedrības līdzdalības un komunikācijas aktivitātes saistībā ar projektu</w:t>
            </w:r>
          </w:p>
        </w:tc>
        <w:tc>
          <w:tcPr>
            <w:tcW w:w="2927" w:type="pct"/>
            <w:shd w:val="clear" w:color="auto" w:fill="auto"/>
            <w:hideMark/>
          </w:tcPr>
          <w:p w14:paraId="13B914B0" w14:textId="4F172561" w:rsidR="00303C72" w:rsidRPr="00077BEE" w:rsidRDefault="00303C72" w:rsidP="00731493">
            <w:pPr>
              <w:spacing w:after="0" w:line="240" w:lineRule="auto"/>
              <w:ind w:left="60"/>
              <w:jc w:val="both"/>
              <w:rPr>
                <w:rFonts w:ascii="Times New Roman" w:eastAsia="Times New Roman" w:hAnsi="Times New Roman" w:cs="Times New Roman"/>
                <w:sz w:val="24"/>
                <w:szCs w:val="24"/>
                <w:lang w:eastAsia="lv-LV"/>
              </w:rPr>
            </w:pPr>
            <w:r w:rsidRPr="00077BEE">
              <w:rPr>
                <w:rFonts w:ascii="Times New Roman" w:hAnsi="Times New Roman" w:cs="Times New Roman"/>
                <w:sz w:val="24"/>
                <w:szCs w:val="24"/>
              </w:rPr>
              <w:t xml:space="preserve">Saskaņā ar Ministru kabineta 2009. gada 25. augusta noteikumu Nr. 970 </w:t>
            </w:r>
            <w:r w:rsidR="00D832B9">
              <w:rPr>
                <w:rFonts w:ascii="Times New Roman" w:hAnsi="Times New Roman" w:cs="Times New Roman"/>
                <w:sz w:val="24"/>
                <w:szCs w:val="24"/>
              </w:rPr>
              <w:t>“</w:t>
            </w:r>
            <w:r w:rsidRPr="00077BEE">
              <w:rPr>
                <w:rFonts w:ascii="Times New Roman" w:hAnsi="Times New Roman" w:cs="Times New Roman"/>
                <w:sz w:val="24"/>
                <w:szCs w:val="24"/>
              </w:rPr>
              <w:t>Sabiedrības līdzdalības kārtība attīstības plānošanas procesā” 7.4.</w:t>
            </w:r>
            <w:r w:rsidRPr="00077BEE">
              <w:rPr>
                <w:rFonts w:ascii="Times New Roman" w:hAnsi="Times New Roman" w:cs="Times New Roman"/>
                <w:sz w:val="24"/>
                <w:szCs w:val="24"/>
                <w:vertAlign w:val="superscript"/>
              </w:rPr>
              <w:t>1</w:t>
            </w:r>
            <w:r w:rsidRPr="00077BEE">
              <w:rPr>
                <w:rFonts w:ascii="Times New Roman" w:hAnsi="Times New Roman" w:cs="Times New Roman"/>
                <w:sz w:val="24"/>
                <w:szCs w:val="24"/>
              </w:rPr>
              <w:t> apakšpunktu sabiedrības pārstāvji ir aicināti līdzdarboties, rakstiski sniedzot viedokli par Noteikumu projektu tā izstrādes stadijā.</w:t>
            </w:r>
          </w:p>
          <w:p w14:paraId="02AC312D" w14:textId="10BF03C8" w:rsidR="00412E16" w:rsidRDefault="00303C72" w:rsidP="00731493">
            <w:pPr>
              <w:spacing w:after="0" w:line="240" w:lineRule="auto"/>
              <w:jc w:val="both"/>
              <w:rPr>
                <w:rFonts w:ascii="Times New Roman" w:hAnsi="Times New Roman"/>
                <w:iCs/>
                <w:sz w:val="24"/>
                <w:szCs w:val="24"/>
              </w:rPr>
            </w:pPr>
            <w:r w:rsidRPr="00077BEE">
              <w:rPr>
                <w:rFonts w:ascii="Times New Roman" w:eastAsia="Times New Roman" w:hAnsi="Times New Roman" w:cs="Times New Roman"/>
                <w:sz w:val="24"/>
                <w:szCs w:val="24"/>
                <w:lang w:eastAsia="lv-LV"/>
              </w:rPr>
              <w:t xml:space="preserve">Sabiedrības pārstāvji tika informēti par iespēju līdzdarboties </w:t>
            </w:r>
            <w:r w:rsidR="00412E16" w:rsidRPr="00FB46EB">
              <w:rPr>
                <w:rFonts w:ascii="Times New Roman" w:hAnsi="Times New Roman"/>
                <w:iCs/>
                <w:sz w:val="24"/>
                <w:szCs w:val="24"/>
              </w:rPr>
              <w:t xml:space="preserve">2020.gada </w:t>
            </w:r>
            <w:r w:rsidR="001338BD" w:rsidRPr="00FB46EB">
              <w:rPr>
                <w:rFonts w:ascii="Times New Roman" w:hAnsi="Times New Roman"/>
                <w:iCs/>
                <w:sz w:val="24"/>
                <w:szCs w:val="24"/>
              </w:rPr>
              <w:t>15</w:t>
            </w:r>
            <w:r w:rsidR="00842ECB" w:rsidRPr="00FB46EB">
              <w:rPr>
                <w:rFonts w:ascii="Times New Roman" w:hAnsi="Times New Roman"/>
                <w:iCs/>
                <w:sz w:val="24"/>
                <w:szCs w:val="24"/>
              </w:rPr>
              <w:t>.jūl</w:t>
            </w:r>
            <w:r w:rsidR="00412E16" w:rsidRPr="00FB46EB">
              <w:rPr>
                <w:rFonts w:ascii="Times New Roman" w:hAnsi="Times New Roman"/>
                <w:iCs/>
                <w:sz w:val="24"/>
                <w:szCs w:val="24"/>
              </w:rPr>
              <w:t>ijā</w:t>
            </w:r>
            <w:r w:rsidRPr="00077BEE">
              <w:rPr>
                <w:rFonts w:ascii="Times New Roman" w:hAnsi="Times New Roman"/>
                <w:iCs/>
                <w:sz w:val="24"/>
                <w:szCs w:val="24"/>
              </w:rPr>
              <w:t xml:space="preserve">, publicējot </w:t>
            </w:r>
            <w:r w:rsidRPr="00077BEE">
              <w:rPr>
                <w:rFonts w:ascii="Times New Roman" w:eastAsia="Times New Roman" w:hAnsi="Times New Roman" w:cs="Times New Roman"/>
                <w:sz w:val="24"/>
                <w:szCs w:val="24"/>
                <w:lang w:eastAsia="lv-LV"/>
              </w:rPr>
              <w:t>paziņojumu par līdzdalības procesu VARAM tīmekļvietnē</w:t>
            </w:r>
            <w:r w:rsidR="00412E16" w:rsidRPr="00FB46EB">
              <w:rPr>
                <w:rFonts w:ascii="Times New Roman" w:hAnsi="Times New Roman"/>
                <w:iCs/>
                <w:sz w:val="24"/>
                <w:szCs w:val="24"/>
              </w:rPr>
              <w:t xml:space="preserve"> </w:t>
            </w:r>
            <w:hyperlink r:id="rId14" w:history="1">
              <w:r w:rsidR="00E456AE" w:rsidRPr="00FB46EB">
                <w:rPr>
                  <w:rStyle w:val="Hyperlink"/>
                  <w:rFonts w:ascii="Times New Roman" w:hAnsi="Times New Roman" w:cs="Times New Roman"/>
                  <w:iCs/>
                  <w:sz w:val="24"/>
                  <w:szCs w:val="24"/>
                </w:rPr>
                <w:t>www.varam.gov.lv</w:t>
              </w:r>
            </w:hyperlink>
            <w:r w:rsidR="00FB46EB">
              <w:rPr>
                <w:rStyle w:val="Hyperlink"/>
                <w:rFonts w:ascii="Times New Roman" w:hAnsi="Times New Roman" w:cs="Times New Roman"/>
                <w:iCs/>
                <w:sz w:val="24"/>
                <w:szCs w:val="24"/>
              </w:rPr>
              <w:t xml:space="preserve">. </w:t>
            </w:r>
            <w:r w:rsidRPr="00077BEE">
              <w:rPr>
                <w:rFonts w:ascii="Times New Roman" w:eastAsia="Times New Roman" w:hAnsi="Times New Roman" w:cs="Times New Roman"/>
                <w:sz w:val="24"/>
                <w:szCs w:val="24"/>
                <w:lang w:eastAsia="lv-LV"/>
              </w:rPr>
              <w:t xml:space="preserve">Tāpat Valsts kancelejā publicēšanai tās tīmekļvietnē </w:t>
            </w:r>
            <w:r w:rsidR="00077BEE" w:rsidRPr="00077BEE">
              <w:rPr>
                <w:rFonts w:ascii="Times New Roman" w:eastAsia="Times New Roman" w:hAnsi="Times New Roman" w:cs="Times New Roman"/>
                <w:sz w:val="24"/>
                <w:szCs w:val="24"/>
                <w:lang w:eastAsia="lv-LV"/>
              </w:rPr>
              <w:t>2020. gada 15</w:t>
            </w:r>
            <w:r w:rsidRPr="00077BEE">
              <w:rPr>
                <w:rFonts w:ascii="Times New Roman" w:eastAsia="Times New Roman" w:hAnsi="Times New Roman" w:cs="Times New Roman"/>
                <w:sz w:val="24"/>
                <w:szCs w:val="24"/>
                <w:lang w:eastAsia="lv-LV"/>
              </w:rPr>
              <w:t>. jūlijā iesniegts paziņojums par līdzdalības iespējām Noteikumu projekta izstrādē.</w:t>
            </w:r>
          </w:p>
          <w:p w14:paraId="540FA823" w14:textId="45131011" w:rsidR="00077BEE" w:rsidRPr="00FB46EB" w:rsidRDefault="00077BEE" w:rsidP="00731493">
            <w:pPr>
              <w:spacing w:after="0" w:line="240" w:lineRule="auto"/>
              <w:jc w:val="both"/>
              <w:rPr>
                <w:rFonts w:ascii="Times New Roman" w:hAnsi="Times New Roman" w:cs="Times New Roman"/>
                <w:sz w:val="24"/>
                <w:szCs w:val="24"/>
              </w:rPr>
            </w:pPr>
            <w:r w:rsidRPr="008F1ED5">
              <w:rPr>
                <w:rFonts w:ascii="Times New Roman" w:eastAsia="Times New Roman" w:hAnsi="Times New Roman" w:cs="Times New Roman"/>
                <w:sz w:val="24"/>
                <w:szCs w:val="24"/>
                <w:lang w:eastAsia="lv-LV"/>
              </w:rPr>
              <w:t xml:space="preserve">Noteikumu projekts </w:t>
            </w:r>
            <w:r>
              <w:rPr>
                <w:rFonts w:ascii="Times New Roman" w:eastAsia="Times New Roman" w:hAnsi="Times New Roman" w:cs="Times New Roman"/>
                <w:sz w:val="24"/>
                <w:szCs w:val="24"/>
                <w:lang w:eastAsia="lv-LV"/>
              </w:rPr>
              <w:t xml:space="preserve">2020. gada 10. augustā tika </w:t>
            </w:r>
            <w:r w:rsidRPr="008F1ED5">
              <w:rPr>
                <w:rFonts w:ascii="Times New Roman" w:eastAsia="Times New Roman" w:hAnsi="Times New Roman" w:cs="Times New Roman"/>
                <w:sz w:val="24"/>
                <w:szCs w:val="24"/>
                <w:lang w:eastAsia="lv-LV"/>
              </w:rPr>
              <w:t>nosūtīts saskaņošanai Nevalstisko organizāciju un Ministru kabineta sadarbības memoranda īstenošanas padomei.</w:t>
            </w:r>
          </w:p>
        </w:tc>
      </w:tr>
      <w:bookmarkEnd w:id="7"/>
      <w:tr w:rsidR="00412E16" w:rsidRPr="0013168C" w14:paraId="60F41629" w14:textId="77777777" w:rsidTr="007C7951">
        <w:trPr>
          <w:trHeight w:val="264"/>
          <w:tblCellSpacing w:w="20" w:type="dxa"/>
          <w:jc w:val="center"/>
        </w:trPr>
        <w:tc>
          <w:tcPr>
            <w:tcW w:w="384" w:type="pct"/>
            <w:hideMark/>
          </w:tcPr>
          <w:p w14:paraId="0769BB55" w14:textId="77777777" w:rsidR="00412E16" w:rsidRPr="00FB46EB" w:rsidRDefault="00412E16"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2.</w:t>
            </w:r>
          </w:p>
        </w:tc>
        <w:tc>
          <w:tcPr>
            <w:tcW w:w="1602" w:type="pct"/>
            <w:hideMark/>
          </w:tcPr>
          <w:p w14:paraId="7E445443" w14:textId="77777777" w:rsidR="00412E16" w:rsidRPr="00FB46EB" w:rsidRDefault="00412E16"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color w:val="0D0D0D" w:themeColor="text1" w:themeTint="F2"/>
                <w:sz w:val="24"/>
                <w:szCs w:val="24"/>
                <w:lang w:eastAsia="lv-LV"/>
              </w:rPr>
              <w:t>Sabiedrības līdzdalība projekta izstrādē</w:t>
            </w:r>
          </w:p>
        </w:tc>
        <w:tc>
          <w:tcPr>
            <w:tcW w:w="2927" w:type="pct"/>
            <w:shd w:val="clear" w:color="auto" w:fill="auto"/>
            <w:hideMark/>
          </w:tcPr>
          <w:p w14:paraId="1E618AE0" w14:textId="36D13186" w:rsidR="00412E16" w:rsidRPr="00FB46EB" w:rsidRDefault="00412E16"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 xml:space="preserve">Sabiedrības līdzdalības un komunikācijas aktivitātes veiktas jau 2018.gadā un 2019.gadā, kad izstrādāta un apstiprināta programmas koncepcija. 2018.gada 20.februārī Rīgā organizēta programmas nozares konsultācijas, sniedzot savus ieteikumus programmas satura izstrādei, kā arī 2019.gada 6.martā programmas koncepcija saskaņota ar Nevalstisko organizāciju un Ministru kabineta sadarbības memoranda īstenošanas padomi. Pamatojoties uz programmas koncepcijā noteikto programmas saturu, izstrādāts </w:t>
            </w:r>
            <w:r w:rsidR="003F230E" w:rsidRPr="00FB46EB">
              <w:rPr>
                <w:rFonts w:ascii="Times New Roman" w:eastAsia="Times New Roman" w:hAnsi="Times New Roman" w:cs="Times New Roman"/>
                <w:sz w:val="24"/>
                <w:szCs w:val="24"/>
                <w:lang w:eastAsia="lv-LV"/>
              </w:rPr>
              <w:t>Noteikumu projekts</w:t>
            </w:r>
            <w:r w:rsidRPr="00FB46EB">
              <w:rPr>
                <w:rFonts w:ascii="Times New Roman" w:eastAsia="Times New Roman" w:hAnsi="Times New Roman" w:cs="Times New Roman"/>
                <w:sz w:val="24"/>
                <w:szCs w:val="24"/>
                <w:lang w:eastAsia="lv-LV"/>
              </w:rPr>
              <w:t>.</w:t>
            </w:r>
          </w:p>
          <w:p w14:paraId="36F7E83F" w14:textId="378245B5" w:rsidR="002005CF" w:rsidRDefault="00412E16"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 xml:space="preserve">Tāpat notikušas diskusijas 2018.gada decembrī ar kultūras un izglītības jomu ekspertiem, kā arī organizēti </w:t>
            </w:r>
            <w:r w:rsidR="002005CF" w:rsidRPr="00FB46EB">
              <w:rPr>
                <w:rFonts w:ascii="Times New Roman" w:eastAsia="Times New Roman" w:hAnsi="Times New Roman" w:cs="Times New Roman"/>
                <w:sz w:val="24"/>
                <w:szCs w:val="24"/>
                <w:lang w:eastAsia="lv-LV"/>
              </w:rPr>
              <w:t xml:space="preserve">divi </w:t>
            </w:r>
            <w:r w:rsidRPr="00FB46EB">
              <w:rPr>
                <w:rFonts w:ascii="Times New Roman" w:eastAsia="Times New Roman" w:hAnsi="Times New Roman" w:cs="Times New Roman"/>
                <w:sz w:val="24"/>
                <w:szCs w:val="24"/>
                <w:lang w:eastAsia="lv-LV"/>
              </w:rPr>
              <w:t>pasākumi</w:t>
            </w:r>
            <w:r w:rsidR="00A62A6F" w:rsidRPr="00FB46EB">
              <w:rPr>
                <w:rFonts w:ascii="Times New Roman" w:eastAsia="Times New Roman" w:hAnsi="Times New Roman" w:cs="Times New Roman"/>
                <w:sz w:val="24"/>
                <w:szCs w:val="24"/>
                <w:lang w:eastAsia="lv-LV"/>
              </w:rPr>
              <w:t xml:space="preserve"> </w:t>
            </w:r>
            <w:r w:rsidRPr="00FB46EB">
              <w:rPr>
                <w:rFonts w:ascii="Times New Roman" w:eastAsia="Times New Roman" w:hAnsi="Times New Roman" w:cs="Times New Roman"/>
                <w:sz w:val="24"/>
                <w:szCs w:val="24"/>
                <w:lang w:eastAsia="lv-LV"/>
              </w:rPr>
              <w:t>2019.gada martā un novembrī, kur potenciālie projektu iesniedzēji tikuši informēti par programmas atklātā konkursa plāno</w:t>
            </w:r>
            <w:r w:rsidR="00A62A6F" w:rsidRPr="00FB46EB">
              <w:rPr>
                <w:rFonts w:ascii="Times New Roman" w:eastAsia="Times New Roman" w:hAnsi="Times New Roman" w:cs="Times New Roman"/>
                <w:sz w:val="24"/>
                <w:szCs w:val="24"/>
                <w:lang w:eastAsia="lv-LV"/>
              </w:rPr>
              <w:t>šanu</w:t>
            </w:r>
            <w:r w:rsidRPr="00FB46EB">
              <w:rPr>
                <w:rFonts w:ascii="Times New Roman" w:eastAsia="Times New Roman" w:hAnsi="Times New Roman" w:cs="Times New Roman"/>
                <w:sz w:val="24"/>
                <w:szCs w:val="24"/>
                <w:lang w:eastAsia="lv-LV"/>
              </w:rPr>
              <w:t>.</w:t>
            </w:r>
          </w:p>
          <w:p w14:paraId="24DDFAA2" w14:textId="088548E7" w:rsidR="00574A7E" w:rsidRDefault="00574A7E" w:rsidP="00731493">
            <w:pPr>
              <w:spacing w:after="0" w:line="240" w:lineRule="auto"/>
              <w:jc w:val="both"/>
              <w:rPr>
                <w:rFonts w:ascii="Times New Roman" w:hAnsi="Times New Roman"/>
                <w:sz w:val="24"/>
                <w:szCs w:val="24"/>
              </w:rPr>
            </w:pPr>
            <w:r>
              <w:rPr>
                <w:rFonts w:ascii="Times New Roman" w:hAnsi="Times New Roman"/>
                <w:sz w:val="24"/>
                <w:szCs w:val="24"/>
              </w:rPr>
              <w:t>Sabiedrības informēšanai N</w:t>
            </w:r>
            <w:r w:rsidRPr="009E2717">
              <w:rPr>
                <w:rFonts w:ascii="Times New Roman" w:hAnsi="Times New Roman"/>
                <w:sz w:val="24"/>
                <w:szCs w:val="24"/>
              </w:rPr>
              <w:t xml:space="preserve">oteikumu projekts tika publicēts </w:t>
            </w:r>
            <w:r>
              <w:rPr>
                <w:rFonts w:ascii="Times New Roman" w:hAnsi="Times New Roman"/>
                <w:sz w:val="24"/>
                <w:szCs w:val="24"/>
              </w:rPr>
              <w:t xml:space="preserve">VARAM </w:t>
            </w:r>
            <w:r w:rsidR="00D832B9">
              <w:rPr>
                <w:rFonts w:ascii="Times New Roman" w:hAnsi="Times New Roman"/>
                <w:sz w:val="24"/>
                <w:szCs w:val="24"/>
              </w:rPr>
              <w:t xml:space="preserve">tīmekļvietnē </w:t>
            </w:r>
            <w:r>
              <w:rPr>
                <w:rFonts w:ascii="Times New Roman" w:hAnsi="Times New Roman"/>
                <w:sz w:val="24"/>
                <w:szCs w:val="24"/>
              </w:rPr>
              <w:t>2020. gada 15</w:t>
            </w:r>
            <w:r w:rsidRPr="009E2717">
              <w:rPr>
                <w:rFonts w:ascii="Times New Roman" w:hAnsi="Times New Roman"/>
                <w:sz w:val="24"/>
                <w:szCs w:val="24"/>
              </w:rPr>
              <w:t>.</w:t>
            </w:r>
            <w:r>
              <w:rPr>
                <w:rFonts w:ascii="Times New Roman" w:hAnsi="Times New Roman"/>
                <w:sz w:val="24"/>
                <w:szCs w:val="24"/>
              </w:rPr>
              <w:t>jūlijā.</w:t>
            </w:r>
            <w:r>
              <w:t xml:space="preserve"> </w:t>
            </w:r>
            <w:r w:rsidRPr="00E46105">
              <w:rPr>
                <w:rFonts w:ascii="Times New Roman" w:hAnsi="Times New Roman"/>
                <w:sz w:val="24"/>
                <w:szCs w:val="24"/>
              </w:rPr>
              <w:t>Komentāri par Noteikumu projektu netika saņemti.</w:t>
            </w:r>
          </w:p>
          <w:p w14:paraId="1BB90ABF" w14:textId="08694D4C" w:rsidR="00574A7E" w:rsidRPr="00FB46EB" w:rsidRDefault="00574A7E" w:rsidP="00731493">
            <w:pPr>
              <w:spacing w:after="0" w:line="240" w:lineRule="auto"/>
              <w:jc w:val="both"/>
              <w:rPr>
                <w:rFonts w:ascii="Times New Roman" w:eastAsia="Times New Roman" w:hAnsi="Times New Roman" w:cs="Times New Roman"/>
                <w:sz w:val="24"/>
                <w:szCs w:val="24"/>
                <w:lang w:eastAsia="lv-LV"/>
              </w:rPr>
            </w:pPr>
            <w:r w:rsidRPr="007F14C2">
              <w:rPr>
                <w:rFonts w:ascii="Times New Roman" w:eastAsia="Times New Roman" w:hAnsi="Times New Roman" w:cs="Times New Roman"/>
                <w:sz w:val="24"/>
                <w:szCs w:val="24"/>
                <w:lang w:eastAsia="lv-LV"/>
              </w:rPr>
              <w:t xml:space="preserve">Nevalstisko organizāciju un Ministru kabineta sadarbības memoranda īstenošanas </w:t>
            </w:r>
            <w:r w:rsidR="00AD738A" w:rsidRPr="00AD738A">
              <w:rPr>
                <w:rFonts w:ascii="Times New Roman" w:eastAsia="Times New Roman" w:hAnsi="Times New Roman" w:cs="Times New Roman"/>
                <w:sz w:val="24"/>
                <w:szCs w:val="24"/>
                <w:lang w:eastAsia="lv-LV"/>
              </w:rPr>
              <w:t>padome</w:t>
            </w:r>
            <w:r w:rsidR="006F5D96">
              <w:rPr>
                <w:rFonts w:ascii="Times New Roman" w:eastAsia="Times New Roman" w:hAnsi="Times New Roman" w:cs="Times New Roman"/>
                <w:sz w:val="24"/>
                <w:szCs w:val="24"/>
                <w:lang w:eastAsia="lv-LV"/>
              </w:rPr>
              <w:t xml:space="preserve"> komentārus nesniedza.</w:t>
            </w:r>
            <w:r w:rsidR="00AD738A" w:rsidRPr="00AD738A">
              <w:rPr>
                <w:rFonts w:ascii="Times New Roman" w:eastAsia="Times New Roman" w:hAnsi="Times New Roman" w:cs="Times New Roman"/>
                <w:sz w:val="24"/>
                <w:szCs w:val="24"/>
                <w:lang w:eastAsia="lv-LV"/>
              </w:rPr>
              <w:t xml:space="preserve"> </w:t>
            </w:r>
            <w:r w:rsidR="006F5D96">
              <w:rPr>
                <w:rFonts w:ascii="Times New Roman" w:eastAsia="Times New Roman" w:hAnsi="Times New Roman" w:cs="Times New Roman"/>
                <w:sz w:val="24"/>
                <w:szCs w:val="24"/>
                <w:lang w:eastAsia="lv-LV"/>
              </w:rPr>
              <w:t>K</w:t>
            </w:r>
            <w:r w:rsidR="00AD738A" w:rsidRPr="00AD738A">
              <w:rPr>
                <w:rFonts w:ascii="Times New Roman" w:eastAsia="Times New Roman" w:hAnsi="Times New Roman" w:cs="Times New Roman"/>
                <w:sz w:val="24"/>
                <w:szCs w:val="24"/>
                <w:lang w:eastAsia="lv-LV"/>
              </w:rPr>
              <w:t>omentārus par Noteikumu projektu sniedza Latvijas Lielo pilsētu asociācija</w:t>
            </w:r>
            <w:r>
              <w:rPr>
                <w:rFonts w:ascii="Times New Roman" w:eastAsia="Times New Roman" w:hAnsi="Times New Roman" w:cs="Times New Roman"/>
                <w:sz w:val="24"/>
                <w:szCs w:val="24"/>
                <w:lang w:eastAsia="lv-LV"/>
              </w:rPr>
              <w:t>.</w:t>
            </w:r>
          </w:p>
          <w:p w14:paraId="2BEA921C" w14:textId="673B62D8" w:rsidR="00412E16" w:rsidRPr="00FB46EB" w:rsidRDefault="003F230E"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Noteikumu projekts</w:t>
            </w:r>
            <w:r w:rsidR="00BD48DD" w:rsidRPr="00FB46EB">
              <w:rPr>
                <w:rFonts w:ascii="Times New Roman" w:eastAsia="Times New Roman" w:hAnsi="Times New Roman" w:cs="Times New Roman"/>
                <w:sz w:val="24"/>
                <w:szCs w:val="24"/>
                <w:lang w:eastAsia="lv-LV"/>
              </w:rPr>
              <w:t xml:space="preserve"> </w:t>
            </w:r>
            <w:r w:rsidR="002005CF" w:rsidRPr="00FB46EB">
              <w:rPr>
                <w:rFonts w:ascii="Times New Roman" w:eastAsia="Times New Roman" w:hAnsi="Times New Roman" w:cs="Times New Roman"/>
                <w:sz w:val="24"/>
                <w:szCs w:val="24"/>
                <w:lang w:eastAsia="lv-LV"/>
              </w:rPr>
              <w:t>sagatavots sadarbībā</w:t>
            </w:r>
            <w:r w:rsidR="00BD48DD" w:rsidRPr="00FB46EB">
              <w:rPr>
                <w:rFonts w:ascii="Times New Roman" w:eastAsia="Times New Roman" w:hAnsi="Times New Roman" w:cs="Times New Roman"/>
                <w:sz w:val="24"/>
                <w:szCs w:val="24"/>
                <w:lang w:eastAsia="lv-LV"/>
              </w:rPr>
              <w:t xml:space="preserve"> ar Norvēģijas Mākslas padomi.</w:t>
            </w:r>
          </w:p>
        </w:tc>
      </w:tr>
      <w:tr w:rsidR="007C7951" w:rsidRPr="0013168C" w14:paraId="13972AE4" w14:textId="77777777" w:rsidTr="007C7951">
        <w:trPr>
          <w:trHeight w:val="372"/>
          <w:tblCellSpacing w:w="20" w:type="dxa"/>
          <w:jc w:val="center"/>
        </w:trPr>
        <w:tc>
          <w:tcPr>
            <w:tcW w:w="384" w:type="pct"/>
            <w:hideMark/>
          </w:tcPr>
          <w:p w14:paraId="0F030282" w14:textId="77777777" w:rsidR="007C7951" w:rsidRPr="00FB46EB" w:rsidRDefault="007C7951"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3.</w:t>
            </w:r>
          </w:p>
        </w:tc>
        <w:tc>
          <w:tcPr>
            <w:tcW w:w="1602" w:type="pct"/>
            <w:hideMark/>
          </w:tcPr>
          <w:p w14:paraId="0183E004" w14:textId="77777777" w:rsidR="007C7951" w:rsidRPr="00FB46EB" w:rsidRDefault="007C7951"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color w:val="0D0D0D" w:themeColor="text1" w:themeTint="F2"/>
                <w:sz w:val="24"/>
                <w:szCs w:val="24"/>
                <w:lang w:eastAsia="lv-LV"/>
              </w:rPr>
              <w:t>Sabiedrības līdzdalības rezultāti</w:t>
            </w:r>
          </w:p>
        </w:tc>
        <w:tc>
          <w:tcPr>
            <w:tcW w:w="2927" w:type="pct"/>
            <w:hideMark/>
          </w:tcPr>
          <w:p w14:paraId="3B35A211" w14:textId="3B8AE818" w:rsidR="007C7951" w:rsidRPr="00FB46EB" w:rsidRDefault="00B3174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Nav</w:t>
            </w:r>
          </w:p>
        </w:tc>
      </w:tr>
      <w:tr w:rsidR="007C7951" w:rsidRPr="0013168C" w14:paraId="077FDEEF" w14:textId="77777777" w:rsidTr="007C7951">
        <w:trPr>
          <w:trHeight w:val="230"/>
          <w:tblCellSpacing w:w="20" w:type="dxa"/>
          <w:jc w:val="center"/>
        </w:trPr>
        <w:tc>
          <w:tcPr>
            <w:tcW w:w="384" w:type="pct"/>
            <w:hideMark/>
          </w:tcPr>
          <w:p w14:paraId="29551B10" w14:textId="77777777" w:rsidR="007C7951" w:rsidRPr="00FB46EB" w:rsidRDefault="007C7951" w:rsidP="00731493">
            <w:pPr>
              <w:spacing w:after="0" w:line="240" w:lineRule="auto"/>
              <w:jc w:val="center"/>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4.</w:t>
            </w:r>
          </w:p>
        </w:tc>
        <w:tc>
          <w:tcPr>
            <w:tcW w:w="1602" w:type="pct"/>
            <w:hideMark/>
          </w:tcPr>
          <w:p w14:paraId="40FBEB10" w14:textId="77777777" w:rsidR="007C7951" w:rsidRPr="00FB46EB" w:rsidRDefault="007C7951"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 informācija</w:t>
            </w:r>
          </w:p>
        </w:tc>
        <w:tc>
          <w:tcPr>
            <w:tcW w:w="2927" w:type="pct"/>
            <w:hideMark/>
          </w:tcPr>
          <w:p w14:paraId="1B758BC6" w14:textId="25EB7703" w:rsidR="007C7951" w:rsidRPr="00FB46EB" w:rsidRDefault="007C7951"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Nav</w:t>
            </w:r>
          </w:p>
        </w:tc>
      </w:tr>
    </w:tbl>
    <w:p w14:paraId="64EE0E13" w14:textId="40E69791" w:rsidR="002005CF" w:rsidRDefault="002005CF" w:rsidP="00731493">
      <w:pPr>
        <w:shd w:val="clear" w:color="auto" w:fill="FFFFFF"/>
        <w:spacing w:after="0" w:line="240" w:lineRule="auto"/>
        <w:ind w:firstLine="301"/>
        <w:rPr>
          <w:rFonts w:ascii="Times New Roman" w:eastAsia="Times New Roman" w:hAnsi="Times New Roman" w:cs="Times New Roman"/>
          <w:sz w:val="24"/>
          <w:szCs w:val="24"/>
          <w:lang w:eastAsia="lv-LV"/>
        </w:rPr>
      </w:pPr>
    </w:p>
    <w:p w14:paraId="6951627A" w14:textId="1B6BEF00" w:rsidR="00225C43" w:rsidRDefault="00225C43" w:rsidP="00731493">
      <w:pPr>
        <w:shd w:val="clear" w:color="auto" w:fill="FFFFFF"/>
        <w:spacing w:after="0" w:line="240" w:lineRule="auto"/>
        <w:ind w:firstLine="301"/>
        <w:rPr>
          <w:rFonts w:ascii="Times New Roman" w:eastAsia="Times New Roman" w:hAnsi="Times New Roman" w:cs="Times New Roman"/>
          <w:sz w:val="24"/>
          <w:szCs w:val="24"/>
          <w:lang w:eastAsia="lv-LV"/>
        </w:rPr>
      </w:pPr>
    </w:p>
    <w:p w14:paraId="16BC8548" w14:textId="30BC3277" w:rsidR="00225C43" w:rsidRDefault="00225C43" w:rsidP="00731493">
      <w:pPr>
        <w:shd w:val="clear" w:color="auto" w:fill="FFFFFF"/>
        <w:spacing w:after="0" w:line="240" w:lineRule="auto"/>
        <w:ind w:firstLine="301"/>
        <w:rPr>
          <w:rFonts w:ascii="Times New Roman" w:eastAsia="Times New Roman" w:hAnsi="Times New Roman" w:cs="Times New Roman"/>
          <w:sz w:val="24"/>
          <w:szCs w:val="24"/>
          <w:lang w:eastAsia="lv-LV"/>
        </w:rPr>
      </w:pPr>
    </w:p>
    <w:p w14:paraId="3EE8C849" w14:textId="624C6EE4" w:rsidR="00225C43" w:rsidRDefault="00225C43" w:rsidP="00731493">
      <w:pPr>
        <w:shd w:val="clear" w:color="auto" w:fill="FFFFFF"/>
        <w:spacing w:after="0" w:line="240" w:lineRule="auto"/>
        <w:ind w:firstLine="301"/>
        <w:rPr>
          <w:rFonts w:ascii="Times New Roman" w:eastAsia="Times New Roman" w:hAnsi="Times New Roman" w:cs="Times New Roman"/>
          <w:sz w:val="24"/>
          <w:szCs w:val="24"/>
          <w:lang w:eastAsia="lv-LV"/>
        </w:rPr>
      </w:pPr>
    </w:p>
    <w:p w14:paraId="29471545" w14:textId="2765C485" w:rsidR="00225C43" w:rsidRDefault="00225C43" w:rsidP="00731493">
      <w:pPr>
        <w:shd w:val="clear" w:color="auto" w:fill="FFFFFF"/>
        <w:spacing w:after="0" w:line="240" w:lineRule="auto"/>
        <w:ind w:firstLine="301"/>
        <w:rPr>
          <w:rFonts w:ascii="Times New Roman" w:eastAsia="Times New Roman" w:hAnsi="Times New Roman" w:cs="Times New Roman"/>
          <w:sz w:val="24"/>
          <w:szCs w:val="24"/>
          <w:lang w:eastAsia="lv-LV"/>
        </w:rPr>
      </w:pPr>
    </w:p>
    <w:p w14:paraId="0630FBEF" w14:textId="77777777" w:rsidR="00225C43" w:rsidRPr="00FB46EB" w:rsidRDefault="00225C43" w:rsidP="0073149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3" w:type="pct"/>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70"/>
        <w:gridCol w:w="3241"/>
        <w:gridCol w:w="5672"/>
      </w:tblGrid>
      <w:tr w:rsidR="00152C21" w:rsidRPr="0013168C" w14:paraId="283C050D" w14:textId="77777777" w:rsidTr="00687359">
        <w:trPr>
          <w:trHeight w:val="300"/>
          <w:tblCellSpacing w:w="20" w:type="dxa"/>
        </w:trPr>
        <w:tc>
          <w:tcPr>
            <w:tcW w:w="4957" w:type="pct"/>
            <w:gridSpan w:val="3"/>
            <w:vAlign w:val="center"/>
            <w:hideMark/>
          </w:tcPr>
          <w:p w14:paraId="1BF1D9C4" w14:textId="77777777" w:rsidR="00894C55" w:rsidRPr="00FB46EB" w:rsidRDefault="00B32BBE" w:rsidP="00731493">
            <w:pPr>
              <w:spacing w:after="0" w:line="240" w:lineRule="auto"/>
              <w:jc w:val="center"/>
              <w:rPr>
                <w:rFonts w:ascii="Times New Roman" w:eastAsia="Times New Roman" w:hAnsi="Times New Roman" w:cs="Times New Roman"/>
                <w:b/>
                <w:bCs/>
                <w:sz w:val="24"/>
                <w:szCs w:val="24"/>
                <w:lang w:eastAsia="lv-LV"/>
              </w:rPr>
            </w:pPr>
            <w:r w:rsidRPr="00FB46EB">
              <w:rPr>
                <w:rFonts w:ascii="Times New Roman" w:eastAsia="Times New Roman" w:hAnsi="Times New Roman" w:cs="Times New Roman"/>
                <w:b/>
                <w:bCs/>
                <w:sz w:val="24"/>
                <w:szCs w:val="24"/>
                <w:lang w:eastAsia="lv-LV"/>
              </w:rPr>
              <w:lastRenderedPageBreak/>
              <w:t>VII.</w:t>
            </w:r>
            <w:r w:rsidR="00816C11" w:rsidRPr="00FB46EB">
              <w:rPr>
                <w:rFonts w:ascii="Times New Roman" w:eastAsia="Times New Roman" w:hAnsi="Times New Roman" w:cs="Times New Roman"/>
                <w:b/>
                <w:bCs/>
                <w:sz w:val="24"/>
                <w:szCs w:val="24"/>
                <w:lang w:eastAsia="lv-LV"/>
              </w:rPr>
              <w:t> </w:t>
            </w:r>
            <w:r w:rsidRPr="00FB46EB">
              <w:rPr>
                <w:rFonts w:ascii="Times New Roman" w:eastAsia="Times New Roman" w:hAnsi="Times New Roman" w:cs="Times New Roman"/>
                <w:b/>
                <w:bCs/>
                <w:sz w:val="24"/>
                <w:szCs w:val="24"/>
                <w:lang w:eastAsia="lv-LV"/>
              </w:rPr>
              <w:t>Tiesību akta projekta izpildes nodrošināšana un tās ietekme uz institūcijām</w:t>
            </w:r>
          </w:p>
        </w:tc>
      </w:tr>
      <w:tr w:rsidR="00FE7493" w:rsidRPr="0013168C" w14:paraId="567D3E66" w14:textId="77777777" w:rsidTr="00FE7493">
        <w:trPr>
          <w:trHeight w:val="336"/>
          <w:tblCellSpacing w:w="20" w:type="dxa"/>
        </w:trPr>
        <w:tc>
          <w:tcPr>
            <w:tcW w:w="417" w:type="pct"/>
            <w:hideMark/>
          </w:tcPr>
          <w:p w14:paraId="219A9D30"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1.</w:t>
            </w:r>
          </w:p>
        </w:tc>
        <w:tc>
          <w:tcPr>
            <w:tcW w:w="1649" w:type="pct"/>
            <w:hideMark/>
          </w:tcPr>
          <w:p w14:paraId="438D0FA2"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Projekta izpildē iesaistītās institūcijas</w:t>
            </w:r>
          </w:p>
        </w:tc>
        <w:tc>
          <w:tcPr>
            <w:tcW w:w="2848" w:type="pct"/>
            <w:hideMark/>
          </w:tcPr>
          <w:p w14:paraId="159D817C" w14:textId="63051218" w:rsidR="00C17171" w:rsidRPr="00FB46EB" w:rsidRDefault="00B32BBE" w:rsidP="00731493">
            <w:pPr>
              <w:spacing w:after="0" w:line="240" w:lineRule="auto"/>
              <w:jc w:val="both"/>
              <w:rPr>
                <w:rFonts w:ascii="Times New Roman" w:hAnsi="Times New Roman" w:cs="Times New Roman"/>
                <w:sz w:val="24"/>
                <w:szCs w:val="24"/>
              </w:rPr>
            </w:pPr>
            <w:r w:rsidRPr="00FB46EB">
              <w:rPr>
                <w:rFonts w:ascii="Times New Roman" w:hAnsi="Times New Roman" w:cs="Times New Roman"/>
                <w:color w:val="0D0D0D" w:themeColor="text1" w:themeTint="F2"/>
                <w:sz w:val="24"/>
                <w:szCs w:val="24"/>
              </w:rPr>
              <w:t xml:space="preserve">Finanšu ministrija kā vadošā iestāde, </w:t>
            </w:r>
            <w:r w:rsidR="00044D81" w:rsidRPr="00FB46EB">
              <w:rPr>
                <w:rFonts w:ascii="Times New Roman" w:hAnsi="Times New Roman" w:cs="Times New Roman"/>
                <w:sz w:val="24"/>
                <w:szCs w:val="24"/>
              </w:rPr>
              <w:t>programmas apsaimniekotājs</w:t>
            </w:r>
            <w:r w:rsidR="00FE7493" w:rsidRPr="00FB46EB">
              <w:rPr>
                <w:rFonts w:ascii="Times New Roman" w:hAnsi="Times New Roman" w:cs="Times New Roman"/>
                <w:sz w:val="24"/>
                <w:szCs w:val="24"/>
              </w:rPr>
              <w:t xml:space="preserve"> un</w:t>
            </w:r>
            <w:r w:rsidR="00044D81" w:rsidRPr="00FB46EB">
              <w:rPr>
                <w:rFonts w:ascii="Times New Roman" w:hAnsi="Times New Roman" w:cs="Times New Roman"/>
                <w:sz w:val="24"/>
                <w:szCs w:val="24"/>
              </w:rPr>
              <w:t xml:space="preserve"> </w:t>
            </w:r>
            <w:r w:rsidR="008B7308" w:rsidRPr="00FB46EB">
              <w:rPr>
                <w:rFonts w:ascii="Times New Roman" w:hAnsi="Times New Roman" w:cs="Times New Roman"/>
                <w:sz w:val="24"/>
                <w:szCs w:val="24"/>
              </w:rPr>
              <w:t>programmas partneris</w:t>
            </w:r>
            <w:r w:rsidR="00044D81" w:rsidRPr="00FB46EB">
              <w:rPr>
                <w:rFonts w:ascii="Times New Roman" w:hAnsi="Times New Roman" w:cs="Times New Roman"/>
                <w:sz w:val="24"/>
                <w:szCs w:val="24"/>
              </w:rPr>
              <w:t>.</w:t>
            </w:r>
          </w:p>
        </w:tc>
      </w:tr>
      <w:tr w:rsidR="00FE7493" w:rsidRPr="0013168C" w14:paraId="320FC59D" w14:textId="77777777" w:rsidTr="00FE7493">
        <w:trPr>
          <w:trHeight w:val="360"/>
          <w:tblCellSpacing w:w="20" w:type="dxa"/>
        </w:trPr>
        <w:tc>
          <w:tcPr>
            <w:tcW w:w="417" w:type="pct"/>
            <w:hideMark/>
          </w:tcPr>
          <w:p w14:paraId="1DCFAC6B"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2.</w:t>
            </w:r>
          </w:p>
        </w:tc>
        <w:tc>
          <w:tcPr>
            <w:tcW w:w="1649" w:type="pct"/>
            <w:hideMark/>
          </w:tcPr>
          <w:p w14:paraId="431644C9" w14:textId="77777777" w:rsidR="00BA4EF1"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Projekta izpildes ietekme uz pārvaldes funkcijām un institucionālo struktūru.</w:t>
            </w:r>
            <w:r w:rsidR="003F5B81" w:rsidRPr="00FB46EB">
              <w:rPr>
                <w:rFonts w:ascii="Times New Roman" w:eastAsia="Times New Roman" w:hAnsi="Times New Roman" w:cs="Times New Roman"/>
                <w:sz w:val="24"/>
                <w:szCs w:val="24"/>
                <w:lang w:eastAsia="lv-LV"/>
              </w:rPr>
              <w:t xml:space="preserve"> </w:t>
            </w:r>
          </w:p>
          <w:p w14:paraId="32F0299B"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48" w:type="pct"/>
            <w:hideMark/>
          </w:tcPr>
          <w:p w14:paraId="4278DEFF" w14:textId="67F5C3D0" w:rsidR="005561F1" w:rsidRPr="00FB46EB" w:rsidRDefault="0063759D"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hAnsi="Times New Roman" w:cs="Times New Roman"/>
                <w:spacing w:val="-4"/>
                <w:sz w:val="24"/>
                <w:szCs w:val="24"/>
              </w:rPr>
              <w:t xml:space="preserve">Noteikumu </w:t>
            </w:r>
            <w:r w:rsidRPr="00FB46EB">
              <w:rPr>
                <w:rFonts w:ascii="Times New Roman" w:hAnsi="Times New Roman" w:cs="Times New Roman"/>
                <w:bCs/>
                <w:iCs/>
                <w:sz w:val="24"/>
                <w:szCs w:val="24"/>
              </w:rPr>
              <w:t>projekta īstenošana tiks veikta esošo cilvēkresursu ietvaros. Saistībā ar Noteikumu projekta izpildi nebūs nepieciešams veidot jaunas institūcijas vai likvidēt, reorganizēt esošās.</w:t>
            </w:r>
          </w:p>
        </w:tc>
      </w:tr>
      <w:tr w:rsidR="00FE7493" w:rsidRPr="0013168C" w14:paraId="08BD4ED7" w14:textId="77777777" w:rsidTr="00FE7493">
        <w:trPr>
          <w:trHeight w:val="312"/>
          <w:tblCellSpacing w:w="20" w:type="dxa"/>
        </w:trPr>
        <w:tc>
          <w:tcPr>
            <w:tcW w:w="417" w:type="pct"/>
            <w:hideMark/>
          </w:tcPr>
          <w:p w14:paraId="221CDDDF"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3.</w:t>
            </w:r>
          </w:p>
        </w:tc>
        <w:tc>
          <w:tcPr>
            <w:tcW w:w="1649" w:type="pct"/>
            <w:hideMark/>
          </w:tcPr>
          <w:p w14:paraId="48787294" w14:textId="77777777" w:rsidR="00894C55" w:rsidRPr="00FB46EB" w:rsidRDefault="00B32BBE" w:rsidP="00731493">
            <w:pPr>
              <w:spacing w:after="0" w:line="240" w:lineRule="auto"/>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Cita informācija</w:t>
            </w:r>
          </w:p>
        </w:tc>
        <w:tc>
          <w:tcPr>
            <w:tcW w:w="2848" w:type="pct"/>
          </w:tcPr>
          <w:p w14:paraId="4FD064F1" w14:textId="32CBB344" w:rsidR="00894C55" w:rsidRPr="00FB46EB" w:rsidRDefault="00CD67FF" w:rsidP="00731493">
            <w:pPr>
              <w:spacing w:after="0" w:line="240" w:lineRule="auto"/>
              <w:jc w:val="both"/>
              <w:rPr>
                <w:rFonts w:ascii="Times New Roman" w:eastAsia="Times New Roman" w:hAnsi="Times New Roman" w:cs="Times New Roman"/>
                <w:sz w:val="24"/>
                <w:szCs w:val="24"/>
                <w:lang w:eastAsia="lv-LV"/>
              </w:rPr>
            </w:pPr>
            <w:r w:rsidRPr="00FB46EB">
              <w:rPr>
                <w:rFonts w:ascii="Times New Roman" w:eastAsia="Times New Roman" w:hAnsi="Times New Roman" w:cs="Times New Roman"/>
                <w:sz w:val="24"/>
                <w:szCs w:val="24"/>
                <w:lang w:eastAsia="lv-LV"/>
              </w:rPr>
              <w:t>Nav</w:t>
            </w:r>
          </w:p>
        </w:tc>
      </w:tr>
    </w:tbl>
    <w:p w14:paraId="6186470D" w14:textId="77777777" w:rsidR="003C7FB7" w:rsidRPr="00FB46EB" w:rsidRDefault="003C7FB7" w:rsidP="00731493">
      <w:pPr>
        <w:spacing w:after="0" w:line="240" w:lineRule="auto"/>
        <w:rPr>
          <w:rFonts w:ascii="Times New Roman" w:hAnsi="Times New Roman" w:cs="Times New Roman"/>
          <w:sz w:val="24"/>
          <w:szCs w:val="24"/>
        </w:rPr>
      </w:pPr>
    </w:p>
    <w:p w14:paraId="7760995B" w14:textId="77777777" w:rsidR="00BA4EF1" w:rsidRPr="00FB46EB" w:rsidRDefault="00BA4EF1" w:rsidP="00731493">
      <w:pPr>
        <w:spacing w:after="0" w:line="240" w:lineRule="auto"/>
        <w:rPr>
          <w:rFonts w:ascii="Times New Roman" w:hAnsi="Times New Roman" w:cs="Times New Roman"/>
          <w:sz w:val="24"/>
          <w:szCs w:val="24"/>
        </w:rPr>
      </w:pPr>
    </w:p>
    <w:p w14:paraId="4FE83DE1" w14:textId="0565C875" w:rsidR="00BA4EF1" w:rsidRPr="00FB46EB" w:rsidRDefault="00842ECB" w:rsidP="00F06771">
      <w:pPr>
        <w:widowControl w:val="0"/>
        <w:tabs>
          <w:tab w:val="left" w:pos="7371"/>
        </w:tabs>
        <w:spacing w:after="0" w:line="240" w:lineRule="auto"/>
        <w:ind w:left="284"/>
        <w:rPr>
          <w:rFonts w:ascii="Times New Roman" w:eastAsia="Calibri" w:hAnsi="Times New Roman" w:cs="Times New Roman"/>
          <w:bCs/>
          <w:iCs/>
          <w:sz w:val="24"/>
          <w:szCs w:val="24"/>
          <w:lang w:eastAsia="lv-LV"/>
        </w:rPr>
      </w:pPr>
      <w:r w:rsidRPr="00FB46EB">
        <w:rPr>
          <w:rFonts w:ascii="Times New Roman" w:eastAsia="Calibri" w:hAnsi="Times New Roman" w:cs="Times New Roman"/>
          <w:bCs/>
          <w:iCs/>
          <w:sz w:val="24"/>
          <w:szCs w:val="24"/>
          <w:lang w:eastAsia="lv-LV"/>
        </w:rPr>
        <w:t>Vides aizsardzības un reģionālās attīstības</w:t>
      </w:r>
      <w:r w:rsidR="00FC498F">
        <w:rPr>
          <w:rFonts w:ascii="Times New Roman" w:eastAsia="Calibri" w:hAnsi="Times New Roman" w:cs="Times New Roman"/>
          <w:bCs/>
          <w:iCs/>
          <w:sz w:val="24"/>
          <w:szCs w:val="24"/>
          <w:lang w:eastAsia="lv-LV"/>
        </w:rPr>
        <w:t xml:space="preserve"> ministr</w:t>
      </w:r>
      <w:r w:rsidR="00F06771">
        <w:rPr>
          <w:rFonts w:ascii="Times New Roman" w:eastAsia="Calibri" w:hAnsi="Times New Roman" w:cs="Times New Roman"/>
          <w:bCs/>
          <w:iCs/>
          <w:sz w:val="24"/>
          <w:szCs w:val="24"/>
          <w:lang w:eastAsia="lv-LV"/>
        </w:rPr>
        <w:t>s</w:t>
      </w:r>
      <w:r w:rsidR="00BA4EF1" w:rsidRPr="00FB46EB">
        <w:rPr>
          <w:rFonts w:ascii="Times New Roman" w:eastAsia="Calibri" w:hAnsi="Times New Roman" w:cs="Times New Roman"/>
          <w:bCs/>
          <w:iCs/>
          <w:sz w:val="24"/>
          <w:szCs w:val="24"/>
          <w:lang w:eastAsia="lv-LV"/>
        </w:rPr>
        <w:tab/>
      </w:r>
      <w:r w:rsidR="00F06771">
        <w:rPr>
          <w:rFonts w:ascii="Times New Roman" w:eastAsia="Times New Roman" w:hAnsi="Times New Roman" w:cs="Times New Roman"/>
          <w:sz w:val="24"/>
          <w:szCs w:val="24"/>
          <w:lang w:eastAsia="lv-LV"/>
        </w:rPr>
        <w:t>A. T. Plešs</w:t>
      </w:r>
    </w:p>
    <w:p w14:paraId="1B9ACA77" w14:textId="77777777" w:rsidR="00BA4EF1" w:rsidRPr="00FB46EB" w:rsidRDefault="00BA4EF1" w:rsidP="00731493">
      <w:pPr>
        <w:widowControl w:val="0"/>
        <w:tabs>
          <w:tab w:val="left" w:pos="7371"/>
        </w:tabs>
        <w:spacing w:after="0" w:line="240" w:lineRule="auto"/>
        <w:ind w:left="284" w:firstLine="142"/>
        <w:rPr>
          <w:rFonts w:ascii="Times New Roman" w:eastAsia="Calibri" w:hAnsi="Times New Roman" w:cs="Times New Roman"/>
          <w:sz w:val="24"/>
          <w:szCs w:val="24"/>
          <w:lang w:eastAsia="lv-LV"/>
        </w:rPr>
      </w:pPr>
    </w:p>
    <w:p w14:paraId="31C76907" w14:textId="77777777" w:rsidR="0063759D" w:rsidRPr="00FB46EB" w:rsidRDefault="0063759D" w:rsidP="00731493">
      <w:pPr>
        <w:tabs>
          <w:tab w:val="left" w:pos="6237"/>
        </w:tabs>
        <w:spacing w:after="0" w:line="240" w:lineRule="auto"/>
        <w:rPr>
          <w:rFonts w:ascii="Times New Roman" w:eastAsia="Calibri" w:hAnsi="Times New Roman" w:cs="Times New Roman"/>
          <w:sz w:val="24"/>
          <w:szCs w:val="24"/>
          <w:lang w:eastAsia="lv-LV"/>
        </w:rPr>
      </w:pPr>
    </w:p>
    <w:p w14:paraId="3524EB7A" w14:textId="3C8D0F0F" w:rsidR="005561F1" w:rsidRPr="00F35B73" w:rsidRDefault="00842ECB" w:rsidP="00731493">
      <w:pPr>
        <w:tabs>
          <w:tab w:val="left" w:pos="6237"/>
        </w:tabs>
        <w:spacing w:after="0" w:line="240" w:lineRule="auto"/>
        <w:rPr>
          <w:rFonts w:ascii="Times New Roman" w:hAnsi="Times New Roman" w:cs="Times New Roman"/>
          <w:sz w:val="20"/>
          <w:szCs w:val="20"/>
        </w:rPr>
      </w:pPr>
      <w:r w:rsidRPr="00F35B73">
        <w:rPr>
          <w:rFonts w:ascii="Times New Roman" w:hAnsi="Times New Roman" w:cs="Times New Roman"/>
          <w:sz w:val="20"/>
          <w:szCs w:val="20"/>
        </w:rPr>
        <w:t>Andžāne 67026469</w:t>
      </w:r>
    </w:p>
    <w:p w14:paraId="0A877583" w14:textId="37BD2FAB" w:rsidR="00842ECB" w:rsidRPr="00F35B73" w:rsidRDefault="006F5D96" w:rsidP="00731493">
      <w:pPr>
        <w:tabs>
          <w:tab w:val="left" w:pos="6237"/>
        </w:tabs>
        <w:spacing w:after="0" w:line="240" w:lineRule="auto"/>
        <w:rPr>
          <w:rFonts w:ascii="Times New Roman" w:hAnsi="Times New Roman" w:cs="Times New Roman"/>
          <w:sz w:val="20"/>
          <w:szCs w:val="20"/>
        </w:rPr>
      </w:pPr>
      <w:hyperlink r:id="rId15" w:history="1">
        <w:r w:rsidR="00842ECB" w:rsidRPr="00F35B73">
          <w:rPr>
            <w:rStyle w:val="Hyperlink"/>
            <w:rFonts w:ascii="Times New Roman" w:hAnsi="Times New Roman" w:cs="Times New Roman"/>
            <w:sz w:val="20"/>
            <w:szCs w:val="20"/>
          </w:rPr>
          <w:t>agnese.andzane@varam.gov.lv</w:t>
        </w:r>
      </w:hyperlink>
    </w:p>
    <w:sectPr w:rsidR="00842ECB" w:rsidRPr="00F35B73" w:rsidSect="000C044C">
      <w:headerReference w:type="default" r:id="rId16"/>
      <w:footerReference w:type="default" r:id="rId17"/>
      <w:footerReference w:type="first" r:id="rId18"/>
      <w:pgSz w:w="11906" w:h="16838"/>
      <w:pgMar w:top="1418"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478A" w14:textId="77777777" w:rsidR="009240E6" w:rsidRDefault="009240E6">
      <w:pPr>
        <w:spacing w:after="0" w:line="240" w:lineRule="auto"/>
      </w:pPr>
      <w:r>
        <w:separator/>
      </w:r>
    </w:p>
  </w:endnote>
  <w:endnote w:type="continuationSeparator" w:id="0">
    <w:p w14:paraId="62B33DEB" w14:textId="77777777" w:rsidR="009240E6" w:rsidRDefault="0092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15E7" w14:textId="228B14C3" w:rsidR="00E96E21" w:rsidRPr="00842ECB" w:rsidRDefault="00E96E21" w:rsidP="00842EC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VARAMAnot_</w:t>
    </w:r>
    <w:r w:rsidR="002717FF">
      <w:rPr>
        <w:rFonts w:ascii="Times New Roman" w:hAnsi="Times New Roman" w:cs="Times New Roman"/>
        <w:bCs/>
        <w:sz w:val="20"/>
        <w:szCs w:val="20"/>
      </w:rPr>
      <w:t>23</w:t>
    </w:r>
    <w:r>
      <w:rPr>
        <w:rFonts w:ascii="Times New Roman" w:hAnsi="Times New Roman" w:cs="Times New Roman"/>
        <w:bCs/>
        <w:sz w:val="20"/>
        <w:szCs w:val="20"/>
      </w:rPr>
      <w:t>122020</w:t>
    </w:r>
    <w:r w:rsidRPr="00B76C27">
      <w:rPr>
        <w:rFonts w:ascii="Times New Roman" w:hAnsi="Times New Roman" w:cs="Times New Roman"/>
        <w:bCs/>
        <w:sz w:val="20"/>
        <w:szCs w:val="20"/>
      </w:rPr>
      <w:t>_LVLOCALDEV</w:t>
    </w:r>
    <w:r>
      <w:rPr>
        <w:rFonts w:ascii="Times New Roman" w:hAnsi="Times New Roman" w:cs="Times New Roman"/>
        <w:bCs/>
        <w:sz w:val="20"/>
        <w:szCs w:val="20"/>
      </w:rPr>
      <w:t>_kultura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210341"/>
      <w:docPartObj>
        <w:docPartGallery w:val="Page Numbers (Top of Page)"/>
        <w:docPartUnique/>
      </w:docPartObj>
    </w:sdtPr>
    <w:sdtEndPr>
      <w:rPr>
        <w:rFonts w:ascii="Times New Roman" w:hAnsi="Times New Roman" w:cs="Times New Roman"/>
        <w:noProof/>
        <w:sz w:val="24"/>
        <w:szCs w:val="20"/>
      </w:rPr>
    </w:sdtEndPr>
    <w:sdtContent>
      <w:p w14:paraId="6C7DA6DB" w14:textId="208E8EBB" w:rsidR="00E96E21" w:rsidRPr="00C25B49" w:rsidRDefault="00E96E21" w:rsidP="00711C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6771">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14:paraId="2B7716D9" w14:textId="77777777" w:rsidR="00E96E21" w:rsidRDefault="00E96E21" w:rsidP="00711C14"/>
  <w:p w14:paraId="12B43CE8" w14:textId="77777777" w:rsidR="00E96E21" w:rsidRDefault="00E96E21" w:rsidP="00711C14">
    <w:pPr>
      <w:pStyle w:val="Footer"/>
    </w:pPr>
  </w:p>
  <w:p w14:paraId="27913AFE" w14:textId="77777777" w:rsidR="00E96E21" w:rsidRDefault="00E96E21" w:rsidP="00711C14"/>
  <w:p w14:paraId="1C39D931" w14:textId="2F284C0D" w:rsidR="00E96E21" w:rsidRPr="00711C14" w:rsidRDefault="002717FF" w:rsidP="00711C1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VARAMAnot_23</w:t>
    </w:r>
    <w:r w:rsidR="00E96E21">
      <w:rPr>
        <w:rFonts w:ascii="Times New Roman" w:hAnsi="Times New Roman" w:cs="Times New Roman"/>
        <w:bCs/>
        <w:sz w:val="20"/>
        <w:szCs w:val="20"/>
      </w:rPr>
      <w:t>122020</w:t>
    </w:r>
    <w:r w:rsidR="00E96E21" w:rsidRPr="00B76C27">
      <w:rPr>
        <w:rFonts w:ascii="Times New Roman" w:hAnsi="Times New Roman" w:cs="Times New Roman"/>
        <w:bCs/>
        <w:sz w:val="20"/>
        <w:szCs w:val="20"/>
      </w:rPr>
      <w:t>_LVLOCALDEV</w:t>
    </w:r>
    <w:r w:rsidR="00E96E21">
      <w:rPr>
        <w:rFonts w:ascii="Times New Roman" w:hAnsi="Times New Roman" w:cs="Times New Roman"/>
        <w:bCs/>
        <w:sz w:val="20"/>
        <w:szCs w:val="20"/>
      </w:rPr>
      <w:t>_kultura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D6B80" w14:textId="77777777" w:rsidR="009240E6" w:rsidRDefault="009240E6">
      <w:pPr>
        <w:spacing w:after="0" w:line="240" w:lineRule="auto"/>
      </w:pPr>
      <w:r>
        <w:separator/>
      </w:r>
    </w:p>
  </w:footnote>
  <w:footnote w:type="continuationSeparator" w:id="0">
    <w:p w14:paraId="313BDA20" w14:textId="77777777" w:rsidR="009240E6" w:rsidRDefault="009240E6">
      <w:pPr>
        <w:spacing w:after="0" w:line="240" w:lineRule="auto"/>
      </w:pPr>
      <w:r>
        <w:continuationSeparator/>
      </w:r>
    </w:p>
  </w:footnote>
  <w:footnote w:id="1">
    <w:p w14:paraId="1F4820F9" w14:textId="1AFA975B" w:rsidR="00E96E21" w:rsidRPr="00494CAB" w:rsidRDefault="00E96E21" w:rsidP="00593B8C">
      <w:pPr>
        <w:pStyle w:val="FootnoteText"/>
        <w:jc w:val="both"/>
      </w:pPr>
      <w:r w:rsidRPr="00494CAB">
        <w:rPr>
          <w:rStyle w:val="FootnoteReference"/>
        </w:rPr>
        <w:footnoteRef/>
      </w:r>
      <w:r w:rsidRPr="00494CAB">
        <w:t xml:space="preserve"> Ar </w:t>
      </w:r>
      <w:r>
        <w:t>“</w:t>
      </w:r>
      <w:r w:rsidRPr="00494CAB">
        <w:t>mīkstajām aktivitātēm” šī atklātā konkursa ietvaros tiek saprastas tādas projekta aktivitātes, kas ir vērstas uz mērķa grupas kultūras izpratnes un izpausmju kompetenču uzlabošanos un kuru īstenošanas rezultāts pats par sevi nav materiāla vērtība, piemēram, tiek radīts profesionālās laikmetīgās mākslas un kultūras produkts, ekspertiem ieguldot intelektuālo un radošo kapitālu.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61634"/>
      <w:docPartObj>
        <w:docPartGallery w:val="Page Numbers (Top of Page)"/>
        <w:docPartUnique/>
      </w:docPartObj>
    </w:sdtPr>
    <w:sdtEndPr>
      <w:rPr>
        <w:rFonts w:ascii="Times New Roman" w:hAnsi="Times New Roman" w:cs="Times New Roman"/>
        <w:noProof/>
        <w:sz w:val="24"/>
        <w:szCs w:val="20"/>
      </w:rPr>
    </w:sdtEndPr>
    <w:sdtContent>
      <w:p w14:paraId="186B4880" w14:textId="4D2328D0" w:rsidR="00E96E21" w:rsidRPr="00C25B49" w:rsidRDefault="00E96E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6771">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1061" w:hanging="919"/>
      </w:pPr>
      <w:rPr>
        <w:rFonts w:hint="default"/>
        <w:i w:val="0"/>
        <w:iCs/>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2"/>
  </w:num>
  <w:num w:numId="2">
    <w:abstractNumId w:val="10"/>
  </w:num>
  <w:num w:numId="3">
    <w:abstractNumId w:val="2"/>
  </w:num>
  <w:num w:numId="4">
    <w:abstractNumId w:val="4"/>
  </w:num>
  <w:num w:numId="5">
    <w:abstractNumId w:val="6"/>
  </w:num>
  <w:num w:numId="6">
    <w:abstractNumId w:val="8"/>
  </w:num>
  <w:num w:numId="7">
    <w:abstractNumId w:val="0"/>
  </w:num>
  <w:num w:numId="8">
    <w:abstractNumId w:val="15"/>
  </w:num>
  <w:num w:numId="9">
    <w:abstractNumId w:val="9"/>
  </w:num>
  <w:num w:numId="10">
    <w:abstractNumId w:val="1"/>
  </w:num>
  <w:num w:numId="11">
    <w:abstractNumId w:val="7"/>
  </w:num>
  <w:num w:numId="12">
    <w:abstractNumId w:val="5"/>
  </w:num>
  <w:num w:numId="13">
    <w:abstractNumId w:val="13"/>
  </w:num>
  <w:num w:numId="14">
    <w:abstractNumId w:val="3"/>
  </w:num>
  <w:num w:numId="15">
    <w:abstractNumId w:val="11"/>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2"/>
    <w:rsid w:val="0000183F"/>
    <w:rsid w:val="00006149"/>
    <w:rsid w:val="0001319C"/>
    <w:rsid w:val="00013BA4"/>
    <w:rsid w:val="00014632"/>
    <w:rsid w:val="0001577C"/>
    <w:rsid w:val="000223AA"/>
    <w:rsid w:val="00024E5E"/>
    <w:rsid w:val="000256BC"/>
    <w:rsid w:val="000259BB"/>
    <w:rsid w:val="0002687A"/>
    <w:rsid w:val="00031BAD"/>
    <w:rsid w:val="00032395"/>
    <w:rsid w:val="000342BB"/>
    <w:rsid w:val="00035545"/>
    <w:rsid w:val="00036959"/>
    <w:rsid w:val="0003710F"/>
    <w:rsid w:val="00041D61"/>
    <w:rsid w:val="0004234E"/>
    <w:rsid w:val="000428E7"/>
    <w:rsid w:val="00043DD9"/>
    <w:rsid w:val="00044D81"/>
    <w:rsid w:val="00045313"/>
    <w:rsid w:val="00052DF6"/>
    <w:rsid w:val="00054310"/>
    <w:rsid w:val="00054CF3"/>
    <w:rsid w:val="00061C3F"/>
    <w:rsid w:val="000644F3"/>
    <w:rsid w:val="00066072"/>
    <w:rsid w:val="000703CD"/>
    <w:rsid w:val="00070F37"/>
    <w:rsid w:val="00071004"/>
    <w:rsid w:val="00071142"/>
    <w:rsid w:val="00071B5B"/>
    <w:rsid w:val="0007223F"/>
    <w:rsid w:val="0007454F"/>
    <w:rsid w:val="00077835"/>
    <w:rsid w:val="00077BEE"/>
    <w:rsid w:val="000800E8"/>
    <w:rsid w:val="0008111D"/>
    <w:rsid w:val="000814AB"/>
    <w:rsid w:val="00082CD9"/>
    <w:rsid w:val="0008443A"/>
    <w:rsid w:val="0008517F"/>
    <w:rsid w:val="00087E50"/>
    <w:rsid w:val="00092E75"/>
    <w:rsid w:val="00093C93"/>
    <w:rsid w:val="0009435F"/>
    <w:rsid w:val="000A4C7D"/>
    <w:rsid w:val="000A4E02"/>
    <w:rsid w:val="000A4E8D"/>
    <w:rsid w:val="000B1CE4"/>
    <w:rsid w:val="000B304A"/>
    <w:rsid w:val="000B36F2"/>
    <w:rsid w:val="000B6B7B"/>
    <w:rsid w:val="000B71C6"/>
    <w:rsid w:val="000B74D8"/>
    <w:rsid w:val="000B7753"/>
    <w:rsid w:val="000C044C"/>
    <w:rsid w:val="000C2AFB"/>
    <w:rsid w:val="000C2F8D"/>
    <w:rsid w:val="000C3C36"/>
    <w:rsid w:val="000C3C3E"/>
    <w:rsid w:val="000C6F3E"/>
    <w:rsid w:val="000D09AC"/>
    <w:rsid w:val="000D1180"/>
    <w:rsid w:val="000D2B28"/>
    <w:rsid w:val="000D3F03"/>
    <w:rsid w:val="000E2ADB"/>
    <w:rsid w:val="000E2D63"/>
    <w:rsid w:val="000E61A9"/>
    <w:rsid w:val="000E7AAE"/>
    <w:rsid w:val="000E7F60"/>
    <w:rsid w:val="000F1BF4"/>
    <w:rsid w:val="000F3137"/>
    <w:rsid w:val="000F3DCD"/>
    <w:rsid w:val="000F6FA5"/>
    <w:rsid w:val="00100338"/>
    <w:rsid w:val="00103033"/>
    <w:rsid w:val="00103941"/>
    <w:rsid w:val="00103F25"/>
    <w:rsid w:val="00104331"/>
    <w:rsid w:val="00104964"/>
    <w:rsid w:val="001075CC"/>
    <w:rsid w:val="0011089B"/>
    <w:rsid w:val="00111C7E"/>
    <w:rsid w:val="00111DC5"/>
    <w:rsid w:val="00111FD7"/>
    <w:rsid w:val="00115CA0"/>
    <w:rsid w:val="00115D5E"/>
    <w:rsid w:val="00124C45"/>
    <w:rsid w:val="00126C06"/>
    <w:rsid w:val="0013168C"/>
    <w:rsid w:val="0013379E"/>
    <w:rsid w:val="001338BD"/>
    <w:rsid w:val="0013617A"/>
    <w:rsid w:val="00143943"/>
    <w:rsid w:val="00143B7D"/>
    <w:rsid w:val="001448E1"/>
    <w:rsid w:val="00145CB1"/>
    <w:rsid w:val="00145FD8"/>
    <w:rsid w:val="00146880"/>
    <w:rsid w:val="00147A5C"/>
    <w:rsid w:val="00152C21"/>
    <w:rsid w:val="0015430C"/>
    <w:rsid w:val="00154D23"/>
    <w:rsid w:val="00156C4F"/>
    <w:rsid w:val="001634EA"/>
    <w:rsid w:val="0016380E"/>
    <w:rsid w:val="00163A00"/>
    <w:rsid w:val="00164017"/>
    <w:rsid w:val="00164B3E"/>
    <w:rsid w:val="0016544B"/>
    <w:rsid w:val="00165C1C"/>
    <w:rsid w:val="00167A1F"/>
    <w:rsid w:val="00167AE7"/>
    <w:rsid w:val="0017182B"/>
    <w:rsid w:val="00171C72"/>
    <w:rsid w:val="001727CD"/>
    <w:rsid w:val="00176A45"/>
    <w:rsid w:val="00176F35"/>
    <w:rsid w:val="00177B3F"/>
    <w:rsid w:val="00180CFD"/>
    <w:rsid w:val="00180EEC"/>
    <w:rsid w:val="00181907"/>
    <w:rsid w:val="00184E92"/>
    <w:rsid w:val="001851C0"/>
    <w:rsid w:val="00185FA1"/>
    <w:rsid w:val="001878CB"/>
    <w:rsid w:val="00190386"/>
    <w:rsid w:val="00190BD7"/>
    <w:rsid w:val="00191B3D"/>
    <w:rsid w:val="0019325A"/>
    <w:rsid w:val="00193B23"/>
    <w:rsid w:val="00195A39"/>
    <w:rsid w:val="001A21BD"/>
    <w:rsid w:val="001A3723"/>
    <w:rsid w:val="001A3C52"/>
    <w:rsid w:val="001A4BB9"/>
    <w:rsid w:val="001A69CE"/>
    <w:rsid w:val="001A6D9D"/>
    <w:rsid w:val="001B1BB0"/>
    <w:rsid w:val="001B25A3"/>
    <w:rsid w:val="001B585A"/>
    <w:rsid w:val="001B73E8"/>
    <w:rsid w:val="001B7C55"/>
    <w:rsid w:val="001B7E4C"/>
    <w:rsid w:val="001C1DB0"/>
    <w:rsid w:val="001C3F99"/>
    <w:rsid w:val="001C41B0"/>
    <w:rsid w:val="001D08BE"/>
    <w:rsid w:val="001D09AC"/>
    <w:rsid w:val="001D1158"/>
    <w:rsid w:val="001D23D1"/>
    <w:rsid w:val="001D4181"/>
    <w:rsid w:val="001D4D36"/>
    <w:rsid w:val="001D536E"/>
    <w:rsid w:val="001E0861"/>
    <w:rsid w:val="001E096B"/>
    <w:rsid w:val="001E3354"/>
    <w:rsid w:val="001E4FF2"/>
    <w:rsid w:val="001E6F87"/>
    <w:rsid w:val="001F1297"/>
    <w:rsid w:val="001F38F7"/>
    <w:rsid w:val="001F3C98"/>
    <w:rsid w:val="001F540F"/>
    <w:rsid w:val="002005CF"/>
    <w:rsid w:val="00201AD2"/>
    <w:rsid w:val="002027DC"/>
    <w:rsid w:val="00202E95"/>
    <w:rsid w:val="002064D9"/>
    <w:rsid w:val="002103B1"/>
    <w:rsid w:val="002104EC"/>
    <w:rsid w:val="00211D97"/>
    <w:rsid w:val="002136CC"/>
    <w:rsid w:val="00217841"/>
    <w:rsid w:val="00217CF3"/>
    <w:rsid w:val="00221134"/>
    <w:rsid w:val="00221208"/>
    <w:rsid w:val="0022409B"/>
    <w:rsid w:val="00225C43"/>
    <w:rsid w:val="00225DF7"/>
    <w:rsid w:val="002274D1"/>
    <w:rsid w:val="00227ED4"/>
    <w:rsid w:val="00230C27"/>
    <w:rsid w:val="0023219F"/>
    <w:rsid w:val="002325B4"/>
    <w:rsid w:val="00232EC2"/>
    <w:rsid w:val="0023339E"/>
    <w:rsid w:val="00233705"/>
    <w:rsid w:val="0024048A"/>
    <w:rsid w:val="0024128C"/>
    <w:rsid w:val="00243426"/>
    <w:rsid w:val="00245DDD"/>
    <w:rsid w:val="00246104"/>
    <w:rsid w:val="00246A05"/>
    <w:rsid w:val="002527DA"/>
    <w:rsid w:val="00252931"/>
    <w:rsid w:val="00255022"/>
    <w:rsid w:val="002551F6"/>
    <w:rsid w:val="00261B1D"/>
    <w:rsid w:val="00261BB7"/>
    <w:rsid w:val="00263F72"/>
    <w:rsid w:val="00265134"/>
    <w:rsid w:val="00266213"/>
    <w:rsid w:val="00270BF2"/>
    <w:rsid w:val="002717FF"/>
    <w:rsid w:val="00272D51"/>
    <w:rsid w:val="00272F29"/>
    <w:rsid w:val="00273BC3"/>
    <w:rsid w:val="00275AAA"/>
    <w:rsid w:val="00277F0C"/>
    <w:rsid w:val="0028133D"/>
    <w:rsid w:val="00281D8E"/>
    <w:rsid w:val="0028214B"/>
    <w:rsid w:val="002829B6"/>
    <w:rsid w:val="00282C5F"/>
    <w:rsid w:val="002834B1"/>
    <w:rsid w:val="00285D09"/>
    <w:rsid w:val="0029235C"/>
    <w:rsid w:val="00292379"/>
    <w:rsid w:val="002933B1"/>
    <w:rsid w:val="00295C4A"/>
    <w:rsid w:val="00297A41"/>
    <w:rsid w:val="002A06CA"/>
    <w:rsid w:val="002A1380"/>
    <w:rsid w:val="002A4978"/>
    <w:rsid w:val="002A5739"/>
    <w:rsid w:val="002B18CA"/>
    <w:rsid w:val="002B4862"/>
    <w:rsid w:val="002B493F"/>
    <w:rsid w:val="002B6813"/>
    <w:rsid w:val="002B6D92"/>
    <w:rsid w:val="002C0C77"/>
    <w:rsid w:val="002C21FA"/>
    <w:rsid w:val="002C2968"/>
    <w:rsid w:val="002C64D4"/>
    <w:rsid w:val="002C6941"/>
    <w:rsid w:val="002C6CC9"/>
    <w:rsid w:val="002C7524"/>
    <w:rsid w:val="002C7B12"/>
    <w:rsid w:val="002D0253"/>
    <w:rsid w:val="002D221A"/>
    <w:rsid w:val="002D24B6"/>
    <w:rsid w:val="002D2D8C"/>
    <w:rsid w:val="002D4B1D"/>
    <w:rsid w:val="002D7102"/>
    <w:rsid w:val="002E05E5"/>
    <w:rsid w:val="002E0A47"/>
    <w:rsid w:val="002E12DB"/>
    <w:rsid w:val="002E1C05"/>
    <w:rsid w:val="002E35B7"/>
    <w:rsid w:val="002F0310"/>
    <w:rsid w:val="002F320A"/>
    <w:rsid w:val="002F42F0"/>
    <w:rsid w:val="002F5C89"/>
    <w:rsid w:val="002F6716"/>
    <w:rsid w:val="002F715D"/>
    <w:rsid w:val="00303813"/>
    <w:rsid w:val="00303C72"/>
    <w:rsid w:val="00306C46"/>
    <w:rsid w:val="00307494"/>
    <w:rsid w:val="003102F5"/>
    <w:rsid w:val="00311D3D"/>
    <w:rsid w:val="00312F2F"/>
    <w:rsid w:val="003143CD"/>
    <w:rsid w:val="0031458B"/>
    <w:rsid w:val="00315762"/>
    <w:rsid w:val="0031749D"/>
    <w:rsid w:val="0032176C"/>
    <w:rsid w:val="0032237F"/>
    <w:rsid w:val="003251FB"/>
    <w:rsid w:val="00326EDE"/>
    <w:rsid w:val="003332C8"/>
    <w:rsid w:val="00334A92"/>
    <w:rsid w:val="00337273"/>
    <w:rsid w:val="003400A7"/>
    <w:rsid w:val="00340CC7"/>
    <w:rsid w:val="00341151"/>
    <w:rsid w:val="00342062"/>
    <w:rsid w:val="003427A1"/>
    <w:rsid w:val="00344186"/>
    <w:rsid w:val="0034580C"/>
    <w:rsid w:val="00346311"/>
    <w:rsid w:val="00350DDE"/>
    <w:rsid w:val="003515B8"/>
    <w:rsid w:val="00351989"/>
    <w:rsid w:val="003544C2"/>
    <w:rsid w:val="003559FD"/>
    <w:rsid w:val="00356477"/>
    <w:rsid w:val="003565E7"/>
    <w:rsid w:val="0035793C"/>
    <w:rsid w:val="0036050E"/>
    <w:rsid w:val="00360E10"/>
    <w:rsid w:val="00362506"/>
    <w:rsid w:val="003647D7"/>
    <w:rsid w:val="00364B25"/>
    <w:rsid w:val="00365A0A"/>
    <w:rsid w:val="00366897"/>
    <w:rsid w:val="00367E49"/>
    <w:rsid w:val="00370F07"/>
    <w:rsid w:val="00377108"/>
    <w:rsid w:val="0037748D"/>
    <w:rsid w:val="0037772D"/>
    <w:rsid w:val="00381FD9"/>
    <w:rsid w:val="003832A8"/>
    <w:rsid w:val="0038331C"/>
    <w:rsid w:val="0038381B"/>
    <w:rsid w:val="00385455"/>
    <w:rsid w:val="003878DF"/>
    <w:rsid w:val="003932BE"/>
    <w:rsid w:val="00394D76"/>
    <w:rsid w:val="003A090B"/>
    <w:rsid w:val="003A0D05"/>
    <w:rsid w:val="003A19AF"/>
    <w:rsid w:val="003A493D"/>
    <w:rsid w:val="003A51E0"/>
    <w:rsid w:val="003A5C79"/>
    <w:rsid w:val="003A6101"/>
    <w:rsid w:val="003B0BF9"/>
    <w:rsid w:val="003B1CDC"/>
    <w:rsid w:val="003B52AE"/>
    <w:rsid w:val="003B5A5C"/>
    <w:rsid w:val="003C64C8"/>
    <w:rsid w:val="003C73A1"/>
    <w:rsid w:val="003C7FB7"/>
    <w:rsid w:val="003D1DD9"/>
    <w:rsid w:val="003D22EE"/>
    <w:rsid w:val="003D4723"/>
    <w:rsid w:val="003D4A3F"/>
    <w:rsid w:val="003D4BF4"/>
    <w:rsid w:val="003D5581"/>
    <w:rsid w:val="003D5602"/>
    <w:rsid w:val="003E0791"/>
    <w:rsid w:val="003E12A3"/>
    <w:rsid w:val="003E3004"/>
    <w:rsid w:val="003E3C99"/>
    <w:rsid w:val="003E4C57"/>
    <w:rsid w:val="003E5D9B"/>
    <w:rsid w:val="003E7D94"/>
    <w:rsid w:val="003F1E85"/>
    <w:rsid w:val="003F230E"/>
    <w:rsid w:val="003F28AC"/>
    <w:rsid w:val="003F482D"/>
    <w:rsid w:val="003F585B"/>
    <w:rsid w:val="003F5B81"/>
    <w:rsid w:val="003F68CB"/>
    <w:rsid w:val="00400160"/>
    <w:rsid w:val="004011DD"/>
    <w:rsid w:val="00402005"/>
    <w:rsid w:val="00403647"/>
    <w:rsid w:val="00403A27"/>
    <w:rsid w:val="004053A2"/>
    <w:rsid w:val="00406372"/>
    <w:rsid w:val="00407FE3"/>
    <w:rsid w:val="00410E7B"/>
    <w:rsid w:val="0041152A"/>
    <w:rsid w:val="00412254"/>
    <w:rsid w:val="0041266F"/>
    <w:rsid w:val="00412E16"/>
    <w:rsid w:val="00412F24"/>
    <w:rsid w:val="00415C9F"/>
    <w:rsid w:val="004161F1"/>
    <w:rsid w:val="00416ADB"/>
    <w:rsid w:val="00416E4E"/>
    <w:rsid w:val="0042005C"/>
    <w:rsid w:val="00421FBF"/>
    <w:rsid w:val="004243FB"/>
    <w:rsid w:val="004279BE"/>
    <w:rsid w:val="00427C1B"/>
    <w:rsid w:val="00432655"/>
    <w:rsid w:val="004327A1"/>
    <w:rsid w:val="0043437C"/>
    <w:rsid w:val="00434A3D"/>
    <w:rsid w:val="00437005"/>
    <w:rsid w:val="00437156"/>
    <w:rsid w:val="004402E0"/>
    <w:rsid w:val="00440F9B"/>
    <w:rsid w:val="00442429"/>
    <w:rsid w:val="004442E6"/>
    <w:rsid w:val="004454FE"/>
    <w:rsid w:val="00446B67"/>
    <w:rsid w:val="00452166"/>
    <w:rsid w:val="00452183"/>
    <w:rsid w:val="00453942"/>
    <w:rsid w:val="0045507E"/>
    <w:rsid w:val="00456649"/>
    <w:rsid w:val="00462A8F"/>
    <w:rsid w:val="0046369F"/>
    <w:rsid w:val="00463B89"/>
    <w:rsid w:val="00465F61"/>
    <w:rsid w:val="0046633D"/>
    <w:rsid w:val="004667A0"/>
    <w:rsid w:val="00467000"/>
    <w:rsid w:val="0047081A"/>
    <w:rsid w:val="004718F3"/>
    <w:rsid w:val="00471D86"/>
    <w:rsid w:val="00471F27"/>
    <w:rsid w:val="004720DB"/>
    <w:rsid w:val="00472186"/>
    <w:rsid w:val="00473E6C"/>
    <w:rsid w:val="00474266"/>
    <w:rsid w:val="004751DD"/>
    <w:rsid w:val="004775DC"/>
    <w:rsid w:val="004808F5"/>
    <w:rsid w:val="00483283"/>
    <w:rsid w:val="00490F6D"/>
    <w:rsid w:val="0049160F"/>
    <w:rsid w:val="00492684"/>
    <w:rsid w:val="0049320F"/>
    <w:rsid w:val="00494353"/>
    <w:rsid w:val="00494CAB"/>
    <w:rsid w:val="00495691"/>
    <w:rsid w:val="00495CF8"/>
    <w:rsid w:val="004A0481"/>
    <w:rsid w:val="004A2DE3"/>
    <w:rsid w:val="004A3ACC"/>
    <w:rsid w:val="004A3BF9"/>
    <w:rsid w:val="004A7BAB"/>
    <w:rsid w:val="004B08A3"/>
    <w:rsid w:val="004B31A2"/>
    <w:rsid w:val="004B46CA"/>
    <w:rsid w:val="004B625F"/>
    <w:rsid w:val="004B7474"/>
    <w:rsid w:val="004C4F5A"/>
    <w:rsid w:val="004C617B"/>
    <w:rsid w:val="004C62CC"/>
    <w:rsid w:val="004D09FE"/>
    <w:rsid w:val="004D1201"/>
    <w:rsid w:val="004D31EA"/>
    <w:rsid w:val="004D5630"/>
    <w:rsid w:val="004D7726"/>
    <w:rsid w:val="004D7E6E"/>
    <w:rsid w:val="004D7ED6"/>
    <w:rsid w:val="004E0272"/>
    <w:rsid w:val="004E06B7"/>
    <w:rsid w:val="004E0A40"/>
    <w:rsid w:val="004E1EC6"/>
    <w:rsid w:val="004E4009"/>
    <w:rsid w:val="004E4C40"/>
    <w:rsid w:val="004E51DB"/>
    <w:rsid w:val="004F37F3"/>
    <w:rsid w:val="004F3BFD"/>
    <w:rsid w:val="004F5DEE"/>
    <w:rsid w:val="0050178F"/>
    <w:rsid w:val="005017BD"/>
    <w:rsid w:val="00501C96"/>
    <w:rsid w:val="00502CDB"/>
    <w:rsid w:val="00504C35"/>
    <w:rsid w:val="00510704"/>
    <w:rsid w:val="005127EA"/>
    <w:rsid w:val="00521368"/>
    <w:rsid w:val="00523B7D"/>
    <w:rsid w:val="00526493"/>
    <w:rsid w:val="00526BC2"/>
    <w:rsid w:val="00526E05"/>
    <w:rsid w:val="00527137"/>
    <w:rsid w:val="00530062"/>
    <w:rsid w:val="005318CF"/>
    <w:rsid w:val="005328D3"/>
    <w:rsid w:val="00534135"/>
    <w:rsid w:val="00534C5A"/>
    <w:rsid w:val="005356CD"/>
    <w:rsid w:val="00536382"/>
    <w:rsid w:val="00540157"/>
    <w:rsid w:val="005408F5"/>
    <w:rsid w:val="00540959"/>
    <w:rsid w:val="00542E3A"/>
    <w:rsid w:val="00543A53"/>
    <w:rsid w:val="00543E03"/>
    <w:rsid w:val="005442BC"/>
    <w:rsid w:val="00546EFB"/>
    <w:rsid w:val="005504F2"/>
    <w:rsid w:val="00551FA9"/>
    <w:rsid w:val="0055262B"/>
    <w:rsid w:val="0055381B"/>
    <w:rsid w:val="0055588A"/>
    <w:rsid w:val="005561F1"/>
    <w:rsid w:val="005574D1"/>
    <w:rsid w:val="00557E54"/>
    <w:rsid w:val="00560393"/>
    <w:rsid w:val="00560B17"/>
    <w:rsid w:val="00561DC5"/>
    <w:rsid w:val="0056255E"/>
    <w:rsid w:val="005641D7"/>
    <w:rsid w:val="00565169"/>
    <w:rsid w:val="00566D4C"/>
    <w:rsid w:val="00567F73"/>
    <w:rsid w:val="00572440"/>
    <w:rsid w:val="00573A47"/>
    <w:rsid w:val="00574A7E"/>
    <w:rsid w:val="00574E60"/>
    <w:rsid w:val="00575A44"/>
    <w:rsid w:val="005760A5"/>
    <w:rsid w:val="00580551"/>
    <w:rsid w:val="005817EF"/>
    <w:rsid w:val="00581CDD"/>
    <w:rsid w:val="00581CED"/>
    <w:rsid w:val="00586E50"/>
    <w:rsid w:val="00593B8C"/>
    <w:rsid w:val="00595714"/>
    <w:rsid w:val="00595921"/>
    <w:rsid w:val="005A0602"/>
    <w:rsid w:val="005A0945"/>
    <w:rsid w:val="005A2C73"/>
    <w:rsid w:val="005A6246"/>
    <w:rsid w:val="005A7EAC"/>
    <w:rsid w:val="005B208B"/>
    <w:rsid w:val="005C16FE"/>
    <w:rsid w:val="005C447E"/>
    <w:rsid w:val="005C4C22"/>
    <w:rsid w:val="005D1AB6"/>
    <w:rsid w:val="005D6512"/>
    <w:rsid w:val="005E1912"/>
    <w:rsid w:val="005E2420"/>
    <w:rsid w:val="005E30E1"/>
    <w:rsid w:val="005E6676"/>
    <w:rsid w:val="005E7B5C"/>
    <w:rsid w:val="005F0781"/>
    <w:rsid w:val="005F26F4"/>
    <w:rsid w:val="005F4D01"/>
    <w:rsid w:val="005F770D"/>
    <w:rsid w:val="00600E1F"/>
    <w:rsid w:val="00601473"/>
    <w:rsid w:val="00601C90"/>
    <w:rsid w:val="00604B72"/>
    <w:rsid w:val="00605D00"/>
    <w:rsid w:val="00607CAF"/>
    <w:rsid w:val="0061056F"/>
    <w:rsid w:val="00610C5B"/>
    <w:rsid w:val="00613A49"/>
    <w:rsid w:val="006169DE"/>
    <w:rsid w:val="006215D0"/>
    <w:rsid w:val="00630F84"/>
    <w:rsid w:val="00631A54"/>
    <w:rsid w:val="006347A8"/>
    <w:rsid w:val="006373AD"/>
    <w:rsid w:val="00637477"/>
    <w:rsid w:val="0063759D"/>
    <w:rsid w:val="0064034A"/>
    <w:rsid w:val="00641FDA"/>
    <w:rsid w:val="00643ED4"/>
    <w:rsid w:val="00643F9C"/>
    <w:rsid w:val="00644224"/>
    <w:rsid w:val="006459A4"/>
    <w:rsid w:val="00650479"/>
    <w:rsid w:val="0065461E"/>
    <w:rsid w:val="00655063"/>
    <w:rsid w:val="00660F86"/>
    <w:rsid w:val="00661031"/>
    <w:rsid w:val="0066160F"/>
    <w:rsid w:val="0066163F"/>
    <w:rsid w:val="00661A84"/>
    <w:rsid w:val="006625CF"/>
    <w:rsid w:val="006668B7"/>
    <w:rsid w:val="006702BA"/>
    <w:rsid w:val="00670316"/>
    <w:rsid w:val="00670AD7"/>
    <w:rsid w:val="00670F3E"/>
    <w:rsid w:val="00671B1B"/>
    <w:rsid w:val="00671E9B"/>
    <w:rsid w:val="006751C7"/>
    <w:rsid w:val="00676AB9"/>
    <w:rsid w:val="00676AD8"/>
    <w:rsid w:val="006771B1"/>
    <w:rsid w:val="00677C3D"/>
    <w:rsid w:val="006806FC"/>
    <w:rsid w:val="00680A35"/>
    <w:rsid w:val="00685D3C"/>
    <w:rsid w:val="00687359"/>
    <w:rsid w:val="00691708"/>
    <w:rsid w:val="00691C60"/>
    <w:rsid w:val="0069425D"/>
    <w:rsid w:val="00696D59"/>
    <w:rsid w:val="0069793E"/>
    <w:rsid w:val="00697B12"/>
    <w:rsid w:val="00697C18"/>
    <w:rsid w:val="006A356A"/>
    <w:rsid w:val="006A49D8"/>
    <w:rsid w:val="006A603D"/>
    <w:rsid w:val="006A705C"/>
    <w:rsid w:val="006B00C7"/>
    <w:rsid w:val="006B1504"/>
    <w:rsid w:val="006B3CC2"/>
    <w:rsid w:val="006B3FC9"/>
    <w:rsid w:val="006B54B3"/>
    <w:rsid w:val="006C44E4"/>
    <w:rsid w:val="006C7BAE"/>
    <w:rsid w:val="006D082C"/>
    <w:rsid w:val="006D133C"/>
    <w:rsid w:val="006D1C76"/>
    <w:rsid w:val="006D20C9"/>
    <w:rsid w:val="006D2524"/>
    <w:rsid w:val="006D4AA2"/>
    <w:rsid w:val="006D6DE6"/>
    <w:rsid w:val="006D736D"/>
    <w:rsid w:val="006D7506"/>
    <w:rsid w:val="006E0524"/>
    <w:rsid w:val="006E0EDB"/>
    <w:rsid w:val="006E1081"/>
    <w:rsid w:val="006E17A5"/>
    <w:rsid w:val="006E23E3"/>
    <w:rsid w:val="006E2B85"/>
    <w:rsid w:val="006E34D2"/>
    <w:rsid w:val="006E4FFC"/>
    <w:rsid w:val="006E6CFC"/>
    <w:rsid w:val="006F0346"/>
    <w:rsid w:val="006F3A88"/>
    <w:rsid w:val="006F3F1F"/>
    <w:rsid w:val="006F408F"/>
    <w:rsid w:val="006F5D96"/>
    <w:rsid w:val="006F6AD9"/>
    <w:rsid w:val="006F7662"/>
    <w:rsid w:val="006F79FC"/>
    <w:rsid w:val="007016A9"/>
    <w:rsid w:val="00701D2B"/>
    <w:rsid w:val="00702931"/>
    <w:rsid w:val="00702AA1"/>
    <w:rsid w:val="00703048"/>
    <w:rsid w:val="00703681"/>
    <w:rsid w:val="00703B5A"/>
    <w:rsid w:val="007065F2"/>
    <w:rsid w:val="00711222"/>
    <w:rsid w:val="00711C14"/>
    <w:rsid w:val="00714357"/>
    <w:rsid w:val="00714AF4"/>
    <w:rsid w:val="00717E88"/>
    <w:rsid w:val="00720585"/>
    <w:rsid w:val="007209D4"/>
    <w:rsid w:val="007210B5"/>
    <w:rsid w:val="007224E7"/>
    <w:rsid w:val="00722E36"/>
    <w:rsid w:val="00731493"/>
    <w:rsid w:val="007314FC"/>
    <w:rsid w:val="0073440E"/>
    <w:rsid w:val="0073493A"/>
    <w:rsid w:val="0073518B"/>
    <w:rsid w:val="007376BA"/>
    <w:rsid w:val="00737D63"/>
    <w:rsid w:val="007407F6"/>
    <w:rsid w:val="00740DE6"/>
    <w:rsid w:val="00741E91"/>
    <w:rsid w:val="0074218F"/>
    <w:rsid w:val="007432C8"/>
    <w:rsid w:val="00744871"/>
    <w:rsid w:val="007457E4"/>
    <w:rsid w:val="00753331"/>
    <w:rsid w:val="007554C4"/>
    <w:rsid w:val="00760ACF"/>
    <w:rsid w:val="00762AB5"/>
    <w:rsid w:val="007651F3"/>
    <w:rsid w:val="00765C9B"/>
    <w:rsid w:val="007721FC"/>
    <w:rsid w:val="0077386E"/>
    <w:rsid w:val="00773AF6"/>
    <w:rsid w:val="0077553C"/>
    <w:rsid w:val="00777AFA"/>
    <w:rsid w:val="00781E21"/>
    <w:rsid w:val="00785E16"/>
    <w:rsid w:val="0078746B"/>
    <w:rsid w:val="00787472"/>
    <w:rsid w:val="0078781F"/>
    <w:rsid w:val="007926C1"/>
    <w:rsid w:val="0079550F"/>
    <w:rsid w:val="00795F71"/>
    <w:rsid w:val="007967A7"/>
    <w:rsid w:val="00796F32"/>
    <w:rsid w:val="007A0BA3"/>
    <w:rsid w:val="007A1EBC"/>
    <w:rsid w:val="007A2871"/>
    <w:rsid w:val="007A3A9A"/>
    <w:rsid w:val="007A66A8"/>
    <w:rsid w:val="007B20A3"/>
    <w:rsid w:val="007B2B88"/>
    <w:rsid w:val="007B3998"/>
    <w:rsid w:val="007B6AA2"/>
    <w:rsid w:val="007C0A7C"/>
    <w:rsid w:val="007C3923"/>
    <w:rsid w:val="007C51C6"/>
    <w:rsid w:val="007C73F8"/>
    <w:rsid w:val="007C7951"/>
    <w:rsid w:val="007D0FBD"/>
    <w:rsid w:val="007D288D"/>
    <w:rsid w:val="007D2A46"/>
    <w:rsid w:val="007D3BAE"/>
    <w:rsid w:val="007D3FC1"/>
    <w:rsid w:val="007D62F0"/>
    <w:rsid w:val="007E00B7"/>
    <w:rsid w:val="007E0DC7"/>
    <w:rsid w:val="007E134C"/>
    <w:rsid w:val="007E372E"/>
    <w:rsid w:val="007E73AB"/>
    <w:rsid w:val="007F14C2"/>
    <w:rsid w:val="007F46C3"/>
    <w:rsid w:val="007F53A6"/>
    <w:rsid w:val="007F690D"/>
    <w:rsid w:val="007F7AF7"/>
    <w:rsid w:val="00802544"/>
    <w:rsid w:val="008027A1"/>
    <w:rsid w:val="00803430"/>
    <w:rsid w:val="00803A39"/>
    <w:rsid w:val="008057B1"/>
    <w:rsid w:val="00806469"/>
    <w:rsid w:val="008068BE"/>
    <w:rsid w:val="00810334"/>
    <w:rsid w:val="00811143"/>
    <w:rsid w:val="00811E8B"/>
    <w:rsid w:val="008123EC"/>
    <w:rsid w:val="00814BD9"/>
    <w:rsid w:val="00815B5C"/>
    <w:rsid w:val="00816C11"/>
    <w:rsid w:val="0081718C"/>
    <w:rsid w:val="0081794B"/>
    <w:rsid w:val="008215F0"/>
    <w:rsid w:val="00821E1E"/>
    <w:rsid w:val="00822383"/>
    <w:rsid w:val="00822505"/>
    <w:rsid w:val="00826AD9"/>
    <w:rsid w:val="00831C7D"/>
    <w:rsid w:val="00832397"/>
    <w:rsid w:val="00836179"/>
    <w:rsid w:val="00836D12"/>
    <w:rsid w:val="008376AD"/>
    <w:rsid w:val="00842ECB"/>
    <w:rsid w:val="008430BE"/>
    <w:rsid w:val="00847E7A"/>
    <w:rsid w:val="00850444"/>
    <w:rsid w:val="008504FA"/>
    <w:rsid w:val="008524B2"/>
    <w:rsid w:val="00857FEC"/>
    <w:rsid w:val="00860D33"/>
    <w:rsid w:val="00860FE3"/>
    <w:rsid w:val="00862831"/>
    <w:rsid w:val="00864370"/>
    <w:rsid w:val="0086658A"/>
    <w:rsid w:val="008671B5"/>
    <w:rsid w:val="00876502"/>
    <w:rsid w:val="008810CC"/>
    <w:rsid w:val="0088288F"/>
    <w:rsid w:val="008832D8"/>
    <w:rsid w:val="008837DF"/>
    <w:rsid w:val="008908FC"/>
    <w:rsid w:val="008949E5"/>
    <w:rsid w:val="00894C55"/>
    <w:rsid w:val="008A07B1"/>
    <w:rsid w:val="008A2437"/>
    <w:rsid w:val="008A3487"/>
    <w:rsid w:val="008A427E"/>
    <w:rsid w:val="008A5636"/>
    <w:rsid w:val="008A752D"/>
    <w:rsid w:val="008B1680"/>
    <w:rsid w:val="008B3D17"/>
    <w:rsid w:val="008B7308"/>
    <w:rsid w:val="008C0F4D"/>
    <w:rsid w:val="008C0FD1"/>
    <w:rsid w:val="008C1F43"/>
    <w:rsid w:val="008C2A9E"/>
    <w:rsid w:val="008C320B"/>
    <w:rsid w:val="008C6B1C"/>
    <w:rsid w:val="008C6DAA"/>
    <w:rsid w:val="008D0EC3"/>
    <w:rsid w:val="008D18FE"/>
    <w:rsid w:val="008D21FA"/>
    <w:rsid w:val="008D4CDE"/>
    <w:rsid w:val="008D4E6B"/>
    <w:rsid w:val="008D6967"/>
    <w:rsid w:val="008E52F7"/>
    <w:rsid w:val="008E5F75"/>
    <w:rsid w:val="008F0BC3"/>
    <w:rsid w:val="008F258C"/>
    <w:rsid w:val="008F2EB9"/>
    <w:rsid w:val="008F3AE9"/>
    <w:rsid w:val="008F3F64"/>
    <w:rsid w:val="008F466E"/>
    <w:rsid w:val="008F6190"/>
    <w:rsid w:val="00901858"/>
    <w:rsid w:val="00902138"/>
    <w:rsid w:val="00902513"/>
    <w:rsid w:val="00902EE6"/>
    <w:rsid w:val="0090484F"/>
    <w:rsid w:val="00906572"/>
    <w:rsid w:val="00907B43"/>
    <w:rsid w:val="00907E32"/>
    <w:rsid w:val="00911B03"/>
    <w:rsid w:val="00912D6C"/>
    <w:rsid w:val="00914795"/>
    <w:rsid w:val="0091570D"/>
    <w:rsid w:val="00915AAE"/>
    <w:rsid w:val="00915EB5"/>
    <w:rsid w:val="0092031D"/>
    <w:rsid w:val="00921C02"/>
    <w:rsid w:val="00922419"/>
    <w:rsid w:val="00922A7E"/>
    <w:rsid w:val="009240E6"/>
    <w:rsid w:val="0092613B"/>
    <w:rsid w:val="00930DAF"/>
    <w:rsid w:val="00930FC6"/>
    <w:rsid w:val="0093262D"/>
    <w:rsid w:val="0093304A"/>
    <w:rsid w:val="00933B57"/>
    <w:rsid w:val="00941054"/>
    <w:rsid w:val="00941CE8"/>
    <w:rsid w:val="00942269"/>
    <w:rsid w:val="00945EA6"/>
    <w:rsid w:val="00947E28"/>
    <w:rsid w:val="00951BC9"/>
    <w:rsid w:val="00952139"/>
    <w:rsid w:val="009556B9"/>
    <w:rsid w:val="00955C50"/>
    <w:rsid w:val="0095761C"/>
    <w:rsid w:val="00957E0D"/>
    <w:rsid w:val="00960259"/>
    <w:rsid w:val="00961E28"/>
    <w:rsid w:val="00962CA0"/>
    <w:rsid w:val="00965BB8"/>
    <w:rsid w:val="00973F14"/>
    <w:rsid w:val="00975314"/>
    <w:rsid w:val="00976261"/>
    <w:rsid w:val="009773F0"/>
    <w:rsid w:val="009801C8"/>
    <w:rsid w:val="009839F0"/>
    <w:rsid w:val="00983B67"/>
    <w:rsid w:val="00991904"/>
    <w:rsid w:val="00992566"/>
    <w:rsid w:val="00993F52"/>
    <w:rsid w:val="0099651F"/>
    <w:rsid w:val="00996BA7"/>
    <w:rsid w:val="009A1726"/>
    <w:rsid w:val="009A2654"/>
    <w:rsid w:val="009A5823"/>
    <w:rsid w:val="009A5C30"/>
    <w:rsid w:val="009A7115"/>
    <w:rsid w:val="009B0373"/>
    <w:rsid w:val="009B06F7"/>
    <w:rsid w:val="009B1999"/>
    <w:rsid w:val="009B24D9"/>
    <w:rsid w:val="009B3E3E"/>
    <w:rsid w:val="009B4BA9"/>
    <w:rsid w:val="009B5147"/>
    <w:rsid w:val="009B6E73"/>
    <w:rsid w:val="009B7B2C"/>
    <w:rsid w:val="009C0A9F"/>
    <w:rsid w:val="009C43D9"/>
    <w:rsid w:val="009C44B3"/>
    <w:rsid w:val="009C668D"/>
    <w:rsid w:val="009D0337"/>
    <w:rsid w:val="009D2BE2"/>
    <w:rsid w:val="009D5FA8"/>
    <w:rsid w:val="009D67F6"/>
    <w:rsid w:val="009D7563"/>
    <w:rsid w:val="009E3552"/>
    <w:rsid w:val="009E6E86"/>
    <w:rsid w:val="009F0587"/>
    <w:rsid w:val="009F54D6"/>
    <w:rsid w:val="009F62CB"/>
    <w:rsid w:val="009F673F"/>
    <w:rsid w:val="00A01C38"/>
    <w:rsid w:val="00A01E0A"/>
    <w:rsid w:val="00A02186"/>
    <w:rsid w:val="00A0506B"/>
    <w:rsid w:val="00A070EF"/>
    <w:rsid w:val="00A10936"/>
    <w:rsid w:val="00A11487"/>
    <w:rsid w:val="00A17D9D"/>
    <w:rsid w:val="00A20F11"/>
    <w:rsid w:val="00A2169F"/>
    <w:rsid w:val="00A23C89"/>
    <w:rsid w:val="00A2594B"/>
    <w:rsid w:val="00A25DF0"/>
    <w:rsid w:val="00A2666D"/>
    <w:rsid w:val="00A268C8"/>
    <w:rsid w:val="00A26AF8"/>
    <w:rsid w:val="00A2710A"/>
    <w:rsid w:val="00A3435C"/>
    <w:rsid w:val="00A34C7F"/>
    <w:rsid w:val="00A36879"/>
    <w:rsid w:val="00A36A60"/>
    <w:rsid w:val="00A408F1"/>
    <w:rsid w:val="00A51024"/>
    <w:rsid w:val="00A6073E"/>
    <w:rsid w:val="00A62189"/>
    <w:rsid w:val="00A62A6F"/>
    <w:rsid w:val="00A63123"/>
    <w:rsid w:val="00A66099"/>
    <w:rsid w:val="00A70C1E"/>
    <w:rsid w:val="00A72233"/>
    <w:rsid w:val="00A724BB"/>
    <w:rsid w:val="00A741F6"/>
    <w:rsid w:val="00A75210"/>
    <w:rsid w:val="00A75242"/>
    <w:rsid w:val="00A753E5"/>
    <w:rsid w:val="00A75C81"/>
    <w:rsid w:val="00A76BCC"/>
    <w:rsid w:val="00A80AE6"/>
    <w:rsid w:val="00A81055"/>
    <w:rsid w:val="00A84D98"/>
    <w:rsid w:val="00A85E1F"/>
    <w:rsid w:val="00A8619D"/>
    <w:rsid w:val="00A87719"/>
    <w:rsid w:val="00A9214B"/>
    <w:rsid w:val="00A92559"/>
    <w:rsid w:val="00A92666"/>
    <w:rsid w:val="00A953B8"/>
    <w:rsid w:val="00A954F8"/>
    <w:rsid w:val="00A95B60"/>
    <w:rsid w:val="00A95FD9"/>
    <w:rsid w:val="00A97A08"/>
    <w:rsid w:val="00AA0BF8"/>
    <w:rsid w:val="00AA7C99"/>
    <w:rsid w:val="00AB07CB"/>
    <w:rsid w:val="00AB0F1D"/>
    <w:rsid w:val="00AB4FC9"/>
    <w:rsid w:val="00AB6525"/>
    <w:rsid w:val="00AC549B"/>
    <w:rsid w:val="00AC7020"/>
    <w:rsid w:val="00AC7BF5"/>
    <w:rsid w:val="00AD02CB"/>
    <w:rsid w:val="00AD3391"/>
    <w:rsid w:val="00AD3E19"/>
    <w:rsid w:val="00AD6319"/>
    <w:rsid w:val="00AD738A"/>
    <w:rsid w:val="00AE0167"/>
    <w:rsid w:val="00AE176D"/>
    <w:rsid w:val="00AE1D2E"/>
    <w:rsid w:val="00AE36C4"/>
    <w:rsid w:val="00AE45BA"/>
    <w:rsid w:val="00AE5567"/>
    <w:rsid w:val="00AF2D5E"/>
    <w:rsid w:val="00AF545B"/>
    <w:rsid w:val="00AF54CD"/>
    <w:rsid w:val="00AF6BDE"/>
    <w:rsid w:val="00AF76C8"/>
    <w:rsid w:val="00B015A9"/>
    <w:rsid w:val="00B0280B"/>
    <w:rsid w:val="00B0620C"/>
    <w:rsid w:val="00B063A6"/>
    <w:rsid w:val="00B100DD"/>
    <w:rsid w:val="00B10AEB"/>
    <w:rsid w:val="00B11ED1"/>
    <w:rsid w:val="00B12E4B"/>
    <w:rsid w:val="00B13386"/>
    <w:rsid w:val="00B16480"/>
    <w:rsid w:val="00B16A60"/>
    <w:rsid w:val="00B20435"/>
    <w:rsid w:val="00B2165C"/>
    <w:rsid w:val="00B234E8"/>
    <w:rsid w:val="00B242FB"/>
    <w:rsid w:val="00B25BD3"/>
    <w:rsid w:val="00B30DF4"/>
    <w:rsid w:val="00B31741"/>
    <w:rsid w:val="00B32BBE"/>
    <w:rsid w:val="00B3524C"/>
    <w:rsid w:val="00B36857"/>
    <w:rsid w:val="00B40AA9"/>
    <w:rsid w:val="00B41AFE"/>
    <w:rsid w:val="00B423DC"/>
    <w:rsid w:val="00B4341B"/>
    <w:rsid w:val="00B43ED9"/>
    <w:rsid w:val="00B44A78"/>
    <w:rsid w:val="00B44B50"/>
    <w:rsid w:val="00B52256"/>
    <w:rsid w:val="00B530AE"/>
    <w:rsid w:val="00B57596"/>
    <w:rsid w:val="00B6019C"/>
    <w:rsid w:val="00B61F31"/>
    <w:rsid w:val="00B6303F"/>
    <w:rsid w:val="00B66130"/>
    <w:rsid w:val="00B674B3"/>
    <w:rsid w:val="00B738A7"/>
    <w:rsid w:val="00B76C27"/>
    <w:rsid w:val="00B80CDC"/>
    <w:rsid w:val="00B818BD"/>
    <w:rsid w:val="00B844AB"/>
    <w:rsid w:val="00B84CFB"/>
    <w:rsid w:val="00B859AA"/>
    <w:rsid w:val="00B85E3E"/>
    <w:rsid w:val="00B938F9"/>
    <w:rsid w:val="00BA20AA"/>
    <w:rsid w:val="00BA3A9A"/>
    <w:rsid w:val="00BA3FF8"/>
    <w:rsid w:val="00BA4EF1"/>
    <w:rsid w:val="00BA6B9C"/>
    <w:rsid w:val="00BA7C5F"/>
    <w:rsid w:val="00BB1CCA"/>
    <w:rsid w:val="00BB1D49"/>
    <w:rsid w:val="00BB7003"/>
    <w:rsid w:val="00BC0E39"/>
    <w:rsid w:val="00BC3B01"/>
    <w:rsid w:val="00BC5CF6"/>
    <w:rsid w:val="00BC6E01"/>
    <w:rsid w:val="00BC6F13"/>
    <w:rsid w:val="00BD0780"/>
    <w:rsid w:val="00BD1A07"/>
    <w:rsid w:val="00BD1AAD"/>
    <w:rsid w:val="00BD1F6E"/>
    <w:rsid w:val="00BD242B"/>
    <w:rsid w:val="00BD4425"/>
    <w:rsid w:val="00BD48DD"/>
    <w:rsid w:val="00BD5533"/>
    <w:rsid w:val="00BD6C51"/>
    <w:rsid w:val="00BE08F8"/>
    <w:rsid w:val="00BE1199"/>
    <w:rsid w:val="00BE29AB"/>
    <w:rsid w:val="00BE48F4"/>
    <w:rsid w:val="00BE6AF2"/>
    <w:rsid w:val="00BE7029"/>
    <w:rsid w:val="00BF0D66"/>
    <w:rsid w:val="00BF2C2E"/>
    <w:rsid w:val="00BF2C92"/>
    <w:rsid w:val="00BF30FE"/>
    <w:rsid w:val="00BF3FDA"/>
    <w:rsid w:val="00BF6E98"/>
    <w:rsid w:val="00BF6F30"/>
    <w:rsid w:val="00BF7402"/>
    <w:rsid w:val="00C009EB"/>
    <w:rsid w:val="00C069B9"/>
    <w:rsid w:val="00C1415D"/>
    <w:rsid w:val="00C146B3"/>
    <w:rsid w:val="00C15F00"/>
    <w:rsid w:val="00C17171"/>
    <w:rsid w:val="00C20A54"/>
    <w:rsid w:val="00C20E7D"/>
    <w:rsid w:val="00C22C67"/>
    <w:rsid w:val="00C24B27"/>
    <w:rsid w:val="00C25B49"/>
    <w:rsid w:val="00C25DC6"/>
    <w:rsid w:val="00C2712E"/>
    <w:rsid w:val="00C27458"/>
    <w:rsid w:val="00C279B2"/>
    <w:rsid w:val="00C339C2"/>
    <w:rsid w:val="00C34137"/>
    <w:rsid w:val="00C34445"/>
    <w:rsid w:val="00C36C47"/>
    <w:rsid w:val="00C36C69"/>
    <w:rsid w:val="00C36CC5"/>
    <w:rsid w:val="00C36F4F"/>
    <w:rsid w:val="00C37A6E"/>
    <w:rsid w:val="00C42C79"/>
    <w:rsid w:val="00C448A7"/>
    <w:rsid w:val="00C5169B"/>
    <w:rsid w:val="00C51E7F"/>
    <w:rsid w:val="00C54D51"/>
    <w:rsid w:val="00C56DAA"/>
    <w:rsid w:val="00C5734C"/>
    <w:rsid w:val="00C61807"/>
    <w:rsid w:val="00C62A55"/>
    <w:rsid w:val="00C62A56"/>
    <w:rsid w:val="00C63272"/>
    <w:rsid w:val="00C64A8D"/>
    <w:rsid w:val="00C70047"/>
    <w:rsid w:val="00C70822"/>
    <w:rsid w:val="00C70C8E"/>
    <w:rsid w:val="00C71162"/>
    <w:rsid w:val="00C712C0"/>
    <w:rsid w:val="00C712F6"/>
    <w:rsid w:val="00C73214"/>
    <w:rsid w:val="00C75715"/>
    <w:rsid w:val="00C75728"/>
    <w:rsid w:val="00C75733"/>
    <w:rsid w:val="00C77CDA"/>
    <w:rsid w:val="00C82BB0"/>
    <w:rsid w:val="00C85B62"/>
    <w:rsid w:val="00C86920"/>
    <w:rsid w:val="00C9351F"/>
    <w:rsid w:val="00C94DBA"/>
    <w:rsid w:val="00CA047D"/>
    <w:rsid w:val="00CA0674"/>
    <w:rsid w:val="00CA0A7B"/>
    <w:rsid w:val="00CA1563"/>
    <w:rsid w:val="00CA16BF"/>
    <w:rsid w:val="00CA5111"/>
    <w:rsid w:val="00CB1F54"/>
    <w:rsid w:val="00CB2043"/>
    <w:rsid w:val="00CC01A9"/>
    <w:rsid w:val="00CC033F"/>
    <w:rsid w:val="00CC1401"/>
    <w:rsid w:val="00CC34F8"/>
    <w:rsid w:val="00CD0F81"/>
    <w:rsid w:val="00CD2C04"/>
    <w:rsid w:val="00CD3507"/>
    <w:rsid w:val="00CD3764"/>
    <w:rsid w:val="00CD5244"/>
    <w:rsid w:val="00CD56ED"/>
    <w:rsid w:val="00CD67FF"/>
    <w:rsid w:val="00CD716E"/>
    <w:rsid w:val="00CE0161"/>
    <w:rsid w:val="00CE1573"/>
    <w:rsid w:val="00CE23D5"/>
    <w:rsid w:val="00CE2888"/>
    <w:rsid w:val="00CE34E6"/>
    <w:rsid w:val="00CE4B09"/>
    <w:rsid w:val="00CE5657"/>
    <w:rsid w:val="00CE7FB1"/>
    <w:rsid w:val="00CF06B6"/>
    <w:rsid w:val="00CF15C0"/>
    <w:rsid w:val="00CF15C2"/>
    <w:rsid w:val="00CF17EE"/>
    <w:rsid w:val="00CF3C0B"/>
    <w:rsid w:val="00CF46F8"/>
    <w:rsid w:val="00CF55C8"/>
    <w:rsid w:val="00CF668C"/>
    <w:rsid w:val="00CF778C"/>
    <w:rsid w:val="00CF7B1F"/>
    <w:rsid w:val="00CF7CDB"/>
    <w:rsid w:val="00D011E2"/>
    <w:rsid w:val="00D019BA"/>
    <w:rsid w:val="00D03423"/>
    <w:rsid w:val="00D037D7"/>
    <w:rsid w:val="00D07D9E"/>
    <w:rsid w:val="00D130B7"/>
    <w:rsid w:val="00D13148"/>
    <w:rsid w:val="00D133F8"/>
    <w:rsid w:val="00D13A19"/>
    <w:rsid w:val="00D14A3E"/>
    <w:rsid w:val="00D159DD"/>
    <w:rsid w:val="00D15A48"/>
    <w:rsid w:val="00D22D6D"/>
    <w:rsid w:val="00D238D0"/>
    <w:rsid w:val="00D24EE7"/>
    <w:rsid w:val="00D251B6"/>
    <w:rsid w:val="00D31D05"/>
    <w:rsid w:val="00D343CA"/>
    <w:rsid w:val="00D344A8"/>
    <w:rsid w:val="00D34F2C"/>
    <w:rsid w:val="00D3753B"/>
    <w:rsid w:val="00D40F40"/>
    <w:rsid w:val="00D44376"/>
    <w:rsid w:val="00D45643"/>
    <w:rsid w:val="00D4630B"/>
    <w:rsid w:val="00D524FD"/>
    <w:rsid w:val="00D53AE9"/>
    <w:rsid w:val="00D53E85"/>
    <w:rsid w:val="00D554A9"/>
    <w:rsid w:val="00D60C5A"/>
    <w:rsid w:val="00D627DE"/>
    <w:rsid w:val="00D65E50"/>
    <w:rsid w:val="00D711C8"/>
    <w:rsid w:val="00D72211"/>
    <w:rsid w:val="00D733C0"/>
    <w:rsid w:val="00D743E5"/>
    <w:rsid w:val="00D77E10"/>
    <w:rsid w:val="00D805B5"/>
    <w:rsid w:val="00D81063"/>
    <w:rsid w:val="00D813F4"/>
    <w:rsid w:val="00D832B9"/>
    <w:rsid w:val="00D90676"/>
    <w:rsid w:val="00D916CB"/>
    <w:rsid w:val="00D938F4"/>
    <w:rsid w:val="00D94EA5"/>
    <w:rsid w:val="00D96BF7"/>
    <w:rsid w:val="00D97054"/>
    <w:rsid w:val="00DA06D8"/>
    <w:rsid w:val="00DA3F93"/>
    <w:rsid w:val="00DA4AD6"/>
    <w:rsid w:val="00DA5B49"/>
    <w:rsid w:val="00DB5F5E"/>
    <w:rsid w:val="00DC0266"/>
    <w:rsid w:val="00DC33C5"/>
    <w:rsid w:val="00DC4AA5"/>
    <w:rsid w:val="00DD10B0"/>
    <w:rsid w:val="00DD17F2"/>
    <w:rsid w:val="00DD3536"/>
    <w:rsid w:val="00DE08F9"/>
    <w:rsid w:val="00DE3768"/>
    <w:rsid w:val="00DE3FF9"/>
    <w:rsid w:val="00DE5870"/>
    <w:rsid w:val="00DF0D6B"/>
    <w:rsid w:val="00DF2C2D"/>
    <w:rsid w:val="00DF33A9"/>
    <w:rsid w:val="00DF5713"/>
    <w:rsid w:val="00DF5C63"/>
    <w:rsid w:val="00DF786C"/>
    <w:rsid w:val="00E02175"/>
    <w:rsid w:val="00E0345B"/>
    <w:rsid w:val="00E067F3"/>
    <w:rsid w:val="00E07082"/>
    <w:rsid w:val="00E102BE"/>
    <w:rsid w:val="00E102F9"/>
    <w:rsid w:val="00E10F8F"/>
    <w:rsid w:val="00E125FC"/>
    <w:rsid w:val="00E12D6C"/>
    <w:rsid w:val="00E155CC"/>
    <w:rsid w:val="00E16F15"/>
    <w:rsid w:val="00E200A2"/>
    <w:rsid w:val="00E20C2D"/>
    <w:rsid w:val="00E21BD4"/>
    <w:rsid w:val="00E21D6D"/>
    <w:rsid w:val="00E23263"/>
    <w:rsid w:val="00E235DE"/>
    <w:rsid w:val="00E2493D"/>
    <w:rsid w:val="00E24F88"/>
    <w:rsid w:val="00E26661"/>
    <w:rsid w:val="00E268FD"/>
    <w:rsid w:val="00E30066"/>
    <w:rsid w:val="00E306DA"/>
    <w:rsid w:val="00E30CAC"/>
    <w:rsid w:val="00E310A1"/>
    <w:rsid w:val="00E32702"/>
    <w:rsid w:val="00E34753"/>
    <w:rsid w:val="00E3537A"/>
    <w:rsid w:val="00E3716B"/>
    <w:rsid w:val="00E4130E"/>
    <w:rsid w:val="00E455E9"/>
    <w:rsid w:val="00E456AE"/>
    <w:rsid w:val="00E45846"/>
    <w:rsid w:val="00E46105"/>
    <w:rsid w:val="00E47DEE"/>
    <w:rsid w:val="00E520A9"/>
    <w:rsid w:val="00E55750"/>
    <w:rsid w:val="00E558B4"/>
    <w:rsid w:val="00E57B23"/>
    <w:rsid w:val="00E63887"/>
    <w:rsid w:val="00E64BCF"/>
    <w:rsid w:val="00E65FAD"/>
    <w:rsid w:val="00E72958"/>
    <w:rsid w:val="00E7583A"/>
    <w:rsid w:val="00E77C9D"/>
    <w:rsid w:val="00E8036E"/>
    <w:rsid w:val="00E81861"/>
    <w:rsid w:val="00E84CE7"/>
    <w:rsid w:val="00E85D62"/>
    <w:rsid w:val="00E86FD9"/>
    <w:rsid w:val="00E8749E"/>
    <w:rsid w:val="00E87885"/>
    <w:rsid w:val="00E87A75"/>
    <w:rsid w:val="00E90C01"/>
    <w:rsid w:val="00E93523"/>
    <w:rsid w:val="00E9379F"/>
    <w:rsid w:val="00E93E23"/>
    <w:rsid w:val="00E96594"/>
    <w:rsid w:val="00E96E21"/>
    <w:rsid w:val="00E9748F"/>
    <w:rsid w:val="00E97796"/>
    <w:rsid w:val="00E97B15"/>
    <w:rsid w:val="00EA0633"/>
    <w:rsid w:val="00EA0E5E"/>
    <w:rsid w:val="00EA26AD"/>
    <w:rsid w:val="00EA36CA"/>
    <w:rsid w:val="00EA486E"/>
    <w:rsid w:val="00EA71EA"/>
    <w:rsid w:val="00EA7C00"/>
    <w:rsid w:val="00EB0D35"/>
    <w:rsid w:val="00EB2F70"/>
    <w:rsid w:val="00EB3C88"/>
    <w:rsid w:val="00EB6471"/>
    <w:rsid w:val="00EC1561"/>
    <w:rsid w:val="00EC29D2"/>
    <w:rsid w:val="00ED1E21"/>
    <w:rsid w:val="00ED3EAB"/>
    <w:rsid w:val="00ED7161"/>
    <w:rsid w:val="00EE03EA"/>
    <w:rsid w:val="00EE0655"/>
    <w:rsid w:val="00EE73F0"/>
    <w:rsid w:val="00EE7F86"/>
    <w:rsid w:val="00EF155D"/>
    <w:rsid w:val="00EF5B91"/>
    <w:rsid w:val="00EF62DA"/>
    <w:rsid w:val="00EF71D9"/>
    <w:rsid w:val="00EF7CB3"/>
    <w:rsid w:val="00F04DF0"/>
    <w:rsid w:val="00F05E2E"/>
    <w:rsid w:val="00F06771"/>
    <w:rsid w:val="00F06CC8"/>
    <w:rsid w:val="00F07F02"/>
    <w:rsid w:val="00F1268B"/>
    <w:rsid w:val="00F13789"/>
    <w:rsid w:val="00F14EA9"/>
    <w:rsid w:val="00F17DA2"/>
    <w:rsid w:val="00F2138D"/>
    <w:rsid w:val="00F22414"/>
    <w:rsid w:val="00F22AE8"/>
    <w:rsid w:val="00F231F2"/>
    <w:rsid w:val="00F232ED"/>
    <w:rsid w:val="00F23606"/>
    <w:rsid w:val="00F25C06"/>
    <w:rsid w:val="00F26F56"/>
    <w:rsid w:val="00F3055D"/>
    <w:rsid w:val="00F32B91"/>
    <w:rsid w:val="00F35B73"/>
    <w:rsid w:val="00F35BB6"/>
    <w:rsid w:val="00F37E96"/>
    <w:rsid w:val="00F4057D"/>
    <w:rsid w:val="00F44552"/>
    <w:rsid w:val="00F44BA1"/>
    <w:rsid w:val="00F46182"/>
    <w:rsid w:val="00F4625B"/>
    <w:rsid w:val="00F47A09"/>
    <w:rsid w:val="00F50838"/>
    <w:rsid w:val="00F54FD9"/>
    <w:rsid w:val="00F55C49"/>
    <w:rsid w:val="00F56A3D"/>
    <w:rsid w:val="00F57B0C"/>
    <w:rsid w:val="00F6160F"/>
    <w:rsid w:val="00F61D53"/>
    <w:rsid w:val="00F62753"/>
    <w:rsid w:val="00F62EFC"/>
    <w:rsid w:val="00F6593D"/>
    <w:rsid w:val="00F66615"/>
    <w:rsid w:val="00F6697A"/>
    <w:rsid w:val="00F67413"/>
    <w:rsid w:val="00F67C36"/>
    <w:rsid w:val="00F67FE3"/>
    <w:rsid w:val="00F700E4"/>
    <w:rsid w:val="00F70398"/>
    <w:rsid w:val="00F710BC"/>
    <w:rsid w:val="00F71E32"/>
    <w:rsid w:val="00F7223E"/>
    <w:rsid w:val="00F752AD"/>
    <w:rsid w:val="00F7651E"/>
    <w:rsid w:val="00F8107D"/>
    <w:rsid w:val="00F8160F"/>
    <w:rsid w:val="00F85DEB"/>
    <w:rsid w:val="00F86497"/>
    <w:rsid w:val="00F90C8A"/>
    <w:rsid w:val="00F90FC9"/>
    <w:rsid w:val="00F958DA"/>
    <w:rsid w:val="00F97395"/>
    <w:rsid w:val="00FA035D"/>
    <w:rsid w:val="00FA077A"/>
    <w:rsid w:val="00FA17A9"/>
    <w:rsid w:val="00FA444A"/>
    <w:rsid w:val="00FA5F64"/>
    <w:rsid w:val="00FA6F8A"/>
    <w:rsid w:val="00FA73A9"/>
    <w:rsid w:val="00FA7CC5"/>
    <w:rsid w:val="00FB01A4"/>
    <w:rsid w:val="00FB0871"/>
    <w:rsid w:val="00FB0C33"/>
    <w:rsid w:val="00FB46EB"/>
    <w:rsid w:val="00FB4D4C"/>
    <w:rsid w:val="00FB6044"/>
    <w:rsid w:val="00FB614F"/>
    <w:rsid w:val="00FB72CB"/>
    <w:rsid w:val="00FB7304"/>
    <w:rsid w:val="00FC016E"/>
    <w:rsid w:val="00FC04E0"/>
    <w:rsid w:val="00FC1E8A"/>
    <w:rsid w:val="00FC2BAB"/>
    <w:rsid w:val="00FC2D54"/>
    <w:rsid w:val="00FC498F"/>
    <w:rsid w:val="00FC5C4F"/>
    <w:rsid w:val="00FC6801"/>
    <w:rsid w:val="00FD0929"/>
    <w:rsid w:val="00FD0E82"/>
    <w:rsid w:val="00FD1E21"/>
    <w:rsid w:val="00FD1E89"/>
    <w:rsid w:val="00FD3D70"/>
    <w:rsid w:val="00FD49E2"/>
    <w:rsid w:val="00FD5384"/>
    <w:rsid w:val="00FD6297"/>
    <w:rsid w:val="00FD6AD3"/>
    <w:rsid w:val="00FD780E"/>
    <w:rsid w:val="00FE3858"/>
    <w:rsid w:val="00FE4B68"/>
    <w:rsid w:val="00FE6D12"/>
    <w:rsid w:val="00FE7493"/>
    <w:rsid w:val="00FE7C7F"/>
    <w:rsid w:val="00FF0137"/>
    <w:rsid w:val="00FF0B65"/>
    <w:rsid w:val="00FF11A7"/>
    <w:rsid w:val="00FF4174"/>
    <w:rsid w:val="00FF4728"/>
    <w:rsid w:val="00FF5C28"/>
    <w:rsid w:val="00FF5D4F"/>
    <w:rsid w:val="00FF7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510F2"/>
  <w15:docId w15:val="{3DA988BA-72A5-48D9-B594-2D522168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A5"/>
  </w:style>
  <w:style w:type="paragraph" w:styleId="Heading1">
    <w:name w:val="heading 1"/>
    <w:basedOn w:val="Normal"/>
    <w:next w:val="Normal"/>
    <w:link w:val="Heading1Char"/>
    <w:uiPriority w:val="9"/>
    <w:qFormat/>
    <w:rsid w:val="003A0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A954F8"/>
    <w:rPr>
      <w:rFonts w:ascii="Times New Roman" w:hAnsi="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qFormat/>
    <w:rsid w:val="008C6B1C"/>
    <w:pPr>
      <w:spacing w:line="240" w:lineRule="auto"/>
    </w:pPr>
    <w:rPr>
      <w:sz w:val="20"/>
      <w:szCs w:val="20"/>
    </w:rPr>
  </w:style>
  <w:style w:type="character" w:customStyle="1" w:styleId="CommentTextChar">
    <w:name w:val="Comment Text Char"/>
    <w:basedOn w:val="DefaultParagraphFont"/>
    <w:link w:val="CommentText"/>
    <w:uiPriority w:val="99"/>
    <w:qFormat/>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styleId="BodyText">
    <w:name w:val="Body Text"/>
    <w:basedOn w:val="Normal"/>
    <w:link w:val="BodyTextChar"/>
    <w:rsid w:val="007955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9550F"/>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456649"/>
    <w:rPr>
      <w:i/>
      <w:iCs/>
    </w:rPr>
  </w:style>
  <w:style w:type="paragraph" w:customStyle="1" w:styleId="tv213">
    <w:name w:val="tv213"/>
    <w:basedOn w:val="Normal"/>
    <w:qFormat/>
    <w:rsid w:val="004243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CD5244"/>
    <w:rPr>
      <w:color w:val="605E5C"/>
      <w:shd w:val="clear" w:color="auto" w:fill="E1DFDD"/>
    </w:rPr>
  </w:style>
  <w:style w:type="paragraph" w:customStyle="1" w:styleId="naiskr">
    <w:name w:val="naiskr"/>
    <w:basedOn w:val="Normal"/>
    <w:rsid w:val="006C7B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BA4EF1"/>
    <w:rPr>
      <w:color w:val="605E5C"/>
      <w:shd w:val="clear" w:color="auto" w:fill="E1DFDD"/>
    </w:rPr>
  </w:style>
  <w:style w:type="paragraph" w:styleId="Revision">
    <w:name w:val="Revision"/>
    <w:hidden/>
    <w:uiPriority w:val="99"/>
    <w:semiHidden/>
    <w:rsid w:val="007016A9"/>
    <w:pPr>
      <w:spacing w:after="0" w:line="240" w:lineRule="auto"/>
    </w:pPr>
  </w:style>
  <w:style w:type="character" w:customStyle="1" w:styleId="Neatrisintapieminana2">
    <w:name w:val="Neatrisināta pieminēšana2"/>
    <w:basedOn w:val="DefaultParagraphFont"/>
    <w:uiPriority w:val="99"/>
    <w:semiHidden/>
    <w:unhideWhenUsed/>
    <w:rsid w:val="00E456AE"/>
    <w:rPr>
      <w:color w:val="605E5C"/>
      <w:shd w:val="clear" w:color="auto" w:fill="E1DFDD"/>
    </w:rPr>
  </w:style>
  <w:style w:type="paragraph" w:customStyle="1" w:styleId="naisc">
    <w:name w:val="naisc"/>
    <w:basedOn w:val="Normal"/>
    <w:rsid w:val="00717E88"/>
    <w:pPr>
      <w:spacing w:before="75" w:after="75" w:line="240" w:lineRule="auto"/>
      <w:jc w:val="center"/>
    </w:pPr>
    <w:rPr>
      <w:rFonts w:ascii="Times New Roman" w:eastAsia="Times New Roman" w:hAnsi="Times New Roman" w:cs="Times New Roman"/>
      <w:sz w:val="24"/>
      <w:szCs w:val="24"/>
      <w:lang w:eastAsia="lv-LV"/>
    </w:rPr>
  </w:style>
  <w:style w:type="paragraph" w:customStyle="1" w:styleId="xmsonormal">
    <w:name w:val="x_msonormal"/>
    <w:basedOn w:val="Normal"/>
    <w:rsid w:val="00A76BCC"/>
    <w:pPr>
      <w:spacing w:after="0" w:line="240" w:lineRule="auto"/>
    </w:pPr>
    <w:rPr>
      <w:rFonts w:ascii="Calibri" w:hAnsi="Calibri" w:cs="Times New Roman"/>
      <w:lang w:val="en-US"/>
    </w:rPr>
  </w:style>
  <w:style w:type="character" w:customStyle="1" w:styleId="Heading1Char">
    <w:name w:val="Heading 1 Char"/>
    <w:basedOn w:val="DefaultParagraphFont"/>
    <w:link w:val="Heading1"/>
    <w:uiPriority w:val="9"/>
    <w:rsid w:val="003A09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0691">
      <w:bodyDiv w:val="1"/>
      <w:marLeft w:val="0"/>
      <w:marRight w:val="0"/>
      <w:marTop w:val="0"/>
      <w:marBottom w:val="0"/>
      <w:divBdr>
        <w:top w:val="none" w:sz="0" w:space="0" w:color="auto"/>
        <w:left w:val="none" w:sz="0" w:space="0" w:color="auto"/>
        <w:bottom w:val="none" w:sz="0" w:space="0" w:color="auto"/>
        <w:right w:val="none" w:sz="0" w:space="0" w:color="auto"/>
      </w:divBdr>
    </w:div>
    <w:div w:id="58478657">
      <w:bodyDiv w:val="1"/>
      <w:marLeft w:val="0"/>
      <w:marRight w:val="0"/>
      <w:marTop w:val="0"/>
      <w:marBottom w:val="0"/>
      <w:divBdr>
        <w:top w:val="none" w:sz="0" w:space="0" w:color="auto"/>
        <w:left w:val="none" w:sz="0" w:space="0" w:color="auto"/>
        <w:bottom w:val="none" w:sz="0" w:space="0" w:color="auto"/>
        <w:right w:val="none" w:sz="0" w:space="0" w:color="auto"/>
      </w:divBdr>
    </w:div>
    <w:div w:id="237326666">
      <w:bodyDiv w:val="1"/>
      <w:marLeft w:val="0"/>
      <w:marRight w:val="0"/>
      <w:marTop w:val="0"/>
      <w:marBottom w:val="0"/>
      <w:divBdr>
        <w:top w:val="none" w:sz="0" w:space="0" w:color="auto"/>
        <w:left w:val="none" w:sz="0" w:space="0" w:color="auto"/>
        <w:bottom w:val="none" w:sz="0" w:space="0" w:color="auto"/>
        <w:right w:val="none" w:sz="0" w:space="0" w:color="auto"/>
      </w:divBdr>
    </w:div>
    <w:div w:id="239953220">
      <w:bodyDiv w:val="1"/>
      <w:marLeft w:val="0"/>
      <w:marRight w:val="0"/>
      <w:marTop w:val="0"/>
      <w:marBottom w:val="0"/>
      <w:divBdr>
        <w:top w:val="none" w:sz="0" w:space="0" w:color="auto"/>
        <w:left w:val="none" w:sz="0" w:space="0" w:color="auto"/>
        <w:bottom w:val="none" w:sz="0" w:space="0" w:color="auto"/>
        <w:right w:val="none" w:sz="0" w:space="0" w:color="auto"/>
      </w:divBdr>
      <w:divsChild>
        <w:div w:id="1048530358">
          <w:marLeft w:val="0"/>
          <w:marRight w:val="0"/>
          <w:marTop w:val="0"/>
          <w:marBottom w:val="0"/>
          <w:divBdr>
            <w:top w:val="none" w:sz="0" w:space="0" w:color="auto"/>
            <w:left w:val="none" w:sz="0" w:space="0" w:color="auto"/>
            <w:bottom w:val="none" w:sz="0" w:space="0" w:color="auto"/>
            <w:right w:val="none" w:sz="0" w:space="0" w:color="auto"/>
          </w:divBdr>
        </w:div>
        <w:div w:id="1502812012">
          <w:marLeft w:val="0"/>
          <w:marRight w:val="0"/>
          <w:marTop w:val="0"/>
          <w:marBottom w:val="0"/>
          <w:divBdr>
            <w:top w:val="none" w:sz="0" w:space="0" w:color="auto"/>
            <w:left w:val="none" w:sz="0" w:space="0" w:color="auto"/>
            <w:bottom w:val="none" w:sz="0" w:space="0" w:color="auto"/>
            <w:right w:val="none" w:sz="0" w:space="0" w:color="auto"/>
          </w:divBdr>
        </w:div>
      </w:divsChild>
    </w:div>
    <w:div w:id="294914112">
      <w:bodyDiv w:val="1"/>
      <w:marLeft w:val="0"/>
      <w:marRight w:val="0"/>
      <w:marTop w:val="0"/>
      <w:marBottom w:val="0"/>
      <w:divBdr>
        <w:top w:val="none" w:sz="0" w:space="0" w:color="auto"/>
        <w:left w:val="none" w:sz="0" w:space="0" w:color="auto"/>
        <w:bottom w:val="none" w:sz="0" w:space="0" w:color="auto"/>
        <w:right w:val="none" w:sz="0" w:space="0" w:color="auto"/>
      </w:divBdr>
    </w:div>
    <w:div w:id="339236866">
      <w:bodyDiv w:val="1"/>
      <w:marLeft w:val="0"/>
      <w:marRight w:val="0"/>
      <w:marTop w:val="0"/>
      <w:marBottom w:val="0"/>
      <w:divBdr>
        <w:top w:val="none" w:sz="0" w:space="0" w:color="auto"/>
        <w:left w:val="none" w:sz="0" w:space="0" w:color="auto"/>
        <w:bottom w:val="none" w:sz="0" w:space="0" w:color="auto"/>
        <w:right w:val="none" w:sz="0" w:space="0" w:color="auto"/>
      </w:divBdr>
    </w:div>
    <w:div w:id="343365298">
      <w:bodyDiv w:val="1"/>
      <w:marLeft w:val="0"/>
      <w:marRight w:val="0"/>
      <w:marTop w:val="0"/>
      <w:marBottom w:val="0"/>
      <w:divBdr>
        <w:top w:val="none" w:sz="0" w:space="0" w:color="auto"/>
        <w:left w:val="none" w:sz="0" w:space="0" w:color="auto"/>
        <w:bottom w:val="none" w:sz="0" w:space="0" w:color="auto"/>
        <w:right w:val="none" w:sz="0" w:space="0" w:color="auto"/>
      </w:divBdr>
    </w:div>
    <w:div w:id="369230108">
      <w:bodyDiv w:val="1"/>
      <w:marLeft w:val="0"/>
      <w:marRight w:val="0"/>
      <w:marTop w:val="0"/>
      <w:marBottom w:val="0"/>
      <w:divBdr>
        <w:top w:val="none" w:sz="0" w:space="0" w:color="auto"/>
        <w:left w:val="none" w:sz="0" w:space="0" w:color="auto"/>
        <w:bottom w:val="none" w:sz="0" w:space="0" w:color="auto"/>
        <w:right w:val="none" w:sz="0" w:space="0" w:color="auto"/>
      </w:divBdr>
    </w:div>
    <w:div w:id="462963396">
      <w:bodyDiv w:val="1"/>
      <w:marLeft w:val="0"/>
      <w:marRight w:val="0"/>
      <w:marTop w:val="0"/>
      <w:marBottom w:val="0"/>
      <w:divBdr>
        <w:top w:val="none" w:sz="0" w:space="0" w:color="auto"/>
        <w:left w:val="none" w:sz="0" w:space="0" w:color="auto"/>
        <w:bottom w:val="none" w:sz="0" w:space="0" w:color="auto"/>
        <w:right w:val="none" w:sz="0" w:space="0" w:color="auto"/>
      </w:divBdr>
    </w:div>
    <w:div w:id="489254604">
      <w:bodyDiv w:val="1"/>
      <w:marLeft w:val="0"/>
      <w:marRight w:val="0"/>
      <w:marTop w:val="0"/>
      <w:marBottom w:val="0"/>
      <w:divBdr>
        <w:top w:val="none" w:sz="0" w:space="0" w:color="auto"/>
        <w:left w:val="none" w:sz="0" w:space="0" w:color="auto"/>
        <w:bottom w:val="none" w:sz="0" w:space="0" w:color="auto"/>
        <w:right w:val="none" w:sz="0" w:space="0" w:color="auto"/>
      </w:divBdr>
    </w:div>
    <w:div w:id="559247397">
      <w:bodyDiv w:val="1"/>
      <w:marLeft w:val="0"/>
      <w:marRight w:val="0"/>
      <w:marTop w:val="0"/>
      <w:marBottom w:val="0"/>
      <w:divBdr>
        <w:top w:val="none" w:sz="0" w:space="0" w:color="auto"/>
        <w:left w:val="none" w:sz="0" w:space="0" w:color="auto"/>
        <w:bottom w:val="none" w:sz="0" w:space="0" w:color="auto"/>
        <w:right w:val="none" w:sz="0" w:space="0" w:color="auto"/>
      </w:divBdr>
    </w:div>
    <w:div w:id="567501515">
      <w:bodyDiv w:val="1"/>
      <w:marLeft w:val="0"/>
      <w:marRight w:val="0"/>
      <w:marTop w:val="0"/>
      <w:marBottom w:val="0"/>
      <w:divBdr>
        <w:top w:val="none" w:sz="0" w:space="0" w:color="auto"/>
        <w:left w:val="none" w:sz="0" w:space="0" w:color="auto"/>
        <w:bottom w:val="none" w:sz="0" w:space="0" w:color="auto"/>
        <w:right w:val="none" w:sz="0" w:space="0" w:color="auto"/>
      </w:divBdr>
    </w:div>
    <w:div w:id="653149480">
      <w:bodyDiv w:val="1"/>
      <w:marLeft w:val="0"/>
      <w:marRight w:val="0"/>
      <w:marTop w:val="0"/>
      <w:marBottom w:val="0"/>
      <w:divBdr>
        <w:top w:val="none" w:sz="0" w:space="0" w:color="auto"/>
        <w:left w:val="none" w:sz="0" w:space="0" w:color="auto"/>
        <w:bottom w:val="none" w:sz="0" w:space="0" w:color="auto"/>
        <w:right w:val="none" w:sz="0" w:space="0" w:color="auto"/>
      </w:divBdr>
    </w:div>
    <w:div w:id="662661437">
      <w:bodyDiv w:val="1"/>
      <w:marLeft w:val="0"/>
      <w:marRight w:val="0"/>
      <w:marTop w:val="0"/>
      <w:marBottom w:val="0"/>
      <w:divBdr>
        <w:top w:val="none" w:sz="0" w:space="0" w:color="auto"/>
        <w:left w:val="none" w:sz="0" w:space="0" w:color="auto"/>
        <w:bottom w:val="none" w:sz="0" w:space="0" w:color="auto"/>
        <w:right w:val="none" w:sz="0" w:space="0" w:color="auto"/>
      </w:divBdr>
    </w:div>
    <w:div w:id="820391577">
      <w:bodyDiv w:val="1"/>
      <w:marLeft w:val="0"/>
      <w:marRight w:val="0"/>
      <w:marTop w:val="0"/>
      <w:marBottom w:val="0"/>
      <w:divBdr>
        <w:top w:val="none" w:sz="0" w:space="0" w:color="auto"/>
        <w:left w:val="none" w:sz="0" w:space="0" w:color="auto"/>
        <w:bottom w:val="none" w:sz="0" w:space="0" w:color="auto"/>
        <w:right w:val="none" w:sz="0" w:space="0" w:color="auto"/>
      </w:divBdr>
    </w:div>
    <w:div w:id="892232482">
      <w:bodyDiv w:val="1"/>
      <w:marLeft w:val="0"/>
      <w:marRight w:val="0"/>
      <w:marTop w:val="0"/>
      <w:marBottom w:val="0"/>
      <w:divBdr>
        <w:top w:val="none" w:sz="0" w:space="0" w:color="auto"/>
        <w:left w:val="none" w:sz="0" w:space="0" w:color="auto"/>
        <w:bottom w:val="none" w:sz="0" w:space="0" w:color="auto"/>
        <w:right w:val="none" w:sz="0" w:space="0" w:color="auto"/>
      </w:divBdr>
    </w:div>
    <w:div w:id="942374462">
      <w:bodyDiv w:val="1"/>
      <w:marLeft w:val="0"/>
      <w:marRight w:val="0"/>
      <w:marTop w:val="0"/>
      <w:marBottom w:val="0"/>
      <w:divBdr>
        <w:top w:val="none" w:sz="0" w:space="0" w:color="auto"/>
        <w:left w:val="none" w:sz="0" w:space="0" w:color="auto"/>
        <w:bottom w:val="none" w:sz="0" w:space="0" w:color="auto"/>
        <w:right w:val="none" w:sz="0" w:space="0" w:color="auto"/>
      </w:divBdr>
    </w:div>
    <w:div w:id="1021400759">
      <w:bodyDiv w:val="1"/>
      <w:marLeft w:val="0"/>
      <w:marRight w:val="0"/>
      <w:marTop w:val="0"/>
      <w:marBottom w:val="0"/>
      <w:divBdr>
        <w:top w:val="none" w:sz="0" w:space="0" w:color="auto"/>
        <w:left w:val="none" w:sz="0" w:space="0" w:color="auto"/>
        <w:bottom w:val="none" w:sz="0" w:space="0" w:color="auto"/>
        <w:right w:val="none" w:sz="0" w:space="0" w:color="auto"/>
      </w:divBdr>
    </w:div>
    <w:div w:id="1029067194">
      <w:bodyDiv w:val="1"/>
      <w:marLeft w:val="0"/>
      <w:marRight w:val="0"/>
      <w:marTop w:val="0"/>
      <w:marBottom w:val="0"/>
      <w:divBdr>
        <w:top w:val="none" w:sz="0" w:space="0" w:color="auto"/>
        <w:left w:val="none" w:sz="0" w:space="0" w:color="auto"/>
        <w:bottom w:val="none" w:sz="0" w:space="0" w:color="auto"/>
        <w:right w:val="none" w:sz="0" w:space="0" w:color="auto"/>
      </w:divBdr>
    </w:div>
    <w:div w:id="1082485296">
      <w:bodyDiv w:val="1"/>
      <w:marLeft w:val="0"/>
      <w:marRight w:val="0"/>
      <w:marTop w:val="0"/>
      <w:marBottom w:val="0"/>
      <w:divBdr>
        <w:top w:val="none" w:sz="0" w:space="0" w:color="auto"/>
        <w:left w:val="none" w:sz="0" w:space="0" w:color="auto"/>
        <w:bottom w:val="none" w:sz="0" w:space="0" w:color="auto"/>
        <w:right w:val="none" w:sz="0" w:space="0" w:color="auto"/>
      </w:divBdr>
    </w:div>
    <w:div w:id="1101532065">
      <w:bodyDiv w:val="1"/>
      <w:marLeft w:val="0"/>
      <w:marRight w:val="0"/>
      <w:marTop w:val="0"/>
      <w:marBottom w:val="0"/>
      <w:divBdr>
        <w:top w:val="none" w:sz="0" w:space="0" w:color="auto"/>
        <w:left w:val="none" w:sz="0" w:space="0" w:color="auto"/>
        <w:bottom w:val="none" w:sz="0" w:space="0" w:color="auto"/>
        <w:right w:val="none" w:sz="0" w:space="0" w:color="auto"/>
      </w:divBdr>
    </w:div>
    <w:div w:id="1198808944">
      <w:bodyDiv w:val="1"/>
      <w:marLeft w:val="0"/>
      <w:marRight w:val="0"/>
      <w:marTop w:val="0"/>
      <w:marBottom w:val="0"/>
      <w:divBdr>
        <w:top w:val="none" w:sz="0" w:space="0" w:color="auto"/>
        <w:left w:val="none" w:sz="0" w:space="0" w:color="auto"/>
        <w:bottom w:val="none" w:sz="0" w:space="0" w:color="auto"/>
        <w:right w:val="none" w:sz="0" w:space="0" w:color="auto"/>
      </w:divBdr>
      <w:divsChild>
        <w:div w:id="843670842">
          <w:marLeft w:val="0"/>
          <w:marRight w:val="0"/>
          <w:marTop w:val="0"/>
          <w:marBottom w:val="0"/>
          <w:divBdr>
            <w:top w:val="none" w:sz="0" w:space="0" w:color="auto"/>
            <w:left w:val="none" w:sz="0" w:space="0" w:color="auto"/>
            <w:bottom w:val="none" w:sz="0" w:space="0" w:color="auto"/>
            <w:right w:val="none" w:sz="0" w:space="0" w:color="auto"/>
          </w:divBdr>
          <w:divsChild>
            <w:div w:id="1821649661">
              <w:marLeft w:val="0"/>
              <w:marRight w:val="0"/>
              <w:marTop w:val="0"/>
              <w:marBottom w:val="0"/>
              <w:divBdr>
                <w:top w:val="none" w:sz="0" w:space="0" w:color="auto"/>
                <w:left w:val="none" w:sz="0" w:space="0" w:color="auto"/>
                <w:bottom w:val="none" w:sz="0" w:space="0" w:color="auto"/>
                <w:right w:val="none" w:sz="0" w:space="0" w:color="auto"/>
              </w:divBdr>
              <w:divsChild>
                <w:div w:id="1401177396">
                  <w:marLeft w:val="0"/>
                  <w:marRight w:val="0"/>
                  <w:marTop w:val="0"/>
                  <w:marBottom w:val="0"/>
                  <w:divBdr>
                    <w:top w:val="none" w:sz="0" w:space="0" w:color="auto"/>
                    <w:left w:val="none" w:sz="0" w:space="0" w:color="auto"/>
                    <w:bottom w:val="none" w:sz="0" w:space="0" w:color="auto"/>
                    <w:right w:val="none" w:sz="0" w:space="0" w:color="auto"/>
                  </w:divBdr>
                  <w:divsChild>
                    <w:div w:id="736442994">
                      <w:marLeft w:val="0"/>
                      <w:marRight w:val="0"/>
                      <w:marTop w:val="0"/>
                      <w:marBottom w:val="0"/>
                      <w:divBdr>
                        <w:top w:val="none" w:sz="0" w:space="0" w:color="auto"/>
                        <w:left w:val="none" w:sz="0" w:space="0" w:color="auto"/>
                        <w:bottom w:val="none" w:sz="0" w:space="0" w:color="auto"/>
                        <w:right w:val="none" w:sz="0" w:space="0" w:color="auto"/>
                      </w:divBdr>
                      <w:divsChild>
                        <w:div w:id="1797067885">
                          <w:marLeft w:val="0"/>
                          <w:marRight w:val="0"/>
                          <w:marTop w:val="0"/>
                          <w:marBottom w:val="0"/>
                          <w:divBdr>
                            <w:top w:val="none" w:sz="0" w:space="0" w:color="auto"/>
                            <w:left w:val="none" w:sz="0" w:space="0" w:color="auto"/>
                            <w:bottom w:val="none" w:sz="0" w:space="0" w:color="auto"/>
                            <w:right w:val="none" w:sz="0" w:space="0" w:color="auto"/>
                          </w:divBdr>
                          <w:divsChild>
                            <w:div w:id="873158725">
                              <w:marLeft w:val="0"/>
                              <w:marRight w:val="300"/>
                              <w:marTop w:val="180"/>
                              <w:marBottom w:val="0"/>
                              <w:divBdr>
                                <w:top w:val="none" w:sz="0" w:space="0" w:color="auto"/>
                                <w:left w:val="none" w:sz="0" w:space="0" w:color="auto"/>
                                <w:bottom w:val="none" w:sz="0" w:space="0" w:color="auto"/>
                                <w:right w:val="none" w:sz="0" w:space="0" w:color="auto"/>
                              </w:divBdr>
                              <w:divsChild>
                                <w:div w:id="11049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58350">
          <w:marLeft w:val="0"/>
          <w:marRight w:val="0"/>
          <w:marTop w:val="0"/>
          <w:marBottom w:val="0"/>
          <w:divBdr>
            <w:top w:val="none" w:sz="0" w:space="0" w:color="auto"/>
            <w:left w:val="none" w:sz="0" w:space="0" w:color="auto"/>
            <w:bottom w:val="none" w:sz="0" w:space="0" w:color="auto"/>
            <w:right w:val="none" w:sz="0" w:space="0" w:color="auto"/>
          </w:divBdr>
          <w:divsChild>
            <w:div w:id="1014920000">
              <w:marLeft w:val="0"/>
              <w:marRight w:val="0"/>
              <w:marTop w:val="0"/>
              <w:marBottom w:val="0"/>
              <w:divBdr>
                <w:top w:val="none" w:sz="0" w:space="0" w:color="auto"/>
                <w:left w:val="none" w:sz="0" w:space="0" w:color="auto"/>
                <w:bottom w:val="none" w:sz="0" w:space="0" w:color="auto"/>
                <w:right w:val="none" w:sz="0" w:space="0" w:color="auto"/>
              </w:divBdr>
              <w:divsChild>
                <w:div w:id="2079135263">
                  <w:marLeft w:val="0"/>
                  <w:marRight w:val="0"/>
                  <w:marTop w:val="0"/>
                  <w:marBottom w:val="0"/>
                  <w:divBdr>
                    <w:top w:val="none" w:sz="0" w:space="0" w:color="auto"/>
                    <w:left w:val="none" w:sz="0" w:space="0" w:color="auto"/>
                    <w:bottom w:val="none" w:sz="0" w:space="0" w:color="auto"/>
                    <w:right w:val="none" w:sz="0" w:space="0" w:color="auto"/>
                  </w:divBdr>
                  <w:divsChild>
                    <w:div w:id="1619989715">
                      <w:marLeft w:val="0"/>
                      <w:marRight w:val="0"/>
                      <w:marTop w:val="0"/>
                      <w:marBottom w:val="0"/>
                      <w:divBdr>
                        <w:top w:val="none" w:sz="0" w:space="0" w:color="auto"/>
                        <w:left w:val="none" w:sz="0" w:space="0" w:color="auto"/>
                        <w:bottom w:val="none" w:sz="0" w:space="0" w:color="auto"/>
                        <w:right w:val="none" w:sz="0" w:space="0" w:color="auto"/>
                      </w:divBdr>
                      <w:divsChild>
                        <w:div w:id="559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86062">
      <w:bodyDiv w:val="1"/>
      <w:marLeft w:val="0"/>
      <w:marRight w:val="0"/>
      <w:marTop w:val="0"/>
      <w:marBottom w:val="0"/>
      <w:divBdr>
        <w:top w:val="none" w:sz="0" w:space="0" w:color="auto"/>
        <w:left w:val="none" w:sz="0" w:space="0" w:color="auto"/>
        <w:bottom w:val="none" w:sz="0" w:space="0" w:color="auto"/>
        <w:right w:val="none" w:sz="0" w:space="0" w:color="auto"/>
      </w:divBdr>
    </w:div>
    <w:div w:id="1402682056">
      <w:bodyDiv w:val="1"/>
      <w:marLeft w:val="0"/>
      <w:marRight w:val="0"/>
      <w:marTop w:val="0"/>
      <w:marBottom w:val="0"/>
      <w:divBdr>
        <w:top w:val="none" w:sz="0" w:space="0" w:color="auto"/>
        <w:left w:val="none" w:sz="0" w:space="0" w:color="auto"/>
        <w:bottom w:val="none" w:sz="0" w:space="0" w:color="auto"/>
        <w:right w:val="none" w:sz="0" w:space="0" w:color="auto"/>
      </w:divBdr>
    </w:div>
    <w:div w:id="1467040705">
      <w:bodyDiv w:val="1"/>
      <w:marLeft w:val="0"/>
      <w:marRight w:val="0"/>
      <w:marTop w:val="0"/>
      <w:marBottom w:val="0"/>
      <w:divBdr>
        <w:top w:val="none" w:sz="0" w:space="0" w:color="auto"/>
        <w:left w:val="none" w:sz="0" w:space="0" w:color="auto"/>
        <w:bottom w:val="none" w:sz="0" w:space="0" w:color="auto"/>
        <w:right w:val="none" w:sz="0" w:space="0" w:color="auto"/>
      </w:divBdr>
    </w:div>
    <w:div w:id="1545753287">
      <w:bodyDiv w:val="1"/>
      <w:marLeft w:val="0"/>
      <w:marRight w:val="0"/>
      <w:marTop w:val="0"/>
      <w:marBottom w:val="0"/>
      <w:divBdr>
        <w:top w:val="none" w:sz="0" w:space="0" w:color="auto"/>
        <w:left w:val="none" w:sz="0" w:space="0" w:color="auto"/>
        <w:bottom w:val="none" w:sz="0" w:space="0" w:color="auto"/>
        <w:right w:val="none" w:sz="0" w:space="0" w:color="auto"/>
      </w:divBdr>
    </w:div>
    <w:div w:id="1794399668">
      <w:bodyDiv w:val="1"/>
      <w:marLeft w:val="0"/>
      <w:marRight w:val="0"/>
      <w:marTop w:val="0"/>
      <w:marBottom w:val="0"/>
      <w:divBdr>
        <w:top w:val="none" w:sz="0" w:space="0" w:color="auto"/>
        <w:left w:val="none" w:sz="0" w:space="0" w:color="auto"/>
        <w:bottom w:val="none" w:sz="0" w:space="0" w:color="auto"/>
        <w:right w:val="none" w:sz="0" w:space="0" w:color="auto"/>
      </w:divBdr>
    </w:div>
    <w:div w:id="1795322190">
      <w:bodyDiv w:val="1"/>
      <w:marLeft w:val="0"/>
      <w:marRight w:val="0"/>
      <w:marTop w:val="0"/>
      <w:marBottom w:val="0"/>
      <w:divBdr>
        <w:top w:val="none" w:sz="0" w:space="0" w:color="auto"/>
        <w:left w:val="none" w:sz="0" w:space="0" w:color="auto"/>
        <w:bottom w:val="none" w:sz="0" w:space="0" w:color="auto"/>
        <w:right w:val="none" w:sz="0" w:space="0" w:color="auto"/>
      </w:divBdr>
    </w:div>
    <w:div w:id="1823696822">
      <w:bodyDiv w:val="1"/>
      <w:marLeft w:val="0"/>
      <w:marRight w:val="0"/>
      <w:marTop w:val="0"/>
      <w:marBottom w:val="0"/>
      <w:divBdr>
        <w:top w:val="none" w:sz="0" w:space="0" w:color="auto"/>
        <w:left w:val="none" w:sz="0" w:space="0" w:color="auto"/>
        <w:bottom w:val="none" w:sz="0" w:space="0" w:color="auto"/>
        <w:right w:val="none" w:sz="0" w:space="0" w:color="auto"/>
      </w:divBdr>
    </w:div>
    <w:div w:id="1878542467">
      <w:bodyDiv w:val="1"/>
      <w:marLeft w:val="0"/>
      <w:marRight w:val="0"/>
      <w:marTop w:val="0"/>
      <w:marBottom w:val="0"/>
      <w:divBdr>
        <w:top w:val="none" w:sz="0" w:space="0" w:color="auto"/>
        <w:left w:val="none" w:sz="0" w:space="0" w:color="auto"/>
        <w:bottom w:val="none" w:sz="0" w:space="0" w:color="auto"/>
        <w:right w:val="none" w:sz="0" w:space="0" w:color="auto"/>
      </w:divBdr>
    </w:div>
    <w:div w:id="1891383223">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 w:id="1962416485">
      <w:bodyDiv w:val="1"/>
      <w:marLeft w:val="0"/>
      <w:marRight w:val="0"/>
      <w:marTop w:val="0"/>
      <w:marBottom w:val="0"/>
      <w:divBdr>
        <w:top w:val="none" w:sz="0" w:space="0" w:color="auto"/>
        <w:left w:val="none" w:sz="0" w:space="0" w:color="auto"/>
        <w:bottom w:val="none" w:sz="0" w:space="0" w:color="auto"/>
        <w:right w:val="none" w:sz="0" w:space="0" w:color="auto"/>
      </w:divBdr>
    </w:div>
    <w:div w:id="1995643060">
      <w:bodyDiv w:val="1"/>
      <w:marLeft w:val="0"/>
      <w:marRight w:val="0"/>
      <w:marTop w:val="0"/>
      <w:marBottom w:val="0"/>
      <w:divBdr>
        <w:top w:val="none" w:sz="0" w:space="0" w:color="auto"/>
        <w:left w:val="none" w:sz="0" w:space="0" w:color="auto"/>
        <w:bottom w:val="none" w:sz="0" w:space="0" w:color="auto"/>
        <w:right w:val="none" w:sz="0" w:space="0" w:color="auto"/>
      </w:divBdr>
    </w:div>
    <w:div w:id="20669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agrants.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b.gov.lv/lv/jaunums/ieteikumi-pasutitajiem-sabiedrisko-pakalpojumu-sniedzejiem-un-finansejuma-sanemejiem-tirgus-izpetes-veiksan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dalas/gramatvedibas_un_revizijas_politika/gramatvedibas_politika/starptautiskie_gramatvedibas__finansu_parskatu__standarti_es/es_parnemto_starptautisko_finansu_parskatu_standartu__sfps__saraksts/55400-es-parnemto-starptautisko-finansu-parskatu-standartu-sfps-%20saraksts" TargetMode="External"/><Relationship Id="rId5" Type="http://schemas.openxmlformats.org/officeDocument/2006/relationships/numbering" Target="numbering.xml"/><Relationship Id="rId15" Type="http://schemas.openxmlformats.org/officeDocument/2006/relationships/hyperlink" Target="mailto:agnese.andzane@vara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BD8782-03A5-4339-95AE-D369D86C5370}">
  <ds:schemaRefs>
    <ds:schemaRef ds:uri="http://schemas.openxmlformats.org/officeDocument/2006/bibliography"/>
  </ds:schemaRefs>
</ds:datastoreItem>
</file>

<file path=customXml/itemProps2.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3.xml><?xml version="1.0" encoding="utf-8"?>
<ds:datastoreItem xmlns:ds="http://schemas.openxmlformats.org/officeDocument/2006/customXml" ds:itemID="{B10B9717-0D3D-4D27-AAB4-5594B587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69310-FAD1-4FA7-8B49-A03623DD33B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30035</Words>
  <Characters>17120</Characters>
  <Application>Microsoft Office Word</Application>
  <DocSecurity>0</DocSecurity>
  <Lines>142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VARAManot</vt:lpstr>
      <vt:lpstr>VARAManot</vt:lpstr>
    </vt:vector>
  </TitlesOfParts>
  <Company>Iestādes nosaukums</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dc:title>
  <dc:subject>Anotācija</dc:subject>
  <dc:creator>Agnese Andžāne</dc:creator>
  <cp:lastModifiedBy>Solvita Ciganska</cp:lastModifiedBy>
  <cp:revision>12</cp:revision>
  <cp:lastPrinted>2020-01-21T12:25:00Z</cp:lastPrinted>
  <dcterms:created xsi:type="dcterms:W3CDTF">2020-12-09T11:55:00Z</dcterms:created>
  <dcterms:modified xsi:type="dcterms:W3CDTF">2020-12-28T09:24:00Z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