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9FF3" w14:textId="682607DD" w:rsidR="008A45D1" w:rsidRPr="00825654" w:rsidRDefault="00094917" w:rsidP="008A45D1">
      <w:pPr>
        <w:pStyle w:val="ListParagraph"/>
        <w:numPr>
          <w:ilvl w:val="0"/>
          <w:numId w:val="3"/>
        </w:numPr>
        <w:tabs>
          <w:tab w:val="left" w:pos="6521"/>
          <w:tab w:val="right" w:pos="8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654">
        <w:rPr>
          <w:rFonts w:ascii="Times New Roman" w:hAnsi="Times New Roman" w:cs="Times New Roman"/>
          <w:sz w:val="28"/>
          <w:szCs w:val="28"/>
        </w:rPr>
        <w:t>pielikums</w:t>
      </w:r>
    </w:p>
    <w:p w14:paraId="4B30A26E" w14:textId="5B44418B" w:rsidR="00094917" w:rsidRPr="00825654" w:rsidRDefault="00094917" w:rsidP="008A45D1">
      <w:pPr>
        <w:pStyle w:val="ListParagraph"/>
        <w:tabs>
          <w:tab w:val="left" w:pos="6521"/>
          <w:tab w:val="right" w:pos="8820"/>
        </w:tabs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726452"/>
      <w:bookmarkStart w:id="1" w:name="n-726452"/>
      <w:bookmarkEnd w:id="0"/>
      <w:bookmarkEnd w:id="1"/>
      <w:r w:rsidRPr="00825654">
        <w:rPr>
          <w:rFonts w:ascii="Times New Roman" w:hAnsi="Times New Roman" w:cs="Times New Roman"/>
          <w:sz w:val="28"/>
          <w:szCs w:val="28"/>
        </w:rPr>
        <w:t>Ministru kabineta</w:t>
      </w:r>
    </w:p>
    <w:p w14:paraId="23D4369F" w14:textId="00E14EEC" w:rsidR="00094917" w:rsidRPr="00825654" w:rsidRDefault="00094917" w:rsidP="00094917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5654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DB2E2E" w:rsidRPr="00DB2E2E">
        <w:rPr>
          <w:rFonts w:ascii="Times New Roman" w:hAnsi="Times New Roman" w:cs="Times New Roman"/>
          <w:sz w:val="28"/>
          <w:szCs w:val="28"/>
        </w:rPr>
        <w:t>28. janvār</w:t>
      </w:r>
      <w:r w:rsidR="00DB2E2E" w:rsidRPr="00DB2E2E">
        <w:rPr>
          <w:rFonts w:ascii="Times New Roman" w:hAnsi="Times New Roman" w:cs="Times New Roman"/>
          <w:sz w:val="28"/>
          <w:szCs w:val="28"/>
        </w:rPr>
        <w:t>a</w:t>
      </w:r>
    </w:p>
    <w:p w14:paraId="1F403161" w14:textId="0845FA3E" w:rsidR="00094917" w:rsidRPr="00825654" w:rsidRDefault="00094917" w:rsidP="000949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654">
        <w:rPr>
          <w:rFonts w:ascii="Times New Roman" w:hAnsi="Times New Roman" w:cs="Times New Roman"/>
          <w:sz w:val="28"/>
          <w:szCs w:val="28"/>
        </w:rPr>
        <w:t>noteikumiem Nr. </w:t>
      </w:r>
      <w:r w:rsidR="00DB2E2E">
        <w:rPr>
          <w:rFonts w:ascii="Times New Roman" w:hAnsi="Times New Roman" w:cs="Times New Roman"/>
          <w:sz w:val="28"/>
          <w:szCs w:val="28"/>
        </w:rPr>
        <w:t>64</w:t>
      </w:r>
      <w:bookmarkStart w:id="2" w:name="_GoBack"/>
      <w:bookmarkEnd w:id="2"/>
    </w:p>
    <w:p w14:paraId="2BB3337C" w14:textId="77777777" w:rsidR="00711E89" w:rsidRPr="00825654" w:rsidRDefault="00711E89" w:rsidP="00EB3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D19FCDD" w14:textId="30B5908E" w:rsidR="009A4A9D" w:rsidRPr="00825654" w:rsidRDefault="009A4A9D" w:rsidP="009A4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Videi kaitīgu preču atkritumu savākšanas, sagatavošanas atkārtotai izmantošanai vai </w:t>
      </w: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 xml:space="preserve">pārstrādes un reģenerācijas apjomi </w:t>
      </w:r>
    </w:p>
    <w:p w14:paraId="407758EC" w14:textId="77777777" w:rsidR="009A4A9D" w:rsidRPr="00825654" w:rsidRDefault="009A4A9D" w:rsidP="009A4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14CADE49" w14:textId="2D53B044" w:rsidR="005C3C62" w:rsidRPr="00825654" w:rsidRDefault="005C3C62" w:rsidP="00E2386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Videi kaitīgu preču atkritumu </w:t>
      </w:r>
      <w:r w:rsidR="00F80CD4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savākšanas un </w:t>
      </w: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reģenerācijas apjomi</w:t>
      </w:r>
      <w:r w:rsidR="007F0A20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(izņemot riepas)</w:t>
      </w: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(%)</w:t>
      </w:r>
    </w:p>
    <w:p w14:paraId="7622BA58" w14:textId="77777777" w:rsidR="00E23863" w:rsidRPr="00825654" w:rsidRDefault="00E23863" w:rsidP="00E23863">
      <w:pPr>
        <w:pStyle w:val="ListParagraph"/>
        <w:shd w:val="clear" w:color="auto" w:fill="FFFFFF"/>
        <w:spacing w:after="120" w:line="240" w:lineRule="auto"/>
        <w:ind w:left="6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568"/>
        <w:gridCol w:w="3827"/>
        <w:gridCol w:w="3922"/>
      </w:tblGrid>
      <w:tr w:rsidR="003F617B" w:rsidRPr="00825654" w14:paraId="4BD40AC2" w14:textId="77777777" w:rsidTr="004F38AF">
        <w:trPr>
          <w:trHeight w:val="20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56904F" w14:textId="77777777" w:rsidR="004F44B3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</w:p>
          <w:p w14:paraId="45BE5FE0" w14:textId="16EB10BA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k.</w:t>
            </w:r>
          </w:p>
          <w:p w14:paraId="3370E78C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6FB12A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Videi kaitīgas preces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0EC60CB" w14:textId="5085D759" w:rsidR="003F617B" w:rsidRPr="00825654" w:rsidRDefault="003F617B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Videi kaitīgu preču atkritumu pieņemšanas vai savākšanas apjomi līdz 31. decembrim (%) attiecībā pret attiecīgajā gadā realizēto vai savas saimnieciskās darbības nodrošināšanai ievesto un izmantoto videi kaitīgu preču apjomu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49F8A1" w14:textId="32911510" w:rsidR="003F617B" w:rsidRPr="00825654" w:rsidRDefault="003F617B" w:rsidP="0056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Videi kaitīgu preču atkritumu reģenerētie (ta</w:t>
            </w:r>
            <w:r w:rsidR="005623F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skaitā atkārtotai izmantošanai sagatavotie un pārstrādātie) apjomi līdz 31. decembrim (%) attiecībā pret attiecīgajā gadā pieņemto vai savākto (pārstrādes iekārtā nogādāto) videi kaitīgu preču atkritumu apjomu</w:t>
            </w:r>
          </w:p>
        </w:tc>
      </w:tr>
      <w:tr w:rsidR="003F617B" w:rsidRPr="00825654" w14:paraId="656E0BA6" w14:textId="77777777" w:rsidTr="004F38A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E6111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E81AB" w14:textId="77777777" w:rsidR="003F617B" w:rsidRPr="00825654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Smēreļļas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26DBF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90052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</w:tr>
      <w:tr w:rsidR="003F617B" w:rsidRPr="00825654" w14:paraId="053C218C" w14:textId="77777777" w:rsidTr="004F38A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1D28B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70646" w14:textId="77777777" w:rsidR="003F617B" w:rsidRPr="00825654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 xml:space="preserve">Ozona slāni noārdošās vielas (piemēram, freoni, </w:t>
            </w:r>
            <w:proofErr w:type="spellStart"/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haloni</w:t>
            </w:r>
            <w:proofErr w:type="spellEnd"/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), par kurām jāmaksā dabas resursu nodoklis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27F60F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78AFF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</w:tr>
      <w:tr w:rsidR="003F617B" w:rsidRPr="00825654" w14:paraId="35A0C36D" w14:textId="77777777" w:rsidTr="004F38A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E2629" w14:textId="00B2CE86" w:rsidR="003F617B" w:rsidRPr="00825654" w:rsidRDefault="007F0A20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3F617B" w:rsidRPr="0082565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D7C0" w14:textId="77777777" w:rsidR="003F617B" w:rsidRPr="00825654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Eļļas filtri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68E66A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C2914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</w:tr>
    </w:tbl>
    <w:p w14:paraId="588C0AA7" w14:textId="77777777" w:rsidR="00A97CAA" w:rsidRPr="00825654" w:rsidRDefault="00A97CAA" w:rsidP="004F44B3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B7C1069" w14:textId="707F16E5" w:rsidR="003315D4" w:rsidRPr="00825654" w:rsidRDefault="003315D4" w:rsidP="004F44B3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 Nolietotu visu veidu riepu savākšanas un reģenerācijas apjomi (%)</w:t>
      </w:r>
    </w:p>
    <w:p w14:paraId="2765408E" w14:textId="77777777" w:rsidR="004F44B3" w:rsidRPr="00825654" w:rsidRDefault="004F44B3" w:rsidP="004F44B3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554"/>
        <w:gridCol w:w="1673"/>
        <w:gridCol w:w="1842"/>
        <w:gridCol w:w="1842"/>
        <w:gridCol w:w="1277"/>
        <w:gridCol w:w="2268"/>
        <w:gridCol w:w="1843"/>
        <w:gridCol w:w="1701"/>
      </w:tblGrid>
      <w:tr w:rsidR="00B432BE" w:rsidRPr="00825654" w14:paraId="64898DC8" w14:textId="7A79498B" w:rsidTr="005623F2">
        <w:tc>
          <w:tcPr>
            <w:tcW w:w="8188" w:type="dxa"/>
            <w:gridSpan w:val="5"/>
            <w:vAlign w:val="center"/>
          </w:tcPr>
          <w:p w14:paraId="618E9317" w14:textId="53F97ED1" w:rsidR="00727055" w:rsidRPr="00825654" w:rsidRDefault="00727055" w:rsidP="00562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Nolietotu riepu pieņemšanas vai savākšanas apjoms līdz 31. decembrim (%) attiecībā pret attiecīgajā gadā realizēto vai savas saimnieciskās darbības nodrošināšanai ie</w:t>
            </w:r>
            <w:r w:rsidR="005623F2"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vesto un izmantoto riepu apjomu</w:t>
            </w: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22678C84" w14:textId="2C56744E" w:rsidR="00727055" w:rsidRPr="00825654" w:rsidRDefault="00727055" w:rsidP="005623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Nolietotu riepu reģenerētie (ta</w:t>
            </w:r>
            <w:r w:rsidR="005623F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skaitā atkārtotai izmantošanai sagatavotie un </w:t>
            </w: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pārstrādātie) apjomi līdz 31. decembrim (%) attiecībā pret attiecīgajā gadā pieņemto vai savākto (pārstrādes iekārtā nogādāto) nolietotu riepu apjomu</w:t>
            </w: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5ADB871" w14:textId="79865F25" w:rsidR="00727055" w:rsidRPr="00825654" w:rsidRDefault="00727055" w:rsidP="005623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līdz 2020. gada 31. decembrim</w:t>
            </w:r>
          </w:p>
        </w:tc>
        <w:tc>
          <w:tcPr>
            <w:tcW w:w="3544" w:type="dxa"/>
            <w:gridSpan w:val="2"/>
            <w:vAlign w:val="center"/>
          </w:tcPr>
          <w:p w14:paraId="1A076384" w14:textId="4738436F" w:rsidR="00727055" w:rsidRPr="00825654" w:rsidRDefault="00D131B3" w:rsidP="00562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Nolietotu riepu reģenerētie (ta</w:t>
            </w:r>
            <w:r w:rsidR="005623F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skaitā atkārtotai izmantošanai sagatavotie un pārstrādātie) apjomi līdz 31. decembrim (%) attiecībā pret attiecīgajā gadā </w:t>
            </w: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pieņemto vai savākto (pārstrādes iekārtā nogādāto) nolietotu riepu apjomu</w:t>
            </w: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B432BE" w:rsidRPr="00825654" w14:paraId="0F146D72" w14:textId="64E00F15" w:rsidTr="005623F2">
        <w:tc>
          <w:tcPr>
            <w:tcW w:w="1554" w:type="dxa"/>
          </w:tcPr>
          <w:p w14:paraId="0C111D7B" w14:textId="0D4D78E4" w:rsidR="00727055" w:rsidRPr="00825654" w:rsidRDefault="00727055" w:rsidP="005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līdz 202</w:t>
            </w:r>
            <w:r w:rsidR="005C5E95"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 gada 30</w:t>
            </w: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 </w:t>
            </w:r>
            <w:r w:rsidR="005C5E95"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jūnijam</w:t>
            </w:r>
          </w:p>
        </w:tc>
        <w:tc>
          <w:tcPr>
            <w:tcW w:w="1673" w:type="dxa"/>
          </w:tcPr>
          <w:p w14:paraId="07A4B9C6" w14:textId="22C6FC29" w:rsidR="00727055" w:rsidRPr="00825654" w:rsidRDefault="00727055" w:rsidP="005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2021. gada 1. j</w:t>
            </w:r>
            <w:r w:rsidR="005C5E95"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ūlija </w:t>
            </w: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līdz 2022. gada 31. decembrim</w:t>
            </w:r>
          </w:p>
        </w:tc>
        <w:tc>
          <w:tcPr>
            <w:tcW w:w="1842" w:type="dxa"/>
          </w:tcPr>
          <w:p w14:paraId="55779C59" w14:textId="046D27DF" w:rsidR="00727055" w:rsidRPr="00825654" w:rsidRDefault="00727055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2023. gada 1. janvāra līdz 2024. gada 31. decembrim</w:t>
            </w:r>
          </w:p>
        </w:tc>
        <w:tc>
          <w:tcPr>
            <w:tcW w:w="1842" w:type="dxa"/>
          </w:tcPr>
          <w:p w14:paraId="68B5DDBE" w14:textId="20A5B10E" w:rsidR="00727055" w:rsidRPr="00825654" w:rsidRDefault="00727055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2025. gada 1. janvāra līdz 2025. gada 31. decembrim</w:t>
            </w:r>
          </w:p>
        </w:tc>
        <w:tc>
          <w:tcPr>
            <w:tcW w:w="1277" w:type="dxa"/>
          </w:tcPr>
          <w:p w14:paraId="2408B2F1" w14:textId="488623F2" w:rsidR="00727055" w:rsidRPr="00825654" w:rsidRDefault="00727055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2026. gada 1. janvāra</w:t>
            </w:r>
          </w:p>
        </w:tc>
        <w:tc>
          <w:tcPr>
            <w:tcW w:w="2268" w:type="dxa"/>
            <w:vMerge/>
            <w:vAlign w:val="center"/>
          </w:tcPr>
          <w:p w14:paraId="7CC5971F" w14:textId="41F30084" w:rsidR="00727055" w:rsidRPr="00825654" w:rsidRDefault="00727055" w:rsidP="005623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43437CB8" w14:textId="0104EA52" w:rsidR="00727055" w:rsidRPr="00825654" w:rsidRDefault="00D131B3" w:rsidP="005623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līdz 2021. gada 30. jūnijam</w:t>
            </w:r>
          </w:p>
        </w:tc>
        <w:tc>
          <w:tcPr>
            <w:tcW w:w="1701" w:type="dxa"/>
            <w:vAlign w:val="center"/>
          </w:tcPr>
          <w:p w14:paraId="02AF9696" w14:textId="2896FE39" w:rsidR="00727055" w:rsidRPr="00825654" w:rsidRDefault="008B11B3" w:rsidP="005623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2021. gada 1. jūlija</w:t>
            </w:r>
          </w:p>
        </w:tc>
      </w:tr>
      <w:tr w:rsidR="00B432BE" w:rsidRPr="00825654" w14:paraId="0F26ACD0" w14:textId="24E7C354" w:rsidTr="00727055">
        <w:tc>
          <w:tcPr>
            <w:tcW w:w="1554" w:type="dxa"/>
          </w:tcPr>
          <w:p w14:paraId="1DB776A6" w14:textId="0DEA3195" w:rsidR="003315D4" w:rsidRPr="00825654" w:rsidRDefault="003315D4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3" w:type="dxa"/>
          </w:tcPr>
          <w:p w14:paraId="224F75AE" w14:textId="6BB465D8" w:rsidR="003315D4" w:rsidRPr="00825654" w:rsidRDefault="003315D4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842" w:type="dxa"/>
          </w:tcPr>
          <w:p w14:paraId="5D62509A" w14:textId="4BAE318A" w:rsidR="003315D4" w:rsidRPr="00825654" w:rsidRDefault="003315D4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842" w:type="dxa"/>
          </w:tcPr>
          <w:p w14:paraId="1FBB0D39" w14:textId="27EB4B56" w:rsidR="003315D4" w:rsidRPr="00825654" w:rsidRDefault="003315D4" w:rsidP="00CA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</w:tcPr>
          <w:p w14:paraId="65F6FF0C" w14:textId="5F7CFEFF" w:rsidR="003315D4" w:rsidRPr="00825654" w:rsidRDefault="003315D4" w:rsidP="00CA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4FA36A2B" w14:textId="77777777" w:rsidR="003315D4" w:rsidRPr="00825654" w:rsidRDefault="003315D4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4B2CC24C" w14:textId="14A68AF4" w:rsidR="003315D4" w:rsidRPr="00825654" w:rsidRDefault="00D131B3" w:rsidP="003315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701" w:type="dxa"/>
          </w:tcPr>
          <w:p w14:paraId="6A3D276F" w14:textId="00588CE8" w:rsidR="003315D4" w:rsidRPr="00825654" w:rsidRDefault="003315D4" w:rsidP="00CA25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256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492BFE6F" w14:textId="77777777" w:rsidR="00A97CAA" w:rsidRPr="00825654" w:rsidRDefault="00A97CAA" w:rsidP="005B001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7CCCB9B" w14:textId="4B7C286D" w:rsidR="00A97CAA" w:rsidRPr="00825654" w:rsidRDefault="00A97CAA" w:rsidP="00562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6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1 </w:t>
      </w:r>
      <w:r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Pr="00825654">
        <w:rPr>
          <w:rFonts w:ascii="Times New Roman" w:hAnsi="Times New Roman"/>
          <w:sz w:val="24"/>
          <w:szCs w:val="24"/>
        </w:rPr>
        <w:t>2021. gada līdz 2025. gadam nolietotu riepu pieņemt</w:t>
      </w:r>
      <w:r w:rsidR="005623F2" w:rsidRPr="00825654">
        <w:rPr>
          <w:rFonts w:ascii="Times New Roman" w:hAnsi="Times New Roman"/>
          <w:sz w:val="24"/>
          <w:szCs w:val="24"/>
        </w:rPr>
        <w:t>aj</w:t>
      </w:r>
      <w:r w:rsidRPr="00825654">
        <w:rPr>
          <w:rFonts w:ascii="Times New Roman" w:hAnsi="Times New Roman"/>
          <w:sz w:val="24"/>
          <w:szCs w:val="24"/>
        </w:rPr>
        <w:t>ā vai savākt</w:t>
      </w:r>
      <w:r w:rsidR="005623F2" w:rsidRPr="00825654">
        <w:rPr>
          <w:rFonts w:ascii="Times New Roman" w:hAnsi="Times New Roman"/>
          <w:sz w:val="24"/>
          <w:szCs w:val="24"/>
        </w:rPr>
        <w:t>aj</w:t>
      </w:r>
      <w:r w:rsidRPr="00825654">
        <w:rPr>
          <w:rFonts w:ascii="Times New Roman" w:hAnsi="Times New Roman"/>
          <w:sz w:val="24"/>
          <w:szCs w:val="24"/>
        </w:rPr>
        <w:t xml:space="preserve">ā apjomā ieskaita </w:t>
      </w:r>
      <w:r w:rsidR="005C5E95" w:rsidRPr="00825654">
        <w:rPr>
          <w:rFonts w:ascii="Times New Roman" w:hAnsi="Times New Roman"/>
          <w:sz w:val="24"/>
          <w:szCs w:val="24"/>
        </w:rPr>
        <w:t xml:space="preserve">arī </w:t>
      </w:r>
      <w:r w:rsidRPr="00825654">
        <w:rPr>
          <w:rFonts w:ascii="Times New Roman" w:hAnsi="Times New Roman"/>
          <w:sz w:val="24"/>
          <w:szCs w:val="24"/>
        </w:rPr>
        <w:t xml:space="preserve">iepriekšējos gados Latvijas Republikas teritorijā </w:t>
      </w:r>
      <w:proofErr w:type="gramStart"/>
      <w:r w:rsidRPr="00825654">
        <w:rPr>
          <w:rFonts w:ascii="Times New Roman" w:hAnsi="Times New Roman"/>
          <w:sz w:val="24"/>
          <w:szCs w:val="24"/>
        </w:rPr>
        <w:t>uzkrāto nolietotu riepu</w:t>
      </w:r>
      <w:proofErr w:type="gramEnd"/>
      <w:r w:rsidRPr="00825654">
        <w:rPr>
          <w:rFonts w:ascii="Times New Roman" w:hAnsi="Times New Roman"/>
          <w:sz w:val="24"/>
          <w:szCs w:val="24"/>
        </w:rPr>
        <w:t xml:space="preserve"> apjomu no vietām, par kurām ir informācija Valsts vides dienestā un ko apliecina </w:t>
      </w:r>
      <w:r w:rsidR="009A4A9D" w:rsidRPr="00825654">
        <w:rPr>
          <w:rFonts w:ascii="Times New Roman" w:hAnsi="Times New Roman"/>
          <w:sz w:val="24"/>
          <w:szCs w:val="24"/>
        </w:rPr>
        <w:t xml:space="preserve">pēc </w:t>
      </w:r>
      <w:r w:rsidRPr="00825654">
        <w:rPr>
          <w:rFonts w:ascii="Times New Roman" w:hAnsi="Times New Roman"/>
          <w:sz w:val="24"/>
          <w:szCs w:val="24"/>
        </w:rPr>
        <w:t>Valsts vides dienesta kontroles sagatavots dokuments.</w:t>
      </w:r>
    </w:p>
    <w:p w14:paraId="46ABC6A2" w14:textId="1E75464A" w:rsidR="00A97CAA" w:rsidRPr="00825654" w:rsidRDefault="00A97CAA" w:rsidP="00562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56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 Nolietotu riepu pārstrādes veicējam jānodrošina atbilstība normatīvaj</w:t>
      </w:r>
      <w:r w:rsidR="005623F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</w:t>
      </w:r>
      <w:r w:rsidR="005623F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atkritumu statusa piemērošanas izbeigšanu gumijas materiāliem, kas iegūti no nolietotām riepām.</w:t>
      </w:r>
    </w:p>
    <w:p w14:paraId="21C3E2D1" w14:textId="77777777" w:rsidR="00A97CAA" w:rsidRPr="00825654" w:rsidRDefault="00A97CAA" w:rsidP="005623F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47E565C" w14:textId="6AC240E6" w:rsidR="005C3C62" w:rsidRPr="00825654" w:rsidRDefault="00E90C22" w:rsidP="005623F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D24502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5C3C62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Bateriju un akumulatoru atkritumu savākšanas un pārstrādes apjomi (%)</w:t>
      </w:r>
    </w:p>
    <w:p w14:paraId="56F956CB" w14:textId="77777777" w:rsidR="005623F2" w:rsidRPr="00825654" w:rsidRDefault="005623F2" w:rsidP="005623F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4575"/>
        <w:gridCol w:w="4819"/>
        <w:gridCol w:w="3922"/>
      </w:tblGrid>
      <w:tr w:rsidR="003F617B" w:rsidRPr="00825654" w14:paraId="57763BFC" w14:textId="77777777" w:rsidTr="00684D1F">
        <w:trPr>
          <w:trHeight w:val="123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BFC167" w14:textId="77777777" w:rsidR="005623F2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</w:p>
          <w:p w14:paraId="6DC3D3D9" w14:textId="026B5A1F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k.</w:t>
            </w:r>
          </w:p>
          <w:p w14:paraId="0CA3102A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FD720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Videi kaitīgas preces – elektriskie akumulatori un galvaniskie strāvas avoti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2DCC57D" w14:textId="20CA5F7C" w:rsidR="003F617B" w:rsidRPr="00825654" w:rsidRDefault="003F617B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Bateriju un akumulatoru atkritumu pieņemšanas vai savākšanas apjomi līdz 31. decembrim (%) attiecībā pret attiecīgajā gadā realizēto vai savas saimnieciskās darbības nodrošināšanai ievesto un izmantoto bateriju un akumulatoru apjomu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90FE3C" w14:textId="1C48903D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Pārstrādātais bateriju un akumulatoru atkritumu apjoms līdz 31. decembrim (%) attiecībā pret attiecīgajā gadā pieņemto vai savākto (pārstrādes iekārtā nogādāto) bateriju un akumulatoru atkritumu apjomu</w:t>
            </w:r>
            <w:r w:rsidR="009B7420" w:rsidRPr="00825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3F617B" w:rsidRPr="00825654" w14:paraId="629004E1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E211A0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AF5E1" w14:textId="77777777" w:rsidR="003F617B" w:rsidRPr="00825654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Svinu saturoši elektriskie akumulatori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8271FE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BE5E9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</w:tr>
      <w:tr w:rsidR="003F617B" w:rsidRPr="00825654" w14:paraId="0E21026C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81D2E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447B4" w14:textId="212BD6CB" w:rsidR="003F617B" w:rsidRPr="00825654" w:rsidRDefault="00D4645D" w:rsidP="00D4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Elektriskie akumulatori (</w:t>
            </w:r>
            <w:proofErr w:type="spellStart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Ni-Cd</w:t>
            </w:r>
            <w:r w:rsidR="003F617B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proofErr w:type="spellEnd"/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E3A75D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869D6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3F617B" w:rsidRPr="00825654" w14:paraId="659DD99A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6AE3F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76587" w14:textId="77777777" w:rsidR="003F617B" w:rsidRPr="00825654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Galvaniskie elementi un galvaniskās baterijas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5FCA9A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C55A1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3F617B" w:rsidRPr="00825654" w14:paraId="34D11061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1DA29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B4258" w14:textId="77777777" w:rsidR="003F617B" w:rsidRPr="00825654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elektriskie akumulatori</w:t>
            </w:r>
            <w:proofErr w:type="gramEnd"/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859087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682B5" w14:textId="77777777" w:rsidR="003F617B" w:rsidRPr="00825654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</w:tbl>
    <w:p w14:paraId="08429D44" w14:textId="77777777" w:rsidR="00825654" w:rsidRDefault="00825654" w:rsidP="00770F1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6E1CAC" w14:textId="7E9800E2" w:rsidR="00995F23" w:rsidRPr="00825654" w:rsidRDefault="005C3C62" w:rsidP="00770F1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Piezīme.</w:t>
      </w:r>
    </w:p>
    <w:p w14:paraId="424EDE9B" w14:textId="5D9A63AD" w:rsidR="005C3C62" w:rsidRPr="00825654" w:rsidRDefault="009B7420" w:rsidP="00770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56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="00A52FF0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C3C6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Bateriju un akumulatoru pārstrādes procesu efektivitāti nosaka atb</w:t>
      </w:r>
      <w:r w:rsidR="00146C46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ilstoši Eiropas Komisijas 2012. </w:t>
      </w:r>
      <w:r w:rsidR="005C3C6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11.</w:t>
      </w:r>
      <w:r w:rsidR="00146C46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C3C6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 Regulai Nr. 493/2012, ar ko saskaņā ar Eiropas Parlamenta un Padomes Direktīvu </w:t>
      </w:r>
      <w:hyperlink r:id="rId8" w:tgtFrame="_blank" w:history="1">
        <w:r w:rsidR="005C3C62" w:rsidRPr="008256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2006/66/EK</w:t>
        </w:r>
      </w:hyperlink>
      <w:r w:rsidR="005B0018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3C6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 sīki izstrādātus noteikumus attiecībā uz bateriju un akumulatoru atkritumu pārstrādes procesu pārstrādes </w:t>
      </w:r>
      <w:proofErr w:type="spellStart"/>
      <w:r w:rsidR="005C3C6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mērķlielumu</w:t>
      </w:r>
      <w:proofErr w:type="spellEnd"/>
      <w:r w:rsidR="005C3C62" w:rsidRPr="00825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aprēķināšanu.</w:t>
      </w:r>
    </w:p>
    <w:p w14:paraId="49761EC2" w14:textId="77777777" w:rsidR="003F617B" w:rsidRPr="00825654" w:rsidRDefault="003F617B" w:rsidP="00EB3A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560B318" w14:textId="4212B789" w:rsidR="005C3C62" w:rsidRDefault="00E90C22" w:rsidP="00EB3ACF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</w:t>
      </w:r>
      <w:r w:rsidR="005C3C62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Elektrisko un elektronisko iekārtu savākšanas, sagata</w:t>
      </w:r>
      <w:r w:rsidR="00B72F56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vošanas atkārtotai izmantošanai vai</w:t>
      </w:r>
      <w:r w:rsidR="005C3C62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23863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5C3C62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pārstrā</w:t>
      </w:r>
      <w:r w:rsidR="004F38AF" w:rsidRPr="008256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des un reģenerācijas apjomi (%)</w:t>
      </w:r>
    </w:p>
    <w:p w14:paraId="6317EB84" w14:textId="77777777" w:rsidR="00825654" w:rsidRPr="00825654" w:rsidRDefault="00825654" w:rsidP="00EB3ACF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659"/>
        <w:gridCol w:w="1925"/>
        <w:gridCol w:w="1737"/>
        <w:gridCol w:w="2989"/>
        <w:gridCol w:w="3112"/>
      </w:tblGrid>
      <w:tr w:rsidR="00367C69" w:rsidRPr="00825654" w14:paraId="7335E2FA" w14:textId="77777777" w:rsidTr="00770F12">
        <w:trPr>
          <w:trHeight w:val="450"/>
        </w:trPr>
        <w:tc>
          <w:tcPr>
            <w:tcW w:w="21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C37EBA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3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E18BB3" w14:textId="77C71C1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Videi kaitīgas preces – elektriskās un elektroniskās iekārtas atbilstoši normatīvajiem aktiem par elektrisko un elektronisko iekārtu kategorijām un marķēšanas prasībām un šo iekārtu atkritumu apsaimniekošanas prasībām un kārtību</w:t>
            </w:r>
            <w:r w:rsidR="009B7420" w:rsidRPr="00825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B91B9B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Elektrisko un </w:t>
            </w:r>
            <w:proofErr w:type="gramStart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iekārtu atkritumu</w:t>
            </w:r>
            <w:proofErr w:type="gramEnd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pieņemšanas vai savākšanas apjomi līdz 31. decembrim (%) attiecībā pret attiecīgajā gadā realizēto vai savas saimnieciskās darbības nodrošināšanai ievesto un izmantoto elektrisko un elektronisko iekārtu apjomu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8D21E8" w14:textId="0EBDCB73" w:rsidR="005C3C62" w:rsidRPr="00825654" w:rsidRDefault="005C3C62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Elektrisko un </w:t>
            </w:r>
            <w:proofErr w:type="gramStart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iekārtu atkritumu</w:t>
            </w:r>
            <w:proofErr w:type="gramEnd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apjomi, kas sagatavoti atkārtotai izmantošanai vai pārstrādāti līdz 31. decembrim (%), attiecībā pret attiecīgajā gadā pieņemto vai savākto (pārstrādes iekārtā nogādāto) elektrisko un elektronisko iekārtu atkritumu apjomu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90E1DF" w14:textId="2232C57C" w:rsidR="005C3C62" w:rsidRPr="00825654" w:rsidRDefault="005C3C62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Elektrisko un </w:t>
            </w:r>
            <w:proofErr w:type="gramStart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iekārtu atkritumu</w:t>
            </w:r>
            <w:proofErr w:type="gramEnd"/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reģenerētie (tajā skaitā atkārtotai izmantošanai sagatavotie un pārstrādātie) apjomi līdz 31. decembrim (%) attiecībā pret attiecīgajā gadā pieņemto vai savākto (pārstrādes iekārtā nogādāto) elektrisko un elektronisko iekārtu atkritumu apjomu</w:t>
            </w:r>
          </w:p>
        </w:tc>
      </w:tr>
      <w:tr w:rsidR="00772256" w:rsidRPr="00825654" w14:paraId="1923AB28" w14:textId="77777777" w:rsidTr="00770F12">
        <w:trPr>
          <w:trHeight w:val="450"/>
        </w:trPr>
        <w:tc>
          <w:tcPr>
            <w:tcW w:w="21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518F26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D883C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04123" w14:textId="43BC0675" w:rsidR="005C3C62" w:rsidRPr="00825654" w:rsidRDefault="005863A9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īdz 202</w:t>
            </w:r>
            <w:r w:rsidR="00772256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gada 3</w:t>
            </w:r>
            <w:r w:rsidR="00772256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772256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jūnijam 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F9F4D" w14:textId="28C2F272" w:rsidR="00772256" w:rsidRPr="00825654" w:rsidRDefault="00772256" w:rsidP="005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2021. gada 1. jūlija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F20AB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0515D6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256" w:rsidRPr="00825654" w14:paraId="25CD0969" w14:textId="77777777" w:rsidTr="00770F12">
        <w:trPr>
          <w:trHeight w:val="450"/>
        </w:trPr>
        <w:tc>
          <w:tcPr>
            <w:tcW w:w="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9CD1D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EE921F" w14:textId="0D42DB43" w:rsidR="005C3C62" w:rsidRPr="00825654" w:rsidRDefault="00506BCD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 kategorija. 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Temperatūras maiņas iekārtas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89F22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D9618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40025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654B9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772256" w:rsidRPr="00825654" w14:paraId="595375CA" w14:textId="77777777" w:rsidTr="00770F12">
        <w:trPr>
          <w:trHeight w:val="450"/>
        </w:trPr>
        <w:tc>
          <w:tcPr>
            <w:tcW w:w="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ED092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43931" w14:textId="13EF2C93" w:rsidR="005C3C62" w:rsidRPr="00825654" w:rsidRDefault="00506BCD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 kategorija. 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Ekrāni, monitori un iekārtas ar ekrānu, kura virsmas laukums ir lielāks nekā 100</w:t>
            </w:r>
            <w:r w:rsidR="005B0018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cm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309EF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0D67D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149E2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C4016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772256" w:rsidRPr="00825654" w14:paraId="764D2270" w14:textId="77777777" w:rsidTr="00770F12">
        <w:trPr>
          <w:trHeight w:val="450"/>
        </w:trPr>
        <w:tc>
          <w:tcPr>
            <w:tcW w:w="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AB280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EDCD2" w14:textId="11C28EC6" w:rsidR="005C3C62" w:rsidRPr="00825654" w:rsidRDefault="00506BCD" w:rsidP="0050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 kategorija. 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Spuldzes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A5C19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C1601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505EC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0F53E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72256" w:rsidRPr="00825654" w14:paraId="494EDBF1" w14:textId="77777777" w:rsidTr="00770F12">
        <w:trPr>
          <w:trHeight w:val="450"/>
        </w:trPr>
        <w:tc>
          <w:tcPr>
            <w:tcW w:w="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F1781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56A3C" w14:textId="18DA1E4C" w:rsidR="00DC14AC" w:rsidRPr="00825654" w:rsidRDefault="00506BCD" w:rsidP="00CD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 kategorija. 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 izmēra iekārtas (vismaz viens ārējais izmērs pārsniedz 50 cm), </w:t>
            </w:r>
            <w:r w:rsidR="00A321F6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mājsaimniecības preces, informācijas tehnoloģiju un telesakaru iekārtas, 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patērētāju iekārtas, gaismekļi,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skaņu vai attēlu demonstrē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jošas iekārtas, mūzikas ierīces,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elektri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 un elektroniski instrumenti,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rotaļlietas,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izklaides un sporta aprīkojums, medicīnas ierīces,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monitoringa un kontroles 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instrumenti, automātiskie sadalītāji,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ierīces elektriskās strāvas ražošanai</w:t>
            </w:r>
            <w:r w:rsidR="00DC14AC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citas iekārtas (izņemot 1., 2. un 3.</w:t>
            </w:r>
            <w:r w:rsidR="005B0018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C14AC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tegorijā ietilpstošās iekārtas)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94662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DD520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5F6F5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FCFAD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772256" w:rsidRPr="00825654" w14:paraId="3D97AA5F" w14:textId="77777777" w:rsidTr="00770F12">
        <w:tc>
          <w:tcPr>
            <w:tcW w:w="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879F3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B5177" w14:textId="43E8BE52" w:rsidR="00DC14AC" w:rsidRPr="00825654" w:rsidRDefault="00506BCD" w:rsidP="00CD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 kategorija. 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 izmēra iekārtas (neviens ārējais izmērs nepārsniedz 50 cm), </w:t>
            </w:r>
            <w:r w:rsidR="00A321F6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mājsaimniecības preces, patērētāju iekārtas, gaismekļi,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skaņu vai attēlu demonstrē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jošas iekārtas, mūzikas ierīces,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elektris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ki un elektroniski instrumenti, 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rotaļlietas, izklaides un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sporta aprīkojums, medicīnas ierīces,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monit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oringa un kontroles instrumenti, automātiskie sadalītāji,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ierīces elektriskās strāvas ražošanai</w:t>
            </w:r>
            <w:r w:rsidR="00DC14AC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60C1D"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citas iekārtas</w:t>
            </w:r>
            <w:r w:rsidR="00F60C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14AC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(izņemot 1., 2., 3. un 6.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C14AC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</w:t>
            </w:r>
            <w:r w:rsidR="00CD7B83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tegorijā ietilpstošās iekārtas)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A6D1E" w14:textId="1EC7171A" w:rsidR="00E50A44" w:rsidRPr="00825654" w:rsidRDefault="005C3C62" w:rsidP="003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40,5</w:t>
            </w:r>
          </w:p>
          <w:p w14:paraId="5D28CE5F" w14:textId="77777777" w:rsidR="005C3C62" w:rsidRPr="00825654" w:rsidRDefault="005C3C62" w:rsidP="00EB3AC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81EE61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2A6DF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8BC97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772256" w:rsidRPr="00825654" w14:paraId="4A2FEA71" w14:textId="77777777" w:rsidTr="00770F12">
        <w:tc>
          <w:tcPr>
            <w:tcW w:w="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FDD38" w14:textId="77777777" w:rsidR="005C3C62" w:rsidRPr="00825654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869DF7" w14:textId="051D5762" w:rsidR="005C3C62" w:rsidRPr="00825654" w:rsidRDefault="00506BCD" w:rsidP="0050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 kategorija. 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Mazas </w:t>
            </w:r>
            <w:r w:rsidR="00655045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</w:t>
            </w:r>
            <w:r w:rsidR="005C3C62"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telekomunikāciju iekārtas (neviens ārējais izmērs nepārsniedz 50 cm)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66C081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40269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D3F0D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8A572" w14:textId="77777777" w:rsidR="005C3C62" w:rsidRPr="00825654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</w:tbl>
    <w:p w14:paraId="50A48408" w14:textId="77777777" w:rsidR="009A4A9D" w:rsidRPr="00825654" w:rsidRDefault="009A4A9D" w:rsidP="0065504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49605D67" w14:textId="77777777" w:rsidR="009A4A9D" w:rsidRPr="00825654" w:rsidRDefault="009A4A9D">
      <w:pPr>
        <w:rPr>
          <w:rFonts w:ascii="Times New Roman" w:hAnsi="Times New Roman" w:cs="Times New Roman"/>
          <w:sz w:val="24"/>
        </w:rPr>
      </w:pPr>
      <w:r w:rsidRPr="00825654">
        <w:rPr>
          <w:rFonts w:ascii="Times New Roman" w:hAnsi="Times New Roman" w:cs="Times New Roman"/>
          <w:sz w:val="24"/>
        </w:rPr>
        <w:br w:type="page"/>
      </w:r>
    </w:p>
    <w:p w14:paraId="73990E85" w14:textId="526A0C22" w:rsidR="00F80CD4" w:rsidRPr="00825654" w:rsidRDefault="00F80CD4" w:rsidP="0065504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25654">
        <w:rPr>
          <w:rFonts w:ascii="Times New Roman" w:hAnsi="Times New Roman" w:cs="Times New Roman"/>
          <w:sz w:val="24"/>
        </w:rPr>
        <w:lastRenderedPageBreak/>
        <w:t>Piezīme.</w:t>
      </w:r>
    </w:p>
    <w:p w14:paraId="7158141A" w14:textId="5A52AD3C" w:rsidR="004F38AF" w:rsidRPr="00825654" w:rsidRDefault="009B7420" w:rsidP="0065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5654">
        <w:rPr>
          <w:rFonts w:ascii="Times New Roman" w:hAnsi="Times New Roman" w:cs="Times New Roman"/>
          <w:sz w:val="24"/>
          <w:vertAlign w:val="superscript"/>
        </w:rPr>
        <w:t>4</w:t>
      </w:r>
      <w:r w:rsidR="009360B0" w:rsidRPr="00825654">
        <w:rPr>
          <w:rFonts w:ascii="Times New Roman" w:hAnsi="Times New Roman" w:cs="Times New Roman"/>
          <w:sz w:val="24"/>
        </w:rPr>
        <w:t> </w:t>
      </w:r>
      <w:r w:rsidR="004F38AF" w:rsidRPr="00825654">
        <w:rPr>
          <w:rFonts w:ascii="Times New Roman" w:hAnsi="Times New Roman" w:cs="Times New Roman"/>
          <w:sz w:val="24"/>
        </w:rPr>
        <w:t>E</w:t>
      </w:r>
      <w:r w:rsidR="00F80CD4" w:rsidRPr="00825654">
        <w:rPr>
          <w:rFonts w:ascii="Times New Roman" w:hAnsi="Times New Roman" w:cs="Times New Roman"/>
          <w:sz w:val="24"/>
        </w:rPr>
        <w:t xml:space="preserve">lektrisko un </w:t>
      </w:r>
      <w:proofErr w:type="gramStart"/>
      <w:r w:rsidR="00F80CD4" w:rsidRPr="00825654">
        <w:rPr>
          <w:rFonts w:ascii="Times New Roman" w:hAnsi="Times New Roman" w:cs="Times New Roman"/>
          <w:sz w:val="24"/>
        </w:rPr>
        <w:t>elektronisko iekārtu atkritumu</w:t>
      </w:r>
      <w:proofErr w:type="gramEnd"/>
      <w:r w:rsidR="00F80CD4" w:rsidRPr="00825654">
        <w:rPr>
          <w:rFonts w:ascii="Times New Roman" w:hAnsi="Times New Roman" w:cs="Times New Roman"/>
          <w:sz w:val="24"/>
        </w:rPr>
        <w:t xml:space="preserve"> savākšanu, </w:t>
      </w:r>
      <w:r w:rsidR="004F38AF" w:rsidRPr="00825654">
        <w:rPr>
          <w:rFonts w:ascii="Times New Roman" w:hAnsi="Times New Roman" w:cs="Times New Roman"/>
          <w:sz w:val="24"/>
        </w:rPr>
        <w:t>sagatavošanu atkārtotai izmantošanai</w:t>
      </w:r>
      <w:r w:rsidR="00EB0950" w:rsidRPr="00825654">
        <w:rPr>
          <w:rFonts w:ascii="Times New Roman" w:hAnsi="Times New Roman" w:cs="Times New Roman"/>
          <w:sz w:val="24"/>
        </w:rPr>
        <w:t xml:space="preserve"> vai</w:t>
      </w:r>
      <w:r w:rsidR="004F38AF" w:rsidRPr="00825654">
        <w:rPr>
          <w:rFonts w:ascii="Times New Roman" w:hAnsi="Times New Roman" w:cs="Times New Roman"/>
          <w:sz w:val="24"/>
        </w:rPr>
        <w:t xml:space="preserve"> </w:t>
      </w:r>
      <w:r w:rsidR="00F80CD4" w:rsidRPr="00825654">
        <w:rPr>
          <w:rFonts w:ascii="Times New Roman" w:hAnsi="Times New Roman" w:cs="Times New Roman"/>
          <w:sz w:val="24"/>
        </w:rPr>
        <w:t>pārstrādi un reģenerāciju uzskata par izpildītu, ja nodrošināta visu elektrisko un elektronisko iekārtu kategoriju atkritumu savākšana</w:t>
      </w:r>
      <w:r w:rsidR="004F38AF" w:rsidRPr="00825654">
        <w:rPr>
          <w:rFonts w:ascii="Times New Roman" w:hAnsi="Times New Roman" w:cs="Times New Roman"/>
          <w:sz w:val="24"/>
        </w:rPr>
        <w:t>, sagatavošana</w:t>
      </w:r>
      <w:r w:rsidR="00EB0950" w:rsidRPr="00825654">
        <w:rPr>
          <w:rFonts w:ascii="Times New Roman" w:hAnsi="Times New Roman" w:cs="Times New Roman"/>
          <w:sz w:val="24"/>
        </w:rPr>
        <w:t xml:space="preserve"> atkārtotai izmantošanai vai </w:t>
      </w:r>
      <w:r w:rsidR="004F38AF" w:rsidRPr="00825654">
        <w:rPr>
          <w:rFonts w:ascii="Times New Roman" w:hAnsi="Times New Roman" w:cs="Times New Roman"/>
          <w:sz w:val="24"/>
        </w:rPr>
        <w:t>pārstrāde un reģenerācija.</w:t>
      </w:r>
    </w:p>
    <w:p w14:paraId="6A4211A0" w14:textId="77777777" w:rsidR="00D131B3" w:rsidRPr="00825654" w:rsidRDefault="00D131B3" w:rsidP="00F8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67083" w14:textId="052BE535" w:rsidR="00094917" w:rsidRPr="00825654" w:rsidRDefault="00094917" w:rsidP="0009491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004D4D6" w14:textId="77777777" w:rsidR="00094917" w:rsidRPr="00825654" w:rsidRDefault="00094917" w:rsidP="0009491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7C73CE3" w14:textId="77777777" w:rsidR="00094917" w:rsidRPr="00825654" w:rsidRDefault="00094917" w:rsidP="0009491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654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6177AE80" w14:textId="77777777" w:rsidR="00094917" w:rsidRPr="00094917" w:rsidRDefault="00094917" w:rsidP="0009491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54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825654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094917" w:rsidRPr="00094917" w:rsidSect="00094917">
      <w:headerReference w:type="default" r:id="rId9"/>
      <w:footerReference w:type="default" r:id="rId10"/>
      <w:footerReference w:type="first" r:id="rId11"/>
      <w:pgSz w:w="16838" w:h="11906" w:orient="landscape"/>
      <w:pgMar w:top="1418" w:right="1440" w:bottom="1134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EB87" w16cex:dateUtc="2021-01-12T07:33:00Z"/>
  <w16cex:commentExtensible w16cex:durableId="23A7E963" w16cex:dateUtc="2021-01-12T07:24:00Z"/>
  <w16cex:commentExtensible w16cex:durableId="23A7ECAF" w16cex:dateUtc="2021-01-12T07:38:00Z"/>
  <w16cex:commentExtensible w16cex:durableId="23A7ED36" w16cex:dateUtc="2021-01-12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3871" w14:textId="77777777" w:rsidR="00CA2531" w:rsidRDefault="00CA2531" w:rsidP="00EB3ACF">
      <w:pPr>
        <w:spacing w:after="0" w:line="240" w:lineRule="auto"/>
      </w:pPr>
      <w:r>
        <w:separator/>
      </w:r>
    </w:p>
  </w:endnote>
  <w:endnote w:type="continuationSeparator" w:id="0">
    <w:p w14:paraId="75011E0D" w14:textId="77777777" w:rsidR="00CA2531" w:rsidRDefault="00CA2531" w:rsidP="00EB3ACF">
      <w:pPr>
        <w:spacing w:after="0" w:line="240" w:lineRule="auto"/>
      </w:pPr>
      <w:r>
        <w:continuationSeparator/>
      </w:r>
    </w:p>
  </w:endnote>
  <w:endnote w:type="continuationNotice" w:id="1">
    <w:p w14:paraId="0368CA84" w14:textId="77777777" w:rsidR="00286545" w:rsidRDefault="00286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3490" w14:textId="5A97AC03" w:rsidR="00094917" w:rsidRPr="00094917" w:rsidRDefault="00094917">
    <w:pPr>
      <w:pStyle w:val="Footer"/>
      <w:rPr>
        <w:rFonts w:ascii="Times New Roman" w:hAnsi="Times New Roman" w:cs="Times New Roman"/>
        <w:sz w:val="16"/>
        <w:szCs w:val="16"/>
      </w:rPr>
    </w:pPr>
    <w:r w:rsidRPr="00094917">
      <w:rPr>
        <w:rFonts w:ascii="Times New Roman" w:hAnsi="Times New Roman" w:cs="Times New Roman"/>
        <w:sz w:val="16"/>
        <w:szCs w:val="16"/>
      </w:rPr>
      <w:t>N2603_0p1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BC84" w14:textId="5712EBD9" w:rsidR="00094917" w:rsidRPr="00094917" w:rsidRDefault="00094917">
    <w:pPr>
      <w:pStyle w:val="Footer"/>
      <w:rPr>
        <w:rFonts w:ascii="Times New Roman" w:hAnsi="Times New Roman" w:cs="Times New Roman"/>
        <w:sz w:val="16"/>
        <w:szCs w:val="16"/>
      </w:rPr>
    </w:pPr>
    <w:r w:rsidRPr="00094917">
      <w:rPr>
        <w:rFonts w:ascii="Times New Roman" w:hAnsi="Times New Roman" w:cs="Times New Roman"/>
        <w:sz w:val="16"/>
        <w:szCs w:val="16"/>
      </w:rPr>
      <w:t>N2603_0p1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7A4D" w14:textId="77777777" w:rsidR="00CA2531" w:rsidRDefault="00CA2531" w:rsidP="00EB3ACF">
      <w:pPr>
        <w:spacing w:after="0" w:line="240" w:lineRule="auto"/>
      </w:pPr>
      <w:r>
        <w:separator/>
      </w:r>
    </w:p>
  </w:footnote>
  <w:footnote w:type="continuationSeparator" w:id="0">
    <w:p w14:paraId="42E2C895" w14:textId="77777777" w:rsidR="00CA2531" w:rsidRDefault="00CA2531" w:rsidP="00EB3ACF">
      <w:pPr>
        <w:spacing w:after="0" w:line="240" w:lineRule="auto"/>
      </w:pPr>
      <w:r>
        <w:continuationSeparator/>
      </w:r>
    </w:p>
  </w:footnote>
  <w:footnote w:type="continuationNotice" w:id="1">
    <w:p w14:paraId="03E20318" w14:textId="77777777" w:rsidR="00286545" w:rsidRDefault="00286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563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013D10" w14:textId="18ADCC51" w:rsidR="00CA2531" w:rsidRPr="00EB3ACF" w:rsidRDefault="00CA2531">
        <w:pPr>
          <w:pStyle w:val="Header"/>
          <w:jc w:val="center"/>
          <w:rPr>
            <w:rFonts w:ascii="Times New Roman" w:hAnsi="Times New Roman" w:cs="Times New Roman"/>
          </w:rPr>
        </w:pPr>
        <w:r w:rsidRPr="00EB3ACF">
          <w:rPr>
            <w:rFonts w:ascii="Times New Roman" w:hAnsi="Times New Roman" w:cs="Times New Roman"/>
          </w:rPr>
          <w:fldChar w:fldCharType="begin"/>
        </w:r>
        <w:r w:rsidRPr="00EB3ACF">
          <w:rPr>
            <w:rFonts w:ascii="Times New Roman" w:hAnsi="Times New Roman" w:cs="Times New Roman"/>
          </w:rPr>
          <w:instrText xml:space="preserve"> PAGE   \* MERGEFORMAT </w:instrText>
        </w:r>
        <w:r w:rsidRPr="00EB3ACF">
          <w:rPr>
            <w:rFonts w:ascii="Times New Roman" w:hAnsi="Times New Roman" w:cs="Times New Roman"/>
          </w:rPr>
          <w:fldChar w:fldCharType="separate"/>
        </w:r>
        <w:r w:rsidR="009B1314">
          <w:rPr>
            <w:rFonts w:ascii="Times New Roman" w:hAnsi="Times New Roman" w:cs="Times New Roman"/>
            <w:noProof/>
          </w:rPr>
          <w:t>5</w:t>
        </w:r>
        <w:r w:rsidRPr="00EB3AC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9065F5" w14:textId="77777777" w:rsidR="00CA2531" w:rsidRDefault="00CA2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312"/>
    <w:multiLevelType w:val="hybridMultilevel"/>
    <w:tmpl w:val="B64C0936"/>
    <w:lvl w:ilvl="0" w:tplc="FC584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B02ED"/>
    <w:multiLevelType w:val="hybridMultilevel"/>
    <w:tmpl w:val="BDAE5978"/>
    <w:lvl w:ilvl="0" w:tplc="6E36B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9C0A09"/>
    <w:multiLevelType w:val="hybridMultilevel"/>
    <w:tmpl w:val="0CB285D4"/>
    <w:lvl w:ilvl="0" w:tplc="82F46BB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C62"/>
    <w:rsid w:val="000461D0"/>
    <w:rsid w:val="00094917"/>
    <w:rsid w:val="000C0166"/>
    <w:rsid w:val="000C5402"/>
    <w:rsid w:val="000C68B7"/>
    <w:rsid w:val="000D0235"/>
    <w:rsid w:val="0014178E"/>
    <w:rsid w:val="00143BDA"/>
    <w:rsid w:val="00146C46"/>
    <w:rsid w:val="00153E04"/>
    <w:rsid w:val="001945B2"/>
    <w:rsid w:val="00230D66"/>
    <w:rsid w:val="00257C88"/>
    <w:rsid w:val="002679E7"/>
    <w:rsid w:val="002824B0"/>
    <w:rsid w:val="00286545"/>
    <w:rsid w:val="002B0564"/>
    <w:rsid w:val="002B6B0C"/>
    <w:rsid w:val="002C35AA"/>
    <w:rsid w:val="003315D4"/>
    <w:rsid w:val="00367C69"/>
    <w:rsid w:val="00392D90"/>
    <w:rsid w:val="003B7197"/>
    <w:rsid w:val="003C10D6"/>
    <w:rsid w:val="003D1F5C"/>
    <w:rsid w:val="003E4275"/>
    <w:rsid w:val="003F617B"/>
    <w:rsid w:val="00416A91"/>
    <w:rsid w:val="00455FD8"/>
    <w:rsid w:val="00463FFA"/>
    <w:rsid w:val="004A36C9"/>
    <w:rsid w:val="004B00AD"/>
    <w:rsid w:val="004B2981"/>
    <w:rsid w:val="004C3C9F"/>
    <w:rsid w:val="004D7867"/>
    <w:rsid w:val="004F38AF"/>
    <w:rsid w:val="004F44B3"/>
    <w:rsid w:val="00506BCD"/>
    <w:rsid w:val="00524223"/>
    <w:rsid w:val="005340E3"/>
    <w:rsid w:val="005623F2"/>
    <w:rsid w:val="005863A9"/>
    <w:rsid w:val="005B0018"/>
    <w:rsid w:val="005B20A3"/>
    <w:rsid w:val="005C3C62"/>
    <w:rsid w:val="005C5E95"/>
    <w:rsid w:val="00600E1B"/>
    <w:rsid w:val="0060669A"/>
    <w:rsid w:val="0063006E"/>
    <w:rsid w:val="00655045"/>
    <w:rsid w:val="00672B6D"/>
    <w:rsid w:val="00684D1F"/>
    <w:rsid w:val="00711E89"/>
    <w:rsid w:val="00727055"/>
    <w:rsid w:val="007342D1"/>
    <w:rsid w:val="00770F12"/>
    <w:rsid w:val="00772256"/>
    <w:rsid w:val="007C4BE1"/>
    <w:rsid w:val="007F0A20"/>
    <w:rsid w:val="00825654"/>
    <w:rsid w:val="00874A7B"/>
    <w:rsid w:val="008A45D1"/>
    <w:rsid w:val="008B11B3"/>
    <w:rsid w:val="008F0319"/>
    <w:rsid w:val="008F429D"/>
    <w:rsid w:val="009360B0"/>
    <w:rsid w:val="009424DD"/>
    <w:rsid w:val="00981429"/>
    <w:rsid w:val="00995F23"/>
    <w:rsid w:val="009A4A9D"/>
    <w:rsid w:val="009A7A3F"/>
    <w:rsid w:val="009B1314"/>
    <w:rsid w:val="009B7420"/>
    <w:rsid w:val="009D7541"/>
    <w:rsid w:val="009E4647"/>
    <w:rsid w:val="00A321F6"/>
    <w:rsid w:val="00A36991"/>
    <w:rsid w:val="00A52FF0"/>
    <w:rsid w:val="00A64CAA"/>
    <w:rsid w:val="00A7176D"/>
    <w:rsid w:val="00A97CAA"/>
    <w:rsid w:val="00AE0143"/>
    <w:rsid w:val="00B17F10"/>
    <w:rsid w:val="00B432BE"/>
    <w:rsid w:val="00B72F56"/>
    <w:rsid w:val="00B90988"/>
    <w:rsid w:val="00B95AA8"/>
    <w:rsid w:val="00BB1A58"/>
    <w:rsid w:val="00BB4128"/>
    <w:rsid w:val="00BB5C98"/>
    <w:rsid w:val="00BC3E30"/>
    <w:rsid w:val="00C47CC9"/>
    <w:rsid w:val="00C70C23"/>
    <w:rsid w:val="00CA2531"/>
    <w:rsid w:val="00CB6625"/>
    <w:rsid w:val="00CD50AE"/>
    <w:rsid w:val="00CD7B83"/>
    <w:rsid w:val="00CF14F2"/>
    <w:rsid w:val="00D131B3"/>
    <w:rsid w:val="00D14E2E"/>
    <w:rsid w:val="00D24502"/>
    <w:rsid w:val="00D4645D"/>
    <w:rsid w:val="00D81243"/>
    <w:rsid w:val="00DB2E2E"/>
    <w:rsid w:val="00DC14AC"/>
    <w:rsid w:val="00DC1A7C"/>
    <w:rsid w:val="00DF3635"/>
    <w:rsid w:val="00E23863"/>
    <w:rsid w:val="00E2621D"/>
    <w:rsid w:val="00E26521"/>
    <w:rsid w:val="00E30A8D"/>
    <w:rsid w:val="00E42019"/>
    <w:rsid w:val="00E50A44"/>
    <w:rsid w:val="00E64411"/>
    <w:rsid w:val="00E803C9"/>
    <w:rsid w:val="00E90C22"/>
    <w:rsid w:val="00EB0950"/>
    <w:rsid w:val="00EB3ACF"/>
    <w:rsid w:val="00EB4FA0"/>
    <w:rsid w:val="00ED14A8"/>
    <w:rsid w:val="00F24B8C"/>
    <w:rsid w:val="00F60C1D"/>
    <w:rsid w:val="00F65C7F"/>
    <w:rsid w:val="00F80CD4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0083"/>
  <w15:docId w15:val="{E81F4F10-6E2D-4606-90DE-3506AF7B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CF"/>
  </w:style>
  <w:style w:type="paragraph" w:styleId="Footer">
    <w:name w:val="footer"/>
    <w:basedOn w:val="Normal"/>
    <w:link w:val="FooterChar"/>
    <w:uiPriority w:val="99"/>
    <w:unhideWhenUsed/>
    <w:rsid w:val="00EB3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CF"/>
  </w:style>
  <w:style w:type="character" w:styleId="CommentReference">
    <w:name w:val="annotation reference"/>
    <w:basedOn w:val="DefaultParagraphFont"/>
    <w:uiPriority w:val="99"/>
    <w:semiHidden/>
    <w:unhideWhenUsed/>
    <w:rsid w:val="0019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rsid w:val="000949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2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27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6/66/oj/?locale=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205E-842C-42A9-A7C5-1FADDBE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“Atbrīvojuma no dabas resursu nodokļa samaksas par videi kaitīgām precēm piemērošanas kārtība”</vt:lpstr>
    </vt:vector>
  </TitlesOfParts>
  <Company>VARAM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“Atbrīvojuma no dabas resursu nodokļa samaksas par videi kaitīgām precēm piemērošanas kārtība”</dc:title>
  <dc:subject>1.pielikums</dc:subject>
  <dc:creator>Tatjana Alekse</dc:creator>
  <cp:keywords/>
  <dc:description>tālrunis 67026479; tatjana.alekse@varam.gov.lv</dc:description>
  <cp:lastModifiedBy>Leontine Babkina</cp:lastModifiedBy>
  <cp:revision>41</cp:revision>
  <cp:lastPrinted>2020-09-03T12:59:00Z</cp:lastPrinted>
  <dcterms:created xsi:type="dcterms:W3CDTF">2018-10-17T08:04:00Z</dcterms:created>
  <dcterms:modified xsi:type="dcterms:W3CDTF">2021-01-29T12:40:00Z</dcterms:modified>
</cp:coreProperties>
</file>