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A9F9" w14:textId="226743DE" w:rsidR="00BD5588" w:rsidRPr="00B87711" w:rsidRDefault="007D5F17" w:rsidP="009D1B0B">
      <w:pPr>
        <w:shd w:val="clear" w:color="auto" w:fill="FFFFFF"/>
        <w:contextualSpacing/>
        <w:jc w:val="center"/>
        <w:rPr>
          <w:b/>
          <w:bCs/>
        </w:rPr>
      </w:pPr>
      <w:r>
        <w:rPr>
          <w:b/>
          <w:bCs/>
        </w:rPr>
        <w:t xml:space="preserve">Ministru kabineta rīkojuma projekta “Par </w:t>
      </w:r>
      <w:r w:rsidRPr="007D5F17">
        <w:rPr>
          <w:b/>
          <w:bCs/>
        </w:rPr>
        <w:t>Ministru kabineta 2019.gada</w:t>
      </w:r>
      <w:r>
        <w:rPr>
          <w:b/>
          <w:bCs/>
        </w:rPr>
        <w:t xml:space="preserve"> </w:t>
      </w:r>
      <w:r w:rsidRPr="007D5F17">
        <w:rPr>
          <w:b/>
          <w:bCs/>
        </w:rPr>
        <w:t xml:space="preserve">11.jūnija rīkojuma Nr.277 </w:t>
      </w:r>
      <w:r>
        <w:rPr>
          <w:b/>
          <w:bCs/>
        </w:rPr>
        <w:t>“</w:t>
      </w:r>
      <w:r w:rsidRPr="007D5F17">
        <w:rPr>
          <w:b/>
          <w:bCs/>
        </w:rPr>
        <w:t>Par starpinstitūciju darba grupu</w:t>
      </w:r>
      <w:r>
        <w:rPr>
          <w:b/>
          <w:bCs/>
        </w:rPr>
        <w:t>”</w:t>
      </w:r>
      <w:r w:rsidRPr="007D5F17">
        <w:rPr>
          <w:b/>
          <w:bCs/>
        </w:rPr>
        <w:t xml:space="preserve"> atzīšanu par spēku zaudējušu</w:t>
      </w:r>
      <w:r w:rsidR="00DE74E0">
        <w:rPr>
          <w:b/>
          <w:bCs/>
        </w:rPr>
        <w:t xml:space="preserve">” </w:t>
      </w:r>
      <w:r w:rsidR="00BD5588" w:rsidRPr="00B87711">
        <w:rPr>
          <w:b/>
          <w:bCs/>
        </w:rPr>
        <w:t>sākotnējās ietekmes novērtējuma ziņojums (anotācija)</w:t>
      </w:r>
    </w:p>
    <w:p w14:paraId="35BAA613" w14:textId="77777777" w:rsidR="00BD5588" w:rsidRPr="00B87711" w:rsidRDefault="00BD5588" w:rsidP="009D1B0B">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3"/>
        <w:gridCol w:w="5798"/>
      </w:tblGrid>
      <w:tr w:rsidR="00BD5588" w:rsidRPr="00B87711" w14:paraId="1A6BEA4F" w14:textId="77777777" w:rsidTr="009E0502">
        <w:trPr>
          <w:cantSplit/>
        </w:trPr>
        <w:tc>
          <w:tcPr>
            <w:tcW w:w="9581" w:type="dxa"/>
            <w:gridSpan w:val="2"/>
            <w:shd w:val="clear" w:color="auto" w:fill="FFFFFF"/>
            <w:vAlign w:val="center"/>
            <w:hideMark/>
          </w:tcPr>
          <w:p w14:paraId="548200F7" w14:textId="77777777" w:rsidR="00BD5588" w:rsidRPr="00B87711" w:rsidRDefault="00BD5588" w:rsidP="009D1B0B">
            <w:pPr>
              <w:contextualSpacing/>
              <w:jc w:val="center"/>
              <w:rPr>
                <w:b/>
                <w:iCs/>
                <w:lang w:eastAsia="en-US"/>
              </w:rPr>
            </w:pPr>
            <w:r w:rsidRPr="00B87711">
              <w:rPr>
                <w:b/>
                <w:iCs/>
                <w:lang w:eastAsia="en-US"/>
              </w:rPr>
              <w:t>Tiesību akta projekta anotācijas kopsavilkums</w:t>
            </w:r>
          </w:p>
        </w:tc>
      </w:tr>
      <w:tr w:rsidR="00BD5588" w:rsidRPr="00B87711" w14:paraId="4765E1EC" w14:textId="77777777" w:rsidTr="009E0502">
        <w:trPr>
          <w:cantSplit/>
        </w:trPr>
        <w:tc>
          <w:tcPr>
            <w:tcW w:w="3430" w:type="dxa"/>
            <w:shd w:val="clear" w:color="auto" w:fill="FFFFFF"/>
            <w:hideMark/>
          </w:tcPr>
          <w:p w14:paraId="3908A5BA" w14:textId="77777777" w:rsidR="00BD5588" w:rsidRPr="00B87711" w:rsidRDefault="00BD5588" w:rsidP="009D1B0B">
            <w:pPr>
              <w:contextualSpacing/>
              <w:rPr>
                <w:iCs/>
                <w:lang w:eastAsia="en-US"/>
              </w:rPr>
            </w:pPr>
            <w:r w:rsidRPr="00B87711">
              <w:rPr>
                <w:iCs/>
                <w:lang w:eastAsia="en-US"/>
              </w:rPr>
              <w:t>Mērķis, risinājums un projekta spēkā stāšanās laiks (500 zīmes bez atstarpēm)</w:t>
            </w:r>
          </w:p>
        </w:tc>
        <w:tc>
          <w:tcPr>
            <w:tcW w:w="6151" w:type="dxa"/>
            <w:shd w:val="clear" w:color="auto" w:fill="FFFFFF"/>
            <w:hideMark/>
          </w:tcPr>
          <w:p w14:paraId="1BCA9FEC" w14:textId="20C543DB" w:rsidR="00BD5588" w:rsidRPr="00B87711" w:rsidRDefault="009E2C5A" w:rsidP="009D1B0B">
            <w:pPr>
              <w:contextualSpacing/>
              <w:rPr>
                <w:i/>
                <w:iCs/>
                <w:lang w:eastAsia="en-US"/>
              </w:rPr>
            </w:pPr>
            <w:r>
              <w:rPr>
                <w:lang w:eastAsia="en-US"/>
              </w:rPr>
              <w:t>Nav attiecināms</w:t>
            </w:r>
          </w:p>
        </w:tc>
      </w:tr>
    </w:tbl>
    <w:p w14:paraId="2A98F5A0" w14:textId="77777777" w:rsidR="00BD5588" w:rsidRPr="00B87711" w:rsidRDefault="00BD5588" w:rsidP="009D1B0B">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4"/>
        <w:gridCol w:w="2680"/>
        <w:gridCol w:w="5817"/>
      </w:tblGrid>
      <w:tr w:rsidR="00BD5588" w:rsidRPr="00B87711" w14:paraId="1503E5C4" w14:textId="77777777" w:rsidTr="00823F50">
        <w:tc>
          <w:tcPr>
            <w:tcW w:w="5000" w:type="pct"/>
            <w:gridSpan w:val="3"/>
            <w:vAlign w:val="center"/>
            <w:hideMark/>
          </w:tcPr>
          <w:p w14:paraId="4913BB43" w14:textId="77777777" w:rsidR="00BD5588" w:rsidRPr="00B87711" w:rsidRDefault="00BD5588" w:rsidP="009D1B0B">
            <w:pPr>
              <w:contextualSpacing/>
              <w:jc w:val="center"/>
              <w:rPr>
                <w:b/>
                <w:bCs/>
              </w:rPr>
            </w:pPr>
            <w:r w:rsidRPr="00B87711">
              <w:rPr>
                <w:b/>
                <w:bCs/>
              </w:rPr>
              <w:t>I. Tiesību akta projekta izstrādes nepieciešamība</w:t>
            </w:r>
          </w:p>
        </w:tc>
      </w:tr>
      <w:tr w:rsidR="00BD5588" w:rsidRPr="00B87711" w14:paraId="0AFBDCC4" w14:textId="77777777" w:rsidTr="00823F50">
        <w:tc>
          <w:tcPr>
            <w:tcW w:w="311" w:type="pct"/>
            <w:hideMark/>
          </w:tcPr>
          <w:p w14:paraId="51923D4F" w14:textId="77777777" w:rsidR="00BD5588" w:rsidRPr="00B87711" w:rsidRDefault="00BD5588" w:rsidP="009D1B0B">
            <w:pPr>
              <w:contextualSpacing/>
              <w:jc w:val="center"/>
            </w:pPr>
            <w:r w:rsidRPr="00B87711">
              <w:t>1.</w:t>
            </w:r>
          </w:p>
        </w:tc>
        <w:tc>
          <w:tcPr>
            <w:tcW w:w="1479" w:type="pct"/>
            <w:hideMark/>
          </w:tcPr>
          <w:p w14:paraId="7246E6DF" w14:textId="77777777" w:rsidR="00BD5588" w:rsidRPr="00B87711" w:rsidRDefault="00BD5588" w:rsidP="009D1B0B">
            <w:pPr>
              <w:contextualSpacing/>
            </w:pPr>
            <w:r w:rsidRPr="00B87711">
              <w:t>Pamatojums</w:t>
            </w:r>
          </w:p>
        </w:tc>
        <w:tc>
          <w:tcPr>
            <w:tcW w:w="3210" w:type="pct"/>
            <w:hideMark/>
          </w:tcPr>
          <w:p w14:paraId="2513FDC9" w14:textId="3D7BAA1E" w:rsidR="00BD5588" w:rsidRPr="00B87711" w:rsidRDefault="009C0261" w:rsidP="009D1B0B">
            <w:pPr>
              <w:contextualSpacing/>
              <w:jc w:val="both"/>
            </w:pPr>
            <w:r w:rsidRPr="00B87711">
              <w:t xml:space="preserve">Projekts </w:t>
            </w:r>
            <w:r w:rsidR="00C7771E">
              <w:t>s</w:t>
            </w:r>
            <w:r w:rsidR="00AB1552">
              <w:t>a</w:t>
            </w:r>
            <w:r w:rsidR="00C7771E">
              <w:t>gatavots pēc Ekonomikas ministrijas iniciatīvas</w:t>
            </w:r>
            <w:r w:rsidR="00BD32BF">
              <w:t>,</w:t>
            </w:r>
            <w:r w:rsidR="00C7771E">
              <w:t xml:space="preserve"> </w:t>
            </w:r>
            <w:r w:rsidR="0009579E">
              <w:t>ņemot vērā</w:t>
            </w:r>
            <w:r w:rsidR="0009579E" w:rsidRPr="00B87711">
              <w:t xml:space="preserve"> </w:t>
            </w:r>
            <w:r w:rsidR="00846D28" w:rsidRPr="00B87711">
              <w:t xml:space="preserve">Ministru kabineta </w:t>
            </w:r>
            <w:r w:rsidR="002D2BFD" w:rsidRPr="00B87711">
              <w:t xml:space="preserve">2020.gada 21.janvāra </w:t>
            </w:r>
            <w:r w:rsidR="00846D28" w:rsidRPr="00B87711">
              <w:t>sēdes</w:t>
            </w:r>
            <w:r w:rsidR="00AF25A1">
              <w:t xml:space="preserve"> (</w:t>
            </w:r>
            <w:r w:rsidR="00AF25A1" w:rsidRPr="00B87711">
              <w:t>prot</w:t>
            </w:r>
            <w:r w:rsidR="00AF25A1">
              <w:t>.</w:t>
            </w:r>
            <w:r w:rsidR="00AF25A1" w:rsidRPr="00B87711">
              <w:t>Nr.3</w:t>
            </w:r>
            <w:r w:rsidR="007E757D">
              <w:t>,</w:t>
            </w:r>
            <w:r w:rsidR="00AF25A1" w:rsidRPr="00B87711">
              <w:t xml:space="preserve"> </w:t>
            </w:r>
            <w:r w:rsidR="00AF25A1" w:rsidRPr="00846D28">
              <w:rPr>
                <w:bCs/>
              </w:rPr>
              <w:t>55.§</w:t>
            </w:r>
            <w:r w:rsidR="00AF25A1">
              <w:rPr>
                <w:bCs/>
              </w:rPr>
              <w:t>)</w:t>
            </w:r>
            <w:r w:rsidR="00846D28" w:rsidRPr="00B87711">
              <w:t xml:space="preserve"> </w:t>
            </w:r>
            <w:proofErr w:type="spellStart"/>
            <w:r w:rsidR="00AF25A1">
              <w:t>protokollēmum</w:t>
            </w:r>
            <w:r w:rsidR="008F657A">
              <w:t>u</w:t>
            </w:r>
            <w:bookmarkStart w:id="0" w:name="_Hlk13086123"/>
            <w:bookmarkStart w:id="1" w:name="_Hlk4410597"/>
            <w:proofErr w:type="spellEnd"/>
            <w:r w:rsidR="00846D28" w:rsidRPr="00B87711">
              <w:rPr>
                <w:bCs/>
              </w:rPr>
              <w:t xml:space="preserve"> “</w:t>
            </w:r>
            <w:r w:rsidR="00846D28" w:rsidRPr="00846D28">
              <w:t xml:space="preserve">Par </w:t>
            </w:r>
            <w:bookmarkStart w:id="2" w:name="_Hlk22734461"/>
            <w:r w:rsidR="00846D28" w:rsidRPr="00846D28">
              <w:t xml:space="preserve">informatīvo ziņojumu </w:t>
            </w:r>
            <w:bookmarkStart w:id="3" w:name="_Hlk19693559"/>
            <w:bookmarkEnd w:id="0"/>
            <w:r w:rsidR="00846D28" w:rsidRPr="00846D28">
              <w:t xml:space="preserve">“Par aktuālo situāciju turpmākās dalības nodrošināšanai izstādē “EXPO 2020 </w:t>
            </w:r>
            <w:proofErr w:type="spellStart"/>
            <w:r w:rsidR="00846D28" w:rsidRPr="00846D28">
              <w:t>Dubai</w:t>
            </w:r>
            <w:proofErr w:type="spellEnd"/>
            <w:r w:rsidR="00846D28" w:rsidRPr="00846D28">
              <w:t>””</w:t>
            </w:r>
            <w:bookmarkEnd w:id="1"/>
            <w:bookmarkEnd w:id="2"/>
            <w:bookmarkEnd w:id="3"/>
            <w:r w:rsidR="00846D28" w:rsidRPr="00B87711">
              <w:t xml:space="preserve"> (</w:t>
            </w:r>
            <w:r w:rsidR="00846D28" w:rsidRPr="00846D28">
              <w:t>TA-33-IP</w:t>
            </w:r>
            <w:r w:rsidR="00846D28" w:rsidRPr="00B87711">
              <w:t>), kā arī Ekonomikas ministrij</w:t>
            </w:r>
            <w:r w:rsidR="00EE4CA9">
              <w:t>as</w:t>
            </w:r>
            <w:r w:rsidR="00846D28" w:rsidRPr="00B87711">
              <w:t xml:space="preserve"> un Latvijas tirdzniecības un rūpniecības kamer</w:t>
            </w:r>
            <w:r w:rsidR="00EE4CA9">
              <w:t>as</w:t>
            </w:r>
            <w:r w:rsidR="00846D28" w:rsidRPr="00B87711">
              <w:t xml:space="preserve"> (turpmāk – LTRK) </w:t>
            </w:r>
            <w:r w:rsidR="004B54AB" w:rsidRPr="00B87711">
              <w:t>2020.gada 31.janvār</w:t>
            </w:r>
            <w:r w:rsidR="004B54AB">
              <w:t>a</w:t>
            </w:r>
            <w:r w:rsidR="004B54AB" w:rsidRPr="00B87711">
              <w:t xml:space="preserve"> </w:t>
            </w:r>
            <w:r w:rsidR="00846D28" w:rsidRPr="00B87711">
              <w:t xml:space="preserve">vienošanās Nr. 5.2-17.2/2020/1 </w:t>
            </w:r>
            <w:r w:rsidR="009E2C5A">
              <w:t>p</w:t>
            </w:r>
            <w:r w:rsidR="00846D28" w:rsidRPr="00B87711">
              <w:t xml:space="preserve">ar </w:t>
            </w:r>
            <w:r w:rsidR="005F7975">
              <w:t xml:space="preserve">2018.gada 14.novembra </w:t>
            </w:r>
            <w:r w:rsidR="00846D28" w:rsidRPr="00B87711">
              <w:t xml:space="preserve">deleģēšanas līguma Nr.2.13.7.1-1/2018/3 “Par Latvijas dalības organizēšanu </w:t>
            </w:r>
            <w:r w:rsidR="00F1570A" w:rsidRPr="00F1570A">
              <w:t xml:space="preserve">starptautiskajā izstādē “Expo 2020 </w:t>
            </w:r>
            <w:proofErr w:type="spellStart"/>
            <w:r w:rsidR="00F1570A" w:rsidRPr="00F1570A">
              <w:t>Dubai</w:t>
            </w:r>
            <w:proofErr w:type="spellEnd"/>
            <w:r w:rsidR="00F1570A" w:rsidRPr="00F1570A">
              <w:t>”</w:t>
            </w:r>
            <w:r w:rsidR="00846D28" w:rsidRPr="00B87711">
              <w:t xml:space="preserve">” (turpmāk – Deleģēšanas līgums) </w:t>
            </w:r>
            <w:r w:rsidR="00E802A9" w:rsidRPr="00B87711">
              <w:t xml:space="preserve">(turpmāk – Vienošanās) </w:t>
            </w:r>
            <w:r w:rsidR="00846D28" w:rsidRPr="00B87711">
              <w:t>pirmstermiņa izbeigšanu</w:t>
            </w:r>
            <w:r w:rsidR="00E802A9">
              <w:t>”</w:t>
            </w:r>
            <w:r w:rsidR="00846D28" w:rsidRPr="00B87711">
              <w:t xml:space="preserve"> 1.2.</w:t>
            </w:r>
            <w:r w:rsidR="00DF08B9">
              <w:t>apakš</w:t>
            </w:r>
            <w:r w:rsidR="00846D28" w:rsidRPr="00B87711">
              <w:t>punkt</w:t>
            </w:r>
            <w:r w:rsidR="00792582">
              <w:t>u</w:t>
            </w:r>
            <w:r w:rsidR="00C64F10">
              <w:t xml:space="preserve">, kas paredz, ka </w:t>
            </w:r>
            <w:r w:rsidR="00846D28" w:rsidRPr="00B87711">
              <w:t xml:space="preserve">LTRK veic pienākumus, kas saistīti ar tai deleģēto valsts pārvaldes uzdevumu – organizēt Latvijas dalību starptautiskajā izstādē “EXPO 2020 </w:t>
            </w:r>
            <w:proofErr w:type="spellStart"/>
            <w:r w:rsidR="00846D28" w:rsidRPr="00B87711">
              <w:t>Dubai</w:t>
            </w:r>
            <w:proofErr w:type="spellEnd"/>
            <w:r w:rsidR="00846D28" w:rsidRPr="00B87711">
              <w:t xml:space="preserve">” (turpmāk – </w:t>
            </w:r>
            <w:r w:rsidR="00714C89">
              <w:t>V</w:t>
            </w:r>
            <w:r w:rsidR="00846D28" w:rsidRPr="00B87711">
              <w:t>alsts pārvaldes uzdevums) izpildi ne ilgāk kā līdz 2020.gada 31.janvārim (pēdējā diena).</w:t>
            </w:r>
          </w:p>
        </w:tc>
      </w:tr>
      <w:tr w:rsidR="00BD5588" w:rsidRPr="00B87711" w14:paraId="76A0E228" w14:textId="77777777" w:rsidTr="00823F50">
        <w:tc>
          <w:tcPr>
            <w:tcW w:w="311" w:type="pct"/>
            <w:hideMark/>
          </w:tcPr>
          <w:p w14:paraId="7B510F62" w14:textId="77777777" w:rsidR="00BD5588" w:rsidRPr="00B87711" w:rsidRDefault="00BD5588" w:rsidP="009D1B0B">
            <w:pPr>
              <w:contextualSpacing/>
              <w:jc w:val="center"/>
            </w:pPr>
            <w:r w:rsidRPr="00B87711">
              <w:t>2.</w:t>
            </w:r>
          </w:p>
        </w:tc>
        <w:tc>
          <w:tcPr>
            <w:tcW w:w="1479" w:type="pct"/>
            <w:hideMark/>
          </w:tcPr>
          <w:p w14:paraId="6FC82E0A" w14:textId="77777777" w:rsidR="00BD5588" w:rsidRPr="00B87711" w:rsidRDefault="00BD5588" w:rsidP="009D1B0B">
            <w:pPr>
              <w:contextualSpacing/>
            </w:pPr>
            <w:r w:rsidRPr="00B87711">
              <w:t>Pašreizējā situācija un problēmas, kuru risināšanai tiesību akta projekts izstrādāts, tiesiskā regulējuma mērķis un būtība</w:t>
            </w:r>
          </w:p>
        </w:tc>
        <w:tc>
          <w:tcPr>
            <w:tcW w:w="3210" w:type="pct"/>
            <w:hideMark/>
          </w:tcPr>
          <w:p w14:paraId="7A4E87B2" w14:textId="18F65837" w:rsidR="005B284B" w:rsidRDefault="003B28A3" w:rsidP="009D1B0B">
            <w:pPr>
              <w:ind w:firstLine="231"/>
              <w:contextualSpacing/>
              <w:jc w:val="both"/>
            </w:pPr>
            <w:r w:rsidRPr="003B28A3">
              <w:t>Ministru kabinet</w:t>
            </w:r>
            <w:r w:rsidR="005B284B">
              <w:t>s</w:t>
            </w:r>
            <w:r w:rsidRPr="003B28A3">
              <w:t xml:space="preserve"> 2017.gada 5.decembra sēdē (prot.Nr.60, 52.§, 2.punkts)</w:t>
            </w:r>
            <w:r w:rsidR="00C44248" w:rsidRPr="00C44248">
              <w:t xml:space="preserve"> konceptuāli atbalstīja Latvijas dalību </w:t>
            </w:r>
            <w:r w:rsidR="00C050BD">
              <w:t xml:space="preserve">starptautiskajā </w:t>
            </w:r>
            <w:r w:rsidR="00C44248" w:rsidRPr="00C44248">
              <w:t>izstādē “</w:t>
            </w:r>
            <w:r w:rsidR="00C050BD" w:rsidRPr="00C44248">
              <w:t xml:space="preserve">Expo </w:t>
            </w:r>
            <w:r w:rsidR="00C44248" w:rsidRPr="00C44248">
              <w:t xml:space="preserve">2020 </w:t>
            </w:r>
            <w:proofErr w:type="spellStart"/>
            <w:r w:rsidR="00C44248" w:rsidRPr="00C44248">
              <w:t>Dubai</w:t>
            </w:r>
            <w:proofErr w:type="spellEnd"/>
            <w:r w:rsidR="00C44248" w:rsidRPr="00C44248">
              <w:t xml:space="preserve">” (turpmāk </w:t>
            </w:r>
            <w:r w:rsidR="00463EEE">
              <w:t>–</w:t>
            </w:r>
            <w:r w:rsidR="00C44248" w:rsidRPr="00C44248">
              <w:t xml:space="preserve"> Izstāde).</w:t>
            </w:r>
          </w:p>
          <w:p w14:paraId="61DEABF2" w14:textId="1F04E513" w:rsidR="00C44248" w:rsidRPr="00B87711" w:rsidRDefault="00C44248" w:rsidP="009D1B0B">
            <w:pPr>
              <w:ind w:firstLine="231"/>
              <w:contextualSpacing/>
              <w:jc w:val="both"/>
            </w:pPr>
            <w:r w:rsidRPr="00C44248">
              <w:t>Ministru kabinet</w:t>
            </w:r>
            <w:r w:rsidR="00977596">
              <w:t>s ar</w:t>
            </w:r>
            <w:r w:rsidRPr="00C44248">
              <w:t xml:space="preserve"> 2018.gada 24.aprīļa sēd</w:t>
            </w:r>
            <w:r w:rsidR="00D15F3E">
              <w:t>es</w:t>
            </w:r>
            <w:r w:rsidRPr="00C44248">
              <w:t xml:space="preserve"> </w:t>
            </w:r>
            <w:r w:rsidR="00F1570A" w:rsidRPr="00C44248">
              <w:t>protokol</w:t>
            </w:r>
            <w:r w:rsidRPr="00C44248">
              <w:t>lēmum</w:t>
            </w:r>
            <w:r w:rsidR="00D708D1">
              <w:t xml:space="preserve">a </w:t>
            </w:r>
            <w:r w:rsidR="00070684" w:rsidRPr="00C44248">
              <w:t>(</w:t>
            </w:r>
            <w:r w:rsidR="00070684">
              <w:t>prot.</w:t>
            </w:r>
            <w:r w:rsidR="00070684" w:rsidRPr="00C44248">
              <w:t>Nr.21</w:t>
            </w:r>
            <w:r w:rsidR="00070684">
              <w:t>,</w:t>
            </w:r>
            <w:r w:rsidR="00070684" w:rsidRPr="00C44248">
              <w:t xml:space="preserve"> 72.§) </w:t>
            </w:r>
            <w:r w:rsidR="00D708D1" w:rsidRPr="00C44248">
              <w:t>2.punkt</w:t>
            </w:r>
            <w:r w:rsidR="00D708D1">
              <w:t>u</w:t>
            </w:r>
            <w:r w:rsidRPr="00C44248">
              <w:t xml:space="preserve"> par atbildīgo institūciju Latvijas dalības nodrošināšanā Izstādē notei</w:t>
            </w:r>
            <w:r w:rsidR="00D2676E">
              <w:t xml:space="preserve">ca </w:t>
            </w:r>
            <w:r w:rsidRPr="00C44248">
              <w:t>Ekonomikas ministrij</w:t>
            </w:r>
            <w:r w:rsidR="00412D77">
              <w:t>u</w:t>
            </w:r>
            <w:r w:rsidR="003C252C">
              <w:t>, kā arī</w:t>
            </w:r>
            <w:r w:rsidRPr="00C44248">
              <w:t xml:space="preserve"> izteica atbalstu LTRK kā Latvijas dalības organizatoram (protokollēmuma 4.punkt</w:t>
            </w:r>
            <w:r w:rsidR="004614E9">
              <w:t>s</w:t>
            </w:r>
            <w:r w:rsidRPr="00C44248">
              <w:t>).</w:t>
            </w:r>
          </w:p>
          <w:p w14:paraId="411EDB2B" w14:textId="19D4C39A" w:rsidR="00C44248" w:rsidRPr="00B87711" w:rsidRDefault="00C44248" w:rsidP="009D1B0B">
            <w:pPr>
              <w:ind w:firstLine="231"/>
              <w:contextualSpacing/>
              <w:jc w:val="both"/>
            </w:pPr>
            <w:r w:rsidRPr="00C44248">
              <w:t xml:space="preserve">2018.gada 14.novembrī starp Ekonomikas ministriju un LTRK tika noslēgts </w:t>
            </w:r>
            <w:r w:rsidR="00F1570A">
              <w:t>D</w:t>
            </w:r>
            <w:r w:rsidRPr="00C44248">
              <w:t xml:space="preserve">eleģēšanas līgums par </w:t>
            </w:r>
            <w:r w:rsidR="00F02B9B">
              <w:t>V</w:t>
            </w:r>
            <w:r w:rsidRPr="00C44248">
              <w:t>alsts pārvaldes uzdevuma deleģēšanu LTRK. Saskaņā ar Deleģēšanas līgumu</w:t>
            </w:r>
            <w:r w:rsidR="00F1570A">
              <w:t>,</w:t>
            </w:r>
            <w:r w:rsidRPr="00C44248">
              <w:t xml:space="preserve"> LTRK nodrošin</w:t>
            </w:r>
            <w:r w:rsidR="00F1570A">
              <w:t>a</w:t>
            </w:r>
            <w:r w:rsidRPr="00C44248">
              <w:t xml:space="preserve"> sagatavošanos dalībai Izstādē, dalību Izstādē un visu nepieciešamo organizatorisko jautājumu sakārtošanu pēc Izstādes.</w:t>
            </w:r>
          </w:p>
          <w:p w14:paraId="3CD73CE3" w14:textId="69FAC583" w:rsidR="00C44248" w:rsidRPr="00B87711" w:rsidRDefault="002B683F" w:rsidP="009D1B0B">
            <w:pPr>
              <w:ind w:firstLine="231"/>
              <w:contextualSpacing/>
              <w:jc w:val="both"/>
              <w:rPr>
                <w:rFonts w:eastAsia="Calibri"/>
                <w:lang w:eastAsia="en-US"/>
              </w:rPr>
            </w:pPr>
            <w:r>
              <w:rPr>
                <w:rFonts w:eastAsia="Calibri"/>
                <w:lang w:eastAsia="en-US"/>
              </w:rPr>
              <w:t>Tā kā</w:t>
            </w:r>
            <w:r w:rsidR="002A0576" w:rsidRPr="00B87711">
              <w:rPr>
                <w:rFonts w:eastAsia="Calibri"/>
                <w:lang w:eastAsia="en-US"/>
              </w:rPr>
              <w:t xml:space="preserve"> valsts pārvaldes uzdevumu deleģēšana trešajām personām nav ierasta prakse</w:t>
            </w:r>
            <w:r w:rsidR="00C44248" w:rsidRPr="00C44248">
              <w:rPr>
                <w:rFonts w:eastAsia="Calibri"/>
                <w:lang w:eastAsia="en-US"/>
              </w:rPr>
              <w:t>, Ministru kabinet</w:t>
            </w:r>
            <w:r w:rsidR="00F85CC4">
              <w:rPr>
                <w:rFonts w:eastAsia="Calibri"/>
                <w:lang w:eastAsia="en-US"/>
              </w:rPr>
              <w:t>s</w:t>
            </w:r>
            <w:r w:rsidR="00C44248" w:rsidRPr="00C44248">
              <w:rPr>
                <w:rFonts w:eastAsia="Calibri"/>
                <w:lang w:eastAsia="en-US"/>
              </w:rPr>
              <w:t xml:space="preserve"> 2018.gada 5.novembra sēdē </w:t>
            </w:r>
            <w:r w:rsidR="002B0A5B">
              <w:rPr>
                <w:rFonts w:eastAsia="Calibri"/>
                <w:lang w:eastAsia="en-US"/>
              </w:rPr>
              <w:t xml:space="preserve">(prot.Nr.51, </w:t>
            </w:r>
            <w:r w:rsidR="002B0A5B" w:rsidRPr="002B0A5B">
              <w:rPr>
                <w:rFonts w:eastAsia="Calibri"/>
                <w:lang w:eastAsia="en-US"/>
              </w:rPr>
              <w:t>47.§</w:t>
            </w:r>
            <w:r w:rsidR="008B2F68">
              <w:rPr>
                <w:rFonts w:eastAsia="Calibri"/>
                <w:lang w:eastAsia="en-US"/>
              </w:rPr>
              <w:t>, 6.punkts</w:t>
            </w:r>
            <w:r w:rsidR="002B0A5B">
              <w:rPr>
                <w:rFonts w:eastAsia="Calibri"/>
                <w:lang w:eastAsia="en-US"/>
              </w:rPr>
              <w:t xml:space="preserve">) </w:t>
            </w:r>
            <w:r w:rsidR="008B790D">
              <w:rPr>
                <w:rFonts w:eastAsia="Calibri"/>
                <w:lang w:eastAsia="en-US"/>
              </w:rPr>
              <w:t>a</w:t>
            </w:r>
            <w:r w:rsidR="00201796" w:rsidRPr="00201796">
              <w:rPr>
                <w:rFonts w:eastAsia="Calibri"/>
                <w:lang w:eastAsia="en-US"/>
              </w:rPr>
              <w:t>tbalstī</w:t>
            </w:r>
            <w:r w:rsidR="008B790D">
              <w:rPr>
                <w:rFonts w:eastAsia="Calibri"/>
                <w:lang w:eastAsia="en-US"/>
              </w:rPr>
              <w:t>ja</w:t>
            </w:r>
            <w:r w:rsidR="00201796" w:rsidRPr="00201796">
              <w:rPr>
                <w:rFonts w:eastAsia="Calibri"/>
                <w:lang w:eastAsia="en-US"/>
              </w:rPr>
              <w:t xml:space="preserve"> starpinstitūciju darba grupas izveidi, lai koordinētu deleģētā </w:t>
            </w:r>
            <w:r w:rsidR="003969D3">
              <w:rPr>
                <w:rFonts w:eastAsia="Calibri"/>
                <w:lang w:eastAsia="en-US"/>
              </w:rPr>
              <w:t>V</w:t>
            </w:r>
            <w:r w:rsidR="00201796" w:rsidRPr="00201796">
              <w:rPr>
                <w:rFonts w:eastAsia="Calibri"/>
                <w:lang w:eastAsia="en-US"/>
              </w:rPr>
              <w:t>alsts pārvaldes uzdevuma īstenošanu</w:t>
            </w:r>
            <w:r w:rsidR="003969D3">
              <w:rPr>
                <w:rFonts w:eastAsia="Calibri"/>
                <w:lang w:eastAsia="en-US"/>
              </w:rPr>
              <w:t>, un</w:t>
            </w:r>
            <w:r w:rsidR="00201796" w:rsidRPr="00201796">
              <w:rPr>
                <w:rFonts w:eastAsia="Calibri"/>
                <w:lang w:eastAsia="en-US"/>
              </w:rPr>
              <w:t xml:space="preserve"> </w:t>
            </w:r>
            <w:r w:rsidR="003969D3">
              <w:rPr>
                <w:rFonts w:eastAsia="Calibri"/>
                <w:lang w:eastAsia="en-US"/>
              </w:rPr>
              <w:t>u</w:t>
            </w:r>
            <w:r w:rsidR="00B102C0">
              <w:rPr>
                <w:rFonts w:eastAsia="Calibri"/>
                <w:lang w:eastAsia="en-US"/>
              </w:rPr>
              <w:t>zd</w:t>
            </w:r>
            <w:r w:rsidR="003969D3">
              <w:rPr>
                <w:rFonts w:eastAsia="Calibri"/>
                <w:lang w:eastAsia="en-US"/>
              </w:rPr>
              <w:t xml:space="preserve">eva </w:t>
            </w:r>
            <w:r w:rsidR="00201796" w:rsidRPr="00201796">
              <w:rPr>
                <w:rFonts w:eastAsia="Calibri"/>
                <w:lang w:eastAsia="en-US"/>
              </w:rPr>
              <w:t>Ekonomikas ministrijai iesniegt Ministru kabinetā rīkojuma projektu par starpinstitūciju darba grupas izveidi</w:t>
            </w:r>
            <w:r w:rsidR="003969D3">
              <w:rPr>
                <w:rFonts w:eastAsia="Calibri"/>
                <w:lang w:eastAsia="en-US"/>
              </w:rPr>
              <w:t>,</w:t>
            </w:r>
            <w:r w:rsidR="00C44248" w:rsidRPr="00C44248">
              <w:rPr>
                <w:rFonts w:eastAsia="Calibri"/>
                <w:lang w:eastAsia="en-US"/>
              </w:rPr>
              <w:t xml:space="preserve"> darba grupas sastāvā iekļaujot Ekonomikas ministrijas, Ārlietu </w:t>
            </w:r>
            <w:r w:rsidR="00C44248" w:rsidRPr="00C44248">
              <w:rPr>
                <w:rFonts w:eastAsia="Calibri"/>
                <w:lang w:eastAsia="en-US"/>
              </w:rPr>
              <w:lastRenderedPageBreak/>
              <w:t>ministrijas, Tieslietu ministrijas, Finanšu ministrijas, Kultūras ministrijas, Satiksmes ministrijas un Zemkopības ministrijas pārstāvjus.</w:t>
            </w:r>
          </w:p>
          <w:p w14:paraId="73B394AC" w14:textId="1B6C5136" w:rsidR="002A0576" w:rsidRPr="00B87711" w:rsidRDefault="002A0576" w:rsidP="009D1B0B">
            <w:pPr>
              <w:ind w:firstLine="231"/>
              <w:contextualSpacing/>
              <w:jc w:val="both"/>
              <w:rPr>
                <w:rFonts w:eastAsia="Calibri"/>
                <w:b/>
                <w:bCs/>
                <w:lang w:eastAsia="en-US"/>
              </w:rPr>
            </w:pPr>
            <w:r w:rsidRPr="00B87711">
              <w:rPr>
                <w:rFonts w:eastAsia="Calibri"/>
                <w:lang w:eastAsia="en-US"/>
              </w:rPr>
              <w:t xml:space="preserve">2019.gada 11.jūnijā stājās </w:t>
            </w:r>
            <w:r w:rsidR="00D708D1" w:rsidRPr="00B87711">
              <w:rPr>
                <w:rFonts w:eastAsia="Calibri"/>
                <w:lang w:eastAsia="en-US"/>
              </w:rPr>
              <w:t xml:space="preserve">spēkā </w:t>
            </w:r>
            <w:r w:rsidRPr="00B87711">
              <w:rPr>
                <w:rFonts w:eastAsia="Calibri"/>
                <w:lang w:eastAsia="en-US"/>
              </w:rPr>
              <w:t>Ministru kabineta rīkojums Nr.277 “Par starpinstitūciju darba grupu”</w:t>
            </w:r>
            <w:r w:rsidR="00B87711" w:rsidRPr="00B87711">
              <w:rPr>
                <w:rFonts w:eastAsia="Calibri"/>
                <w:lang w:eastAsia="en-US"/>
              </w:rPr>
              <w:t xml:space="preserve"> (turpmāk – rīkojums)</w:t>
            </w:r>
            <w:r w:rsidRPr="00B87711">
              <w:rPr>
                <w:rFonts w:eastAsia="Calibri"/>
                <w:lang w:eastAsia="en-US"/>
              </w:rPr>
              <w:t xml:space="preserve">. Atbilstoši rīkojumam, darba grupas galvenais uzdevums ir koordinēt </w:t>
            </w:r>
            <w:r w:rsidR="00B87711" w:rsidRPr="00B87711">
              <w:rPr>
                <w:rFonts w:eastAsia="Calibri"/>
                <w:lang w:eastAsia="en-US"/>
              </w:rPr>
              <w:t>LTRK</w:t>
            </w:r>
            <w:r w:rsidRPr="00B87711">
              <w:rPr>
                <w:rFonts w:eastAsia="Calibri"/>
                <w:lang w:eastAsia="en-US"/>
              </w:rPr>
              <w:t xml:space="preserve"> deleģētā valsts pārvaldes uzdevuma </w:t>
            </w:r>
            <w:r w:rsidR="00B87711" w:rsidRPr="00B87711">
              <w:rPr>
                <w:rFonts w:eastAsia="Calibri"/>
                <w:lang w:eastAsia="en-US"/>
              </w:rPr>
              <w:t xml:space="preserve">– dalības nodrošināšanu izstādē “EXPO 2020 </w:t>
            </w:r>
            <w:proofErr w:type="spellStart"/>
            <w:r w:rsidR="00B87711" w:rsidRPr="00B87711">
              <w:rPr>
                <w:rFonts w:eastAsia="Calibri"/>
                <w:lang w:eastAsia="en-US"/>
              </w:rPr>
              <w:t>Dubai</w:t>
            </w:r>
            <w:proofErr w:type="spellEnd"/>
            <w:r w:rsidR="00B87711" w:rsidRPr="00B87711">
              <w:rPr>
                <w:rFonts w:eastAsia="Calibri"/>
                <w:lang w:eastAsia="en-US"/>
              </w:rPr>
              <w:t>” izpildi</w:t>
            </w:r>
            <w:r w:rsidR="00E96539">
              <w:rPr>
                <w:rFonts w:eastAsia="Calibri"/>
                <w:lang w:eastAsia="en-US"/>
              </w:rPr>
              <w:t>.</w:t>
            </w:r>
          </w:p>
          <w:p w14:paraId="04195B9C" w14:textId="5478350A" w:rsidR="002A0576" w:rsidRPr="00B87711" w:rsidRDefault="002A0576" w:rsidP="009D1B0B">
            <w:pPr>
              <w:ind w:firstLine="231"/>
              <w:contextualSpacing/>
              <w:jc w:val="both"/>
              <w:rPr>
                <w:rFonts w:eastAsia="Calibri"/>
                <w:lang w:eastAsia="en-US"/>
              </w:rPr>
            </w:pPr>
            <w:r w:rsidRPr="002A0576">
              <w:rPr>
                <w:rFonts w:eastAsia="Calibri"/>
                <w:lang w:eastAsia="en-US"/>
              </w:rPr>
              <w:t xml:space="preserve">Saskaņā ar </w:t>
            </w:r>
            <w:r w:rsidR="00B87711" w:rsidRPr="00B87711">
              <w:rPr>
                <w:rFonts w:eastAsia="Calibri"/>
                <w:lang w:eastAsia="en-US"/>
              </w:rPr>
              <w:t>r</w:t>
            </w:r>
            <w:r w:rsidRPr="002A0576">
              <w:rPr>
                <w:rFonts w:eastAsia="Calibri"/>
                <w:lang w:eastAsia="en-US"/>
              </w:rPr>
              <w:t>īkojum</w:t>
            </w:r>
            <w:r w:rsidR="00B87711" w:rsidRPr="00B87711">
              <w:rPr>
                <w:rFonts w:eastAsia="Calibri"/>
                <w:lang w:eastAsia="en-US"/>
              </w:rPr>
              <w:t>u</w:t>
            </w:r>
            <w:r w:rsidRPr="002A0576">
              <w:rPr>
                <w:rFonts w:eastAsia="Calibri"/>
                <w:lang w:eastAsia="en-US"/>
              </w:rPr>
              <w:t xml:space="preserve"> </w:t>
            </w:r>
            <w:r w:rsidR="00B87711" w:rsidRPr="00B87711">
              <w:rPr>
                <w:rFonts w:eastAsia="Calibri"/>
                <w:lang w:eastAsia="en-US"/>
              </w:rPr>
              <w:t>d</w:t>
            </w:r>
            <w:r w:rsidRPr="002A0576">
              <w:rPr>
                <w:rFonts w:eastAsia="Calibri"/>
                <w:lang w:eastAsia="en-US"/>
              </w:rPr>
              <w:t xml:space="preserve">arba grupas uzdevumos ietilptu pienākums vismaz reizi ceturksnī iepazīties un izvērtēt LTRK sniegtās atskaites par progresu deleģētā </w:t>
            </w:r>
            <w:r w:rsidR="00E96539">
              <w:rPr>
                <w:rFonts w:eastAsia="Calibri"/>
                <w:lang w:eastAsia="en-US"/>
              </w:rPr>
              <w:t>V</w:t>
            </w:r>
            <w:r w:rsidRPr="002A0576">
              <w:rPr>
                <w:rFonts w:eastAsia="Calibri"/>
                <w:lang w:eastAsia="en-US"/>
              </w:rPr>
              <w:t xml:space="preserve">alsts pārvaldes uzdevuma īstenošanā. Šīm atskaitēm būtu informatīvs raksturs, kas neizslēgtu iespēju darba grupas locekļiem, ievērojot Deleģēšanas līgumā noteikto pienākumu un tiesību ietvaru, uzdot papildu jautājumus vai izteikt priekšlikumus attiecībā uz deleģētā </w:t>
            </w:r>
            <w:r w:rsidR="00A64FFC">
              <w:rPr>
                <w:rFonts w:eastAsia="Calibri"/>
                <w:lang w:eastAsia="en-US"/>
              </w:rPr>
              <w:t>V</w:t>
            </w:r>
            <w:r w:rsidRPr="002A0576">
              <w:rPr>
                <w:rFonts w:eastAsia="Calibri"/>
                <w:lang w:eastAsia="en-US"/>
              </w:rPr>
              <w:t xml:space="preserve">alsts pārvaldes uzdevuma īstenošanu. Tāpat </w:t>
            </w:r>
            <w:r w:rsidR="00B87711" w:rsidRPr="00B87711">
              <w:rPr>
                <w:rFonts w:eastAsia="Calibri"/>
                <w:lang w:eastAsia="en-US"/>
              </w:rPr>
              <w:t>d</w:t>
            </w:r>
            <w:r w:rsidRPr="002A0576">
              <w:rPr>
                <w:rFonts w:eastAsia="Calibri"/>
                <w:lang w:eastAsia="en-US"/>
              </w:rPr>
              <w:t xml:space="preserve">arba grupas locekļu </w:t>
            </w:r>
            <w:r w:rsidR="00512017">
              <w:rPr>
                <w:rFonts w:eastAsia="Calibri"/>
                <w:lang w:eastAsia="en-US"/>
              </w:rPr>
              <w:t xml:space="preserve">uzdevumos </w:t>
            </w:r>
            <w:r w:rsidRPr="002A0576">
              <w:rPr>
                <w:rFonts w:eastAsia="Calibri"/>
                <w:lang w:eastAsia="en-US"/>
              </w:rPr>
              <w:t xml:space="preserve">ietilptu pienākums nepieciešamības gadījumā sniegt konsultācijas Ekonomikas ministrijai un LTRK jautājumos, kas skar konkrētās institūcijas kompetences. </w:t>
            </w:r>
          </w:p>
          <w:p w14:paraId="786BC015" w14:textId="3E1475FD" w:rsidR="00BD5588" w:rsidRDefault="004057D7" w:rsidP="009D1B0B">
            <w:pPr>
              <w:ind w:firstLine="231"/>
              <w:contextualSpacing/>
              <w:jc w:val="both"/>
              <w:rPr>
                <w:rFonts w:eastAsia="Calibri"/>
                <w:lang w:eastAsia="en-US"/>
              </w:rPr>
            </w:pPr>
            <w:r>
              <w:rPr>
                <w:rFonts w:eastAsia="Calibri"/>
                <w:lang w:eastAsia="en-US"/>
              </w:rPr>
              <w:t xml:space="preserve">Tā kā </w:t>
            </w:r>
            <w:r w:rsidR="007E757D" w:rsidRPr="00B87711">
              <w:rPr>
                <w:rFonts w:eastAsia="Calibri"/>
                <w:lang w:eastAsia="en-US"/>
              </w:rPr>
              <w:t>Ministru kabinet</w:t>
            </w:r>
            <w:r w:rsidR="00474116">
              <w:rPr>
                <w:rFonts w:eastAsia="Calibri"/>
                <w:lang w:eastAsia="en-US"/>
              </w:rPr>
              <w:t>s ar</w:t>
            </w:r>
            <w:r w:rsidR="007E757D" w:rsidRPr="00B87711">
              <w:rPr>
                <w:rFonts w:eastAsia="Calibri"/>
                <w:lang w:eastAsia="en-US"/>
              </w:rPr>
              <w:t xml:space="preserve"> </w:t>
            </w:r>
            <w:r w:rsidR="00B87711" w:rsidRPr="00B87711">
              <w:rPr>
                <w:rFonts w:eastAsia="Calibri"/>
                <w:lang w:eastAsia="en-US"/>
              </w:rPr>
              <w:t xml:space="preserve">2020.gada 21.janvāra sēdes </w:t>
            </w:r>
            <w:r w:rsidR="003165DC">
              <w:rPr>
                <w:rFonts w:eastAsia="Calibri"/>
                <w:lang w:eastAsia="en-US"/>
              </w:rPr>
              <w:t>(prot.</w:t>
            </w:r>
            <w:r w:rsidR="003165DC" w:rsidRPr="00B87711">
              <w:rPr>
                <w:rFonts w:eastAsia="Calibri"/>
                <w:lang w:eastAsia="en-US"/>
              </w:rPr>
              <w:t>Nr.3</w:t>
            </w:r>
            <w:r w:rsidR="003B176A">
              <w:rPr>
                <w:rFonts w:eastAsia="Calibri"/>
                <w:lang w:eastAsia="en-US"/>
              </w:rPr>
              <w:t>,</w:t>
            </w:r>
            <w:r w:rsidR="003165DC" w:rsidRPr="00B87711">
              <w:rPr>
                <w:rFonts w:eastAsia="Calibri"/>
                <w:lang w:eastAsia="en-US"/>
              </w:rPr>
              <w:t xml:space="preserve"> </w:t>
            </w:r>
            <w:r w:rsidR="003165DC" w:rsidRPr="00846D28">
              <w:rPr>
                <w:rFonts w:eastAsia="Calibri"/>
                <w:bCs/>
                <w:lang w:eastAsia="en-US"/>
              </w:rPr>
              <w:t>55.§</w:t>
            </w:r>
            <w:r w:rsidR="003165DC">
              <w:rPr>
                <w:rFonts w:eastAsia="Calibri"/>
                <w:bCs/>
                <w:lang w:eastAsia="en-US"/>
              </w:rPr>
              <w:t xml:space="preserve">) </w:t>
            </w:r>
            <w:proofErr w:type="spellStart"/>
            <w:r w:rsidR="00B87711" w:rsidRPr="00B87711">
              <w:rPr>
                <w:rFonts w:eastAsia="Calibri"/>
                <w:lang w:eastAsia="en-US"/>
              </w:rPr>
              <w:t>protokol</w:t>
            </w:r>
            <w:r w:rsidR="007E757D">
              <w:rPr>
                <w:rFonts w:eastAsia="Calibri"/>
                <w:lang w:eastAsia="en-US"/>
              </w:rPr>
              <w:t>lēmum</w:t>
            </w:r>
            <w:r w:rsidR="00BD00D2">
              <w:rPr>
                <w:rFonts w:eastAsia="Calibri"/>
                <w:lang w:eastAsia="en-US"/>
              </w:rPr>
              <w:t>u</w:t>
            </w:r>
            <w:proofErr w:type="spellEnd"/>
            <w:r w:rsidR="00B87711" w:rsidRPr="00B87711">
              <w:rPr>
                <w:rFonts w:eastAsia="Calibri"/>
                <w:lang w:eastAsia="en-US"/>
              </w:rPr>
              <w:t xml:space="preserve"> </w:t>
            </w:r>
            <w:r w:rsidR="00B87711" w:rsidRPr="00B87711">
              <w:rPr>
                <w:rFonts w:eastAsia="Calibri"/>
                <w:bCs/>
                <w:lang w:eastAsia="en-US"/>
              </w:rPr>
              <w:t>“</w:t>
            </w:r>
            <w:r w:rsidR="00B87711" w:rsidRPr="00846D28">
              <w:rPr>
                <w:rFonts w:eastAsia="Calibri"/>
                <w:lang w:eastAsia="en-US"/>
              </w:rPr>
              <w:t>Par informatīvo ziņojumu “Par aktuālo situāciju turpmākās dalības nodrošināšanai izstādē “</w:t>
            </w:r>
            <w:r w:rsidR="003B176A" w:rsidRPr="00846D28">
              <w:rPr>
                <w:rFonts w:eastAsia="Calibri"/>
                <w:lang w:eastAsia="en-US"/>
              </w:rPr>
              <w:t xml:space="preserve">Expo </w:t>
            </w:r>
            <w:r w:rsidR="00B87711" w:rsidRPr="00846D28">
              <w:rPr>
                <w:rFonts w:eastAsia="Calibri"/>
                <w:lang w:eastAsia="en-US"/>
              </w:rPr>
              <w:t xml:space="preserve">2020 </w:t>
            </w:r>
            <w:proofErr w:type="spellStart"/>
            <w:r w:rsidR="00B87711" w:rsidRPr="00846D28">
              <w:rPr>
                <w:rFonts w:eastAsia="Calibri"/>
                <w:lang w:eastAsia="en-US"/>
              </w:rPr>
              <w:t>Dubai</w:t>
            </w:r>
            <w:proofErr w:type="spellEnd"/>
            <w:r w:rsidR="00B87711" w:rsidRPr="00846D28">
              <w:rPr>
                <w:rFonts w:eastAsia="Calibri"/>
                <w:lang w:eastAsia="en-US"/>
              </w:rPr>
              <w:t>””</w:t>
            </w:r>
            <w:r w:rsidR="00B87711" w:rsidRPr="00B87711">
              <w:rPr>
                <w:rFonts w:eastAsia="Calibri"/>
                <w:lang w:eastAsia="en-US"/>
              </w:rPr>
              <w:t xml:space="preserve"> (</w:t>
            </w:r>
            <w:r w:rsidR="00B87711" w:rsidRPr="00846D28">
              <w:rPr>
                <w:rFonts w:eastAsia="Calibri"/>
                <w:lang w:eastAsia="en-US"/>
              </w:rPr>
              <w:t>TA-33-IP</w:t>
            </w:r>
            <w:r w:rsidR="00B87711" w:rsidRPr="00B87711">
              <w:rPr>
                <w:rFonts w:eastAsia="Calibri"/>
                <w:lang w:eastAsia="en-US"/>
              </w:rPr>
              <w:t>) konceptuāli izšķīries par sadarbības pārtraukšanu ar LTRK un deleģēt</w:t>
            </w:r>
            <w:r w:rsidR="00D26F4E">
              <w:rPr>
                <w:rFonts w:eastAsia="Calibri"/>
                <w:lang w:eastAsia="en-US"/>
              </w:rPr>
              <w:t>o</w:t>
            </w:r>
            <w:r w:rsidR="00B87711" w:rsidRPr="00B87711">
              <w:rPr>
                <w:rFonts w:eastAsia="Calibri"/>
                <w:lang w:eastAsia="en-US"/>
              </w:rPr>
              <w:t xml:space="preserve"> </w:t>
            </w:r>
            <w:r w:rsidR="00213598">
              <w:rPr>
                <w:rFonts w:eastAsia="Calibri"/>
                <w:lang w:eastAsia="en-US"/>
              </w:rPr>
              <w:t>V</w:t>
            </w:r>
            <w:r w:rsidR="00B87711" w:rsidRPr="00B87711">
              <w:rPr>
                <w:rFonts w:eastAsia="Calibri"/>
                <w:lang w:eastAsia="en-US"/>
              </w:rPr>
              <w:t>alsts pārvaldes uzdevum</w:t>
            </w:r>
            <w:r w:rsidR="00D26F4E">
              <w:rPr>
                <w:rFonts w:eastAsia="Calibri"/>
                <w:lang w:eastAsia="en-US"/>
              </w:rPr>
              <w:t>u</w:t>
            </w:r>
            <w:r w:rsidR="00B87711" w:rsidRPr="00B87711">
              <w:rPr>
                <w:rFonts w:eastAsia="Calibri"/>
                <w:lang w:eastAsia="en-US"/>
              </w:rPr>
              <w:t xml:space="preserve"> nod</w:t>
            </w:r>
            <w:r w:rsidR="00D26F4E">
              <w:rPr>
                <w:rFonts w:eastAsia="Calibri"/>
                <w:lang w:eastAsia="en-US"/>
              </w:rPr>
              <w:t xml:space="preserve">evis </w:t>
            </w:r>
            <w:r w:rsidR="00B87711" w:rsidRPr="00B87711">
              <w:rPr>
                <w:rFonts w:eastAsia="Calibri"/>
                <w:lang w:eastAsia="en-US"/>
              </w:rPr>
              <w:t xml:space="preserve">atpakaļ Ekonomikas ministrijas kompetencē, kā arī 2020.gada 31.janvārī starp Ekonomikas ministriju un LTRK tika noslēgta Vienošanās, </w:t>
            </w:r>
            <w:r w:rsidR="002448A4">
              <w:rPr>
                <w:rFonts w:eastAsia="Calibri"/>
                <w:lang w:eastAsia="en-US"/>
              </w:rPr>
              <w:t xml:space="preserve">tad </w:t>
            </w:r>
            <w:r w:rsidR="00B87711" w:rsidRPr="00B87711">
              <w:rPr>
                <w:rFonts w:eastAsia="Calibri"/>
                <w:lang w:eastAsia="en-US"/>
              </w:rPr>
              <w:t>rīkojums ir zaudējis savu aktualitāti un ir atzīstams par spēku zaudējušu.</w:t>
            </w:r>
          </w:p>
          <w:p w14:paraId="6D9B372E" w14:textId="6395A89A" w:rsidR="00754813" w:rsidRPr="00B87711" w:rsidRDefault="00A50362" w:rsidP="009D1B0B">
            <w:pPr>
              <w:ind w:firstLine="231"/>
              <w:contextualSpacing/>
              <w:jc w:val="both"/>
            </w:pPr>
            <w:r>
              <w:t>Tādēļ p</w:t>
            </w:r>
            <w:r w:rsidR="00754813">
              <w:t xml:space="preserve">rojekts ir nepieciešams, lai nodrošinātu tiesību aktu atbilstību esošajai situācijai un </w:t>
            </w:r>
            <w:r w:rsidR="00FA038A">
              <w:t xml:space="preserve">atzītu </w:t>
            </w:r>
            <w:r w:rsidR="00754813">
              <w:t>neaktuāl</w:t>
            </w:r>
            <w:r w:rsidR="00FA038A">
              <w:t>u</w:t>
            </w:r>
            <w:r w:rsidR="00754813">
              <w:t xml:space="preserve"> tiesību akt</w:t>
            </w:r>
            <w:r w:rsidR="00FA038A">
              <w:t>u</w:t>
            </w:r>
            <w:r w:rsidR="00754813">
              <w:t xml:space="preserve"> par spēku zaudējuš</w:t>
            </w:r>
            <w:r w:rsidR="00465C7F">
              <w:t>u</w:t>
            </w:r>
            <w:r w:rsidR="00754813">
              <w:t>.</w:t>
            </w:r>
          </w:p>
        </w:tc>
      </w:tr>
      <w:tr w:rsidR="00BD5588" w:rsidRPr="00B87711" w14:paraId="4E6E39E6" w14:textId="77777777" w:rsidTr="00823F50">
        <w:trPr>
          <w:cantSplit/>
        </w:trPr>
        <w:tc>
          <w:tcPr>
            <w:tcW w:w="311" w:type="pct"/>
            <w:hideMark/>
          </w:tcPr>
          <w:p w14:paraId="151121E1" w14:textId="77777777" w:rsidR="00BD5588" w:rsidRPr="00B87711" w:rsidRDefault="00BD5588" w:rsidP="009D1B0B">
            <w:pPr>
              <w:contextualSpacing/>
              <w:jc w:val="center"/>
            </w:pPr>
            <w:r w:rsidRPr="00B87711">
              <w:lastRenderedPageBreak/>
              <w:t>3.</w:t>
            </w:r>
          </w:p>
        </w:tc>
        <w:tc>
          <w:tcPr>
            <w:tcW w:w="1479" w:type="pct"/>
            <w:hideMark/>
          </w:tcPr>
          <w:p w14:paraId="4D4D6644" w14:textId="77777777" w:rsidR="00BD5588" w:rsidRPr="00B87711" w:rsidRDefault="00BD5588" w:rsidP="009D1B0B">
            <w:pPr>
              <w:contextualSpacing/>
            </w:pPr>
            <w:r w:rsidRPr="00B87711">
              <w:t>Projekta izstrādē iesaistītās institūcijas un publiskas personas kapitālsabiedrības</w:t>
            </w:r>
          </w:p>
        </w:tc>
        <w:tc>
          <w:tcPr>
            <w:tcW w:w="3210" w:type="pct"/>
            <w:hideMark/>
          </w:tcPr>
          <w:p w14:paraId="2D591B04" w14:textId="28BA72B5" w:rsidR="00BD5588" w:rsidRPr="00B87711" w:rsidRDefault="007D5F17" w:rsidP="009D1B0B">
            <w:pPr>
              <w:contextualSpacing/>
              <w:jc w:val="both"/>
            </w:pPr>
            <w:r>
              <w:t>Projekta izstrādē citu institūciju iesaiste nav bijusi nepieciešama, ņemot vērā to, ka projekts nerada jaunus pienākumus vai administratīvo slogu.</w:t>
            </w:r>
          </w:p>
        </w:tc>
      </w:tr>
      <w:tr w:rsidR="00BD5588" w:rsidRPr="00B87711" w14:paraId="1589418D" w14:textId="77777777" w:rsidTr="00823F50">
        <w:trPr>
          <w:cantSplit/>
        </w:trPr>
        <w:tc>
          <w:tcPr>
            <w:tcW w:w="311" w:type="pct"/>
            <w:hideMark/>
          </w:tcPr>
          <w:p w14:paraId="75B01766" w14:textId="77777777" w:rsidR="00BD5588" w:rsidRPr="00B87711" w:rsidRDefault="00BD5588" w:rsidP="009D1B0B">
            <w:pPr>
              <w:contextualSpacing/>
              <w:jc w:val="center"/>
            </w:pPr>
            <w:r w:rsidRPr="00B87711">
              <w:t>4.</w:t>
            </w:r>
          </w:p>
        </w:tc>
        <w:tc>
          <w:tcPr>
            <w:tcW w:w="1479" w:type="pct"/>
            <w:hideMark/>
          </w:tcPr>
          <w:p w14:paraId="7F7EA501" w14:textId="77777777" w:rsidR="00BD5588" w:rsidRPr="00B87711" w:rsidRDefault="00BD5588" w:rsidP="009D1B0B">
            <w:pPr>
              <w:contextualSpacing/>
            </w:pPr>
            <w:r w:rsidRPr="00B87711">
              <w:t>Cita informācija</w:t>
            </w:r>
          </w:p>
        </w:tc>
        <w:tc>
          <w:tcPr>
            <w:tcW w:w="3210" w:type="pct"/>
            <w:hideMark/>
          </w:tcPr>
          <w:p w14:paraId="388D086E" w14:textId="33D9CD9C" w:rsidR="00BD5588" w:rsidRPr="00B87711" w:rsidRDefault="007D5F17" w:rsidP="009D1B0B">
            <w:pPr>
              <w:contextualSpacing/>
            </w:pPr>
            <w:r>
              <w:t>Nav</w:t>
            </w:r>
          </w:p>
        </w:tc>
      </w:tr>
    </w:tbl>
    <w:p w14:paraId="4DA46CAD" w14:textId="77777777" w:rsidR="00BD5588" w:rsidRPr="00B87711" w:rsidRDefault="00BD5588" w:rsidP="009D1B0B">
      <w:pPr>
        <w:pStyle w:val="Title"/>
        <w:contextualSpacing/>
        <w:jc w:val="both"/>
        <w:rPr>
          <w:sz w:val="24"/>
          <w:szCs w:val="24"/>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86"/>
      </w:tblGrid>
      <w:tr w:rsidR="00BD5588" w:rsidRPr="00B87711" w14:paraId="2B0242BE" w14:textId="77777777" w:rsidTr="00DE74E0">
        <w:trPr>
          <w:cantSplit/>
          <w:trHeight w:val="126"/>
        </w:trPr>
        <w:tc>
          <w:tcPr>
            <w:tcW w:w="5000" w:type="pct"/>
            <w:vAlign w:val="center"/>
            <w:hideMark/>
          </w:tcPr>
          <w:p w14:paraId="37EA1A5D" w14:textId="77777777" w:rsidR="00BD5588" w:rsidRPr="00B87711" w:rsidRDefault="00BD5588" w:rsidP="009D1B0B">
            <w:pPr>
              <w:contextualSpacing/>
              <w:jc w:val="center"/>
              <w:rPr>
                <w:b/>
                <w:bCs/>
              </w:rPr>
            </w:pPr>
            <w:r w:rsidRPr="00B87711">
              <w:rPr>
                <w:b/>
                <w:bCs/>
              </w:rPr>
              <w:t>II. Tiesību akta projekta ietekme uz sabiedrību, tautsaimniecības attīstību un administratīvo slogu</w:t>
            </w:r>
          </w:p>
        </w:tc>
      </w:tr>
      <w:tr w:rsidR="00DE74E0" w:rsidRPr="00B87711" w14:paraId="5CD44860" w14:textId="77777777" w:rsidTr="00823F50">
        <w:trPr>
          <w:cantSplit/>
          <w:trHeight w:val="234"/>
        </w:trPr>
        <w:tc>
          <w:tcPr>
            <w:tcW w:w="5000" w:type="pct"/>
          </w:tcPr>
          <w:p w14:paraId="49FF28FD" w14:textId="7746F3B3" w:rsidR="00DE74E0" w:rsidRPr="00B87711" w:rsidRDefault="00DE74E0" w:rsidP="009D1B0B">
            <w:pPr>
              <w:contextualSpacing/>
              <w:jc w:val="center"/>
            </w:pPr>
            <w:r>
              <w:t>Projekts šo jomu neskar</w:t>
            </w:r>
          </w:p>
        </w:tc>
      </w:tr>
    </w:tbl>
    <w:p w14:paraId="3157D9DE" w14:textId="31AEA3C4" w:rsidR="00BD5588" w:rsidRPr="00B87711" w:rsidRDefault="00BD5588" w:rsidP="009D1B0B">
      <w:pPr>
        <w:contextualSpacing/>
      </w:pPr>
    </w:p>
    <w:tbl>
      <w:tblPr>
        <w:tblW w:w="50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88"/>
      </w:tblGrid>
      <w:tr w:rsidR="00BD5588" w:rsidRPr="00B87711" w14:paraId="4F97A137" w14:textId="77777777" w:rsidTr="0019567F">
        <w:trPr>
          <w:cantSplit/>
          <w:trHeight w:val="3"/>
        </w:trPr>
        <w:tc>
          <w:tcPr>
            <w:tcW w:w="8321" w:type="dxa"/>
            <w:shd w:val="clear" w:color="auto" w:fill="auto"/>
            <w:vAlign w:val="center"/>
            <w:hideMark/>
          </w:tcPr>
          <w:p w14:paraId="124DD957" w14:textId="77777777" w:rsidR="00BD5588" w:rsidRPr="00B87711" w:rsidRDefault="00BD5588" w:rsidP="009D1B0B">
            <w:pPr>
              <w:contextualSpacing/>
              <w:jc w:val="center"/>
              <w:rPr>
                <w:b/>
                <w:bCs/>
                <w:lang w:eastAsia="en-US"/>
              </w:rPr>
            </w:pPr>
            <w:r w:rsidRPr="00B87711">
              <w:rPr>
                <w:b/>
                <w:bCs/>
                <w:lang w:eastAsia="en-US"/>
              </w:rPr>
              <w:t>III. Tiesību akta projekta ietekme uz valsts budžetu un pašvaldību budžetiem</w:t>
            </w:r>
          </w:p>
        </w:tc>
      </w:tr>
      <w:tr w:rsidR="00DE74E0" w:rsidRPr="00B87711" w14:paraId="16E2F562" w14:textId="77777777" w:rsidTr="0019567F">
        <w:trPr>
          <w:cantSplit/>
          <w:trHeight w:val="111"/>
        </w:trPr>
        <w:tc>
          <w:tcPr>
            <w:tcW w:w="8321" w:type="dxa"/>
            <w:shd w:val="clear" w:color="auto" w:fill="FFFFFF"/>
            <w:vAlign w:val="center"/>
          </w:tcPr>
          <w:p w14:paraId="4BC9C6F8" w14:textId="22086223" w:rsidR="00DE74E0" w:rsidRPr="00B87711" w:rsidRDefault="00DE74E0" w:rsidP="009D1B0B">
            <w:pPr>
              <w:contextualSpacing/>
              <w:jc w:val="center"/>
              <w:rPr>
                <w:lang w:eastAsia="en-US"/>
              </w:rPr>
            </w:pPr>
            <w:r>
              <w:rPr>
                <w:lang w:eastAsia="en-US"/>
              </w:rPr>
              <w:t>Projekts šo jomu neskar</w:t>
            </w:r>
          </w:p>
        </w:tc>
      </w:tr>
    </w:tbl>
    <w:p w14:paraId="13C654DC" w14:textId="34388C4B" w:rsidR="00823F50" w:rsidRDefault="00823F50" w:rsidP="009D1B0B">
      <w:pPr>
        <w:pStyle w:val="Title"/>
        <w:contextualSpacing/>
        <w:jc w:val="both"/>
        <w:rPr>
          <w:sz w:val="24"/>
          <w:szCs w:val="24"/>
        </w:rPr>
      </w:pPr>
    </w:p>
    <w:tbl>
      <w:tblPr>
        <w:tblW w:w="50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88"/>
      </w:tblGrid>
      <w:tr w:rsidR="00823F50" w:rsidRPr="00B87711" w14:paraId="6588FD3E" w14:textId="77777777" w:rsidTr="007238DD">
        <w:trPr>
          <w:cantSplit/>
          <w:trHeight w:val="3"/>
        </w:trPr>
        <w:tc>
          <w:tcPr>
            <w:tcW w:w="8321" w:type="dxa"/>
            <w:vAlign w:val="center"/>
            <w:hideMark/>
          </w:tcPr>
          <w:p w14:paraId="3A979DAE" w14:textId="77777777" w:rsidR="00823F50" w:rsidRPr="00B87711" w:rsidRDefault="00823F50" w:rsidP="009D1B0B">
            <w:pPr>
              <w:contextualSpacing/>
              <w:jc w:val="center"/>
              <w:rPr>
                <w:b/>
                <w:bCs/>
              </w:rPr>
            </w:pPr>
            <w:r w:rsidRPr="00B87711">
              <w:rPr>
                <w:b/>
                <w:bCs/>
              </w:rPr>
              <w:t>IV. Tiesību akta projekta ietekme uz spēkā esošo tiesību normu sistēmu</w:t>
            </w:r>
          </w:p>
        </w:tc>
      </w:tr>
      <w:tr w:rsidR="00823F50" w:rsidRPr="00B87711" w14:paraId="5B200B95" w14:textId="77777777" w:rsidTr="00823F50">
        <w:trPr>
          <w:trHeight w:val="177"/>
        </w:trPr>
        <w:tc>
          <w:tcPr>
            <w:tcW w:w="8321" w:type="dxa"/>
          </w:tcPr>
          <w:p w14:paraId="536815FA" w14:textId="36A98E37" w:rsidR="00823F50" w:rsidRPr="00B87711" w:rsidRDefault="00823F50" w:rsidP="009D1B0B">
            <w:pPr>
              <w:contextualSpacing/>
              <w:jc w:val="center"/>
            </w:pPr>
            <w:r w:rsidRPr="0019567F">
              <w:t>Projekts šo jomu neskar</w:t>
            </w:r>
          </w:p>
        </w:tc>
      </w:tr>
    </w:tbl>
    <w:p w14:paraId="77694551" w14:textId="77777777" w:rsidR="00823F50" w:rsidRDefault="00823F50" w:rsidP="009D1B0B">
      <w:pPr>
        <w:pStyle w:val="Title"/>
        <w:contextualSpacing/>
        <w:jc w:val="both"/>
        <w:rPr>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01"/>
      </w:tblGrid>
      <w:tr w:rsidR="00BD5588" w:rsidRPr="00B87711" w14:paraId="1C92ECBF" w14:textId="77777777" w:rsidTr="0019567F">
        <w:trPr>
          <w:cantSplit/>
          <w:trHeight w:val="196"/>
        </w:trPr>
        <w:tc>
          <w:tcPr>
            <w:tcW w:w="5000" w:type="pct"/>
            <w:vAlign w:val="center"/>
            <w:hideMark/>
          </w:tcPr>
          <w:p w14:paraId="639314D4" w14:textId="77777777" w:rsidR="00BD5588" w:rsidRPr="00B87711" w:rsidRDefault="00BD5588" w:rsidP="009D1B0B">
            <w:pPr>
              <w:contextualSpacing/>
              <w:jc w:val="center"/>
              <w:rPr>
                <w:b/>
                <w:bCs/>
              </w:rPr>
            </w:pPr>
            <w:r w:rsidRPr="00B87711">
              <w:rPr>
                <w:b/>
                <w:bCs/>
              </w:rPr>
              <w:t>V. Tiesību akta projekta atbilstība Latvijas Republikas starptautiskajām saistībām</w:t>
            </w:r>
          </w:p>
        </w:tc>
      </w:tr>
      <w:tr w:rsidR="0019567F" w:rsidRPr="00B87711" w14:paraId="4954AD33" w14:textId="77777777" w:rsidTr="00823F50">
        <w:trPr>
          <w:cantSplit/>
          <w:trHeight w:val="125"/>
        </w:trPr>
        <w:tc>
          <w:tcPr>
            <w:tcW w:w="5000" w:type="pct"/>
          </w:tcPr>
          <w:p w14:paraId="18211CA5" w14:textId="21C1A1FC" w:rsidR="0019567F" w:rsidRPr="00B87711" w:rsidRDefault="0019567F" w:rsidP="009D1B0B">
            <w:pPr>
              <w:contextualSpacing/>
              <w:jc w:val="center"/>
            </w:pPr>
            <w:r>
              <w:t>Projekts šo jomu neskar</w:t>
            </w:r>
          </w:p>
        </w:tc>
      </w:tr>
    </w:tbl>
    <w:p w14:paraId="01165F75" w14:textId="77777777" w:rsidR="00BD5588" w:rsidRPr="009D1B0B" w:rsidRDefault="00BD5588" w:rsidP="009D1B0B">
      <w:pPr>
        <w:pStyle w:val="Title"/>
        <w:contextualSpacing/>
        <w:jc w:val="both"/>
        <w:rPr>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21"/>
        <w:gridCol w:w="2834"/>
        <w:gridCol w:w="5846"/>
      </w:tblGrid>
      <w:tr w:rsidR="00BD5588" w:rsidRPr="009D1B0B" w14:paraId="2F0E529A" w14:textId="77777777" w:rsidTr="009D1B0B">
        <w:trPr>
          <w:cantSplit/>
          <w:trHeight w:val="88"/>
        </w:trPr>
        <w:tc>
          <w:tcPr>
            <w:tcW w:w="5000" w:type="pct"/>
            <w:gridSpan w:val="3"/>
            <w:vAlign w:val="center"/>
            <w:hideMark/>
          </w:tcPr>
          <w:p w14:paraId="5258ADBF" w14:textId="77777777" w:rsidR="00BD5588" w:rsidRPr="009D1B0B" w:rsidRDefault="00BD5588" w:rsidP="009D1B0B">
            <w:pPr>
              <w:contextualSpacing/>
              <w:jc w:val="center"/>
              <w:rPr>
                <w:b/>
                <w:bCs/>
              </w:rPr>
            </w:pPr>
            <w:r w:rsidRPr="009D1B0B">
              <w:rPr>
                <w:b/>
                <w:bCs/>
              </w:rPr>
              <w:t>VI. Sabiedrības līdzdalība un komunikācijas aktivitātes</w:t>
            </w:r>
          </w:p>
        </w:tc>
      </w:tr>
      <w:tr w:rsidR="0009579E" w:rsidRPr="009D1B0B" w14:paraId="5CB940CA" w14:textId="77777777" w:rsidTr="009D1B0B">
        <w:trPr>
          <w:cantSplit/>
          <w:trHeight w:val="88"/>
        </w:trPr>
        <w:tc>
          <w:tcPr>
            <w:tcW w:w="231" w:type="pct"/>
          </w:tcPr>
          <w:p w14:paraId="5356C408" w14:textId="1DF18C10" w:rsidR="0009579E" w:rsidRPr="009D1B0B" w:rsidRDefault="0009579E" w:rsidP="0009579E">
            <w:pPr>
              <w:contextualSpacing/>
              <w:jc w:val="center"/>
            </w:pPr>
            <w:r w:rsidRPr="009D1B0B">
              <w:t>1.</w:t>
            </w:r>
          </w:p>
        </w:tc>
        <w:tc>
          <w:tcPr>
            <w:tcW w:w="1557" w:type="pct"/>
          </w:tcPr>
          <w:p w14:paraId="42AB4158" w14:textId="003300FE" w:rsidR="0009579E" w:rsidRPr="009D1B0B" w:rsidRDefault="0009579E" w:rsidP="0009579E">
            <w:pPr>
              <w:contextualSpacing/>
              <w:jc w:val="both"/>
              <w:rPr>
                <w:b/>
                <w:bCs/>
              </w:rPr>
            </w:pPr>
            <w:r w:rsidRPr="009D1B0B">
              <w:t>Plānotās sabiedrības līdzdalības un komunikācijas aktivitātes saistībā ar projektu</w:t>
            </w:r>
          </w:p>
        </w:tc>
        <w:tc>
          <w:tcPr>
            <w:tcW w:w="3212" w:type="pct"/>
          </w:tcPr>
          <w:p w14:paraId="4D1C9627" w14:textId="00A2BA7E" w:rsidR="00AB664D" w:rsidRPr="009D1B0B" w:rsidRDefault="006E40F9" w:rsidP="00EA0BAC">
            <w:pPr>
              <w:contextualSpacing/>
              <w:jc w:val="both"/>
              <w:rPr>
                <w:b/>
                <w:bCs/>
              </w:rPr>
            </w:pPr>
            <w:r>
              <w:t>S</w:t>
            </w:r>
            <w:r w:rsidR="00EA0BAC" w:rsidRPr="00EA0BAC">
              <w:t>abiedrība tiks informēta</w:t>
            </w:r>
            <w:r w:rsidR="00EA0BAC">
              <w:t xml:space="preserve">, </w:t>
            </w:r>
            <w:r w:rsidR="00C7241C">
              <w:t>p</w:t>
            </w:r>
            <w:r w:rsidR="00C7241C" w:rsidRPr="00EA0BAC">
              <w:t>ieņemt</w:t>
            </w:r>
            <w:r w:rsidR="00C7241C">
              <w:t>o</w:t>
            </w:r>
            <w:r w:rsidR="00C7241C" w:rsidRPr="00EA0BAC">
              <w:t xml:space="preserve"> </w:t>
            </w:r>
            <w:r w:rsidR="00C7241C">
              <w:t xml:space="preserve">projektu </w:t>
            </w:r>
            <w:r w:rsidR="001A2D36">
              <w:t>s</w:t>
            </w:r>
            <w:r w:rsidR="00EA0BAC" w:rsidRPr="009D1B0B">
              <w:t>askaņā ar Oficiālo publikāciju un tiesiskās informācijas likuma 2.</w:t>
            </w:r>
            <w:r w:rsidR="001A2D36">
              <w:t> </w:t>
            </w:r>
            <w:r w:rsidR="00EA0BAC" w:rsidRPr="009D1B0B">
              <w:t>panta pirmo daļu un 3.</w:t>
            </w:r>
            <w:r w:rsidR="001A2D36">
              <w:t> </w:t>
            </w:r>
            <w:r w:rsidR="00EA0BAC" w:rsidRPr="009D1B0B">
              <w:t>panta pirmo daļu publicē</w:t>
            </w:r>
            <w:r w:rsidR="00C727B1">
              <w:t>jot</w:t>
            </w:r>
            <w:r w:rsidR="00EA0BAC" w:rsidRPr="009D1B0B">
              <w:t xml:space="preserve"> oficiālajā izdevumā “Latvijas Vēstnesis”</w:t>
            </w:r>
            <w:r w:rsidR="00C727B1">
              <w:t xml:space="preserve"> </w:t>
            </w:r>
            <w:r w:rsidR="00EA0BAC" w:rsidRPr="009D1B0B">
              <w:t xml:space="preserve">tīmekļa vietnē </w:t>
            </w:r>
            <w:hyperlink r:id="rId7" w:history="1">
              <w:r w:rsidR="00AB664D" w:rsidRPr="00A76225">
                <w:rPr>
                  <w:rStyle w:val="Hyperlink"/>
                </w:rPr>
                <w:t>www.vestnesis.lv</w:t>
              </w:r>
            </w:hyperlink>
            <w:r w:rsidR="00EA0BAC" w:rsidRPr="009D1B0B">
              <w:t>.</w:t>
            </w:r>
          </w:p>
        </w:tc>
      </w:tr>
      <w:tr w:rsidR="0009579E" w:rsidRPr="009D1B0B" w14:paraId="79F4D575" w14:textId="77777777" w:rsidTr="009D1B0B">
        <w:trPr>
          <w:cantSplit/>
          <w:trHeight w:val="88"/>
        </w:trPr>
        <w:tc>
          <w:tcPr>
            <w:tcW w:w="231" w:type="pct"/>
          </w:tcPr>
          <w:p w14:paraId="0997BE96" w14:textId="0D2BE9C1" w:rsidR="0009579E" w:rsidRPr="009D1B0B" w:rsidRDefault="0009579E" w:rsidP="0009579E">
            <w:pPr>
              <w:contextualSpacing/>
              <w:jc w:val="center"/>
            </w:pPr>
            <w:r w:rsidRPr="009D1B0B">
              <w:t>2.</w:t>
            </w:r>
          </w:p>
        </w:tc>
        <w:tc>
          <w:tcPr>
            <w:tcW w:w="1557" w:type="pct"/>
          </w:tcPr>
          <w:p w14:paraId="1D774115" w14:textId="492CC513" w:rsidR="0009579E" w:rsidRPr="009D1B0B" w:rsidRDefault="0009579E" w:rsidP="0009579E">
            <w:pPr>
              <w:contextualSpacing/>
              <w:jc w:val="both"/>
              <w:rPr>
                <w:b/>
                <w:bCs/>
              </w:rPr>
            </w:pPr>
            <w:r w:rsidRPr="009D1B0B">
              <w:t>Sabiedrības līdzdalība projekta izstrādē</w:t>
            </w:r>
          </w:p>
        </w:tc>
        <w:tc>
          <w:tcPr>
            <w:tcW w:w="3212" w:type="pct"/>
          </w:tcPr>
          <w:p w14:paraId="03088C23" w14:textId="4D0C459A" w:rsidR="0009579E" w:rsidRPr="009D1B0B" w:rsidRDefault="0009579E" w:rsidP="0009579E">
            <w:pPr>
              <w:contextualSpacing/>
              <w:jc w:val="both"/>
              <w:rPr>
                <w:b/>
                <w:bCs/>
              </w:rPr>
            </w:pPr>
            <w:r w:rsidRPr="009D1B0B">
              <w:t>Projekts šo jomu neskar</w:t>
            </w:r>
          </w:p>
        </w:tc>
      </w:tr>
      <w:tr w:rsidR="0009579E" w:rsidRPr="009D1B0B" w14:paraId="094C6815" w14:textId="77777777" w:rsidTr="009D1B0B">
        <w:trPr>
          <w:cantSplit/>
          <w:trHeight w:val="88"/>
        </w:trPr>
        <w:tc>
          <w:tcPr>
            <w:tcW w:w="231" w:type="pct"/>
          </w:tcPr>
          <w:p w14:paraId="0DF83951" w14:textId="6713E551" w:rsidR="0009579E" w:rsidRPr="009D1B0B" w:rsidRDefault="0009579E" w:rsidP="0009579E">
            <w:pPr>
              <w:contextualSpacing/>
              <w:jc w:val="center"/>
            </w:pPr>
            <w:r w:rsidRPr="009D1B0B">
              <w:t>3.</w:t>
            </w:r>
          </w:p>
        </w:tc>
        <w:tc>
          <w:tcPr>
            <w:tcW w:w="1557" w:type="pct"/>
          </w:tcPr>
          <w:p w14:paraId="06BB92E0" w14:textId="0C05EB59" w:rsidR="0009579E" w:rsidRPr="009D1B0B" w:rsidRDefault="0009579E" w:rsidP="0009579E">
            <w:pPr>
              <w:contextualSpacing/>
              <w:jc w:val="both"/>
              <w:rPr>
                <w:b/>
                <w:bCs/>
              </w:rPr>
            </w:pPr>
            <w:r w:rsidRPr="009D1B0B">
              <w:t>Sabiedrības līdzdalības rezultāti</w:t>
            </w:r>
          </w:p>
        </w:tc>
        <w:tc>
          <w:tcPr>
            <w:tcW w:w="3212" w:type="pct"/>
          </w:tcPr>
          <w:p w14:paraId="64FE4290" w14:textId="09BA0782" w:rsidR="0009579E" w:rsidRPr="009D1B0B" w:rsidRDefault="0009579E" w:rsidP="0009579E">
            <w:pPr>
              <w:contextualSpacing/>
              <w:jc w:val="both"/>
              <w:rPr>
                <w:b/>
                <w:bCs/>
              </w:rPr>
            </w:pPr>
            <w:r w:rsidRPr="009D1B0B">
              <w:t>Projekts šo jomu neskar</w:t>
            </w:r>
          </w:p>
        </w:tc>
      </w:tr>
      <w:tr w:rsidR="0009579E" w:rsidRPr="009D1B0B" w14:paraId="09FF6223" w14:textId="77777777" w:rsidTr="009D1B0B">
        <w:trPr>
          <w:cantSplit/>
          <w:trHeight w:val="88"/>
        </w:trPr>
        <w:tc>
          <w:tcPr>
            <w:tcW w:w="231" w:type="pct"/>
          </w:tcPr>
          <w:p w14:paraId="6828F2ED" w14:textId="66CFE055" w:rsidR="0009579E" w:rsidRPr="009D1B0B" w:rsidRDefault="0009579E" w:rsidP="0009579E">
            <w:pPr>
              <w:contextualSpacing/>
              <w:jc w:val="center"/>
            </w:pPr>
            <w:r w:rsidRPr="009D1B0B">
              <w:t>4.</w:t>
            </w:r>
          </w:p>
        </w:tc>
        <w:tc>
          <w:tcPr>
            <w:tcW w:w="1557" w:type="pct"/>
          </w:tcPr>
          <w:p w14:paraId="05FC5C9F" w14:textId="7350D046" w:rsidR="0009579E" w:rsidRPr="009D1B0B" w:rsidRDefault="0009579E" w:rsidP="0009579E">
            <w:pPr>
              <w:contextualSpacing/>
              <w:jc w:val="both"/>
              <w:rPr>
                <w:b/>
                <w:bCs/>
              </w:rPr>
            </w:pPr>
            <w:r w:rsidRPr="009D1B0B">
              <w:t>Cita informācija</w:t>
            </w:r>
          </w:p>
        </w:tc>
        <w:tc>
          <w:tcPr>
            <w:tcW w:w="3212" w:type="pct"/>
          </w:tcPr>
          <w:p w14:paraId="3D79F02A" w14:textId="4F57A78C" w:rsidR="0009579E" w:rsidRPr="00EA0BAC" w:rsidRDefault="00EA0BAC" w:rsidP="0009579E">
            <w:pPr>
              <w:contextualSpacing/>
              <w:jc w:val="both"/>
            </w:pPr>
            <w:r w:rsidRPr="00EA0BAC">
              <w:t>Nav</w:t>
            </w:r>
          </w:p>
        </w:tc>
      </w:tr>
    </w:tbl>
    <w:p w14:paraId="708B7762" w14:textId="77777777" w:rsidR="009D1B0B" w:rsidRDefault="009D1B0B" w:rsidP="009D1B0B">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823"/>
        <w:gridCol w:w="5817"/>
      </w:tblGrid>
      <w:tr w:rsidR="00BD5588" w:rsidRPr="00B87711" w14:paraId="3F3EE932" w14:textId="77777777" w:rsidTr="009E0502">
        <w:trPr>
          <w:cantSplit/>
        </w:trPr>
        <w:tc>
          <w:tcPr>
            <w:tcW w:w="5000" w:type="pct"/>
            <w:gridSpan w:val="3"/>
            <w:vAlign w:val="center"/>
            <w:hideMark/>
          </w:tcPr>
          <w:p w14:paraId="6F08CA1F" w14:textId="77777777" w:rsidR="00BD5588" w:rsidRPr="00B87711" w:rsidRDefault="00BD5588" w:rsidP="009D1B0B">
            <w:pPr>
              <w:contextualSpacing/>
              <w:jc w:val="center"/>
              <w:rPr>
                <w:b/>
                <w:bCs/>
              </w:rPr>
            </w:pPr>
            <w:r w:rsidRPr="00B87711">
              <w:rPr>
                <w:b/>
                <w:bCs/>
              </w:rPr>
              <w:t>VII. Tiesību akta projekta izpildes nodrošināšana un tās ietekme uz institūcijām</w:t>
            </w:r>
          </w:p>
        </w:tc>
      </w:tr>
      <w:tr w:rsidR="00BD5588" w:rsidRPr="00B87711" w14:paraId="7EA876B7" w14:textId="77777777" w:rsidTr="009D1B0B">
        <w:trPr>
          <w:cantSplit/>
        </w:trPr>
        <w:tc>
          <w:tcPr>
            <w:tcW w:w="232" w:type="pct"/>
            <w:hideMark/>
          </w:tcPr>
          <w:p w14:paraId="6B84E639" w14:textId="77777777" w:rsidR="00BD5588" w:rsidRPr="00B87711" w:rsidRDefault="00BD5588" w:rsidP="009D1B0B">
            <w:pPr>
              <w:contextualSpacing/>
              <w:jc w:val="center"/>
            </w:pPr>
            <w:r w:rsidRPr="00B87711">
              <w:t>1.</w:t>
            </w:r>
          </w:p>
        </w:tc>
        <w:tc>
          <w:tcPr>
            <w:tcW w:w="1558" w:type="pct"/>
            <w:hideMark/>
          </w:tcPr>
          <w:p w14:paraId="64810859" w14:textId="77777777" w:rsidR="00BD5588" w:rsidRPr="00B87711" w:rsidRDefault="00BD5588" w:rsidP="009D1B0B">
            <w:pPr>
              <w:contextualSpacing/>
            </w:pPr>
            <w:r w:rsidRPr="00B87711">
              <w:t>Projekta izpildē iesaistītās institūcijas</w:t>
            </w:r>
          </w:p>
        </w:tc>
        <w:tc>
          <w:tcPr>
            <w:tcW w:w="3210" w:type="pct"/>
            <w:hideMark/>
          </w:tcPr>
          <w:p w14:paraId="452A310C" w14:textId="0F9FA9C4" w:rsidR="00BD5588" w:rsidRPr="00B87711" w:rsidRDefault="00D2418A" w:rsidP="009D1B0B">
            <w:pPr>
              <w:contextualSpacing/>
              <w:jc w:val="both"/>
            </w:pPr>
            <w:r>
              <w:t>Projekts šo jomu neskar.</w:t>
            </w:r>
          </w:p>
        </w:tc>
      </w:tr>
      <w:tr w:rsidR="00BD5588" w:rsidRPr="00B87711" w14:paraId="3BE1D492" w14:textId="77777777" w:rsidTr="009D1B0B">
        <w:trPr>
          <w:cantSplit/>
        </w:trPr>
        <w:tc>
          <w:tcPr>
            <w:tcW w:w="232" w:type="pct"/>
            <w:hideMark/>
          </w:tcPr>
          <w:p w14:paraId="1FDF5720" w14:textId="77777777" w:rsidR="00BD5588" w:rsidRPr="00B87711" w:rsidRDefault="00BD5588" w:rsidP="009D1B0B">
            <w:pPr>
              <w:contextualSpacing/>
              <w:jc w:val="center"/>
            </w:pPr>
            <w:r w:rsidRPr="00B87711">
              <w:t>2.</w:t>
            </w:r>
          </w:p>
        </w:tc>
        <w:tc>
          <w:tcPr>
            <w:tcW w:w="1558" w:type="pct"/>
            <w:hideMark/>
          </w:tcPr>
          <w:p w14:paraId="561E17DA" w14:textId="77777777" w:rsidR="00BD5588" w:rsidRPr="00B87711" w:rsidRDefault="00BD5588" w:rsidP="009D1B0B">
            <w:pPr>
              <w:contextualSpacing/>
            </w:pPr>
            <w:r w:rsidRPr="00B87711">
              <w:t>Projekta izpildes ietekme uz pārvaldes funkcijām un institucionālo struktūru.</w:t>
            </w:r>
            <w:r w:rsidRPr="00B87711">
              <w:br/>
              <w:t>Jaunu institūciju izveide, esošu institūciju likvidācija vai reorganizācija, to ietekme uz institūcijas cilvēkresursiem</w:t>
            </w:r>
          </w:p>
        </w:tc>
        <w:tc>
          <w:tcPr>
            <w:tcW w:w="3210" w:type="pct"/>
            <w:hideMark/>
          </w:tcPr>
          <w:p w14:paraId="213C582A" w14:textId="4DC449F3" w:rsidR="00352466" w:rsidRDefault="0057542B" w:rsidP="0009579E">
            <w:pPr>
              <w:ind w:firstLine="260"/>
              <w:contextualSpacing/>
              <w:jc w:val="both"/>
            </w:pPr>
            <w:r>
              <w:t>P</w:t>
            </w:r>
            <w:r w:rsidR="00823F50" w:rsidRPr="00823F50">
              <w:t xml:space="preserve">rojekta izpilde </w:t>
            </w:r>
            <w:r w:rsidR="00E95BA8">
              <w:t xml:space="preserve">neietekmēs </w:t>
            </w:r>
            <w:r w:rsidR="00823F50" w:rsidRPr="00823F50">
              <w:t>esoš</w:t>
            </w:r>
            <w:r w:rsidR="00352466">
              <w:t>ās</w:t>
            </w:r>
            <w:r w:rsidR="00823F50" w:rsidRPr="00823F50">
              <w:t xml:space="preserve"> pārvaldes funkcij</w:t>
            </w:r>
            <w:r w:rsidR="00352466">
              <w:t xml:space="preserve">as un </w:t>
            </w:r>
            <w:r w:rsidR="00435DAA" w:rsidRPr="00435DAA">
              <w:t>institucionālo struktūru</w:t>
            </w:r>
            <w:r w:rsidR="00435DAA">
              <w:t xml:space="preserve">, kā arī netiek plānota </w:t>
            </w:r>
            <w:r w:rsidR="00FA44AE">
              <w:t>j</w:t>
            </w:r>
            <w:r w:rsidR="00F523D3" w:rsidRPr="00F523D3">
              <w:t>aunu institūciju izveide, esošu institūciju likvidācija vai reorganizācija</w:t>
            </w:r>
            <w:r w:rsidR="009840DB">
              <w:t>.</w:t>
            </w:r>
          </w:p>
          <w:p w14:paraId="5B85ECFF" w14:textId="581D4E05" w:rsidR="00BD5588" w:rsidRPr="00B87711" w:rsidRDefault="0057542B" w:rsidP="0009579E">
            <w:pPr>
              <w:ind w:firstLine="260"/>
              <w:contextualSpacing/>
              <w:jc w:val="both"/>
            </w:pPr>
            <w:r>
              <w:rPr>
                <w:iCs/>
              </w:rPr>
              <w:t>P</w:t>
            </w:r>
            <w:r w:rsidR="00823F50" w:rsidRPr="00823F50">
              <w:rPr>
                <w:iCs/>
              </w:rPr>
              <w:t>rojekta izpild</w:t>
            </w:r>
            <w:r w:rsidR="006F6E43">
              <w:rPr>
                <w:iCs/>
              </w:rPr>
              <w:t>e tiks</w:t>
            </w:r>
            <w:r w:rsidR="00823F50" w:rsidRPr="00823F50">
              <w:rPr>
                <w:iCs/>
              </w:rPr>
              <w:t xml:space="preserve"> </w:t>
            </w:r>
            <w:r w:rsidR="00823F50" w:rsidRPr="00823F50">
              <w:t>organizē</w:t>
            </w:r>
            <w:r w:rsidR="006F6E43">
              <w:t>ta</w:t>
            </w:r>
            <w:r w:rsidR="00823F50" w:rsidRPr="00823F50">
              <w:t xml:space="preserve"> esošo cilvēkresursu ietvaros.</w:t>
            </w:r>
          </w:p>
        </w:tc>
      </w:tr>
      <w:tr w:rsidR="00BD5588" w:rsidRPr="00B87711" w14:paraId="650C3026" w14:textId="77777777" w:rsidTr="009D1B0B">
        <w:trPr>
          <w:cantSplit/>
        </w:trPr>
        <w:tc>
          <w:tcPr>
            <w:tcW w:w="232" w:type="pct"/>
            <w:hideMark/>
          </w:tcPr>
          <w:p w14:paraId="61A4A806" w14:textId="77777777" w:rsidR="00BD5588" w:rsidRPr="00B87711" w:rsidRDefault="00BD5588" w:rsidP="009D1B0B">
            <w:pPr>
              <w:contextualSpacing/>
              <w:jc w:val="center"/>
            </w:pPr>
            <w:r w:rsidRPr="00B87711">
              <w:t>3.</w:t>
            </w:r>
          </w:p>
        </w:tc>
        <w:tc>
          <w:tcPr>
            <w:tcW w:w="1558" w:type="pct"/>
            <w:hideMark/>
          </w:tcPr>
          <w:p w14:paraId="04CED6DC" w14:textId="77777777" w:rsidR="00BD5588" w:rsidRPr="00B87711" w:rsidRDefault="00BD5588" w:rsidP="009D1B0B">
            <w:pPr>
              <w:contextualSpacing/>
            </w:pPr>
            <w:r w:rsidRPr="00B87711">
              <w:t>Cita informācija</w:t>
            </w:r>
          </w:p>
        </w:tc>
        <w:tc>
          <w:tcPr>
            <w:tcW w:w="3210" w:type="pct"/>
            <w:hideMark/>
          </w:tcPr>
          <w:p w14:paraId="0E155FE3" w14:textId="13CF4C38" w:rsidR="00BD5588" w:rsidRPr="00B87711" w:rsidRDefault="00D2418A" w:rsidP="009D1B0B">
            <w:pPr>
              <w:contextualSpacing/>
            </w:pPr>
            <w:r>
              <w:t>Nav</w:t>
            </w:r>
          </w:p>
        </w:tc>
      </w:tr>
    </w:tbl>
    <w:p w14:paraId="1FA013D9" w14:textId="7DE77AE0" w:rsidR="00E44472" w:rsidRDefault="00E44472" w:rsidP="009D1B0B">
      <w:pPr>
        <w:contextualSpacing/>
      </w:pPr>
    </w:p>
    <w:p w14:paraId="3461DCFD" w14:textId="296798D3" w:rsidR="0057542B" w:rsidRDefault="0057542B" w:rsidP="009D1B0B">
      <w:pPr>
        <w:contextualSpacing/>
      </w:pPr>
    </w:p>
    <w:p w14:paraId="1089CC4F" w14:textId="16C24D03" w:rsidR="0057542B" w:rsidRPr="0057542B" w:rsidRDefault="0057542B" w:rsidP="009D1B0B">
      <w:pPr>
        <w:tabs>
          <w:tab w:val="left" w:pos="6804"/>
        </w:tabs>
        <w:contextualSpacing/>
      </w:pPr>
      <w:r w:rsidRPr="0057542B">
        <w:t>Ekonomikas ministrs</w:t>
      </w:r>
      <w:r w:rsidRPr="0057542B">
        <w:tab/>
        <w:t>J. Vitenbergs</w:t>
      </w:r>
    </w:p>
    <w:p w14:paraId="116F9BB0" w14:textId="0766A098" w:rsidR="0057542B" w:rsidRDefault="0057542B" w:rsidP="009D1B0B">
      <w:pPr>
        <w:tabs>
          <w:tab w:val="left" w:pos="6804"/>
        </w:tabs>
        <w:contextualSpacing/>
      </w:pPr>
    </w:p>
    <w:p w14:paraId="072B9694" w14:textId="77777777" w:rsidR="0057542B" w:rsidRPr="0057542B" w:rsidRDefault="0057542B" w:rsidP="009D1B0B">
      <w:pPr>
        <w:tabs>
          <w:tab w:val="left" w:pos="6804"/>
        </w:tabs>
        <w:contextualSpacing/>
      </w:pPr>
    </w:p>
    <w:p w14:paraId="01B47021" w14:textId="77777777" w:rsidR="0057542B" w:rsidRPr="0057542B" w:rsidRDefault="0057542B" w:rsidP="009D1B0B">
      <w:pPr>
        <w:tabs>
          <w:tab w:val="left" w:pos="6804"/>
        </w:tabs>
        <w:contextualSpacing/>
        <w:rPr>
          <w:bCs/>
        </w:rPr>
      </w:pPr>
      <w:r w:rsidRPr="0057542B">
        <w:rPr>
          <w:bCs/>
        </w:rPr>
        <w:t xml:space="preserve">Vīza: </w:t>
      </w:r>
    </w:p>
    <w:p w14:paraId="023E5684" w14:textId="5EFE7644" w:rsidR="0057542B" w:rsidRPr="0057542B" w:rsidRDefault="0057542B" w:rsidP="009D1B0B">
      <w:pPr>
        <w:tabs>
          <w:tab w:val="left" w:pos="6804"/>
        </w:tabs>
        <w:contextualSpacing/>
      </w:pPr>
      <w:r w:rsidRPr="0057542B">
        <w:t xml:space="preserve">Valsts sekretāra </w:t>
      </w:r>
      <w:r w:rsidR="004864FE" w:rsidRPr="00C46897">
        <w:t xml:space="preserve">vietā </w:t>
      </w:r>
      <w:r w:rsidRPr="0057542B">
        <w:t>–</w:t>
      </w:r>
    </w:p>
    <w:p w14:paraId="2C89C618" w14:textId="3A486281" w:rsidR="0057542B" w:rsidRPr="0057542B" w:rsidRDefault="004864FE" w:rsidP="009D1B0B">
      <w:pPr>
        <w:tabs>
          <w:tab w:val="left" w:pos="6804"/>
        </w:tabs>
        <w:contextualSpacing/>
        <w:rPr>
          <w:bCs/>
        </w:rPr>
      </w:pPr>
      <w:r>
        <w:t>V</w:t>
      </w:r>
      <w:r w:rsidR="0057542B" w:rsidRPr="0057542B">
        <w:t>alsts sekretāra vietnie</w:t>
      </w:r>
      <w:r w:rsidR="00D46141">
        <w:t xml:space="preserve">ce </w:t>
      </w:r>
      <w:r w:rsidR="0057542B" w:rsidRPr="0057542B">
        <w:tab/>
      </w:r>
      <w:r w:rsidR="00D46141">
        <w:rPr>
          <w:bCs/>
        </w:rPr>
        <w:t>Z.</w:t>
      </w:r>
      <w:r w:rsidR="00A73191">
        <w:rPr>
          <w:bCs/>
        </w:rPr>
        <w:t> </w:t>
      </w:r>
      <w:bookmarkStart w:id="4" w:name="_GoBack"/>
      <w:bookmarkEnd w:id="4"/>
      <w:r w:rsidR="00D46141">
        <w:rPr>
          <w:bCs/>
        </w:rPr>
        <w:t>Liepiņa</w:t>
      </w:r>
    </w:p>
    <w:p w14:paraId="3C8163C7" w14:textId="77777777" w:rsidR="0057542B" w:rsidRPr="0057542B" w:rsidRDefault="0057542B" w:rsidP="009D1B0B">
      <w:pPr>
        <w:contextualSpacing/>
        <w:rPr>
          <w:sz w:val="20"/>
          <w:szCs w:val="20"/>
        </w:rPr>
      </w:pPr>
    </w:p>
    <w:p w14:paraId="4ADD8C0E" w14:textId="77777777" w:rsidR="0057542B" w:rsidRPr="0057542B" w:rsidRDefault="0057542B" w:rsidP="009D1B0B">
      <w:pPr>
        <w:contextualSpacing/>
        <w:rPr>
          <w:sz w:val="20"/>
          <w:szCs w:val="20"/>
        </w:rPr>
      </w:pPr>
    </w:p>
    <w:p w14:paraId="5CE05D3C" w14:textId="77777777" w:rsidR="0057542B" w:rsidRPr="0057542B" w:rsidRDefault="0057542B" w:rsidP="009D1B0B">
      <w:pPr>
        <w:contextualSpacing/>
        <w:rPr>
          <w:sz w:val="20"/>
          <w:szCs w:val="20"/>
        </w:rPr>
      </w:pPr>
      <w:r w:rsidRPr="0057542B">
        <w:rPr>
          <w:sz w:val="20"/>
          <w:szCs w:val="20"/>
        </w:rPr>
        <w:t>Agn</w:t>
      </w:r>
      <w:r>
        <w:rPr>
          <w:sz w:val="20"/>
          <w:szCs w:val="20"/>
        </w:rPr>
        <w:t>ese Šķē</w:t>
      </w:r>
      <w:r w:rsidRPr="0057542B">
        <w:rPr>
          <w:sz w:val="20"/>
          <w:szCs w:val="20"/>
        </w:rPr>
        <w:t>le 67013228</w:t>
      </w:r>
    </w:p>
    <w:p w14:paraId="554AF7D9" w14:textId="0C17C82A" w:rsidR="0057542B" w:rsidRPr="0057542B" w:rsidRDefault="0057542B" w:rsidP="009D1B0B">
      <w:pPr>
        <w:contextualSpacing/>
        <w:rPr>
          <w:sz w:val="20"/>
          <w:szCs w:val="20"/>
        </w:rPr>
      </w:pPr>
      <w:r w:rsidRPr="0057542B">
        <w:rPr>
          <w:sz w:val="20"/>
          <w:szCs w:val="20"/>
        </w:rPr>
        <w:t>Agn</w:t>
      </w:r>
      <w:r>
        <w:rPr>
          <w:sz w:val="20"/>
          <w:szCs w:val="20"/>
        </w:rPr>
        <w:t>ese</w:t>
      </w:r>
      <w:r w:rsidRPr="0057542B">
        <w:rPr>
          <w:sz w:val="20"/>
          <w:szCs w:val="20"/>
        </w:rPr>
        <w:t>.S</w:t>
      </w:r>
      <w:r>
        <w:rPr>
          <w:sz w:val="20"/>
          <w:szCs w:val="20"/>
        </w:rPr>
        <w:t>k</w:t>
      </w:r>
      <w:r w:rsidRPr="0057542B">
        <w:rPr>
          <w:sz w:val="20"/>
          <w:szCs w:val="20"/>
        </w:rPr>
        <w:t>ele@em.gov.lv</w:t>
      </w:r>
    </w:p>
    <w:sectPr w:rsidR="0057542B" w:rsidRPr="0057542B" w:rsidSect="00156C02">
      <w:headerReference w:type="default" r:id="rId8"/>
      <w:pgSz w:w="11906" w:h="16838" w:code="9"/>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1F34" w14:textId="77777777" w:rsidR="00CE1294" w:rsidRDefault="00CE1294" w:rsidP="00156C02">
      <w:r>
        <w:separator/>
      </w:r>
    </w:p>
  </w:endnote>
  <w:endnote w:type="continuationSeparator" w:id="0">
    <w:p w14:paraId="10071FD6" w14:textId="77777777" w:rsidR="00CE1294" w:rsidRDefault="00CE1294" w:rsidP="0015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F5B0" w14:textId="77777777" w:rsidR="00CE1294" w:rsidRDefault="00CE1294" w:rsidP="00156C02">
      <w:r>
        <w:separator/>
      </w:r>
    </w:p>
  </w:footnote>
  <w:footnote w:type="continuationSeparator" w:id="0">
    <w:p w14:paraId="17EE5DEA" w14:textId="77777777" w:rsidR="00CE1294" w:rsidRDefault="00CE1294" w:rsidP="0015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64351"/>
      <w:docPartObj>
        <w:docPartGallery w:val="Page Numbers (Top of Page)"/>
        <w:docPartUnique/>
      </w:docPartObj>
    </w:sdtPr>
    <w:sdtEndPr>
      <w:rPr>
        <w:noProof/>
        <w:sz w:val="22"/>
        <w:szCs w:val="22"/>
      </w:rPr>
    </w:sdtEndPr>
    <w:sdtContent>
      <w:p w14:paraId="2B5D8D80" w14:textId="0629276A" w:rsidR="00156C02" w:rsidRPr="00156C02" w:rsidRDefault="00156C02">
        <w:pPr>
          <w:pStyle w:val="Header"/>
          <w:jc w:val="center"/>
          <w:rPr>
            <w:sz w:val="22"/>
            <w:szCs w:val="22"/>
          </w:rPr>
        </w:pPr>
        <w:r w:rsidRPr="00156C02">
          <w:rPr>
            <w:sz w:val="22"/>
            <w:szCs w:val="22"/>
          </w:rPr>
          <w:fldChar w:fldCharType="begin"/>
        </w:r>
        <w:r w:rsidRPr="00156C02">
          <w:rPr>
            <w:sz w:val="22"/>
            <w:szCs w:val="22"/>
          </w:rPr>
          <w:instrText xml:space="preserve"> PAGE   \* MERGEFORMAT </w:instrText>
        </w:r>
        <w:r w:rsidRPr="00156C02">
          <w:rPr>
            <w:sz w:val="22"/>
            <w:szCs w:val="22"/>
          </w:rPr>
          <w:fldChar w:fldCharType="separate"/>
        </w:r>
        <w:r w:rsidRPr="00156C02">
          <w:rPr>
            <w:noProof/>
            <w:sz w:val="22"/>
            <w:szCs w:val="22"/>
          </w:rPr>
          <w:t>2</w:t>
        </w:r>
        <w:r w:rsidRPr="00156C02">
          <w:rPr>
            <w:noProof/>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4748F"/>
    <w:rsid w:val="00070684"/>
    <w:rsid w:val="0009579E"/>
    <w:rsid w:val="000C75FB"/>
    <w:rsid w:val="001360EA"/>
    <w:rsid w:val="00156C02"/>
    <w:rsid w:val="00162BCD"/>
    <w:rsid w:val="0019567F"/>
    <w:rsid w:val="001A2D36"/>
    <w:rsid w:val="001A6C99"/>
    <w:rsid w:val="001A7C9D"/>
    <w:rsid w:val="001E33F2"/>
    <w:rsid w:val="00201796"/>
    <w:rsid w:val="00213598"/>
    <w:rsid w:val="002448A4"/>
    <w:rsid w:val="00263A8A"/>
    <w:rsid w:val="002A0576"/>
    <w:rsid w:val="002B0A5B"/>
    <w:rsid w:val="002B4B94"/>
    <w:rsid w:val="002B683F"/>
    <w:rsid w:val="002D2BFD"/>
    <w:rsid w:val="002E53F3"/>
    <w:rsid w:val="003129D3"/>
    <w:rsid w:val="003165DC"/>
    <w:rsid w:val="00351DBE"/>
    <w:rsid w:val="00352466"/>
    <w:rsid w:val="003624DD"/>
    <w:rsid w:val="003969D3"/>
    <w:rsid w:val="003B176A"/>
    <w:rsid w:val="003B28A3"/>
    <w:rsid w:val="003C252C"/>
    <w:rsid w:val="004057D7"/>
    <w:rsid w:val="00412D77"/>
    <w:rsid w:val="00435DAA"/>
    <w:rsid w:val="004614E9"/>
    <w:rsid w:val="00463EEE"/>
    <w:rsid w:val="00465C7F"/>
    <w:rsid w:val="00474116"/>
    <w:rsid w:val="004864FE"/>
    <w:rsid w:val="004B54AB"/>
    <w:rsid w:val="004C6CBF"/>
    <w:rsid w:val="004D1C03"/>
    <w:rsid w:val="004F3482"/>
    <w:rsid w:val="00512017"/>
    <w:rsid w:val="0057542B"/>
    <w:rsid w:val="005B284B"/>
    <w:rsid w:val="005F7975"/>
    <w:rsid w:val="006538AB"/>
    <w:rsid w:val="00674AA5"/>
    <w:rsid w:val="00682629"/>
    <w:rsid w:val="006A0927"/>
    <w:rsid w:val="006E40F9"/>
    <w:rsid w:val="006F6E43"/>
    <w:rsid w:val="00714C89"/>
    <w:rsid w:val="00754813"/>
    <w:rsid w:val="00792582"/>
    <w:rsid w:val="007D5F17"/>
    <w:rsid w:val="007E757D"/>
    <w:rsid w:val="00823F50"/>
    <w:rsid w:val="00846D28"/>
    <w:rsid w:val="00853C1C"/>
    <w:rsid w:val="008A4B98"/>
    <w:rsid w:val="008B2F68"/>
    <w:rsid w:val="008B759F"/>
    <w:rsid w:val="008B790D"/>
    <w:rsid w:val="008B7EBA"/>
    <w:rsid w:val="008D1ABA"/>
    <w:rsid w:val="008F0DE4"/>
    <w:rsid w:val="008F657A"/>
    <w:rsid w:val="00955845"/>
    <w:rsid w:val="0097669B"/>
    <w:rsid w:val="00977596"/>
    <w:rsid w:val="009840DB"/>
    <w:rsid w:val="00994488"/>
    <w:rsid w:val="009C0261"/>
    <w:rsid w:val="009D1B0B"/>
    <w:rsid w:val="009E2C5A"/>
    <w:rsid w:val="00A249FA"/>
    <w:rsid w:val="00A50362"/>
    <w:rsid w:val="00A64FFC"/>
    <w:rsid w:val="00A65FD4"/>
    <w:rsid w:val="00A73191"/>
    <w:rsid w:val="00A9317B"/>
    <w:rsid w:val="00AB1552"/>
    <w:rsid w:val="00AB4B00"/>
    <w:rsid w:val="00AB664D"/>
    <w:rsid w:val="00AC600D"/>
    <w:rsid w:val="00AD51EB"/>
    <w:rsid w:val="00AF25A1"/>
    <w:rsid w:val="00B06126"/>
    <w:rsid w:val="00B102C0"/>
    <w:rsid w:val="00B8209A"/>
    <w:rsid w:val="00B87711"/>
    <w:rsid w:val="00B94112"/>
    <w:rsid w:val="00BC2881"/>
    <w:rsid w:val="00BD00D2"/>
    <w:rsid w:val="00BD195E"/>
    <w:rsid w:val="00BD32BF"/>
    <w:rsid w:val="00BD5588"/>
    <w:rsid w:val="00C050BD"/>
    <w:rsid w:val="00C44248"/>
    <w:rsid w:val="00C64F10"/>
    <w:rsid w:val="00C66FF1"/>
    <w:rsid w:val="00C7241C"/>
    <w:rsid w:val="00C727B1"/>
    <w:rsid w:val="00C7771E"/>
    <w:rsid w:val="00CA4CED"/>
    <w:rsid w:val="00CA5CB7"/>
    <w:rsid w:val="00CE1294"/>
    <w:rsid w:val="00CF7029"/>
    <w:rsid w:val="00D15F3E"/>
    <w:rsid w:val="00D20EC0"/>
    <w:rsid w:val="00D2418A"/>
    <w:rsid w:val="00D2676E"/>
    <w:rsid w:val="00D26F4E"/>
    <w:rsid w:val="00D46141"/>
    <w:rsid w:val="00D61488"/>
    <w:rsid w:val="00D708D1"/>
    <w:rsid w:val="00DE74E0"/>
    <w:rsid w:val="00DF08B9"/>
    <w:rsid w:val="00E44472"/>
    <w:rsid w:val="00E5158B"/>
    <w:rsid w:val="00E602FB"/>
    <w:rsid w:val="00E802A9"/>
    <w:rsid w:val="00E95BA8"/>
    <w:rsid w:val="00E96539"/>
    <w:rsid w:val="00EA0BAC"/>
    <w:rsid w:val="00EE4CA9"/>
    <w:rsid w:val="00F02B9B"/>
    <w:rsid w:val="00F1570A"/>
    <w:rsid w:val="00F523D3"/>
    <w:rsid w:val="00F80733"/>
    <w:rsid w:val="00F85CC4"/>
    <w:rsid w:val="00FA038A"/>
    <w:rsid w:val="00FA2B91"/>
    <w:rsid w:val="00FA44AE"/>
    <w:rsid w:val="00FE69E8"/>
    <w:rsid w:val="00FF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C8D1B"/>
  <w15:docId w15:val="{CDC5CA03-71F0-40C9-B15F-6E247D2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2A057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customStyle="1" w:styleId="Heading3Char">
    <w:name w:val="Heading 3 Char"/>
    <w:basedOn w:val="DefaultParagraphFont"/>
    <w:link w:val="Heading3"/>
    <w:uiPriority w:val="9"/>
    <w:semiHidden/>
    <w:rsid w:val="002A0576"/>
    <w:rPr>
      <w:rFonts w:asciiTheme="majorHAnsi" w:eastAsiaTheme="majorEastAsia" w:hAnsiTheme="majorHAnsi" w:cstheme="majorBidi"/>
      <w:color w:val="243F60" w:themeColor="accent1" w:themeShade="7F"/>
      <w:sz w:val="24"/>
      <w:szCs w:val="24"/>
      <w:lang w:eastAsia="lv-LV"/>
    </w:rPr>
  </w:style>
  <w:style w:type="paragraph" w:styleId="BalloonText">
    <w:name w:val="Balloon Text"/>
    <w:basedOn w:val="Normal"/>
    <w:link w:val="BalloonTextChar"/>
    <w:uiPriority w:val="99"/>
    <w:semiHidden/>
    <w:unhideWhenUsed/>
    <w:rsid w:val="00463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EE"/>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57542B"/>
    <w:rPr>
      <w:color w:val="605E5C"/>
      <w:shd w:val="clear" w:color="auto" w:fill="E1DFDD"/>
    </w:rPr>
  </w:style>
  <w:style w:type="paragraph" w:styleId="Header">
    <w:name w:val="header"/>
    <w:basedOn w:val="Normal"/>
    <w:link w:val="HeaderChar"/>
    <w:uiPriority w:val="99"/>
    <w:unhideWhenUsed/>
    <w:rsid w:val="00156C02"/>
    <w:pPr>
      <w:tabs>
        <w:tab w:val="center" w:pos="4153"/>
        <w:tab w:val="right" w:pos="8306"/>
      </w:tabs>
    </w:pPr>
  </w:style>
  <w:style w:type="character" w:customStyle="1" w:styleId="HeaderChar">
    <w:name w:val="Header Char"/>
    <w:basedOn w:val="DefaultParagraphFont"/>
    <w:link w:val="Header"/>
    <w:uiPriority w:val="99"/>
    <w:rsid w:val="00156C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56C02"/>
    <w:pPr>
      <w:tabs>
        <w:tab w:val="center" w:pos="4153"/>
        <w:tab w:val="right" w:pos="8306"/>
      </w:tabs>
    </w:pPr>
  </w:style>
  <w:style w:type="character" w:customStyle="1" w:styleId="FooterChar">
    <w:name w:val="Footer Char"/>
    <w:basedOn w:val="DefaultParagraphFont"/>
    <w:link w:val="Footer"/>
    <w:uiPriority w:val="99"/>
    <w:rsid w:val="00156C02"/>
    <w:rPr>
      <w:rFonts w:ascii="Times New Roman" w:eastAsia="Times New Roman" w:hAnsi="Times New Roman" w:cs="Times New Roman"/>
      <w:sz w:val="24"/>
      <w:szCs w:val="24"/>
      <w:lang w:eastAsia="lv-LV"/>
    </w:rPr>
  </w:style>
  <w:style w:type="paragraph" w:styleId="Revision">
    <w:name w:val="Revision"/>
    <w:hidden/>
    <w:uiPriority w:val="99"/>
    <w:semiHidden/>
    <w:rsid w:val="007548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7856">
      <w:bodyDiv w:val="1"/>
      <w:marLeft w:val="0"/>
      <w:marRight w:val="0"/>
      <w:marTop w:val="0"/>
      <w:marBottom w:val="0"/>
      <w:divBdr>
        <w:top w:val="none" w:sz="0" w:space="0" w:color="auto"/>
        <w:left w:val="none" w:sz="0" w:space="0" w:color="auto"/>
        <w:bottom w:val="none" w:sz="0" w:space="0" w:color="auto"/>
        <w:right w:val="none" w:sz="0" w:space="0" w:color="auto"/>
      </w:divBdr>
    </w:div>
    <w:div w:id="268129539">
      <w:bodyDiv w:val="1"/>
      <w:marLeft w:val="0"/>
      <w:marRight w:val="0"/>
      <w:marTop w:val="0"/>
      <w:marBottom w:val="0"/>
      <w:divBdr>
        <w:top w:val="none" w:sz="0" w:space="0" w:color="auto"/>
        <w:left w:val="none" w:sz="0" w:space="0" w:color="auto"/>
        <w:bottom w:val="none" w:sz="0" w:space="0" w:color="auto"/>
        <w:right w:val="none" w:sz="0" w:space="0" w:color="auto"/>
      </w:divBdr>
    </w:div>
    <w:div w:id="761147642">
      <w:bodyDiv w:val="1"/>
      <w:marLeft w:val="0"/>
      <w:marRight w:val="0"/>
      <w:marTop w:val="0"/>
      <w:marBottom w:val="0"/>
      <w:divBdr>
        <w:top w:val="none" w:sz="0" w:space="0" w:color="auto"/>
        <w:left w:val="none" w:sz="0" w:space="0" w:color="auto"/>
        <w:bottom w:val="none" w:sz="0" w:space="0" w:color="auto"/>
        <w:right w:val="none" w:sz="0" w:space="0" w:color="auto"/>
      </w:divBdr>
    </w:div>
    <w:div w:id="971403801">
      <w:bodyDiv w:val="1"/>
      <w:marLeft w:val="0"/>
      <w:marRight w:val="0"/>
      <w:marTop w:val="0"/>
      <w:marBottom w:val="0"/>
      <w:divBdr>
        <w:top w:val="none" w:sz="0" w:space="0" w:color="auto"/>
        <w:left w:val="none" w:sz="0" w:space="0" w:color="auto"/>
        <w:bottom w:val="none" w:sz="0" w:space="0" w:color="auto"/>
        <w:right w:val="none" w:sz="0" w:space="0" w:color="auto"/>
      </w:divBdr>
    </w:div>
    <w:div w:id="1206798565">
      <w:bodyDiv w:val="1"/>
      <w:marLeft w:val="0"/>
      <w:marRight w:val="0"/>
      <w:marTop w:val="0"/>
      <w:marBottom w:val="0"/>
      <w:divBdr>
        <w:top w:val="none" w:sz="0" w:space="0" w:color="auto"/>
        <w:left w:val="none" w:sz="0" w:space="0" w:color="auto"/>
        <w:bottom w:val="none" w:sz="0" w:space="0" w:color="auto"/>
        <w:right w:val="none" w:sz="0" w:space="0" w:color="auto"/>
      </w:divBdr>
    </w:div>
    <w:div w:id="1216238129">
      <w:bodyDiv w:val="1"/>
      <w:marLeft w:val="0"/>
      <w:marRight w:val="0"/>
      <w:marTop w:val="0"/>
      <w:marBottom w:val="0"/>
      <w:divBdr>
        <w:top w:val="none" w:sz="0" w:space="0" w:color="auto"/>
        <w:left w:val="none" w:sz="0" w:space="0" w:color="auto"/>
        <w:bottom w:val="none" w:sz="0" w:space="0" w:color="auto"/>
        <w:right w:val="none" w:sz="0" w:space="0" w:color="auto"/>
      </w:divBdr>
    </w:div>
    <w:div w:id="1241716026">
      <w:bodyDiv w:val="1"/>
      <w:marLeft w:val="0"/>
      <w:marRight w:val="0"/>
      <w:marTop w:val="0"/>
      <w:marBottom w:val="0"/>
      <w:divBdr>
        <w:top w:val="none" w:sz="0" w:space="0" w:color="auto"/>
        <w:left w:val="none" w:sz="0" w:space="0" w:color="auto"/>
        <w:bottom w:val="none" w:sz="0" w:space="0" w:color="auto"/>
        <w:right w:val="none" w:sz="0" w:space="0" w:color="auto"/>
      </w:divBdr>
    </w:div>
    <w:div w:id="15794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FAF4-324D-4840-BF61-BD5241C9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4129</Words>
  <Characters>2355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Ministru kabineta 2019.gada 11.jūnija rīkojuma Nr.277 “Par starpinstitūciju darba grupu” atzīšanu par spēku zaudējušu” sākotnējās ietekmes novērtējuma ziņojums (anotācija)</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2019.gada 11.jūnija rīkojuma Nr.277 “Par starpinstitūciju darba grupu” atzīšanu par spēku zaudējušu” sākotnējās ietekmes novērtējuma ziņojums (anotācija)</dc:title>
  <dc:creator>vija.skutane</dc:creator>
  <cp:keywords>Anotācija</cp:keywords>
  <dc:description>67013228, Agnese.Skele@em.gov.lv</dc:description>
  <cp:lastModifiedBy>Rolands Vītiņš</cp:lastModifiedBy>
  <cp:revision>4</cp:revision>
  <dcterms:created xsi:type="dcterms:W3CDTF">2020-11-25T08:14:00Z</dcterms:created>
  <dcterms:modified xsi:type="dcterms:W3CDTF">2020-11-25T13:32:00Z</dcterms:modified>
</cp:coreProperties>
</file>