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4AFC" w14:textId="7015FCEC" w:rsidR="00894C55" w:rsidRPr="008C5A53" w:rsidRDefault="00D64EB3" w:rsidP="00BA5873">
      <w:pPr>
        <w:spacing w:before="120" w:after="0" w:line="240" w:lineRule="auto"/>
        <w:jc w:val="center"/>
        <w:rPr>
          <w:rFonts w:ascii="Times New Roman" w:eastAsia="Times New Roman" w:hAnsi="Times New Roman" w:cs="Times New Roman"/>
          <w:b/>
          <w:bCs/>
          <w:sz w:val="24"/>
          <w:szCs w:val="24"/>
          <w:lang w:eastAsia="lv-LV"/>
        </w:rPr>
      </w:pPr>
      <w:r w:rsidRPr="008C5A53">
        <w:rPr>
          <w:rFonts w:ascii="Times New Roman" w:eastAsia="Times New Roman" w:hAnsi="Times New Roman" w:cs="Times New Roman"/>
          <w:b/>
          <w:bCs/>
          <w:sz w:val="24"/>
          <w:szCs w:val="24"/>
          <w:lang w:eastAsia="lv-LV"/>
        </w:rPr>
        <w:t>Ministru kabineta noteikumu projekta ,,</w:t>
      </w:r>
      <w:bookmarkStart w:id="0" w:name="OLE_LINK7"/>
      <w:bookmarkStart w:id="1" w:name="OLE_LINK8"/>
      <w:r w:rsidR="00BA5873" w:rsidRPr="008C5A53">
        <w:rPr>
          <w:rFonts w:ascii="Times New Roman" w:eastAsia="Times New Roman" w:hAnsi="Times New Roman" w:cs="Times New Roman"/>
          <w:b/>
          <w:bCs/>
          <w:sz w:val="24"/>
          <w:szCs w:val="24"/>
          <w:lang w:eastAsia="lv-LV"/>
        </w:rPr>
        <w:t xml:space="preserve"> Grozījumi Ministru kabineta 2020.gada 19.marta noteikumos Nr.149 “Noteikumi par apgrozāmo līdzekļu aizdevumiem saimnieciskās darbības veicējiem, kuru darbību ietekmējusi Covid-19 izplatība”</w:t>
      </w:r>
      <w:r w:rsidRPr="008C5A53">
        <w:rPr>
          <w:rFonts w:ascii="Times New Roman" w:eastAsia="Times New Roman" w:hAnsi="Times New Roman" w:cs="Times New Roman"/>
          <w:b/>
          <w:bCs/>
          <w:sz w:val="24"/>
          <w:szCs w:val="24"/>
          <w:lang w:eastAsia="lv-LV"/>
        </w:rPr>
        <w:t>”</w:t>
      </w:r>
      <w:bookmarkEnd w:id="0"/>
      <w:bookmarkEnd w:id="1"/>
      <w:r w:rsidRPr="008C5A53">
        <w:rPr>
          <w:rFonts w:ascii="Times New Roman" w:hAnsi="Times New Roman" w:cs="Times New Roman"/>
          <w:b/>
          <w:sz w:val="24"/>
          <w:szCs w:val="24"/>
        </w:rPr>
        <w:t xml:space="preserve"> </w:t>
      </w:r>
      <w:r w:rsidR="00894C55" w:rsidRPr="008C5A53">
        <w:rPr>
          <w:rFonts w:ascii="Times New Roman" w:eastAsia="Times New Roman" w:hAnsi="Times New Roman" w:cs="Times New Roman"/>
          <w:b/>
          <w:bCs/>
          <w:sz w:val="24"/>
          <w:szCs w:val="24"/>
          <w:lang w:eastAsia="lv-LV"/>
        </w:rPr>
        <w:t>projekta</w:t>
      </w:r>
      <w:r w:rsidR="004F35C8">
        <w:rPr>
          <w:rFonts w:ascii="Times New Roman" w:eastAsia="Times New Roman" w:hAnsi="Times New Roman" w:cs="Times New Roman"/>
          <w:b/>
          <w:bCs/>
          <w:sz w:val="24"/>
          <w:szCs w:val="24"/>
          <w:lang w:eastAsia="lv-LV"/>
        </w:rPr>
        <w:t xml:space="preserve"> </w:t>
      </w:r>
      <w:r w:rsidR="00894C55" w:rsidRPr="008C5A53">
        <w:rPr>
          <w:rFonts w:ascii="Times New Roman" w:eastAsia="Times New Roman" w:hAnsi="Times New Roman" w:cs="Times New Roman"/>
          <w:b/>
          <w:bCs/>
          <w:sz w:val="24"/>
          <w:szCs w:val="24"/>
          <w:lang w:eastAsia="lv-LV"/>
        </w:rPr>
        <w:t>sākotnējās ietekmes novērtējuma ziņojums (anotācija)</w:t>
      </w:r>
    </w:p>
    <w:p w14:paraId="378747DD" w14:textId="77777777" w:rsidR="00E5323B" w:rsidRPr="008C5A5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F2E10" w:rsidRPr="008C5A53" w14:paraId="405027A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DCCA77" w14:textId="77777777" w:rsidR="00655F2C" w:rsidRPr="008C5A53" w:rsidRDefault="00E5323B" w:rsidP="00E5323B">
            <w:pPr>
              <w:spacing w:after="0" w:line="240" w:lineRule="auto"/>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Tiesību akta projekta anotācijas kopsavilkums</w:t>
            </w:r>
          </w:p>
        </w:tc>
      </w:tr>
      <w:tr w:rsidR="00BF2E10" w:rsidRPr="008C5A53" w14:paraId="7EEDB67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E0CEA48"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E097A5" w14:textId="77777777" w:rsidR="00C12E0C" w:rsidRDefault="0018051E" w:rsidP="006833F3">
            <w:pPr>
              <w:jc w:val="both"/>
              <w:rPr>
                <w:rFonts w:ascii="Times New Roman" w:hAnsi="Times New Roman"/>
                <w:sz w:val="24"/>
                <w:szCs w:val="24"/>
              </w:rPr>
            </w:pPr>
            <w:r w:rsidRPr="0018051E">
              <w:rPr>
                <w:rFonts w:ascii="Times New Roman" w:eastAsia="Times New Roman" w:hAnsi="Times New Roman" w:cs="Times New Roman"/>
                <w:iCs/>
                <w:sz w:val="24"/>
                <w:szCs w:val="24"/>
                <w:lang w:eastAsia="lv-LV"/>
              </w:rPr>
              <w:t>Ministru kabineta noteikumu projekts ,,</w:t>
            </w:r>
            <w:r w:rsidRPr="006833F3">
              <w:rPr>
                <w:rFonts w:ascii="Times New Roman" w:eastAsia="Times New Roman" w:hAnsi="Times New Roman" w:cs="Times New Roman"/>
                <w:iCs/>
                <w:sz w:val="24"/>
                <w:szCs w:val="24"/>
                <w:lang w:eastAsia="lv-LV"/>
              </w:rPr>
              <w:t xml:space="preserve">Grozījumi Ministru kabineta 2020.gada 19.marta noteikumos Nr.149 “Noteikumi par apgrozāmo līdzekļu aizdevumiem saimnieciskās darbības veicējiem, kuru darbību ietekmējusi Covid-19 izplatība”” (turpmāk – MK Noteikumu projekts) sagatavots, lai uzlabotu </w:t>
            </w:r>
            <w:r w:rsidRPr="00C12E0C">
              <w:rPr>
                <w:rFonts w:ascii="Times New Roman" w:hAnsi="Times New Roman"/>
                <w:sz w:val="24"/>
                <w:szCs w:val="24"/>
              </w:rPr>
              <w:t xml:space="preserve">atbalsta pieejamību komersantiem </w:t>
            </w:r>
            <w:proofErr w:type="spellStart"/>
            <w:r w:rsidRPr="00C12E0C">
              <w:rPr>
                <w:rFonts w:ascii="Times New Roman" w:hAnsi="Times New Roman"/>
                <w:sz w:val="24"/>
                <w:szCs w:val="24"/>
              </w:rPr>
              <w:t>Covid</w:t>
            </w:r>
            <w:proofErr w:type="spellEnd"/>
            <w:r w:rsidRPr="00C12E0C">
              <w:rPr>
                <w:rFonts w:ascii="Times New Roman" w:hAnsi="Times New Roman"/>
                <w:sz w:val="24"/>
                <w:szCs w:val="24"/>
              </w:rPr>
              <w:t xml:space="preserve"> -19 ārkārtas situācijas izplatības seku pārvarēšanai, apgrozāmo līdzekļu plūsmas un eksportspējas noturēšanai. </w:t>
            </w:r>
          </w:p>
          <w:p w14:paraId="6FA3EDFB" w14:textId="5B76E788" w:rsidR="00BA5873" w:rsidRPr="008C5A53" w:rsidRDefault="009E5536" w:rsidP="009E5536">
            <w:pPr>
              <w:contextualSpacing/>
              <w:jc w:val="both"/>
              <w:rPr>
                <w:rFonts w:ascii="Times New Roman" w:eastAsia="Times New Roman" w:hAnsi="Times New Roman" w:cs="Times New Roman"/>
                <w:iCs/>
                <w:sz w:val="24"/>
                <w:szCs w:val="24"/>
                <w:lang w:eastAsia="lv-LV"/>
              </w:rPr>
            </w:pPr>
            <w:r w:rsidRPr="009E5536">
              <w:rPr>
                <w:rFonts w:ascii="Times New Roman" w:hAnsi="Times New Roman"/>
                <w:sz w:val="24"/>
                <w:szCs w:val="24"/>
              </w:rPr>
              <w:t>Noteikumu projekts stājas spēkā pēc Eiropas Komisijas pozitīva lēmuma saņemšanas par izmaiņām 2020.gada 23.marta lēmumā valsts atbalsta lietā SA.56722.</w:t>
            </w:r>
          </w:p>
        </w:tc>
      </w:tr>
    </w:tbl>
    <w:p w14:paraId="007DA583"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8C5A53" w14:paraId="023753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434191" w14:textId="77777777" w:rsidR="00655F2C" w:rsidRPr="008C5A53" w:rsidRDefault="00E5323B" w:rsidP="00E5323B">
            <w:pPr>
              <w:spacing w:after="0" w:line="240" w:lineRule="auto"/>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I. Tiesību akta projekta izstrādes nepieciešamība</w:t>
            </w:r>
          </w:p>
        </w:tc>
      </w:tr>
      <w:tr w:rsidR="00BF2E10" w:rsidRPr="008C5A53" w14:paraId="3E0957E1"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8F5753"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915C1DA"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2BAA99A" w14:textId="18C6D271" w:rsidR="004A7167" w:rsidRPr="008C5A53" w:rsidRDefault="00D5782B" w:rsidP="004A7167">
            <w:pPr>
              <w:spacing w:line="256" w:lineRule="auto"/>
              <w:contextualSpacing/>
              <w:jc w:val="both"/>
              <w:rPr>
                <w:rFonts w:ascii="Times New Roman" w:eastAsia="Times New Roman" w:hAnsi="Times New Roman" w:cs="Times New Roman"/>
                <w:iCs/>
                <w:sz w:val="24"/>
                <w:szCs w:val="24"/>
                <w:lang w:eastAsia="lv-LV"/>
              </w:rPr>
            </w:pPr>
            <w:r w:rsidRPr="006833F3">
              <w:rPr>
                <w:rFonts w:ascii="Times New Roman" w:eastAsia="Times New Roman" w:hAnsi="Times New Roman" w:cs="Times New Roman"/>
                <w:iCs/>
                <w:sz w:val="24"/>
                <w:szCs w:val="24"/>
                <w:lang w:eastAsia="lv-LV"/>
              </w:rPr>
              <w:t xml:space="preserve">MK Noteikumu projekts </w:t>
            </w:r>
            <w:r w:rsidR="0025167E" w:rsidRPr="006833F3">
              <w:rPr>
                <w:rFonts w:ascii="Times New Roman" w:eastAsia="Times New Roman" w:hAnsi="Times New Roman" w:cs="Times New Roman"/>
                <w:iCs/>
                <w:sz w:val="24"/>
                <w:szCs w:val="24"/>
                <w:lang w:eastAsia="lv-LV"/>
              </w:rPr>
              <w:t xml:space="preserve">sagatavots pēc Ekonomikas ministrijas iniciatīvas, lai precizētu normatīvā akta normas saskaņā ar </w:t>
            </w:r>
            <w:r w:rsidRPr="006833F3">
              <w:rPr>
                <w:rFonts w:ascii="Times New Roman" w:eastAsia="Times New Roman" w:hAnsi="Times New Roman" w:cs="Times New Roman"/>
                <w:iCs/>
                <w:sz w:val="24"/>
                <w:szCs w:val="24"/>
                <w:lang w:eastAsia="lv-LV"/>
              </w:rPr>
              <w:t xml:space="preserve">Eiropas Komisijas 2020. gada 19. marta paziņojuma "Pagaidu regulējums valsts atbalsta pasākumiem, ar ko atbalsta ekonomiku pašreizējā Covid-19 uzliesmojuma situācijā" grozījumiem (C(2020)1863) (turpmāk - </w:t>
            </w:r>
            <w:r w:rsidR="0025167E" w:rsidRPr="006833F3">
              <w:rPr>
                <w:rFonts w:ascii="Times New Roman" w:eastAsia="Times New Roman" w:hAnsi="Times New Roman" w:cs="Times New Roman"/>
                <w:iCs/>
                <w:sz w:val="24"/>
                <w:szCs w:val="24"/>
                <w:lang w:eastAsia="lv-LV"/>
              </w:rPr>
              <w:t>Pagaidu regulējum</w:t>
            </w:r>
            <w:r w:rsidRPr="006833F3">
              <w:rPr>
                <w:rFonts w:ascii="Times New Roman" w:eastAsia="Times New Roman" w:hAnsi="Times New Roman" w:cs="Times New Roman"/>
                <w:iCs/>
                <w:sz w:val="24"/>
                <w:szCs w:val="24"/>
                <w:lang w:eastAsia="lv-LV"/>
              </w:rPr>
              <w:t>s)</w:t>
            </w:r>
            <w:r w:rsidR="0025167E" w:rsidRPr="006833F3">
              <w:rPr>
                <w:rFonts w:ascii="Times New Roman" w:eastAsia="Times New Roman" w:hAnsi="Times New Roman" w:cs="Times New Roman"/>
                <w:iCs/>
                <w:sz w:val="24"/>
                <w:szCs w:val="24"/>
                <w:lang w:eastAsia="lv-LV"/>
              </w:rPr>
              <w:t>, t.sk. ceturtajiem grozījumiem, kurus Eiropas Komisija apstiprināja 2020.gada 13.oktobrī</w:t>
            </w:r>
            <w:r w:rsidR="0025167E" w:rsidRPr="006833F3">
              <w:rPr>
                <w:rFonts w:ascii="Times New Roman" w:eastAsia="Times New Roman" w:hAnsi="Times New Roman" w:cs="Times New Roman"/>
                <w:iCs/>
                <w:sz w:val="24"/>
                <w:szCs w:val="24"/>
                <w:vertAlign w:val="superscript"/>
                <w:lang w:eastAsia="lv-LV"/>
              </w:rPr>
              <w:footnoteReference w:id="1"/>
            </w:r>
            <w:r w:rsidR="0025167E" w:rsidRPr="006833F3">
              <w:rPr>
                <w:rFonts w:ascii="Times New Roman" w:eastAsia="Times New Roman" w:hAnsi="Times New Roman" w:cs="Times New Roman"/>
                <w:iCs/>
                <w:sz w:val="24"/>
                <w:szCs w:val="24"/>
                <w:lang w:eastAsia="lv-LV"/>
              </w:rPr>
              <w:t>, kā arī pilnveidotu programmas nosacījumus</w:t>
            </w:r>
            <w:r w:rsidR="009F736F" w:rsidRPr="006833F3">
              <w:rPr>
                <w:rFonts w:ascii="Times New Roman" w:eastAsia="Times New Roman" w:hAnsi="Times New Roman" w:cs="Times New Roman"/>
                <w:iCs/>
                <w:sz w:val="24"/>
                <w:szCs w:val="24"/>
                <w:lang w:eastAsia="lv-LV"/>
              </w:rPr>
              <w:t xml:space="preserve"> un palielinātu pieejamo finansējumu</w:t>
            </w:r>
            <w:r w:rsidR="00C12E0C">
              <w:rPr>
                <w:rFonts w:ascii="Times New Roman" w:eastAsia="Times New Roman" w:hAnsi="Times New Roman" w:cs="Times New Roman"/>
                <w:iCs/>
                <w:sz w:val="24"/>
                <w:szCs w:val="24"/>
                <w:lang w:eastAsia="lv-LV"/>
              </w:rPr>
              <w:t>.</w:t>
            </w:r>
            <w:r w:rsidR="0018051E" w:rsidRPr="006833F3">
              <w:rPr>
                <w:rFonts w:ascii="Times New Roman" w:hAnsi="Times New Roman" w:cs="Times New Roman"/>
                <w:sz w:val="24"/>
                <w:szCs w:val="24"/>
              </w:rPr>
              <w:t xml:space="preserve"> </w:t>
            </w:r>
          </w:p>
        </w:tc>
      </w:tr>
      <w:tr w:rsidR="00BF2E10" w:rsidRPr="008C5A53" w14:paraId="04D4DB72"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7D31E7" w14:textId="77777777" w:rsidR="00D64EB3" w:rsidRPr="008C5A53" w:rsidRDefault="00D64EB3" w:rsidP="00D64EB3">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F01241" w14:textId="77777777" w:rsidR="00D64EB3" w:rsidRPr="008C5A53" w:rsidRDefault="00D64EB3" w:rsidP="00D64EB3">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79EAF363" w14:textId="346FF167" w:rsidR="006A7872" w:rsidRPr="008C5A53" w:rsidRDefault="006A7872" w:rsidP="006A7872">
            <w:pPr>
              <w:spacing w:after="0" w:line="240" w:lineRule="auto"/>
              <w:jc w:val="both"/>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Ar šo MK Noteikumu projektu tiek veikti grozījumi </w:t>
            </w:r>
            <w:r w:rsidR="008C5A53">
              <w:rPr>
                <w:rFonts w:ascii="Times New Roman" w:eastAsia="Times New Roman" w:hAnsi="Times New Roman" w:cs="Times New Roman"/>
                <w:iCs/>
                <w:sz w:val="24"/>
                <w:szCs w:val="24"/>
                <w:lang w:eastAsia="lv-LV"/>
              </w:rPr>
              <w:t xml:space="preserve">Ministru kabineta </w:t>
            </w:r>
            <w:r w:rsidRPr="008C5A53">
              <w:rPr>
                <w:rFonts w:ascii="Times New Roman" w:eastAsia="Times New Roman" w:hAnsi="Times New Roman" w:cs="Times New Roman"/>
                <w:iCs/>
                <w:sz w:val="24"/>
                <w:szCs w:val="24"/>
                <w:lang w:eastAsia="lv-LV"/>
              </w:rPr>
              <w:t>2020.gada 19.marta noteikumos Nr.149 “Noteikumi par apgrozāmo līdzekļu aizdevumiem saimnieciskās darbības veicējiem, kuru darbību ietekmējusi Covid-19 izplatība”</w:t>
            </w:r>
            <w:r w:rsidR="00954DAB">
              <w:rPr>
                <w:rFonts w:ascii="Times New Roman" w:eastAsia="Times New Roman" w:hAnsi="Times New Roman" w:cs="Times New Roman"/>
                <w:iCs/>
                <w:sz w:val="24"/>
                <w:szCs w:val="24"/>
                <w:lang w:eastAsia="lv-LV"/>
              </w:rPr>
              <w:t>, kas paredz šādas izmaiņas.</w:t>
            </w:r>
          </w:p>
          <w:p w14:paraId="6D6BF3A1" w14:textId="384BCF02" w:rsidR="009F736F" w:rsidRPr="009F736F" w:rsidRDefault="008C5A53" w:rsidP="009F736F">
            <w:pPr>
              <w:jc w:val="both"/>
              <w:rPr>
                <w:sz w:val="24"/>
                <w:szCs w:val="24"/>
              </w:rPr>
            </w:pPr>
            <w:r>
              <w:rPr>
                <w:color w:val="000000" w:themeColor="text1"/>
                <w:sz w:val="24"/>
                <w:szCs w:val="24"/>
              </w:rPr>
              <w:t>1.</w:t>
            </w:r>
            <w:r w:rsidR="00D5782B">
              <w:rPr>
                <w:color w:val="000000" w:themeColor="text1"/>
                <w:sz w:val="24"/>
                <w:szCs w:val="24"/>
              </w:rPr>
              <w:t xml:space="preserve"> </w:t>
            </w:r>
            <w:r w:rsidR="009F736F" w:rsidRPr="009F736F">
              <w:rPr>
                <w:rFonts w:ascii="Times New Roman" w:eastAsia="Times New Roman" w:hAnsi="Times New Roman" w:cs="Times New Roman"/>
                <w:sz w:val="24"/>
                <w:szCs w:val="24"/>
                <w:lang w:eastAsia="lv-LV"/>
              </w:rPr>
              <w:t xml:space="preserve">Ņemot vērā 2020.gada 3.decembrī Krīzes vadības grupas uzņēmējdarbības veicināšanai ietvaros nolemto par atbalsta nepieciešamību Covid-19 krīzes skartajiem uzņēmumiem, MK Noteikumu projekts paredz no krīzes garantiju programmas </w:t>
            </w:r>
            <w:r w:rsidR="006833F3" w:rsidRPr="00C12E0C">
              <w:rPr>
                <w:rFonts w:ascii="Times New Roman" w:eastAsia="Times New Roman" w:hAnsi="Times New Roman" w:cs="Times New Roman"/>
                <w:sz w:val="24"/>
                <w:szCs w:val="24"/>
                <w:lang w:eastAsia="lv-LV"/>
              </w:rPr>
              <w:t>(</w:t>
            </w:r>
            <w:r w:rsidR="006833F3" w:rsidRPr="00341A41">
              <w:rPr>
                <w:rFonts w:ascii="Times New Roman" w:eastAsia="Times New Roman" w:hAnsi="Times New Roman" w:cs="Times New Roman"/>
                <w:sz w:val="24"/>
                <w:szCs w:val="24"/>
                <w:lang w:eastAsia="lv-LV"/>
              </w:rPr>
              <w:t xml:space="preserve">Ministru kabineta </w:t>
            </w:r>
            <w:r w:rsidR="006833F3" w:rsidRPr="00341A41">
              <w:rPr>
                <w:rFonts w:ascii="Times New Roman" w:eastAsia="Times New Roman" w:hAnsi="Times New Roman" w:cs="Times New Roman"/>
                <w:sz w:val="24"/>
                <w:szCs w:val="24"/>
                <w:lang w:eastAsia="lv-LV"/>
              </w:rPr>
              <w:lastRenderedPageBreak/>
              <w:t xml:space="preserve">2020.gada 14.jūlija noteikumi Nr.454 “Noteikumi par garantijām lielajiem komersantiem, kuru darbību ietekmējusi Covid-19 izplatība”) </w:t>
            </w:r>
            <w:r w:rsidR="009F736F" w:rsidRPr="009F736F">
              <w:rPr>
                <w:rFonts w:ascii="Times New Roman" w:eastAsia="Times New Roman" w:hAnsi="Times New Roman" w:cs="Times New Roman"/>
                <w:sz w:val="24"/>
                <w:szCs w:val="24"/>
                <w:lang w:eastAsia="lv-LV"/>
              </w:rPr>
              <w:t xml:space="preserve">finansējuma pārdali </w:t>
            </w:r>
            <w:r w:rsidR="009F736F">
              <w:rPr>
                <w:rFonts w:ascii="Times New Roman" w:eastAsia="Times New Roman" w:hAnsi="Times New Roman" w:cs="Times New Roman"/>
                <w:sz w:val="24"/>
                <w:szCs w:val="24"/>
                <w:lang w:eastAsia="lv-LV"/>
              </w:rPr>
              <w:t>1</w:t>
            </w:r>
            <w:r w:rsidR="009F736F" w:rsidRPr="009F736F">
              <w:rPr>
                <w:rFonts w:ascii="Times New Roman" w:eastAsia="Times New Roman" w:hAnsi="Times New Roman" w:cs="Times New Roman"/>
                <w:sz w:val="24"/>
                <w:szCs w:val="24"/>
                <w:lang w:eastAsia="lv-LV"/>
              </w:rPr>
              <w:t xml:space="preserve">0 000 000 </w:t>
            </w:r>
            <w:proofErr w:type="spellStart"/>
            <w:r w:rsidR="009F736F" w:rsidRPr="009F736F">
              <w:rPr>
                <w:rFonts w:ascii="Times New Roman" w:eastAsia="Times New Roman" w:hAnsi="Times New Roman" w:cs="Times New Roman"/>
                <w:i/>
                <w:iCs/>
                <w:sz w:val="24"/>
                <w:szCs w:val="24"/>
                <w:lang w:eastAsia="lv-LV"/>
              </w:rPr>
              <w:t>euro</w:t>
            </w:r>
            <w:proofErr w:type="spellEnd"/>
            <w:r w:rsidR="009F736F" w:rsidRPr="009F736F">
              <w:rPr>
                <w:rFonts w:ascii="Times New Roman" w:eastAsia="Times New Roman" w:hAnsi="Times New Roman" w:cs="Times New Roman"/>
                <w:sz w:val="24"/>
                <w:szCs w:val="24"/>
                <w:lang w:eastAsia="lv-LV"/>
              </w:rPr>
              <w:t xml:space="preserve"> apmērā (14.07.2020. M</w:t>
            </w:r>
            <w:r w:rsidR="00341A41">
              <w:rPr>
                <w:rFonts w:ascii="Times New Roman" w:eastAsia="Times New Roman" w:hAnsi="Times New Roman" w:cs="Times New Roman"/>
                <w:sz w:val="24"/>
                <w:szCs w:val="24"/>
                <w:lang w:eastAsia="lv-LV"/>
              </w:rPr>
              <w:t>inistru kabineta</w:t>
            </w:r>
            <w:r w:rsidR="009F736F" w:rsidRPr="009F736F">
              <w:rPr>
                <w:rFonts w:ascii="Times New Roman" w:eastAsia="Times New Roman" w:hAnsi="Times New Roman" w:cs="Times New Roman"/>
                <w:sz w:val="24"/>
                <w:szCs w:val="24"/>
                <w:lang w:eastAsia="lv-LV"/>
              </w:rPr>
              <w:t xml:space="preserve"> sēdē noteiktās apropriācijas otrā daļa) uz apgrozāmo līdzekļu aizdevumiem saimnieciskās darbības veicējiem, kuru darbību ietekmējusi Covid-19 izplatība</w:t>
            </w:r>
            <w:r w:rsidR="009F736F">
              <w:rPr>
                <w:rFonts w:ascii="Times New Roman" w:eastAsia="Times New Roman" w:hAnsi="Times New Roman" w:cs="Times New Roman"/>
                <w:sz w:val="24"/>
                <w:szCs w:val="24"/>
                <w:lang w:eastAsia="lv-LV"/>
              </w:rPr>
              <w:t xml:space="preserve">. Papildus finansējums nepieciešams, lai pēc iespējas efektīvāk atbalstītu komersantus, kuru darbību ir </w:t>
            </w:r>
            <w:proofErr w:type="spellStart"/>
            <w:r w:rsidR="009F736F">
              <w:rPr>
                <w:rFonts w:ascii="Times New Roman" w:eastAsia="Times New Roman" w:hAnsi="Times New Roman" w:cs="Times New Roman"/>
                <w:sz w:val="24"/>
                <w:szCs w:val="24"/>
                <w:lang w:eastAsia="lv-LV"/>
              </w:rPr>
              <w:t>skārusi</w:t>
            </w:r>
            <w:proofErr w:type="spellEnd"/>
            <w:r w:rsidR="009F736F">
              <w:rPr>
                <w:rFonts w:ascii="Times New Roman" w:eastAsia="Times New Roman" w:hAnsi="Times New Roman" w:cs="Times New Roman"/>
                <w:sz w:val="24"/>
                <w:szCs w:val="24"/>
                <w:lang w:eastAsia="lv-LV"/>
              </w:rPr>
              <w:t xml:space="preserve"> Covid-19 izplatība un tās radītās ekonomiskās sekas.</w:t>
            </w:r>
          </w:p>
          <w:p w14:paraId="16DEB19A" w14:textId="1344F2D3" w:rsidR="00D5782B" w:rsidRPr="00E75D79" w:rsidRDefault="009F736F" w:rsidP="00D5782B">
            <w:pPr>
              <w:pStyle w:val="ListParagraph"/>
              <w:numPr>
                <w:ilvl w:val="0"/>
                <w:numId w:val="4"/>
              </w:numPr>
              <w:spacing w:before="120"/>
              <w:ind w:left="-12"/>
              <w:contextualSpacing w:val="0"/>
              <w:jc w:val="both"/>
              <w:rPr>
                <w:color w:val="000000" w:themeColor="text1"/>
                <w:sz w:val="24"/>
                <w:szCs w:val="24"/>
                <w:lang w:val="lv-LV"/>
              </w:rPr>
            </w:pPr>
            <w:r>
              <w:rPr>
                <w:color w:val="000000" w:themeColor="text1"/>
                <w:sz w:val="24"/>
                <w:szCs w:val="24"/>
                <w:lang w:val="lv-LV"/>
              </w:rPr>
              <w:t xml:space="preserve">2. </w:t>
            </w:r>
            <w:r w:rsidR="00D5782B" w:rsidRPr="00D47049">
              <w:rPr>
                <w:color w:val="000000" w:themeColor="text1"/>
                <w:sz w:val="24"/>
                <w:szCs w:val="24"/>
                <w:lang w:val="lv-LV"/>
              </w:rPr>
              <w:t xml:space="preserve">Ņemot vērā arvien pieaugošu Covid-19 izplatību un ietekmi uz komersantu saimniecisko darbību, </w:t>
            </w:r>
            <w:proofErr w:type="spellStart"/>
            <w:r w:rsidR="00DE3187">
              <w:rPr>
                <w:rFonts w:eastAsia="Times New Roman"/>
                <w:iCs/>
                <w:sz w:val="24"/>
                <w:szCs w:val="24"/>
                <w:lang w:eastAsia="lv-LV"/>
              </w:rPr>
              <w:t>Ministru</w:t>
            </w:r>
            <w:proofErr w:type="spellEnd"/>
            <w:r w:rsidR="00DE3187">
              <w:rPr>
                <w:rFonts w:eastAsia="Times New Roman"/>
                <w:iCs/>
                <w:sz w:val="24"/>
                <w:szCs w:val="24"/>
                <w:lang w:eastAsia="lv-LV"/>
              </w:rPr>
              <w:t xml:space="preserve"> </w:t>
            </w:r>
            <w:proofErr w:type="spellStart"/>
            <w:r w:rsidR="00DE3187">
              <w:rPr>
                <w:rFonts w:eastAsia="Times New Roman"/>
                <w:iCs/>
                <w:sz w:val="24"/>
                <w:szCs w:val="24"/>
                <w:lang w:eastAsia="lv-LV"/>
              </w:rPr>
              <w:t>kabineta</w:t>
            </w:r>
            <w:proofErr w:type="spellEnd"/>
            <w:r w:rsidR="00DE3187">
              <w:rPr>
                <w:rFonts w:eastAsia="Times New Roman"/>
                <w:iCs/>
                <w:sz w:val="24"/>
                <w:szCs w:val="24"/>
                <w:lang w:eastAsia="lv-LV"/>
              </w:rPr>
              <w:t xml:space="preserve"> </w:t>
            </w:r>
            <w:r w:rsidR="00DE3187" w:rsidRPr="008C5A53">
              <w:rPr>
                <w:rFonts w:eastAsia="Times New Roman"/>
                <w:iCs/>
                <w:sz w:val="24"/>
                <w:szCs w:val="24"/>
                <w:lang w:eastAsia="lv-LV"/>
              </w:rPr>
              <w:t xml:space="preserve">2020.gada 19.marta </w:t>
            </w:r>
            <w:proofErr w:type="spellStart"/>
            <w:r w:rsidR="00DE3187" w:rsidRPr="008C5A53">
              <w:rPr>
                <w:rFonts w:eastAsia="Times New Roman"/>
                <w:iCs/>
                <w:sz w:val="24"/>
                <w:szCs w:val="24"/>
                <w:lang w:eastAsia="lv-LV"/>
              </w:rPr>
              <w:t>noteikumos</w:t>
            </w:r>
            <w:proofErr w:type="spellEnd"/>
            <w:r w:rsidR="00DE3187" w:rsidRPr="008C5A53">
              <w:rPr>
                <w:rFonts w:eastAsia="Times New Roman"/>
                <w:iCs/>
                <w:sz w:val="24"/>
                <w:szCs w:val="24"/>
                <w:lang w:eastAsia="lv-LV"/>
              </w:rPr>
              <w:t xml:space="preserve"> Nr.149 “</w:t>
            </w:r>
            <w:proofErr w:type="spellStart"/>
            <w:r w:rsidR="00DE3187" w:rsidRPr="008C5A53">
              <w:rPr>
                <w:rFonts w:eastAsia="Times New Roman"/>
                <w:iCs/>
                <w:sz w:val="24"/>
                <w:szCs w:val="24"/>
                <w:lang w:eastAsia="lv-LV"/>
              </w:rPr>
              <w:t>Noteikumi</w:t>
            </w:r>
            <w:proofErr w:type="spellEnd"/>
            <w:r w:rsidR="00DE3187" w:rsidRPr="008C5A53">
              <w:rPr>
                <w:rFonts w:eastAsia="Times New Roman"/>
                <w:iCs/>
                <w:sz w:val="24"/>
                <w:szCs w:val="24"/>
                <w:lang w:eastAsia="lv-LV"/>
              </w:rPr>
              <w:t xml:space="preserve"> par </w:t>
            </w:r>
            <w:proofErr w:type="spellStart"/>
            <w:r w:rsidR="00DE3187" w:rsidRPr="008C5A53">
              <w:rPr>
                <w:rFonts w:eastAsia="Times New Roman"/>
                <w:iCs/>
                <w:sz w:val="24"/>
                <w:szCs w:val="24"/>
                <w:lang w:eastAsia="lv-LV"/>
              </w:rPr>
              <w:t>apgrozāmo</w:t>
            </w:r>
            <w:proofErr w:type="spellEnd"/>
            <w:r w:rsidR="00DE3187" w:rsidRPr="008C5A53">
              <w:rPr>
                <w:rFonts w:eastAsia="Times New Roman"/>
                <w:iCs/>
                <w:sz w:val="24"/>
                <w:szCs w:val="24"/>
                <w:lang w:eastAsia="lv-LV"/>
              </w:rPr>
              <w:t xml:space="preserve"> </w:t>
            </w:r>
            <w:proofErr w:type="spellStart"/>
            <w:r w:rsidR="00DE3187" w:rsidRPr="008C5A53">
              <w:rPr>
                <w:rFonts w:eastAsia="Times New Roman"/>
                <w:iCs/>
                <w:sz w:val="24"/>
                <w:szCs w:val="24"/>
                <w:lang w:eastAsia="lv-LV"/>
              </w:rPr>
              <w:t>līdzekļu</w:t>
            </w:r>
            <w:proofErr w:type="spellEnd"/>
            <w:r w:rsidR="00DE3187" w:rsidRPr="008C5A53">
              <w:rPr>
                <w:rFonts w:eastAsia="Times New Roman"/>
                <w:iCs/>
                <w:sz w:val="24"/>
                <w:szCs w:val="24"/>
                <w:lang w:eastAsia="lv-LV"/>
              </w:rPr>
              <w:t xml:space="preserve"> </w:t>
            </w:r>
            <w:proofErr w:type="spellStart"/>
            <w:r w:rsidR="00DE3187" w:rsidRPr="008C5A53">
              <w:rPr>
                <w:rFonts w:eastAsia="Times New Roman"/>
                <w:iCs/>
                <w:sz w:val="24"/>
                <w:szCs w:val="24"/>
                <w:lang w:eastAsia="lv-LV"/>
              </w:rPr>
              <w:t>aizdevumiem</w:t>
            </w:r>
            <w:proofErr w:type="spellEnd"/>
            <w:r w:rsidR="00DE3187" w:rsidRPr="008C5A53">
              <w:rPr>
                <w:rFonts w:eastAsia="Times New Roman"/>
                <w:iCs/>
                <w:sz w:val="24"/>
                <w:szCs w:val="24"/>
                <w:lang w:eastAsia="lv-LV"/>
              </w:rPr>
              <w:t xml:space="preserve"> </w:t>
            </w:r>
            <w:proofErr w:type="spellStart"/>
            <w:r w:rsidR="00DE3187" w:rsidRPr="008C5A53">
              <w:rPr>
                <w:rFonts w:eastAsia="Times New Roman"/>
                <w:iCs/>
                <w:sz w:val="24"/>
                <w:szCs w:val="24"/>
                <w:lang w:eastAsia="lv-LV"/>
              </w:rPr>
              <w:t>saimnieciskās</w:t>
            </w:r>
            <w:proofErr w:type="spellEnd"/>
            <w:r w:rsidR="00DE3187" w:rsidRPr="008C5A53">
              <w:rPr>
                <w:rFonts w:eastAsia="Times New Roman"/>
                <w:iCs/>
                <w:sz w:val="24"/>
                <w:szCs w:val="24"/>
                <w:lang w:eastAsia="lv-LV"/>
              </w:rPr>
              <w:t xml:space="preserve"> </w:t>
            </w:r>
            <w:proofErr w:type="spellStart"/>
            <w:r w:rsidR="00DE3187" w:rsidRPr="008C5A53">
              <w:rPr>
                <w:rFonts w:eastAsia="Times New Roman"/>
                <w:iCs/>
                <w:sz w:val="24"/>
                <w:szCs w:val="24"/>
                <w:lang w:eastAsia="lv-LV"/>
              </w:rPr>
              <w:t>darbības</w:t>
            </w:r>
            <w:proofErr w:type="spellEnd"/>
            <w:r w:rsidR="00DE3187" w:rsidRPr="008C5A53">
              <w:rPr>
                <w:rFonts w:eastAsia="Times New Roman"/>
                <w:iCs/>
                <w:sz w:val="24"/>
                <w:szCs w:val="24"/>
                <w:lang w:eastAsia="lv-LV"/>
              </w:rPr>
              <w:t xml:space="preserve"> </w:t>
            </w:r>
            <w:proofErr w:type="spellStart"/>
            <w:r w:rsidR="00DE3187" w:rsidRPr="008C5A53">
              <w:rPr>
                <w:rFonts w:eastAsia="Times New Roman"/>
                <w:iCs/>
                <w:sz w:val="24"/>
                <w:szCs w:val="24"/>
                <w:lang w:eastAsia="lv-LV"/>
              </w:rPr>
              <w:t>veicējiem</w:t>
            </w:r>
            <w:proofErr w:type="spellEnd"/>
            <w:r w:rsidR="00DE3187" w:rsidRPr="008C5A53">
              <w:rPr>
                <w:rFonts w:eastAsia="Times New Roman"/>
                <w:iCs/>
                <w:sz w:val="24"/>
                <w:szCs w:val="24"/>
                <w:lang w:eastAsia="lv-LV"/>
              </w:rPr>
              <w:t xml:space="preserve">, kuru </w:t>
            </w:r>
            <w:proofErr w:type="spellStart"/>
            <w:r w:rsidR="00DE3187" w:rsidRPr="008C5A53">
              <w:rPr>
                <w:rFonts w:eastAsia="Times New Roman"/>
                <w:iCs/>
                <w:sz w:val="24"/>
                <w:szCs w:val="24"/>
                <w:lang w:eastAsia="lv-LV"/>
              </w:rPr>
              <w:t>darbību</w:t>
            </w:r>
            <w:proofErr w:type="spellEnd"/>
            <w:r w:rsidR="00DE3187" w:rsidRPr="008C5A53">
              <w:rPr>
                <w:rFonts w:eastAsia="Times New Roman"/>
                <w:iCs/>
                <w:sz w:val="24"/>
                <w:szCs w:val="24"/>
                <w:lang w:eastAsia="lv-LV"/>
              </w:rPr>
              <w:t xml:space="preserve"> </w:t>
            </w:r>
            <w:proofErr w:type="spellStart"/>
            <w:r w:rsidR="00DE3187" w:rsidRPr="008C5A53">
              <w:rPr>
                <w:rFonts w:eastAsia="Times New Roman"/>
                <w:iCs/>
                <w:sz w:val="24"/>
                <w:szCs w:val="24"/>
                <w:lang w:eastAsia="lv-LV"/>
              </w:rPr>
              <w:t>ietekmējusi</w:t>
            </w:r>
            <w:proofErr w:type="spellEnd"/>
            <w:r w:rsidR="00DE3187" w:rsidRPr="008C5A53">
              <w:rPr>
                <w:rFonts w:eastAsia="Times New Roman"/>
                <w:iCs/>
                <w:sz w:val="24"/>
                <w:szCs w:val="24"/>
                <w:lang w:eastAsia="lv-LV"/>
              </w:rPr>
              <w:t xml:space="preserve"> Covid-19 </w:t>
            </w:r>
            <w:proofErr w:type="spellStart"/>
            <w:r w:rsidR="00DE3187" w:rsidRPr="008C5A53">
              <w:rPr>
                <w:rFonts w:eastAsia="Times New Roman"/>
                <w:iCs/>
                <w:sz w:val="24"/>
                <w:szCs w:val="24"/>
                <w:lang w:eastAsia="lv-LV"/>
              </w:rPr>
              <w:t>izplatība</w:t>
            </w:r>
            <w:proofErr w:type="spellEnd"/>
            <w:r w:rsidR="00DE3187" w:rsidRPr="008C5A53">
              <w:rPr>
                <w:rFonts w:eastAsia="Times New Roman"/>
                <w:iCs/>
                <w:sz w:val="24"/>
                <w:szCs w:val="24"/>
                <w:lang w:eastAsia="lv-LV"/>
              </w:rPr>
              <w:t>”</w:t>
            </w:r>
            <w:r w:rsidR="00DE3187">
              <w:rPr>
                <w:rFonts w:eastAsia="Times New Roman"/>
                <w:iCs/>
                <w:sz w:val="24"/>
                <w:szCs w:val="24"/>
                <w:lang w:eastAsia="lv-LV"/>
              </w:rPr>
              <w:t xml:space="preserve"> (</w:t>
            </w:r>
            <w:proofErr w:type="spellStart"/>
            <w:r w:rsidR="00DE3187">
              <w:rPr>
                <w:rFonts w:eastAsia="Times New Roman"/>
                <w:iCs/>
                <w:sz w:val="24"/>
                <w:szCs w:val="24"/>
                <w:lang w:eastAsia="lv-LV"/>
              </w:rPr>
              <w:t>turpmāk</w:t>
            </w:r>
            <w:proofErr w:type="spellEnd"/>
            <w:r w:rsidR="00DE3187">
              <w:rPr>
                <w:rFonts w:eastAsia="Times New Roman"/>
                <w:iCs/>
                <w:sz w:val="24"/>
                <w:szCs w:val="24"/>
                <w:lang w:eastAsia="lv-LV"/>
              </w:rPr>
              <w:t xml:space="preserve"> - </w:t>
            </w:r>
            <w:r w:rsidR="00D5782B" w:rsidRPr="00D47049">
              <w:rPr>
                <w:color w:val="000000" w:themeColor="text1"/>
                <w:sz w:val="24"/>
                <w:szCs w:val="24"/>
                <w:lang w:val="lv-LV"/>
              </w:rPr>
              <w:t xml:space="preserve">MK </w:t>
            </w:r>
            <w:r w:rsidR="00D5782B" w:rsidRPr="00E75D79">
              <w:rPr>
                <w:color w:val="000000" w:themeColor="text1"/>
                <w:sz w:val="24"/>
                <w:szCs w:val="24"/>
                <w:lang w:val="lv-LV"/>
              </w:rPr>
              <w:t>Noteikum</w:t>
            </w:r>
            <w:r w:rsidR="00DE3187">
              <w:rPr>
                <w:color w:val="000000" w:themeColor="text1"/>
                <w:sz w:val="24"/>
                <w:szCs w:val="24"/>
                <w:lang w:val="lv-LV"/>
              </w:rPr>
              <w:t>i</w:t>
            </w:r>
            <w:r w:rsidR="00D5782B" w:rsidRPr="00E75D79">
              <w:rPr>
                <w:color w:val="000000" w:themeColor="text1"/>
                <w:sz w:val="24"/>
                <w:szCs w:val="24"/>
                <w:lang w:val="lv-LV"/>
              </w:rPr>
              <w:t xml:space="preserve"> Nr.149</w:t>
            </w:r>
            <w:r w:rsidR="00DE3187">
              <w:rPr>
                <w:color w:val="000000" w:themeColor="text1"/>
                <w:sz w:val="24"/>
                <w:szCs w:val="24"/>
                <w:lang w:val="lv-LV"/>
              </w:rPr>
              <w:t>)</w:t>
            </w:r>
            <w:r w:rsidR="00D5782B" w:rsidRPr="00E75D79">
              <w:rPr>
                <w:color w:val="000000" w:themeColor="text1"/>
                <w:sz w:val="24"/>
                <w:szCs w:val="24"/>
                <w:lang w:val="lv-LV"/>
              </w:rPr>
              <w:t xml:space="preserve"> 8.punktā precizēts, ka aizdevumi pieejami, lai mazinātu Covid-19 izplatības seku negatīvo ietekmi uz saimnieciskās darbības veicēju saimniecisko darbību, </w:t>
            </w:r>
            <w:r w:rsidR="00E75D79" w:rsidRPr="00E75D79">
              <w:rPr>
                <w:color w:val="000000" w:themeColor="text1"/>
                <w:sz w:val="24"/>
                <w:szCs w:val="24"/>
                <w:lang w:val="lv-LV"/>
              </w:rPr>
              <w:t xml:space="preserve">ja saimnieciskās darbības veicējs ir ekonomiski dzīvotspējīgs, vērtējot saimnieciskās darbības  potenciālu un ilgtspēju, nodrošinājumu un tā likviditāti, saimnieciskās darbības veicēja esošo un nākotnes finanšu situāciju, zināšanas un pieredzi, uzņēmējdarbības riskus un citus faktorus. Kā piemēram, </w:t>
            </w:r>
            <w:r w:rsidR="00D5782B" w:rsidRPr="00E75D79">
              <w:rPr>
                <w:color w:val="000000" w:themeColor="text1"/>
                <w:sz w:val="24"/>
                <w:szCs w:val="24"/>
                <w:lang w:val="lv-LV"/>
              </w:rPr>
              <w:t xml:space="preserve">praksē ir virkne citu situāciju, kas negatīvi ietekmē saimniecisko darbību, piemēram, slēgtu robežu dēļ nevar veikt darbus ārvalstīs vai kavējas izejvielu piegādes, darbaspēka </w:t>
            </w:r>
            <w:proofErr w:type="spellStart"/>
            <w:r w:rsidR="00D5782B" w:rsidRPr="00E75D79">
              <w:rPr>
                <w:color w:val="000000" w:themeColor="text1"/>
                <w:sz w:val="24"/>
                <w:szCs w:val="24"/>
                <w:lang w:val="lv-LV"/>
              </w:rPr>
              <w:t>pašizolācija</w:t>
            </w:r>
            <w:proofErr w:type="spellEnd"/>
            <w:r w:rsidR="00D5782B" w:rsidRPr="00E75D79">
              <w:rPr>
                <w:color w:val="000000" w:themeColor="text1"/>
                <w:sz w:val="24"/>
                <w:szCs w:val="24"/>
                <w:lang w:val="lv-LV"/>
              </w:rPr>
              <w:t>, klientu maksājumu kavējumu īpatsvara pieaugums, piegādātāju pāreja uz priekšapmaksu, klientu pēcapmaksas termiņu pagarināšana u.c. Neizslēdzot arī saimnieciskās darbības veicēju likviditātes samazināšanos un finanšu datu pasliktināšanos salīdzinājumā ar laika periodu pirms Covid-19 izplatības.</w:t>
            </w:r>
            <w:r w:rsidR="00D5782B" w:rsidRPr="00D47049">
              <w:rPr>
                <w:color w:val="000000" w:themeColor="text1"/>
                <w:sz w:val="24"/>
                <w:szCs w:val="24"/>
                <w:lang w:val="lv-LV"/>
              </w:rPr>
              <w:t xml:space="preserve"> </w:t>
            </w:r>
          </w:p>
          <w:p w14:paraId="24EE9820" w14:textId="64BF20AA" w:rsidR="00D5782B" w:rsidRPr="00D5782B" w:rsidRDefault="009F736F" w:rsidP="00D5782B">
            <w:pPr>
              <w:pStyle w:val="ListParagraph"/>
              <w:numPr>
                <w:ilvl w:val="0"/>
                <w:numId w:val="4"/>
              </w:numPr>
              <w:spacing w:before="120"/>
              <w:ind w:left="-12"/>
              <w:contextualSpacing w:val="0"/>
              <w:jc w:val="both"/>
              <w:rPr>
                <w:sz w:val="24"/>
                <w:szCs w:val="24"/>
                <w:lang w:val="lv-LV"/>
              </w:rPr>
            </w:pPr>
            <w:r>
              <w:rPr>
                <w:sz w:val="24"/>
                <w:szCs w:val="24"/>
                <w:lang w:val="lv-LV"/>
              </w:rPr>
              <w:t>3</w:t>
            </w:r>
            <w:r w:rsidR="00D5782B" w:rsidRPr="00D47049">
              <w:rPr>
                <w:sz w:val="24"/>
                <w:szCs w:val="24"/>
                <w:lang w:val="lv-LV"/>
              </w:rPr>
              <w:t xml:space="preserve">. </w:t>
            </w:r>
            <w:r w:rsidR="00D5782B" w:rsidRPr="00D47049">
              <w:rPr>
                <w:color w:val="000000" w:themeColor="text1"/>
                <w:sz w:val="24"/>
                <w:szCs w:val="24"/>
                <w:lang w:val="lv-LV"/>
              </w:rPr>
              <w:t xml:space="preserve">MK </w:t>
            </w:r>
            <w:r w:rsidR="00D5782B">
              <w:rPr>
                <w:color w:val="000000" w:themeColor="text1"/>
                <w:sz w:val="24"/>
                <w:szCs w:val="24"/>
                <w:lang w:val="lv-LV"/>
              </w:rPr>
              <w:t>N</w:t>
            </w:r>
            <w:r w:rsidR="00D5782B" w:rsidRPr="00D47049">
              <w:rPr>
                <w:color w:val="000000" w:themeColor="text1"/>
                <w:sz w:val="24"/>
                <w:szCs w:val="24"/>
                <w:lang w:val="lv-LV"/>
              </w:rPr>
              <w:t xml:space="preserve">oteikumu Nr.149 11.punktā noteikts, ka aizdevuma atmaksas uzsākšanu var atlikt līdz 12 mēnešiem. </w:t>
            </w:r>
            <w:r w:rsidR="00D5782B" w:rsidRPr="00D47049">
              <w:rPr>
                <w:sz w:val="24"/>
                <w:szCs w:val="24"/>
                <w:lang w:val="lv-LV"/>
              </w:rPr>
              <w:t>Programmas ietvaros aizdevumi pieejami kopš 2020.gada marta, tādēļ daļai aizdevumu saņēmēju pamatsummas atmaksa jāuzsāk 2021.gada martā, aprīlī, maijā. Pašreiz nav prognozējams, ka 2021.gada 1.pusgadā atjaunosies pieprasījums pēc, piemēram, tūrisma, ēdināšanas nozares komersantu pakalpojumiem, tādēļ daļai saimnieciskās darbības veicēju ienākumi nebūs pietiekamā apjomā, lai veiktu pamatsummas maksājumus. Grozījumi paredz maksimālo pamatsummas atmaksas uzsākšanas termiņu pagarināt no 12 līdz 18 mēnešiem.</w:t>
            </w:r>
            <w:r w:rsidR="00931B91">
              <w:rPr>
                <w:sz w:val="24"/>
                <w:szCs w:val="24"/>
                <w:lang w:val="lv-LV"/>
              </w:rPr>
              <w:t xml:space="preserve"> A</w:t>
            </w:r>
            <w:r w:rsidR="00931B91" w:rsidRPr="00931B91">
              <w:rPr>
                <w:sz w:val="24"/>
                <w:szCs w:val="24"/>
                <w:lang w:val="lv-LV"/>
              </w:rPr>
              <w:t xml:space="preserve">ttiecībā uz </w:t>
            </w:r>
            <w:r w:rsidR="00931B91" w:rsidRPr="00931B91">
              <w:rPr>
                <w:sz w:val="24"/>
                <w:szCs w:val="24"/>
                <w:lang w:val="lv-LV"/>
              </w:rPr>
              <w:lastRenderedPageBreak/>
              <w:t xml:space="preserve">jau piešķirtu aizdevumu atmaksas termiņa atlikšanas pagarināšanu, </w:t>
            </w:r>
            <w:bookmarkStart w:id="2" w:name="_Hlk58333838"/>
            <w:r w:rsidR="00DE3187" w:rsidRPr="00DE3187">
              <w:rPr>
                <w:sz w:val="24"/>
                <w:szCs w:val="24"/>
                <w:lang w:val="lv-LV"/>
              </w:rPr>
              <w:t xml:space="preserve">akciju sabiedrība "Attīstības finanšu institūcija </w:t>
            </w:r>
            <w:proofErr w:type="spellStart"/>
            <w:r w:rsidR="00DE3187" w:rsidRPr="00DE3187">
              <w:rPr>
                <w:sz w:val="24"/>
                <w:szCs w:val="24"/>
                <w:lang w:val="lv-LV"/>
              </w:rPr>
              <w:t>Altum</w:t>
            </w:r>
            <w:proofErr w:type="spellEnd"/>
            <w:r w:rsidR="00DE3187" w:rsidRPr="00DE3187">
              <w:rPr>
                <w:sz w:val="24"/>
                <w:szCs w:val="24"/>
                <w:lang w:val="lv-LV"/>
              </w:rPr>
              <w:t xml:space="preserve">" (turpmāk – </w:t>
            </w:r>
            <w:proofErr w:type="spellStart"/>
            <w:r w:rsidR="00931B91" w:rsidRPr="00931B91">
              <w:rPr>
                <w:sz w:val="24"/>
                <w:szCs w:val="24"/>
                <w:lang w:val="lv-LV"/>
              </w:rPr>
              <w:t>Altum</w:t>
            </w:r>
            <w:proofErr w:type="spellEnd"/>
            <w:r w:rsidR="00DE3187">
              <w:rPr>
                <w:sz w:val="24"/>
                <w:szCs w:val="24"/>
                <w:lang w:val="lv-LV"/>
              </w:rPr>
              <w:t>)</w:t>
            </w:r>
            <w:r w:rsidR="00931B91" w:rsidRPr="00931B91">
              <w:rPr>
                <w:sz w:val="24"/>
                <w:szCs w:val="24"/>
                <w:lang w:val="lv-LV"/>
              </w:rPr>
              <w:t xml:space="preserve"> no jauna izvērtē un pārbauda visus attiecīgi piemērojamos komercdarbības atbalsta nosacījumus</w:t>
            </w:r>
            <w:bookmarkEnd w:id="2"/>
            <w:r w:rsidR="00931B91" w:rsidRPr="00931B91">
              <w:rPr>
                <w:sz w:val="24"/>
                <w:szCs w:val="24"/>
                <w:lang w:val="lv-LV"/>
              </w:rPr>
              <w:t>.</w:t>
            </w:r>
          </w:p>
          <w:p w14:paraId="2F656A34" w14:textId="126B6A88" w:rsidR="008C5A53" w:rsidRPr="008C5A53" w:rsidRDefault="008C5A53" w:rsidP="0071162E">
            <w:pPr>
              <w:pStyle w:val="ListParagraph"/>
              <w:numPr>
                <w:ilvl w:val="0"/>
                <w:numId w:val="4"/>
              </w:numPr>
              <w:spacing w:before="120"/>
              <w:ind w:left="-12"/>
              <w:contextualSpacing w:val="0"/>
              <w:jc w:val="both"/>
              <w:rPr>
                <w:sz w:val="24"/>
                <w:szCs w:val="24"/>
                <w:lang w:val="lv-LV"/>
              </w:rPr>
            </w:pPr>
            <w:r>
              <w:rPr>
                <w:color w:val="000000" w:themeColor="text1"/>
                <w:sz w:val="24"/>
                <w:szCs w:val="24"/>
                <w:lang w:val="lv-LV"/>
              </w:rPr>
              <w:t xml:space="preserve"> </w:t>
            </w:r>
            <w:r w:rsidR="009F736F">
              <w:rPr>
                <w:color w:val="000000" w:themeColor="text1"/>
                <w:sz w:val="24"/>
                <w:szCs w:val="24"/>
                <w:lang w:val="lv-LV"/>
              </w:rPr>
              <w:t>4</w:t>
            </w:r>
            <w:r w:rsidR="00D5782B">
              <w:rPr>
                <w:color w:val="000000" w:themeColor="text1"/>
                <w:sz w:val="24"/>
                <w:szCs w:val="24"/>
                <w:lang w:val="lv-LV"/>
              </w:rPr>
              <w:t xml:space="preserve">. </w:t>
            </w:r>
            <w:r w:rsidRPr="008C5A53">
              <w:rPr>
                <w:color w:val="000000" w:themeColor="text1"/>
                <w:sz w:val="24"/>
                <w:szCs w:val="24"/>
                <w:lang w:val="lv-LV"/>
              </w:rPr>
              <w:t xml:space="preserve">MK </w:t>
            </w:r>
            <w:r w:rsidR="004C4967">
              <w:rPr>
                <w:color w:val="000000" w:themeColor="text1"/>
                <w:sz w:val="24"/>
                <w:szCs w:val="24"/>
                <w:lang w:val="lv-LV"/>
              </w:rPr>
              <w:t>N</w:t>
            </w:r>
            <w:r w:rsidR="004C4967" w:rsidRPr="008C5A53">
              <w:rPr>
                <w:color w:val="000000" w:themeColor="text1"/>
                <w:sz w:val="24"/>
                <w:szCs w:val="24"/>
                <w:lang w:val="lv-LV"/>
              </w:rPr>
              <w:t xml:space="preserve">oteikumu </w:t>
            </w:r>
            <w:r w:rsidRPr="008C5A53">
              <w:rPr>
                <w:color w:val="000000" w:themeColor="text1"/>
                <w:sz w:val="24"/>
                <w:szCs w:val="24"/>
                <w:lang w:val="lv-LV"/>
              </w:rPr>
              <w:t>Nr.149 21.punkts nosaka, ka a</w:t>
            </w:r>
            <w:r w:rsidRPr="008C5A53">
              <w:rPr>
                <w:color w:val="000000" w:themeColor="text1"/>
                <w:sz w:val="24"/>
                <w:szCs w:val="24"/>
                <w:shd w:val="clear" w:color="auto" w:fill="FFFFFF"/>
                <w:lang w:val="lv-LV"/>
              </w:rPr>
              <w:t>izdevumu nepiešķir saimnieciskās darbības veicējam, ja tas bija nonācis finanšu grūtībās 2019. gada 31. decembrī saskaņā ar vismaz vienu no attiecīgi MK Noteikumos Nr.149 noteiktajām pazīmēm.</w:t>
            </w:r>
            <w:r>
              <w:rPr>
                <w:color w:val="000000" w:themeColor="text1"/>
                <w:sz w:val="24"/>
                <w:szCs w:val="24"/>
                <w:shd w:val="clear" w:color="auto" w:fill="FFFFFF"/>
                <w:lang w:val="lv-LV"/>
              </w:rPr>
              <w:t xml:space="preserve"> </w:t>
            </w:r>
            <w:r w:rsidRPr="008C5A53">
              <w:rPr>
                <w:rFonts w:eastAsia="Times New Roman"/>
                <w:iCs/>
                <w:sz w:val="24"/>
                <w:szCs w:val="24"/>
                <w:lang w:val="lv-LV" w:eastAsia="lv-LV"/>
              </w:rPr>
              <w:t>MK Noteikumu projekts</w:t>
            </w:r>
            <w:r w:rsidRPr="008C5A53" w:rsidDel="003D0F93">
              <w:rPr>
                <w:rFonts w:eastAsia="Times New Roman"/>
                <w:iCs/>
                <w:sz w:val="24"/>
                <w:szCs w:val="24"/>
                <w:lang w:val="lv-LV" w:eastAsia="lv-LV"/>
              </w:rPr>
              <w:t xml:space="preserve"> </w:t>
            </w:r>
            <w:r w:rsidRPr="008C5A53">
              <w:rPr>
                <w:sz w:val="24"/>
                <w:szCs w:val="24"/>
                <w:lang w:val="lv-LV"/>
              </w:rPr>
              <w:t>paredz precizēt atbalsta piešķiršanas kritērijus attiecībā uz grūtībās nonākušu uzņēmumu vērtēšanu.</w:t>
            </w:r>
          </w:p>
          <w:p w14:paraId="60A81B57" w14:textId="77777777" w:rsidR="008C5A53" w:rsidRPr="008C5A53" w:rsidRDefault="008C5A53" w:rsidP="00402875">
            <w:pPr>
              <w:spacing w:before="120" w:after="0"/>
              <w:jc w:val="both"/>
              <w:rPr>
                <w:rFonts w:ascii="Times New Roman" w:hAnsi="Times New Roman" w:cs="Times New Roman"/>
                <w:sz w:val="24"/>
                <w:szCs w:val="24"/>
              </w:rPr>
            </w:pPr>
            <w:r w:rsidRPr="008C5A53">
              <w:rPr>
                <w:rFonts w:ascii="Times New Roman" w:hAnsi="Times New Roman" w:cs="Times New Roman"/>
                <w:sz w:val="24"/>
                <w:szCs w:val="24"/>
              </w:rPr>
              <w:t>Lai precizētu atbalsta normas par grūtībās nonākušiem uzņēmumiem, ir šāda pieeja:</w:t>
            </w:r>
          </w:p>
          <w:p w14:paraId="2C2DB944" w14:textId="77777777" w:rsidR="008C5A53" w:rsidRPr="008C5A53" w:rsidRDefault="008C5A53" w:rsidP="00402875">
            <w:pPr>
              <w:pStyle w:val="ListParagraph"/>
              <w:numPr>
                <w:ilvl w:val="0"/>
                <w:numId w:val="5"/>
              </w:numPr>
              <w:spacing w:before="120"/>
              <w:contextualSpacing w:val="0"/>
              <w:jc w:val="both"/>
              <w:rPr>
                <w:rFonts w:eastAsia="Times New Roman"/>
                <w:sz w:val="24"/>
                <w:szCs w:val="24"/>
                <w:lang w:val="lv-LV"/>
              </w:rPr>
            </w:pPr>
            <w:r w:rsidRPr="008C5A53">
              <w:rPr>
                <w:rFonts w:eastAsia="Times New Roman"/>
                <w:sz w:val="24"/>
                <w:szCs w:val="24"/>
                <w:lang w:val="lv-LV"/>
              </w:rPr>
              <w:t xml:space="preserve">atbalsta pretendents uz atbalsta piešķiršanas brīdi nav nonācis grūtībās, kā arī tas nebija nonācis grūtībās uz 2019.gada 31.decembri – atbalstu saskaņā ar Komisijas paziņojumu tam </w:t>
            </w:r>
            <w:r w:rsidRPr="008C5A53">
              <w:rPr>
                <w:rFonts w:eastAsia="Times New Roman"/>
                <w:sz w:val="24"/>
                <w:szCs w:val="24"/>
                <w:u w:val="single"/>
                <w:lang w:val="lv-LV"/>
              </w:rPr>
              <w:t>drīkst</w:t>
            </w:r>
            <w:r w:rsidRPr="008C5A53">
              <w:rPr>
                <w:rFonts w:eastAsia="Times New Roman"/>
                <w:sz w:val="24"/>
                <w:szCs w:val="24"/>
                <w:lang w:val="lv-LV"/>
              </w:rPr>
              <w:t xml:space="preserve"> piešķirt;</w:t>
            </w:r>
          </w:p>
          <w:p w14:paraId="71292551" w14:textId="77777777" w:rsidR="008C5A53" w:rsidRPr="008C5A53" w:rsidRDefault="008C5A53" w:rsidP="00402875">
            <w:pPr>
              <w:pStyle w:val="ListParagraph"/>
              <w:numPr>
                <w:ilvl w:val="0"/>
                <w:numId w:val="5"/>
              </w:numPr>
              <w:spacing w:before="120"/>
              <w:contextualSpacing w:val="0"/>
              <w:jc w:val="both"/>
              <w:rPr>
                <w:rFonts w:eastAsia="Times New Roman"/>
                <w:sz w:val="24"/>
                <w:szCs w:val="24"/>
                <w:lang w:val="lv-LV"/>
              </w:rPr>
            </w:pPr>
            <w:r w:rsidRPr="008C5A53">
              <w:rPr>
                <w:rFonts w:eastAsia="Times New Roman"/>
                <w:sz w:val="24"/>
                <w:szCs w:val="24"/>
                <w:lang w:val="lv-LV"/>
              </w:rPr>
              <w:t xml:space="preserve">atbalsta pretendents uz atbalsta piešķiršanas brīdi ir nonācis grūtībās, bet tas nebija nonācis grūtībās uz 2019.gada 31.decembri – atbalstu saskaņā ar Komisijas paziņojumu tam </w:t>
            </w:r>
            <w:r w:rsidRPr="008C5A53">
              <w:rPr>
                <w:rFonts w:eastAsia="Times New Roman"/>
                <w:sz w:val="24"/>
                <w:szCs w:val="24"/>
                <w:u w:val="single"/>
                <w:lang w:val="lv-LV"/>
              </w:rPr>
              <w:t>drīkst</w:t>
            </w:r>
            <w:r w:rsidRPr="008C5A53">
              <w:rPr>
                <w:rFonts w:eastAsia="Times New Roman"/>
                <w:sz w:val="24"/>
                <w:szCs w:val="24"/>
                <w:lang w:val="lv-LV"/>
              </w:rPr>
              <w:t xml:space="preserve"> piešķirt;</w:t>
            </w:r>
          </w:p>
          <w:p w14:paraId="5289766E" w14:textId="607F0D62" w:rsidR="008C5A53" w:rsidRPr="008C5A53" w:rsidRDefault="008C5A53" w:rsidP="00402875">
            <w:pPr>
              <w:pStyle w:val="ListParagraph"/>
              <w:numPr>
                <w:ilvl w:val="0"/>
                <w:numId w:val="5"/>
              </w:numPr>
              <w:spacing w:before="120"/>
              <w:contextualSpacing w:val="0"/>
              <w:jc w:val="both"/>
              <w:rPr>
                <w:rFonts w:eastAsia="Times New Roman"/>
                <w:sz w:val="24"/>
                <w:szCs w:val="24"/>
                <w:lang w:val="lv-LV"/>
              </w:rPr>
            </w:pPr>
            <w:r w:rsidRPr="008C5A53">
              <w:rPr>
                <w:rFonts w:eastAsia="Times New Roman"/>
                <w:sz w:val="24"/>
                <w:szCs w:val="24"/>
                <w:lang w:val="lv-LV"/>
              </w:rPr>
              <w:t xml:space="preserve">atbalsta pretendents uz atbalsta piešķiršanas brīdi ir nonācis grūtībās, kā arī tas bija nonācis grūtībās jau uz 2019.gada 31.decembri – atbalstu saskaņā ar Komisijas paziņojumu tam </w:t>
            </w:r>
            <w:r w:rsidRPr="008C5A53">
              <w:rPr>
                <w:rFonts w:eastAsia="Times New Roman"/>
                <w:sz w:val="24"/>
                <w:szCs w:val="24"/>
                <w:u w:val="single"/>
                <w:lang w:val="lv-LV"/>
              </w:rPr>
              <w:t>nedrīkst</w:t>
            </w:r>
            <w:r w:rsidRPr="008C5A53">
              <w:rPr>
                <w:rFonts w:eastAsia="Times New Roman"/>
                <w:sz w:val="24"/>
                <w:szCs w:val="24"/>
                <w:lang w:val="lv-LV"/>
              </w:rPr>
              <w:t xml:space="preserve"> piešķirt (izņemot Komisijas paziņojumā paredzēto izņēmumu attiecībā uz mikro un maziem uzņēmumiem);</w:t>
            </w:r>
          </w:p>
          <w:p w14:paraId="7E914A46" w14:textId="4EAEA274" w:rsidR="008C5A53" w:rsidRDefault="008C5A53" w:rsidP="00402875">
            <w:pPr>
              <w:pStyle w:val="ListParagraph"/>
              <w:numPr>
                <w:ilvl w:val="0"/>
                <w:numId w:val="5"/>
              </w:numPr>
              <w:spacing w:before="120"/>
              <w:contextualSpacing w:val="0"/>
              <w:jc w:val="both"/>
              <w:rPr>
                <w:rFonts w:eastAsia="Times New Roman"/>
                <w:sz w:val="24"/>
                <w:szCs w:val="24"/>
                <w:lang w:val="lv-LV"/>
              </w:rPr>
            </w:pPr>
            <w:r w:rsidRPr="008C5A53">
              <w:rPr>
                <w:rFonts w:eastAsia="Times New Roman"/>
                <w:sz w:val="24"/>
                <w:szCs w:val="24"/>
                <w:lang w:val="lv-LV"/>
              </w:rPr>
              <w:t xml:space="preserve">atbalsta pretendents uz atbalsta piešķiršanas brīdi nav nonācis grūtībās, bet tas bija grūtībās uz 2019.gada 31.decembri – atbalstu saskaņā ar Komisijas paziņojumu tam </w:t>
            </w:r>
            <w:r w:rsidRPr="008C5A53">
              <w:rPr>
                <w:rFonts w:eastAsia="Times New Roman"/>
                <w:sz w:val="24"/>
                <w:szCs w:val="24"/>
                <w:u w:val="single"/>
                <w:lang w:val="lv-LV"/>
              </w:rPr>
              <w:t>drīkst</w:t>
            </w:r>
            <w:r w:rsidRPr="008C5A53">
              <w:rPr>
                <w:rFonts w:eastAsia="Times New Roman"/>
                <w:sz w:val="24"/>
                <w:szCs w:val="24"/>
                <w:lang w:val="lv-LV"/>
              </w:rPr>
              <w:t xml:space="preserve"> piešķirt</w:t>
            </w:r>
            <w:r w:rsidR="00F63789">
              <w:rPr>
                <w:rFonts w:eastAsia="Times New Roman"/>
                <w:sz w:val="24"/>
                <w:szCs w:val="24"/>
                <w:lang w:val="lv-LV"/>
              </w:rPr>
              <w:t xml:space="preserve">. </w:t>
            </w:r>
          </w:p>
          <w:p w14:paraId="1C9B123C" w14:textId="77777777" w:rsidR="00F63789" w:rsidRDefault="00F63789" w:rsidP="00F63789">
            <w:pPr>
              <w:pStyle w:val="ListParagraph"/>
              <w:spacing w:before="120"/>
              <w:contextualSpacing w:val="0"/>
              <w:jc w:val="both"/>
              <w:rPr>
                <w:rFonts w:eastAsia="Times New Roman"/>
                <w:sz w:val="24"/>
                <w:szCs w:val="24"/>
                <w:lang w:val="lv-LV"/>
              </w:rPr>
            </w:pPr>
          </w:p>
          <w:p w14:paraId="7CD31E18" w14:textId="77777777" w:rsidR="00F63789" w:rsidRPr="00F63789" w:rsidRDefault="00F63789" w:rsidP="00F63789">
            <w:pPr>
              <w:jc w:val="both"/>
              <w:rPr>
                <w:rFonts w:ascii="Times New Roman" w:eastAsia="Times New Roman" w:hAnsi="Times New Roman" w:cs="Times New Roman"/>
                <w:sz w:val="24"/>
                <w:szCs w:val="24"/>
              </w:rPr>
            </w:pPr>
            <w:r w:rsidRPr="00F63789">
              <w:rPr>
                <w:rFonts w:ascii="Times New Roman" w:eastAsia="Times New Roman" w:hAnsi="Times New Roman" w:cs="Times New Roman"/>
                <w:sz w:val="24"/>
                <w:szCs w:val="24"/>
              </w:rPr>
              <w:t>Savukārt atbilstoši Pagaidu regulējuma 25.punkta ha) apakšpunktam, attiecībā uz sīkajiem (mikro) vai mazajiem saimnieciskās darbības veicējiem ir šāda pieeja. Atbalstu var sniegt tiem, ja tie uz lēmuma pieņemšanas brīdi, kā arī, ja  uz 2019. gada 31. decembrī tie bija nonākuši finanšu grūtībās atbilstoši Komisijas regulas Nr. </w:t>
            </w:r>
            <w:hyperlink r:id="rId7" w:tgtFrame="_blank" w:history="1">
              <w:r w:rsidRPr="00F63789">
                <w:rPr>
                  <w:rFonts w:ascii="Times New Roman" w:eastAsia="Times New Roman" w:hAnsi="Times New Roman" w:cs="Times New Roman"/>
                  <w:sz w:val="24"/>
                  <w:szCs w:val="24"/>
                </w:rPr>
                <w:t>651/2014</w:t>
              </w:r>
            </w:hyperlink>
            <w:r w:rsidRPr="00F63789">
              <w:rPr>
                <w:rFonts w:ascii="Times New Roman" w:eastAsia="Times New Roman" w:hAnsi="Times New Roman" w:cs="Times New Roman"/>
                <w:sz w:val="24"/>
                <w:szCs w:val="24"/>
              </w:rPr>
              <w:t xml:space="preserve"> 2. panta 18. punktam, ar nosacījumu, ka tiem uz atbalsta piešķiršanas brīdi nav ierosināta tiesiskās aizsardzības procesa lieta, </w:t>
            </w:r>
            <w:r w:rsidRPr="00F63789">
              <w:rPr>
                <w:rFonts w:ascii="Times New Roman" w:eastAsia="Times New Roman" w:hAnsi="Times New Roman" w:cs="Times New Roman"/>
                <w:sz w:val="24"/>
                <w:szCs w:val="24"/>
              </w:rPr>
              <w:lastRenderedPageBreak/>
              <w:t xml:space="preserve">netiek īstenots tiesiskās aizsardzības process vai nav pasludināts maksātnespējas process un tie nav saņēmuši glābšanas atbalstu vai pārstrukturēšanas atbalstu Eiropas Komisijas paziņojuma "Pamatnostādnes par valsts atbalstu grūtībās nonākušu </w:t>
            </w:r>
            <w:proofErr w:type="spellStart"/>
            <w:r w:rsidRPr="00F63789">
              <w:rPr>
                <w:rFonts w:ascii="Times New Roman" w:eastAsia="Times New Roman" w:hAnsi="Times New Roman" w:cs="Times New Roman"/>
                <w:sz w:val="24"/>
                <w:szCs w:val="24"/>
              </w:rPr>
              <w:t>nefinanšu</w:t>
            </w:r>
            <w:proofErr w:type="spellEnd"/>
            <w:r w:rsidRPr="00F63789">
              <w:rPr>
                <w:rFonts w:ascii="Times New Roman" w:eastAsia="Times New Roman" w:hAnsi="Times New Roman" w:cs="Times New Roman"/>
                <w:sz w:val="24"/>
                <w:szCs w:val="24"/>
              </w:rPr>
              <w:t xml:space="preserve"> uzņēmumu glābšanai un pārstrukturēšanai" (Eiropas Savienības Oficiālais Vēstnesis, 2014. gada 31. jūlijs, Nr. C249/1) izpratnē. </w:t>
            </w:r>
          </w:p>
          <w:p w14:paraId="4A36831E" w14:textId="2A49D5BA" w:rsidR="00F63789" w:rsidRPr="00F63789" w:rsidRDefault="00F63789" w:rsidP="00F63789">
            <w:pPr>
              <w:jc w:val="both"/>
              <w:rPr>
                <w:rFonts w:ascii="Times New Roman" w:eastAsia="Times New Roman" w:hAnsi="Times New Roman" w:cs="Times New Roman"/>
                <w:sz w:val="24"/>
                <w:szCs w:val="24"/>
              </w:rPr>
            </w:pPr>
            <w:r w:rsidRPr="00F63789">
              <w:rPr>
                <w:rFonts w:ascii="Times New Roman" w:eastAsia="Times New Roman" w:hAnsi="Times New Roman" w:cs="Times New Roman"/>
                <w:sz w:val="24"/>
                <w:szCs w:val="24"/>
              </w:rPr>
              <w:t>Minētie saimnieciskās darbības veicēji, kas ir saņēmuši glābšanas atbalstu, var saņemt atbalstu saskaņā ar šiem noteikumiem, ja tie līdz atbalsta piešķiršanas brīdim ir atmaksājuši aizdevumu vai atsaukuši garantiju. Minētie saimnieciskās darbības veicēji, kas ir saņēmuši pārstrukturēšanas atbalstu, var saņemt atbalstu saskaņā ar šiem noteikumiem, ja tā piešķiršanas brīdī uz tiem vairs neattiecas pārstrukturēšanas plāns.</w:t>
            </w:r>
            <w:r w:rsidR="00794871">
              <w:rPr>
                <w:rFonts w:ascii="Times New Roman" w:eastAsia="Times New Roman" w:hAnsi="Times New Roman" w:cs="Times New Roman"/>
                <w:sz w:val="24"/>
                <w:szCs w:val="24"/>
              </w:rPr>
              <w:t xml:space="preserve"> A</w:t>
            </w:r>
            <w:r w:rsidR="00794871" w:rsidRPr="00794871">
              <w:rPr>
                <w:rFonts w:ascii="Times New Roman" w:eastAsia="Times New Roman" w:hAnsi="Times New Roman" w:cs="Times New Roman"/>
                <w:sz w:val="24"/>
                <w:szCs w:val="24"/>
              </w:rPr>
              <w:t xml:space="preserve">r pārstrukturēšanas un glābšanas atbalstu ir saprotams sniegtais atbalsts Eiropas Komisijas paziņojuma "Pamatnostādnes par valsts atbalstu grūtībās nonākušu </w:t>
            </w:r>
            <w:proofErr w:type="spellStart"/>
            <w:r w:rsidR="00794871" w:rsidRPr="00794871">
              <w:rPr>
                <w:rFonts w:ascii="Times New Roman" w:eastAsia="Times New Roman" w:hAnsi="Times New Roman" w:cs="Times New Roman"/>
                <w:sz w:val="24"/>
                <w:szCs w:val="24"/>
              </w:rPr>
              <w:t>nefinanšu</w:t>
            </w:r>
            <w:proofErr w:type="spellEnd"/>
            <w:r w:rsidR="00794871" w:rsidRPr="00794871">
              <w:rPr>
                <w:rFonts w:ascii="Times New Roman" w:eastAsia="Times New Roman" w:hAnsi="Times New Roman" w:cs="Times New Roman"/>
                <w:sz w:val="24"/>
                <w:szCs w:val="24"/>
              </w:rPr>
              <w:t xml:space="preserve"> uzņēmumu glābšanai un pārstrukturēšanai" (Eiropas Savienības Oficiālais Vēstnesis, 2014. gada 31. jūlijs, Nr. C249/1) izpratnē</w:t>
            </w:r>
          </w:p>
          <w:p w14:paraId="5A0828AE" w14:textId="67D178D9" w:rsidR="00F63789" w:rsidRPr="00F63789" w:rsidRDefault="00F63789" w:rsidP="00F63789">
            <w:pPr>
              <w:jc w:val="both"/>
              <w:rPr>
                <w:rFonts w:eastAsia="Times New Roman"/>
                <w:sz w:val="24"/>
                <w:szCs w:val="24"/>
              </w:rPr>
            </w:pPr>
            <w:r w:rsidRPr="00F63789">
              <w:rPr>
                <w:rFonts w:ascii="Times New Roman" w:eastAsia="Times New Roman" w:hAnsi="Times New Roman" w:cs="Times New Roman"/>
                <w:sz w:val="24"/>
                <w:szCs w:val="24"/>
              </w:rPr>
              <w:t>Ņemot vērā, ka atbilstoši Tieslietu ministrijas skaidrojumam ar jēdzienu “</w:t>
            </w:r>
            <w:proofErr w:type="spellStart"/>
            <w:r w:rsidRPr="00F63789">
              <w:rPr>
                <w:rFonts w:ascii="Times New Roman" w:eastAsia="Times New Roman" w:hAnsi="Times New Roman" w:cs="Times New Roman"/>
                <w:sz w:val="24"/>
                <w:szCs w:val="24"/>
              </w:rPr>
              <w:t>maksātnesējas</w:t>
            </w:r>
            <w:proofErr w:type="spellEnd"/>
            <w:r w:rsidRPr="00F63789">
              <w:rPr>
                <w:rFonts w:ascii="Times New Roman" w:eastAsia="Times New Roman" w:hAnsi="Times New Roman" w:cs="Times New Roman"/>
                <w:sz w:val="24"/>
                <w:szCs w:val="24"/>
              </w:rPr>
              <w:t xml:space="preserve"> process” ir jāsaprot arī šie maksātnespējas procesa veidi - bankrota procedūra, sanācija, mierizlīgums un saimnieciskās darbības izbeigšanas procedūra, tad, piešķirot atbalstu, </w:t>
            </w:r>
            <w:proofErr w:type="spellStart"/>
            <w:r w:rsidRPr="00F63789">
              <w:rPr>
                <w:rFonts w:ascii="Times New Roman" w:eastAsia="Times New Roman" w:hAnsi="Times New Roman" w:cs="Times New Roman"/>
                <w:sz w:val="24"/>
                <w:szCs w:val="24"/>
              </w:rPr>
              <w:t>Altum</w:t>
            </w:r>
            <w:proofErr w:type="spellEnd"/>
            <w:r w:rsidRPr="00F63789">
              <w:rPr>
                <w:rFonts w:ascii="Times New Roman" w:eastAsia="Times New Roman" w:hAnsi="Times New Roman" w:cs="Times New Roman"/>
                <w:sz w:val="24"/>
                <w:szCs w:val="24"/>
              </w:rPr>
              <w:t xml:space="preserve"> pārliecinās vai atbalsta pretendentam nav spēkā bankrota procedūra, sanācija, mierizlīgums un saimnieciskās darbības izbeigšanas procedūra saskaņā ar likumu “Par uzņēmumu un uzņēmējsabiedrību maksātnespēju” vai Maksātnespējas likumu, kas bija spēkā līdz 2010.gada 31.oktobrim.</w:t>
            </w:r>
          </w:p>
          <w:p w14:paraId="44762E23" w14:textId="2529B10E" w:rsidR="0018051E" w:rsidRPr="0018051E" w:rsidRDefault="009F736F" w:rsidP="009E5536">
            <w:pPr>
              <w:spacing w:before="120"/>
              <w:jc w:val="both"/>
              <w:rPr>
                <w:rFonts w:ascii="Times New Roman" w:hAnsi="Times New Roman" w:cs="Times New Roman"/>
                <w:sz w:val="24"/>
                <w:szCs w:val="24"/>
              </w:rPr>
            </w:pPr>
            <w:r>
              <w:rPr>
                <w:rFonts w:eastAsia="Times New Roman"/>
                <w:iCs/>
                <w:sz w:val="24"/>
                <w:szCs w:val="24"/>
                <w:lang w:eastAsia="lv-LV"/>
              </w:rPr>
              <w:t>5.</w:t>
            </w:r>
            <w:r>
              <w:rPr>
                <w:rFonts w:ascii="Times New Roman" w:eastAsia="Times New Roman" w:hAnsi="Times New Roman" w:cs="Times New Roman"/>
                <w:sz w:val="24"/>
                <w:szCs w:val="24"/>
              </w:rPr>
              <w:t>Ņ</w:t>
            </w:r>
            <w:r w:rsidR="006A7872" w:rsidRPr="009F736F">
              <w:rPr>
                <w:rFonts w:ascii="Times New Roman" w:eastAsia="Times New Roman" w:hAnsi="Times New Roman" w:cs="Times New Roman"/>
                <w:sz w:val="24"/>
                <w:szCs w:val="24"/>
              </w:rPr>
              <w:t>emot vēra, ka Pagaidu regulējuma darbības termiņš ir pagarināts attiecīgi</w:t>
            </w:r>
            <w:r w:rsidR="00D1483B">
              <w:rPr>
                <w:rFonts w:ascii="Times New Roman" w:eastAsia="Times New Roman" w:hAnsi="Times New Roman" w:cs="Times New Roman"/>
                <w:sz w:val="24"/>
                <w:szCs w:val="24"/>
              </w:rPr>
              <w:t xml:space="preserve"> grozīti termiņi MK Noteikumu Nr.149 35. punktā un 36.1.apakšpunktā.</w:t>
            </w:r>
          </w:p>
        </w:tc>
      </w:tr>
      <w:tr w:rsidR="00BF2E10" w:rsidRPr="008C5A53" w14:paraId="0DFFA5F8"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F35903" w14:textId="77777777" w:rsidR="00D64EB3" w:rsidRPr="008C5A53" w:rsidRDefault="00D64EB3" w:rsidP="00D64EB3">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6AAB590" w14:textId="77777777" w:rsidR="00D64EB3" w:rsidRPr="008C5A53" w:rsidRDefault="00D64EB3" w:rsidP="00D64EB3">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E041753" w14:textId="1DF6D4DA" w:rsidR="00D64EB3" w:rsidRPr="008C5A53" w:rsidRDefault="00D64EB3" w:rsidP="00D64EB3">
            <w:pPr>
              <w:spacing w:after="0" w:line="240" w:lineRule="auto"/>
              <w:jc w:val="both"/>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Ekonomikas ministrija</w:t>
            </w:r>
            <w:r w:rsidR="00DE3187">
              <w:rPr>
                <w:rFonts w:ascii="Times New Roman" w:eastAsia="Times New Roman" w:hAnsi="Times New Roman" w:cs="Times New Roman"/>
                <w:iCs/>
                <w:sz w:val="24"/>
                <w:szCs w:val="24"/>
                <w:lang w:eastAsia="lv-LV"/>
              </w:rPr>
              <w:t>,</w:t>
            </w:r>
            <w:r w:rsidR="00B8725F">
              <w:rPr>
                <w:rFonts w:ascii="Times New Roman" w:eastAsia="Times New Roman" w:hAnsi="Times New Roman" w:cs="Times New Roman"/>
                <w:iCs/>
                <w:sz w:val="24"/>
                <w:szCs w:val="24"/>
                <w:lang w:eastAsia="lv-LV"/>
              </w:rPr>
              <w:t xml:space="preserve"> </w:t>
            </w:r>
            <w:proofErr w:type="spellStart"/>
            <w:r w:rsidR="00B8725F">
              <w:rPr>
                <w:rFonts w:ascii="Times New Roman" w:eastAsia="Times New Roman" w:hAnsi="Times New Roman" w:cs="Times New Roman"/>
                <w:iCs/>
                <w:sz w:val="24"/>
                <w:szCs w:val="24"/>
                <w:lang w:eastAsia="lv-LV"/>
              </w:rPr>
              <w:t>Altum</w:t>
            </w:r>
            <w:proofErr w:type="spellEnd"/>
          </w:p>
        </w:tc>
      </w:tr>
      <w:tr w:rsidR="00BF2E10" w:rsidRPr="008C5A53" w14:paraId="2E5723DD"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8ED444" w14:textId="77777777" w:rsidR="00D64EB3" w:rsidRPr="008C5A53" w:rsidRDefault="00D64EB3" w:rsidP="00D64EB3">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71FEE2" w14:textId="77777777" w:rsidR="00D64EB3" w:rsidRPr="008C5A53" w:rsidRDefault="00D64EB3" w:rsidP="00D64EB3">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4BF732" w14:textId="09A14040" w:rsidR="00D64EB3" w:rsidRPr="008C5A53" w:rsidRDefault="00D1483B" w:rsidP="009E5536">
            <w:pPr>
              <w:spacing w:after="0" w:line="240" w:lineRule="auto"/>
              <w:jc w:val="both"/>
              <w:rPr>
                <w:rFonts w:ascii="Times New Roman" w:eastAsia="Times New Roman" w:hAnsi="Times New Roman" w:cs="Times New Roman"/>
                <w:iCs/>
                <w:sz w:val="24"/>
                <w:szCs w:val="24"/>
                <w:lang w:eastAsia="lv-LV"/>
              </w:rPr>
            </w:pPr>
            <w:r w:rsidRPr="00D1483B">
              <w:rPr>
                <w:rFonts w:ascii="Times New Roman" w:eastAsia="Times New Roman" w:hAnsi="Times New Roman" w:cs="Times New Roman"/>
                <w:iCs/>
                <w:sz w:val="24"/>
                <w:szCs w:val="24"/>
                <w:lang w:eastAsia="lv-LV"/>
              </w:rPr>
              <w:t>Projekts stāsies spēkā pēc pozitīva lēmuma saņemšanas no Eiropas Komisijas</w:t>
            </w:r>
          </w:p>
        </w:tc>
      </w:tr>
    </w:tbl>
    <w:p w14:paraId="6007A1EF"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8C5A53" w14:paraId="609EE0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DC470F" w14:textId="77777777" w:rsidR="00655F2C" w:rsidRPr="008C5A53" w:rsidRDefault="00E5323B" w:rsidP="00E5323B">
            <w:pPr>
              <w:spacing w:after="0" w:line="240" w:lineRule="auto"/>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F2E10" w:rsidRPr="008C5A53" w14:paraId="283907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D838A"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37C16E2"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Sabiedrības </w:t>
            </w:r>
            <w:proofErr w:type="spellStart"/>
            <w:r w:rsidRPr="008C5A53">
              <w:rPr>
                <w:rFonts w:ascii="Times New Roman" w:eastAsia="Times New Roman" w:hAnsi="Times New Roman" w:cs="Times New Roman"/>
                <w:iCs/>
                <w:sz w:val="24"/>
                <w:szCs w:val="24"/>
                <w:lang w:eastAsia="lv-LV"/>
              </w:rPr>
              <w:t>mērķgrupas</w:t>
            </w:r>
            <w:proofErr w:type="spellEnd"/>
            <w:r w:rsidRPr="008C5A5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A869619" w14:textId="5C1DF957" w:rsidR="00E5323B" w:rsidRPr="008C5A53" w:rsidRDefault="00D64EB3"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Latvijā reģistrēti saimnieciskās darbības veicēji</w:t>
            </w:r>
            <w:r w:rsidR="006A7872" w:rsidRPr="008C5A53">
              <w:rPr>
                <w:rFonts w:ascii="Times New Roman" w:eastAsia="Times New Roman" w:hAnsi="Times New Roman" w:cs="Times New Roman"/>
                <w:iCs/>
                <w:sz w:val="24"/>
                <w:szCs w:val="24"/>
                <w:lang w:eastAsia="lv-LV"/>
              </w:rPr>
              <w:t xml:space="preserve">, </w:t>
            </w:r>
            <w:proofErr w:type="spellStart"/>
            <w:r w:rsidR="00B8725F">
              <w:rPr>
                <w:rFonts w:ascii="Times New Roman" w:eastAsia="Times New Roman" w:hAnsi="Times New Roman" w:cs="Times New Roman"/>
                <w:iCs/>
                <w:sz w:val="24"/>
                <w:szCs w:val="24"/>
                <w:lang w:eastAsia="lv-LV"/>
              </w:rPr>
              <w:t>A</w:t>
            </w:r>
            <w:r w:rsidR="006A7872" w:rsidRPr="008C5A53">
              <w:rPr>
                <w:rFonts w:ascii="Times New Roman" w:eastAsia="Times New Roman" w:hAnsi="Times New Roman" w:cs="Times New Roman"/>
                <w:iCs/>
                <w:sz w:val="24"/>
                <w:szCs w:val="24"/>
                <w:lang w:eastAsia="lv-LV"/>
              </w:rPr>
              <w:t>ltum</w:t>
            </w:r>
            <w:proofErr w:type="spellEnd"/>
            <w:r w:rsidR="006A7872" w:rsidRPr="008C5A53">
              <w:rPr>
                <w:rFonts w:ascii="Times New Roman" w:eastAsia="Times New Roman" w:hAnsi="Times New Roman" w:cs="Times New Roman"/>
                <w:iCs/>
                <w:sz w:val="24"/>
                <w:szCs w:val="24"/>
                <w:lang w:eastAsia="lv-LV"/>
              </w:rPr>
              <w:t>.</w:t>
            </w:r>
          </w:p>
        </w:tc>
      </w:tr>
      <w:tr w:rsidR="00BF2E10" w:rsidRPr="008C5A53" w14:paraId="23909B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58891"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4EB21"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30144DD" w14:textId="4D573D76" w:rsidR="006A7872" w:rsidRPr="008C5A53" w:rsidRDefault="006A7872" w:rsidP="006A7872">
            <w:pPr>
              <w:spacing w:after="0" w:line="240" w:lineRule="auto"/>
              <w:jc w:val="both"/>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MK Noteikumu projektam ir labvēlīga ietekme uz ekonomiku kopumā, jo tas paredz mazināt Covid-19 izraisītas krīzes sekas un veicina ekonomisko aktivitāti. </w:t>
            </w:r>
          </w:p>
          <w:p w14:paraId="72B84DE1" w14:textId="22BBA23C" w:rsidR="00E5323B" w:rsidRPr="008C5A53" w:rsidRDefault="006A7872" w:rsidP="0083334D">
            <w:pPr>
              <w:spacing w:after="0" w:line="240" w:lineRule="auto"/>
              <w:jc w:val="both"/>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Sabiedrības </w:t>
            </w:r>
            <w:proofErr w:type="spellStart"/>
            <w:r w:rsidRPr="008C5A53">
              <w:rPr>
                <w:rFonts w:ascii="Times New Roman" w:eastAsia="Times New Roman" w:hAnsi="Times New Roman" w:cs="Times New Roman"/>
                <w:iCs/>
                <w:sz w:val="24"/>
                <w:szCs w:val="24"/>
                <w:lang w:eastAsia="lv-LV"/>
              </w:rPr>
              <w:t>mērķgrupām</w:t>
            </w:r>
            <w:proofErr w:type="spellEnd"/>
            <w:r w:rsidRPr="008C5A53">
              <w:rPr>
                <w:rFonts w:ascii="Times New Roman" w:eastAsia="Times New Roman" w:hAnsi="Times New Roman" w:cs="Times New Roman"/>
                <w:iCs/>
                <w:sz w:val="24"/>
                <w:szCs w:val="24"/>
                <w:lang w:eastAsia="lv-LV"/>
              </w:rPr>
              <w:t xml:space="preserve"> un institūcijām projekta tiesiskais regulējums nemaina tiesības un pienākumus, kā arī veicamās darbības.</w:t>
            </w:r>
          </w:p>
        </w:tc>
      </w:tr>
      <w:tr w:rsidR="00BF2E10" w:rsidRPr="008C5A53" w14:paraId="105E11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9F44CC"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1F52AC"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B38765" w14:textId="225A28B6" w:rsidR="00E5323B" w:rsidRPr="008C5A53" w:rsidRDefault="005D437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D64EB3" w:rsidRPr="008C5A53">
              <w:rPr>
                <w:rFonts w:ascii="Times New Roman" w:eastAsia="Times New Roman" w:hAnsi="Times New Roman" w:cs="Times New Roman"/>
                <w:iCs/>
                <w:sz w:val="24"/>
                <w:szCs w:val="24"/>
                <w:lang w:eastAsia="lv-LV"/>
              </w:rPr>
              <w:t>rojekts šo jomu neskar.</w:t>
            </w:r>
          </w:p>
        </w:tc>
      </w:tr>
      <w:tr w:rsidR="00BF2E10" w:rsidRPr="008C5A53" w14:paraId="45F1BF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D7CCA0"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8D1B5E6"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3BECA1" w14:textId="4B041274" w:rsidR="00E5323B" w:rsidRPr="008C5A53" w:rsidRDefault="005D437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D64EB3" w:rsidRPr="008C5A53">
              <w:rPr>
                <w:rFonts w:ascii="Times New Roman" w:eastAsia="Times New Roman" w:hAnsi="Times New Roman" w:cs="Times New Roman"/>
                <w:iCs/>
                <w:sz w:val="24"/>
                <w:szCs w:val="24"/>
                <w:lang w:eastAsia="lv-LV"/>
              </w:rPr>
              <w:t>rojekts šo jomu neskar.</w:t>
            </w:r>
          </w:p>
        </w:tc>
      </w:tr>
      <w:tr w:rsidR="00BF2E10" w:rsidRPr="008C5A53" w14:paraId="056610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E166E"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CBF591E"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CAC7F7" w14:textId="77777777" w:rsidR="00E5323B" w:rsidRPr="008C5A53" w:rsidRDefault="00D64EB3"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Nav</w:t>
            </w:r>
          </w:p>
        </w:tc>
      </w:tr>
    </w:tbl>
    <w:p w14:paraId="37834500"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p w14:paraId="4EFBFD9D" w14:textId="77777777" w:rsidR="00E7245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tbl>
      <w:tblPr>
        <w:tblW w:w="9176"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
        <w:gridCol w:w="1684"/>
        <w:gridCol w:w="1110"/>
        <w:gridCol w:w="1354"/>
        <w:gridCol w:w="866"/>
        <w:gridCol w:w="1136"/>
        <w:gridCol w:w="866"/>
        <w:gridCol w:w="1067"/>
        <w:gridCol w:w="1066"/>
      </w:tblGrid>
      <w:tr w:rsidR="00E7245B" w:rsidRPr="00AE6FA4" w14:paraId="3169E3F7" w14:textId="77777777" w:rsidTr="004E191D">
        <w:trPr>
          <w:gridBefore w:val="1"/>
          <w:wBefore w:w="27" w:type="dxa"/>
          <w:trHeight w:val="249"/>
        </w:trPr>
        <w:tc>
          <w:tcPr>
            <w:tcW w:w="9149" w:type="dxa"/>
            <w:gridSpan w:val="8"/>
            <w:tcBorders>
              <w:top w:val="single" w:sz="4" w:space="0" w:color="auto"/>
              <w:left w:val="single" w:sz="4" w:space="0" w:color="auto"/>
              <w:bottom w:val="single" w:sz="4" w:space="0" w:color="auto"/>
              <w:right w:val="single" w:sz="4" w:space="0" w:color="auto"/>
            </w:tcBorders>
            <w:shd w:val="clear" w:color="auto" w:fill="auto"/>
          </w:tcPr>
          <w:p w14:paraId="343D5EC8" w14:textId="77777777" w:rsidR="00E7245B" w:rsidRPr="00E7245B" w:rsidRDefault="00E7245B" w:rsidP="00D51AB3">
            <w:pPr>
              <w:contextualSpacing/>
              <w:rPr>
                <w:rFonts w:ascii="Times New Roman" w:eastAsia="Times New Roman" w:hAnsi="Times New Roman" w:cs="Times New Roman"/>
                <w:b/>
                <w:bCs/>
                <w:iCs/>
                <w:sz w:val="24"/>
                <w:szCs w:val="24"/>
                <w:lang w:eastAsia="lv-LV"/>
              </w:rPr>
            </w:pPr>
            <w:r w:rsidRPr="00E7245B">
              <w:rPr>
                <w:rFonts w:ascii="Times New Roman" w:eastAsia="Times New Roman" w:hAnsi="Times New Roman" w:cs="Times New Roman"/>
                <w:b/>
                <w:bCs/>
                <w:iCs/>
                <w:sz w:val="24"/>
                <w:szCs w:val="24"/>
                <w:lang w:eastAsia="lv-LV"/>
              </w:rPr>
              <w:t>III. Tiesību akta projekta ietekme uz valsts budžetu un pašvaldību budžetiem</w:t>
            </w:r>
          </w:p>
        </w:tc>
      </w:tr>
      <w:tr w:rsidR="00E7245B" w:rsidRPr="00AE6FA4" w14:paraId="3A0CC447"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71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B553E" w14:textId="77777777" w:rsidR="00E7245B" w:rsidRPr="00E7245B" w:rsidRDefault="00E7245B" w:rsidP="00D51AB3">
            <w:pPr>
              <w:jc w:val="center"/>
              <w:rPr>
                <w:rFonts w:ascii="Times New Roman" w:eastAsia="Times New Roman" w:hAnsi="Times New Roman" w:cs="Times New Roman"/>
                <w:iCs/>
                <w:sz w:val="24"/>
                <w:szCs w:val="24"/>
                <w:lang w:eastAsia="lv-LV"/>
              </w:rPr>
            </w:pPr>
            <w:bookmarkStart w:id="3" w:name="_Hlk57025018"/>
            <w:r w:rsidRPr="00E7245B">
              <w:rPr>
                <w:rFonts w:ascii="Times New Roman" w:eastAsia="Times New Roman" w:hAnsi="Times New Roman" w:cs="Times New Roman"/>
                <w:iCs/>
                <w:sz w:val="24"/>
                <w:szCs w:val="24"/>
                <w:lang w:eastAsia="lv-LV"/>
              </w:rPr>
              <w:t>Rādītāji</w:t>
            </w:r>
          </w:p>
        </w:tc>
        <w:tc>
          <w:tcPr>
            <w:tcW w:w="246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2158C"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2020.gads</w:t>
            </w:r>
          </w:p>
        </w:tc>
        <w:tc>
          <w:tcPr>
            <w:tcW w:w="50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17686"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Turpmākie trīs gadi (</w:t>
            </w:r>
            <w:proofErr w:type="spellStart"/>
            <w:r w:rsidRPr="00E7245B">
              <w:rPr>
                <w:rFonts w:ascii="Times New Roman" w:eastAsia="Times New Roman" w:hAnsi="Times New Roman" w:cs="Times New Roman"/>
                <w:iCs/>
                <w:sz w:val="24"/>
                <w:szCs w:val="24"/>
                <w:lang w:eastAsia="lv-LV"/>
              </w:rPr>
              <w:t>euro</w:t>
            </w:r>
            <w:proofErr w:type="spellEnd"/>
            <w:r w:rsidRPr="00E7245B">
              <w:rPr>
                <w:rFonts w:ascii="Times New Roman" w:eastAsia="Times New Roman" w:hAnsi="Times New Roman" w:cs="Times New Roman"/>
                <w:iCs/>
                <w:sz w:val="24"/>
                <w:szCs w:val="24"/>
                <w:lang w:eastAsia="lv-LV"/>
              </w:rPr>
              <w:t>)</w:t>
            </w:r>
          </w:p>
        </w:tc>
      </w:tr>
      <w:tr w:rsidR="00E7245B" w:rsidRPr="00AE6FA4" w14:paraId="176D803F"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711" w:type="dxa"/>
            <w:gridSpan w:val="2"/>
            <w:vMerge/>
            <w:vAlign w:val="center"/>
            <w:hideMark/>
          </w:tcPr>
          <w:p w14:paraId="16D2AA38" w14:textId="77777777" w:rsidR="00E7245B" w:rsidRPr="00E7245B" w:rsidRDefault="00E7245B" w:rsidP="00D51AB3">
            <w:pPr>
              <w:jc w:val="center"/>
              <w:rPr>
                <w:rFonts w:ascii="Times New Roman" w:eastAsia="Times New Roman" w:hAnsi="Times New Roman" w:cs="Times New Roman"/>
                <w:iCs/>
                <w:sz w:val="24"/>
                <w:szCs w:val="24"/>
                <w:lang w:eastAsia="lv-LV"/>
              </w:rPr>
            </w:pPr>
          </w:p>
        </w:tc>
        <w:tc>
          <w:tcPr>
            <w:tcW w:w="2464" w:type="dxa"/>
            <w:gridSpan w:val="2"/>
            <w:vMerge/>
            <w:vAlign w:val="center"/>
            <w:hideMark/>
          </w:tcPr>
          <w:p w14:paraId="2AD8D254" w14:textId="77777777" w:rsidR="00E7245B" w:rsidRPr="00E7245B" w:rsidRDefault="00E7245B" w:rsidP="00D51AB3">
            <w:pPr>
              <w:jc w:val="center"/>
              <w:rPr>
                <w:rFonts w:ascii="Times New Roman" w:eastAsia="Times New Roman" w:hAnsi="Times New Roman" w:cs="Times New Roman"/>
                <w:iCs/>
                <w:sz w:val="24"/>
                <w:szCs w:val="24"/>
                <w:lang w:eastAsia="lv-LV"/>
              </w:rPr>
            </w:pPr>
          </w:p>
        </w:tc>
        <w:tc>
          <w:tcPr>
            <w:tcW w:w="20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9ABE4"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2021</w:t>
            </w:r>
          </w:p>
        </w:tc>
        <w:tc>
          <w:tcPr>
            <w:tcW w:w="193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143FB1"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2022</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DC386D"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2023</w:t>
            </w:r>
          </w:p>
        </w:tc>
      </w:tr>
      <w:tr w:rsidR="00E7245B" w:rsidRPr="00AE6FA4" w14:paraId="0237C72E"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711" w:type="dxa"/>
            <w:gridSpan w:val="2"/>
            <w:vMerge/>
            <w:vAlign w:val="center"/>
            <w:hideMark/>
          </w:tcPr>
          <w:p w14:paraId="5EDDB1C6" w14:textId="77777777" w:rsidR="00E7245B" w:rsidRPr="00E7245B" w:rsidRDefault="00E7245B" w:rsidP="00D51AB3">
            <w:pPr>
              <w:jc w:val="center"/>
              <w:rPr>
                <w:rFonts w:ascii="Times New Roman" w:eastAsia="Times New Roman" w:hAnsi="Times New Roman" w:cs="Times New Roman"/>
                <w:iCs/>
                <w:sz w:val="24"/>
                <w:szCs w:val="24"/>
                <w:lang w:eastAsia="lv-LV"/>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F9DE4E"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saskaņā ar valsts budžetu kārtējam gadam</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D24D54"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izmaiņas kārtējā gadā, salīdzinot ar valsts budžetu kārtējam gadam</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D2DB5"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saskaņā ar vidēja termiņa budžeta ietvaru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FF80AD"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izmaiņas, salīdzinot ar vidēja termiņa budžeta ietvaru 2021. gadam</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F84A6E"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saskaņā ar vidēja termiņa budžeta ietvaru</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C5925"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izmaiņas, salīdzinot ar vidēja termiņa budžeta ietvaru 2022. gadam</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04AB98"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 xml:space="preserve">izmaiņas, salīdzinot ar vidēja termiņa budžeta ietvaru </w:t>
            </w:r>
            <w:r w:rsidRPr="00E7245B">
              <w:rPr>
                <w:rFonts w:ascii="Times New Roman" w:eastAsia="Times New Roman" w:hAnsi="Times New Roman" w:cs="Times New Roman"/>
                <w:iCs/>
                <w:sz w:val="24"/>
                <w:szCs w:val="24"/>
                <w:lang w:eastAsia="lv-LV"/>
              </w:rPr>
              <w:br/>
              <w:t>2022. gadam</w:t>
            </w:r>
          </w:p>
        </w:tc>
      </w:tr>
      <w:tr w:rsidR="00E7245B" w:rsidRPr="00AE6FA4" w14:paraId="68B854A8"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49"/>
        </w:trPr>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0E4D6"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1</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7B744"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2</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E8E29"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3</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0884C"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99770"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5</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5376A3"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6</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FB019C"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7</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79B8EE"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8</w:t>
            </w:r>
          </w:p>
        </w:tc>
      </w:tr>
      <w:tr w:rsidR="004E191D" w:rsidRPr="00AE6FA4" w14:paraId="2403364A"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494D7" w14:textId="77777777" w:rsidR="004E191D" w:rsidRPr="00E7245B" w:rsidRDefault="004E191D" w:rsidP="004E191D">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1. Budžeta ieņēmumi</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EAD7C" w14:textId="2FF49EAD" w:rsidR="004E191D" w:rsidRPr="00E7245B" w:rsidRDefault="004E191D" w:rsidP="004E191D">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50 000 000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23C6D" w14:textId="7414A168" w:rsidR="004E191D" w:rsidRPr="00E7245B" w:rsidRDefault="004E191D" w:rsidP="004E191D">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10 000 000</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DBC422" w14:textId="5F603E9F"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00872" w14:textId="1B982B54"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0CAD0" w14:textId="4AF2AFA3"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817FC0" w14:textId="133E6FA4"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EE210" w14:textId="08F8B046"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r>
      <w:bookmarkEnd w:id="3"/>
      <w:tr w:rsidR="004E191D" w:rsidRPr="00AE6FA4" w14:paraId="25987A70" w14:textId="77777777" w:rsidTr="00794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466A62" w14:textId="77777777" w:rsidR="004E191D" w:rsidRPr="00E7245B" w:rsidRDefault="004E191D" w:rsidP="004E191D">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1.1. valsts pamatbudžets</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BFF9A" w14:textId="68E80690" w:rsidR="004E191D" w:rsidRPr="00E7245B" w:rsidRDefault="004E191D" w:rsidP="004E191D">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50 000 000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99428" w14:textId="3C26806E" w:rsidR="004E191D" w:rsidRPr="00E7245B" w:rsidRDefault="004E191D" w:rsidP="004E191D">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10 000 000</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14:paraId="04433CC6" w14:textId="2C19C757"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14:paraId="227F30A7" w14:textId="6AD2EEEE"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14:paraId="047A3D67" w14:textId="5F4EF7EB"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925DE0" w14:textId="0B320559"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14:paraId="6A2842D3" w14:textId="468EAA9C"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r>
      <w:tr w:rsidR="00E7245B" w:rsidRPr="00AE6FA4" w14:paraId="4F423C68"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9DCFBC"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1.2. valsts speciālais budžets</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75036"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D1D8E"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3A6D4"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3EF7A"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6FAB4"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CAE00"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BEAF9"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r>
      <w:tr w:rsidR="00E7245B" w:rsidRPr="00AE6FA4" w14:paraId="7B48ADB1"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144C7B"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1.3. pašvaldību budžets</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6D757"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tcPr>
          <w:p w14:paraId="2B3FD11D"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61B54"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33E87"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2B926"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5ED9A"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8FE18"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r>
      <w:tr w:rsidR="004E191D" w:rsidRPr="00AE6FA4" w14:paraId="1DFA29AD" w14:textId="77777777" w:rsidTr="00E7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3C4A60" w14:textId="77777777" w:rsidR="004E191D" w:rsidRPr="00E7245B" w:rsidRDefault="004E191D" w:rsidP="004E191D">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2. Budžeta izdevumi</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E0E14" w14:textId="429B1165" w:rsidR="004E191D" w:rsidRPr="00E7245B" w:rsidRDefault="004E191D" w:rsidP="004E191D">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50 000 000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780F1D4" w14:textId="0EF8FB00" w:rsidR="004E191D" w:rsidRPr="00E7245B" w:rsidRDefault="004E191D" w:rsidP="004E191D">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10 000 000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720C5642" w14:textId="00C1E22E"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14:paraId="5E561B5C" w14:textId="342FC91A"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28647C27" w14:textId="243328F9"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14:paraId="31FBB4F1" w14:textId="76165CAA"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14:paraId="2059540D" w14:textId="095A1A30"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r>
      <w:tr w:rsidR="004E191D" w:rsidRPr="00AE6FA4" w14:paraId="15C6341F" w14:textId="77777777" w:rsidTr="00E7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1D991B" w14:textId="77777777" w:rsidR="004E191D" w:rsidRPr="00E7245B" w:rsidRDefault="004E191D" w:rsidP="004E191D">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lastRenderedPageBreak/>
              <w:t>2.1. valsts pamatbudžets</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770B0" w14:textId="27DEC46F" w:rsidR="004E191D" w:rsidRPr="00E7245B" w:rsidRDefault="004E191D" w:rsidP="004E191D">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50 000 000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1FAB52D" w14:textId="50A5A84A" w:rsidR="004E191D" w:rsidRPr="00E7245B" w:rsidRDefault="004E191D" w:rsidP="004E191D">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10 000 000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7BD0A5DF" w14:textId="7E360408"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14:paraId="0E785626" w14:textId="0164E0B2"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398DA647" w14:textId="043F1F38"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14:paraId="0A30CDA9" w14:textId="222F5D5B"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14:paraId="0D4E7409" w14:textId="13B1EE6F" w:rsidR="004E191D" w:rsidRPr="00E7245B" w:rsidRDefault="004E191D" w:rsidP="004E191D">
            <w:pPr>
              <w:jc w:val="center"/>
              <w:rPr>
                <w:rFonts w:ascii="Times New Roman" w:eastAsia="Times New Roman" w:hAnsi="Times New Roman" w:cs="Times New Roman"/>
                <w:iCs/>
                <w:sz w:val="24"/>
                <w:szCs w:val="24"/>
                <w:lang w:eastAsia="lv-LV"/>
              </w:rPr>
            </w:pPr>
            <w:r w:rsidRPr="009F4B49">
              <w:rPr>
                <w:rFonts w:ascii="Times New Roman" w:eastAsia="Times New Roman" w:hAnsi="Times New Roman" w:cs="Times New Roman"/>
                <w:iCs/>
                <w:sz w:val="24"/>
                <w:szCs w:val="24"/>
                <w:lang w:eastAsia="lv-LV"/>
              </w:rPr>
              <w:t>0</w:t>
            </w:r>
          </w:p>
        </w:tc>
      </w:tr>
      <w:tr w:rsidR="00E7245B" w:rsidRPr="00AE6FA4" w14:paraId="6F16FBA4"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CA3B3C"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2.2. valsts speciālais budžets</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F72EB"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EF8809B"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A8EFB"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BF066"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26242"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0325B"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7F43"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r>
      <w:tr w:rsidR="00E7245B" w:rsidRPr="00AE6FA4" w14:paraId="0924EB99"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C0AC4D"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2.3. pašvaldību budžets</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EEB33"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54B1EC93"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DB6B7"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7793A"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26B61"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E42C0"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3A9C6"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r>
      <w:tr w:rsidR="00E7245B" w:rsidRPr="00AE6FA4" w14:paraId="257F084D"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6EF7D0"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3. Finansiālā ietekme</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5DF5A"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BF62BAE"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67D96"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CD95B"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B4742"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98898"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9EBFC"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r>
      <w:tr w:rsidR="00E7245B" w:rsidRPr="00AE6FA4" w14:paraId="54D6A14F"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6E3F14"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3.1. valsts pamatbudžets</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69238"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CD451C5" w14:textId="77777777" w:rsidR="00E7245B" w:rsidRPr="00E7245B" w:rsidRDefault="00E7245B" w:rsidP="00D51AB3">
            <w:pPr>
              <w:pStyle w:val="ListParagraph"/>
              <w:tabs>
                <w:tab w:val="left" w:pos="196"/>
                <w:tab w:val="left" w:pos="361"/>
              </w:tabs>
              <w:ind w:left="0"/>
              <w:jc w:val="center"/>
              <w:rPr>
                <w:rFonts w:eastAsia="Times New Roman"/>
                <w:iCs/>
                <w:sz w:val="24"/>
                <w:szCs w:val="24"/>
                <w:lang w:val="lv-LV" w:eastAsia="lv-LV"/>
              </w:rPr>
            </w:pPr>
            <w:r w:rsidRPr="00E7245B">
              <w:rPr>
                <w:rFonts w:eastAsia="Times New Roman"/>
                <w:iCs/>
                <w:sz w:val="24"/>
                <w:szCs w:val="24"/>
                <w:lang w:val="lv-LV"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1F430"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1DEED"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23649"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8907"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AAAC8"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r>
      <w:tr w:rsidR="00E7245B" w:rsidRPr="00AE6FA4" w14:paraId="2F537F73"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F727D8"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3.2. speciālais budžets</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062A2"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C08A"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B1FE2"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31252"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298DF"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F8EFC"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D29A5"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r>
      <w:tr w:rsidR="00E7245B" w:rsidRPr="00AE6FA4" w14:paraId="6805274A"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4D36D2"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3.3. pašvaldību budžets</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CDA2C"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AB98E"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D41E5"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5C8B5"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18B69"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E3C2D"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735BB"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r>
      <w:tr w:rsidR="00E7245B" w:rsidRPr="00AE6FA4" w14:paraId="46C962B7"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37"/>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C1325A"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572D3"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X</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2D11C"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CEB72"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X</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1712C"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F6905"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CBBF6"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3895C"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r>
      <w:tr w:rsidR="00E7245B" w:rsidRPr="00AE6FA4" w14:paraId="0EF5EA4A"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844"/>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DCED95"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5. Precizēta finansiālā ietekme</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34492"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X</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30BA6DE8"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72117"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X</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D57F5"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41B5C"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A6B97"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E7186"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r>
      <w:tr w:rsidR="00E7245B" w:rsidRPr="00AE6FA4" w14:paraId="618E6745"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29CCBD"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5.1. valsts pamatbudžets</w:t>
            </w:r>
          </w:p>
        </w:tc>
        <w:tc>
          <w:tcPr>
            <w:tcW w:w="1110" w:type="dxa"/>
            <w:vMerge/>
            <w:vAlign w:val="center"/>
            <w:hideMark/>
          </w:tcPr>
          <w:p w14:paraId="5DA01672" w14:textId="77777777" w:rsidR="00E7245B" w:rsidRPr="00E7245B" w:rsidRDefault="00E7245B" w:rsidP="00D51AB3">
            <w:pPr>
              <w:jc w:val="center"/>
              <w:rPr>
                <w:rFonts w:ascii="Times New Roman" w:eastAsia="Times New Roman" w:hAnsi="Times New Roman" w:cs="Times New Roman"/>
                <w:iCs/>
                <w:sz w:val="24"/>
                <w:szCs w:val="24"/>
                <w:lang w:eastAsia="lv-LV"/>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189FE8F"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vMerge/>
            <w:vAlign w:val="center"/>
            <w:hideMark/>
          </w:tcPr>
          <w:p w14:paraId="05F7AA6A" w14:textId="77777777" w:rsidR="00E7245B" w:rsidRPr="00E7245B" w:rsidRDefault="00E7245B" w:rsidP="00D51AB3">
            <w:pPr>
              <w:jc w:val="center"/>
              <w:rPr>
                <w:rFonts w:ascii="Times New Roman" w:eastAsia="Times New Roman" w:hAnsi="Times New Roman" w:cs="Times New Roman"/>
                <w:iCs/>
                <w:sz w:val="24"/>
                <w:szCs w:val="24"/>
                <w:lang w:eastAsia="lv-LV"/>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15EA8"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vMerge/>
            <w:vAlign w:val="center"/>
            <w:hideMark/>
          </w:tcPr>
          <w:p w14:paraId="11A904B6" w14:textId="77777777" w:rsidR="00E7245B" w:rsidRPr="00E7245B" w:rsidRDefault="00E7245B" w:rsidP="00D51AB3">
            <w:pPr>
              <w:jc w:val="center"/>
              <w:rPr>
                <w:rFonts w:ascii="Times New Roman" w:eastAsia="Times New Roman" w:hAnsi="Times New Roman" w:cs="Times New Roman"/>
                <w:iCs/>
                <w:sz w:val="24"/>
                <w:szCs w:val="24"/>
                <w:lang w:eastAsia="lv-LV"/>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67E01"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CB592"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r>
      <w:tr w:rsidR="00E7245B" w:rsidRPr="00AE6FA4" w14:paraId="01F305B6"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1CBBFA"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5.2. speciālais budžets</w:t>
            </w:r>
          </w:p>
        </w:tc>
        <w:tc>
          <w:tcPr>
            <w:tcW w:w="1110" w:type="dxa"/>
            <w:vMerge/>
            <w:vAlign w:val="center"/>
            <w:hideMark/>
          </w:tcPr>
          <w:p w14:paraId="7C642D99" w14:textId="77777777" w:rsidR="00E7245B" w:rsidRPr="00E7245B" w:rsidRDefault="00E7245B" w:rsidP="00D51AB3">
            <w:pPr>
              <w:jc w:val="center"/>
              <w:rPr>
                <w:rFonts w:ascii="Times New Roman" w:eastAsia="Times New Roman" w:hAnsi="Times New Roman" w:cs="Times New Roman"/>
                <w:iCs/>
                <w:sz w:val="24"/>
                <w:szCs w:val="24"/>
                <w:lang w:eastAsia="lv-LV"/>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6473C"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vMerge/>
            <w:vAlign w:val="center"/>
            <w:hideMark/>
          </w:tcPr>
          <w:p w14:paraId="7F579DFD" w14:textId="77777777" w:rsidR="00E7245B" w:rsidRPr="00E7245B" w:rsidRDefault="00E7245B" w:rsidP="00D51AB3">
            <w:pPr>
              <w:jc w:val="center"/>
              <w:rPr>
                <w:rFonts w:ascii="Times New Roman" w:eastAsia="Times New Roman" w:hAnsi="Times New Roman" w:cs="Times New Roman"/>
                <w:iCs/>
                <w:sz w:val="24"/>
                <w:szCs w:val="24"/>
                <w:lang w:eastAsia="lv-LV"/>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4E0E7"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vMerge/>
            <w:vAlign w:val="center"/>
            <w:hideMark/>
          </w:tcPr>
          <w:p w14:paraId="5644F0A2" w14:textId="77777777" w:rsidR="00E7245B" w:rsidRPr="00E7245B" w:rsidRDefault="00E7245B" w:rsidP="00D51AB3">
            <w:pPr>
              <w:jc w:val="center"/>
              <w:rPr>
                <w:rFonts w:ascii="Times New Roman" w:eastAsia="Times New Roman" w:hAnsi="Times New Roman" w:cs="Times New Roman"/>
                <w:iCs/>
                <w:sz w:val="24"/>
                <w:szCs w:val="24"/>
                <w:lang w:eastAsia="lv-LV"/>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05437"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B81E5"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r>
      <w:tr w:rsidR="00E7245B" w:rsidRPr="00AE6FA4" w14:paraId="5DC90D68"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2ED096"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5.3. pašvaldību budžets</w:t>
            </w:r>
          </w:p>
        </w:tc>
        <w:tc>
          <w:tcPr>
            <w:tcW w:w="1110" w:type="dxa"/>
            <w:vMerge/>
            <w:vAlign w:val="center"/>
            <w:hideMark/>
          </w:tcPr>
          <w:p w14:paraId="1604F08D" w14:textId="77777777" w:rsidR="00E7245B" w:rsidRPr="00E7245B" w:rsidRDefault="00E7245B" w:rsidP="00D51AB3">
            <w:pPr>
              <w:jc w:val="center"/>
              <w:rPr>
                <w:rFonts w:ascii="Times New Roman" w:eastAsia="Times New Roman" w:hAnsi="Times New Roman" w:cs="Times New Roman"/>
                <w:iCs/>
                <w:sz w:val="24"/>
                <w:szCs w:val="24"/>
                <w:lang w:eastAsia="lv-LV"/>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D0479"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vMerge/>
            <w:vAlign w:val="center"/>
            <w:hideMark/>
          </w:tcPr>
          <w:p w14:paraId="7AF17915" w14:textId="77777777" w:rsidR="00E7245B" w:rsidRPr="00E7245B" w:rsidRDefault="00E7245B" w:rsidP="00D51AB3">
            <w:pPr>
              <w:jc w:val="center"/>
              <w:rPr>
                <w:rFonts w:ascii="Times New Roman" w:eastAsia="Times New Roman" w:hAnsi="Times New Roman" w:cs="Times New Roman"/>
                <w:iCs/>
                <w:sz w:val="24"/>
                <w:szCs w:val="24"/>
                <w:lang w:eastAsia="lv-LV"/>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F26BF"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866" w:type="dxa"/>
            <w:vMerge/>
            <w:vAlign w:val="center"/>
            <w:hideMark/>
          </w:tcPr>
          <w:p w14:paraId="6C3E3AA3" w14:textId="77777777" w:rsidR="00E7245B" w:rsidRPr="00E7245B" w:rsidRDefault="00E7245B" w:rsidP="00D51AB3">
            <w:pPr>
              <w:jc w:val="center"/>
              <w:rPr>
                <w:rFonts w:ascii="Times New Roman" w:eastAsia="Times New Roman" w:hAnsi="Times New Roman" w:cs="Times New Roman"/>
                <w:iCs/>
                <w:sz w:val="24"/>
                <w:szCs w:val="24"/>
                <w:lang w:eastAsia="lv-LV"/>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C6378"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0CDEF" w14:textId="77777777" w:rsidR="00E7245B" w:rsidRPr="00E7245B" w:rsidRDefault="00E7245B" w:rsidP="00D51AB3">
            <w:pPr>
              <w:jc w:val="cente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0</w:t>
            </w:r>
          </w:p>
        </w:tc>
      </w:tr>
      <w:tr w:rsidR="00E7245B" w:rsidRPr="00AE6FA4" w14:paraId="1A8E4265"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977"/>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448D8"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46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F71FDD" w14:textId="597568B2" w:rsidR="00E7245B" w:rsidRPr="00E7245B" w:rsidRDefault="004E191D" w:rsidP="00D51AB3">
            <w:pPr>
              <w:shd w:val="clear" w:color="auto" w:fill="FFFFFF"/>
              <w:contextualSpacing/>
              <w:jc w:val="both"/>
              <w:rPr>
                <w:rFonts w:ascii="Times New Roman" w:eastAsia="Times New Roman" w:hAnsi="Times New Roman" w:cs="Times New Roman"/>
                <w:iCs/>
                <w:sz w:val="24"/>
                <w:szCs w:val="24"/>
                <w:lang w:eastAsia="lv-LV"/>
              </w:rPr>
            </w:pPr>
            <w:r w:rsidRPr="009F736F">
              <w:rPr>
                <w:rFonts w:ascii="Times New Roman" w:eastAsia="Times New Roman" w:hAnsi="Times New Roman" w:cs="Times New Roman"/>
                <w:sz w:val="24"/>
                <w:szCs w:val="24"/>
                <w:lang w:eastAsia="lv-LV"/>
              </w:rPr>
              <w:t xml:space="preserve">Ņemot vērā 2020.gada 3.decembrī Krīzes vadības grupas uzņēmējdarbības veicināšanai ietvaros nolemto par atbalsta nepieciešamību Covid-19 krīzes skartajiem uzņēmumiem, MK Noteikumu projekts paredz no krīzes garantiju programmas </w:t>
            </w:r>
            <w:r w:rsidRPr="00C12E0C">
              <w:rPr>
                <w:rFonts w:ascii="Times New Roman" w:eastAsia="Times New Roman" w:hAnsi="Times New Roman" w:cs="Times New Roman"/>
                <w:sz w:val="24"/>
                <w:szCs w:val="24"/>
                <w:lang w:eastAsia="lv-LV"/>
              </w:rPr>
              <w:t>(</w:t>
            </w:r>
            <w:r w:rsidRPr="004E191D">
              <w:rPr>
                <w:rFonts w:ascii="Times New Roman" w:eastAsia="Times New Roman" w:hAnsi="Times New Roman" w:cs="Times New Roman"/>
                <w:sz w:val="24"/>
                <w:szCs w:val="24"/>
                <w:lang w:eastAsia="lv-LV"/>
              </w:rPr>
              <w:t xml:space="preserve">Ministru kabineta 2020.gada 14.jūlija noteikumi Nr.454 “Noteikumi par garantijām lielajiem komersantiem, kuru darbību ietekmējusi Covid-19 izplatība”) </w:t>
            </w:r>
            <w:r w:rsidRPr="004E191D">
              <w:rPr>
                <w:rFonts w:ascii="Times New Roman" w:eastAsia="Times New Roman" w:hAnsi="Times New Roman" w:cs="Times New Roman"/>
                <w:sz w:val="24"/>
                <w:szCs w:val="24"/>
                <w:u w:val="single"/>
                <w:lang w:eastAsia="lv-LV"/>
              </w:rPr>
              <w:t xml:space="preserve">finansējuma pārdali 10 000 000 </w:t>
            </w:r>
            <w:proofErr w:type="spellStart"/>
            <w:r w:rsidRPr="004E191D">
              <w:rPr>
                <w:rFonts w:ascii="Times New Roman" w:eastAsia="Times New Roman" w:hAnsi="Times New Roman" w:cs="Times New Roman"/>
                <w:i/>
                <w:iCs/>
                <w:sz w:val="24"/>
                <w:szCs w:val="24"/>
                <w:u w:val="single"/>
                <w:lang w:eastAsia="lv-LV"/>
              </w:rPr>
              <w:t>euro</w:t>
            </w:r>
            <w:proofErr w:type="spellEnd"/>
            <w:r w:rsidRPr="009F736F">
              <w:rPr>
                <w:rFonts w:ascii="Times New Roman" w:eastAsia="Times New Roman" w:hAnsi="Times New Roman" w:cs="Times New Roman"/>
                <w:sz w:val="24"/>
                <w:szCs w:val="24"/>
                <w:lang w:eastAsia="lv-LV"/>
              </w:rPr>
              <w:t xml:space="preserve"> apmērā (14.07.2020. MK sēdē noteiktās apropriācijas otrā daļa) uz apgrozāmo līdzekļu aizdevumiem saimnieciskās darbības veicējiem, kuru darbību ietekmējusi Covid-19 izplatība</w:t>
            </w:r>
          </w:p>
        </w:tc>
      </w:tr>
      <w:tr w:rsidR="00E7245B" w:rsidRPr="00AE6FA4" w14:paraId="746FC6E4"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95DFC0"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6.1. detalizēts ieņēmumu aprēķins</w:t>
            </w:r>
          </w:p>
        </w:tc>
        <w:tc>
          <w:tcPr>
            <w:tcW w:w="7465" w:type="dxa"/>
            <w:gridSpan w:val="7"/>
            <w:vMerge/>
            <w:vAlign w:val="center"/>
            <w:hideMark/>
          </w:tcPr>
          <w:p w14:paraId="36B5B865" w14:textId="77777777" w:rsidR="00E7245B" w:rsidRPr="00E7245B" w:rsidRDefault="00E7245B" w:rsidP="00D51AB3">
            <w:pPr>
              <w:jc w:val="center"/>
              <w:rPr>
                <w:rFonts w:ascii="Times New Roman" w:eastAsia="Times New Roman" w:hAnsi="Times New Roman" w:cs="Times New Roman"/>
                <w:iCs/>
                <w:sz w:val="24"/>
                <w:szCs w:val="24"/>
                <w:lang w:eastAsia="lv-LV"/>
              </w:rPr>
            </w:pPr>
          </w:p>
        </w:tc>
      </w:tr>
      <w:tr w:rsidR="00E7245B" w:rsidRPr="00AE6FA4" w14:paraId="2E3D9D6E"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2E0E9D"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6.2. detalizēts izdevumu aprēķins</w:t>
            </w:r>
          </w:p>
        </w:tc>
        <w:tc>
          <w:tcPr>
            <w:tcW w:w="7465" w:type="dxa"/>
            <w:gridSpan w:val="7"/>
            <w:vMerge/>
            <w:vAlign w:val="center"/>
            <w:hideMark/>
          </w:tcPr>
          <w:p w14:paraId="24F38B8E" w14:textId="77777777" w:rsidR="00E7245B" w:rsidRPr="00E7245B" w:rsidRDefault="00E7245B" w:rsidP="00D51AB3">
            <w:pPr>
              <w:jc w:val="center"/>
              <w:rPr>
                <w:rFonts w:ascii="Times New Roman" w:eastAsia="Times New Roman" w:hAnsi="Times New Roman" w:cs="Times New Roman"/>
                <w:iCs/>
                <w:sz w:val="24"/>
                <w:szCs w:val="24"/>
                <w:lang w:eastAsia="lv-LV"/>
              </w:rPr>
            </w:pPr>
          </w:p>
        </w:tc>
      </w:tr>
      <w:tr w:rsidR="00E7245B" w:rsidRPr="00AE6FA4" w14:paraId="1F2E7BEE"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CD4C72"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7. Amata vietu skaita izmaiņas</w:t>
            </w:r>
          </w:p>
        </w:tc>
        <w:tc>
          <w:tcPr>
            <w:tcW w:w="7465" w:type="dxa"/>
            <w:gridSpan w:val="7"/>
            <w:tcBorders>
              <w:top w:val="single" w:sz="4" w:space="0" w:color="auto"/>
              <w:left w:val="single" w:sz="4" w:space="0" w:color="auto"/>
              <w:bottom w:val="single" w:sz="4" w:space="0" w:color="auto"/>
              <w:right w:val="single" w:sz="4" w:space="0" w:color="auto"/>
            </w:tcBorders>
            <w:shd w:val="clear" w:color="auto" w:fill="auto"/>
            <w:hideMark/>
          </w:tcPr>
          <w:p w14:paraId="3AFA6FD4" w14:textId="4AE66CE5" w:rsidR="00E7245B" w:rsidRPr="00E7245B" w:rsidRDefault="00DE3187" w:rsidP="00D51AB3">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E7245B" w:rsidRPr="00E7245B">
              <w:rPr>
                <w:rFonts w:ascii="Times New Roman" w:eastAsia="Times New Roman" w:hAnsi="Times New Roman" w:cs="Times New Roman"/>
                <w:iCs/>
                <w:sz w:val="24"/>
                <w:szCs w:val="24"/>
                <w:lang w:eastAsia="lv-LV"/>
              </w:rPr>
              <w:t>rojekts šo jomu neskar.</w:t>
            </w:r>
          </w:p>
          <w:p w14:paraId="34A0FD9F" w14:textId="77777777" w:rsidR="00E7245B" w:rsidRPr="00E7245B" w:rsidRDefault="00E7245B" w:rsidP="00D51AB3">
            <w:pPr>
              <w:rPr>
                <w:rFonts w:ascii="Times New Roman" w:eastAsia="Times New Roman" w:hAnsi="Times New Roman" w:cs="Times New Roman"/>
                <w:iCs/>
                <w:sz w:val="24"/>
                <w:szCs w:val="24"/>
                <w:lang w:eastAsia="lv-LV"/>
              </w:rPr>
            </w:pPr>
          </w:p>
        </w:tc>
      </w:tr>
      <w:tr w:rsidR="00E7245B" w:rsidRPr="00AE6FA4" w14:paraId="1A8CF46D" w14:textId="77777777" w:rsidTr="004E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5511A8" w14:textId="77777777" w:rsidR="00E7245B" w:rsidRPr="00E7245B" w:rsidRDefault="00E7245B" w:rsidP="00D51AB3">
            <w:pPr>
              <w:rPr>
                <w:rFonts w:ascii="Times New Roman" w:eastAsia="Times New Roman" w:hAnsi="Times New Roman" w:cs="Times New Roman"/>
                <w:iCs/>
                <w:sz w:val="24"/>
                <w:szCs w:val="24"/>
                <w:lang w:eastAsia="lv-LV"/>
              </w:rPr>
            </w:pPr>
            <w:r w:rsidRPr="00E7245B">
              <w:rPr>
                <w:rFonts w:ascii="Times New Roman" w:eastAsia="Times New Roman" w:hAnsi="Times New Roman" w:cs="Times New Roman"/>
                <w:iCs/>
                <w:sz w:val="24"/>
                <w:szCs w:val="24"/>
                <w:lang w:eastAsia="lv-LV"/>
              </w:rPr>
              <w:t>8. Cita informācija</w:t>
            </w:r>
          </w:p>
        </w:tc>
        <w:tc>
          <w:tcPr>
            <w:tcW w:w="7465" w:type="dxa"/>
            <w:gridSpan w:val="7"/>
            <w:tcBorders>
              <w:top w:val="single" w:sz="4" w:space="0" w:color="auto"/>
              <w:left w:val="single" w:sz="4" w:space="0" w:color="auto"/>
              <w:bottom w:val="single" w:sz="4" w:space="0" w:color="auto"/>
              <w:right w:val="single" w:sz="4" w:space="0" w:color="auto"/>
            </w:tcBorders>
            <w:shd w:val="clear" w:color="auto" w:fill="auto"/>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409"/>
            </w:tblGrid>
            <w:tr w:rsidR="004E191D" w:rsidRPr="009E5536" w14:paraId="16950FAF" w14:textId="6201951E" w:rsidTr="004E191D">
              <w:trPr>
                <w:tblCellSpacing w:w="15" w:type="dxa"/>
              </w:trPr>
              <w:tc>
                <w:tcPr>
                  <w:tcW w:w="0" w:type="auto"/>
                  <w:vAlign w:val="center"/>
                  <w:hideMark/>
                </w:tcPr>
                <w:p w14:paraId="15CDE348" w14:textId="1A91AF5F" w:rsidR="004E191D" w:rsidRPr="009E5536" w:rsidRDefault="004E191D" w:rsidP="004E191D">
                  <w:pPr>
                    <w:spacing w:after="0" w:line="240" w:lineRule="auto"/>
                    <w:jc w:val="both"/>
                    <w:rPr>
                      <w:rFonts w:ascii="Times New Roman" w:eastAsia="Times New Roman" w:hAnsi="Times New Roman" w:cs="Times New Roman"/>
                      <w:sz w:val="24"/>
                      <w:szCs w:val="24"/>
                      <w:lang w:eastAsia="lv-LV"/>
                    </w:rPr>
                  </w:pPr>
                  <w:r w:rsidRPr="009E5536">
                    <w:rPr>
                      <w:rFonts w:ascii="Times New Roman" w:eastAsia="Times New Roman" w:hAnsi="Times New Roman" w:cs="Times New Roman"/>
                      <w:sz w:val="24"/>
                      <w:szCs w:val="24"/>
                      <w:lang w:eastAsia="lv-LV"/>
                    </w:rPr>
                    <w:t xml:space="preserve">Ņemot vērā, ka notiks finansējuma pārdale </w:t>
                  </w:r>
                  <w:r w:rsidRPr="009E5536">
                    <w:rPr>
                      <w:rFonts w:ascii="Times New Roman" w:eastAsia="Times New Roman" w:hAnsi="Times New Roman" w:cs="Times New Roman"/>
                      <w:b/>
                      <w:bCs/>
                      <w:sz w:val="24"/>
                      <w:szCs w:val="24"/>
                      <w:lang w:eastAsia="lv-LV"/>
                    </w:rPr>
                    <w:t>ietekme uz valsts budžeta izdevumiem būs neitrāla.</w:t>
                  </w:r>
                </w:p>
              </w:tc>
            </w:tr>
          </w:tbl>
          <w:p w14:paraId="6F876DD6" w14:textId="5F3543AF" w:rsidR="004E191D" w:rsidRPr="004E191D" w:rsidRDefault="004E191D" w:rsidP="004E191D">
            <w:pPr>
              <w:spacing w:after="0" w:line="240" w:lineRule="auto"/>
              <w:jc w:val="both"/>
              <w:rPr>
                <w:rFonts w:ascii="Segoe UI" w:eastAsia="Times New Roman" w:hAnsi="Segoe UI" w:cs="Segoe UI"/>
                <w:sz w:val="21"/>
                <w:szCs w:val="21"/>
                <w:lang w:eastAsia="lv-LV"/>
              </w:rPr>
            </w:pPr>
            <w:r w:rsidRPr="009E5536">
              <w:rPr>
                <w:rFonts w:ascii="Times New Roman" w:eastAsia="Times New Roman" w:hAnsi="Times New Roman" w:cs="Times New Roman"/>
                <w:sz w:val="24"/>
                <w:szCs w:val="24"/>
                <w:lang w:eastAsia="lv-LV"/>
              </w:rPr>
              <w:t>Nepieciešamo finansējumu Ekonomikas ministrija lūgs pārdalīt no 80.00.00 programmas „Nesadalītais finansējums Eiropas Savienības politiku instrumentu un pārējās ārvalstu finanšu palīdzības līdzfinansēto projektu un pasākumu īstenošanai”.</w:t>
            </w:r>
          </w:p>
          <w:p w14:paraId="3B933CB6" w14:textId="4A540EF0" w:rsidR="00E7245B" w:rsidRPr="00E7245B" w:rsidRDefault="00E7245B" w:rsidP="00D1483B">
            <w:pPr>
              <w:spacing w:after="0" w:line="240" w:lineRule="auto"/>
              <w:jc w:val="both"/>
              <w:rPr>
                <w:rFonts w:ascii="Times New Roman" w:eastAsia="Times New Roman" w:hAnsi="Times New Roman" w:cs="Times New Roman"/>
                <w:iCs/>
                <w:sz w:val="24"/>
                <w:szCs w:val="24"/>
                <w:lang w:eastAsia="lv-LV"/>
              </w:rPr>
            </w:pPr>
          </w:p>
        </w:tc>
      </w:tr>
    </w:tbl>
    <w:p w14:paraId="681C2BFE" w14:textId="145654B2" w:rsidR="00E5323B" w:rsidRPr="008C5A53" w:rsidRDefault="00E5323B" w:rsidP="00E5323B">
      <w:pPr>
        <w:spacing w:after="0" w:line="240" w:lineRule="auto"/>
        <w:rPr>
          <w:rFonts w:ascii="Times New Roman" w:eastAsia="Times New Roman" w:hAnsi="Times New Roman" w:cs="Times New Roman"/>
          <w:iCs/>
          <w:sz w:val="24"/>
          <w:szCs w:val="24"/>
          <w:lang w:eastAsia="lv-LV"/>
        </w:rPr>
      </w:pPr>
    </w:p>
    <w:p w14:paraId="6A1958F9" w14:textId="77777777" w:rsidR="006833F3"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tbl>
      <w:tblPr>
        <w:tblW w:w="509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
        <w:gridCol w:w="549"/>
        <w:gridCol w:w="1712"/>
        <w:gridCol w:w="283"/>
        <w:gridCol w:w="974"/>
        <w:gridCol w:w="1040"/>
        <w:gridCol w:w="2212"/>
        <w:gridCol w:w="1995"/>
        <w:gridCol w:w="30"/>
        <w:gridCol w:w="343"/>
      </w:tblGrid>
      <w:tr w:rsidR="006833F3" w:rsidRPr="000E46A4" w14:paraId="1E4B42AB" w14:textId="77777777" w:rsidTr="00801009">
        <w:trPr>
          <w:gridBefore w:val="1"/>
          <w:gridAfter w:val="1"/>
          <w:wBefore w:w="39" w:type="dxa"/>
          <w:wAfter w:w="298" w:type="dxa"/>
          <w:tblCellSpacing w:w="15" w:type="dxa"/>
        </w:trPr>
        <w:tc>
          <w:tcPr>
            <w:tcW w:w="876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69773C25" w14:textId="77777777" w:rsidR="006833F3" w:rsidRPr="006833F3" w:rsidRDefault="006833F3" w:rsidP="006833F3">
            <w:pPr>
              <w:spacing w:after="0" w:line="240" w:lineRule="auto"/>
              <w:rPr>
                <w:rFonts w:ascii="Times New Roman" w:eastAsia="Times New Roman" w:hAnsi="Times New Roman" w:cs="Times New Roman"/>
                <w:b/>
                <w:bCs/>
                <w:iCs/>
                <w:sz w:val="24"/>
                <w:szCs w:val="24"/>
                <w:lang w:eastAsia="lv-LV"/>
              </w:rPr>
            </w:pPr>
            <w:r w:rsidRPr="006833F3">
              <w:rPr>
                <w:rFonts w:ascii="Times New Roman" w:eastAsia="Times New Roman" w:hAnsi="Times New Roman" w:cs="Times New Roman"/>
                <w:b/>
                <w:bCs/>
                <w:iCs/>
                <w:sz w:val="24"/>
                <w:szCs w:val="24"/>
                <w:lang w:eastAsia="lv-LV"/>
              </w:rPr>
              <w:t>IV. Tiesību akta projekta ietekme uz spēkā esošo tiesību normu sistēmu</w:t>
            </w:r>
          </w:p>
        </w:tc>
      </w:tr>
      <w:tr w:rsidR="006833F3" w:rsidRPr="00794E33" w14:paraId="2B4EB016" w14:textId="77777777" w:rsidTr="00801009">
        <w:tblPrEx>
          <w:tblCellSpacing w:w="0" w:type="nil"/>
          <w:tblBorders>
            <w:top w:val="outset" w:sz="6" w:space="0" w:color="414142"/>
            <w:left w:val="outset" w:sz="6" w:space="0" w:color="414142"/>
            <w:bottom w:val="outset" w:sz="6" w:space="0" w:color="414142"/>
            <w:right w:val="outset" w:sz="6" w:space="0" w:color="414142"/>
          </w:tblBorders>
        </w:tblPrEx>
        <w:trPr>
          <w:gridBefore w:val="1"/>
          <w:gridAfter w:val="2"/>
          <w:wBefore w:w="39" w:type="dxa"/>
          <w:wAfter w:w="328" w:type="dxa"/>
        </w:trPr>
        <w:tc>
          <w:tcPr>
            <w:tcW w:w="2514" w:type="dxa"/>
            <w:gridSpan w:val="3"/>
            <w:tcBorders>
              <w:top w:val="outset" w:sz="6" w:space="0" w:color="414142"/>
              <w:left w:val="outset" w:sz="6" w:space="0" w:color="414142"/>
              <w:bottom w:val="outset" w:sz="6" w:space="0" w:color="414142"/>
              <w:right w:val="outset" w:sz="6" w:space="0" w:color="414142"/>
            </w:tcBorders>
            <w:shd w:val="clear" w:color="auto" w:fill="auto"/>
            <w:hideMark/>
          </w:tcPr>
          <w:p w14:paraId="48494AD3" w14:textId="77777777" w:rsidR="006833F3" w:rsidRPr="008869EA" w:rsidRDefault="006833F3" w:rsidP="008869EA">
            <w:pPr>
              <w:spacing w:after="0" w:line="240" w:lineRule="auto"/>
              <w:rPr>
                <w:rFonts w:ascii="Times New Roman" w:eastAsia="Times New Roman" w:hAnsi="Times New Roman" w:cs="Times New Roman"/>
                <w:iCs/>
                <w:sz w:val="24"/>
                <w:szCs w:val="24"/>
                <w:lang w:eastAsia="lv-LV"/>
              </w:rPr>
            </w:pPr>
            <w:r w:rsidRPr="008869EA">
              <w:rPr>
                <w:rFonts w:ascii="Times New Roman" w:eastAsia="Times New Roman" w:hAnsi="Times New Roman" w:cs="Times New Roman"/>
                <w:iCs/>
                <w:sz w:val="24"/>
                <w:szCs w:val="24"/>
                <w:lang w:eastAsia="lv-LV"/>
              </w:rPr>
              <w:t>Saistītie tiesību aktu projekti</w:t>
            </w:r>
          </w:p>
        </w:tc>
        <w:tc>
          <w:tcPr>
            <w:tcW w:w="6191" w:type="dxa"/>
            <w:gridSpan w:val="4"/>
            <w:tcBorders>
              <w:top w:val="outset" w:sz="6" w:space="0" w:color="414142"/>
              <w:left w:val="outset" w:sz="6" w:space="0" w:color="414142"/>
              <w:bottom w:val="outset" w:sz="6" w:space="0" w:color="414142"/>
              <w:right w:val="outset" w:sz="6" w:space="0" w:color="414142"/>
            </w:tcBorders>
            <w:shd w:val="clear" w:color="auto" w:fill="auto"/>
            <w:hideMark/>
          </w:tcPr>
          <w:p w14:paraId="27A6210D" w14:textId="6A650E64" w:rsidR="006833F3" w:rsidRPr="008869EA" w:rsidRDefault="006833F3" w:rsidP="008869EA">
            <w:pPr>
              <w:pStyle w:val="ListParagraph"/>
              <w:spacing w:before="120"/>
              <w:ind w:left="262" w:right="250"/>
              <w:contextualSpacing w:val="0"/>
              <w:jc w:val="both"/>
              <w:rPr>
                <w:rFonts w:eastAsia="Times New Roman"/>
                <w:iCs/>
                <w:sz w:val="24"/>
                <w:szCs w:val="24"/>
                <w:lang w:val="lv-LV" w:eastAsia="lv-LV"/>
              </w:rPr>
            </w:pPr>
            <w:r w:rsidRPr="008869EA">
              <w:rPr>
                <w:rFonts w:eastAsia="Times New Roman"/>
                <w:iCs/>
                <w:sz w:val="24"/>
                <w:szCs w:val="24"/>
                <w:lang w:val="lv-LV" w:eastAsia="lv-LV"/>
              </w:rPr>
              <w:t xml:space="preserve">Grozījumi Ministru kabineta 2020.gada 14.jūlija noteikumiem Nr.454 “Noteikumi par garantijām lielajiem komersantiem, kuru darbību ietekmējusi Covid-19 izplatība”  izsludināti VSS 2020.gada 26.novembrī, VSS-1015), </w:t>
            </w:r>
          </w:p>
        </w:tc>
      </w:tr>
      <w:tr w:rsidR="006833F3" w:rsidRPr="000E46A4" w14:paraId="3C852679" w14:textId="77777777" w:rsidTr="00801009">
        <w:tblPrEx>
          <w:tblCellSpacing w:w="0" w:type="nil"/>
          <w:tblBorders>
            <w:top w:val="outset" w:sz="6" w:space="0" w:color="414142"/>
            <w:left w:val="outset" w:sz="6" w:space="0" w:color="414142"/>
            <w:bottom w:val="outset" w:sz="6" w:space="0" w:color="414142"/>
            <w:right w:val="outset" w:sz="6" w:space="0" w:color="414142"/>
          </w:tblBorders>
        </w:tblPrEx>
        <w:trPr>
          <w:gridBefore w:val="1"/>
          <w:gridAfter w:val="2"/>
          <w:wBefore w:w="39" w:type="dxa"/>
          <w:wAfter w:w="328" w:type="dxa"/>
        </w:trPr>
        <w:tc>
          <w:tcPr>
            <w:tcW w:w="2514" w:type="dxa"/>
            <w:gridSpan w:val="3"/>
            <w:tcBorders>
              <w:top w:val="outset" w:sz="6" w:space="0" w:color="414142"/>
              <w:left w:val="outset" w:sz="6" w:space="0" w:color="414142"/>
              <w:bottom w:val="outset" w:sz="6" w:space="0" w:color="414142"/>
              <w:right w:val="outset" w:sz="6" w:space="0" w:color="414142"/>
            </w:tcBorders>
            <w:shd w:val="clear" w:color="auto" w:fill="auto"/>
            <w:hideMark/>
          </w:tcPr>
          <w:p w14:paraId="04C616F6" w14:textId="77777777" w:rsidR="006833F3" w:rsidRPr="008869EA" w:rsidRDefault="006833F3" w:rsidP="008869EA">
            <w:pPr>
              <w:spacing w:after="0" w:line="240" w:lineRule="auto"/>
              <w:rPr>
                <w:rFonts w:ascii="Times New Roman" w:eastAsia="Times New Roman" w:hAnsi="Times New Roman" w:cs="Times New Roman"/>
                <w:iCs/>
                <w:sz w:val="24"/>
                <w:szCs w:val="24"/>
                <w:lang w:eastAsia="lv-LV"/>
              </w:rPr>
            </w:pPr>
            <w:r w:rsidRPr="008869EA">
              <w:rPr>
                <w:rFonts w:ascii="Times New Roman" w:eastAsia="Times New Roman" w:hAnsi="Times New Roman" w:cs="Times New Roman"/>
                <w:iCs/>
                <w:sz w:val="24"/>
                <w:szCs w:val="24"/>
                <w:lang w:eastAsia="lv-LV"/>
              </w:rPr>
              <w:t>Atbildīgā institūcija</w:t>
            </w:r>
          </w:p>
        </w:tc>
        <w:tc>
          <w:tcPr>
            <w:tcW w:w="6191" w:type="dxa"/>
            <w:gridSpan w:val="4"/>
            <w:tcBorders>
              <w:top w:val="outset" w:sz="6" w:space="0" w:color="414142"/>
              <w:left w:val="outset" w:sz="6" w:space="0" w:color="414142"/>
              <w:bottom w:val="outset" w:sz="6" w:space="0" w:color="414142"/>
              <w:right w:val="outset" w:sz="6" w:space="0" w:color="414142"/>
            </w:tcBorders>
            <w:shd w:val="clear" w:color="auto" w:fill="auto"/>
            <w:hideMark/>
          </w:tcPr>
          <w:p w14:paraId="3E6B7C1C" w14:textId="3FFF3F77" w:rsidR="006833F3" w:rsidRPr="008869EA" w:rsidRDefault="007728D2" w:rsidP="008869E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rsidR="006833F3" w:rsidRPr="000E46A4" w14:paraId="6A8A82CA" w14:textId="77777777" w:rsidTr="00801009">
        <w:tblPrEx>
          <w:tblCellSpacing w:w="0" w:type="nil"/>
          <w:tblBorders>
            <w:top w:val="outset" w:sz="6" w:space="0" w:color="414142"/>
            <w:left w:val="outset" w:sz="6" w:space="0" w:color="414142"/>
            <w:bottom w:val="outset" w:sz="6" w:space="0" w:color="414142"/>
            <w:right w:val="outset" w:sz="6" w:space="0" w:color="414142"/>
          </w:tblBorders>
        </w:tblPrEx>
        <w:trPr>
          <w:gridBefore w:val="1"/>
          <w:gridAfter w:val="2"/>
          <w:wBefore w:w="39" w:type="dxa"/>
          <w:wAfter w:w="328" w:type="dxa"/>
        </w:trPr>
        <w:tc>
          <w:tcPr>
            <w:tcW w:w="2514" w:type="dxa"/>
            <w:gridSpan w:val="3"/>
            <w:tcBorders>
              <w:top w:val="outset" w:sz="6" w:space="0" w:color="414142"/>
              <w:left w:val="outset" w:sz="6" w:space="0" w:color="414142"/>
              <w:bottom w:val="outset" w:sz="6" w:space="0" w:color="414142"/>
              <w:right w:val="outset" w:sz="6" w:space="0" w:color="414142"/>
            </w:tcBorders>
            <w:shd w:val="clear" w:color="auto" w:fill="auto"/>
            <w:hideMark/>
          </w:tcPr>
          <w:p w14:paraId="5B21C3CD" w14:textId="77777777" w:rsidR="006833F3" w:rsidRPr="008869EA" w:rsidRDefault="006833F3" w:rsidP="008869EA">
            <w:pPr>
              <w:spacing w:after="0" w:line="240" w:lineRule="auto"/>
              <w:rPr>
                <w:rFonts w:ascii="Times New Roman" w:eastAsia="Times New Roman" w:hAnsi="Times New Roman" w:cs="Times New Roman"/>
                <w:iCs/>
                <w:sz w:val="24"/>
                <w:szCs w:val="24"/>
                <w:lang w:eastAsia="lv-LV"/>
              </w:rPr>
            </w:pPr>
            <w:r w:rsidRPr="008869EA">
              <w:rPr>
                <w:rFonts w:ascii="Times New Roman" w:eastAsia="Times New Roman" w:hAnsi="Times New Roman" w:cs="Times New Roman"/>
                <w:iCs/>
                <w:sz w:val="24"/>
                <w:szCs w:val="24"/>
                <w:lang w:eastAsia="lv-LV"/>
              </w:rPr>
              <w:t>Cita informācija</w:t>
            </w:r>
          </w:p>
        </w:tc>
        <w:tc>
          <w:tcPr>
            <w:tcW w:w="6191" w:type="dxa"/>
            <w:gridSpan w:val="4"/>
            <w:tcBorders>
              <w:top w:val="outset" w:sz="6" w:space="0" w:color="414142"/>
              <w:left w:val="outset" w:sz="6" w:space="0" w:color="414142"/>
              <w:bottom w:val="outset" w:sz="6" w:space="0" w:color="414142"/>
              <w:right w:val="outset" w:sz="6" w:space="0" w:color="414142"/>
            </w:tcBorders>
            <w:shd w:val="clear" w:color="auto" w:fill="auto"/>
            <w:hideMark/>
          </w:tcPr>
          <w:p w14:paraId="39617321" w14:textId="0167CB05" w:rsidR="006833F3" w:rsidRPr="008869EA" w:rsidRDefault="00DE3187" w:rsidP="007728D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w:t>
            </w:r>
            <w:r w:rsidR="007728D2" w:rsidRPr="007728D2">
              <w:rPr>
                <w:rFonts w:ascii="Times New Roman" w:eastAsia="Times New Roman" w:hAnsi="Times New Roman" w:cs="Times New Roman"/>
                <w:iCs/>
                <w:sz w:val="24"/>
                <w:szCs w:val="24"/>
                <w:lang w:eastAsia="lv-LV"/>
              </w:rPr>
              <w:t>Noteikumu projekts tiek virzīts apstiprināšanai Ministru kabinetā vienlaicīgi ar grozījumiem Ministru kabineta 2020.gada 14.jūlija noteikumiem Nr.454 “Noteikumi par garantijām lielajiem komersantiem, kuru darbību ietekmējusi Covid-19 izplatība”  izsludināti VSS 2020.gada 26.novembrī, VSS-1015)</w:t>
            </w:r>
          </w:p>
        </w:tc>
      </w:tr>
      <w:tr w:rsidR="00BF2E10" w:rsidRPr="008C5A53" w14:paraId="75DD451E" w14:textId="77777777" w:rsidTr="00801009">
        <w:trPr>
          <w:gridBefore w:val="1"/>
          <w:gridAfter w:val="1"/>
          <w:wBefore w:w="39" w:type="dxa"/>
          <w:wAfter w:w="298" w:type="dxa"/>
          <w:tblCellSpacing w:w="15" w:type="dxa"/>
        </w:trPr>
        <w:tc>
          <w:tcPr>
            <w:tcW w:w="8765" w:type="dxa"/>
            <w:gridSpan w:val="8"/>
            <w:tcBorders>
              <w:top w:val="outset" w:sz="6" w:space="0" w:color="auto"/>
              <w:left w:val="outset" w:sz="6" w:space="0" w:color="auto"/>
              <w:bottom w:val="outset" w:sz="6" w:space="0" w:color="auto"/>
              <w:right w:val="outset" w:sz="6" w:space="0" w:color="auto"/>
            </w:tcBorders>
            <w:vAlign w:val="center"/>
            <w:hideMark/>
          </w:tcPr>
          <w:p w14:paraId="171759D0" w14:textId="77777777" w:rsidR="00655F2C" w:rsidRPr="008C5A53" w:rsidRDefault="00E5323B" w:rsidP="00E5323B">
            <w:pPr>
              <w:spacing w:after="0" w:line="240" w:lineRule="auto"/>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F2E10" w:rsidRPr="008C5A53" w14:paraId="13E874ED" w14:textId="77777777" w:rsidTr="00801009">
        <w:trPr>
          <w:gridBefore w:val="1"/>
          <w:gridAfter w:val="1"/>
          <w:wBefore w:w="39" w:type="dxa"/>
          <w:wAfter w:w="298" w:type="dxa"/>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44B197D2"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1.</w:t>
            </w:r>
          </w:p>
        </w:tc>
        <w:tc>
          <w:tcPr>
            <w:tcW w:w="2939" w:type="dxa"/>
            <w:gridSpan w:val="3"/>
            <w:tcBorders>
              <w:top w:val="outset" w:sz="6" w:space="0" w:color="auto"/>
              <w:left w:val="outset" w:sz="6" w:space="0" w:color="auto"/>
              <w:bottom w:val="outset" w:sz="6" w:space="0" w:color="auto"/>
              <w:right w:val="outset" w:sz="6" w:space="0" w:color="auto"/>
            </w:tcBorders>
            <w:hideMark/>
          </w:tcPr>
          <w:p w14:paraId="6C1A19F2"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Saistības pret Eiropas Savienību</w:t>
            </w:r>
          </w:p>
        </w:tc>
        <w:tc>
          <w:tcPr>
            <w:tcW w:w="5247" w:type="dxa"/>
            <w:gridSpan w:val="4"/>
            <w:tcBorders>
              <w:top w:val="outset" w:sz="6" w:space="0" w:color="auto"/>
              <w:left w:val="outset" w:sz="6" w:space="0" w:color="auto"/>
              <w:bottom w:val="outset" w:sz="6" w:space="0" w:color="auto"/>
              <w:right w:val="outset" w:sz="6" w:space="0" w:color="auto"/>
            </w:tcBorders>
            <w:hideMark/>
          </w:tcPr>
          <w:p w14:paraId="7207AB3C" w14:textId="011519E8" w:rsidR="009E5536" w:rsidRPr="009E5536" w:rsidRDefault="009E5536" w:rsidP="009E5536">
            <w:pPr>
              <w:pStyle w:val="ListParagraph"/>
              <w:numPr>
                <w:ilvl w:val="0"/>
                <w:numId w:val="10"/>
              </w:numPr>
              <w:rPr>
                <w:rFonts w:eastAsia="Times New Roman"/>
                <w:iCs/>
                <w:sz w:val="24"/>
                <w:szCs w:val="24"/>
                <w:lang w:eastAsia="lv-LV"/>
              </w:rPr>
            </w:pPr>
            <w:proofErr w:type="spellStart"/>
            <w:r w:rsidRPr="009E5536">
              <w:rPr>
                <w:rFonts w:eastAsia="Times New Roman"/>
                <w:iCs/>
                <w:sz w:val="24"/>
                <w:szCs w:val="24"/>
                <w:lang w:eastAsia="lv-LV"/>
              </w:rPr>
              <w:t>Komisijas</w:t>
            </w:r>
            <w:proofErr w:type="spellEnd"/>
            <w:r w:rsidRPr="009E5536">
              <w:rPr>
                <w:rFonts w:eastAsia="Times New Roman"/>
                <w:iCs/>
                <w:sz w:val="24"/>
                <w:szCs w:val="24"/>
                <w:lang w:eastAsia="lv-LV"/>
              </w:rPr>
              <w:t xml:space="preserve"> 2014. </w:t>
            </w:r>
            <w:proofErr w:type="spellStart"/>
            <w:r w:rsidRPr="009E5536">
              <w:rPr>
                <w:rFonts w:eastAsia="Times New Roman"/>
                <w:iCs/>
                <w:sz w:val="24"/>
                <w:szCs w:val="24"/>
                <w:lang w:eastAsia="lv-LV"/>
              </w:rPr>
              <w:t>gada</w:t>
            </w:r>
            <w:proofErr w:type="spellEnd"/>
            <w:r w:rsidRPr="009E5536">
              <w:rPr>
                <w:rFonts w:eastAsia="Times New Roman"/>
                <w:iCs/>
                <w:sz w:val="24"/>
                <w:szCs w:val="24"/>
                <w:lang w:eastAsia="lv-LV"/>
              </w:rPr>
              <w:t xml:space="preserve"> 17. </w:t>
            </w:r>
            <w:proofErr w:type="spellStart"/>
            <w:r w:rsidRPr="009E5536">
              <w:rPr>
                <w:rFonts w:eastAsia="Times New Roman"/>
                <w:iCs/>
                <w:sz w:val="24"/>
                <w:szCs w:val="24"/>
                <w:lang w:eastAsia="lv-LV"/>
              </w:rPr>
              <w:t>jūnija</w:t>
            </w:r>
            <w:proofErr w:type="spellEnd"/>
            <w:r w:rsidRPr="009E5536">
              <w:rPr>
                <w:rFonts w:eastAsia="Times New Roman"/>
                <w:iCs/>
                <w:sz w:val="24"/>
                <w:szCs w:val="24"/>
                <w:lang w:eastAsia="lv-LV"/>
              </w:rPr>
              <w:t xml:space="preserve"> Regula (ES) Nr. 651/2014, </w:t>
            </w:r>
            <w:proofErr w:type="spellStart"/>
            <w:r w:rsidRPr="009E5536">
              <w:rPr>
                <w:rFonts w:eastAsia="Times New Roman"/>
                <w:iCs/>
                <w:sz w:val="24"/>
                <w:szCs w:val="24"/>
                <w:lang w:eastAsia="lv-LV"/>
              </w:rPr>
              <w:t>ar</w:t>
            </w:r>
            <w:proofErr w:type="spellEnd"/>
            <w:r w:rsidRPr="009E5536">
              <w:rPr>
                <w:rFonts w:eastAsia="Times New Roman"/>
                <w:iCs/>
                <w:sz w:val="24"/>
                <w:szCs w:val="24"/>
                <w:lang w:eastAsia="lv-LV"/>
              </w:rPr>
              <w:t xml:space="preserve"> ko </w:t>
            </w:r>
            <w:proofErr w:type="spellStart"/>
            <w:r w:rsidRPr="009E5536">
              <w:rPr>
                <w:rFonts w:eastAsia="Times New Roman"/>
                <w:iCs/>
                <w:sz w:val="24"/>
                <w:szCs w:val="24"/>
                <w:lang w:eastAsia="lv-LV"/>
              </w:rPr>
              <w:t>noteiktas</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atbalsta</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kategorijas</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lastRenderedPageBreak/>
              <w:t>atzīst</w:t>
            </w:r>
            <w:proofErr w:type="spellEnd"/>
            <w:r w:rsidRPr="009E5536">
              <w:rPr>
                <w:rFonts w:eastAsia="Times New Roman"/>
                <w:iCs/>
                <w:sz w:val="24"/>
                <w:szCs w:val="24"/>
                <w:lang w:eastAsia="lv-LV"/>
              </w:rPr>
              <w:t xml:space="preserve"> par </w:t>
            </w:r>
            <w:proofErr w:type="spellStart"/>
            <w:r w:rsidRPr="009E5536">
              <w:rPr>
                <w:rFonts w:eastAsia="Times New Roman"/>
                <w:iCs/>
                <w:sz w:val="24"/>
                <w:szCs w:val="24"/>
                <w:lang w:eastAsia="lv-LV"/>
              </w:rPr>
              <w:t>saderīgām</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ar</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iekšējo</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tirgu</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piemērojot</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Līguma</w:t>
            </w:r>
            <w:proofErr w:type="spellEnd"/>
            <w:r w:rsidRPr="009E5536">
              <w:rPr>
                <w:rFonts w:eastAsia="Times New Roman"/>
                <w:iCs/>
                <w:sz w:val="24"/>
                <w:szCs w:val="24"/>
                <w:lang w:eastAsia="lv-LV"/>
              </w:rPr>
              <w:t xml:space="preserve"> 107. un 108. </w:t>
            </w:r>
            <w:proofErr w:type="spellStart"/>
            <w:r w:rsidRPr="009E5536">
              <w:rPr>
                <w:rFonts w:eastAsia="Times New Roman"/>
                <w:iCs/>
                <w:sz w:val="24"/>
                <w:szCs w:val="24"/>
                <w:lang w:eastAsia="lv-LV"/>
              </w:rPr>
              <w:t>pantu</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turpmāk</w:t>
            </w:r>
            <w:proofErr w:type="spellEnd"/>
            <w:r w:rsidRPr="009E5536">
              <w:rPr>
                <w:rFonts w:eastAsia="Times New Roman"/>
                <w:iCs/>
                <w:sz w:val="24"/>
                <w:szCs w:val="24"/>
                <w:lang w:eastAsia="lv-LV"/>
              </w:rPr>
              <w:t xml:space="preserve"> – </w:t>
            </w:r>
            <w:proofErr w:type="spellStart"/>
            <w:r w:rsidRPr="009E5536">
              <w:rPr>
                <w:rFonts w:eastAsia="Times New Roman"/>
                <w:iCs/>
                <w:sz w:val="24"/>
                <w:szCs w:val="24"/>
                <w:lang w:eastAsia="lv-LV"/>
              </w:rPr>
              <w:t>Komisijas</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regula</w:t>
            </w:r>
            <w:proofErr w:type="spellEnd"/>
            <w:r w:rsidRPr="009E5536">
              <w:rPr>
                <w:rFonts w:eastAsia="Times New Roman"/>
                <w:iCs/>
                <w:sz w:val="24"/>
                <w:szCs w:val="24"/>
                <w:lang w:eastAsia="lv-LV"/>
              </w:rPr>
              <w:t xml:space="preserve"> Nr. 651/2014).</w:t>
            </w:r>
          </w:p>
          <w:p w14:paraId="40623DC5" w14:textId="366A1F7D" w:rsidR="00E5323B" w:rsidRPr="009E5536" w:rsidRDefault="009E5536" w:rsidP="009E5536">
            <w:pPr>
              <w:pStyle w:val="ListParagraph"/>
              <w:numPr>
                <w:ilvl w:val="0"/>
                <w:numId w:val="10"/>
              </w:numPr>
              <w:jc w:val="both"/>
              <w:rPr>
                <w:rFonts w:eastAsia="Times New Roman"/>
                <w:iCs/>
                <w:sz w:val="24"/>
                <w:szCs w:val="24"/>
                <w:lang w:eastAsia="lv-LV"/>
              </w:rPr>
            </w:pPr>
            <w:proofErr w:type="spellStart"/>
            <w:r w:rsidRPr="009E5536">
              <w:rPr>
                <w:rFonts w:eastAsia="Times New Roman"/>
                <w:iCs/>
                <w:sz w:val="24"/>
                <w:szCs w:val="24"/>
                <w:lang w:eastAsia="lv-LV"/>
              </w:rPr>
              <w:t>Komisijas</w:t>
            </w:r>
            <w:proofErr w:type="spellEnd"/>
            <w:r w:rsidRPr="009E5536">
              <w:rPr>
                <w:rFonts w:eastAsia="Times New Roman"/>
                <w:iCs/>
                <w:sz w:val="24"/>
                <w:szCs w:val="24"/>
                <w:lang w:eastAsia="lv-LV"/>
              </w:rPr>
              <w:t xml:space="preserve"> 2004. </w:t>
            </w:r>
            <w:proofErr w:type="spellStart"/>
            <w:r w:rsidRPr="009E5536">
              <w:rPr>
                <w:rFonts w:eastAsia="Times New Roman"/>
                <w:iCs/>
                <w:sz w:val="24"/>
                <w:szCs w:val="24"/>
                <w:lang w:eastAsia="lv-LV"/>
              </w:rPr>
              <w:t>gada</w:t>
            </w:r>
            <w:proofErr w:type="spellEnd"/>
            <w:r w:rsidRPr="009E5536">
              <w:rPr>
                <w:rFonts w:eastAsia="Times New Roman"/>
                <w:iCs/>
                <w:sz w:val="24"/>
                <w:szCs w:val="24"/>
                <w:lang w:eastAsia="lv-LV"/>
              </w:rPr>
              <w:t xml:space="preserve"> 21. </w:t>
            </w:r>
            <w:proofErr w:type="spellStart"/>
            <w:r w:rsidRPr="009E5536">
              <w:rPr>
                <w:rFonts w:eastAsia="Times New Roman"/>
                <w:iCs/>
                <w:sz w:val="24"/>
                <w:szCs w:val="24"/>
                <w:lang w:eastAsia="lv-LV"/>
              </w:rPr>
              <w:t>aprīļa</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Regulas</w:t>
            </w:r>
            <w:proofErr w:type="spellEnd"/>
            <w:r w:rsidRPr="009E5536">
              <w:rPr>
                <w:rFonts w:eastAsia="Times New Roman"/>
                <w:iCs/>
                <w:sz w:val="24"/>
                <w:szCs w:val="24"/>
                <w:lang w:eastAsia="lv-LV"/>
              </w:rPr>
              <w:t xml:space="preserve"> (EK) Nr. 794/2004, </w:t>
            </w:r>
            <w:proofErr w:type="spellStart"/>
            <w:r w:rsidRPr="009E5536">
              <w:rPr>
                <w:rFonts w:eastAsia="Times New Roman"/>
                <w:iCs/>
                <w:sz w:val="24"/>
                <w:szCs w:val="24"/>
                <w:lang w:eastAsia="lv-LV"/>
              </w:rPr>
              <w:t>ar</w:t>
            </w:r>
            <w:proofErr w:type="spellEnd"/>
            <w:r w:rsidRPr="009E5536">
              <w:rPr>
                <w:rFonts w:eastAsia="Times New Roman"/>
                <w:iCs/>
                <w:sz w:val="24"/>
                <w:szCs w:val="24"/>
                <w:lang w:eastAsia="lv-LV"/>
              </w:rPr>
              <w:t xml:space="preserve"> ko </w:t>
            </w:r>
            <w:proofErr w:type="spellStart"/>
            <w:r w:rsidRPr="009E5536">
              <w:rPr>
                <w:rFonts w:eastAsia="Times New Roman"/>
                <w:iCs/>
                <w:sz w:val="24"/>
                <w:szCs w:val="24"/>
                <w:lang w:eastAsia="lv-LV"/>
              </w:rPr>
              <w:t>īsteno</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Padomes</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Regulu</w:t>
            </w:r>
            <w:proofErr w:type="spellEnd"/>
            <w:r w:rsidRPr="009E5536">
              <w:rPr>
                <w:rFonts w:eastAsia="Times New Roman"/>
                <w:iCs/>
                <w:sz w:val="24"/>
                <w:szCs w:val="24"/>
                <w:lang w:eastAsia="lv-LV"/>
              </w:rPr>
              <w:t xml:space="preserve"> (ES) </w:t>
            </w:r>
            <w:hyperlink r:id="rId8" w:tgtFrame="_blank" w:history="1">
              <w:r w:rsidRPr="009E5536">
                <w:rPr>
                  <w:rFonts w:eastAsia="Times New Roman"/>
                  <w:iCs/>
                  <w:sz w:val="24"/>
                  <w:szCs w:val="24"/>
                  <w:lang w:eastAsia="lv-LV"/>
                </w:rPr>
                <w:t>2015/1589</w:t>
              </w:r>
            </w:hyperlink>
            <w:r w:rsidRPr="009E5536">
              <w:rPr>
                <w:rFonts w:eastAsia="Times New Roman"/>
                <w:iCs/>
                <w:sz w:val="24"/>
                <w:szCs w:val="24"/>
                <w:lang w:eastAsia="lv-LV"/>
              </w:rPr>
              <w:t xml:space="preserve">, </w:t>
            </w:r>
            <w:proofErr w:type="spellStart"/>
            <w:r w:rsidRPr="009E5536">
              <w:rPr>
                <w:rFonts w:eastAsia="Times New Roman"/>
                <w:iCs/>
                <w:sz w:val="24"/>
                <w:szCs w:val="24"/>
                <w:lang w:eastAsia="lv-LV"/>
              </w:rPr>
              <w:t>ar</w:t>
            </w:r>
            <w:proofErr w:type="spellEnd"/>
            <w:r w:rsidRPr="009E5536">
              <w:rPr>
                <w:rFonts w:eastAsia="Times New Roman"/>
                <w:iCs/>
                <w:sz w:val="24"/>
                <w:szCs w:val="24"/>
                <w:lang w:eastAsia="lv-LV"/>
              </w:rPr>
              <w:t xml:space="preserve"> ko </w:t>
            </w:r>
            <w:proofErr w:type="spellStart"/>
            <w:r w:rsidRPr="009E5536">
              <w:rPr>
                <w:rFonts w:eastAsia="Times New Roman"/>
                <w:iCs/>
                <w:sz w:val="24"/>
                <w:szCs w:val="24"/>
                <w:lang w:eastAsia="lv-LV"/>
              </w:rPr>
              <w:t>nosaka</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sīki</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izstrādātus</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noteikumus</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Līguma</w:t>
            </w:r>
            <w:proofErr w:type="spellEnd"/>
            <w:r w:rsidRPr="009E5536">
              <w:rPr>
                <w:rFonts w:eastAsia="Times New Roman"/>
                <w:iCs/>
                <w:sz w:val="24"/>
                <w:szCs w:val="24"/>
                <w:lang w:eastAsia="lv-LV"/>
              </w:rPr>
              <w:t xml:space="preserve"> par </w:t>
            </w:r>
            <w:proofErr w:type="spellStart"/>
            <w:r w:rsidRPr="009E5536">
              <w:rPr>
                <w:rFonts w:eastAsia="Times New Roman"/>
                <w:iCs/>
                <w:sz w:val="24"/>
                <w:szCs w:val="24"/>
                <w:lang w:eastAsia="lv-LV"/>
              </w:rPr>
              <w:t>Eiropas</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Savienības</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darbību</w:t>
            </w:r>
            <w:proofErr w:type="spellEnd"/>
            <w:r w:rsidRPr="009E5536">
              <w:rPr>
                <w:rFonts w:eastAsia="Times New Roman"/>
                <w:iCs/>
                <w:sz w:val="24"/>
                <w:szCs w:val="24"/>
                <w:lang w:eastAsia="lv-LV"/>
              </w:rPr>
              <w:t> </w:t>
            </w:r>
            <w:hyperlink r:id="rId9" w:anchor="p108" w:history="1">
              <w:r w:rsidRPr="009E5536">
                <w:rPr>
                  <w:rFonts w:eastAsia="Times New Roman"/>
                  <w:iCs/>
                  <w:sz w:val="24"/>
                  <w:szCs w:val="24"/>
                  <w:lang w:eastAsia="lv-LV"/>
                </w:rPr>
                <w:t>108.</w:t>
              </w:r>
            </w:hyperlink>
            <w:r w:rsidRPr="009E5536">
              <w:rPr>
                <w:rFonts w:eastAsia="Times New Roman"/>
                <w:iCs/>
                <w:sz w:val="24"/>
                <w:szCs w:val="24"/>
                <w:lang w:eastAsia="lv-LV"/>
              </w:rPr>
              <w:t> </w:t>
            </w:r>
            <w:proofErr w:type="spellStart"/>
            <w:r w:rsidRPr="009E5536">
              <w:rPr>
                <w:rFonts w:eastAsia="Times New Roman"/>
                <w:iCs/>
                <w:sz w:val="24"/>
                <w:szCs w:val="24"/>
                <w:lang w:eastAsia="lv-LV"/>
              </w:rPr>
              <w:t>panta</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piemērošanai</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turpmāk</w:t>
            </w:r>
            <w:proofErr w:type="spellEnd"/>
            <w:r w:rsidRPr="009E5536">
              <w:rPr>
                <w:rFonts w:eastAsia="Times New Roman"/>
                <w:iCs/>
                <w:sz w:val="24"/>
                <w:szCs w:val="24"/>
                <w:lang w:eastAsia="lv-LV"/>
              </w:rPr>
              <w:t xml:space="preserve"> – </w:t>
            </w:r>
            <w:proofErr w:type="spellStart"/>
            <w:r w:rsidRPr="009E5536">
              <w:rPr>
                <w:rFonts w:eastAsia="Times New Roman"/>
                <w:iCs/>
                <w:sz w:val="24"/>
                <w:szCs w:val="24"/>
                <w:lang w:eastAsia="lv-LV"/>
              </w:rPr>
              <w:t>Komisijas</w:t>
            </w:r>
            <w:proofErr w:type="spellEnd"/>
            <w:r w:rsidRPr="009E5536">
              <w:rPr>
                <w:rFonts w:eastAsia="Times New Roman"/>
                <w:iCs/>
                <w:sz w:val="24"/>
                <w:szCs w:val="24"/>
                <w:lang w:eastAsia="lv-LV"/>
              </w:rPr>
              <w:t xml:space="preserve"> </w:t>
            </w:r>
            <w:proofErr w:type="spellStart"/>
            <w:r w:rsidRPr="009E5536">
              <w:rPr>
                <w:rFonts w:eastAsia="Times New Roman"/>
                <w:iCs/>
                <w:sz w:val="24"/>
                <w:szCs w:val="24"/>
                <w:lang w:eastAsia="lv-LV"/>
              </w:rPr>
              <w:t>regula</w:t>
            </w:r>
            <w:proofErr w:type="spellEnd"/>
            <w:r w:rsidRPr="009E5536">
              <w:rPr>
                <w:rFonts w:eastAsia="Times New Roman"/>
                <w:iCs/>
                <w:sz w:val="24"/>
                <w:szCs w:val="24"/>
                <w:lang w:eastAsia="lv-LV"/>
              </w:rPr>
              <w:t xml:space="preserve"> Nr.794/2004)</w:t>
            </w:r>
          </w:p>
        </w:tc>
      </w:tr>
      <w:tr w:rsidR="00BF2E10" w:rsidRPr="008C5A53" w14:paraId="35B2C7AB" w14:textId="77777777" w:rsidTr="00801009">
        <w:trPr>
          <w:gridBefore w:val="1"/>
          <w:gridAfter w:val="1"/>
          <w:wBefore w:w="39" w:type="dxa"/>
          <w:wAfter w:w="298" w:type="dxa"/>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57DA7114"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lastRenderedPageBreak/>
              <w:t>2.</w:t>
            </w:r>
          </w:p>
        </w:tc>
        <w:tc>
          <w:tcPr>
            <w:tcW w:w="2939" w:type="dxa"/>
            <w:gridSpan w:val="3"/>
            <w:tcBorders>
              <w:top w:val="outset" w:sz="6" w:space="0" w:color="auto"/>
              <w:left w:val="outset" w:sz="6" w:space="0" w:color="auto"/>
              <w:bottom w:val="outset" w:sz="6" w:space="0" w:color="auto"/>
              <w:right w:val="outset" w:sz="6" w:space="0" w:color="auto"/>
            </w:tcBorders>
            <w:hideMark/>
          </w:tcPr>
          <w:p w14:paraId="7230E2F4"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Citas starptautiskās saistības</w:t>
            </w:r>
          </w:p>
        </w:tc>
        <w:tc>
          <w:tcPr>
            <w:tcW w:w="5247" w:type="dxa"/>
            <w:gridSpan w:val="4"/>
            <w:tcBorders>
              <w:top w:val="outset" w:sz="6" w:space="0" w:color="auto"/>
              <w:left w:val="outset" w:sz="6" w:space="0" w:color="auto"/>
              <w:bottom w:val="outset" w:sz="6" w:space="0" w:color="auto"/>
              <w:right w:val="outset" w:sz="6" w:space="0" w:color="auto"/>
            </w:tcBorders>
            <w:hideMark/>
          </w:tcPr>
          <w:p w14:paraId="587FB0E9" w14:textId="6B507B8E" w:rsidR="00E5323B" w:rsidRPr="008C5A53" w:rsidRDefault="005D437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D64EB3" w:rsidRPr="008C5A53">
              <w:rPr>
                <w:rFonts w:ascii="Times New Roman" w:eastAsia="Times New Roman" w:hAnsi="Times New Roman" w:cs="Times New Roman"/>
                <w:iCs/>
                <w:sz w:val="24"/>
                <w:szCs w:val="24"/>
                <w:lang w:eastAsia="lv-LV"/>
              </w:rPr>
              <w:t>rojekts šo jomu neskar.</w:t>
            </w:r>
          </w:p>
        </w:tc>
      </w:tr>
      <w:tr w:rsidR="00BF2E10" w:rsidRPr="008C5A53" w14:paraId="6C2EEA65" w14:textId="77777777" w:rsidTr="00801009">
        <w:trPr>
          <w:gridBefore w:val="1"/>
          <w:gridAfter w:val="1"/>
          <w:wBefore w:w="39" w:type="dxa"/>
          <w:wAfter w:w="298" w:type="dxa"/>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26A2A99D"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3.</w:t>
            </w:r>
          </w:p>
        </w:tc>
        <w:tc>
          <w:tcPr>
            <w:tcW w:w="2939" w:type="dxa"/>
            <w:gridSpan w:val="3"/>
            <w:tcBorders>
              <w:top w:val="outset" w:sz="6" w:space="0" w:color="auto"/>
              <w:left w:val="outset" w:sz="6" w:space="0" w:color="auto"/>
              <w:bottom w:val="outset" w:sz="6" w:space="0" w:color="auto"/>
              <w:right w:val="outset" w:sz="6" w:space="0" w:color="auto"/>
            </w:tcBorders>
            <w:hideMark/>
          </w:tcPr>
          <w:p w14:paraId="4951B23E"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Cita informācija</w:t>
            </w:r>
          </w:p>
        </w:tc>
        <w:tc>
          <w:tcPr>
            <w:tcW w:w="5247" w:type="dxa"/>
            <w:gridSpan w:val="4"/>
            <w:tcBorders>
              <w:top w:val="outset" w:sz="6" w:space="0" w:color="auto"/>
              <w:left w:val="outset" w:sz="6" w:space="0" w:color="auto"/>
              <w:bottom w:val="outset" w:sz="6" w:space="0" w:color="auto"/>
              <w:right w:val="outset" w:sz="6" w:space="0" w:color="auto"/>
            </w:tcBorders>
            <w:hideMark/>
          </w:tcPr>
          <w:p w14:paraId="5E2FD5EE" w14:textId="7F74D0E3" w:rsidR="00E5323B" w:rsidRPr="008C5A53" w:rsidRDefault="00DE3187" w:rsidP="00D1483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w:t>
            </w:r>
            <w:r w:rsidR="00D1483B" w:rsidRPr="00D1483B">
              <w:rPr>
                <w:rFonts w:ascii="Times New Roman" w:eastAsia="Times New Roman" w:hAnsi="Times New Roman" w:cs="Times New Roman"/>
                <w:iCs/>
                <w:sz w:val="24"/>
                <w:szCs w:val="24"/>
                <w:lang w:eastAsia="lv-LV"/>
              </w:rPr>
              <w:t>Noteikumu projekts paredz ieviest nosacījumus atbilstoši Pagaidu regulējum</w:t>
            </w:r>
            <w:r>
              <w:rPr>
                <w:rFonts w:ascii="Times New Roman" w:eastAsia="Times New Roman" w:hAnsi="Times New Roman" w:cs="Times New Roman"/>
                <w:iCs/>
                <w:sz w:val="24"/>
                <w:szCs w:val="24"/>
                <w:lang w:eastAsia="lv-LV"/>
              </w:rPr>
              <w:t>am.</w:t>
            </w:r>
          </w:p>
        </w:tc>
      </w:tr>
      <w:tr w:rsidR="00F23458" w:rsidRPr="008C5A53" w14:paraId="69BD6190" w14:textId="77777777" w:rsidTr="006833F3">
        <w:trPr>
          <w:tblCellSpacing w:w="15" w:type="dxa"/>
        </w:trPr>
        <w:tc>
          <w:tcPr>
            <w:tcW w:w="9162" w:type="dxa"/>
            <w:gridSpan w:val="10"/>
            <w:tcBorders>
              <w:top w:val="outset" w:sz="6" w:space="0" w:color="auto"/>
              <w:left w:val="outset" w:sz="6" w:space="0" w:color="auto"/>
              <w:bottom w:val="outset" w:sz="6" w:space="0" w:color="auto"/>
              <w:right w:val="outset" w:sz="6" w:space="0" w:color="auto"/>
            </w:tcBorders>
            <w:vAlign w:val="center"/>
            <w:hideMark/>
          </w:tcPr>
          <w:p w14:paraId="30633A39" w14:textId="77777777" w:rsidR="00F23458" w:rsidRPr="008C5A53" w:rsidRDefault="00F23458" w:rsidP="003A2A4F">
            <w:pPr>
              <w:spacing w:after="0" w:line="240" w:lineRule="auto"/>
              <w:jc w:val="center"/>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1. tabula</w:t>
            </w:r>
            <w:r w:rsidRPr="008C5A53">
              <w:rPr>
                <w:rFonts w:ascii="Times New Roman" w:eastAsia="Times New Roman" w:hAnsi="Times New Roman" w:cs="Times New Roman"/>
                <w:b/>
                <w:bCs/>
                <w:iCs/>
                <w:sz w:val="24"/>
                <w:szCs w:val="24"/>
                <w:lang w:eastAsia="lv-LV"/>
              </w:rPr>
              <w:br/>
              <w:t>Tiesību akta projekta atbilstība ES tiesību aktiem</w:t>
            </w:r>
          </w:p>
        </w:tc>
      </w:tr>
      <w:tr w:rsidR="00F23458" w:rsidRPr="008C5A53" w14:paraId="156A3390"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hideMark/>
          </w:tcPr>
          <w:p w14:paraId="2154CEBF" w14:textId="77777777" w:rsidR="00F23458" w:rsidRPr="008C5A53" w:rsidRDefault="00F23458"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Attiecīgā ES tiesību akta datums, numurs un nosaukums</w:t>
            </w:r>
          </w:p>
        </w:tc>
        <w:tc>
          <w:tcPr>
            <w:tcW w:w="6832" w:type="dxa"/>
            <w:gridSpan w:val="7"/>
            <w:tcBorders>
              <w:top w:val="outset" w:sz="6" w:space="0" w:color="auto"/>
              <w:left w:val="outset" w:sz="6" w:space="0" w:color="auto"/>
              <w:bottom w:val="outset" w:sz="6" w:space="0" w:color="auto"/>
              <w:right w:val="outset" w:sz="6" w:space="0" w:color="auto"/>
            </w:tcBorders>
            <w:hideMark/>
          </w:tcPr>
          <w:p w14:paraId="3F825480" w14:textId="45175DB6" w:rsidR="003A2A4F" w:rsidRPr="008C5A53" w:rsidRDefault="003A2A4F" w:rsidP="003A2A4F">
            <w:pPr>
              <w:pStyle w:val="naiskr"/>
              <w:spacing w:before="0" w:after="0"/>
              <w:jc w:val="both"/>
            </w:pPr>
            <w:r w:rsidRPr="008C5A53">
              <w:t>Ar MK Noteikumu projektu tiek ieviestas šādas Eiropas Savienības tiesību aktu prasības:</w:t>
            </w:r>
          </w:p>
          <w:p w14:paraId="0BDB4972" w14:textId="77777777" w:rsidR="00801009" w:rsidRDefault="00801009" w:rsidP="00801009">
            <w:pPr>
              <w:pStyle w:val="naiskr"/>
              <w:numPr>
                <w:ilvl w:val="0"/>
                <w:numId w:val="11"/>
              </w:numPr>
              <w:spacing w:before="0" w:after="0"/>
              <w:jc w:val="both"/>
              <w:rPr>
                <w:i/>
                <w:iCs/>
                <w:lang w:val="en-AU"/>
              </w:rPr>
            </w:pPr>
            <w:proofErr w:type="spellStart"/>
            <w:r w:rsidRPr="004D4C11">
              <w:rPr>
                <w:i/>
                <w:iCs/>
                <w:lang w:val="en-AU"/>
              </w:rPr>
              <w:t>Komisijas</w:t>
            </w:r>
            <w:proofErr w:type="spellEnd"/>
            <w:r w:rsidRPr="004D4C11">
              <w:rPr>
                <w:i/>
                <w:iCs/>
                <w:lang w:val="en-AU"/>
              </w:rPr>
              <w:t xml:space="preserve"> </w:t>
            </w:r>
            <w:proofErr w:type="spellStart"/>
            <w:r w:rsidRPr="00685470">
              <w:rPr>
                <w:i/>
                <w:iCs/>
                <w:lang w:val="en-AU"/>
              </w:rPr>
              <w:t>regula</w:t>
            </w:r>
            <w:proofErr w:type="spellEnd"/>
            <w:r w:rsidRPr="00685470">
              <w:rPr>
                <w:i/>
                <w:iCs/>
                <w:lang w:val="en-AU"/>
              </w:rPr>
              <w:t xml:space="preserve"> Nr.651/</w:t>
            </w:r>
            <w:r w:rsidRPr="005D789A">
              <w:rPr>
                <w:i/>
                <w:iCs/>
                <w:lang w:val="en-AU"/>
              </w:rPr>
              <w:t>2014</w:t>
            </w:r>
          </w:p>
          <w:p w14:paraId="769D4891" w14:textId="77777777" w:rsidR="00801009" w:rsidRPr="00A22D0E" w:rsidRDefault="00801009" w:rsidP="00801009">
            <w:pPr>
              <w:pStyle w:val="naiskr"/>
              <w:numPr>
                <w:ilvl w:val="0"/>
                <w:numId w:val="11"/>
              </w:numPr>
              <w:spacing w:before="0" w:after="0"/>
              <w:jc w:val="both"/>
              <w:rPr>
                <w:i/>
                <w:iCs/>
                <w:lang w:val="en-AU"/>
              </w:rPr>
            </w:pPr>
            <w:proofErr w:type="spellStart"/>
            <w:r w:rsidRPr="00E646F6">
              <w:rPr>
                <w:i/>
                <w:iCs/>
                <w:lang w:val="en-AU"/>
              </w:rPr>
              <w:t>Komisijas</w:t>
            </w:r>
            <w:proofErr w:type="spellEnd"/>
            <w:r w:rsidRPr="00E646F6">
              <w:rPr>
                <w:i/>
                <w:iCs/>
                <w:lang w:val="en-AU"/>
              </w:rPr>
              <w:t xml:space="preserve"> </w:t>
            </w:r>
            <w:proofErr w:type="spellStart"/>
            <w:r w:rsidRPr="00E646F6">
              <w:rPr>
                <w:i/>
                <w:iCs/>
                <w:lang w:val="en-AU"/>
              </w:rPr>
              <w:t>regula</w:t>
            </w:r>
            <w:proofErr w:type="spellEnd"/>
            <w:r w:rsidRPr="00E646F6">
              <w:rPr>
                <w:i/>
                <w:iCs/>
                <w:lang w:val="en-AU"/>
              </w:rPr>
              <w:t xml:space="preserve"> Nr.794/2004</w:t>
            </w:r>
          </w:p>
          <w:p w14:paraId="4D8C2B69" w14:textId="687C83DB" w:rsidR="00F23458" w:rsidRPr="008C5A53" w:rsidRDefault="00F23458" w:rsidP="00E96A49">
            <w:pPr>
              <w:spacing w:after="0" w:line="240" w:lineRule="auto"/>
              <w:rPr>
                <w:rFonts w:ascii="Times New Roman" w:eastAsia="Times New Roman" w:hAnsi="Times New Roman" w:cs="Times New Roman"/>
                <w:iCs/>
                <w:sz w:val="24"/>
                <w:szCs w:val="24"/>
                <w:lang w:eastAsia="lv-LV"/>
              </w:rPr>
            </w:pPr>
          </w:p>
        </w:tc>
      </w:tr>
      <w:tr w:rsidR="00F23458" w:rsidRPr="008C5A53" w14:paraId="4F491B14"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vAlign w:val="center"/>
            <w:hideMark/>
          </w:tcPr>
          <w:p w14:paraId="2648DBAE" w14:textId="77777777" w:rsidR="00F23458" w:rsidRPr="008C5A53" w:rsidRDefault="00F23458"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A</w:t>
            </w:r>
          </w:p>
        </w:tc>
        <w:tc>
          <w:tcPr>
            <w:tcW w:w="2267" w:type="dxa"/>
            <w:gridSpan w:val="3"/>
            <w:tcBorders>
              <w:top w:val="outset" w:sz="6" w:space="0" w:color="auto"/>
              <w:left w:val="outset" w:sz="6" w:space="0" w:color="auto"/>
              <w:bottom w:val="outset" w:sz="6" w:space="0" w:color="auto"/>
              <w:right w:val="outset" w:sz="6" w:space="0" w:color="auto"/>
            </w:tcBorders>
            <w:vAlign w:val="center"/>
            <w:hideMark/>
          </w:tcPr>
          <w:p w14:paraId="542056CF" w14:textId="77777777" w:rsidR="00F23458" w:rsidRPr="008C5A53" w:rsidRDefault="00F23458"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B</w:t>
            </w:r>
          </w:p>
        </w:tc>
        <w:tc>
          <w:tcPr>
            <w:tcW w:w="2182" w:type="dxa"/>
            <w:tcBorders>
              <w:top w:val="outset" w:sz="6" w:space="0" w:color="auto"/>
              <w:left w:val="outset" w:sz="6" w:space="0" w:color="auto"/>
              <w:bottom w:val="outset" w:sz="6" w:space="0" w:color="auto"/>
              <w:right w:val="outset" w:sz="6" w:space="0" w:color="auto"/>
            </w:tcBorders>
            <w:vAlign w:val="center"/>
            <w:hideMark/>
          </w:tcPr>
          <w:p w14:paraId="77AF30AB" w14:textId="77777777" w:rsidR="00F23458" w:rsidRPr="008C5A53" w:rsidRDefault="00F23458"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w:t>
            </w:r>
          </w:p>
        </w:tc>
        <w:tc>
          <w:tcPr>
            <w:tcW w:w="2323" w:type="dxa"/>
            <w:gridSpan w:val="3"/>
            <w:tcBorders>
              <w:top w:val="outset" w:sz="6" w:space="0" w:color="auto"/>
              <w:left w:val="outset" w:sz="6" w:space="0" w:color="auto"/>
              <w:bottom w:val="outset" w:sz="6" w:space="0" w:color="auto"/>
              <w:right w:val="outset" w:sz="6" w:space="0" w:color="auto"/>
            </w:tcBorders>
            <w:vAlign w:val="center"/>
            <w:hideMark/>
          </w:tcPr>
          <w:p w14:paraId="16EAF86D" w14:textId="77777777" w:rsidR="00F23458" w:rsidRPr="008C5A53" w:rsidRDefault="00F23458"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D</w:t>
            </w:r>
          </w:p>
        </w:tc>
      </w:tr>
      <w:tr w:rsidR="00801009" w:rsidRPr="008C5A53" w14:paraId="264E9F15"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hideMark/>
          </w:tcPr>
          <w:p w14:paraId="1B91F22E" w14:textId="77777777" w:rsidR="00801009" w:rsidRPr="00801009" w:rsidRDefault="00801009" w:rsidP="00801009">
            <w:pPr>
              <w:rPr>
                <w:rFonts w:ascii="Times New Roman" w:eastAsia="Times New Roman" w:hAnsi="Times New Roman" w:cs="Times New Roman"/>
                <w:iCs/>
                <w:sz w:val="24"/>
                <w:szCs w:val="24"/>
                <w:lang w:eastAsia="lv-LV"/>
              </w:rPr>
            </w:pPr>
            <w:r w:rsidRPr="00801009">
              <w:rPr>
                <w:rFonts w:ascii="Times New Roman" w:eastAsia="Times New Roman" w:hAnsi="Times New Roman" w:cs="Times New Roman"/>
                <w:iCs/>
                <w:sz w:val="24"/>
                <w:szCs w:val="24"/>
                <w:lang w:eastAsia="lv-LV"/>
              </w:rPr>
              <w:t>Komisijas regulas Nr.794/2004 10.un 11.pants</w:t>
            </w:r>
          </w:p>
          <w:p w14:paraId="42A0B1EC" w14:textId="3A3EF035" w:rsidR="00801009" w:rsidRPr="008C5A53" w:rsidRDefault="00801009" w:rsidP="00801009">
            <w:pPr>
              <w:spacing w:after="0" w:line="240" w:lineRule="auto"/>
              <w:rPr>
                <w:rFonts w:ascii="Times New Roman" w:eastAsia="Times New Roman" w:hAnsi="Times New Roman" w:cs="Times New Roman"/>
                <w:iCs/>
                <w:sz w:val="24"/>
                <w:szCs w:val="24"/>
                <w:lang w:eastAsia="lv-LV"/>
              </w:rPr>
            </w:pPr>
          </w:p>
        </w:tc>
        <w:tc>
          <w:tcPr>
            <w:tcW w:w="2267" w:type="dxa"/>
            <w:gridSpan w:val="3"/>
            <w:tcBorders>
              <w:top w:val="outset" w:sz="6" w:space="0" w:color="auto"/>
              <w:left w:val="outset" w:sz="6" w:space="0" w:color="auto"/>
              <w:bottom w:val="outset" w:sz="6" w:space="0" w:color="auto"/>
              <w:right w:val="outset" w:sz="6" w:space="0" w:color="auto"/>
            </w:tcBorders>
            <w:hideMark/>
          </w:tcPr>
          <w:p w14:paraId="29D6748A" w14:textId="4E0031BA"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MK noteikumu projekta</w:t>
            </w:r>
            <w:r>
              <w:rPr>
                <w:rFonts w:ascii="Times New Roman" w:eastAsia="Times New Roman" w:hAnsi="Times New Roman" w:cs="Times New Roman"/>
                <w:iCs/>
                <w:sz w:val="24"/>
                <w:szCs w:val="24"/>
                <w:lang w:eastAsia="lv-LV"/>
              </w:rPr>
              <w:t xml:space="preserve"> 1.7.punkts</w:t>
            </w:r>
          </w:p>
        </w:tc>
        <w:tc>
          <w:tcPr>
            <w:tcW w:w="2182" w:type="dxa"/>
            <w:tcBorders>
              <w:top w:val="outset" w:sz="6" w:space="0" w:color="auto"/>
              <w:left w:val="outset" w:sz="6" w:space="0" w:color="auto"/>
              <w:bottom w:val="outset" w:sz="6" w:space="0" w:color="auto"/>
              <w:right w:val="outset" w:sz="6" w:space="0" w:color="auto"/>
            </w:tcBorders>
            <w:hideMark/>
          </w:tcPr>
          <w:p w14:paraId="2341A8C1" w14:textId="78C4D861"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sidRPr="00801009">
              <w:rPr>
                <w:rFonts w:ascii="Times New Roman" w:eastAsia="Times New Roman" w:hAnsi="Times New Roman" w:cs="Times New Roman"/>
                <w:iCs/>
                <w:sz w:val="24"/>
                <w:szCs w:val="24"/>
                <w:lang w:eastAsia="lv-LV"/>
              </w:rPr>
              <w:t>Ieviests pilnībā</w:t>
            </w:r>
          </w:p>
        </w:tc>
        <w:tc>
          <w:tcPr>
            <w:tcW w:w="2323" w:type="dxa"/>
            <w:gridSpan w:val="3"/>
            <w:tcBorders>
              <w:top w:val="outset" w:sz="6" w:space="0" w:color="auto"/>
              <w:left w:val="outset" w:sz="6" w:space="0" w:color="auto"/>
              <w:bottom w:val="outset" w:sz="6" w:space="0" w:color="auto"/>
              <w:right w:val="outset" w:sz="6" w:space="0" w:color="auto"/>
            </w:tcBorders>
            <w:hideMark/>
          </w:tcPr>
          <w:p w14:paraId="28F3A6B1" w14:textId="55EABB48"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sidRPr="00801009">
              <w:rPr>
                <w:rFonts w:ascii="Times New Roman" w:eastAsia="Times New Roman" w:hAnsi="Times New Roman" w:cs="Times New Roman"/>
                <w:iCs/>
                <w:sz w:val="24"/>
                <w:szCs w:val="24"/>
                <w:lang w:eastAsia="lv-LV"/>
              </w:rPr>
              <w:t>Neparedz stingrākas prasības</w:t>
            </w:r>
          </w:p>
        </w:tc>
      </w:tr>
      <w:tr w:rsidR="00801009" w:rsidRPr="008C5A53" w14:paraId="2E8F854A"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tcPr>
          <w:p w14:paraId="0E15DBC0" w14:textId="52F924A6" w:rsidR="00801009" w:rsidRDefault="00801009" w:rsidP="00801009">
            <w:pPr>
              <w:spacing w:after="0" w:line="240" w:lineRule="auto"/>
              <w:rPr>
                <w:rFonts w:ascii="Times New Roman" w:eastAsia="Times New Roman" w:hAnsi="Times New Roman" w:cs="Times New Roman"/>
                <w:iCs/>
                <w:sz w:val="24"/>
                <w:szCs w:val="24"/>
                <w:lang w:eastAsia="lv-LV"/>
              </w:rPr>
            </w:pPr>
            <w:r w:rsidRPr="00801009">
              <w:rPr>
                <w:rFonts w:ascii="Times New Roman" w:eastAsia="Times New Roman" w:hAnsi="Times New Roman" w:cs="Times New Roman"/>
                <w:iCs/>
                <w:sz w:val="24"/>
                <w:szCs w:val="24"/>
                <w:lang w:eastAsia="lv-LV"/>
              </w:rPr>
              <w:t>Komisijas regulas Nr.651/2014 2.panta 18.punkts</w:t>
            </w:r>
          </w:p>
        </w:tc>
        <w:tc>
          <w:tcPr>
            <w:tcW w:w="2267" w:type="dxa"/>
            <w:gridSpan w:val="3"/>
            <w:tcBorders>
              <w:top w:val="outset" w:sz="6" w:space="0" w:color="auto"/>
              <w:left w:val="outset" w:sz="6" w:space="0" w:color="auto"/>
              <w:bottom w:val="outset" w:sz="6" w:space="0" w:color="auto"/>
              <w:right w:val="outset" w:sz="6" w:space="0" w:color="auto"/>
            </w:tcBorders>
          </w:tcPr>
          <w:p w14:paraId="779C2020" w14:textId="396E93A6"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MK noteikumu projekta</w:t>
            </w:r>
            <w:r>
              <w:rPr>
                <w:rFonts w:ascii="Times New Roman" w:eastAsia="Times New Roman" w:hAnsi="Times New Roman" w:cs="Times New Roman"/>
                <w:iCs/>
                <w:sz w:val="24"/>
                <w:szCs w:val="24"/>
                <w:lang w:eastAsia="lv-LV"/>
              </w:rPr>
              <w:t xml:space="preserve"> 1.4. un 1.5.punkts</w:t>
            </w:r>
          </w:p>
        </w:tc>
        <w:tc>
          <w:tcPr>
            <w:tcW w:w="2182" w:type="dxa"/>
            <w:tcBorders>
              <w:top w:val="outset" w:sz="6" w:space="0" w:color="auto"/>
              <w:left w:val="outset" w:sz="6" w:space="0" w:color="auto"/>
              <w:bottom w:val="outset" w:sz="6" w:space="0" w:color="auto"/>
              <w:right w:val="outset" w:sz="6" w:space="0" w:color="auto"/>
            </w:tcBorders>
          </w:tcPr>
          <w:p w14:paraId="3B89617D" w14:textId="3D86874B" w:rsidR="00801009" w:rsidRDefault="00801009" w:rsidP="00801009">
            <w:pPr>
              <w:spacing w:after="0" w:line="240" w:lineRule="auto"/>
              <w:rPr>
                <w:rFonts w:ascii="Times New Roman" w:eastAsia="Times New Roman" w:hAnsi="Times New Roman" w:cs="Times New Roman"/>
                <w:iCs/>
                <w:sz w:val="24"/>
                <w:szCs w:val="24"/>
                <w:lang w:eastAsia="lv-LV"/>
              </w:rPr>
            </w:pPr>
            <w:r w:rsidRPr="00801009">
              <w:rPr>
                <w:rFonts w:ascii="Times New Roman" w:eastAsia="Times New Roman" w:hAnsi="Times New Roman" w:cs="Times New Roman"/>
                <w:iCs/>
                <w:sz w:val="24"/>
                <w:szCs w:val="24"/>
                <w:lang w:eastAsia="lv-LV"/>
              </w:rPr>
              <w:t>Ieviests pilnībā</w:t>
            </w:r>
          </w:p>
        </w:tc>
        <w:tc>
          <w:tcPr>
            <w:tcW w:w="2323" w:type="dxa"/>
            <w:gridSpan w:val="3"/>
            <w:tcBorders>
              <w:top w:val="outset" w:sz="6" w:space="0" w:color="auto"/>
              <w:left w:val="outset" w:sz="6" w:space="0" w:color="auto"/>
              <w:bottom w:val="outset" w:sz="6" w:space="0" w:color="auto"/>
              <w:right w:val="outset" w:sz="6" w:space="0" w:color="auto"/>
            </w:tcBorders>
          </w:tcPr>
          <w:p w14:paraId="206DC79D" w14:textId="61A79F17"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sidRPr="00801009">
              <w:rPr>
                <w:rFonts w:ascii="Times New Roman" w:eastAsia="Times New Roman" w:hAnsi="Times New Roman" w:cs="Times New Roman"/>
                <w:iCs/>
                <w:sz w:val="24"/>
                <w:szCs w:val="24"/>
                <w:lang w:eastAsia="lv-LV"/>
              </w:rPr>
              <w:t>Neparedz stingrākas prasības</w:t>
            </w:r>
          </w:p>
        </w:tc>
      </w:tr>
      <w:tr w:rsidR="00801009" w:rsidRPr="008C5A53" w14:paraId="29E187A4"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tcPr>
          <w:p w14:paraId="2EEF5C34" w14:textId="07BDBDF5" w:rsidR="00801009" w:rsidRDefault="00801009" w:rsidP="0080100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Pagaidu regulējuma </w:t>
            </w:r>
            <w:r w:rsidRPr="00801009">
              <w:rPr>
                <w:rFonts w:ascii="Times New Roman" w:eastAsia="Times New Roman" w:hAnsi="Times New Roman" w:cs="Times New Roman"/>
                <w:iCs/>
                <w:sz w:val="24"/>
                <w:szCs w:val="24"/>
                <w:lang w:eastAsia="lv-LV"/>
              </w:rPr>
              <w:t>27.c punkts</w:t>
            </w:r>
          </w:p>
        </w:tc>
        <w:tc>
          <w:tcPr>
            <w:tcW w:w="2267" w:type="dxa"/>
            <w:gridSpan w:val="3"/>
            <w:tcBorders>
              <w:top w:val="outset" w:sz="6" w:space="0" w:color="auto"/>
              <w:left w:val="outset" w:sz="6" w:space="0" w:color="auto"/>
              <w:bottom w:val="outset" w:sz="6" w:space="0" w:color="auto"/>
              <w:right w:val="outset" w:sz="6" w:space="0" w:color="auto"/>
            </w:tcBorders>
          </w:tcPr>
          <w:p w14:paraId="2FB10AF6" w14:textId="71811BB3"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MK noteikumu projekta </w:t>
            </w:r>
            <w:r>
              <w:rPr>
                <w:rFonts w:ascii="Times New Roman" w:eastAsia="Times New Roman" w:hAnsi="Times New Roman" w:cs="Times New Roman"/>
                <w:iCs/>
                <w:sz w:val="24"/>
                <w:szCs w:val="24"/>
                <w:lang w:eastAsia="lv-LV"/>
              </w:rPr>
              <w:t>1</w:t>
            </w:r>
            <w:r w:rsidR="00D45BAA">
              <w:rPr>
                <w:rFonts w:ascii="Times New Roman" w:eastAsia="Times New Roman" w:hAnsi="Times New Roman" w:cs="Times New Roman"/>
                <w:iCs/>
                <w:sz w:val="24"/>
                <w:szCs w:val="24"/>
                <w:lang w:eastAsia="lv-LV"/>
              </w:rPr>
              <w:t>.9</w:t>
            </w:r>
            <w:r w:rsidRPr="008C5A53">
              <w:rPr>
                <w:rFonts w:ascii="Times New Roman" w:eastAsia="Times New Roman" w:hAnsi="Times New Roman" w:cs="Times New Roman"/>
                <w:iCs/>
                <w:sz w:val="24"/>
                <w:szCs w:val="24"/>
                <w:lang w:eastAsia="lv-LV"/>
              </w:rPr>
              <w:t>.punkts</w:t>
            </w:r>
          </w:p>
        </w:tc>
        <w:tc>
          <w:tcPr>
            <w:tcW w:w="2182" w:type="dxa"/>
            <w:tcBorders>
              <w:top w:val="outset" w:sz="6" w:space="0" w:color="auto"/>
              <w:left w:val="outset" w:sz="6" w:space="0" w:color="auto"/>
              <w:bottom w:val="outset" w:sz="6" w:space="0" w:color="auto"/>
              <w:right w:val="outset" w:sz="6" w:space="0" w:color="auto"/>
            </w:tcBorders>
          </w:tcPr>
          <w:p w14:paraId="35FE5191" w14:textId="7C6BA660"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w:t>
            </w:r>
          </w:p>
        </w:tc>
        <w:tc>
          <w:tcPr>
            <w:tcW w:w="2323" w:type="dxa"/>
            <w:gridSpan w:val="3"/>
            <w:tcBorders>
              <w:top w:val="outset" w:sz="6" w:space="0" w:color="auto"/>
              <w:left w:val="outset" w:sz="6" w:space="0" w:color="auto"/>
              <w:bottom w:val="outset" w:sz="6" w:space="0" w:color="auto"/>
              <w:right w:val="outset" w:sz="6" w:space="0" w:color="auto"/>
            </w:tcBorders>
          </w:tcPr>
          <w:p w14:paraId="788BE51D" w14:textId="2277D57F"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Neparedz stingrākas prasības</w:t>
            </w:r>
          </w:p>
        </w:tc>
      </w:tr>
      <w:tr w:rsidR="00801009" w:rsidRPr="008C5A53" w14:paraId="2DB4BDEA"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tcPr>
          <w:p w14:paraId="5B955EC1" w14:textId="332656E1" w:rsidR="00801009" w:rsidRPr="00801009" w:rsidRDefault="00801009" w:rsidP="0080100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Pagaidu regulējuma </w:t>
            </w:r>
            <w:r w:rsidRPr="00801009">
              <w:rPr>
                <w:rFonts w:ascii="Times New Roman" w:eastAsia="Times New Roman" w:hAnsi="Times New Roman" w:cs="Times New Roman"/>
                <w:iCs/>
                <w:sz w:val="24"/>
                <w:szCs w:val="24"/>
                <w:lang w:eastAsia="lv-LV"/>
              </w:rPr>
              <w:t>89. un 90.punktu</w:t>
            </w:r>
            <w:r w:rsidDel="00D02EB9">
              <w:rPr>
                <w:rFonts w:ascii="Times New Roman" w:eastAsia="Times New Roman" w:hAnsi="Times New Roman" w:cs="Times New Roman"/>
                <w:iCs/>
                <w:sz w:val="24"/>
                <w:szCs w:val="24"/>
                <w:lang w:eastAsia="lv-LV"/>
              </w:rPr>
              <w:t xml:space="preserve"> </w:t>
            </w:r>
          </w:p>
        </w:tc>
        <w:tc>
          <w:tcPr>
            <w:tcW w:w="2267" w:type="dxa"/>
            <w:gridSpan w:val="3"/>
            <w:tcBorders>
              <w:top w:val="outset" w:sz="6" w:space="0" w:color="auto"/>
              <w:left w:val="outset" w:sz="6" w:space="0" w:color="auto"/>
              <w:bottom w:val="outset" w:sz="6" w:space="0" w:color="auto"/>
              <w:right w:val="outset" w:sz="6" w:space="0" w:color="auto"/>
            </w:tcBorders>
          </w:tcPr>
          <w:p w14:paraId="0C61001D" w14:textId="751B6F63"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MK noteikumu projekta </w:t>
            </w:r>
            <w:r>
              <w:rPr>
                <w:rFonts w:ascii="Times New Roman" w:eastAsia="Times New Roman" w:hAnsi="Times New Roman" w:cs="Times New Roman"/>
                <w:iCs/>
                <w:sz w:val="24"/>
                <w:szCs w:val="24"/>
                <w:lang w:eastAsia="lv-LV"/>
              </w:rPr>
              <w:t>1.</w:t>
            </w:r>
            <w:r w:rsidR="00D45BAA">
              <w:rPr>
                <w:rFonts w:ascii="Times New Roman" w:eastAsia="Times New Roman" w:hAnsi="Times New Roman" w:cs="Times New Roman"/>
                <w:iCs/>
                <w:sz w:val="24"/>
                <w:szCs w:val="24"/>
                <w:lang w:eastAsia="lv-LV"/>
              </w:rPr>
              <w:t>8</w:t>
            </w:r>
            <w:r w:rsidRPr="008C5A53">
              <w:rPr>
                <w:rFonts w:ascii="Times New Roman" w:eastAsia="Times New Roman" w:hAnsi="Times New Roman" w:cs="Times New Roman"/>
                <w:iCs/>
                <w:sz w:val="24"/>
                <w:szCs w:val="24"/>
                <w:lang w:eastAsia="lv-LV"/>
              </w:rPr>
              <w:t>.</w:t>
            </w:r>
            <w:r w:rsidR="00D45BAA">
              <w:rPr>
                <w:rFonts w:ascii="Times New Roman" w:eastAsia="Times New Roman" w:hAnsi="Times New Roman" w:cs="Times New Roman"/>
                <w:iCs/>
                <w:sz w:val="24"/>
                <w:szCs w:val="24"/>
                <w:lang w:eastAsia="lv-LV"/>
              </w:rPr>
              <w:t xml:space="preserve"> </w:t>
            </w:r>
            <w:r w:rsidRPr="008C5A53">
              <w:rPr>
                <w:rFonts w:ascii="Times New Roman" w:eastAsia="Times New Roman" w:hAnsi="Times New Roman" w:cs="Times New Roman"/>
                <w:iCs/>
                <w:sz w:val="24"/>
                <w:szCs w:val="24"/>
                <w:lang w:eastAsia="lv-LV"/>
              </w:rPr>
              <w:t>punkts</w:t>
            </w:r>
          </w:p>
        </w:tc>
        <w:tc>
          <w:tcPr>
            <w:tcW w:w="2182" w:type="dxa"/>
            <w:tcBorders>
              <w:top w:val="outset" w:sz="6" w:space="0" w:color="auto"/>
              <w:left w:val="outset" w:sz="6" w:space="0" w:color="auto"/>
              <w:bottom w:val="outset" w:sz="6" w:space="0" w:color="auto"/>
              <w:right w:val="outset" w:sz="6" w:space="0" w:color="auto"/>
            </w:tcBorders>
          </w:tcPr>
          <w:p w14:paraId="004DFE87" w14:textId="2519FFAB" w:rsidR="00801009" w:rsidRPr="00801009" w:rsidRDefault="00801009" w:rsidP="0080100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w:t>
            </w:r>
          </w:p>
        </w:tc>
        <w:tc>
          <w:tcPr>
            <w:tcW w:w="2323" w:type="dxa"/>
            <w:gridSpan w:val="3"/>
            <w:tcBorders>
              <w:top w:val="outset" w:sz="6" w:space="0" w:color="auto"/>
              <w:left w:val="outset" w:sz="6" w:space="0" w:color="auto"/>
              <w:bottom w:val="outset" w:sz="6" w:space="0" w:color="auto"/>
              <w:right w:val="outset" w:sz="6" w:space="0" w:color="auto"/>
            </w:tcBorders>
          </w:tcPr>
          <w:p w14:paraId="4B2A380A" w14:textId="7172140A" w:rsidR="00801009" w:rsidRPr="00801009" w:rsidRDefault="00801009" w:rsidP="0080100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Neparedz stingrākas prasības</w:t>
            </w:r>
          </w:p>
        </w:tc>
      </w:tr>
      <w:tr w:rsidR="00801009" w:rsidRPr="008C5A53" w14:paraId="2E083BB4"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hideMark/>
          </w:tcPr>
          <w:p w14:paraId="5C686AB7" w14:textId="77777777"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6832" w:type="dxa"/>
            <w:gridSpan w:val="7"/>
            <w:tcBorders>
              <w:top w:val="outset" w:sz="6" w:space="0" w:color="auto"/>
              <w:left w:val="outset" w:sz="6" w:space="0" w:color="auto"/>
              <w:bottom w:val="outset" w:sz="6" w:space="0" w:color="auto"/>
              <w:right w:val="outset" w:sz="6" w:space="0" w:color="auto"/>
            </w:tcBorders>
            <w:hideMark/>
          </w:tcPr>
          <w:p w14:paraId="2CD2CCD1" w14:textId="09A0E7F5"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8C5A53">
              <w:rPr>
                <w:rFonts w:ascii="Times New Roman" w:eastAsia="Times New Roman" w:hAnsi="Times New Roman" w:cs="Times New Roman"/>
                <w:iCs/>
                <w:sz w:val="24"/>
                <w:szCs w:val="24"/>
                <w:lang w:eastAsia="lv-LV"/>
              </w:rPr>
              <w:t>rojekts šo jomu neskar.</w:t>
            </w:r>
          </w:p>
        </w:tc>
      </w:tr>
      <w:tr w:rsidR="00801009" w:rsidRPr="008C5A53" w14:paraId="77F551C8"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hideMark/>
          </w:tcPr>
          <w:p w14:paraId="0CE730B3" w14:textId="77777777"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w:t>
            </w:r>
            <w:r w:rsidRPr="008C5A53">
              <w:rPr>
                <w:rFonts w:ascii="Times New Roman" w:eastAsia="Times New Roman" w:hAnsi="Times New Roman" w:cs="Times New Roman"/>
                <w:iCs/>
                <w:sz w:val="24"/>
                <w:szCs w:val="24"/>
                <w:lang w:eastAsia="lv-LV"/>
              </w:rPr>
              <w:lastRenderedPageBreak/>
              <w:t>noteikumu, valsts atbalsta piešķiršanas un finanšu noteikumu (attiecībā uz monetāro politiku) projektiem</w:t>
            </w:r>
          </w:p>
        </w:tc>
        <w:tc>
          <w:tcPr>
            <w:tcW w:w="6832" w:type="dxa"/>
            <w:gridSpan w:val="7"/>
            <w:tcBorders>
              <w:top w:val="outset" w:sz="6" w:space="0" w:color="auto"/>
              <w:left w:val="outset" w:sz="6" w:space="0" w:color="auto"/>
              <w:bottom w:val="outset" w:sz="6" w:space="0" w:color="auto"/>
              <w:right w:val="outset" w:sz="6" w:space="0" w:color="auto"/>
            </w:tcBorders>
            <w:hideMark/>
          </w:tcPr>
          <w:p w14:paraId="1C44015F" w14:textId="7CEF4EBC"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w:t>
            </w:r>
            <w:r w:rsidRPr="008C5A53">
              <w:rPr>
                <w:rFonts w:ascii="Times New Roman" w:eastAsia="Times New Roman" w:hAnsi="Times New Roman" w:cs="Times New Roman"/>
                <w:iCs/>
                <w:sz w:val="24"/>
                <w:szCs w:val="24"/>
                <w:lang w:eastAsia="lv-LV"/>
              </w:rPr>
              <w:t>rojekts šo jomu neskar.</w:t>
            </w:r>
          </w:p>
        </w:tc>
      </w:tr>
      <w:tr w:rsidR="00801009" w:rsidRPr="008C5A53" w14:paraId="75BE3142"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hideMark/>
          </w:tcPr>
          <w:p w14:paraId="194F4F4F" w14:textId="77777777"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Cita informācija</w:t>
            </w:r>
          </w:p>
        </w:tc>
        <w:tc>
          <w:tcPr>
            <w:tcW w:w="6832" w:type="dxa"/>
            <w:gridSpan w:val="7"/>
            <w:tcBorders>
              <w:top w:val="outset" w:sz="6" w:space="0" w:color="auto"/>
              <w:left w:val="outset" w:sz="6" w:space="0" w:color="auto"/>
              <w:bottom w:val="outset" w:sz="6" w:space="0" w:color="auto"/>
              <w:right w:val="outset" w:sz="6" w:space="0" w:color="auto"/>
            </w:tcBorders>
            <w:hideMark/>
          </w:tcPr>
          <w:p w14:paraId="12A241AC" w14:textId="7F93C046" w:rsidR="00801009" w:rsidRPr="008C5A53" w:rsidRDefault="00801009" w:rsidP="0080100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Nav</w:t>
            </w:r>
          </w:p>
        </w:tc>
      </w:tr>
    </w:tbl>
    <w:p w14:paraId="5EE303D9"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p w14:paraId="4617900C"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8C5A53" w14:paraId="784586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FDEBA3" w14:textId="77777777" w:rsidR="00655F2C" w:rsidRPr="008C5A53" w:rsidRDefault="00E5323B" w:rsidP="00E5323B">
            <w:pPr>
              <w:spacing w:after="0" w:line="240" w:lineRule="auto"/>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VI. Sabiedrības līdzdalība un komunikācijas aktivitātes</w:t>
            </w:r>
          </w:p>
        </w:tc>
      </w:tr>
      <w:tr w:rsidR="00BF2E10" w:rsidRPr="008C5A53" w14:paraId="029D7C6A"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432F56"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27BB602"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6D8D5226" w14:textId="452B6844" w:rsidR="003A2A4F" w:rsidRPr="00B8725F" w:rsidRDefault="003A2A4F" w:rsidP="003A2A4F">
            <w:pPr>
              <w:shd w:val="clear" w:color="auto" w:fill="FFFFFF"/>
              <w:ind w:right="113"/>
              <w:contextualSpacing/>
              <w:jc w:val="both"/>
              <w:rPr>
                <w:rFonts w:ascii="Times New Roman" w:eastAsia="Times New Roman" w:hAnsi="Times New Roman" w:cs="Times New Roman"/>
                <w:iCs/>
                <w:sz w:val="24"/>
                <w:szCs w:val="24"/>
                <w:lang w:eastAsia="lv-LV"/>
              </w:rPr>
            </w:pPr>
            <w:r w:rsidRPr="00B8725F">
              <w:rPr>
                <w:rFonts w:ascii="Times New Roman" w:eastAsia="Times New Roman" w:hAnsi="Times New Roman" w:cs="Times New Roman"/>
                <w:iCs/>
                <w:sz w:val="24"/>
                <w:szCs w:val="24"/>
                <w:lang w:eastAsia="lv-LV"/>
              </w:rPr>
              <w:t xml:space="preserve">Sabiedrības līdzdalība nodrošināta no 2020.gada </w:t>
            </w:r>
            <w:r w:rsidR="00B8725F" w:rsidRPr="00B8725F">
              <w:rPr>
                <w:rFonts w:ascii="Times New Roman" w:eastAsia="Times New Roman" w:hAnsi="Times New Roman" w:cs="Times New Roman"/>
                <w:iCs/>
                <w:sz w:val="24"/>
                <w:szCs w:val="24"/>
                <w:lang w:eastAsia="lv-LV"/>
              </w:rPr>
              <w:t>9</w:t>
            </w:r>
            <w:r w:rsidRPr="00B8725F">
              <w:rPr>
                <w:rFonts w:ascii="Times New Roman" w:eastAsia="Times New Roman" w:hAnsi="Times New Roman" w:cs="Times New Roman"/>
                <w:iCs/>
                <w:sz w:val="24"/>
                <w:szCs w:val="24"/>
                <w:lang w:eastAsia="lv-LV"/>
              </w:rPr>
              <w:t xml:space="preserve">.novembra līdz 16.novembrim. </w:t>
            </w:r>
          </w:p>
          <w:p w14:paraId="2F02344F" w14:textId="77333FE4" w:rsidR="00E5323B" w:rsidRPr="008C5A53" w:rsidRDefault="003A2A4F" w:rsidP="0083334D">
            <w:pPr>
              <w:spacing w:after="0" w:line="240" w:lineRule="auto"/>
              <w:jc w:val="both"/>
              <w:rPr>
                <w:rFonts w:ascii="Times New Roman" w:eastAsia="Times New Roman" w:hAnsi="Times New Roman" w:cs="Times New Roman"/>
                <w:iCs/>
                <w:sz w:val="24"/>
                <w:szCs w:val="24"/>
                <w:lang w:eastAsia="lv-LV"/>
              </w:rPr>
            </w:pPr>
            <w:r w:rsidRPr="00B8725F">
              <w:rPr>
                <w:rFonts w:ascii="Times New Roman" w:eastAsia="Times New Roman" w:hAnsi="Times New Roman" w:cs="Times New Roman"/>
                <w:iCs/>
                <w:sz w:val="24"/>
                <w:szCs w:val="24"/>
                <w:lang w:eastAsia="lv-LV"/>
              </w:rPr>
              <w:t xml:space="preserve">MK </w:t>
            </w:r>
            <w:r w:rsidR="00D64EB3" w:rsidRPr="00B8725F">
              <w:rPr>
                <w:rFonts w:ascii="Times New Roman" w:eastAsia="Times New Roman" w:hAnsi="Times New Roman" w:cs="Times New Roman"/>
                <w:iCs/>
                <w:sz w:val="24"/>
                <w:szCs w:val="24"/>
                <w:lang w:eastAsia="lv-LV"/>
              </w:rPr>
              <w:t xml:space="preserve">Noteikumu projekts </w:t>
            </w:r>
            <w:r w:rsidR="00BF2E10" w:rsidRPr="00B8725F">
              <w:rPr>
                <w:rFonts w:ascii="Times New Roman" w:eastAsia="Times New Roman" w:hAnsi="Times New Roman" w:cs="Times New Roman"/>
                <w:iCs/>
                <w:sz w:val="24"/>
                <w:szCs w:val="24"/>
                <w:lang w:eastAsia="lv-LV"/>
              </w:rPr>
              <w:t>2020.</w:t>
            </w:r>
            <w:r w:rsidR="005D437F">
              <w:rPr>
                <w:rFonts w:ascii="Times New Roman" w:eastAsia="Times New Roman" w:hAnsi="Times New Roman" w:cs="Times New Roman"/>
                <w:iCs/>
                <w:sz w:val="24"/>
                <w:szCs w:val="24"/>
                <w:lang w:eastAsia="lv-LV"/>
              </w:rPr>
              <w:t>gada 9.novembrī</w:t>
            </w:r>
            <w:r w:rsidR="00D64EB3" w:rsidRPr="00B8725F">
              <w:rPr>
                <w:rFonts w:ascii="Times New Roman" w:eastAsia="Times New Roman" w:hAnsi="Times New Roman" w:cs="Times New Roman"/>
                <w:iCs/>
                <w:sz w:val="24"/>
                <w:szCs w:val="24"/>
                <w:lang w:eastAsia="lv-LV"/>
              </w:rPr>
              <w:t xml:space="preserve"> ievietots Ekonomikas ministrijas </w:t>
            </w:r>
            <w:r w:rsidR="0083334D">
              <w:rPr>
                <w:rFonts w:ascii="Times New Roman" w:eastAsia="Times New Roman" w:hAnsi="Times New Roman" w:cs="Times New Roman"/>
                <w:iCs/>
                <w:sz w:val="24"/>
                <w:szCs w:val="24"/>
                <w:lang w:eastAsia="lv-LV"/>
              </w:rPr>
              <w:t xml:space="preserve"> un </w:t>
            </w:r>
            <w:r w:rsidR="004A7167" w:rsidRPr="00D63F9A">
              <w:rPr>
                <w:rFonts w:ascii="Times New Roman" w:hAnsi="Times New Roman" w:cs="Times New Roman"/>
                <w:sz w:val="24"/>
                <w:szCs w:val="24"/>
              </w:rPr>
              <w:t xml:space="preserve">Ministru kabineta tīmekļa vietnē </w:t>
            </w:r>
            <w:r w:rsidR="00D64EB3" w:rsidRPr="00B8725F">
              <w:rPr>
                <w:rFonts w:ascii="Times New Roman" w:eastAsia="Times New Roman" w:hAnsi="Times New Roman" w:cs="Times New Roman"/>
                <w:iCs/>
                <w:sz w:val="24"/>
                <w:szCs w:val="24"/>
                <w:lang w:eastAsia="lv-LV"/>
              </w:rPr>
              <w:t>sabiedriskai apspriešanai.</w:t>
            </w:r>
          </w:p>
        </w:tc>
      </w:tr>
      <w:tr w:rsidR="00BF2E10" w:rsidRPr="008C5A53" w14:paraId="1D21ACD8"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BAAD72"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A9CDE70"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3F0E2802" w14:textId="7E369C4E" w:rsidR="00650051" w:rsidRPr="008C5A53" w:rsidRDefault="00DE3187" w:rsidP="002F22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S</w:t>
            </w:r>
            <w:r w:rsidR="002F2227" w:rsidRPr="002F2227">
              <w:rPr>
                <w:rFonts w:ascii="Times New Roman" w:eastAsia="Times New Roman" w:hAnsi="Times New Roman" w:cs="Times New Roman"/>
                <w:sz w:val="24"/>
                <w:szCs w:val="24"/>
                <w:lang w:eastAsia="lv-LV"/>
              </w:rPr>
              <w:t xml:space="preserve">abiedrības līdzdalības </w:t>
            </w:r>
            <w:r w:rsidR="00343CA2">
              <w:rPr>
                <w:rFonts w:ascii="Times New Roman" w:eastAsia="Times New Roman" w:hAnsi="Times New Roman" w:cs="Times New Roman"/>
                <w:sz w:val="24"/>
                <w:szCs w:val="24"/>
                <w:lang w:eastAsia="lv-LV"/>
              </w:rPr>
              <w:t>rezultātā</w:t>
            </w:r>
            <w:r>
              <w:rPr>
                <w:rFonts w:ascii="Times New Roman" w:eastAsia="Times New Roman" w:hAnsi="Times New Roman" w:cs="Times New Roman"/>
                <w:sz w:val="24"/>
                <w:szCs w:val="24"/>
                <w:lang w:eastAsia="lv-LV"/>
              </w:rPr>
              <w:t xml:space="preserve"> MK Noteikumu projekts saskaņots un to atbalsta </w:t>
            </w:r>
            <w:r w:rsidR="002F2227" w:rsidRPr="002F2227">
              <w:rPr>
                <w:rFonts w:ascii="Times New Roman" w:eastAsia="Times New Roman" w:hAnsi="Times New Roman" w:cs="Times New Roman"/>
                <w:sz w:val="24"/>
                <w:szCs w:val="24"/>
                <w:lang w:eastAsia="lv-LV"/>
              </w:rPr>
              <w:t>Latvijas Tirdzniecības un rūpniecības kamera, Latvijas Darba devēju konfederācija, Latvijas Brīvo arodbiedrību savienība</w:t>
            </w:r>
            <w:r>
              <w:rPr>
                <w:rFonts w:ascii="Times New Roman" w:eastAsia="Times New Roman" w:hAnsi="Times New Roman" w:cs="Times New Roman"/>
                <w:sz w:val="24"/>
                <w:szCs w:val="24"/>
                <w:lang w:eastAsia="lv-LV"/>
              </w:rPr>
              <w:t>, Finanšu nozaru asociācija.</w:t>
            </w:r>
          </w:p>
        </w:tc>
      </w:tr>
      <w:tr w:rsidR="004A7167" w:rsidRPr="008C5A53" w14:paraId="103CD098"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F0A553" w14:textId="77777777" w:rsidR="004A7167" w:rsidRPr="008C5A53" w:rsidRDefault="004A7167" w:rsidP="004A7167">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E03263D" w14:textId="77777777" w:rsidR="004A7167" w:rsidRPr="008C5A53" w:rsidRDefault="004A7167" w:rsidP="004A7167">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9DEB7C5" w14:textId="2912FCF1" w:rsidR="004A7167" w:rsidRPr="008C5A53" w:rsidRDefault="00343CA2" w:rsidP="002F2227">
            <w:pPr>
              <w:spacing w:after="0" w:line="240" w:lineRule="auto"/>
              <w:jc w:val="both"/>
              <w:rPr>
                <w:rFonts w:ascii="Times New Roman" w:eastAsia="Times New Roman" w:hAnsi="Times New Roman" w:cs="Times New Roman"/>
                <w:iCs/>
                <w:sz w:val="24"/>
                <w:szCs w:val="24"/>
                <w:lang w:eastAsia="lv-LV"/>
              </w:rPr>
            </w:pPr>
            <w:r w:rsidRPr="002F2227">
              <w:rPr>
                <w:rFonts w:ascii="Times New Roman" w:eastAsia="Times New Roman" w:hAnsi="Times New Roman" w:cs="Times New Roman"/>
                <w:sz w:val="24"/>
                <w:szCs w:val="24"/>
                <w:lang w:eastAsia="lv-LV"/>
              </w:rPr>
              <w:t xml:space="preserve">Nav saņemti </w:t>
            </w:r>
            <w:r>
              <w:rPr>
                <w:rFonts w:ascii="Times New Roman" w:eastAsia="Times New Roman" w:hAnsi="Times New Roman" w:cs="Times New Roman"/>
                <w:sz w:val="24"/>
                <w:szCs w:val="24"/>
                <w:lang w:eastAsia="lv-LV"/>
              </w:rPr>
              <w:t>priekšlikumi</w:t>
            </w:r>
            <w:r w:rsidRPr="002F2227">
              <w:rPr>
                <w:rFonts w:ascii="Times New Roman" w:eastAsia="Times New Roman" w:hAnsi="Times New Roman" w:cs="Times New Roman"/>
                <w:sz w:val="24"/>
                <w:szCs w:val="24"/>
                <w:lang w:eastAsia="lv-LV"/>
              </w:rPr>
              <w:t xml:space="preserve"> sabiedrības līdzdalības komunikācijā</w:t>
            </w:r>
          </w:p>
        </w:tc>
      </w:tr>
      <w:tr w:rsidR="004A7167" w:rsidRPr="008C5A53" w14:paraId="3A944044"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B0A66" w14:textId="77777777" w:rsidR="004A7167" w:rsidRPr="008C5A53" w:rsidRDefault="004A7167" w:rsidP="004A7167">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06AA0DB" w14:textId="77777777" w:rsidR="004A7167" w:rsidRPr="008C5A53" w:rsidRDefault="004A7167" w:rsidP="004A7167">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A9B511" w14:textId="4E1A8D3D" w:rsidR="004A7167" w:rsidRPr="008C5A53" w:rsidRDefault="004A7167" w:rsidP="004A7167">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Nav</w:t>
            </w:r>
          </w:p>
        </w:tc>
      </w:tr>
    </w:tbl>
    <w:p w14:paraId="64724A8A"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8C5A53" w14:paraId="694EB30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A2882C" w14:textId="77777777" w:rsidR="00655F2C" w:rsidRPr="008C5A53" w:rsidRDefault="00E5323B" w:rsidP="00E5323B">
            <w:pPr>
              <w:spacing w:after="0" w:line="240" w:lineRule="auto"/>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F2E10" w:rsidRPr="008C5A53" w14:paraId="55C43F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64852"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81172E"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F630BB0" w14:textId="4EDB1184" w:rsidR="00E5323B" w:rsidRPr="008C5A53" w:rsidRDefault="00D64EB3"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Ekonomikas ministrija un </w:t>
            </w:r>
            <w:proofErr w:type="spellStart"/>
            <w:r w:rsidR="003A2A4F" w:rsidRPr="008C5A53">
              <w:rPr>
                <w:rFonts w:ascii="Times New Roman" w:eastAsia="Times New Roman" w:hAnsi="Times New Roman" w:cs="Times New Roman"/>
                <w:iCs/>
                <w:sz w:val="24"/>
                <w:szCs w:val="24"/>
                <w:lang w:eastAsia="lv-LV"/>
              </w:rPr>
              <w:t>Altum</w:t>
            </w:r>
            <w:proofErr w:type="spellEnd"/>
            <w:r w:rsidR="003A2A4F" w:rsidRPr="008C5A53">
              <w:rPr>
                <w:rFonts w:ascii="Times New Roman" w:eastAsia="Times New Roman" w:hAnsi="Times New Roman" w:cs="Times New Roman"/>
                <w:iCs/>
                <w:sz w:val="24"/>
                <w:szCs w:val="24"/>
                <w:lang w:eastAsia="lv-LV"/>
              </w:rPr>
              <w:t>.</w:t>
            </w:r>
          </w:p>
        </w:tc>
      </w:tr>
      <w:tr w:rsidR="00BF2E10" w:rsidRPr="008C5A53" w14:paraId="2BCDCE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D12FCE"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23EDD8"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Projekta izpildes ietekme uz pārvaldes funkcijām un institucionālo struktūru.</w:t>
            </w:r>
            <w:r w:rsidRPr="008C5A5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27C5AB" w14:textId="6A1552E8" w:rsidR="00D64EB3" w:rsidRPr="008C5A53" w:rsidRDefault="00160095" w:rsidP="00D64EB3">
            <w:pPr>
              <w:ind w:left="82" w:right="16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w:t>
            </w:r>
            <w:r w:rsidR="00D64EB3" w:rsidRPr="008C5A53">
              <w:rPr>
                <w:rFonts w:ascii="Times New Roman" w:eastAsia="Times New Roman" w:hAnsi="Times New Roman" w:cs="Times New Roman"/>
                <w:iCs/>
                <w:sz w:val="24"/>
                <w:szCs w:val="24"/>
                <w:lang w:eastAsia="lv-LV"/>
              </w:rPr>
              <w:t xml:space="preserve">Noteikumu projekta izpilde tiks nodrošināta Ekonomikas ministrijas un </w:t>
            </w:r>
            <w:proofErr w:type="spellStart"/>
            <w:r w:rsidR="003A2A4F" w:rsidRPr="008C5A53">
              <w:rPr>
                <w:rFonts w:ascii="Times New Roman" w:eastAsia="Times New Roman" w:hAnsi="Times New Roman" w:cs="Times New Roman"/>
                <w:iCs/>
                <w:sz w:val="24"/>
                <w:szCs w:val="24"/>
                <w:lang w:eastAsia="lv-LV"/>
              </w:rPr>
              <w:t>Altum</w:t>
            </w:r>
            <w:proofErr w:type="spellEnd"/>
            <w:r w:rsidR="00D64EB3" w:rsidRPr="008C5A53">
              <w:rPr>
                <w:rFonts w:ascii="Times New Roman" w:eastAsia="Times New Roman" w:hAnsi="Times New Roman" w:cs="Times New Roman"/>
                <w:iCs/>
                <w:sz w:val="24"/>
                <w:szCs w:val="24"/>
                <w:lang w:eastAsia="lv-LV"/>
              </w:rPr>
              <w:t xml:space="preserve"> esošo funkciju ietvaros.</w:t>
            </w:r>
          </w:p>
          <w:p w14:paraId="2568428D" w14:textId="00BF1F7E" w:rsidR="00E5323B" w:rsidRPr="008C5A53" w:rsidRDefault="00E5323B" w:rsidP="00E5323B">
            <w:pPr>
              <w:spacing w:after="0" w:line="240" w:lineRule="auto"/>
              <w:rPr>
                <w:rFonts w:ascii="Times New Roman" w:eastAsia="Times New Roman" w:hAnsi="Times New Roman" w:cs="Times New Roman"/>
                <w:iCs/>
                <w:sz w:val="24"/>
                <w:szCs w:val="24"/>
                <w:lang w:eastAsia="lv-LV"/>
              </w:rPr>
            </w:pPr>
          </w:p>
        </w:tc>
      </w:tr>
      <w:tr w:rsidR="008E6A5F" w:rsidRPr="008C5A53" w14:paraId="36A5C2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853A72"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1FD233"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CFBD80" w14:textId="4F20D126" w:rsidR="00E5323B" w:rsidRPr="008C5A53" w:rsidRDefault="00D64EB3"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sz w:val="24"/>
                <w:szCs w:val="24"/>
                <w:lang w:eastAsia="lv-LV"/>
              </w:rPr>
              <w:t>Nav</w:t>
            </w:r>
          </w:p>
        </w:tc>
      </w:tr>
    </w:tbl>
    <w:p w14:paraId="10264A89" w14:textId="77777777" w:rsidR="00C25B49" w:rsidRPr="008C5A53" w:rsidRDefault="00C25B49" w:rsidP="00894C55">
      <w:pPr>
        <w:spacing w:after="0" w:line="240" w:lineRule="auto"/>
        <w:rPr>
          <w:rFonts w:ascii="Times New Roman" w:hAnsi="Times New Roman" w:cs="Times New Roman"/>
          <w:sz w:val="24"/>
          <w:szCs w:val="24"/>
        </w:rPr>
      </w:pPr>
    </w:p>
    <w:p w14:paraId="3C41FEDC" w14:textId="77777777" w:rsidR="00D64EB3" w:rsidRPr="007005DD" w:rsidRDefault="00D64EB3" w:rsidP="00D64EB3">
      <w:pPr>
        <w:tabs>
          <w:tab w:val="left" w:pos="6237"/>
        </w:tabs>
        <w:ind w:firstLine="720"/>
        <w:contextualSpacing/>
        <w:rPr>
          <w:rFonts w:ascii="Times New Roman" w:hAnsi="Times New Roman" w:cs="Times New Roman"/>
          <w:b/>
          <w:bCs/>
          <w:sz w:val="24"/>
          <w:szCs w:val="24"/>
        </w:rPr>
      </w:pPr>
      <w:r w:rsidRPr="007005DD">
        <w:rPr>
          <w:rFonts w:ascii="Times New Roman" w:hAnsi="Times New Roman" w:cs="Times New Roman"/>
          <w:b/>
          <w:bCs/>
          <w:sz w:val="24"/>
          <w:szCs w:val="24"/>
        </w:rPr>
        <w:t>Ekonomikas ministrs</w:t>
      </w:r>
      <w:r w:rsidRPr="007005DD">
        <w:rPr>
          <w:rFonts w:ascii="Times New Roman" w:hAnsi="Times New Roman" w:cs="Times New Roman"/>
          <w:b/>
          <w:bCs/>
          <w:sz w:val="24"/>
          <w:szCs w:val="24"/>
        </w:rPr>
        <w:tab/>
      </w:r>
      <w:proofErr w:type="spellStart"/>
      <w:r w:rsidRPr="007005DD">
        <w:rPr>
          <w:rFonts w:ascii="Times New Roman" w:hAnsi="Times New Roman" w:cs="Times New Roman"/>
          <w:b/>
          <w:bCs/>
          <w:sz w:val="24"/>
          <w:szCs w:val="24"/>
        </w:rPr>
        <w:t>J.Vitenbergs</w:t>
      </w:r>
      <w:proofErr w:type="spellEnd"/>
    </w:p>
    <w:p w14:paraId="4ADB02EE" w14:textId="77777777" w:rsidR="00D64EB3" w:rsidRPr="007005DD" w:rsidRDefault="00D64EB3" w:rsidP="00D64EB3">
      <w:pPr>
        <w:tabs>
          <w:tab w:val="left" w:pos="6237"/>
        </w:tabs>
        <w:contextualSpacing/>
        <w:rPr>
          <w:rFonts w:ascii="Times New Roman" w:hAnsi="Times New Roman" w:cs="Times New Roman"/>
          <w:b/>
          <w:bCs/>
          <w:sz w:val="24"/>
          <w:szCs w:val="24"/>
        </w:rPr>
      </w:pPr>
    </w:p>
    <w:p w14:paraId="4F0C4977" w14:textId="77777777" w:rsidR="00D64EB3" w:rsidRPr="007005DD" w:rsidRDefault="00D64EB3" w:rsidP="00D64EB3">
      <w:pPr>
        <w:tabs>
          <w:tab w:val="left" w:pos="6237"/>
        </w:tabs>
        <w:ind w:firstLine="720"/>
        <w:contextualSpacing/>
        <w:rPr>
          <w:rFonts w:ascii="Times New Roman" w:hAnsi="Times New Roman" w:cs="Times New Roman"/>
          <w:b/>
          <w:bCs/>
          <w:sz w:val="24"/>
          <w:szCs w:val="24"/>
        </w:rPr>
      </w:pPr>
      <w:r w:rsidRPr="007005DD">
        <w:rPr>
          <w:rFonts w:ascii="Times New Roman" w:hAnsi="Times New Roman" w:cs="Times New Roman"/>
          <w:b/>
          <w:bCs/>
          <w:sz w:val="24"/>
          <w:szCs w:val="24"/>
        </w:rPr>
        <w:t>Vīza:</w:t>
      </w:r>
    </w:p>
    <w:p w14:paraId="256B2E60" w14:textId="77777777" w:rsidR="00D64EB3" w:rsidRPr="007005DD" w:rsidRDefault="00D64EB3" w:rsidP="00D64EB3">
      <w:pPr>
        <w:tabs>
          <w:tab w:val="left" w:pos="6237"/>
        </w:tabs>
        <w:ind w:firstLine="720"/>
        <w:contextualSpacing/>
        <w:rPr>
          <w:rFonts w:ascii="Times New Roman" w:hAnsi="Times New Roman" w:cs="Times New Roman"/>
          <w:b/>
          <w:bCs/>
          <w:sz w:val="24"/>
          <w:szCs w:val="24"/>
        </w:rPr>
      </w:pPr>
    </w:p>
    <w:p w14:paraId="1BDEF20B" w14:textId="38D998ED" w:rsidR="00D64EB3" w:rsidRPr="007005DD" w:rsidRDefault="006E72C7" w:rsidP="00D64EB3">
      <w:pPr>
        <w:tabs>
          <w:tab w:val="left" w:pos="6237"/>
        </w:tabs>
        <w:ind w:firstLine="720"/>
        <w:contextualSpacing/>
        <w:rPr>
          <w:rFonts w:ascii="Times New Roman" w:hAnsi="Times New Roman" w:cs="Times New Roman"/>
          <w:b/>
          <w:bCs/>
          <w:sz w:val="24"/>
          <w:szCs w:val="24"/>
        </w:rPr>
      </w:pPr>
      <w:r>
        <w:rPr>
          <w:rFonts w:ascii="Times New Roman" w:hAnsi="Times New Roman" w:cs="Times New Roman"/>
          <w:b/>
          <w:bCs/>
          <w:sz w:val="24"/>
          <w:szCs w:val="24"/>
        </w:rPr>
        <w:t>Valsts sekretārs</w:t>
      </w:r>
      <w:r w:rsidR="00D64EB3" w:rsidRPr="007005DD">
        <w:rPr>
          <w:rFonts w:ascii="Times New Roman" w:hAnsi="Times New Roman" w:cs="Times New Roman"/>
          <w:b/>
          <w:bCs/>
          <w:sz w:val="24"/>
          <w:szCs w:val="24"/>
        </w:rPr>
        <w:tab/>
      </w:r>
      <w:proofErr w:type="spellStart"/>
      <w:r>
        <w:rPr>
          <w:rFonts w:ascii="Times New Roman" w:hAnsi="Times New Roman" w:cs="Times New Roman"/>
          <w:b/>
          <w:bCs/>
          <w:sz w:val="24"/>
          <w:szCs w:val="24"/>
        </w:rPr>
        <w:t>E.Valantis</w:t>
      </w:r>
      <w:proofErr w:type="spellEnd"/>
    </w:p>
    <w:p w14:paraId="4EFF2307" w14:textId="77777777" w:rsidR="00894C55" w:rsidRPr="007005DD" w:rsidRDefault="00894C55" w:rsidP="00894C55">
      <w:pPr>
        <w:spacing w:after="0" w:line="240" w:lineRule="auto"/>
        <w:ind w:firstLine="720"/>
        <w:rPr>
          <w:rFonts w:ascii="Times New Roman" w:hAnsi="Times New Roman" w:cs="Times New Roman"/>
          <w:b/>
          <w:bCs/>
          <w:sz w:val="24"/>
          <w:szCs w:val="24"/>
        </w:rPr>
      </w:pPr>
    </w:p>
    <w:p w14:paraId="2CEFAD45" w14:textId="77777777" w:rsidR="00894C55" w:rsidRPr="008C5A53" w:rsidRDefault="00894C55" w:rsidP="00894C55">
      <w:pPr>
        <w:tabs>
          <w:tab w:val="left" w:pos="6237"/>
        </w:tabs>
        <w:spacing w:after="0" w:line="240" w:lineRule="auto"/>
        <w:ind w:firstLine="720"/>
        <w:rPr>
          <w:rFonts w:ascii="Times New Roman" w:hAnsi="Times New Roman" w:cs="Times New Roman"/>
          <w:sz w:val="24"/>
          <w:szCs w:val="24"/>
        </w:rPr>
      </w:pPr>
    </w:p>
    <w:p w14:paraId="67702C16" w14:textId="238AC0ED" w:rsidR="00F61ABF" w:rsidRDefault="00F61ABF" w:rsidP="00F61ABF">
      <w:pPr>
        <w:tabs>
          <w:tab w:val="left" w:pos="6237"/>
        </w:tabs>
        <w:spacing w:after="0" w:line="240"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K.Priedīte</w:t>
      </w:r>
      <w:proofErr w:type="spellEnd"/>
      <w:r>
        <w:rPr>
          <w:rFonts w:ascii="Times New Roman" w:hAnsi="Times New Roman" w:cs="Times New Roman"/>
          <w:color w:val="000000" w:themeColor="text1"/>
          <w:sz w:val="20"/>
          <w:szCs w:val="20"/>
        </w:rPr>
        <w:t xml:space="preserve">, </w:t>
      </w:r>
      <w:r w:rsidRPr="00B51BA1">
        <w:rPr>
          <w:rFonts w:ascii="Times New Roman" w:hAnsi="Times New Roman" w:cs="Times New Roman"/>
          <w:color w:val="000000" w:themeColor="text1"/>
          <w:sz w:val="20"/>
          <w:szCs w:val="20"/>
        </w:rPr>
        <w:t>6701324</w:t>
      </w:r>
      <w:r w:rsidR="00300889">
        <w:rPr>
          <w:rFonts w:ascii="Times New Roman" w:hAnsi="Times New Roman" w:cs="Times New Roman"/>
          <w:color w:val="000000" w:themeColor="text1"/>
          <w:sz w:val="20"/>
          <w:szCs w:val="20"/>
        </w:rPr>
        <w:t>1</w:t>
      </w:r>
    </w:p>
    <w:p w14:paraId="555844BF" w14:textId="77777777" w:rsidR="00F61ABF" w:rsidRPr="00DA39C2" w:rsidRDefault="00F61ABF" w:rsidP="00F61ABF">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Kristine.Priedite@em.gov.lv</w:t>
      </w:r>
    </w:p>
    <w:p w14:paraId="42B8AAF0" w14:textId="48CAB244" w:rsidR="00894C55" w:rsidRPr="008C5A53" w:rsidRDefault="00894C55" w:rsidP="00D64EB3">
      <w:pPr>
        <w:tabs>
          <w:tab w:val="left" w:pos="6237"/>
        </w:tabs>
        <w:spacing w:after="0" w:line="240" w:lineRule="auto"/>
        <w:rPr>
          <w:rFonts w:ascii="Times New Roman" w:hAnsi="Times New Roman" w:cs="Times New Roman"/>
          <w:sz w:val="24"/>
          <w:szCs w:val="24"/>
        </w:rPr>
      </w:pPr>
    </w:p>
    <w:sectPr w:rsidR="00894C55" w:rsidRPr="008C5A53"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9A64B" w14:textId="77777777" w:rsidR="005E175E" w:rsidRDefault="005E175E" w:rsidP="00894C55">
      <w:pPr>
        <w:spacing w:after="0" w:line="240" w:lineRule="auto"/>
      </w:pPr>
      <w:r>
        <w:separator/>
      </w:r>
    </w:p>
  </w:endnote>
  <w:endnote w:type="continuationSeparator" w:id="0">
    <w:p w14:paraId="0B2C3457" w14:textId="77777777" w:rsidR="005E175E" w:rsidRDefault="005E17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F777" w14:textId="45FDF168" w:rsidR="00894C55" w:rsidRPr="006E72C7" w:rsidRDefault="006E72C7" w:rsidP="006E72C7">
    <w:pPr>
      <w:pStyle w:val="Footer"/>
      <w:jc w:val="both"/>
      <w:rPr>
        <w:rFonts w:ascii="Times New Roman" w:hAnsi="Times New Roman" w:cs="Times New Roman"/>
      </w:rP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Pr="004F35C8">
      <w:rPr>
        <w:rFonts w:ascii="Times New Roman" w:hAnsi="Times New Roman" w:cs="Times New Roman"/>
        <w:noProof/>
      </w:rPr>
      <w:t>EMAnot _</w:t>
    </w:r>
    <w:r>
      <w:rPr>
        <w:rFonts w:ascii="Times New Roman" w:hAnsi="Times New Roman" w:cs="Times New Roman"/>
        <w:noProof/>
      </w:rPr>
      <w:t>1412</w:t>
    </w:r>
    <w:r w:rsidRPr="004F35C8">
      <w:rPr>
        <w:rFonts w:ascii="Times New Roman" w:hAnsi="Times New Roman" w:cs="Times New Roman"/>
        <w:noProof/>
      </w:rPr>
      <w:t>20_Groz149</w:t>
    </w:r>
    <w:r w:rsidRPr="004F35C8">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D98D" w14:textId="4091900C" w:rsidR="009A2654" w:rsidRPr="004F35C8" w:rsidRDefault="00D64EB3" w:rsidP="00D64EB3">
    <w:pPr>
      <w:pStyle w:val="Footer"/>
      <w:jc w:val="both"/>
      <w:rPr>
        <w:rFonts w:ascii="Times New Roman" w:hAnsi="Times New Roman" w:cs="Times New Roman"/>
      </w:rP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Pr="004F35C8">
      <w:rPr>
        <w:rFonts w:ascii="Times New Roman" w:hAnsi="Times New Roman" w:cs="Times New Roman"/>
        <w:noProof/>
      </w:rPr>
      <w:t>EMAnot</w:t>
    </w:r>
    <w:r w:rsidR="004F35C8" w:rsidRPr="004F35C8">
      <w:rPr>
        <w:rFonts w:ascii="Times New Roman" w:hAnsi="Times New Roman" w:cs="Times New Roman"/>
        <w:noProof/>
      </w:rPr>
      <w:t xml:space="preserve"> </w:t>
    </w:r>
    <w:r w:rsidRPr="004F35C8">
      <w:rPr>
        <w:rFonts w:ascii="Times New Roman" w:hAnsi="Times New Roman" w:cs="Times New Roman"/>
        <w:noProof/>
      </w:rPr>
      <w:t>_</w:t>
    </w:r>
    <w:r w:rsidR="006E72C7">
      <w:rPr>
        <w:rFonts w:ascii="Times New Roman" w:hAnsi="Times New Roman" w:cs="Times New Roman"/>
        <w:noProof/>
      </w:rPr>
      <w:t>14</w:t>
    </w:r>
    <w:r w:rsidR="00395731">
      <w:rPr>
        <w:rFonts w:ascii="Times New Roman" w:hAnsi="Times New Roman" w:cs="Times New Roman"/>
        <w:noProof/>
      </w:rPr>
      <w:t>12</w:t>
    </w:r>
    <w:r w:rsidRPr="004F35C8">
      <w:rPr>
        <w:rFonts w:ascii="Times New Roman" w:hAnsi="Times New Roman" w:cs="Times New Roman"/>
        <w:noProof/>
      </w:rPr>
      <w:t>20</w:t>
    </w:r>
    <w:r w:rsidR="004F35C8" w:rsidRPr="004F35C8">
      <w:rPr>
        <w:rFonts w:ascii="Times New Roman" w:hAnsi="Times New Roman" w:cs="Times New Roman"/>
        <w:noProof/>
      </w:rPr>
      <w:t>_Groz149</w:t>
    </w:r>
    <w:r w:rsidRPr="004F35C8">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6FAF3" w14:textId="77777777" w:rsidR="005E175E" w:rsidRDefault="005E175E" w:rsidP="00894C55">
      <w:pPr>
        <w:spacing w:after="0" w:line="240" w:lineRule="auto"/>
      </w:pPr>
      <w:r>
        <w:separator/>
      </w:r>
    </w:p>
  </w:footnote>
  <w:footnote w:type="continuationSeparator" w:id="0">
    <w:p w14:paraId="66CE8575" w14:textId="77777777" w:rsidR="005E175E" w:rsidRDefault="005E175E" w:rsidP="00894C55">
      <w:pPr>
        <w:spacing w:after="0" w:line="240" w:lineRule="auto"/>
      </w:pPr>
      <w:r>
        <w:continuationSeparator/>
      </w:r>
    </w:p>
  </w:footnote>
  <w:footnote w:id="1">
    <w:p w14:paraId="0993A08F" w14:textId="6B3BBF8B" w:rsidR="0025167E" w:rsidRDefault="0025167E" w:rsidP="0025167E">
      <w:pPr>
        <w:pStyle w:val="FootnoteText"/>
      </w:pPr>
      <w:r>
        <w:rPr>
          <w:rStyle w:val="FootnoteReference"/>
        </w:rPr>
        <w:footnoteRef/>
      </w:r>
      <w:r>
        <w:t xml:space="preserve"> </w:t>
      </w:r>
      <w:hyperlink r:id="rId1" w:history="1">
        <w:r w:rsidR="00C12E0C" w:rsidRPr="00C12E0C">
          <w:rPr>
            <w:rStyle w:val="Hyperlink"/>
          </w:rPr>
          <w:t>https://ec.europa.eu/competition/state_aid/what_is_new/sa_covid19_4th_amendment_and_prolongation_temporary_framework_en.pdf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30EAAA"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37357"/>
    <w:multiLevelType w:val="hybridMultilevel"/>
    <w:tmpl w:val="CDDE6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8F1D48"/>
    <w:multiLevelType w:val="hybridMultilevel"/>
    <w:tmpl w:val="5B506AB4"/>
    <w:lvl w:ilvl="0" w:tplc="3A48514C">
      <w:start w:val="7"/>
      <w:numFmt w:val="bullet"/>
      <w:lvlText w:val="-"/>
      <w:lvlJc w:val="left"/>
      <w:pPr>
        <w:ind w:left="360" w:hanging="360"/>
      </w:pPr>
      <w:rPr>
        <w:rFonts w:ascii="Calibri" w:eastAsia="Times New Roman"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B92381A"/>
    <w:multiLevelType w:val="hybridMultilevel"/>
    <w:tmpl w:val="A6DE1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9A3E86"/>
    <w:multiLevelType w:val="hybridMultilevel"/>
    <w:tmpl w:val="73608B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9731CD"/>
    <w:multiLevelType w:val="hybridMultilevel"/>
    <w:tmpl w:val="544EC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111602"/>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7" w15:restartNumberingAfterBreak="0">
    <w:nsid w:val="69983405"/>
    <w:multiLevelType w:val="hybridMultilevel"/>
    <w:tmpl w:val="B37E9E48"/>
    <w:lvl w:ilvl="0" w:tplc="3C804B1A">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9CE54EA"/>
    <w:multiLevelType w:val="hybridMultilevel"/>
    <w:tmpl w:val="DBECA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CFA55D4"/>
    <w:multiLevelType w:val="multilevel"/>
    <w:tmpl w:val="B894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6"/>
  </w:num>
  <w:num w:numId="8">
    <w:abstractNumId w:val="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160095"/>
    <w:rsid w:val="0018051E"/>
    <w:rsid w:val="001D44CD"/>
    <w:rsid w:val="00243426"/>
    <w:rsid w:val="0025167E"/>
    <w:rsid w:val="002E1C05"/>
    <w:rsid w:val="002F2227"/>
    <w:rsid w:val="00300889"/>
    <w:rsid w:val="00341A41"/>
    <w:rsid w:val="00343CA2"/>
    <w:rsid w:val="003459DC"/>
    <w:rsid w:val="00395731"/>
    <w:rsid w:val="003A2A4F"/>
    <w:rsid w:val="003B0BF9"/>
    <w:rsid w:val="003E0791"/>
    <w:rsid w:val="003F28AC"/>
    <w:rsid w:val="00402875"/>
    <w:rsid w:val="00413ED3"/>
    <w:rsid w:val="00420ECF"/>
    <w:rsid w:val="004454FE"/>
    <w:rsid w:val="00456E40"/>
    <w:rsid w:val="004636B1"/>
    <w:rsid w:val="00471F27"/>
    <w:rsid w:val="004A4BC2"/>
    <w:rsid w:val="004A7167"/>
    <w:rsid w:val="004C20AC"/>
    <w:rsid w:val="004C4967"/>
    <w:rsid w:val="004C62B7"/>
    <w:rsid w:val="004E191D"/>
    <w:rsid w:val="004F35C8"/>
    <w:rsid w:val="0050178F"/>
    <w:rsid w:val="00542B58"/>
    <w:rsid w:val="005D437F"/>
    <w:rsid w:val="005E175E"/>
    <w:rsid w:val="00650051"/>
    <w:rsid w:val="006510CC"/>
    <w:rsid w:val="00655F2C"/>
    <w:rsid w:val="00663F40"/>
    <w:rsid w:val="006833F3"/>
    <w:rsid w:val="00695849"/>
    <w:rsid w:val="006A7872"/>
    <w:rsid w:val="006E1081"/>
    <w:rsid w:val="006E72C7"/>
    <w:rsid w:val="007005DD"/>
    <w:rsid w:val="00714AA2"/>
    <w:rsid w:val="00720585"/>
    <w:rsid w:val="00731F0A"/>
    <w:rsid w:val="007638F3"/>
    <w:rsid w:val="007728D2"/>
    <w:rsid w:val="00773AF6"/>
    <w:rsid w:val="00775C02"/>
    <w:rsid w:val="00780ABC"/>
    <w:rsid w:val="00794871"/>
    <w:rsid w:val="00794E76"/>
    <w:rsid w:val="00795F71"/>
    <w:rsid w:val="007E5F7A"/>
    <w:rsid w:val="007E73AB"/>
    <w:rsid w:val="00801009"/>
    <w:rsid w:val="00816C11"/>
    <w:rsid w:val="0083334D"/>
    <w:rsid w:val="00842177"/>
    <w:rsid w:val="00853EF8"/>
    <w:rsid w:val="008869EA"/>
    <w:rsid w:val="00894C55"/>
    <w:rsid w:val="008C5A53"/>
    <w:rsid w:val="008E6A5F"/>
    <w:rsid w:val="00923D02"/>
    <w:rsid w:val="00931B91"/>
    <w:rsid w:val="00954DAB"/>
    <w:rsid w:val="009A2654"/>
    <w:rsid w:val="009E5536"/>
    <w:rsid w:val="009F6F2C"/>
    <w:rsid w:val="009F736F"/>
    <w:rsid w:val="00A10FC3"/>
    <w:rsid w:val="00A6073E"/>
    <w:rsid w:val="00AC22E8"/>
    <w:rsid w:val="00AE5567"/>
    <w:rsid w:val="00AF1239"/>
    <w:rsid w:val="00B055BF"/>
    <w:rsid w:val="00B16480"/>
    <w:rsid w:val="00B2165C"/>
    <w:rsid w:val="00B30F2A"/>
    <w:rsid w:val="00B351F8"/>
    <w:rsid w:val="00B45E2C"/>
    <w:rsid w:val="00B76F0F"/>
    <w:rsid w:val="00B84ACF"/>
    <w:rsid w:val="00B8725F"/>
    <w:rsid w:val="00B92AB5"/>
    <w:rsid w:val="00BA20AA"/>
    <w:rsid w:val="00BA5873"/>
    <w:rsid w:val="00BD4425"/>
    <w:rsid w:val="00BF2E10"/>
    <w:rsid w:val="00C12E0C"/>
    <w:rsid w:val="00C25B49"/>
    <w:rsid w:val="00C32565"/>
    <w:rsid w:val="00C67F18"/>
    <w:rsid w:val="00CC0D2D"/>
    <w:rsid w:val="00CE5657"/>
    <w:rsid w:val="00D02EB9"/>
    <w:rsid w:val="00D133F8"/>
    <w:rsid w:val="00D1483B"/>
    <w:rsid w:val="00D14A3E"/>
    <w:rsid w:val="00D34D1A"/>
    <w:rsid w:val="00D45BAA"/>
    <w:rsid w:val="00D5782B"/>
    <w:rsid w:val="00D64EB3"/>
    <w:rsid w:val="00D80780"/>
    <w:rsid w:val="00DE3187"/>
    <w:rsid w:val="00E3716B"/>
    <w:rsid w:val="00E5323B"/>
    <w:rsid w:val="00E55AE8"/>
    <w:rsid w:val="00E7245B"/>
    <w:rsid w:val="00E75D79"/>
    <w:rsid w:val="00E870CA"/>
    <w:rsid w:val="00E8749E"/>
    <w:rsid w:val="00E90C01"/>
    <w:rsid w:val="00E95DD0"/>
    <w:rsid w:val="00EA486E"/>
    <w:rsid w:val="00F23458"/>
    <w:rsid w:val="00F40559"/>
    <w:rsid w:val="00F57B0C"/>
    <w:rsid w:val="00F61ABF"/>
    <w:rsid w:val="00F63789"/>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9DD0"/>
  <w15:docId w15:val="{C0347A5E-B4FA-4800-AF64-29C7D2A4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Normal bullet 2,Bullet list,Saistīto dokumentu saraksts,Syle 1,Numurets,List Paragraph11,OBC Bullet,Bullet Style,L,List Paragraph1"/>
    <w:basedOn w:val="Normal"/>
    <w:link w:val="ListParagraphChar"/>
    <w:uiPriority w:val="34"/>
    <w:qFormat/>
    <w:rsid w:val="00D64EB3"/>
    <w:pPr>
      <w:spacing w:after="0" w:line="240" w:lineRule="auto"/>
      <w:ind w:left="720"/>
      <w:contextualSpacing/>
    </w:pPr>
    <w:rPr>
      <w:rFonts w:ascii="Times New Roman" w:eastAsia="Calibri" w:hAnsi="Times New Roman" w:cs="Times New Roman"/>
      <w:sz w:val="20"/>
      <w:szCs w:val="20"/>
      <w:lang w:val="en-AU"/>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34"/>
    <w:qFormat/>
    <w:locked/>
    <w:rsid w:val="00D64EB3"/>
    <w:rPr>
      <w:rFonts w:ascii="Times New Roman" w:eastAsia="Calibri" w:hAnsi="Times New Roman" w:cs="Times New Roman"/>
      <w:sz w:val="20"/>
      <w:szCs w:val="20"/>
      <w:lang w:val="en-AU"/>
    </w:rPr>
  </w:style>
  <w:style w:type="paragraph" w:styleId="BodyText">
    <w:name w:val="Body Text"/>
    <w:basedOn w:val="Normal"/>
    <w:link w:val="BodyTextChar"/>
    <w:unhideWhenUsed/>
    <w:rsid w:val="00D64EB3"/>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D64EB3"/>
    <w:rPr>
      <w:rFonts w:ascii="Times New Roman" w:eastAsia="Times New Roman" w:hAnsi="Times New Roman" w:cs="Times New Roman"/>
      <w:sz w:val="28"/>
      <w:szCs w:val="20"/>
      <w:lang w:eastAsia="lv-LV"/>
    </w:rPr>
  </w:style>
  <w:style w:type="character" w:styleId="CommentReference">
    <w:name w:val="annotation reference"/>
    <w:basedOn w:val="DefaultParagraphFont"/>
    <w:uiPriority w:val="99"/>
    <w:semiHidden/>
    <w:unhideWhenUsed/>
    <w:rsid w:val="00BA5873"/>
    <w:rPr>
      <w:sz w:val="16"/>
      <w:szCs w:val="16"/>
    </w:rPr>
  </w:style>
  <w:style w:type="paragraph" w:styleId="CommentText">
    <w:name w:val="annotation text"/>
    <w:basedOn w:val="Normal"/>
    <w:link w:val="CommentTextChar"/>
    <w:uiPriority w:val="99"/>
    <w:semiHidden/>
    <w:unhideWhenUsed/>
    <w:rsid w:val="00BA5873"/>
    <w:pPr>
      <w:spacing w:line="240" w:lineRule="auto"/>
    </w:pPr>
    <w:rPr>
      <w:sz w:val="20"/>
      <w:szCs w:val="20"/>
    </w:rPr>
  </w:style>
  <w:style w:type="character" w:customStyle="1" w:styleId="CommentTextChar">
    <w:name w:val="Comment Text Char"/>
    <w:basedOn w:val="DefaultParagraphFont"/>
    <w:link w:val="CommentText"/>
    <w:uiPriority w:val="99"/>
    <w:semiHidden/>
    <w:rsid w:val="00BA5873"/>
    <w:rPr>
      <w:sz w:val="20"/>
      <w:szCs w:val="20"/>
    </w:rPr>
  </w:style>
  <w:style w:type="paragraph" w:styleId="CommentSubject">
    <w:name w:val="annotation subject"/>
    <w:basedOn w:val="CommentText"/>
    <w:next w:val="CommentText"/>
    <w:link w:val="CommentSubjectChar"/>
    <w:uiPriority w:val="99"/>
    <w:semiHidden/>
    <w:unhideWhenUsed/>
    <w:rsid w:val="00BA5873"/>
    <w:rPr>
      <w:b/>
      <w:bCs/>
    </w:rPr>
  </w:style>
  <w:style w:type="character" w:customStyle="1" w:styleId="CommentSubjectChar">
    <w:name w:val="Comment Subject Char"/>
    <w:basedOn w:val="CommentTextChar"/>
    <w:link w:val="CommentSubject"/>
    <w:uiPriority w:val="99"/>
    <w:semiHidden/>
    <w:rsid w:val="00BA5873"/>
    <w:rPr>
      <w:b/>
      <w:bCs/>
      <w:sz w:val="20"/>
      <w:szCs w:val="20"/>
    </w:rPr>
  </w:style>
  <w:style w:type="paragraph" w:styleId="FootnoteText">
    <w:name w:val="footnote text"/>
    <w:basedOn w:val="Normal"/>
    <w:link w:val="FootnoteTextChar"/>
    <w:uiPriority w:val="99"/>
    <w:rsid w:val="00BA5873"/>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A5873"/>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BA5873"/>
    <w:rPr>
      <w:rFonts w:ascii="Times New Roman" w:hAnsi="Times New Roman"/>
      <w:vertAlign w:val="superscript"/>
    </w:rPr>
  </w:style>
  <w:style w:type="paragraph" w:customStyle="1" w:styleId="naiskr">
    <w:name w:val="naiskr"/>
    <w:basedOn w:val="Normal"/>
    <w:rsid w:val="003A2A4F"/>
    <w:pPr>
      <w:spacing w:before="75" w:after="75"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4A7167"/>
    <w:pPr>
      <w:spacing w:after="0" w:line="240" w:lineRule="auto"/>
    </w:pPr>
  </w:style>
  <w:style w:type="character" w:styleId="UnresolvedMention">
    <w:name w:val="Unresolved Mention"/>
    <w:basedOn w:val="DefaultParagraphFont"/>
    <w:uiPriority w:val="99"/>
    <w:semiHidden/>
    <w:unhideWhenUsed/>
    <w:rsid w:val="00FC73E1"/>
    <w:rPr>
      <w:color w:val="605E5C"/>
      <w:shd w:val="clear" w:color="auto" w:fill="E1DFDD"/>
    </w:rPr>
  </w:style>
  <w:style w:type="character" w:customStyle="1" w:styleId="normaltextrun">
    <w:name w:val="normaltextrun"/>
    <w:basedOn w:val="DefaultParagraphFont"/>
    <w:rsid w:val="006833F3"/>
  </w:style>
  <w:style w:type="character" w:customStyle="1" w:styleId="eop">
    <w:name w:val="eop"/>
    <w:basedOn w:val="DefaultParagraphFont"/>
    <w:rsid w:val="0068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989">
      <w:bodyDiv w:val="1"/>
      <w:marLeft w:val="0"/>
      <w:marRight w:val="0"/>
      <w:marTop w:val="0"/>
      <w:marBottom w:val="0"/>
      <w:divBdr>
        <w:top w:val="none" w:sz="0" w:space="0" w:color="auto"/>
        <w:left w:val="none" w:sz="0" w:space="0" w:color="auto"/>
        <w:bottom w:val="none" w:sz="0" w:space="0" w:color="auto"/>
        <w:right w:val="none" w:sz="0" w:space="0" w:color="auto"/>
      </w:divBdr>
      <w:divsChild>
        <w:div w:id="1445886874">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3942055">
      <w:bodyDiv w:val="1"/>
      <w:marLeft w:val="0"/>
      <w:marRight w:val="0"/>
      <w:marTop w:val="0"/>
      <w:marBottom w:val="0"/>
      <w:divBdr>
        <w:top w:val="none" w:sz="0" w:space="0" w:color="auto"/>
        <w:left w:val="none" w:sz="0" w:space="0" w:color="auto"/>
        <w:bottom w:val="none" w:sz="0" w:space="0" w:color="auto"/>
        <w:right w:val="none" w:sz="0" w:space="0" w:color="auto"/>
      </w:divBdr>
      <w:divsChild>
        <w:div w:id="89351082">
          <w:marLeft w:val="0"/>
          <w:marRight w:val="0"/>
          <w:marTop w:val="0"/>
          <w:marBottom w:val="0"/>
          <w:divBdr>
            <w:top w:val="none" w:sz="0" w:space="0" w:color="auto"/>
            <w:left w:val="none" w:sz="0" w:space="0" w:color="auto"/>
            <w:bottom w:val="none" w:sz="0" w:space="0" w:color="auto"/>
            <w:right w:val="none" w:sz="0" w:space="0" w:color="auto"/>
          </w:divBdr>
        </w:div>
      </w:divsChild>
    </w:div>
    <w:div w:id="864827190">
      <w:bodyDiv w:val="1"/>
      <w:marLeft w:val="0"/>
      <w:marRight w:val="0"/>
      <w:marTop w:val="0"/>
      <w:marBottom w:val="0"/>
      <w:divBdr>
        <w:top w:val="none" w:sz="0" w:space="0" w:color="auto"/>
        <w:left w:val="none" w:sz="0" w:space="0" w:color="auto"/>
        <w:bottom w:val="none" w:sz="0" w:space="0" w:color="auto"/>
        <w:right w:val="none" w:sz="0" w:space="0" w:color="auto"/>
      </w:divBdr>
      <w:divsChild>
        <w:div w:id="782262076">
          <w:marLeft w:val="0"/>
          <w:marRight w:val="0"/>
          <w:marTop w:val="0"/>
          <w:marBottom w:val="0"/>
          <w:divBdr>
            <w:top w:val="none" w:sz="0" w:space="0" w:color="auto"/>
            <w:left w:val="none" w:sz="0" w:space="0" w:color="auto"/>
            <w:bottom w:val="none" w:sz="0" w:space="0" w:color="auto"/>
            <w:right w:val="none" w:sz="0" w:space="0" w:color="auto"/>
          </w:divBdr>
          <w:divsChild>
            <w:div w:id="1441251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3754722">
      <w:bodyDiv w:val="1"/>
      <w:marLeft w:val="0"/>
      <w:marRight w:val="0"/>
      <w:marTop w:val="0"/>
      <w:marBottom w:val="0"/>
      <w:divBdr>
        <w:top w:val="none" w:sz="0" w:space="0" w:color="auto"/>
        <w:left w:val="none" w:sz="0" w:space="0" w:color="auto"/>
        <w:bottom w:val="none" w:sz="0" w:space="0" w:color="auto"/>
        <w:right w:val="none" w:sz="0" w:space="0" w:color="auto"/>
      </w:divBdr>
      <w:divsChild>
        <w:div w:id="1724014810">
          <w:marLeft w:val="0"/>
          <w:marRight w:val="0"/>
          <w:marTop w:val="0"/>
          <w:marBottom w:val="0"/>
          <w:divBdr>
            <w:top w:val="none" w:sz="0" w:space="0" w:color="auto"/>
            <w:left w:val="none" w:sz="0" w:space="0" w:color="auto"/>
            <w:bottom w:val="none" w:sz="0" w:space="0" w:color="auto"/>
            <w:right w:val="none" w:sz="0" w:space="0" w:color="auto"/>
          </w:divBdr>
          <w:divsChild>
            <w:div w:id="21026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16001522">
      <w:bodyDiv w:val="1"/>
      <w:marLeft w:val="0"/>
      <w:marRight w:val="0"/>
      <w:marTop w:val="0"/>
      <w:marBottom w:val="0"/>
      <w:divBdr>
        <w:top w:val="none" w:sz="0" w:space="0" w:color="auto"/>
        <w:left w:val="none" w:sz="0" w:space="0" w:color="auto"/>
        <w:bottom w:val="none" w:sz="0" w:space="0" w:color="auto"/>
        <w:right w:val="none" w:sz="0" w:space="0" w:color="auto"/>
      </w:divBdr>
      <w:divsChild>
        <w:div w:id="2069457523">
          <w:marLeft w:val="0"/>
          <w:marRight w:val="0"/>
          <w:marTop w:val="0"/>
          <w:marBottom w:val="0"/>
          <w:divBdr>
            <w:top w:val="none" w:sz="0" w:space="0" w:color="auto"/>
            <w:left w:val="none" w:sz="0" w:space="0" w:color="auto"/>
            <w:bottom w:val="none" w:sz="0" w:space="0" w:color="auto"/>
            <w:right w:val="none" w:sz="0" w:space="0" w:color="auto"/>
          </w:divBdr>
        </w:div>
      </w:divsChild>
    </w:div>
    <w:div w:id="2055080546">
      <w:bodyDiv w:val="1"/>
      <w:marLeft w:val="0"/>
      <w:marRight w:val="0"/>
      <w:marTop w:val="0"/>
      <w:marBottom w:val="0"/>
      <w:divBdr>
        <w:top w:val="none" w:sz="0" w:space="0" w:color="auto"/>
        <w:left w:val="none" w:sz="0" w:space="0" w:color="auto"/>
        <w:bottom w:val="none" w:sz="0" w:space="0" w:color="auto"/>
        <w:right w:val="none" w:sz="0" w:space="0" w:color="auto"/>
      </w:divBdr>
      <w:divsChild>
        <w:div w:id="133052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5/1589/oj/?local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31611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state_aid/what_is_new/sa_covid19_4th_amendment_and_prolongation_temporary_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10356</Words>
  <Characters>5904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Kristīne Priedīte</cp:lastModifiedBy>
  <cp:revision>28</cp:revision>
  <dcterms:created xsi:type="dcterms:W3CDTF">2020-11-05T14:12:00Z</dcterms:created>
  <dcterms:modified xsi:type="dcterms:W3CDTF">2020-12-14T11:50:00Z</dcterms:modified>
</cp:coreProperties>
</file>