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DE00" w14:textId="45BEC599" w:rsidR="00310924" w:rsidRPr="00E04790" w:rsidRDefault="00032471" w:rsidP="003C585E">
      <w:pPr>
        <w:shd w:val="clear" w:color="auto" w:fill="FFFFFF"/>
        <w:contextualSpacing/>
        <w:jc w:val="center"/>
        <w:rPr>
          <w:b/>
          <w:sz w:val="26"/>
          <w:szCs w:val="26"/>
          <w:lang w:val="lv-LV"/>
        </w:rPr>
      </w:pPr>
      <w:bookmarkStart w:id="0" w:name="OLE_LINK3"/>
      <w:bookmarkStart w:id="1" w:name="OLE_LINK1"/>
      <w:bookmarkStart w:id="2" w:name="OLE_LINK2"/>
      <w:r w:rsidRPr="00E04790">
        <w:rPr>
          <w:b/>
          <w:sz w:val="26"/>
          <w:szCs w:val="26"/>
          <w:lang w:val="lv-LV"/>
        </w:rPr>
        <w:t xml:space="preserve">Ministru kabineta noteikumu projekta </w:t>
      </w:r>
      <w:r w:rsidR="003D3CA2" w:rsidRPr="00E04790">
        <w:rPr>
          <w:b/>
          <w:sz w:val="26"/>
          <w:szCs w:val="26"/>
          <w:lang w:val="lv-LV"/>
        </w:rPr>
        <w:t>“</w:t>
      </w:r>
      <w:bookmarkStart w:id="3" w:name="_Hlk35444668"/>
      <w:r w:rsidR="00734DAD" w:rsidRPr="00E04790">
        <w:rPr>
          <w:b/>
          <w:sz w:val="26"/>
          <w:szCs w:val="26"/>
          <w:lang w:val="lv-LV"/>
        </w:rPr>
        <w:t>Grozījumi M</w:t>
      </w:r>
      <w:r w:rsidR="00BA208A" w:rsidRPr="00E04790">
        <w:rPr>
          <w:b/>
          <w:sz w:val="26"/>
          <w:szCs w:val="26"/>
          <w:lang w:val="lv-LV"/>
        </w:rPr>
        <w:t xml:space="preserve">inistru kabineta </w:t>
      </w:r>
      <w:r w:rsidR="00734DAD" w:rsidRPr="00E04790">
        <w:rPr>
          <w:b/>
          <w:sz w:val="26"/>
          <w:szCs w:val="26"/>
          <w:lang w:val="lv-LV"/>
        </w:rPr>
        <w:t xml:space="preserve"> </w:t>
      </w:r>
      <w:r w:rsidR="00BA208A" w:rsidRPr="00E04790">
        <w:rPr>
          <w:b/>
          <w:sz w:val="26"/>
          <w:szCs w:val="26"/>
          <w:lang w:val="lv-LV"/>
        </w:rPr>
        <w:t xml:space="preserve">2020.gada 16.jūnija </w:t>
      </w:r>
      <w:r w:rsidR="00734DAD" w:rsidRPr="00E04790">
        <w:rPr>
          <w:b/>
          <w:sz w:val="26"/>
          <w:szCs w:val="26"/>
          <w:lang w:val="lv-LV"/>
        </w:rPr>
        <w:t>noteikumos Nr.383 “</w:t>
      </w:r>
      <w:bookmarkEnd w:id="3"/>
      <w:r w:rsidR="003251AC" w:rsidRPr="00E04790">
        <w:rPr>
          <w:b/>
          <w:sz w:val="26"/>
          <w:szCs w:val="26"/>
          <w:lang w:val="lv-LV"/>
        </w:rPr>
        <w:t>Noteikumi par garantijām saimnieciskās darbības veicējiem konkurētspējas uzlabošanai</w:t>
      </w:r>
      <w:r w:rsidRPr="00E04790">
        <w:rPr>
          <w:b/>
          <w:sz w:val="26"/>
          <w:szCs w:val="26"/>
          <w:lang w:val="lv-LV"/>
        </w:rPr>
        <w:t>”</w:t>
      </w:r>
      <w:r w:rsidR="00734DAD" w:rsidRPr="00E04790">
        <w:rPr>
          <w:b/>
          <w:sz w:val="26"/>
          <w:szCs w:val="26"/>
          <w:lang w:val="lv-LV"/>
        </w:rPr>
        <w:t xml:space="preserve">” </w:t>
      </w:r>
      <w:r w:rsidRPr="00E04790">
        <w:rPr>
          <w:b/>
          <w:sz w:val="26"/>
          <w:szCs w:val="26"/>
          <w:lang w:val="lv-LV"/>
        </w:rPr>
        <w:t>sākotnējās ietekmes novērtējuma ziņojums (anotācija)</w:t>
      </w:r>
    </w:p>
    <w:p w14:paraId="286653D2" w14:textId="77777777" w:rsidR="00032471" w:rsidRPr="00E04790" w:rsidRDefault="00032471" w:rsidP="006064F8">
      <w:pPr>
        <w:contextualSpacing/>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310924" w:rsidRPr="00E04790" w14:paraId="06A3987D" w14:textId="77777777" w:rsidTr="00BB0042">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E04790" w:rsidRDefault="00310924" w:rsidP="006064F8">
            <w:pPr>
              <w:contextualSpacing/>
              <w:rPr>
                <w:rFonts w:eastAsia="Times New Roman"/>
                <w:b/>
                <w:bCs/>
                <w:iCs/>
                <w:sz w:val="26"/>
                <w:szCs w:val="26"/>
                <w:lang w:val="lv-LV" w:eastAsia="lv-LV"/>
              </w:rPr>
            </w:pPr>
            <w:r w:rsidRPr="00E04790">
              <w:rPr>
                <w:rFonts w:eastAsia="Times New Roman"/>
                <w:b/>
                <w:bCs/>
                <w:iCs/>
                <w:sz w:val="26"/>
                <w:szCs w:val="26"/>
                <w:lang w:val="lv-LV" w:eastAsia="lv-LV"/>
              </w:rPr>
              <w:t>Tiesību akta projekta anotācijas kopsavilkums</w:t>
            </w:r>
          </w:p>
        </w:tc>
      </w:tr>
      <w:tr w:rsidR="00310924" w:rsidRPr="00DD1A4B" w14:paraId="5F92C921" w14:textId="77777777" w:rsidTr="00BB0042">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4D1DBABE" w14:textId="77777777" w:rsidR="00310924" w:rsidRPr="00E04790" w:rsidRDefault="00310924" w:rsidP="006064F8">
            <w:pPr>
              <w:contextualSpacing/>
              <w:rPr>
                <w:rFonts w:eastAsia="Times New Roman"/>
                <w:iCs/>
                <w:sz w:val="26"/>
                <w:szCs w:val="26"/>
                <w:lang w:val="lv-LV" w:eastAsia="lv-LV"/>
              </w:rPr>
            </w:pPr>
            <w:r w:rsidRPr="00E04790">
              <w:rPr>
                <w:rFonts w:eastAsia="Times New Roman"/>
                <w:iCs/>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2B528CB8" w14:textId="77777777" w:rsidR="00DD696D" w:rsidRPr="00E04790" w:rsidRDefault="003E7E55" w:rsidP="00251FA5">
            <w:pPr>
              <w:contextualSpacing/>
              <w:jc w:val="both"/>
              <w:rPr>
                <w:rFonts w:eastAsia="Times New Roman"/>
                <w:iCs/>
                <w:sz w:val="26"/>
                <w:szCs w:val="26"/>
                <w:lang w:val="lv-LV"/>
              </w:rPr>
            </w:pPr>
            <w:r w:rsidRPr="00E04790">
              <w:rPr>
                <w:bCs/>
                <w:sz w:val="26"/>
                <w:szCs w:val="26"/>
                <w:lang w:val="lv-LV"/>
              </w:rPr>
              <w:t>Ministru kabineta noteikumu projekts “Grozījumi Ministru kabineta  2020.gada 16.jūnija noteikumos Nr.383 “Noteikumi par garantijām saimnieciskās darbības veicējiem konkurētspējas uzlabošanai””</w:t>
            </w:r>
            <w:r w:rsidRPr="00E04790">
              <w:rPr>
                <w:b/>
                <w:sz w:val="26"/>
                <w:szCs w:val="26"/>
                <w:lang w:val="lv-LV"/>
              </w:rPr>
              <w:t xml:space="preserve"> </w:t>
            </w:r>
            <w:r w:rsidRPr="00E04790">
              <w:rPr>
                <w:rFonts w:eastAsia="Times New Roman"/>
                <w:iCs/>
                <w:sz w:val="26"/>
                <w:szCs w:val="26"/>
                <w:lang w:val="lv-LV"/>
              </w:rPr>
              <w:t>(turpmāk – Noteikumu projekts)</w:t>
            </w:r>
            <w:r w:rsidRPr="00E04790">
              <w:rPr>
                <w:rFonts w:eastAsiaTheme="minorHAnsi"/>
                <w:sz w:val="26"/>
                <w:szCs w:val="26"/>
                <w:lang w:val="lv-LV"/>
              </w:rPr>
              <w:t xml:space="preserve"> </w:t>
            </w:r>
            <w:r w:rsidR="00251FA5" w:rsidRPr="00E04790">
              <w:rPr>
                <w:rFonts w:eastAsia="Times New Roman"/>
                <w:iCs/>
                <w:sz w:val="26"/>
                <w:szCs w:val="26"/>
                <w:lang w:val="lv-LV"/>
              </w:rPr>
              <w:t xml:space="preserve">nosaka </w:t>
            </w:r>
            <w:r w:rsidR="00FB5467" w:rsidRPr="00E04790">
              <w:rPr>
                <w:rFonts w:eastAsia="Times New Roman"/>
                <w:iCs/>
                <w:sz w:val="26"/>
                <w:szCs w:val="26"/>
                <w:lang w:val="lv-LV"/>
              </w:rPr>
              <w:t xml:space="preserve">papildus finansējumu, kuru </w:t>
            </w:r>
            <w:r w:rsidR="004615AE" w:rsidRPr="00E04790">
              <w:rPr>
                <w:rFonts w:eastAsia="Times New Roman"/>
                <w:iCs/>
                <w:sz w:val="26"/>
                <w:szCs w:val="26"/>
                <w:lang w:val="lv-LV"/>
              </w:rPr>
              <w:t>paredzēts</w:t>
            </w:r>
            <w:r w:rsidR="00FB5467" w:rsidRPr="00E04790">
              <w:rPr>
                <w:rFonts w:eastAsia="Times New Roman"/>
                <w:iCs/>
                <w:sz w:val="26"/>
                <w:szCs w:val="26"/>
                <w:lang w:val="lv-LV"/>
              </w:rPr>
              <w:t xml:space="preserve"> izmantot </w:t>
            </w:r>
            <w:r w:rsidR="00251FA5" w:rsidRPr="00E04790">
              <w:rPr>
                <w:rFonts w:eastAsia="Times New Roman"/>
                <w:iCs/>
                <w:sz w:val="26"/>
                <w:szCs w:val="26"/>
                <w:lang w:val="lv-LV"/>
              </w:rPr>
              <w:t>garantiju pieejamībai tūrisma nozares komersantiem</w:t>
            </w:r>
            <w:r w:rsidR="00E36F7D" w:rsidRPr="00E04790">
              <w:rPr>
                <w:rFonts w:eastAsia="Times New Roman"/>
                <w:iCs/>
                <w:sz w:val="26"/>
                <w:szCs w:val="26"/>
                <w:lang w:val="lv-LV"/>
              </w:rPr>
              <w:t>, kuri</w:t>
            </w:r>
            <w:r w:rsidR="00251FA5" w:rsidRPr="00E04790">
              <w:rPr>
                <w:rFonts w:eastAsia="Times New Roman"/>
                <w:iCs/>
                <w:sz w:val="26"/>
                <w:szCs w:val="26"/>
                <w:lang w:val="lv-LV"/>
              </w:rPr>
              <w:t xml:space="preserve"> nodrošina tūrisma operatoru pakalpojumus un kuru darbību ietekmējusi Covid-19 vīrusa izplatības rezultātā noteiktie ierobežojumi</w:t>
            </w:r>
            <w:r w:rsidRPr="00E04790">
              <w:rPr>
                <w:rFonts w:eastAsia="Times New Roman"/>
                <w:iCs/>
                <w:sz w:val="26"/>
                <w:szCs w:val="26"/>
                <w:lang w:val="lv-LV"/>
              </w:rPr>
              <w:t>.</w:t>
            </w:r>
          </w:p>
          <w:p w14:paraId="0891E1DE" w14:textId="6E5C4594" w:rsidR="005F3835" w:rsidRPr="00E04790" w:rsidRDefault="005F3835" w:rsidP="00251FA5">
            <w:pPr>
              <w:contextualSpacing/>
              <w:jc w:val="both"/>
              <w:rPr>
                <w:rFonts w:eastAsia="Times New Roman"/>
                <w:iCs/>
                <w:sz w:val="26"/>
                <w:szCs w:val="26"/>
                <w:lang w:val="lv-LV" w:eastAsia="lv-LV"/>
              </w:rPr>
            </w:pPr>
            <w:r w:rsidRPr="00E04790">
              <w:rPr>
                <w:rFonts w:eastAsia="Times New Roman"/>
                <w:iCs/>
                <w:sz w:val="26"/>
                <w:szCs w:val="26"/>
                <w:lang w:val="lv-LV" w:eastAsia="lv-LV"/>
              </w:rPr>
              <w:t>Noteikumu projekts stājas spēkā nākamajā dienā pēc tā izsludināšanas oficiālajā izdevumā “Latvijas vēstnesis”.</w:t>
            </w:r>
          </w:p>
        </w:tc>
      </w:tr>
    </w:tbl>
    <w:p w14:paraId="6A8022D4" w14:textId="0FD7EE14" w:rsidR="00310924" w:rsidRPr="00E04790" w:rsidRDefault="00310924" w:rsidP="00434856">
      <w:pPr>
        <w:tabs>
          <w:tab w:val="right" w:pos="9072"/>
        </w:tabs>
        <w:contextualSpacing/>
        <w:rPr>
          <w:sz w:val="26"/>
          <w:szCs w:val="26"/>
          <w:lang w:val="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160"/>
      </w:tblGrid>
      <w:tr w:rsidR="00844176" w:rsidRPr="00E04790" w14:paraId="02364BB3" w14:textId="77777777" w:rsidTr="00434856">
        <w:trPr>
          <w:trHeight w:val="307"/>
        </w:trPr>
        <w:tc>
          <w:tcPr>
            <w:tcW w:w="9129"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E04790" w:rsidRDefault="00844176" w:rsidP="00434856">
            <w:pPr>
              <w:tabs>
                <w:tab w:val="left" w:pos="5888"/>
              </w:tabs>
              <w:contextualSpacing/>
              <w:jc w:val="center"/>
              <w:rPr>
                <w:rFonts w:eastAsia="Times New Roman"/>
                <w:sz w:val="26"/>
                <w:szCs w:val="26"/>
                <w:lang w:val="lv-LV" w:eastAsia="lv-LV"/>
              </w:rPr>
            </w:pPr>
            <w:r w:rsidRPr="00E04790">
              <w:rPr>
                <w:b/>
                <w:sz w:val="26"/>
                <w:szCs w:val="26"/>
                <w:lang w:val="lv-LV"/>
              </w:rPr>
              <w:t>I. Tiesību akta projekta izstrādes nepieciešamība</w:t>
            </w:r>
          </w:p>
        </w:tc>
      </w:tr>
      <w:tr w:rsidR="00844176" w:rsidRPr="00DD1A4B" w14:paraId="7F385C9A" w14:textId="77777777" w:rsidTr="00434856">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E04790" w:rsidRDefault="00844176" w:rsidP="00D74824">
            <w:pPr>
              <w:spacing w:after="160" w:line="259" w:lineRule="auto"/>
              <w:contextualSpacing/>
              <w:jc w:val="both"/>
              <w:rPr>
                <w:rFonts w:eastAsiaTheme="minorHAnsi"/>
                <w:sz w:val="26"/>
                <w:szCs w:val="26"/>
                <w:lang w:val="lv-LV"/>
              </w:rPr>
            </w:pPr>
            <w:r w:rsidRPr="00E04790">
              <w:rPr>
                <w:rFonts w:eastAsiaTheme="minorHAnsi"/>
                <w:sz w:val="26"/>
                <w:szCs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E04790" w:rsidRDefault="00844176" w:rsidP="00D74824">
            <w:pPr>
              <w:spacing w:after="160" w:line="259" w:lineRule="auto"/>
              <w:contextualSpacing/>
              <w:jc w:val="both"/>
              <w:rPr>
                <w:rFonts w:eastAsiaTheme="minorHAnsi"/>
                <w:sz w:val="26"/>
                <w:szCs w:val="26"/>
                <w:lang w:val="lv-LV"/>
              </w:rPr>
            </w:pPr>
            <w:r w:rsidRPr="00E04790">
              <w:rPr>
                <w:rFonts w:eastAsiaTheme="minorHAnsi"/>
                <w:sz w:val="26"/>
                <w:szCs w:val="26"/>
                <w:lang w:val="lv-LV"/>
              </w:rPr>
              <w:t>Pamatojums</w:t>
            </w:r>
          </w:p>
        </w:tc>
        <w:tc>
          <w:tcPr>
            <w:tcW w:w="6160" w:type="dxa"/>
            <w:tcBorders>
              <w:top w:val="outset" w:sz="6" w:space="0" w:color="414142"/>
              <w:left w:val="outset" w:sz="6" w:space="0" w:color="414142"/>
              <w:bottom w:val="outset" w:sz="6" w:space="0" w:color="414142"/>
              <w:right w:val="outset" w:sz="6" w:space="0" w:color="414142"/>
            </w:tcBorders>
            <w:hideMark/>
          </w:tcPr>
          <w:p w14:paraId="79DF1BBF" w14:textId="3F31FF9E" w:rsidR="00B72365" w:rsidRPr="00E04790" w:rsidRDefault="00BF31D5" w:rsidP="00D74824">
            <w:pPr>
              <w:spacing w:after="160" w:line="259" w:lineRule="auto"/>
              <w:contextualSpacing/>
              <w:jc w:val="both"/>
              <w:rPr>
                <w:rFonts w:eastAsiaTheme="minorHAnsi"/>
                <w:sz w:val="26"/>
                <w:szCs w:val="26"/>
                <w:lang w:val="lv-LV"/>
              </w:rPr>
            </w:pPr>
            <w:r w:rsidRPr="00E04790">
              <w:rPr>
                <w:rFonts w:eastAsiaTheme="minorHAnsi"/>
                <w:sz w:val="26"/>
                <w:szCs w:val="26"/>
                <w:lang w:val="lv-LV"/>
              </w:rPr>
              <w:t>Noteikumu p</w:t>
            </w:r>
            <w:r w:rsidR="00434856" w:rsidRPr="00E04790">
              <w:rPr>
                <w:rFonts w:eastAsiaTheme="minorHAnsi"/>
                <w:sz w:val="26"/>
                <w:szCs w:val="26"/>
                <w:lang w:val="lv-LV"/>
              </w:rPr>
              <w:t>rojekts sagatavots</w:t>
            </w:r>
            <w:r w:rsidR="00AB30B4" w:rsidRPr="00E04790">
              <w:rPr>
                <w:rFonts w:eastAsiaTheme="minorHAnsi"/>
                <w:sz w:val="26"/>
                <w:szCs w:val="26"/>
                <w:lang w:val="lv-LV"/>
              </w:rPr>
              <w:t xml:space="preserve"> pēc Ekonomikas ministrijas iniciatīvas pamatojoties uz Attīstības finanšu institūcijas likuma 12.panta ceturto daļu</w:t>
            </w:r>
            <w:r w:rsidR="00B51099" w:rsidRPr="00E04790">
              <w:rPr>
                <w:rFonts w:eastAsiaTheme="minorHAnsi"/>
                <w:sz w:val="26"/>
                <w:szCs w:val="26"/>
                <w:lang w:val="lv-LV"/>
              </w:rPr>
              <w:t xml:space="preserve">, lai samazinātu Covid-19 </w:t>
            </w:r>
            <w:r w:rsidR="00AA0B5A" w:rsidRPr="00E04790">
              <w:rPr>
                <w:rFonts w:eastAsiaTheme="minorHAnsi"/>
                <w:sz w:val="26"/>
                <w:szCs w:val="26"/>
                <w:lang w:val="lv-LV"/>
              </w:rPr>
              <w:t xml:space="preserve">vīrusa izplatības </w:t>
            </w:r>
            <w:r w:rsidR="00B51099" w:rsidRPr="00E04790">
              <w:rPr>
                <w:rFonts w:eastAsiaTheme="minorHAnsi"/>
                <w:sz w:val="26"/>
                <w:szCs w:val="26"/>
                <w:lang w:val="lv-LV"/>
              </w:rPr>
              <w:t xml:space="preserve">negatīvo ietekmi uz </w:t>
            </w:r>
            <w:r w:rsidR="00251FA5" w:rsidRPr="00E04790">
              <w:rPr>
                <w:rFonts w:eastAsiaTheme="minorHAnsi"/>
                <w:sz w:val="26"/>
                <w:szCs w:val="26"/>
                <w:lang w:val="lv-LV"/>
              </w:rPr>
              <w:t>tūrisma nozares komersantiem, kuri nodrošina tūrisma operatoru pakalpojumus, un kuru darbību ir ietekmējusi Covid-19 vīrusa izplatības rezultātā noteiktie ierobežojumi kā rezultātā tie nespēj piesaistīt komercbanku nodrošinājuma garantijas savas darbības turpināšanai.</w:t>
            </w:r>
          </w:p>
        </w:tc>
      </w:tr>
      <w:tr w:rsidR="00844176" w:rsidRPr="00DD1A4B" w14:paraId="62EDED08" w14:textId="77777777" w:rsidTr="00434856">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E04790" w:rsidRDefault="00844176" w:rsidP="00434856">
            <w:pPr>
              <w:contextualSpacing/>
              <w:rPr>
                <w:rFonts w:eastAsia="Times New Roman"/>
                <w:sz w:val="26"/>
                <w:szCs w:val="26"/>
                <w:lang w:val="lv-LV" w:eastAsia="lv-LV"/>
              </w:rPr>
            </w:pPr>
            <w:r w:rsidRPr="00E04790">
              <w:rPr>
                <w:sz w:val="26"/>
                <w:szCs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40AD4671" w14:textId="044133EA" w:rsidR="00844176" w:rsidRPr="00E04790" w:rsidRDefault="00844176" w:rsidP="00434856">
            <w:pPr>
              <w:contextualSpacing/>
              <w:rPr>
                <w:rFonts w:eastAsia="Times New Roman"/>
                <w:sz w:val="26"/>
                <w:szCs w:val="26"/>
                <w:lang w:val="lv-LV" w:eastAsia="lv-LV"/>
              </w:rPr>
            </w:pPr>
            <w:r w:rsidRPr="00E04790">
              <w:rPr>
                <w:sz w:val="26"/>
                <w:szCs w:val="26"/>
                <w:lang w:val="lv-LV"/>
              </w:rPr>
              <w:t>Pašreizējā situācija un problēmas, kuru risināšanai tiesību akta projekts izstrādāts, tiesiskā regulējuma mērķis un būtība</w:t>
            </w:r>
          </w:p>
        </w:tc>
        <w:tc>
          <w:tcPr>
            <w:tcW w:w="6160" w:type="dxa"/>
            <w:tcBorders>
              <w:top w:val="outset" w:sz="6" w:space="0" w:color="414142"/>
              <w:left w:val="outset" w:sz="6" w:space="0" w:color="414142"/>
              <w:bottom w:val="outset" w:sz="6" w:space="0" w:color="414142"/>
              <w:right w:val="outset" w:sz="6" w:space="0" w:color="414142"/>
            </w:tcBorders>
          </w:tcPr>
          <w:p w14:paraId="7767F199" w14:textId="4A0C1E69" w:rsidR="00906D17" w:rsidRPr="00E04790" w:rsidRDefault="00906D17" w:rsidP="00906D17">
            <w:pPr>
              <w:pStyle w:val="Default"/>
              <w:spacing w:before="120" w:after="120"/>
              <w:jc w:val="both"/>
              <w:rPr>
                <w:rFonts w:ascii="Times New Roman" w:eastAsia="Times New Roman" w:hAnsi="Times New Roman" w:cs="Times New Roman"/>
                <w:b/>
                <w:bCs/>
                <w:i/>
                <w:sz w:val="26"/>
                <w:szCs w:val="26"/>
                <w:lang w:eastAsia="lv-LV"/>
              </w:rPr>
            </w:pPr>
            <w:r w:rsidRPr="00E04790">
              <w:rPr>
                <w:rFonts w:ascii="Times New Roman" w:eastAsia="Times New Roman" w:hAnsi="Times New Roman" w:cs="Times New Roman"/>
                <w:b/>
                <w:bCs/>
                <w:i/>
                <w:sz w:val="26"/>
                <w:szCs w:val="26"/>
                <w:lang w:eastAsia="lv-LV"/>
              </w:rPr>
              <w:t>Atbalsts tūrisma operatoriem</w:t>
            </w:r>
            <w:r w:rsidR="00FA5C8C" w:rsidRPr="00E04790">
              <w:rPr>
                <w:rFonts w:ascii="Times New Roman" w:eastAsia="Times New Roman" w:hAnsi="Times New Roman" w:cs="Times New Roman"/>
                <w:b/>
                <w:bCs/>
                <w:i/>
                <w:sz w:val="26"/>
                <w:szCs w:val="26"/>
                <w:lang w:eastAsia="lv-LV"/>
              </w:rPr>
              <w:t xml:space="preserve"> un papildus finansējums</w:t>
            </w:r>
          </w:p>
          <w:p w14:paraId="762BB14E" w14:textId="1C36AA00" w:rsidR="00251FA5" w:rsidRPr="00E04790" w:rsidRDefault="007F4575" w:rsidP="00D74824">
            <w:pPr>
              <w:spacing w:before="240"/>
              <w:ind w:firstLine="419"/>
              <w:jc w:val="both"/>
              <w:rPr>
                <w:rFonts w:eastAsia="Times New Roman"/>
                <w:iCs/>
                <w:sz w:val="26"/>
                <w:szCs w:val="26"/>
                <w:lang w:val="lv-LV" w:eastAsia="lv-LV"/>
              </w:rPr>
            </w:pPr>
            <w:r w:rsidRPr="00E04790">
              <w:rPr>
                <w:rFonts w:eastAsia="Times New Roman"/>
                <w:iCs/>
                <w:sz w:val="26"/>
                <w:szCs w:val="26"/>
                <w:lang w:val="lv-LV" w:eastAsia="lv-LV"/>
              </w:rPr>
              <w:t xml:space="preserve">Saistībā ar COVID-19 izplatību pasaulē un Latvijā </w:t>
            </w:r>
            <w:r w:rsidR="007E2AE1" w:rsidRPr="00E04790">
              <w:rPr>
                <w:rFonts w:eastAsia="Times New Roman"/>
                <w:iCs/>
                <w:sz w:val="26"/>
                <w:szCs w:val="26"/>
                <w:lang w:val="lv-LV" w:eastAsia="lv-LV"/>
              </w:rPr>
              <w:t xml:space="preserve">tika </w:t>
            </w:r>
            <w:r w:rsidRPr="00E04790">
              <w:rPr>
                <w:rFonts w:eastAsia="Times New Roman"/>
                <w:iCs/>
                <w:sz w:val="26"/>
                <w:szCs w:val="26"/>
                <w:lang w:val="lv-LV" w:eastAsia="lv-LV"/>
              </w:rPr>
              <w:t>noteikt</w:t>
            </w:r>
            <w:r w:rsidR="007E2AE1" w:rsidRPr="00E04790">
              <w:rPr>
                <w:rFonts w:eastAsia="Times New Roman"/>
                <w:iCs/>
                <w:sz w:val="26"/>
                <w:szCs w:val="26"/>
                <w:lang w:val="lv-LV" w:eastAsia="lv-LV"/>
              </w:rPr>
              <w:t>i</w:t>
            </w:r>
            <w:r w:rsidRPr="00E04790">
              <w:rPr>
                <w:rFonts w:eastAsia="Times New Roman"/>
                <w:iCs/>
                <w:sz w:val="26"/>
                <w:szCs w:val="26"/>
                <w:lang w:val="lv-LV" w:eastAsia="lv-LV"/>
              </w:rPr>
              <w:t xml:space="preserve"> virkne stingru ierobežojošu pasākumu. Šā gada 12.martā visā valsts teritorijā tika izsludināta ārkārtējā situācija ar mērķi ierobežot Covid-19 izplatību ārkārtējās situācijas spēkā esamības laikā (Ministru kabineta 2020. gada 12. marta rīkojums Nr. 103 "Par ārkārtējās situācijas izsludināšanu"). Iekļautie nosacījumi būtiski ietekmēja tūrisma nozares darbību, jo īpaši starptautisko pasažieru pārvadājumu pārtraukšana, liedzot ceļošanas iespējas un starptautisku sasniedzamību, pārvietošanos pa teritoriju, tādējādi kritiski samazinot saimnieciskās darbības iespējas tūrisma un pasākumu nozarei.</w:t>
            </w:r>
          </w:p>
          <w:p w14:paraId="78249205" w14:textId="73CC3281" w:rsidR="00520907" w:rsidRPr="00E04790" w:rsidRDefault="00520907" w:rsidP="00520907">
            <w:pPr>
              <w:spacing w:before="240"/>
              <w:jc w:val="both"/>
              <w:rPr>
                <w:rFonts w:eastAsia="Times New Roman"/>
                <w:iCs/>
                <w:sz w:val="26"/>
                <w:szCs w:val="26"/>
                <w:lang w:val="lv-LV" w:eastAsia="lv-LV"/>
              </w:rPr>
            </w:pPr>
            <w:r w:rsidRPr="00E04790">
              <w:rPr>
                <w:rFonts w:eastAsia="Times New Roman"/>
                <w:color w:val="000000" w:themeColor="text1"/>
                <w:sz w:val="26"/>
                <w:szCs w:val="26"/>
                <w:lang w:val="lv-LV" w:eastAsia="lv-LV"/>
              </w:rPr>
              <w:t xml:space="preserve">Valstī 2020.gada 6.novembrī atkārtoti izsludināta ārkārtējā situācija un ir noteikti dažāda veida ierobežojumi, kas kopumā kavē tautsaimniecības attīstību un ekonomikas </w:t>
            </w:r>
            <w:r w:rsidRPr="00E04790">
              <w:rPr>
                <w:rFonts w:eastAsia="Times New Roman"/>
                <w:color w:val="000000" w:themeColor="text1"/>
                <w:sz w:val="26"/>
                <w:szCs w:val="26"/>
                <w:lang w:val="lv-LV" w:eastAsia="lv-LV"/>
              </w:rPr>
              <w:lastRenderedPageBreak/>
              <w:t>atveseļošanos, līdz ar to joprojām nepieciešams īstenot īpašus pasākumus un atbalsta mehānismus Covid-19 krīzes pārvarēšanai.</w:t>
            </w:r>
          </w:p>
          <w:p w14:paraId="2075FFA3" w14:textId="5626BA33" w:rsidR="00D74824" w:rsidRPr="00E04790" w:rsidRDefault="00FC0F65" w:rsidP="00D74824">
            <w:pPr>
              <w:shd w:val="clear" w:color="auto" w:fill="FFFFFF"/>
              <w:spacing w:line="293" w:lineRule="atLeast"/>
              <w:jc w:val="both"/>
              <w:rPr>
                <w:rFonts w:eastAsia="Times New Roman"/>
                <w:iCs/>
                <w:sz w:val="26"/>
                <w:szCs w:val="26"/>
                <w:lang w:val="lv-LV" w:eastAsia="lv-LV"/>
              </w:rPr>
            </w:pPr>
            <w:r w:rsidRPr="00E04790">
              <w:rPr>
                <w:rFonts w:eastAsia="Times New Roman"/>
                <w:sz w:val="26"/>
                <w:szCs w:val="26"/>
                <w:lang w:val="lv-LV" w:eastAsia="lv-LV"/>
              </w:rPr>
              <w:t xml:space="preserve">Tūrisma operatori un aģenti  </w:t>
            </w:r>
            <w:r w:rsidRPr="00E04790">
              <w:rPr>
                <w:rFonts w:eastAsia="Times New Roman"/>
                <w:iCs/>
                <w:sz w:val="26"/>
                <w:szCs w:val="26"/>
                <w:lang w:val="lv-LV" w:eastAsia="lv-LV"/>
              </w:rPr>
              <w:t>drīkst</w:t>
            </w:r>
            <w:r w:rsidR="00D74824" w:rsidRPr="00E04790">
              <w:rPr>
                <w:rFonts w:eastAsia="Times New Roman"/>
                <w:iCs/>
                <w:sz w:val="26"/>
                <w:szCs w:val="26"/>
                <w:lang w:val="lv-LV" w:eastAsia="lv-LV"/>
              </w:rPr>
              <w:t xml:space="preserve"> </w:t>
            </w:r>
            <w:r w:rsidR="000D0CAC" w:rsidRPr="00E04790">
              <w:rPr>
                <w:rFonts w:eastAsia="Times New Roman"/>
                <w:iCs/>
                <w:sz w:val="26"/>
                <w:szCs w:val="26"/>
                <w:lang w:val="lv-LV" w:eastAsia="lv-LV"/>
              </w:rPr>
              <w:t>nodrošināt</w:t>
            </w:r>
            <w:r w:rsidR="00D74824" w:rsidRPr="00E04790">
              <w:rPr>
                <w:rFonts w:eastAsia="Times New Roman"/>
                <w:iCs/>
                <w:sz w:val="26"/>
                <w:szCs w:val="26"/>
                <w:lang w:val="lv-LV" w:eastAsia="lv-LV"/>
              </w:rPr>
              <w:t xml:space="preserve"> kompleksus tūrisma pakalpojumus, ja </w:t>
            </w:r>
            <w:r w:rsidRPr="00E04790">
              <w:rPr>
                <w:rFonts w:eastAsia="Times New Roman"/>
                <w:iCs/>
                <w:sz w:val="26"/>
                <w:szCs w:val="26"/>
                <w:lang w:val="lv-LV" w:eastAsia="lv-LV"/>
              </w:rPr>
              <w:t>ir</w:t>
            </w:r>
            <w:r w:rsidR="00D74824" w:rsidRPr="00E04790">
              <w:rPr>
                <w:rFonts w:eastAsia="Times New Roman"/>
                <w:iCs/>
                <w:sz w:val="26"/>
                <w:szCs w:val="26"/>
                <w:lang w:val="lv-LV" w:eastAsia="lv-LV"/>
              </w:rPr>
              <w:t xml:space="preserve"> saņ</w:t>
            </w:r>
            <w:r w:rsidR="00A56657" w:rsidRPr="00E04790">
              <w:rPr>
                <w:rFonts w:eastAsia="Times New Roman"/>
                <w:iCs/>
                <w:sz w:val="26"/>
                <w:szCs w:val="26"/>
                <w:lang w:val="lv-LV" w:eastAsia="lv-LV"/>
              </w:rPr>
              <w:t>e</w:t>
            </w:r>
            <w:r w:rsidR="00D74824" w:rsidRPr="00E04790">
              <w:rPr>
                <w:rFonts w:eastAsia="Times New Roman"/>
                <w:iCs/>
                <w:sz w:val="26"/>
                <w:szCs w:val="26"/>
                <w:lang w:val="lv-LV" w:eastAsia="lv-LV"/>
              </w:rPr>
              <w:t>m</w:t>
            </w:r>
            <w:r w:rsidR="000D0CAC" w:rsidRPr="00E04790">
              <w:rPr>
                <w:rFonts w:eastAsia="Times New Roman"/>
                <w:iCs/>
                <w:sz w:val="26"/>
                <w:szCs w:val="26"/>
                <w:lang w:val="lv-LV" w:eastAsia="lv-LV"/>
              </w:rPr>
              <w:t>ta</w:t>
            </w:r>
            <w:r w:rsidR="00D74824" w:rsidRPr="00E04790">
              <w:rPr>
                <w:rFonts w:eastAsia="Times New Roman"/>
                <w:iCs/>
                <w:sz w:val="26"/>
                <w:szCs w:val="26"/>
                <w:lang w:val="lv-LV" w:eastAsia="lv-LV"/>
              </w:rPr>
              <w:t xml:space="preserve"> speciāl</w:t>
            </w:r>
            <w:r w:rsidR="000D0CAC" w:rsidRPr="00E04790">
              <w:rPr>
                <w:rFonts w:eastAsia="Times New Roman"/>
                <w:iCs/>
                <w:sz w:val="26"/>
                <w:szCs w:val="26"/>
                <w:lang w:val="lv-LV" w:eastAsia="lv-LV"/>
              </w:rPr>
              <w:t>ā</w:t>
            </w:r>
            <w:r w:rsidR="00D74824" w:rsidRPr="00E04790">
              <w:rPr>
                <w:rFonts w:eastAsia="Times New Roman"/>
                <w:iCs/>
                <w:sz w:val="26"/>
                <w:szCs w:val="26"/>
                <w:lang w:val="lv-LV" w:eastAsia="lv-LV"/>
              </w:rPr>
              <w:t xml:space="preserve"> atļauj</w:t>
            </w:r>
            <w:r w:rsidR="000D0CAC" w:rsidRPr="00E04790">
              <w:rPr>
                <w:rFonts w:eastAsia="Times New Roman"/>
                <w:iCs/>
                <w:sz w:val="26"/>
                <w:szCs w:val="26"/>
                <w:lang w:val="lv-LV" w:eastAsia="lv-LV"/>
              </w:rPr>
              <w:t>a</w:t>
            </w:r>
            <w:r w:rsidR="00D74824" w:rsidRPr="00E04790">
              <w:rPr>
                <w:rFonts w:eastAsia="Times New Roman"/>
                <w:iCs/>
                <w:sz w:val="26"/>
                <w:szCs w:val="26"/>
                <w:lang w:val="lv-LV" w:eastAsia="lv-LV"/>
              </w:rPr>
              <w:t xml:space="preserve"> (licenc</w:t>
            </w:r>
            <w:r w:rsidR="000D0CAC" w:rsidRPr="00E04790">
              <w:rPr>
                <w:rFonts w:eastAsia="Times New Roman"/>
                <w:iCs/>
                <w:sz w:val="26"/>
                <w:szCs w:val="26"/>
                <w:lang w:val="lv-LV" w:eastAsia="lv-LV"/>
              </w:rPr>
              <w:t>e</w:t>
            </w:r>
            <w:r w:rsidR="00D74824" w:rsidRPr="00E04790">
              <w:rPr>
                <w:rFonts w:eastAsia="Times New Roman"/>
                <w:iCs/>
                <w:sz w:val="26"/>
                <w:szCs w:val="26"/>
                <w:lang w:val="lv-LV" w:eastAsia="lv-LV"/>
              </w:rPr>
              <w:t>)</w:t>
            </w:r>
            <w:r w:rsidR="00561142" w:rsidRPr="00E04790">
              <w:rPr>
                <w:rFonts w:eastAsia="Times New Roman"/>
                <w:iCs/>
                <w:sz w:val="26"/>
                <w:szCs w:val="26"/>
                <w:lang w:val="lv-LV" w:eastAsia="lv-LV"/>
              </w:rPr>
              <w:t xml:space="preserve"> </w:t>
            </w:r>
            <w:r w:rsidRPr="00E04790">
              <w:rPr>
                <w:rFonts w:eastAsia="Times New Roman"/>
                <w:iCs/>
                <w:sz w:val="26"/>
                <w:szCs w:val="26"/>
                <w:lang w:val="lv-LV" w:eastAsia="lv-LV"/>
              </w:rPr>
              <w:t>un ir</w:t>
            </w:r>
            <w:r w:rsidR="00D74824" w:rsidRPr="00E04790">
              <w:rPr>
                <w:rFonts w:eastAsia="Times New Roman"/>
                <w:iCs/>
                <w:sz w:val="26"/>
                <w:szCs w:val="26"/>
                <w:lang w:val="lv-LV" w:eastAsia="lv-LV"/>
              </w:rPr>
              <w:t xml:space="preserve"> </w:t>
            </w:r>
            <w:r w:rsidR="00A035A7" w:rsidRPr="00E04790">
              <w:rPr>
                <w:rFonts w:eastAsia="Times New Roman"/>
                <w:iCs/>
                <w:sz w:val="26"/>
                <w:szCs w:val="26"/>
                <w:lang w:val="lv-LV" w:eastAsia="lv-LV"/>
              </w:rPr>
              <w:t xml:space="preserve">saņemts apdrošināšanas sabiedrības vai komercbankas </w:t>
            </w:r>
            <w:r w:rsidR="00D74824" w:rsidRPr="00E04790">
              <w:rPr>
                <w:rFonts w:eastAsia="Times New Roman"/>
                <w:iCs/>
                <w:sz w:val="26"/>
                <w:szCs w:val="26"/>
                <w:lang w:val="lv-LV" w:eastAsia="lv-LV"/>
              </w:rPr>
              <w:t>nodrošinājum</w:t>
            </w:r>
            <w:r w:rsidR="00A035A7" w:rsidRPr="00E04790">
              <w:rPr>
                <w:rFonts w:eastAsia="Times New Roman"/>
                <w:iCs/>
                <w:sz w:val="26"/>
                <w:szCs w:val="26"/>
                <w:lang w:val="lv-LV" w:eastAsia="lv-LV"/>
              </w:rPr>
              <w:t>s</w:t>
            </w:r>
            <w:r w:rsidR="00C87BC6" w:rsidRPr="00E04790">
              <w:rPr>
                <w:rFonts w:eastAsia="Times New Roman"/>
                <w:iCs/>
                <w:sz w:val="26"/>
                <w:szCs w:val="26"/>
                <w:lang w:val="lv-LV" w:eastAsia="lv-LV"/>
              </w:rPr>
              <w:t xml:space="preserve"> klientu iemaksātās naudas apmēra</w:t>
            </w:r>
            <w:r w:rsidR="00D74824" w:rsidRPr="00E04790">
              <w:rPr>
                <w:rFonts w:eastAsia="Times New Roman"/>
                <w:iCs/>
                <w:sz w:val="26"/>
                <w:szCs w:val="26"/>
                <w:lang w:val="lv-LV" w:eastAsia="lv-LV"/>
              </w:rPr>
              <w:t>.</w:t>
            </w:r>
          </w:p>
          <w:p w14:paraId="0696D04F" w14:textId="58A88066" w:rsidR="00E36F7D" w:rsidRPr="00E04790" w:rsidRDefault="00B8759E" w:rsidP="00314287">
            <w:pPr>
              <w:pStyle w:val="Default"/>
              <w:spacing w:before="120" w:after="120"/>
              <w:jc w:val="both"/>
              <w:rPr>
                <w:rFonts w:ascii="Times New Roman" w:eastAsia="Times New Roman" w:hAnsi="Times New Roman" w:cs="Times New Roman"/>
                <w:iCs/>
                <w:sz w:val="26"/>
                <w:szCs w:val="26"/>
                <w:lang w:eastAsia="lv-LV"/>
              </w:rPr>
            </w:pPr>
            <w:r w:rsidRPr="00E04790">
              <w:rPr>
                <w:rFonts w:ascii="Times New Roman" w:eastAsia="Times New Roman" w:hAnsi="Times New Roman" w:cs="Times New Roman"/>
                <w:iCs/>
                <w:sz w:val="26"/>
                <w:szCs w:val="26"/>
                <w:lang w:eastAsia="lv-LV"/>
              </w:rPr>
              <w:t>Dēļ COVID-19 izplatības, t</w:t>
            </w:r>
            <w:r w:rsidR="00314287" w:rsidRPr="00E04790">
              <w:rPr>
                <w:rFonts w:ascii="Times New Roman" w:eastAsia="Times New Roman" w:hAnsi="Times New Roman" w:cs="Times New Roman"/>
                <w:iCs/>
                <w:sz w:val="26"/>
                <w:szCs w:val="26"/>
                <w:lang w:eastAsia="lv-LV"/>
              </w:rPr>
              <w:t xml:space="preserve">ūrisma sektors </w:t>
            </w:r>
            <w:r w:rsidR="00C87BC6" w:rsidRPr="00E04790">
              <w:rPr>
                <w:rFonts w:ascii="Times New Roman" w:eastAsia="Times New Roman" w:hAnsi="Times New Roman" w:cs="Times New Roman"/>
                <w:iCs/>
                <w:sz w:val="26"/>
                <w:szCs w:val="26"/>
                <w:lang w:eastAsia="lv-LV"/>
              </w:rPr>
              <w:t xml:space="preserve">šobrīd </w:t>
            </w:r>
            <w:r w:rsidR="00314287" w:rsidRPr="00E04790">
              <w:rPr>
                <w:rFonts w:ascii="Times New Roman" w:eastAsia="Times New Roman" w:hAnsi="Times New Roman" w:cs="Times New Roman"/>
                <w:iCs/>
                <w:sz w:val="26"/>
                <w:szCs w:val="26"/>
                <w:lang w:eastAsia="lv-LV"/>
              </w:rPr>
              <w:t>tiek uzskatīts par riska</w:t>
            </w:r>
            <w:r w:rsidR="00FC0F65" w:rsidRPr="00E04790">
              <w:rPr>
                <w:rFonts w:ascii="Times New Roman" w:eastAsia="Times New Roman" w:hAnsi="Times New Roman" w:cs="Times New Roman"/>
                <w:iCs/>
                <w:sz w:val="26"/>
                <w:szCs w:val="26"/>
                <w:lang w:eastAsia="lv-LV"/>
              </w:rPr>
              <w:t>ntu</w:t>
            </w:r>
            <w:r w:rsidRPr="00E04790">
              <w:rPr>
                <w:rFonts w:ascii="Times New Roman" w:eastAsia="Times New Roman" w:hAnsi="Times New Roman" w:cs="Times New Roman"/>
                <w:iCs/>
                <w:sz w:val="26"/>
                <w:szCs w:val="26"/>
                <w:lang w:eastAsia="lv-LV"/>
              </w:rPr>
              <w:t xml:space="preserve">. </w:t>
            </w:r>
            <w:r w:rsidR="00FC0F65" w:rsidRPr="00E04790">
              <w:rPr>
                <w:rFonts w:ascii="Times New Roman" w:eastAsia="Times New Roman" w:hAnsi="Times New Roman" w:cs="Times New Roman"/>
                <w:iCs/>
                <w:sz w:val="26"/>
                <w:szCs w:val="26"/>
                <w:lang w:eastAsia="lv-LV"/>
              </w:rPr>
              <w:t>Rezultātā t</w:t>
            </w:r>
            <w:r w:rsidR="00314287" w:rsidRPr="00E04790">
              <w:rPr>
                <w:rFonts w:ascii="Times New Roman" w:eastAsia="Times New Roman" w:hAnsi="Times New Roman" w:cs="Times New Roman"/>
                <w:iCs/>
                <w:sz w:val="26"/>
                <w:szCs w:val="26"/>
                <w:lang w:eastAsia="lv-LV"/>
              </w:rPr>
              <w:t xml:space="preserve">ūrisma operatoriem un aģentiem </w:t>
            </w:r>
            <w:r w:rsidRPr="00E04790">
              <w:rPr>
                <w:rFonts w:ascii="Times New Roman" w:eastAsia="Times New Roman" w:hAnsi="Times New Roman" w:cs="Times New Roman"/>
                <w:iCs/>
                <w:sz w:val="26"/>
                <w:szCs w:val="26"/>
                <w:lang w:eastAsia="lv-LV"/>
              </w:rPr>
              <w:t>ir problemātiski</w:t>
            </w:r>
            <w:r w:rsidR="00D74824" w:rsidRPr="00E04790">
              <w:rPr>
                <w:rFonts w:ascii="Times New Roman" w:eastAsia="Times New Roman" w:hAnsi="Times New Roman" w:cs="Times New Roman"/>
                <w:iCs/>
                <w:sz w:val="26"/>
                <w:szCs w:val="26"/>
                <w:lang w:eastAsia="lv-LV"/>
              </w:rPr>
              <w:t xml:space="preserve"> saņemt jaunus nodrošinājumus, attiecīgi, nav iespējams pagarināt darbības licences</w:t>
            </w:r>
            <w:r w:rsidR="00906D17" w:rsidRPr="00E04790">
              <w:rPr>
                <w:rFonts w:ascii="Times New Roman" w:eastAsia="Times New Roman" w:hAnsi="Times New Roman" w:cs="Times New Roman"/>
                <w:iCs/>
                <w:sz w:val="26"/>
                <w:szCs w:val="26"/>
                <w:lang w:eastAsia="lv-LV"/>
              </w:rPr>
              <w:t xml:space="preserve"> un nodrošināt to darbību nākotnē.</w:t>
            </w:r>
            <w:r w:rsidR="00D74824" w:rsidRPr="00E04790">
              <w:rPr>
                <w:rFonts w:ascii="Times New Roman" w:eastAsia="Times New Roman" w:hAnsi="Times New Roman" w:cs="Times New Roman"/>
                <w:iCs/>
                <w:sz w:val="26"/>
                <w:szCs w:val="26"/>
                <w:lang w:eastAsia="lv-LV"/>
              </w:rPr>
              <w:t xml:space="preserve"> </w:t>
            </w:r>
          </w:p>
          <w:p w14:paraId="40464AD7" w14:textId="77777777" w:rsidR="00FA5C8C" w:rsidRPr="00E04790" w:rsidRDefault="00FC0F65" w:rsidP="00FA5C8C">
            <w:pPr>
              <w:spacing w:after="160" w:line="259" w:lineRule="auto"/>
              <w:contextualSpacing/>
              <w:jc w:val="both"/>
              <w:rPr>
                <w:sz w:val="26"/>
                <w:szCs w:val="26"/>
                <w:lang w:val="lv-LV"/>
              </w:rPr>
            </w:pPr>
            <w:r w:rsidRPr="00E04790">
              <w:rPr>
                <w:rFonts w:eastAsiaTheme="minorHAnsi"/>
                <w:sz w:val="26"/>
                <w:szCs w:val="26"/>
                <w:lang w:val="lv-LV"/>
              </w:rPr>
              <w:t>L</w:t>
            </w:r>
            <w:r w:rsidR="001B1AD3" w:rsidRPr="00E04790">
              <w:rPr>
                <w:rFonts w:eastAsiaTheme="minorHAnsi"/>
                <w:sz w:val="26"/>
                <w:szCs w:val="26"/>
                <w:lang w:val="lv-LV"/>
              </w:rPr>
              <w:t xml:space="preserve">ai </w:t>
            </w:r>
            <w:r w:rsidR="00A035A7" w:rsidRPr="00E04790">
              <w:rPr>
                <w:rFonts w:eastAsiaTheme="minorHAnsi"/>
                <w:sz w:val="26"/>
                <w:szCs w:val="26"/>
                <w:lang w:val="lv-LV"/>
              </w:rPr>
              <w:t xml:space="preserve">sniegtu </w:t>
            </w:r>
            <w:r w:rsidR="0099759D" w:rsidRPr="00E04790">
              <w:rPr>
                <w:sz w:val="26"/>
                <w:szCs w:val="26"/>
                <w:lang w:val="lv-LV"/>
              </w:rPr>
              <w:t>operatīvu atbalst</w:t>
            </w:r>
            <w:r w:rsidR="00A035A7" w:rsidRPr="00E04790">
              <w:rPr>
                <w:sz w:val="26"/>
                <w:szCs w:val="26"/>
                <w:lang w:val="lv-LV"/>
              </w:rPr>
              <w:t>u</w:t>
            </w:r>
            <w:r w:rsidR="0099759D" w:rsidRPr="00E04790">
              <w:rPr>
                <w:sz w:val="26"/>
                <w:szCs w:val="26"/>
                <w:lang w:val="lv-LV"/>
              </w:rPr>
              <w:t xml:space="preserve"> vienai no vissmagāk skartajām nozarēm C</w:t>
            </w:r>
            <w:r w:rsidR="00CC0BD5" w:rsidRPr="00E04790">
              <w:rPr>
                <w:sz w:val="26"/>
                <w:szCs w:val="26"/>
                <w:lang w:val="lv-LV"/>
              </w:rPr>
              <w:t>OVID</w:t>
            </w:r>
            <w:r w:rsidR="0099759D" w:rsidRPr="00E04790">
              <w:rPr>
                <w:sz w:val="26"/>
                <w:szCs w:val="26"/>
                <w:lang w:val="lv-LV"/>
              </w:rPr>
              <w:t>-19 vīrusa ietekmes rezultātā, Ekonomikas ministrija ierosina veikt grozījumus Ministru kabineta 2020.gada 16.jūnija noteikumos Nr.383 “Noteikumi par garantijām saimnieciskās darbības veicējiem konkurētspējas uzlabošanai”</w:t>
            </w:r>
            <w:r w:rsidR="00DC2365" w:rsidRPr="00E04790">
              <w:rPr>
                <w:sz w:val="26"/>
                <w:szCs w:val="26"/>
                <w:lang w:val="lv-LV"/>
              </w:rPr>
              <w:t xml:space="preserve"> (turpmāk – Noteikumi)</w:t>
            </w:r>
            <w:r w:rsidR="00CC0BD5" w:rsidRPr="00E04790">
              <w:rPr>
                <w:sz w:val="26"/>
                <w:szCs w:val="26"/>
                <w:lang w:val="lv-LV"/>
              </w:rPr>
              <w:t>, kas nosaka Aizdevumu garantiju programmas nosacījumus</w:t>
            </w:r>
            <w:r w:rsidR="00136CCC" w:rsidRPr="00E04790">
              <w:rPr>
                <w:sz w:val="26"/>
                <w:szCs w:val="26"/>
                <w:lang w:val="lv-LV"/>
              </w:rPr>
              <w:t xml:space="preserve">, kuru īsteno </w:t>
            </w:r>
            <w:r w:rsidR="001257ED" w:rsidRPr="00E04790">
              <w:rPr>
                <w:sz w:val="26"/>
                <w:szCs w:val="26"/>
                <w:lang w:val="lv-LV"/>
              </w:rPr>
              <w:t xml:space="preserve">akciju sabiedrība "Attīstības finanšu institūcija </w:t>
            </w:r>
            <w:proofErr w:type="spellStart"/>
            <w:r w:rsidR="001257ED" w:rsidRPr="00E04790">
              <w:rPr>
                <w:sz w:val="26"/>
                <w:szCs w:val="26"/>
                <w:lang w:val="lv-LV"/>
              </w:rPr>
              <w:t>Altum</w:t>
            </w:r>
            <w:proofErr w:type="spellEnd"/>
            <w:r w:rsidR="001257ED" w:rsidRPr="00E04790">
              <w:rPr>
                <w:sz w:val="26"/>
                <w:szCs w:val="26"/>
                <w:lang w:val="lv-LV"/>
              </w:rPr>
              <w:t>"</w:t>
            </w:r>
            <w:r w:rsidR="00136CCC" w:rsidRPr="00E04790">
              <w:rPr>
                <w:sz w:val="26"/>
                <w:szCs w:val="26"/>
                <w:lang w:val="lv-LV"/>
              </w:rPr>
              <w:t xml:space="preserve"> (turpmāk – </w:t>
            </w:r>
            <w:proofErr w:type="spellStart"/>
            <w:r w:rsidR="00136CCC" w:rsidRPr="00E04790">
              <w:rPr>
                <w:sz w:val="26"/>
                <w:szCs w:val="26"/>
                <w:lang w:val="lv-LV"/>
              </w:rPr>
              <w:t>Altum</w:t>
            </w:r>
            <w:proofErr w:type="spellEnd"/>
            <w:r w:rsidR="00136CCC" w:rsidRPr="00E04790">
              <w:rPr>
                <w:sz w:val="26"/>
                <w:szCs w:val="26"/>
                <w:lang w:val="lv-LV"/>
              </w:rPr>
              <w:t>)</w:t>
            </w:r>
            <w:r w:rsidR="00CC0BD5" w:rsidRPr="00E04790">
              <w:rPr>
                <w:sz w:val="26"/>
                <w:szCs w:val="26"/>
                <w:lang w:val="lv-LV"/>
              </w:rPr>
              <w:t xml:space="preserve">. </w:t>
            </w:r>
            <w:r w:rsidR="005C6502" w:rsidRPr="00E04790">
              <w:rPr>
                <w:b/>
                <w:bCs/>
                <w:sz w:val="26"/>
                <w:szCs w:val="26"/>
                <w:lang w:val="lv-LV"/>
              </w:rPr>
              <w:t xml:space="preserve">Noteikumu projekts </w:t>
            </w:r>
            <w:r w:rsidR="00CC0BD5" w:rsidRPr="00E04790">
              <w:rPr>
                <w:b/>
                <w:bCs/>
                <w:sz w:val="26"/>
                <w:szCs w:val="26"/>
                <w:lang w:val="lv-LV"/>
              </w:rPr>
              <w:t>paredz papildus finansējumu</w:t>
            </w:r>
            <w:r w:rsidR="00FB0E29" w:rsidRPr="00E04790">
              <w:rPr>
                <w:b/>
                <w:bCs/>
                <w:sz w:val="26"/>
                <w:szCs w:val="26"/>
                <w:lang w:val="lv-LV"/>
              </w:rPr>
              <w:t xml:space="preserve"> 18 milj.</w:t>
            </w:r>
            <w:r w:rsidR="00A56657" w:rsidRPr="00E04790">
              <w:rPr>
                <w:b/>
                <w:bCs/>
                <w:sz w:val="26"/>
                <w:szCs w:val="26"/>
                <w:lang w:val="lv-LV"/>
              </w:rPr>
              <w:t xml:space="preserve"> </w:t>
            </w:r>
            <w:r w:rsidR="00FB0E29" w:rsidRPr="00E04790">
              <w:rPr>
                <w:b/>
                <w:bCs/>
                <w:sz w:val="26"/>
                <w:szCs w:val="26"/>
                <w:lang w:val="lv-LV"/>
              </w:rPr>
              <w:t>euro apmērā</w:t>
            </w:r>
            <w:r w:rsidR="00CC0BD5" w:rsidRPr="00E04790">
              <w:rPr>
                <w:b/>
                <w:bCs/>
                <w:sz w:val="26"/>
                <w:szCs w:val="26"/>
                <w:lang w:val="lv-LV"/>
              </w:rPr>
              <w:t xml:space="preserve"> </w:t>
            </w:r>
            <w:r w:rsidR="00FB0E29" w:rsidRPr="00E04790">
              <w:rPr>
                <w:b/>
                <w:bCs/>
                <w:sz w:val="26"/>
                <w:szCs w:val="26"/>
                <w:lang w:val="lv-LV"/>
              </w:rPr>
              <w:t>garantiju sniegšanai, t.sk.</w:t>
            </w:r>
            <w:r w:rsidR="00906D17" w:rsidRPr="00E04790">
              <w:rPr>
                <w:b/>
                <w:bCs/>
                <w:sz w:val="26"/>
                <w:szCs w:val="26"/>
                <w:lang w:val="lv-LV"/>
              </w:rPr>
              <w:t xml:space="preserve"> </w:t>
            </w:r>
            <w:r w:rsidR="00CC0BD5" w:rsidRPr="00E04790">
              <w:rPr>
                <w:b/>
                <w:bCs/>
                <w:sz w:val="26"/>
                <w:szCs w:val="26"/>
                <w:lang w:val="lv-LV"/>
              </w:rPr>
              <w:t>garantiju sniegšanai tūrisma operatoriem kredītiestādes nodrošinājuma saņemšanai</w:t>
            </w:r>
            <w:r w:rsidR="00CC0BD5" w:rsidRPr="00E04790">
              <w:rPr>
                <w:sz w:val="26"/>
                <w:szCs w:val="26"/>
                <w:lang w:val="lv-LV"/>
              </w:rPr>
              <w:t xml:space="preserve">, lai pagarinātu </w:t>
            </w:r>
            <w:r w:rsidR="00FB0E29" w:rsidRPr="00E04790">
              <w:rPr>
                <w:sz w:val="26"/>
                <w:szCs w:val="26"/>
                <w:lang w:val="lv-LV"/>
              </w:rPr>
              <w:t xml:space="preserve">to </w:t>
            </w:r>
            <w:r w:rsidR="00CC0BD5" w:rsidRPr="00E04790">
              <w:rPr>
                <w:sz w:val="26"/>
                <w:szCs w:val="26"/>
                <w:lang w:val="lv-LV"/>
              </w:rPr>
              <w:t>darbības licenci</w:t>
            </w:r>
            <w:r w:rsidR="005A7042" w:rsidRPr="00E04790">
              <w:rPr>
                <w:sz w:val="26"/>
                <w:szCs w:val="26"/>
                <w:lang w:val="lv-LV"/>
              </w:rPr>
              <w:t>.</w:t>
            </w:r>
            <w:r w:rsidR="00FB0E29" w:rsidRPr="00E04790">
              <w:rPr>
                <w:sz w:val="26"/>
                <w:szCs w:val="26"/>
                <w:lang w:val="lv-LV"/>
              </w:rPr>
              <w:t xml:space="preserve"> Finansējuma avots - Eiropas Savienības struktūrfondu un Kohēzijas fonda 2014.-2020.gada plānošanas perioda darbības programmas “Izaugsme un nodarbinātība” </w:t>
            </w:r>
            <w:proofErr w:type="spellStart"/>
            <w:r w:rsidR="00FB0E29" w:rsidRPr="00E04790">
              <w:rPr>
                <w:sz w:val="26"/>
                <w:szCs w:val="26"/>
                <w:lang w:val="lv-LV"/>
              </w:rPr>
              <w:t>virssaistību</w:t>
            </w:r>
            <w:proofErr w:type="spellEnd"/>
            <w:r w:rsidR="00FB0E29" w:rsidRPr="00E04790">
              <w:rPr>
                <w:sz w:val="26"/>
                <w:szCs w:val="26"/>
                <w:lang w:val="lv-LV"/>
              </w:rPr>
              <w:t xml:space="preserve">  finansējums.</w:t>
            </w:r>
            <w:r w:rsidR="00FA5C8C" w:rsidRPr="00E04790">
              <w:rPr>
                <w:sz w:val="26"/>
                <w:szCs w:val="26"/>
                <w:lang w:val="lv-LV"/>
              </w:rPr>
              <w:t xml:space="preserve"> </w:t>
            </w:r>
          </w:p>
          <w:p w14:paraId="44F0297D" w14:textId="09200762" w:rsidR="00FA5C8C" w:rsidRPr="00E04790" w:rsidRDefault="00FA5C8C" w:rsidP="00FA5C8C">
            <w:pPr>
              <w:spacing w:after="160" w:line="259" w:lineRule="auto"/>
              <w:contextualSpacing/>
              <w:jc w:val="both"/>
              <w:rPr>
                <w:sz w:val="26"/>
                <w:szCs w:val="26"/>
                <w:lang w:val="lv-LV"/>
              </w:rPr>
            </w:pPr>
            <w:r w:rsidRPr="00E04790">
              <w:rPr>
                <w:sz w:val="26"/>
                <w:szCs w:val="26"/>
                <w:lang w:val="lv-LV"/>
              </w:rPr>
              <w:t xml:space="preserve">Šis papildus finansējums ļaus vēl </w:t>
            </w:r>
            <w:r w:rsidR="0019140D" w:rsidRPr="00E04790">
              <w:rPr>
                <w:sz w:val="26"/>
                <w:szCs w:val="26"/>
                <w:lang w:val="lv-LV"/>
              </w:rPr>
              <w:t>lielākam skaitam</w:t>
            </w:r>
            <w:r w:rsidRPr="00E04790">
              <w:rPr>
                <w:sz w:val="26"/>
                <w:szCs w:val="26"/>
                <w:lang w:val="lv-LV"/>
              </w:rPr>
              <w:t xml:space="preserve"> saimnieciskās darbības veicēj</w:t>
            </w:r>
            <w:r w:rsidR="0019140D" w:rsidRPr="00E04790">
              <w:rPr>
                <w:sz w:val="26"/>
                <w:szCs w:val="26"/>
                <w:lang w:val="lv-LV"/>
              </w:rPr>
              <w:t>u</w:t>
            </w:r>
            <w:r w:rsidRPr="00E04790">
              <w:rPr>
                <w:sz w:val="26"/>
                <w:szCs w:val="26"/>
                <w:lang w:val="lv-LV"/>
              </w:rPr>
              <w:t xml:space="preserve"> piesaistīt </w:t>
            </w:r>
            <w:proofErr w:type="spellStart"/>
            <w:r w:rsidRPr="00E04790">
              <w:rPr>
                <w:sz w:val="26"/>
                <w:szCs w:val="26"/>
                <w:lang w:val="lv-LV"/>
              </w:rPr>
              <w:t>Altum</w:t>
            </w:r>
            <w:proofErr w:type="spellEnd"/>
            <w:r w:rsidRPr="00E04790">
              <w:rPr>
                <w:sz w:val="26"/>
                <w:szCs w:val="26"/>
                <w:lang w:val="lv-LV"/>
              </w:rPr>
              <w:t xml:space="preserve"> garantijas kā nodrošinājumu kredītiestādes aizdevuma saņemšanai, tādā veidā atbalstot to uzņēmējdarbības attīstību. No šī finansējuma atbalsts tiks sniegts prioritāri gan tūrisma operatoriem gan arī citu nozaru saimnieciskās darbības veicējiem, kuri atbilst Noteikumu nosacījumiem. Piešķirot garantijas </w:t>
            </w:r>
            <w:proofErr w:type="spellStart"/>
            <w:r w:rsidRPr="00E04790">
              <w:rPr>
                <w:sz w:val="26"/>
                <w:szCs w:val="26"/>
                <w:lang w:val="lv-LV"/>
              </w:rPr>
              <w:t>Altum</w:t>
            </w:r>
            <w:proofErr w:type="spellEnd"/>
            <w:r w:rsidRPr="00E04790">
              <w:rPr>
                <w:sz w:val="26"/>
                <w:szCs w:val="26"/>
                <w:lang w:val="lv-LV"/>
              </w:rPr>
              <w:t xml:space="preserve"> ievēros visus Noteikumu nosacījumus un tāpat vērtēs saimnieciskās darbības veicēja dzīvotspēju, tai skaitā izvērtējot biznesa idejas potenciālu un ilgtspēju, projekta īstenošanai nepieciešamo līdzfinansējumu un likviditāti, saimnieciskās darbības veicēja esošo un nākotnes finanšu situāciju, zināšanu un pieredzes atbilstību, kā arī analizējot identificētos uzņēmējdarbības </w:t>
            </w:r>
            <w:r w:rsidRPr="00E04790">
              <w:rPr>
                <w:sz w:val="26"/>
                <w:szCs w:val="26"/>
                <w:lang w:val="lv-LV"/>
              </w:rPr>
              <w:lastRenderedPageBreak/>
              <w:t>riskus un citus faktorus saimnieciskās darbības veicēja aizdevuma kvalitātes noteikšanai.</w:t>
            </w:r>
          </w:p>
          <w:p w14:paraId="4C7480EB" w14:textId="77777777" w:rsidR="00FA5C8C" w:rsidRPr="00E04790" w:rsidRDefault="00FA5C8C" w:rsidP="00FA5C8C">
            <w:pPr>
              <w:spacing w:after="160" w:line="259" w:lineRule="auto"/>
              <w:contextualSpacing/>
              <w:jc w:val="both"/>
              <w:rPr>
                <w:sz w:val="26"/>
                <w:szCs w:val="26"/>
                <w:lang w:val="lv-LV"/>
              </w:rPr>
            </w:pPr>
            <w:r w:rsidRPr="00E04790">
              <w:rPr>
                <w:sz w:val="26"/>
                <w:szCs w:val="26"/>
                <w:lang w:val="lv-LV"/>
              </w:rPr>
              <w:t xml:space="preserve">Ievērojot Eiropas Parlamenta un Padomes 2013. gada 17. decembra regulas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25.a panta 10.punktu </w:t>
            </w:r>
            <w:proofErr w:type="spellStart"/>
            <w:r w:rsidRPr="00E04790">
              <w:rPr>
                <w:i/>
                <w:iCs/>
                <w:sz w:val="26"/>
                <w:szCs w:val="26"/>
                <w:lang w:val="lv-LV"/>
              </w:rPr>
              <w:t>ex</w:t>
            </w:r>
            <w:proofErr w:type="spellEnd"/>
            <w:r w:rsidRPr="00E04790">
              <w:rPr>
                <w:i/>
                <w:iCs/>
                <w:sz w:val="26"/>
                <w:szCs w:val="26"/>
                <w:lang w:val="lv-LV"/>
              </w:rPr>
              <w:t xml:space="preserve"> </w:t>
            </w:r>
            <w:proofErr w:type="spellStart"/>
            <w:r w:rsidRPr="00E04790">
              <w:rPr>
                <w:i/>
                <w:iCs/>
                <w:sz w:val="26"/>
                <w:szCs w:val="26"/>
                <w:lang w:val="lv-LV"/>
              </w:rPr>
              <w:t>ante</w:t>
            </w:r>
            <w:proofErr w:type="spellEnd"/>
            <w:r w:rsidRPr="00E04790">
              <w:rPr>
                <w:sz w:val="26"/>
                <w:szCs w:val="26"/>
                <w:lang w:val="lv-LV"/>
              </w:rPr>
              <w:t xml:space="preserve"> novērtējuma pārskatīšana finanšu instrumentu pieejamības jomā netiks veikta.</w:t>
            </w:r>
          </w:p>
          <w:p w14:paraId="6132459F" w14:textId="2C828F6A" w:rsidR="00CC0BD5" w:rsidRPr="00E04790" w:rsidRDefault="00CC0BD5" w:rsidP="00281F89">
            <w:pPr>
              <w:spacing w:after="160" w:line="259" w:lineRule="auto"/>
              <w:contextualSpacing/>
              <w:jc w:val="both"/>
              <w:rPr>
                <w:sz w:val="26"/>
                <w:szCs w:val="26"/>
                <w:lang w:val="lv-LV"/>
              </w:rPr>
            </w:pPr>
          </w:p>
          <w:p w14:paraId="3361DFFA" w14:textId="447BB8E7" w:rsidR="00314287" w:rsidRPr="00E04790" w:rsidRDefault="00136CCC" w:rsidP="001B1AD3">
            <w:pPr>
              <w:spacing w:after="160" w:line="259" w:lineRule="auto"/>
              <w:contextualSpacing/>
              <w:jc w:val="both"/>
              <w:rPr>
                <w:sz w:val="26"/>
                <w:szCs w:val="26"/>
                <w:lang w:val="lv-LV"/>
              </w:rPr>
            </w:pPr>
            <w:proofErr w:type="spellStart"/>
            <w:r w:rsidRPr="00E04790">
              <w:rPr>
                <w:sz w:val="26"/>
                <w:szCs w:val="26"/>
                <w:lang w:val="lv-LV"/>
              </w:rPr>
              <w:t>Altum</w:t>
            </w:r>
            <w:proofErr w:type="spellEnd"/>
            <w:r w:rsidR="00E60EDC" w:rsidRPr="00E04790">
              <w:rPr>
                <w:sz w:val="26"/>
                <w:szCs w:val="26"/>
                <w:lang w:val="lv-LV"/>
              </w:rPr>
              <w:t xml:space="preserve"> </w:t>
            </w:r>
            <w:r w:rsidR="00CC0BD5" w:rsidRPr="00E04790">
              <w:rPr>
                <w:sz w:val="26"/>
                <w:szCs w:val="26"/>
                <w:lang w:val="lv-LV"/>
              </w:rPr>
              <w:t xml:space="preserve">garantija </w:t>
            </w:r>
            <w:r w:rsidR="0003309D" w:rsidRPr="00E04790">
              <w:rPr>
                <w:sz w:val="26"/>
                <w:szCs w:val="26"/>
                <w:lang w:val="lv-LV"/>
              </w:rPr>
              <w:t xml:space="preserve">ir kā papildus nodrošinājums </w:t>
            </w:r>
            <w:r w:rsidR="00E36F7D" w:rsidRPr="00E04790">
              <w:rPr>
                <w:sz w:val="26"/>
                <w:szCs w:val="26"/>
                <w:lang w:val="lv-LV"/>
              </w:rPr>
              <w:t>kredītiestādes izsniegtajai nodrošinājuma garantijai.</w:t>
            </w:r>
          </w:p>
          <w:p w14:paraId="6E12F171" w14:textId="5A1D4913" w:rsidR="001D57E4" w:rsidRPr="00E04790" w:rsidRDefault="00466669" w:rsidP="007F4575">
            <w:pPr>
              <w:pStyle w:val="Default"/>
              <w:spacing w:before="120" w:after="120"/>
              <w:jc w:val="both"/>
              <w:rPr>
                <w:rFonts w:ascii="Times New Roman" w:hAnsi="Times New Roman" w:cs="Times New Roman"/>
                <w:color w:val="auto"/>
                <w:sz w:val="26"/>
                <w:szCs w:val="26"/>
                <w:shd w:val="clear" w:color="auto" w:fill="FFFFFF"/>
              </w:rPr>
            </w:pPr>
            <w:r w:rsidRPr="00E04790">
              <w:rPr>
                <w:rFonts w:ascii="Times New Roman" w:hAnsi="Times New Roman" w:cs="Times New Roman"/>
                <w:color w:val="auto"/>
                <w:sz w:val="26"/>
                <w:szCs w:val="26"/>
              </w:rPr>
              <w:t>Garantijas būs pieejams maziem un vidējiem komersantiem, kas atbilst K</w:t>
            </w:r>
            <w:r w:rsidRPr="00E04790">
              <w:rPr>
                <w:rFonts w:ascii="Times New Roman" w:hAnsi="Times New Roman" w:cs="Times New Roman"/>
                <w:color w:val="auto"/>
                <w:sz w:val="26"/>
                <w:szCs w:val="26"/>
                <w:shd w:val="clear" w:color="auto" w:fill="FFFFFF"/>
              </w:rPr>
              <w:t>omisijas 2014. gada 17. jūnija Regulas (ES) Nr. </w:t>
            </w:r>
            <w:hyperlink r:id="rId8" w:tgtFrame="_blank" w:history="1">
              <w:r w:rsidRPr="00E04790">
                <w:rPr>
                  <w:rStyle w:val="Hyperlink"/>
                  <w:rFonts w:ascii="Times New Roman" w:hAnsi="Times New Roman" w:cs="Times New Roman"/>
                  <w:color w:val="auto"/>
                  <w:sz w:val="26"/>
                  <w:szCs w:val="26"/>
                  <w:shd w:val="clear" w:color="auto" w:fill="FFFFFF"/>
                </w:rPr>
                <w:t>651/2014</w:t>
              </w:r>
            </w:hyperlink>
            <w:r w:rsidRPr="00E04790">
              <w:rPr>
                <w:rFonts w:ascii="Times New Roman" w:hAnsi="Times New Roman" w:cs="Times New Roman"/>
                <w:color w:val="auto"/>
                <w:sz w:val="26"/>
                <w:szCs w:val="26"/>
                <w:shd w:val="clear" w:color="auto" w:fill="FFFFFF"/>
              </w:rPr>
              <w:t>, ar ko noteiktas atbalsta kategorijas atzīst par saderīgām ar iekšējo tirgu, piemērojot Līguma 107. un 108. pantu (turpmāk – Komisijas regula Nr. </w:t>
            </w:r>
            <w:hyperlink r:id="rId9" w:tgtFrame="_blank" w:history="1">
              <w:r w:rsidRPr="00E04790">
                <w:rPr>
                  <w:rStyle w:val="Hyperlink"/>
                  <w:rFonts w:ascii="Times New Roman" w:hAnsi="Times New Roman" w:cs="Times New Roman"/>
                  <w:color w:val="auto"/>
                  <w:sz w:val="26"/>
                  <w:szCs w:val="26"/>
                  <w:shd w:val="clear" w:color="auto" w:fill="FFFFFF"/>
                </w:rPr>
                <w:t>651/2014</w:t>
              </w:r>
            </w:hyperlink>
            <w:r w:rsidRPr="00E04790">
              <w:rPr>
                <w:rFonts w:ascii="Times New Roman" w:hAnsi="Times New Roman" w:cs="Times New Roman"/>
                <w:color w:val="auto"/>
                <w:sz w:val="26"/>
                <w:szCs w:val="26"/>
                <w:shd w:val="clear" w:color="auto" w:fill="FFFFFF"/>
              </w:rPr>
              <w:t>), I pielikumā noteiktiem kritērijiem</w:t>
            </w:r>
            <w:r w:rsidR="00E92559" w:rsidRPr="00E04790">
              <w:rPr>
                <w:rFonts w:ascii="Times New Roman" w:hAnsi="Times New Roman" w:cs="Times New Roman"/>
                <w:color w:val="auto"/>
                <w:sz w:val="26"/>
                <w:szCs w:val="26"/>
                <w:shd w:val="clear" w:color="auto" w:fill="FFFFFF"/>
              </w:rPr>
              <w:t xml:space="preserve"> kā arī lielajiem saimnieciskās darbības veicējiem, kas atbilst Komisijas Regulas Nr. 651/2014 2.panta 24.punktā noteiktajai definīcijai.</w:t>
            </w:r>
          </w:p>
          <w:p w14:paraId="1DD5870C" w14:textId="5C51DBEA" w:rsidR="00FA5C8C" w:rsidRPr="00E04790" w:rsidRDefault="00FA5C8C" w:rsidP="00FA5C8C">
            <w:pPr>
              <w:pStyle w:val="Default"/>
              <w:spacing w:before="120" w:after="120"/>
              <w:jc w:val="both"/>
              <w:rPr>
                <w:rFonts w:ascii="Times New Roman" w:hAnsi="Times New Roman" w:cs="Times New Roman"/>
                <w:color w:val="auto"/>
                <w:sz w:val="26"/>
                <w:szCs w:val="26"/>
                <w:shd w:val="clear" w:color="auto" w:fill="FFFFFF"/>
              </w:rPr>
            </w:pPr>
            <w:r w:rsidRPr="00E04790">
              <w:rPr>
                <w:rFonts w:ascii="Times New Roman" w:hAnsi="Times New Roman" w:cs="Times New Roman"/>
                <w:color w:val="auto"/>
                <w:sz w:val="26"/>
                <w:szCs w:val="26"/>
                <w:shd w:val="clear" w:color="auto" w:fill="FFFFFF"/>
              </w:rPr>
              <w:t xml:space="preserve">Kredītu garantijas ir viens no pieprasītākajiem sabiedrības </w:t>
            </w:r>
            <w:proofErr w:type="spellStart"/>
            <w:r w:rsidRPr="00E04790">
              <w:rPr>
                <w:rFonts w:ascii="Times New Roman" w:hAnsi="Times New Roman" w:cs="Times New Roman"/>
                <w:color w:val="auto"/>
                <w:sz w:val="26"/>
                <w:szCs w:val="26"/>
                <w:shd w:val="clear" w:color="auto" w:fill="FFFFFF"/>
              </w:rPr>
              <w:t>Altum</w:t>
            </w:r>
            <w:proofErr w:type="spellEnd"/>
            <w:r w:rsidRPr="00E04790">
              <w:rPr>
                <w:rFonts w:ascii="Times New Roman" w:hAnsi="Times New Roman" w:cs="Times New Roman"/>
                <w:color w:val="auto"/>
                <w:sz w:val="26"/>
                <w:szCs w:val="26"/>
                <w:shd w:val="clear" w:color="auto" w:fill="FFFFFF"/>
              </w:rPr>
              <w:t xml:space="preserve"> piedāvātajiem finanšu instrumentiem. Kopš fondu fonda uzsākšanas līdz 30.10.2020. </w:t>
            </w:r>
            <w:proofErr w:type="spellStart"/>
            <w:r w:rsidRPr="00E04790">
              <w:rPr>
                <w:rFonts w:ascii="Times New Roman" w:hAnsi="Times New Roman" w:cs="Times New Roman"/>
                <w:color w:val="auto"/>
                <w:sz w:val="26"/>
                <w:szCs w:val="26"/>
                <w:shd w:val="clear" w:color="auto" w:fill="FFFFFF"/>
              </w:rPr>
              <w:t>Altum</w:t>
            </w:r>
            <w:proofErr w:type="spellEnd"/>
            <w:r w:rsidRPr="00E04790">
              <w:rPr>
                <w:rFonts w:ascii="Times New Roman" w:hAnsi="Times New Roman" w:cs="Times New Roman"/>
                <w:color w:val="auto"/>
                <w:sz w:val="26"/>
                <w:szCs w:val="26"/>
                <w:shd w:val="clear" w:color="auto" w:fill="FFFFFF"/>
              </w:rPr>
              <w:t xml:space="preserve"> ir izsniegusi 570 garantijas 126 373 869 euro apmērā, piesaistot kredītiestāžu aizdevumus 196 </w:t>
            </w:r>
            <w:proofErr w:type="spellStart"/>
            <w:r w:rsidRPr="00E04790">
              <w:rPr>
                <w:rFonts w:ascii="Times New Roman" w:hAnsi="Times New Roman" w:cs="Times New Roman"/>
                <w:color w:val="auto"/>
                <w:sz w:val="26"/>
                <w:szCs w:val="26"/>
                <w:shd w:val="clear" w:color="auto" w:fill="FFFFFF"/>
              </w:rPr>
              <w:t>milj.euro</w:t>
            </w:r>
            <w:proofErr w:type="spellEnd"/>
            <w:r w:rsidRPr="00E04790">
              <w:rPr>
                <w:rFonts w:ascii="Times New Roman" w:hAnsi="Times New Roman" w:cs="Times New Roman"/>
                <w:color w:val="auto"/>
                <w:sz w:val="26"/>
                <w:szCs w:val="26"/>
                <w:shd w:val="clear" w:color="auto" w:fill="FFFFFF"/>
              </w:rPr>
              <w:t xml:space="preserve"> apmērā.</w:t>
            </w:r>
          </w:p>
          <w:p w14:paraId="2B2668E6" w14:textId="77777777" w:rsidR="00FB0E29" w:rsidRPr="00E04790" w:rsidRDefault="00131AB3" w:rsidP="00FB0E29">
            <w:pPr>
              <w:spacing w:before="240"/>
              <w:jc w:val="both"/>
              <w:rPr>
                <w:rFonts w:eastAsia="Times New Roman"/>
                <w:iCs/>
                <w:sz w:val="26"/>
                <w:szCs w:val="26"/>
                <w:lang w:val="lv-LV" w:eastAsia="lv-LV"/>
              </w:rPr>
            </w:pPr>
            <w:proofErr w:type="spellStart"/>
            <w:r w:rsidRPr="00E04790">
              <w:rPr>
                <w:b/>
                <w:bCs/>
                <w:i/>
                <w:iCs/>
                <w:sz w:val="26"/>
                <w:szCs w:val="26"/>
              </w:rPr>
              <w:t>Papildus</w:t>
            </w:r>
            <w:proofErr w:type="spellEnd"/>
            <w:r w:rsidRPr="00E04790">
              <w:rPr>
                <w:b/>
                <w:bCs/>
                <w:i/>
                <w:iCs/>
                <w:sz w:val="26"/>
                <w:szCs w:val="26"/>
              </w:rPr>
              <w:t xml:space="preserve"> </w:t>
            </w:r>
            <w:proofErr w:type="spellStart"/>
            <w:r w:rsidRPr="00E04790">
              <w:rPr>
                <w:b/>
                <w:bCs/>
                <w:i/>
                <w:iCs/>
                <w:sz w:val="26"/>
                <w:szCs w:val="26"/>
              </w:rPr>
              <w:t>finansējums</w:t>
            </w:r>
            <w:proofErr w:type="spellEnd"/>
            <w:r w:rsidR="00FB0E29" w:rsidRPr="00E04790">
              <w:rPr>
                <w:b/>
                <w:bCs/>
                <w:i/>
                <w:iCs/>
                <w:sz w:val="26"/>
                <w:szCs w:val="26"/>
              </w:rPr>
              <w:t xml:space="preserve"> </w:t>
            </w:r>
            <w:proofErr w:type="spellStart"/>
            <w:r w:rsidR="00FB0E29" w:rsidRPr="00E04790">
              <w:rPr>
                <w:b/>
                <w:bCs/>
                <w:i/>
                <w:iCs/>
                <w:sz w:val="26"/>
                <w:szCs w:val="26"/>
              </w:rPr>
              <w:t>lielajiem</w:t>
            </w:r>
            <w:proofErr w:type="spellEnd"/>
            <w:r w:rsidR="00FB0E29" w:rsidRPr="00E04790">
              <w:rPr>
                <w:b/>
                <w:bCs/>
                <w:i/>
                <w:iCs/>
                <w:sz w:val="26"/>
                <w:szCs w:val="26"/>
              </w:rPr>
              <w:t xml:space="preserve"> </w:t>
            </w:r>
            <w:proofErr w:type="spellStart"/>
            <w:r w:rsidR="00FB0E29" w:rsidRPr="00E04790">
              <w:rPr>
                <w:b/>
                <w:bCs/>
                <w:i/>
                <w:iCs/>
                <w:sz w:val="26"/>
                <w:szCs w:val="26"/>
              </w:rPr>
              <w:t>saimnieciskās</w:t>
            </w:r>
            <w:proofErr w:type="spellEnd"/>
            <w:r w:rsidR="00FB0E29" w:rsidRPr="00E04790">
              <w:rPr>
                <w:b/>
                <w:bCs/>
                <w:i/>
                <w:iCs/>
                <w:sz w:val="26"/>
                <w:szCs w:val="26"/>
              </w:rPr>
              <w:t xml:space="preserve"> </w:t>
            </w:r>
            <w:proofErr w:type="spellStart"/>
            <w:r w:rsidR="00FB0E29" w:rsidRPr="00E04790">
              <w:rPr>
                <w:b/>
                <w:bCs/>
                <w:i/>
                <w:iCs/>
                <w:sz w:val="26"/>
                <w:szCs w:val="26"/>
              </w:rPr>
              <w:t>darbības</w:t>
            </w:r>
            <w:proofErr w:type="spellEnd"/>
            <w:r w:rsidR="00FB0E29" w:rsidRPr="00E04790">
              <w:rPr>
                <w:b/>
                <w:bCs/>
                <w:i/>
                <w:iCs/>
                <w:sz w:val="26"/>
                <w:szCs w:val="26"/>
              </w:rPr>
              <w:t xml:space="preserve"> </w:t>
            </w:r>
            <w:proofErr w:type="spellStart"/>
            <w:r w:rsidR="00FB0E29" w:rsidRPr="00E04790">
              <w:rPr>
                <w:b/>
                <w:bCs/>
                <w:i/>
                <w:iCs/>
                <w:sz w:val="26"/>
                <w:szCs w:val="26"/>
              </w:rPr>
              <w:t>veicējiem</w:t>
            </w:r>
            <w:proofErr w:type="spellEnd"/>
            <w:r w:rsidR="00FB0E29" w:rsidRPr="00E04790">
              <w:rPr>
                <w:rFonts w:eastAsia="Times New Roman"/>
                <w:iCs/>
                <w:sz w:val="26"/>
                <w:szCs w:val="26"/>
                <w:lang w:val="lv-LV" w:eastAsia="lv-LV"/>
              </w:rPr>
              <w:t xml:space="preserve"> </w:t>
            </w:r>
          </w:p>
          <w:p w14:paraId="18E9AB29" w14:textId="1B2BC240" w:rsidR="00FB0E29" w:rsidRPr="00E04790" w:rsidRDefault="004617B1" w:rsidP="00FB0E29">
            <w:pPr>
              <w:spacing w:before="240"/>
              <w:jc w:val="both"/>
              <w:rPr>
                <w:rFonts w:eastAsia="Times New Roman"/>
                <w:iCs/>
                <w:sz w:val="26"/>
                <w:szCs w:val="26"/>
                <w:lang w:val="lv-LV" w:eastAsia="lv-LV"/>
              </w:rPr>
            </w:pPr>
            <w:r w:rsidRPr="00E04790">
              <w:rPr>
                <w:rFonts w:eastAsia="Times New Roman"/>
                <w:iCs/>
                <w:sz w:val="26"/>
                <w:szCs w:val="26"/>
                <w:lang w:val="lv-LV" w:eastAsia="lv-LV"/>
              </w:rPr>
              <w:t>Noteikumos</w:t>
            </w:r>
            <w:r w:rsidR="00FB0E29" w:rsidRPr="00E04790">
              <w:rPr>
                <w:rFonts w:eastAsia="Times New Roman"/>
                <w:iCs/>
                <w:sz w:val="26"/>
                <w:szCs w:val="26"/>
                <w:lang w:val="lv-LV" w:eastAsia="lv-LV"/>
              </w:rPr>
              <w:t xml:space="preserve"> </w:t>
            </w:r>
            <w:r w:rsidR="00163DB7" w:rsidRPr="00E04790">
              <w:rPr>
                <w:rFonts w:eastAsia="Times New Roman"/>
                <w:iCs/>
                <w:sz w:val="26"/>
                <w:szCs w:val="26"/>
                <w:lang w:val="lv-LV" w:eastAsia="lv-LV"/>
              </w:rPr>
              <w:t xml:space="preserve">(7.3.apakšpunkts) </w:t>
            </w:r>
            <w:r w:rsidR="00FB0E29" w:rsidRPr="00E04790">
              <w:rPr>
                <w:rFonts w:eastAsia="Times New Roman"/>
                <w:iCs/>
                <w:sz w:val="26"/>
                <w:szCs w:val="26"/>
                <w:lang w:val="lv-LV" w:eastAsia="lv-LV"/>
              </w:rPr>
              <w:t xml:space="preserve">ir noteikts finansējums 3 513 476 </w:t>
            </w:r>
            <w:r w:rsidR="00FB0E29" w:rsidRPr="00E04790">
              <w:rPr>
                <w:rFonts w:eastAsia="Times New Roman"/>
                <w:i/>
                <w:sz w:val="26"/>
                <w:szCs w:val="26"/>
                <w:lang w:val="lv-LV" w:eastAsia="lv-LV"/>
              </w:rPr>
              <w:t>euro</w:t>
            </w:r>
            <w:r w:rsidR="00FB0E29" w:rsidRPr="00E04790">
              <w:rPr>
                <w:rFonts w:eastAsia="Times New Roman"/>
                <w:iCs/>
                <w:sz w:val="26"/>
                <w:szCs w:val="26"/>
                <w:lang w:val="lv-LV" w:eastAsia="lv-LV"/>
              </w:rPr>
              <w:t>, kuru var izmantot riska segumam, sniedzot garantijas lielajiem saimnieciskās darbības veicējiem</w:t>
            </w:r>
            <w:r w:rsidR="00163DB7" w:rsidRPr="00E04790">
              <w:rPr>
                <w:rFonts w:eastAsia="Times New Roman"/>
                <w:iCs/>
                <w:sz w:val="26"/>
                <w:szCs w:val="26"/>
                <w:lang w:val="lv-LV" w:eastAsia="lv-LV"/>
              </w:rPr>
              <w:t xml:space="preserve"> saskaņā ar  </w:t>
            </w:r>
            <w:r w:rsidR="00163DB7" w:rsidRPr="00E04790">
              <w:rPr>
                <w:sz w:val="26"/>
                <w:szCs w:val="26"/>
                <w:shd w:val="clear" w:color="auto" w:fill="FFFFFF"/>
                <w:lang w:val="lv-LV"/>
              </w:rPr>
              <w:t>Komisijas Regulas Nr. 651/2014 2.panta 24.punktā noteikto definīciju</w:t>
            </w:r>
            <w:r w:rsidR="00163DB7" w:rsidRPr="00E04790">
              <w:rPr>
                <w:rFonts w:eastAsia="Times New Roman"/>
                <w:iCs/>
                <w:sz w:val="26"/>
                <w:szCs w:val="26"/>
                <w:lang w:val="lv-LV" w:eastAsia="lv-LV"/>
              </w:rPr>
              <w:t xml:space="preserve">, </w:t>
            </w:r>
            <w:r w:rsidR="00FB0E29" w:rsidRPr="00E04790">
              <w:rPr>
                <w:rFonts w:eastAsia="Times New Roman"/>
                <w:iCs/>
                <w:sz w:val="26"/>
                <w:szCs w:val="26"/>
                <w:lang w:val="lv-LV" w:eastAsia="lv-LV"/>
              </w:rPr>
              <w:t xml:space="preserve"> no kura šobrīd rezervēts finansējums </w:t>
            </w:r>
            <w:r w:rsidR="00B8759E" w:rsidRPr="00E04790">
              <w:rPr>
                <w:rFonts w:eastAsia="Times New Roman"/>
                <w:iCs/>
                <w:sz w:val="26"/>
                <w:szCs w:val="26"/>
                <w:lang w:val="lv-LV" w:eastAsia="lv-LV"/>
              </w:rPr>
              <w:t xml:space="preserve">ir </w:t>
            </w:r>
            <w:r w:rsidR="00FB0E29" w:rsidRPr="00E04790">
              <w:rPr>
                <w:rFonts w:eastAsia="Times New Roman"/>
                <w:iCs/>
                <w:sz w:val="26"/>
                <w:szCs w:val="26"/>
                <w:lang w:val="lv-LV" w:eastAsia="lv-LV"/>
              </w:rPr>
              <w:t>3.32 milj.</w:t>
            </w:r>
            <w:r w:rsidR="00FB0E29" w:rsidRPr="00E04790">
              <w:rPr>
                <w:rFonts w:eastAsia="Times New Roman"/>
                <w:i/>
                <w:sz w:val="26"/>
                <w:szCs w:val="26"/>
                <w:lang w:val="lv-LV" w:eastAsia="lv-LV"/>
              </w:rPr>
              <w:t xml:space="preserve"> euro</w:t>
            </w:r>
            <w:r w:rsidR="00FB0E29" w:rsidRPr="00E04790">
              <w:rPr>
                <w:rFonts w:eastAsia="Times New Roman"/>
                <w:iCs/>
                <w:sz w:val="26"/>
                <w:szCs w:val="26"/>
                <w:lang w:val="lv-LV" w:eastAsia="lv-LV"/>
              </w:rPr>
              <w:t>. Līdz ar to lielajiem saimnieciskās darbības veicējiem jaunu kredītiestāžu aizdevumu sniegšanā atbalsts garantiju veidā drīz vairs var nebūs pieejams.</w:t>
            </w:r>
          </w:p>
          <w:p w14:paraId="6A49339C" w14:textId="6006EFC9" w:rsidR="00130058" w:rsidRPr="00E04790" w:rsidRDefault="00130058" w:rsidP="00130058">
            <w:pPr>
              <w:pStyle w:val="Default"/>
              <w:spacing w:before="120" w:after="120"/>
              <w:jc w:val="both"/>
              <w:rPr>
                <w:rFonts w:ascii="Times New Roman" w:hAnsi="Times New Roman" w:cs="Times New Roman"/>
                <w:color w:val="auto"/>
                <w:sz w:val="26"/>
                <w:szCs w:val="26"/>
              </w:rPr>
            </w:pPr>
            <w:r w:rsidRPr="00E04790">
              <w:rPr>
                <w:rFonts w:ascii="Times New Roman" w:hAnsi="Times New Roman" w:cs="Times New Roman"/>
                <w:color w:val="auto"/>
                <w:sz w:val="26"/>
                <w:szCs w:val="26"/>
              </w:rPr>
              <w:t xml:space="preserve">Tā kā </w:t>
            </w:r>
            <w:r w:rsidR="00B8759E" w:rsidRPr="00E04790">
              <w:rPr>
                <w:rFonts w:ascii="Times New Roman" w:hAnsi="Times New Roman" w:cs="Times New Roman"/>
                <w:color w:val="auto"/>
                <w:sz w:val="26"/>
                <w:szCs w:val="26"/>
              </w:rPr>
              <w:t xml:space="preserve">arī </w:t>
            </w:r>
            <w:r w:rsidRPr="00E04790">
              <w:rPr>
                <w:rFonts w:ascii="Times New Roman" w:hAnsi="Times New Roman" w:cs="Times New Roman"/>
                <w:color w:val="auto"/>
                <w:sz w:val="26"/>
                <w:szCs w:val="26"/>
              </w:rPr>
              <w:t xml:space="preserve">daļa tūrisma operatoru varētu kvalificēties kā lielie saimnieciskās darbības veicēji, kuri šobrīd nav </w:t>
            </w:r>
            <w:r w:rsidRPr="00E04790">
              <w:rPr>
                <w:rFonts w:ascii="Times New Roman" w:hAnsi="Times New Roman" w:cs="Times New Roman"/>
                <w:color w:val="auto"/>
                <w:sz w:val="26"/>
                <w:szCs w:val="26"/>
              </w:rPr>
              <w:lastRenderedPageBreak/>
              <w:t xml:space="preserve">atbalstāmi darbības programmas “Izaugsme un nodarbinātība” 3.prioritārā virziena ietvaros un ņemot vērā, ka ir palielinājies pieprasījums no lielo uzņēmumu segmenta, </w:t>
            </w:r>
            <w:r w:rsidRPr="00E04790">
              <w:rPr>
                <w:rFonts w:ascii="Times New Roman" w:hAnsi="Times New Roman" w:cs="Times New Roman"/>
                <w:b/>
                <w:bCs/>
                <w:color w:val="auto"/>
                <w:sz w:val="26"/>
                <w:szCs w:val="26"/>
              </w:rPr>
              <w:t xml:space="preserve">Ekonomikas ministrija ierosina pārdalīt 2,5 milj. </w:t>
            </w:r>
            <w:r w:rsidRPr="00E04790">
              <w:rPr>
                <w:rFonts w:ascii="Times New Roman" w:hAnsi="Times New Roman" w:cs="Times New Roman"/>
                <w:b/>
                <w:bCs/>
                <w:i/>
                <w:iCs/>
                <w:color w:val="auto"/>
                <w:sz w:val="26"/>
                <w:szCs w:val="26"/>
              </w:rPr>
              <w:t xml:space="preserve">euro </w:t>
            </w:r>
            <w:r w:rsidRPr="00E04790">
              <w:rPr>
                <w:rFonts w:ascii="Times New Roman" w:hAnsi="Times New Roman" w:cs="Times New Roman"/>
                <w:b/>
                <w:bCs/>
                <w:color w:val="auto"/>
                <w:sz w:val="26"/>
                <w:szCs w:val="26"/>
              </w:rPr>
              <w:t>valsts budžeta finansējumu</w:t>
            </w:r>
            <w:r w:rsidRPr="00E04790">
              <w:rPr>
                <w:rFonts w:ascii="Times New Roman" w:hAnsi="Times New Roman" w:cs="Times New Roman"/>
                <w:color w:val="auto"/>
                <w:sz w:val="26"/>
                <w:szCs w:val="26"/>
              </w:rPr>
              <w:t xml:space="preserve"> no Ministru kabineta 2020.gada 19.marta noteikumos Nr.150 “Noteikumi par garantijām saimnieciskās darbības veicējiem, kuru darbību ietekmējusi Covid-19 izplatība” (turpmāk – Noteikumi Nr.150) paredzētā finansējuma, lai novirzītu to riska segumam lielajiem saimnieciskās darbība</w:t>
            </w:r>
            <w:r w:rsidR="0019140D" w:rsidRPr="00E04790">
              <w:rPr>
                <w:rFonts w:ascii="Times New Roman" w:hAnsi="Times New Roman" w:cs="Times New Roman"/>
                <w:color w:val="auto"/>
                <w:sz w:val="26"/>
                <w:szCs w:val="26"/>
              </w:rPr>
              <w:t>s</w:t>
            </w:r>
            <w:r w:rsidRPr="00E04790">
              <w:rPr>
                <w:rFonts w:ascii="Times New Roman" w:hAnsi="Times New Roman" w:cs="Times New Roman"/>
                <w:color w:val="auto"/>
                <w:sz w:val="26"/>
                <w:szCs w:val="26"/>
              </w:rPr>
              <w:t xml:space="preserve"> veicējiem Noteikumu ietvaros.</w:t>
            </w:r>
          </w:p>
          <w:p w14:paraId="6675BC83" w14:textId="3FB4F3EA" w:rsidR="00A6144E" w:rsidRPr="00E04790" w:rsidRDefault="00C81E41" w:rsidP="00130058">
            <w:pPr>
              <w:pStyle w:val="Default"/>
              <w:spacing w:before="120" w:after="120"/>
              <w:jc w:val="both"/>
              <w:rPr>
                <w:rFonts w:ascii="Times New Roman" w:hAnsi="Times New Roman" w:cs="Times New Roman"/>
                <w:color w:val="auto"/>
                <w:sz w:val="26"/>
                <w:szCs w:val="26"/>
              </w:rPr>
            </w:pPr>
            <w:r w:rsidRPr="00E04790">
              <w:rPr>
                <w:rFonts w:ascii="Times New Roman" w:hAnsi="Times New Roman" w:cs="Times New Roman"/>
                <w:color w:val="auto"/>
                <w:sz w:val="26"/>
                <w:szCs w:val="26"/>
              </w:rPr>
              <w:t xml:space="preserve">Papildus, </w:t>
            </w:r>
            <w:r w:rsidR="00446AAB" w:rsidRPr="00E04790">
              <w:rPr>
                <w:rFonts w:ascii="Times New Roman" w:hAnsi="Times New Roman" w:cs="Times New Roman"/>
                <w:color w:val="auto"/>
                <w:sz w:val="26"/>
                <w:szCs w:val="26"/>
              </w:rPr>
              <w:t>š.g. 3</w:t>
            </w:r>
            <w:r w:rsidRPr="00E04790">
              <w:rPr>
                <w:rFonts w:ascii="Times New Roman" w:hAnsi="Times New Roman" w:cs="Times New Roman"/>
                <w:color w:val="auto"/>
                <w:sz w:val="26"/>
                <w:szCs w:val="26"/>
              </w:rPr>
              <w:t>.decembr</w:t>
            </w:r>
            <w:r w:rsidR="00446AAB" w:rsidRPr="00E04790">
              <w:rPr>
                <w:rFonts w:ascii="Times New Roman" w:hAnsi="Times New Roman" w:cs="Times New Roman"/>
                <w:color w:val="auto"/>
                <w:sz w:val="26"/>
                <w:szCs w:val="26"/>
              </w:rPr>
              <w:t>ī</w:t>
            </w:r>
            <w:r w:rsidRPr="00E04790">
              <w:rPr>
                <w:rFonts w:ascii="Times New Roman" w:hAnsi="Times New Roman" w:cs="Times New Roman"/>
                <w:color w:val="auto"/>
                <w:sz w:val="26"/>
                <w:szCs w:val="26"/>
              </w:rPr>
              <w:t xml:space="preserve"> Finanšu ministra vadītajā </w:t>
            </w:r>
            <w:r w:rsidR="00446AAB" w:rsidRPr="00E04790">
              <w:rPr>
                <w:rFonts w:ascii="Times New Roman" w:hAnsi="Times New Roman" w:cs="Times New Roman"/>
                <w:color w:val="auto"/>
                <w:sz w:val="26"/>
                <w:szCs w:val="26"/>
              </w:rPr>
              <w:t xml:space="preserve">krīzes vadības </w:t>
            </w:r>
            <w:r w:rsidRPr="00E04790">
              <w:rPr>
                <w:rFonts w:ascii="Times New Roman" w:hAnsi="Times New Roman" w:cs="Times New Roman"/>
                <w:color w:val="auto"/>
                <w:sz w:val="26"/>
                <w:szCs w:val="26"/>
              </w:rPr>
              <w:t xml:space="preserve">darba grupā </w:t>
            </w:r>
            <w:r w:rsidR="00446AAB" w:rsidRPr="00E04790">
              <w:rPr>
                <w:rFonts w:ascii="Times New Roman" w:hAnsi="Times New Roman" w:cs="Times New Roman"/>
                <w:color w:val="auto"/>
                <w:sz w:val="26"/>
                <w:szCs w:val="26"/>
              </w:rPr>
              <w:t>tika lemts</w:t>
            </w:r>
            <w:r w:rsidRPr="00E04790">
              <w:rPr>
                <w:rFonts w:ascii="Times New Roman" w:hAnsi="Times New Roman" w:cs="Times New Roman"/>
                <w:color w:val="auto"/>
                <w:sz w:val="26"/>
                <w:szCs w:val="26"/>
              </w:rPr>
              <w:t xml:space="preserve"> </w:t>
            </w:r>
            <w:r w:rsidR="0009291B" w:rsidRPr="00E04790">
              <w:rPr>
                <w:rFonts w:ascii="Times New Roman" w:hAnsi="Times New Roman" w:cs="Times New Roman"/>
                <w:color w:val="auto"/>
                <w:sz w:val="26"/>
                <w:szCs w:val="26"/>
              </w:rPr>
              <w:t xml:space="preserve">novirzīt papildus 2 milj. </w:t>
            </w:r>
            <w:r w:rsidR="0009291B" w:rsidRPr="00E04790">
              <w:rPr>
                <w:rFonts w:ascii="Times New Roman" w:hAnsi="Times New Roman" w:cs="Times New Roman"/>
                <w:i/>
                <w:iCs/>
                <w:color w:val="auto"/>
                <w:sz w:val="26"/>
                <w:szCs w:val="26"/>
              </w:rPr>
              <w:t>euro</w:t>
            </w:r>
            <w:r w:rsidR="0009291B" w:rsidRPr="00E04790">
              <w:rPr>
                <w:rFonts w:ascii="Times New Roman" w:hAnsi="Times New Roman" w:cs="Times New Roman"/>
                <w:color w:val="auto"/>
                <w:sz w:val="26"/>
                <w:szCs w:val="26"/>
              </w:rPr>
              <w:t xml:space="preserve"> valsts budžeta finansējum</w:t>
            </w:r>
            <w:r w:rsidR="00446AAB" w:rsidRPr="00E04790">
              <w:rPr>
                <w:rFonts w:ascii="Times New Roman" w:hAnsi="Times New Roman" w:cs="Times New Roman"/>
                <w:color w:val="auto"/>
                <w:sz w:val="26"/>
                <w:szCs w:val="26"/>
              </w:rPr>
              <w:t>u</w:t>
            </w:r>
            <w:r w:rsidR="0009291B" w:rsidRPr="00E04790">
              <w:rPr>
                <w:rFonts w:ascii="Times New Roman" w:hAnsi="Times New Roman" w:cs="Times New Roman"/>
                <w:color w:val="auto"/>
                <w:sz w:val="26"/>
                <w:szCs w:val="26"/>
              </w:rPr>
              <w:t xml:space="preserve"> </w:t>
            </w:r>
            <w:r w:rsidR="00446AAB" w:rsidRPr="00E04790">
              <w:rPr>
                <w:rFonts w:ascii="Times New Roman" w:hAnsi="Times New Roman" w:cs="Times New Roman"/>
                <w:color w:val="auto"/>
                <w:sz w:val="26"/>
                <w:szCs w:val="26"/>
              </w:rPr>
              <w:t xml:space="preserve">garantiju sniegšanai lielajiem saimnieciskās darbības veicējiem </w:t>
            </w:r>
            <w:r w:rsidR="00F155E5" w:rsidRPr="00E04790">
              <w:rPr>
                <w:rFonts w:ascii="Times New Roman" w:hAnsi="Times New Roman" w:cs="Times New Roman"/>
                <w:color w:val="auto"/>
                <w:sz w:val="26"/>
                <w:szCs w:val="26"/>
              </w:rPr>
              <w:t>Noteikumu ietvaros. Minēto finansējumu nolemts pārdalīt</w:t>
            </w:r>
            <w:r w:rsidR="0009291B" w:rsidRPr="00E04790">
              <w:rPr>
                <w:rFonts w:ascii="Times New Roman" w:hAnsi="Times New Roman" w:cs="Times New Roman"/>
                <w:color w:val="auto"/>
                <w:sz w:val="26"/>
                <w:szCs w:val="26"/>
              </w:rPr>
              <w:t xml:space="preserve"> </w:t>
            </w:r>
            <w:r w:rsidRPr="00E04790">
              <w:rPr>
                <w:rFonts w:ascii="Times New Roman" w:hAnsi="Times New Roman" w:cs="Times New Roman"/>
                <w:color w:val="auto"/>
                <w:sz w:val="26"/>
                <w:szCs w:val="26"/>
              </w:rPr>
              <w:t>no 2020.gada 14.jūlija Ministru kabineta noteikum</w:t>
            </w:r>
            <w:r w:rsidR="00F155E5" w:rsidRPr="00E04790">
              <w:rPr>
                <w:rFonts w:ascii="Times New Roman" w:hAnsi="Times New Roman" w:cs="Times New Roman"/>
                <w:color w:val="auto"/>
                <w:sz w:val="26"/>
                <w:szCs w:val="26"/>
              </w:rPr>
              <w:t>o</w:t>
            </w:r>
            <w:r w:rsidRPr="00E04790">
              <w:rPr>
                <w:rFonts w:ascii="Times New Roman" w:hAnsi="Times New Roman" w:cs="Times New Roman"/>
                <w:color w:val="auto"/>
                <w:sz w:val="26"/>
                <w:szCs w:val="26"/>
              </w:rPr>
              <w:t>s Nr.454 “Noteikumi par garantijām lielajiem komersantiem, kuru darbību ietekmējusi Covid-19 izplatība”</w:t>
            </w:r>
            <w:r w:rsidR="00446AAB" w:rsidRPr="00E04790">
              <w:rPr>
                <w:rFonts w:ascii="Times New Roman" w:hAnsi="Times New Roman" w:cs="Times New Roman"/>
                <w:color w:val="auto"/>
                <w:sz w:val="26"/>
                <w:szCs w:val="26"/>
              </w:rPr>
              <w:t xml:space="preserve"> (turpmāk – MK noteikumi Nr.454)</w:t>
            </w:r>
            <w:r w:rsidRPr="00E04790">
              <w:rPr>
                <w:rFonts w:ascii="Times New Roman" w:hAnsi="Times New Roman" w:cs="Times New Roman"/>
                <w:color w:val="auto"/>
                <w:sz w:val="26"/>
                <w:szCs w:val="26"/>
              </w:rPr>
              <w:t xml:space="preserve"> </w:t>
            </w:r>
            <w:r w:rsidR="00F155E5" w:rsidRPr="00E04790">
              <w:rPr>
                <w:rFonts w:ascii="Times New Roman" w:hAnsi="Times New Roman" w:cs="Times New Roman"/>
                <w:color w:val="auto"/>
                <w:sz w:val="26"/>
                <w:szCs w:val="26"/>
              </w:rPr>
              <w:t xml:space="preserve">paredzētā </w:t>
            </w:r>
            <w:r w:rsidRPr="00E04790">
              <w:rPr>
                <w:rFonts w:ascii="Times New Roman" w:hAnsi="Times New Roman" w:cs="Times New Roman"/>
                <w:color w:val="auto"/>
                <w:sz w:val="26"/>
                <w:szCs w:val="26"/>
              </w:rPr>
              <w:t>finansējuma</w:t>
            </w:r>
            <w:r w:rsidR="00A6144E" w:rsidRPr="00E04790">
              <w:rPr>
                <w:rFonts w:ascii="Times New Roman" w:hAnsi="Times New Roman" w:cs="Times New Roman"/>
                <w:color w:val="auto"/>
                <w:sz w:val="26"/>
                <w:szCs w:val="26"/>
              </w:rPr>
              <w:t xml:space="preserve"> ilgtermiņa garantijām lielajiem saimnieciskās darbības veicējiem</w:t>
            </w:r>
            <w:r w:rsidR="00F155E5" w:rsidRPr="00E04790">
              <w:rPr>
                <w:rFonts w:ascii="Times New Roman" w:hAnsi="Times New Roman" w:cs="Times New Roman"/>
                <w:color w:val="auto"/>
                <w:sz w:val="26"/>
                <w:szCs w:val="26"/>
              </w:rPr>
              <w:t>, ņemot vērā, ka</w:t>
            </w:r>
            <w:r w:rsidR="00A6144E" w:rsidRPr="00E04790">
              <w:rPr>
                <w:rFonts w:ascii="Times New Roman" w:hAnsi="Times New Roman" w:cs="Times New Roman"/>
                <w:color w:val="auto"/>
                <w:sz w:val="26"/>
                <w:szCs w:val="26"/>
              </w:rPr>
              <w:t xml:space="preserve"> šobrīd </w:t>
            </w:r>
            <w:r w:rsidR="00F155E5" w:rsidRPr="00E04790">
              <w:rPr>
                <w:rFonts w:ascii="Times New Roman" w:hAnsi="Times New Roman" w:cs="Times New Roman"/>
                <w:color w:val="auto"/>
                <w:sz w:val="26"/>
                <w:szCs w:val="26"/>
              </w:rPr>
              <w:t xml:space="preserve">programmā </w:t>
            </w:r>
            <w:r w:rsidR="00A6144E" w:rsidRPr="00E04790">
              <w:rPr>
                <w:rFonts w:ascii="Times New Roman" w:hAnsi="Times New Roman" w:cs="Times New Roman"/>
                <w:color w:val="auto"/>
                <w:sz w:val="26"/>
                <w:szCs w:val="26"/>
              </w:rPr>
              <w:t>nav pietiekama apguve.</w:t>
            </w:r>
          </w:p>
          <w:p w14:paraId="174CB747" w14:textId="297771B8" w:rsidR="00A6144E" w:rsidRPr="00E04790" w:rsidRDefault="00A6144E" w:rsidP="00130058">
            <w:pPr>
              <w:pStyle w:val="Default"/>
              <w:spacing w:before="120" w:after="120"/>
              <w:jc w:val="both"/>
              <w:rPr>
                <w:rFonts w:ascii="Times New Roman" w:hAnsi="Times New Roman" w:cs="Times New Roman"/>
                <w:color w:val="auto"/>
                <w:sz w:val="26"/>
                <w:szCs w:val="26"/>
              </w:rPr>
            </w:pPr>
            <w:r w:rsidRPr="00E04790">
              <w:rPr>
                <w:rFonts w:ascii="Times New Roman" w:hAnsi="Times New Roman" w:cs="Times New Roman"/>
                <w:color w:val="auto"/>
                <w:sz w:val="26"/>
                <w:szCs w:val="26"/>
              </w:rPr>
              <w:t xml:space="preserve">Šo papildus finansējumu </w:t>
            </w:r>
            <w:r w:rsidR="0009291B" w:rsidRPr="00E04790">
              <w:rPr>
                <w:rFonts w:ascii="Times New Roman" w:hAnsi="Times New Roman" w:cs="Times New Roman"/>
                <w:color w:val="auto"/>
                <w:sz w:val="26"/>
                <w:szCs w:val="26"/>
              </w:rPr>
              <w:t xml:space="preserve">Noteikumu </w:t>
            </w:r>
            <w:r w:rsidRPr="00E04790">
              <w:rPr>
                <w:rFonts w:ascii="Times New Roman" w:hAnsi="Times New Roman" w:cs="Times New Roman"/>
                <w:color w:val="auto"/>
                <w:sz w:val="26"/>
                <w:szCs w:val="26"/>
              </w:rPr>
              <w:t>ietvaros varēs izmantot pēc attiecīgo grozījumu veikšanas MK noteikumos Nr.454</w:t>
            </w:r>
            <w:r w:rsidR="00F155E5" w:rsidRPr="00E04790">
              <w:rPr>
                <w:rFonts w:ascii="Times New Roman" w:hAnsi="Times New Roman" w:cs="Times New Roman"/>
                <w:color w:val="auto"/>
                <w:sz w:val="26"/>
                <w:szCs w:val="26"/>
              </w:rPr>
              <w:t>, kas tiek virzīti apstiprināšanai Ministru kabinetā vienlaicīgi ar Noteikumu projektu.</w:t>
            </w:r>
          </w:p>
          <w:p w14:paraId="42D31FE8" w14:textId="6EFB5CBA" w:rsidR="00FB0E29" w:rsidRPr="00E04790" w:rsidRDefault="00FB0E29" w:rsidP="00F373AD">
            <w:pPr>
              <w:spacing w:before="240"/>
              <w:jc w:val="both"/>
              <w:rPr>
                <w:b/>
                <w:bCs/>
                <w:i/>
                <w:iCs/>
                <w:sz w:val="26"/>
                <w:szCs w:val="26"/>
                <w:lang w:val="lv-LV"/>
              </w:rPr>
            </w:pPr>
            <w:r w:rsidRPr="00E04790">
              <w:rPr>
                <w:b/>
                <w:bCs/>
                <w:i/>
                <w:iCs/>
                <w:sz w:val="26"/>
                <w:szCs w:val="26"/>
                <w:lang w:val="lv-LV"/>
              </w:rPr>
              <w:t>Valsts atbalsta normu precizēšana</w:t>
            </w:r>
          </w:p>
          <w:p w14:paraId="092708E6" w14:textId="451D079C" w:rsidR="007A01B6" w:rsidRPr="00E04790" w:rsidRDefault="005E2CE4" w:rsidP="00130058">
            <w:pPr>
              <w:pStyle w:val="Default"/>
              <w:spacing w:before="120" w:after="120"/>
              <w:jc w:val="both"/>
              <w:rPr>
                <w:rFonts w:ascii="Times New Roman" w:hAnsi="Times New Roman" w:cs="Times New Roman"/>
                <w:color w:val="auto"/>
                <w:sz w:val="26"/>
                <w:szCs w:val="26"/>
              </w:rPr>
            </w:pPr>
            <w:r w:rsidRPr="00E04790">
              <w:rPr>
                <w:rFonts w:ascii="Times New Roman" w:hAnsi="Times New Roman" w:cs="Times New Roman"/>
                <w:color w:val="auto"/>
                <w:sz w:val="26"/>
                <w:szCs w:val="26"/>
              </w:rPr>
              <w:t xml:space="preserve">Noteikumu ietvaros subsīdijas ekvivalentu maziem un vidējiem uzņēmumiem (turpmāk – MVU) aprēķina atbilstoši Komisijas regulas Nr.1407/2013 </w:t>
            </w:r>
            <w:r w:rsidR="002E5CDE" w:rsidRPr="00E04790">
              <w:rPr>
                <w:rFonts w:ascii="Times New Roman" w:hAnsi="Times New Roman" w:cs="Times New Roman"/>
                <w:color w:val="auto"/>
                <w:sz w:val="26"/>
                <w:szCs w:val="26"/>
              </w:rPr>
              <w:t xml:space="preserve">4.panta 6.punkta </w:t>
            </w:r>
            <w:r w:rsidR="00C20C8F" w:rsidRPr="00E04790">
              <w:rPr>
                <w:rFonts w:ascii="Times New Roman" w:hAnsi="Times New Roman" w:cs="Times New Roman"/>
                <w:color w:val="auto"/>
                <w:sz w:val="26"/>
                <w:szCs w:val="26"/>
              </w:rPr>
              <w:t>b</w:t>
            </w:r>
            <w:r w:rsidR="002E5CDE" w:rsidRPr="00E04790">
              <w:rPr>
                <w:rFonts w:ascii="Times New Roman" w:hAnsi="Times New Roman" w:cs="Times New Roman"/>
                <w:color w:val="auto"/>
                <w:sz w:val="26"/>
                <w:szCs w:val="26"/>
              </w:rPr>
              <w:t xml:space="preserve">) vai </w:t>
            </w:r>
            <w:r w:rsidR="00C20C8F" w:rsidRPr="00E04790">
              <w:rPr>
                <w:rFonts w:ascii="Times New Roman" w:hAnsi="Times New Roman" w:cs="Times New Roman"/>
                <w:color w:val="auto"/>
                <w:sz w:val="26"/>
                <w:szCs w:val="26"/>
              </w:rPr>
              <w:t>c</w:t>
            </w:r>
            <w:r w:rsidR="002E5CDE" w:rsidRPr="00E04790">
              <w:rPr>
                <w:rFonts w:ascii="Times New Roman" w:hAnsi="Times New Roman" w:cs="Times New Roman"/>
                <w:color w:val="auto"/>
                <w:sz w:val="26"/>
                <w:szCs w:val="26"/>
              </w:rPr>
              <w:t>) apakšpunktam</w:t>
            </w:r>
            <w:r w:rsidRPr="00E04790">
              <w:rPr>
                <w:rFonts w:ascii="Times New Roman" w:hAnsi="Times New Roman" w:cs="Times New Roman"/>
                <w:color w:val="auto"/>
                <w:sz w:val="26"/>
                <w:szCs w:val="26"/>
              </w:rPr>
              <w:t xml:space="preserve">. Attiecībā uz Komisijas regulas Nr.1407/2013 </w:t>
            </w:r>
            <w:r w:rsidR="00D0599F" w:rsidRPr="00E04790">
              <w:rPr>
                <w:rFonts w:ascii="Times New Roman" w:hAnsi="Times New Roman" w:cs="Times New Roman"/>
                <w:color w:val="auto"/>
                <w:sz w:val="26"/>
                <w:szCs w:val="26"/>
              </w:rPr>
              <w:t xml:space="preserve">4.panta 6.punkta b) </w:t>
            </w:r>
            <w:r w:rsidR="008B66B6" w:rsidRPr="00E04790">
              <w:rPr>
                <w:rFonts w:ascii="Times New Roman" w:hAnsi="Times New Roman" w:cs="Times New Roman"/>
                <w:color w:val="auto"/>
                <w:sz w:val="26"/>
                <w:szCs w:val="26"/>
              </w:rPr>
              <w:t xml:space="preserve">un c) </w:t>
            </w:r>
            <w:r w:rsidR="00C20C8F" w:rsidRPr="00E04790">
              <w:rPr>
                <w:rFonts w:ascii="Times New Roman" w:hAnsi="Times New Roman" w:cs="Times New Roman"/>
                <w:color w:val="auto"/>
                <w:sz w:val="26"/>
                <w:szCs w:val="26"/>
              </w:rPr>
              <w:t xml:space="preserve">apakšpunktā noteikto </w:t>
            </w:r>
            <w:r w:rsidR="00D0599F" w:rsidRPr="00E04790">
              <w:rPr>
                <w:rFonts w:ascii="Times New Roman" w:hAnsi="Times New Roman" w:cs="Times New Roman"/>
                <w:color w:val="auto"/>
                <w:sz w:val="26"/>
                <w:szCs w:val="26"/>
              </w:rPr>
              <w:t xml:space="preserve">aprēķinu, Komisijas Regula Nr.1407/2013 nenosaka nosacījumu par minimālo uzņēmuma kredītreitingu </w:t>
            </w:r>
            <w:r w:rsidR="008B66B6" w:rsidRPr="00E04790">
              <w:rPr>
                <w:rFonts w:ascii="Times New Roman" w:hAnsi="Times New Roman" w:cs="Times New Roman"/>
                <w:color w:val="auto"/>
                <w:sz w:val="26"/>
                <w:szCs w:val="26"/>
              </w:rPr>
              <w:t xml:space="preserve">attiecībā uz </w:t>
            </w:r>
            <w:r w:rsidR="00D0599F" w:rsidRPr="00E04790">
              <w:rPr>
                <w:rFonts w:ascii="Times New Roman" w:hAnsi="Times New Roman" w:cs="Times New Roman"/>
                <w:color w:val="auto"/>
                <w:sz w:val="26"/>
                <w:szCs w:val="26"/>
              </w:rPr>
              <w:t>MVU.</w:t>
            </w:r>
          </w:p>
          <w:p w14:paraId="3005A645" w14:textId="76D94B34" w:rsidR="005E2CE4" w:rsidRPr="00E04790" w:rsidRDefault="005E2CE4" w:rsidP="00130058">
            <w:pPr>
              <w:pStyle w:val="Default"/>
              <w:spacing w:before="120" w:after="120"/>
              <w:jc w:val="both"/>
              <w:rPr>
                <w:rFonts w:ascii="Times New Roman" w:hAnsi="Times New Roman" w:cs="Times New Roman"/>
                <w:color w:val="auto"/>
                <w:sz w:val="26"/>
                <w:szCs w:val="26"/>
              </w:rPr>
            </w:pPr>
            <w:r w:rsidRPr="00E04790">
              <w:rPr>
                <w:rFonts w:ascii="Times New Roman" w:hAnsi="Times New Roman" w:cs="Times New Roman"/>
                <w:color w:val="auto"/>
                <w:sz w:val="26"/>
                <w:szCs w:val="26"/>
              </w:rPr>
              <w:t>Savukārt lielajiem uzņēmumiem Noteikumu ietvaros subsīdijas ekvivalenta aprēķinam tiek izmantota Komisijas regulas Nr.1407/2013 4.panta 6.punkta b) apakšpunktā noteiktā metode, un attiecībā uz lielajiem uzņēmumiem ir piemērojams nosacījums par minimālo kredītreitingu (gan jaunas garantijas, gan arī iepriekš izsniegtas garantijas pagarināšanas gadījumā).</w:t>
            </w:r>
          </w:p>
          <w:p w14:paraId="04069F22" w14:textId="7D94FFD6" w:rsidR="00FB0E29" w:rsidRPr="00E04790" w:rsidRDefault="00E9059C" w:rsidP="00130058">
            <w:pPr>
              <w:pStyle w:val="Default"/>
              <w:spacing w:before="120" w:after="120"/>
              <w:jc w:val="both"/>
              <w:rPr>
                <w:rFonts w:ascii="Times New Roman" w:hAnsi="Times New Roman" w:cs="Times New Roman"/>
                <w:sz w:val="26"/>
                <w:szCs w:val="26"/>
              </w:rPr>
            </w:pPr>
            <w:r w:rsidRPr="00E04790">
              <w:rPr>
                <w:rFonts w:ascii="Times New Roman" w:hAnsi="Times New Roman" w:cs="Times New Roman"/>
                <w:color w:val="auto"/>
                <w:sz w:val="26"/>
                <w:szCs w:val="26"/>
              </w:rPr>
              <w:t>Attiecīgi a</w:t>
            </w:r>
            <w:r w:rsidR="00FB0E29" w:rsidRPr="00E04790">
              <w:rPr>
                <w:rFonts w:ascii="Times New Roman" w:hAnsi="Times New Roman" w:cs="Times New Roman"/>
                <w:color w:val="auto"/>
                <w:sz w:val="26"/>
                <w:szCs w:val="26"/>
              </w:rPr>
              <w:t xml:space="preserve">r </w:t>
            </w:r>
            <w:r w:rsidR="004617B1" w:rsidRPr="00E04790">
              <w:rPr>
                <w:rFonts w:ascii="Times New Roman" w:hAnsi="Times New Roman" w:cs="Times New Roman"/>
                <w:color w:val="auto"/>
                <w:sz w:val="26"/>
                <w:szCs w:val="26"/>
              </w:rPr>
              <w:t xml:space="preserve">šiem </w:t>
            </w:r>
            <w:r w:rsidR="00FB0E29" w:rsidRPr="00E04790">
              <w:rPr>
                <w:rFonts w:ascii="Times New Roman" w:hAnsi="Times New Roman" w:cs="Times New Roman"/>
                <w:color w:val="auto"/>
                <w:sz w:val="26"/>
                <w:szCs w:val="26"/>
              </w:rPr>
              <w:t xml:space="preserve">grozījumiem </w:t>
            </w:r>
            <w:r w:rsidR="004617B1" w:rsidRPr="00E04790">
              <w:rPr>
                <w:rFonts w:ascii="Times New Roman" w:hAnsi="Times New Roman" w:cs="Times New Roman"/>
                <w:color w:val="auto"/>
                <w:sz w:val="26"/>
                <w:szCs w:val="26"/>
              </w:rPr>
              <w:t>Noteikumos</w:t>
            </w:r>
            <w:r w:rsidR="00FB0E29" w:rsidRPr="00E04790">
              <w:rPr>
                <w:rFonts w:ascii="Times New Roman" w:hAnsi="Times New Roman" w:cs="Times New Roman"/>
                <w:color w:val="auto"/>
                <w:sz w:val="26"/>
                <w:szCs w:val="26"/>
              </w:rPr>
              <w:t xml:space="preserve"> tiek precizēts 15.punkts, kas nosaka, ka a</w:t>
            </w:r>
            <w:r w:rsidR="00FB0E29" w:rsidRPr="00E04790">
              <w:rPr>
                <w:rFonts w:ascii="Times New Roman" w:hAnsi="Times New Roman" w:cs="Times New Roman"/>
                <w:sz w:val="26"/>
                <w:szCs w:val="26"/>
              </w:rPr>
              <w:t>tbalstu var saņemt</w:t>
            </w:r>
            <w:r w:rsidR="00A56D8E" w:rsidRPr="00E04790">
              <w:rPr>
                <w:rFonts w:ascii="Times New Roman" w:hAnsi="Times New Roman" w:cs="Times New Roman"/>
                <w:sz w:val="26"/>
                <w:szCs w:val="26"/>
              </w:rPr>
              <w:t xml:space="preserve"> lielie saimnieciskās darbības veicēji</w:t>
            </w:r>
            <w:r w:rsidR="00FB0E29" w:rsidRPr="00E04790">
              <w:rPr>
                <w:rFonts w:ascii="Times New Roman" w:hAnsi="Times New Roman" w:cs="Times New Roman"/>
                <w:sz w:val="26"/>
                <w:szCs w:val="26"/>
              </w:rPr>
              <w:t xml:space="preserve">, ja garantijas kredīta </w:t>
            </w:r>
            <w:r w:rsidR="00FB0E29" w:rsidRPr="00E04790">
              <w:rPr>
                <w:rFonts w:ascii="Times New Roman" w:hAnsi="Times New Roman" w:cs="Times New Roman"/>
                <w:sz w:val="26"/>
                <w:szCs w:val="26"/>
              </w:rPr>
              <w:lastRenderedPageBreak/>
              <w:t>kvalitāte nav mazāka par šo noteikumu </w:t>
            </w:r>
            <w:hyperlink r:id="rId10" w:anchor="piel0" w:history="1">
              <w:r w:rsidR="00FB0E29" w:rsidRPr="00E04790">
                <w:rPr>
                  <w:rFonts w:ascii="Times New Roman" w:hAnsi="Times New Roman" w:cs="Times New Roman"/>
                  <w:sz w:val="26"/>
                  <w:szCs w:val="26"/>
                </w:rPr>
                <w:t>pielikumā</w:t>
              </w:r>
            </w:hyperlink>
            <w:r w:rsidR="00FB0E29" w:rsidRPr="00E04790">
              <w:rPr>
                <w:rFonts w:ascii="Times New Roman" w:hAnsi="Times New Roman" w:cs="Times New Roman"/>
                <w:sz w:val="26"/>
                <w:szCs w:val="26"/>
              </w:rPr>
              <w:t> minēto kredīta kvalitātes klasi "Maksātspēju varētu mazināt nelabvēlīgi apstākļi"</w:t>
            </w:r>
            <w:r w:rsidR="00A56D8E" w:rsidRPr="00E04790">
              <w:rPr>
                <w:rFonts w:ascii="Times New Roman" w:hAnsi="Times New Roman" w:cs="Times New Roman"/>
                <w:sz w:val="26"/>
                <w:szCs w:val="26"/>
              </w:rPr>
              <w:t xml:space="preserve"> atbilstoši Komisijas regulas Nr.  1407/2013 4. panta 6. punkta "a" apakšpunktam.</w:t>
            </w:r>
          </w:p>
          <w:p w14:paraId="34587069" w14:textId="22913572" w:rsidR="00FB0E29" w:rsidRPr="00E04790" w:rsidRDefault="00C20C8F" w:rsidP="00FB0E29">
            <w:pPr>
              <w:jc w:val="both"/>
              <w:rPr>
                <w:bCs/>
                <w:sz w:val="26"/>
                <w:szCs w:val="26"/>
                <w:lang w:val="lv-LV"/>
              </w:rPr>
            </w:pPr>
            <w:bookmarkStart w:id="4" w:name="_Hlk31886648"/>
            <w:r w:rsidRPr="00E04790">
              <w:rPr>
                <w:bCs/>
                <w:sz w:val="26"/>
                <w:szCs w:val="26"/>
                <w:lang w:val="lv-LV"/>
              </w:rPr>
              <w:t>Savukārt s</w:t>
            </w:r>
            <w:r w:rsidR="00FB0E29" w:rsidRPr="00E04790">
              <w:rPr>
                <w:bCs/>
                <w:sz w:val="26"/>
                <w:szCs w:val="26"/>
                <w:lang w:val="lv-LV"/>
              </w:rPr>
              <w:t xml:space="preserve">niedzot jaunu garantiju </w:t>
            </w:r>
            <w:r w:rsidR="00D0599F" w:rsidRPr="00E04790">
              <w:rPr>
                <w:bCs/>
                <w:sz w:val="26"/>
                <w:szCs w:val="26"/>
                <w:lang w:val="lv-LV"/>
              </w:rPr>
              <w:t>MVU</w:t>
            </w:r>
            <w:r w:rsidR="00FB0E29" w:rsidRPr="00E04790">
              <w:rPr>
                <w:bCs/>
                <w:sz w:val="26"/>
                <w:szCs w:val="26"/>
                <w:lang w:val="lv-LV"/>
              </w:rPr>
              <w:t xml:space="preserve"> saskaņā ar Regulas Nr. 1407/2013 4. panta 6. punkt</w:t>
            </w:r>
            <w:r w:rsidR="0039281D" w:rsidRPr="00E04790">
              <w:rPr>
                <w:bCs/>
                <w:sz w:val="26"/>
                <w:szCs w:val="26"/>
                <w:lang w:val="lv-LV"/>
              </w:rPr>
              <w:t>u</w:t>
            </w:r>
            <w:r w:rsidR="00FB0E29" w:rsidRPr="00E04790">
              <w:rPr>
                <w:bCs/>
                <w:sz w:val="26"/>
                <w:szCs w:val="26"/>
                <w:lang w:val="lv-LV"/>
              </w:rPr>
              <w:t>, kredītreitings B- nav ierobežojums</w:t>
            </w:r>
            <w:r w:rsidR="00E9059C" w:rsidRPr="00E04790">
              <w:rPr>
                <w:bCs/>
                <w:sz w:val="26"/>
                <w:szCs w:val="26"/>
                <w:lang w:val="lv-LV"/>
              </w:rPr>
              <w:t xml:space="preserve">, līdz ar to grozījumi paredz ieviest </w:t>
            </w:r>
            <w:r w:rsidR="00E9059C" w:rsidRPr="00E04790">
              <w:rPr>
                <w:sz w:val="26"/>
                <w:szCs w:val="26"/>
                <w:lang w:val="lv-LV"/>
              </w:rPr>
              <w:t>Komisijas regulas Nr.1407/2013 4.panta 6.punkta a) apakšpunkta prasības, nenosakot stingrākus nosacījumus.</w:t>
            </w:r>
          </w:p>
          <w:p w14:paraId="39B793B7" w14:textId="52AA98DD" w:rsidR="004961D7" w:rsidRPr="00E04790" w:rsidRDefault="004961D7" w:rsidP="00FB0E29">
            <w:pPr>
              <w:jc w:val="both"/>
              <w:rPr>
                <w:bCs/>
                <w:sz w:val="26"/>
                <w:szCs w:val="26"/>
                <w:lang w:val="lv-LV"/>
              </w:rPr>
            </w:pPr>
          </w:p>
          <w:p w14:paraId="10E3401C" w14:textId="06A6CD65" w:rsidR="004961D7" w:rsidRPr="00E04790" w:rsidRDefault="004961D7" w:rsidP="004961D7">
            <w:pPr>
              <w:pStyle w:val="Default"/>
              <w:spacing w:before="120" w:after="120"/>
              <w:jc w:val="both"/>
              <w:rPr>
                <w:rFonts w:ascii="Times New Roman" w:hAnsi="Times New Roman" w:cs="Times New Roman"/>
                <w:sz w:val="26"/>
                <w:szCs w:val="26"/>
              </w:rPr>
            </w:pPr>
            <w:r w:rsidRPr="00E04790">
              <w:rPr>
                <w:rFonts w:ascii="Times New Roman" w:hAnsi="Times New Roman" w:cs="Times New Roman"/>
                <w:sz w:val="26"/>
                <w:szCs w:val="26"/>
              </w:rPr>
              <w:t xml:space="preserve">Papildus Noteikumu projekts paredz papildināt Noteikumu 30.punktā noteikto normu par atbalsta apvienošanu. Lai sabiedrība </w:t>
            </w:r>
            <w:proofErr w:type="spellStart"/>
            <w:r w:rsidRPr="00E04790">
              <w:rPr>
                <w:rFonts w:ascii="Times New Roman" w:hAnsi="Times New Roman" w:cs="Times New Roman"/>
                <w:sz w:val="26"/>
                <w:szCs w:val="26"/>
              </w:rPr>
              <w:t>Altum</w:t>
            </w:r>
            <w:proofErr w:type="spellEnd"/>
            <w:r w:rsidRPr="00E04790">
              <w:rPr>
                <w:rFonts w:ascii="Times New Roman" w:hAnsi="Times New Roman" w:cs="Times New Roman"/>
                <w:sz w:val="26"/>
                <w:szCs w:val="26"/>
              </w:rPr>
              <w:t xml:space="preserve"> varētu izvērtēt, vai atbalsts ir apvienojams, saimnieciskās darbības veicējam ir jāiesniedz visa informācija par plānoto un piešķirto atbalstu par tām pašām attiecināmajām izmaksām, norādot atbalsta piešķiršanas datumu, atbalsta sniedzēja nosaukumu, atbalsta pasākumu un plānoto vai piešķirto atbalsta summu</w:t>
            </w:r>
            <w:r w:rsidR="00FE7B9E" w:rsidRPr="00E04790">
              <w:rPr>
                <w:rFonts w:ascii="Times New Roman" w:hAnsi="Times New Roman" w:cs="Times New Roman"/>
                <w:sz w:val="26"/>
                <w:szCs w:val="26"/>
              </w:rPr>
              <w:t xml:space="preserve"> un atbalsta intensitāti</w:t>
            </w:r>
            <w:r w:rsidRPr="00E04790">
              <w:rPr>
                <w:rFonts w:ascii="Times New Roman" w:hAnsi="Times New Roman" w:cs="Times New Roman"/>
                <w:sz w:val="26"/>
                <w:szCs w:val="26"/>
              </w:rPr>
              <w:t>.</w:t>
            </w:r>
          </w:p>
          <w:p w14:paraId="747F4557" w14:textId="07FFB298" w:rsidR="00CB7DE8" w:rsidRPr="00E04790" w:rsidRDefault="00F373AD" w:rsidP="00F373AD">
            <w:pPr>
              <w:spacing w:before="240"/>
              <w:jc w:val="both"/>
              <w:rPr>
                <w:b/>
                <w:bCs/>
                <w:i/>
                <w:iCs/>
                <w:sz w:val="26"/>
                <w:szCs w:val="26"/>
                <w:lang w:val="lv-LV"/>
              </w:rPr>
            </w:pPr>
            <w:r w:rsidRPr="00E04790">
              <w:rPr>
                <w:b/>
                <w:bCs/>
                <w:i/>
                <w:iCs/>
                <w:sz w:val="26"/>
                <w:szCs w:val="26"/>
                <w:lang w:val="lv-LV"/>
              </w:rPr>
              <w:t xml:space="preserve">Nosacījumi attiecībā uz </w:t>
            </w:r>
            <w:r w:rsidR="000D0CAC" w:rsidRPr="00E04790">
              <w:rPr>
                <w:b/>
                <w:bCs/>
                <w:i/>
                <w:iCs/>
                <w:sz w:val="26"/>
                <w:szCs w:val="26"/>
                <w:lang w:val="lv-LV"/>
              </w:rPr>
              <w:t xml:space="preserve">nodokļu un nodevu </w:t>
            </w:r>
            <w:r w:rsidR="00CB7DE8" w:rsidRPr="00E04790">
              <w:rPr>
                <w:b/>
                <w:bCs/>
                <w:i/>
                <w:iCs/>
                <w:sz w:val="26"/>
                <w:szCs w:val="26"/>
                <w:lang w:val="lv-LV"/>
              </w:rPr>
              <w:t>parād</w:t>
            </w:r>
            <w:r w:rsidRPr="00E04790">
              <w:rPr>
                <w:b/>
                <w:bCs/>
                <w:i/>
                <w:iCs/>
                <w:sz w:val="26"/>
                <w:szCs w:val="26"/>
                <w:lang w:val="lv-LV"/>
              </w:rPr>
              <w:t>iem</w:t>
            </w:r>
          </w:p>
          <w:p w14:paraId="7711CBE9" w14:textId="05D41F8F" w:rsidR="00AD06DD" w:rsidRPr="00E04790" w:rsidRDefault="00AD06DD" w:rsidP="00FB0E29">
            <w:pPr>
              <w:jc w:val="both"/>
              <w:rPr>
                <w:bCs/>
                <w:sz w:val="26"/>
                <w:szCs w:val="26"/>
                <w:lang w:val="lv-LV"/>
              </w:rPr>
            </w:pPr>
            <w:r w:rsidRPr="00E04790">
              <w:rPr>
                <w:bCs/>
                <w:sz w:val="26"/>
                <w:szCs w:val="26"/>
                <w:lang w:val="lv-LV"/>
              </w:rPr>
              <w:t>Noteikumu projekts paredz precizēt MK noteikumos Nr.383 noteikt</w:t>
            </w:r>
            <w:r w:rsidR="005C6502" w:rsidRPr="00E04790">
              <w:rPr>
                <w:bCs/>
                <w:sz w:val="26"/>
                <w:szCs w:val="26"/>
                <w:lang w:val="lv-LV"/>
              </w:rPr>
              <w:t>o</w:t>
            </w:r>
            <w:r w:rsidRPr="00E04790">
              <w:rPr>
                <w:bCs/>
                <w:sz w:val="26"/>
                <w:szCs w:val="26"/>
                <w:lang w:val="lv-LV"/>
              </w:rPr>
              <w:t xml:space="preserve">s </w:t>
            </w:r>
            <w:r w:rsidR="005C6502" w:rsidRPr="00E04790">
              <w:rPr>
                <w:bCs/>
                <w:sz w:val="26"/>
                <w:szCs w:val="26"/>
                <w:lang w:val="lv-LV"/>
              </w:rPr>
              <w:t xml:space="preserve">atbalsta saņemšanas </w:t>
            </w:r>
            <w:r w:rsidRPr="00E04790">
              <w:rPr>
                <w:bCs/>
                <w:sz w:val="26"/>
                <w:szCs w:val="26"/>
                <w:lang w:val="lv-LV"/>
              </w:rPr>
              <w:t>no</w:t>
            </w:r>
            <w:r w:rsidR="005C6502" w:rsidRPr="00E04790">
              <w:rPr>
                <w:bCs/>
                <w:sz w:val="26"/>
                <w:szCs w:val="26"/>
                <w:lang w:val="lv-LV"/>
              </w:rPr>
              <w:t>sacījumus</w:t>
            </w:r>
            <w:r w:rsidRPr="00E04790">
              <w:rPr>
                <w:bCs/>
                <w:sz w:val="26"/>
                <w:szCs w:val="26"/>
                <w:lang w:val="lv-LV"/>
              </w:rPr>
              <w:t xml:space="preserve"> </w:t>
            </w:r>
            <w:r w:rsidR="00CB7DE8" w:rsidRPr="00E04790">
              <w:rPr>
                <w:bCs/>
                <w:sz w:val="26"/>
                <w:szCs w:val="26"/>
                <w:lang w:val="lv-LV"/>
              </w:rPr>
              <w:t xml:space="preserve"> par </w:t>
            </w:r>
            <w:r w:rsidR="00F373AD" w:rsidRPr="00E04790">
              <w:rPr>
                <w:bCs/>
                <w:sz w:val="26"/>
                <w:szCs w:val="26"/>
                <w:lang w:val="lv-LV"/>
              </w:rPr>
              <w:t xml:space="preserve">Valsts ieņēmumu dienesta (turpmāk </w:t>
            </w:r>
            <w:r w:rsidR="00B8759E" w:rsidRPr="00E04790">
              <w:rPr>
                <w:bCs/>
                <w:sz w:val="26"/>
                <w:szCs w:val="26"/>
                <w:lang w:val="lv-LV"/>
              </w:rPr>
              <w:t>–</w:t>
            </w:r>
            <w:r w:rsidR="00F373AD" w:rsidRPr="00E04790">
              <w:rPr>
                <w:bCs/>
                <w:sz w:val="26"/>
                <w:szCs w:val="26"/>
                <w:lang w:val="lv-LV"/>
              </w:rPr>
              <w:t xml:space="preserve"> </w:t>
            </w:r>
            <w:r w:rsidR="00CB7DE8" w:rsidRPr="00E04790">
              <w:rPr>
                <w:bCs/>
                <w:sz w:val="26"/>
                <w:szCs w:val="26"/>
                <w:lang w:val="lv-LV"/>
              </w:rPr>
              <w:t>VID</w:t>
            </w:r>
            <w:r w:rsidR="00B8759E" w:rsidRPr="00E04790">
              <w:rPr>
                <w:bCs/>
                <w:sz w:val="26"/>
                <w:szCs w:val="26"/>
                <w:lang w:val="lv-LV"/>
              </w:rPr>
              <w:t>)</w:t>
            </w:r>
            <w:r w:rsidR="00F11383" w:rsidRPr="00E04790">
              <w:rPr>
                <w:bCs/>
                <w:sz w:val="26"/>
                <w:szCs w:val="26"/>
                <w:lang w:val="lv-LV"/>
              </w:rPr>
              <w:t xml:space="preserve"> administrēto</w:t>
            </w:r>
            <w:r w:rsidR="000D0CAC" w:rsidRPr="00E04790">
              <w:rPr>
                <w:bCs/>
                <w:sz w:val="26"/>
                <w:szCs w:val="26"/>
                <w:lang w:val="lv-LV"/>
              </w:rPr>
              <w:t xml:space="preserve"> nodokļu un nodevu</w:t>
            </w:r>
            <w:r w:rsidR="00CB7DE8" w:rsidRPr="00E04790">
              <w:rPr>
                <w:bCs/>
                <w:sz w:val="26"/>
                <w:szCs w:val="26"/>
                <w:lang w:val="lv-LV"/>
              </w:rPr>
              <w:t xml:space="preserve"> parād</w:t>
            </w:r>
            <w:r w:rsidR="000D0CAC" w:rsidRPr="00E04790">
              <w:rPr>
                <w:bCs/>
                <w:sz w:val="26"/>
                <w:szCs w:val="26"/>
                <w:lang w:val="lv-LV"/>
              </w:rPr>
              <w:t>a neesamību</w:t>
            </w:r>
            <w:r w:rsidR="005E2CE4" w:rsidRPr="00E04790">
              <w:rPr>
                <w:bCs/>
                <w:sz w:val="26"/>
                <w:szCs w:val="26"/>
                <w:lang w:val="lv-LV"/>
              </w:rPr>
              <w:t>.</w:t>
            </w:r>
          </w:p>
          <w:p w14:paraId="61BAE60D" w14:textId="66F9C0B9" w:rsidR="00EF6E9F" w:rsidRPr="00E04790" w:rsidRDefault="00AD06DD" w:rsidP="00EF6E9F">
            <w:pPr>
              <w:jc w:val="both"/>
              <w:rPr>
                <w:bCs/>
                <w:sz w:val="26"/>
                <w:szCs w:val="26"/>
                <w:lang w:val="lv-LV"/>
              </w:rPr>
            </w:pPr>
            <w:r w:rsidRPr="00E04790">
              <w:rPr>
                <w:bCs/>
                <w:sz w:val="26"/>
                <w:szCs w:val="26"/>
                <w:lang w:val="lv-LV"/>
              </w:rPr>
              <w:t xml:space="preserve">Ņemot vērā, ka </w:t>
            </w:r>
            <w:r w:rsidR="00EF6E9F" w:rsidRPr="00E04790">
              <w:rPr>
                <w:bCs/>
                <w:sz w:val="26"/>
                <w:szCs w:val="26"/>
                <w:lang w:val="lv-LV"/>
              </w:rPr>
              <w:t xml:space="preserve">šī brīža </w:t>
            </w:r>
            <w:r w:rsidRPr="00E04790">
              <w:rPr>
                <w:bCs/>
                <w:sz w:val="26"/>
                <w:szCs w:val="26"/>
                <w:lang w:val="lv-LV"/>
              </w:rPr>
              <w:t xml:space="preserve">nacionāli noteiktais nosacījums ir stingrāks </w:t>
            </w:r>
            <w:r w:rsidR="005C6502" w:rsidRPr="00E04790">
              <w:rPr>
                <w:bCs/>
                <w:sz w:val="26"/>
                <w:szCs w:val="26"/>
                <w:lang w:val="lv-LV"/>
              </w:rPr>
              <w:t>ne</w:t>
            </w:r>
            <w:r w:rsidRPr="00E04790">
              <w:rPr>
                <w:bCs/>
                <w:sz w:val="26"/>
                <w:szCs w:val="26"/>
                <w:lang w:val="lv-LV"/>
              </w:rPr>
              <w:t>kā citās valsts atbalsta programmās (piemēram, MK noteikumos Nr.328</w:t>
            </w:r>
            <w:r w:rsidRPr="00E04790">
              <w:rPr>
                <w:rStyle w:val="FootnoteReference"/>
                <w:bCs/>
                <w:sz w:val="26"/>
                <w:szCs w:val="26"/>
                <w:lang w:val="lv-LV"/>
              </w:rPr>
              <w:footnoteReference w:id="2"/>
            </w:r>
            <w:r w:rsidR="002F5B63" w:rsidRPr="00E04790">
              <w:rPr>
                <w:bCs/>
                <w:sz w:val="26"/>
                <w:szCs w:val="26"/>
                <w:lang w:val="lv-LV"/>
              </w:rPr>
              <w:t xml:space="preserve">), </w:t>
            </w:r>
            <w:r w:rsidR="00EF6E9F" w:rsidRPr="00E04790">
              <w:rPr>
                <w:bCs/>
                <w:sz w:val="26"/>
                <w:szCs w:val="26"/>
                <w:lang w:val="lv-LV"/>
              </w:rPr>
              <w:t xml:space="preserve">noteikumu 18.2.punkts tiek izteikts jaunā redakcijā, nosakot, ka turpmāk gan jauna garantija, gan </w:t>
            </w:r>
            <w:r w:rsidR="00EF1E1A" w:rsidRPr="00E04790">
              <w:rPr>
                <w:bCs/>
                <w:sz w:val="26"/>
                <w:szCs w:val="26"/>
                <w:lang w:val="lv-LV"/>
              </w:rPr>
              <w:t xml:space="preserve">garantijas </w:t>
            </w:r>
            <w:r w:rsidR="00EF6E9F" w:rsidRPr="00E04790">
              <w:rPr>
                <w:bCs/>
                <w:sz w:val="26"/>
                <w:szCs w:val="26"/>
                <w:lang w:val="lv-LV"/>
              </w:rPr>
              <w:t xml:space="preserve">pagarinājums netiek sniegts saimnieciskās darbības veicējam, ja tam ir </w:t>
            </w:r>
            <w:r w:rsidR="00491123" w:rsidRPr="00E04790">
              <w:rPr>
                <w:bCs/>
                <w:sz w:val="26"/>
                <w:szCs w:val="26"/>
                <w:lang w:val="lv-LV"/>
              </w:rPr>
              <w:t>VID</w:t>
            </w:r>
            <w:r w:rsidR="00EF6E9F" w:rsidRPr="00E04790">
              <w:rPr>
                <w:bCs/>
                <w:sz w:val="26"/>
                <w:szCs w:val="26"/>
                <w:lang w:val="lv-LV"/>
              </w:rPr>
              <w:t xml:space="preserve"> administrēto nodokļu (nodevu) parāds,  izņemot, ja tam ir piešķirts samaksas termiņa pagarinājums vai </w:t>
            </w:r>
            <w:r w:rsidR="00491123" w:rsidRPr="00E04790">
              <w:rPr>
                <w:bCs/>
                <w:sz w:val="26"/>
                <w:szCs w:val="26"/>
                <w:lang w:val="lv-LV"/>
              </w:rPr>
              <w:t xml:space="preserve">VID </w:t>
            </w:r>
            <w:r w:rsidR="00EF6E9F" w:rsidRPr="00E04790">
              <w:rPr>
                <w:bCs/>
                <w:sz w:val="26"/>
                <w:szCs w:val="26"/>
                <w:lang w:val="lv-LV"/>
              </w:rPr>
              <w:t>ir pieņēmis lēmumu par nokavēto nodokļu maksājumu labprātīgu izpildi, vai ir noslēgts vienošanās līgums.</w:t>
            </w:r>
          </w:p>
          <w:p w14:paraId="05824DF9" w14:textId="15D3B8D9" w:rsidR="00EF6E9F" w:rsidRPr="00E04790" w:rsidRDefault="00EF6E9F" w:rsidP="00EF6E9F">
            <w:pPr>
              <w:jc w:val="both"/>
              <w:rPr>
                <w:bCs/>
                <w:sz w:val="26"/>
                <w:szCs w:val="26"/>
                <w:lang w:val="lv-LV"/>
              </w:rPr>
            </w:pPr>
            <w:r w:rsidRPr="00E04790">
              <w:rPr>
                <w:bCs/>
                <w:sz w:val="26"/>
                <w:szCs w:val="26"/>
                <w:lang w:val="lv-LV"/>
              </w:rPr>
              <w:t xml:space="preserve">Norma ir iekļauta saskaņā ar </w:t>
            </w:r>
            <w:r w:rsidRPr="00E04790">
              <w:rPr>
                <w:sz w:val="26"/>
                <w:szCs w:val="26"/>
                <w:lang w:val="lv-LV" w:eastAsia="lv-LV"/>
              </w:rPr>
              <w:t>likuma “</w:t>
            </w:r>
            <w:r w:rsidRPr="00E04790">
              <w:rPr>
                <w:i/>
                <w:iCs/>
                <w:sz w:val="26"/>
                <w:szCs w:val="26"/>
                <w:lang w:val="lv-LV" w:eastAsia="lv-LV"/>
              </w:rPr>
              <w:t xml:space="preserve">Par nodokļiem un nodevām” </w:t>
            </w:r>
            <w:r w:rsidRPr="00E04790">
              <w:rPr>
                <w:sz w:val="26"/>
                <w:szCs w:val="26"/>
                <w:lang w:val="lv-LV" w:eastAsia="lv-LV"/>
              </w:rPr>
              <w:t>26.panta vienpadsmitā daļā</w:t>
            </w:r>
            <w:r w:rsidRPr="00E04790">
              <w:rPr>
                <w:rStyle w:val="FootnoteReference"/>
                <w:sz w:val="26"/>
                <w:szCs w:val="26"/>
                <w:lang w:eastAsia="lv-LV"/>
              </w:rPr>
              <w:footnoteReference w:id="3"/>
            </w:r>
            <w:r w:rsidRPr="00E04790">
              <w:rPr>
                <w:sz w:val="26"/>
                <w:szCs w:val="26"/>
                <w:lang w:val="lv-LV"/>
              </w:rPr>
              <w:t xml:space="preserve">, </w:t>
            </w:r>
            <w:r w:rsidRPr="00E04790">
              <w:rPr>
                <w:bCs/>
                <w:sz w:val="26"/>
                <w:szCs w:val="26"/>
                <w:lang w:val="lv-LV"/>
              </w:rPr>
              <w:t>41.panta pirmajā daļā</w:t>
            </w:r>
            <w:r w:rsidRPr="00E04790">
              <w:rPr>
                <w:rStyle w:val="FootnoteReference"/>
                <w:sz w:val="26"/>
                <w:szCs w:val="26"/>
              </w:rPr>
              <w:footnoteReference w:id="4"/>
            </w:r>
            <w:r w:rsidRPr="00E04790">
              <w:rPr>
                <w:bCs/>
                <w:sz w:val="26"/>
                <w:szCs w:val="26"/>
                <w:lang w:val="lv-LV"/>
              </w:rPr>
              <w:t xml:space="preserve"> noteikto. Ekonomikas ministrija ir izvērtējusi, ka, ja saimnieciskās darbības veicējs ir vērsies </w:t>
            </w:r>
            <w:r w:rsidR="00EF1E1A" w:rsidRPr="00E04790">
              <w:rPr>
                <w:bCs/>
                <w:sz w:val="26"/>
                <w:szCs w:val="26"/>
                <w:lang w:val="lv-LV"/>
              </w:rPr>
              <w:t>VID</w:t>
            </w:r>
            <w:r w:rsidRPr="00E04790">
              <w:rPr>
                <w:bCs/>
                <w:sz w:val="26"/>
                <w:szCs w:val="26"/>
                <w:lang w:val="lv-LV"/>
              </w:rPr>
              <w:t xml:space="preserve"> un vienojies ar to, ka turpmāk pildīs nodokļa maksājumus konkrētā </w:t>
            </w:r>
            <w:r w:rsidRPr="00E04790">
              <w:rPr>
                <w:bCs/>
                <w:sz w:val="26"/>
                <w:szCs w:val="26"/>
                <w:lang w:val="lv-LV"/>
              </w:rPr>
              <w:lastRenderedPageBreak/>
              <w:t>termiņā, šāds saņēmējs kvalificējas atbalsta saņemšanai. Nosacījumi attiecas gan piešķirot jaunu garantiju, gan pagarinot esošu garantiju.</w:t>
            </w:r>
          </w:p>
          <w:p w14:paraId="36C5357D" w14:textId="38DBC808" w:rsidR="00734947" w:rsidRPr="00E04790" w:rsidRDefault="00734947" w:rsidP="00734947">
            <w:pPr>
              <w:spacing w:before="100" w:beforeAutospacing="1" w:after="165"/>
              <w:jc w:val="both"/>
              <w:rPr>
                <w:rFonts w:eastAsia="Times New Roman"/>
                <w:sz w:val="26"/>
                <w:szCs w:val="26"/>
                <w:lang w:val="lv-LV" w:eastAsia="lv-LV"/>
              </w:rPr>
            </w:pPr>
            <w:bookmarkStart w:id="5" w:name="_Hlk57988008"/>
            <w:proofErr w:type="spellStart"/>
            <w:r w:rsidRPr="00E04790">
              <w:rPr>
                <w:rFonts w:eastAsia="Times New Roman"/>
                <w:sz w:val="26"/>
                <w:szCs w:val="26"/>
                <w:lang w:val="lv-LV" w:eastAsia="lv-LV"/>
              </w:rPr>
              <w:t>Altum</w:t>
            </w:r>
            <w:proofErr w:type="spellEnd"/>
            <w:r w:rsidRPr="00E04790">
              <w:rPr>
                <w:rFonts w:eastAsia="Times New Roman"/>
                <w:sz w:val="26"/>
                <w:szCs w:val="26"/>
                <w:lang w:val="lv-LV" w:eastAsia="lv-LV"/>
              </w:rPr>
              <w:t xml:space="preserve"> garantiju var sniegt saimnieciskās darbības veicējiem, kuriem uz pieteikuma iesniegšanas brīdi, lēmuma pieņemšanas brīdi vai garantijas vēstules izsniegšanas brīdi nav </w:t>
            </w:r>
            <w:r w:rsidR="007770A2" w:rsidRPr="00E04790">
              <w:rPr>
                <w:rFonts w:eastAsia="Times New Roman"/>
                <w:sz w:val="26"/>
                <w:szCs w:val="26"/>
                <w:lang w:val="lv-LV" w:eastAsia="lv-LV"/>
              </w:rPr>
              <w:t>VID</w:t>
            </w:r>
            <w:r w:rsidRPr="00E04790">
              <w:rPr>
                <w:rFonts w:eastAsia="Times New Roman"/>
                <w:sz w:val="26"/>
                <w:szCs w:val="26"/>
                <w:lang w:val="lv-LV" w:eastAsia="lv-LV"/>
              </w:rPr>
              <w:t xml:space="preserve"> administrēto nodokļu (nodevu) parāds, kas kopsummā pārsniedz 150 euro, izņemot nodokļu maksājumus, kuriem ir piešķirts samaksas termiņa pagarinājums, noslēgta vienošanās par labprātīgu nodokļu samaksu, vai noslēgts vienošanās līgums.</w:t>
            </w:r>
          </w:p>
          <w:p w14:paraId="46A1BBE0" w14:textId="6EEB17B2" w:rsidR="00734947" w:rsidRPr="00E04790" w:rsidRDefault="00734947" w:rsidP="00734947">
            <w:pPr>
              <w:jc w:val="both"/>
              <w:rPr>
                <w:rFonts w:ascii="Calibri" w:eastAsia="Times New Roman" w:hAnsi="Calibri" w:cs="Calibri"/>
                <w:sz w:val="26"/>
                <w:szCs w:val="26"/>
                <w:lang w:val="lv-LV" w:eastAsia="lv-LV"/>
              </w:rPr>
            </w:pPr>
            <w:r w:rsidRPr="00E04790">
              <w:rPr>
                <w:rFonts w:eastAsia="Times New Roman"/>
                <w:sz w:val="26"/>
                <w:szCs w:val="26"/>
                <w:lang w:val="lv-LV" w:eastAsia="lv-LV"/>
              </w:rPr>
              <w:t xml:space="preserve">Informācija par nodokļu parādu ir publiski pieejama </w:t>
            </w:r>
            <w:r w:rsidR="007770A2" w:rsidRPr="00E04790">
              <w:rPr>
                <w:rFonts w:eastAsia="Times New Roman"/>
                <w:sz w:val="26"/>
                <w:szCs w:val="26"/>
                <w:lang w:val="lv-LV" w:eastAsia="lv-LV"/>
              </w:rPr>
              <w:t>VID</w:t>
            </w:r>
            <w:r w:rsidRPr="00E04790">
              <w:rPr>
                <w:rFonts w:eastAsia="Times New Roman"/>
                <w:sz w:val="26"/>
                <w:szCs w:val="26"/>
                <w:lang w:val="lv-LV" w:eastAsia="lv-LV"/>
              </w:rPr>
              <w:t xml:space="preserve"> administrēto nodokļu (nodevu) parādnieku datubāzē un tā tiek aktualizēta katru mēnesi septītajā un divdesmit sestajā datumā.</w:t>
            </w:r>
          </w:p>
          <w:bookmarkEnd w:id="5"/>
          <w:p w14:paraId="75094C81" w14:textId="0FD1CA6D" w:rsidR="002F5B63" w:rsidRPr="00E04790" w:rsidRDefault="00734947" w:rsidP="00734947">
            <w:pPr>
              <w:jc w:val="both"/>
              <w:rPr>
                <w:bCs/>
                <w:sz w:val="26"/>
                <w:szCs w:val="26"/>
                <w:lang w:val="lv-LV"/>
              </w:rPr>
            </w:pPr>
            <w:r w:rsidRPr="00E04790">
              <w:rPr>
                <w:rFonts w:eastAsia="Times New Roman"/>
                <w:sz w:val="26"/>
                <w:szCs w:val="26"/>
                <w:lang w:val="lv-LV" w:eastAsia="lv-LV"/>
              </w:rPr>
              <w:t xml:space="preserve">Ja uz garantijas lēmuma pieņemšanas dienu atbilstoši </w:t>
            </w:r>
            <w:r w:rsidR="007770A2" w:rsidRPr="00E04790">
              <w:rPr>
                <w:rFonts w:eastAsia="Times New Roman"/>
                <w:sz w:val="26"/>
                <w:szCs w:val="26"/>
                <w:lang w:val="lv-LV" w:eastAsia="lv-LV"/>
              </w:rPr>
              <w:t>VID</w:t>
            </w:r>
            <w:r w:rsidRPr="00E04790">
              <w:rPr>
                <w:rFonts w:eastAsia="Times New Roman"/>
                <w:sz w:val="26"/>
                <w:szCs w:val="26"/>
                <w:lang w:val="lv-LV" w:eastAsia="lv-LV"/>
              </w:rPr>
              <w:t xml:space="preserve"> publiskajā datubāzē iekļautajai informācijai saimnieciskās darbības veicējam ir nodokļu (nodevu) parāds, kuru nodokļu maksātājs līdz garantijas vērtēšanas vai izsniegšanas dienai ir nomaksājis vai ar </w:t>
            </w:r>
            <w:r w:rsidR="007770A2" w:rsidRPr="00E04790">
              <w:rPr>
                <w:rFonts w:eastAsia="Times New Roman"/>
                <w:sz w:val="26"/>
                <w:szCs w:val="26"/>
                <w:lang w:val="lv-LV" w:eastAsia="lv-LV"/>
              </w:rPr>
              <w:t>VID</w:t>
            </w:r>
            <w:r w:rsidRPr="00E04790">
              <w:rPr>
                <w:rFonts w:eastAsia="Times New Roman"/>
                <w:sz w:val="26"/>
                <w:szCs w:val="26"/>
                <w:lang w:val="lv-LV" w:eastAsia="lv-LV"/>
              </w:rPr>
              <w:t xml:space="preserve"> vienojies par labprātīgu nodokļu nomaksu, tad, bankai iesniedzot pieteikumu vai finanšu pakalpojuma līgumu pievienojama informācija, kas minēto apstiprina. Piemēram, izziņu no </w:t>
            </w:r>
            <w:r w:rsidR="007770A2" w:rsidRPr="00E04790">
              <w:rPr>
                <w:rFonts w:eastAsia="Times New Roman"/>
                <w:sz w:val="26"/>
                <w:szCs w:val="26"/>
                <w:lang w:val="lv-LV" w:eastAsia="lv-LV"/>
              </w:rPr>
              <w:t>VID</w:t>
            </w:r>
            <w:r w:rsidRPr="00E04790">
              <w:rPr>
                <w:rFonts w:eastAsia="Times New Roman"/>
                <w:sz w:val="26"/>
                <w:szCs w:val="26"/>
                <w:lang w:val="lv-LV" w:eastAsia="lv-LV"/>
              </w:rPr>
              <w:t xml:space="preserve"> elektroniskās deklarēšanas sistēmas par aktuālajiem nodokļu parādiem uz doto brīdi. Proti, ja tādu nebūs, tad izziņā būs norādīts, ka šajā datumā nodokļu maksātājam nav </w:t>
            </w:r>
            <w:r w:rsidR="007770A2" w:rsidRPr="00E04790">
              <w:rPr>
                <w:rFonts w:eastAsia="Times New Roman"/>
                <w:sz w:val="26"/>
                <w:szCs w:val="26"/>
                <w:lang w:val="lv-LV" w:eastAsia="lv-LV"/>
              </w:rPr>
              <w:t>VID</w:t>
            </w:r>
            <w:r w:rsidRPr="00E04790">
              <w:rPr>
                <w:rFonts w:eastAsia="Times New Roman"/>
                <w:sz w:val="26"/>
                <w:szCs w:val="26"/>
                <w:lang w:val="lv-LV" w:eastAsia="lv-LV"/>
              </w:rPr>
              <w:t xml:space="preserve"> administrēto nodokļu (nodevu) parādu.</w:t>
            </w:r>
          </w:p>
          <w:bookmarkEnd w:id="4"/>
          <w:p w14:paraId="19F0E10B" w14:textId="010A3018" w:rsidR="007C723E" w:rsidRPr="00E04790" w:rsidRDefault="007C723E" w:rsidP="007C723E">
            <w:pPr>
              <w:spacing w:before="240"/>
              <w:jc w:val="both"/>
              <w:rPr>
                <w:b/>
                <w:bCs/>
                <w:i/>
                <w:iCs/>
                <w:sz w:val="26"/>
                <w:szCs w:val="26"/>
                <w:lang w:val="lv-LV"/>
              </w:rPr>
            </w:pPr>
            <w:r w:rsidRPr="00E04790">
              <w:rPr>
                <w:b/>
                <w:bCs/>
                <w:i/>
                <w:iCs/>
                <w:sz w:val="26"/>
                <w:szCs w:val="26"/>
                <w:lang w:val="lv-LV"/>
              </w:rPr>
              <w:t>Atbalsta apvienošanas nosacījumi</w:t>
            </w:r>
          </w:p>
          <w:p w14:paraId="3B1FA50D" w14:textId="0F95DCB4" w:rsidR="007C723E" w:rsidRPr="00E04790" w:rsidRDefault="007C723E" w:rsidP="007C723E">
            <w:pPr>
              <w:jc w:val="both"/>
              <w:rPr>
                <w:rFonts w:eastAsia="Times New Roman"/>
                <w:sz w:val="26"/>
                <w:szCs w:val="26"/>
                <w:lang w:val="lv-LV" w:eastAsia="lv-LV"/>
              </w:rPr>
            </w:pPr>
            <w:r w:rsidRPr="00E04790">
              <w:rPr>
                <w:rFonts w:eastAsia="Times New Roman"/>
                <w:sz w:val="26"/>
                <w:szCs w:val="26"/>
                <w:lang w:val="lv-LV" w:eastAsia="lv-LV"/>
              </w:rPr>
              <w:t xml:space="preserve">Lai nodrošinātu, ka tiek ievēroti Komisijas paziņojumā Pagaidu regulējums valsts atbalsta pasākumiem, ar ko atbalsta ekonomiku pašreizējā Covid-19 uzliesmojuma situācijā (turpmāk – </w:t>
            </w:r>
            <w:r w:rsidR="001633E5" w:rsidRPr="00E04790">
              <w:rPr>
                <w:rFonts w:eastAsia="Times New Roman"/>
                <w:sz w:val="26"/>
                <w:szCs w:val="26"/>
                <w:lang w:val="lv-LV" w:eastAsia="lv-LV"/>
              </w:rPr>
              <w:t>Komisijas paziņojums</w:t>
            </w:r>
            <w:r w:rsidRPr="00E04790">
              <w:rPr>
                <w:rFonts w:eastAsia="Times New Roman"/>
                <w:sz w:val="26"/>
                <w:szCs w:val="26"/>
                <w:lang w:val="lv-LV" w:eastAsia="lv-LV"/>
              </w:rPr>
              <w:t xml:space="preserve">) noteiktie kumulācijas nosacījumi, kā arī ņemot vērā, ka kopš 2020.gada jūnija, kad tika Noteikumi Nr.383 tika apstiprināti, ir ieviestas un saskaņotas jaunas atbalsta programmas saskaņā ar </w:t>
            </w:r>
            <w:r w:rsidR="001633E5" w:rsidRPr="00E04790">
              <w:rPr>
                <w:rFonts w:eastAsia="Times New Roman"/>
                <w:sz w:val="26"/>
                <w:szCs w:val="26"/>
                <w:lang w:val="lv-LV" w:eastAsia="lv-LV"/>
              </w:rPr>
              <w:t>Komisijas paziņojumu</w:t>
            </w:r>
            <w:r w:rsidRPr="00E04790">
              <w:rPr>
                <w:rFonts w:eastAsia="Times New Roman"/>
                <w:sz w:val="26"/>
                <w:szCs w:val="26"/>
                <w:lang w:val="lv-LV" w:eastAsia="lv-LV"/>
              </w:rPr>
              <w:t>, Noteikumu projekts paredz precizēt Noteikumu 31.punktu.</w:t>
            </w:r>
          </w:p>
          <w:p w14:paraId="2D3EE9E0" w14:textId="267E8157" w:rsidR="001633E5" w:rsidRPr="00E04790" w:rsidRDefault="001633E5" w:rsidP="001633E5">
            <w:pPr>
              <w:jc w:val="both"/>
              <w:rPr>
                <w:rFonts w:eastAsia="Times New Roman"/>
                <w:sz w:val="26"/>
                <w:szCs w:val="26"/>
                <w:lang w:val="lv-LV" w:eastAsia="lv-LV"/>
              </w:rPr>
            </w:pPr>
            <w:r w:rsidRPr="00E04790">
              <w:rPr>
                <w:rFonts w:eastAsia="Times New Roman"/>
                <w:sz w:val="26"/>
                <w:szCs w:val="26"/>
                <w:lang w:val="lv-LV" w:eastAsia="lv-LV"/>
              </w:rPr>
              <w:t xml:space="preserve">Lai gan Komisijas paziņojumi nav juridiski saistoši, Noteikumu projekta 6.punktā ir ietverta atsauce uz Pagaidu regulējumu, ņemot vērā, ka šajā normā ir ietverts atbalsta kumulācijas aizliegums tieši ar tādu atbalstu, kuru sniedz saskaņā ar Eiropas Komisijas lēmumiem, kas pieņemti atbilstoši iepriekš minētā Komisijas paziņojuma 3.2. un 3.3. </w:t>
            </w:r>
            <w:r w:rsidR="00DD1A4B">
              <w:rPr>
                <w:rFonts w:eastAsia="Times New Roman"/>
                <w:sz w:val="26"/>
                <w:szCs w:val="26"/>
                <w:lang w:val="lv-LV" w:eastAsia="lv-LV"/>
              </w:rPr>
              <w:t>ie</w:t>
            </w:r>
            <w:r w:rsidRPr="00E04790">
              <w:rPr>
                <w:rFonts w:eastAsia="Times New Roman"/>
                <w:sz w:val="26"/>
                <w:szCs w:val="26"/>
                <w:lang w:val="lv-LV" w:eastAsia="lv-LV"/>
              </w:rPr>
              <w:t xml:space="preserve">daļām un ar atbalstu, kuru sniedz atbalsta programmas ietvaros Covid-19 krīzes skartajiem </w:t>
            </w:r>
            <w:r w:rsidRPr="00E04790">
              <w:rPr>
                <w:rFonts w:eastAsia="Times New Roman"/>
                <w:sz w:val="26"/>
                <w:szCs w:val="26"/>
                <w:lang w:val="lv-LV" w:eastAsia="lv-LV"/>
              </w:rPr>
              <w:lastRenderedPageBreak/>
              <w:t>uzņēmumiem apgrozāmo līdzekļu plūsmas nodrošināšanai, kā arī ņemot vērā, ka joprojām var tikt izstrādātas jaunas atbalsta programmas saskaņā ar šī Komisijas paziņojuma 3.2. un 3.3.</w:t>
            </w:r>
            <w:r w:rsidR="00DD1A4B">
              <w:rPr>
                <w:rFonts w:eastAsia="Times New Roman"/>
                <w:sz w:val="26"/>
                <w:szCs w:val="26"/>
                <w:lang w:val="lv-LV" w:eastAsia="lv-LV"/>
              </w:rPr>
              <w:t>ie</w:t>
            </w:r>
            <w:bookmarkStart w:id="6" w:name="_GoBack"/>
            <w:bookmarkEnd w:id="6"/>
            <w:r w:rsidRPr="00E04790">
              <w:rPr>
                <w:rFonts w:eastAsia="Times New Roman"/>
                <w:sz w:val="26"/>
                <w:szCs w:val="26"/>
                <w:lang w:val="lv-LV" w:eastAsia="lv-LV"/>
              </w:rPr>
              <w:t>daļām.</w:t>
            </w:r>
          </w:p>
          <w:p w14:paraId="619F10D0" w14:textId="6FCB0EDE" w:rsidR="001633E5" w:rsidRPr="00E04790" w:rsidRDefault="001633E5" w:rsidP="001633E5">
            <w:pPr>
              <w:jc w:val="both"/>
              <w:rPr>
                <w:rFonts w:eastAsia="Times New Roman"/>
                <w:sz w:val="26"/>
                <w:szCs w:val="26"/>
                <w:lang w:val="lv-LV" w:eastAsia="lv-LV"/>
              </w:rPr>
            </w:pPr>
            <w:r w:rsidRPr="00E04790">
              <w:rPr>
                <w:rFonts w:eastAsia="Times New Roman"/>
                <w:sz w:val="26"/>
                <w:szCs w:val="26"/>
                <w:lang w:val="lv-LV" w:eastAsia="lv-LV"/>
              </w:rPr>
              <w:t xml:space="preserve">Attiecīgi, ja normā netiktu iekļauta atsauce uz Komisijas paziņojumu, bet gan uz katru konkrēto atbalsta programmu, līdz ar katru jauno atbalsta programmu </w:t>
            </w:r>
            <w:r w:rsidR="00DA4213" w:rsidRPr="00E04790">
              <w:rPr>
                <w:rFonts w:eastAsia="Times New Roman"/>
                <w:sz w:val="26"/>
                <w:szCs w:val="26"/>
                <w:lang w:val="lv-LV" w:eastAsia="lv-LV"/>
              </w:rPr>
              <w:t>būtu jāgroza arī Noteikumi Nr.383, kas</w:t>
            </w:r>
            <w:r w:rsidRPr="00E04790">
              <w:rPr>
                <w:rFonts w:eastAsia="Times New Roman"/>
                <w:sz w:val="26"/>
                <w:szCs w:val="26"/>
                <w:lang w:val="lv-LV" w:eastAsia="lv-LV"/>
              </w:rPr>
              <w:t xml:space="preserve"> radītu nesamērīgu administratīvo slogu. </w:t>
            </w:r>
          </w:p>
          <w:p w14:paraId="5FEBFF2C" w14:textId="1AB1641B" w:rsidR="00F22832" w:rsidRPr="00E04790" w:rsidRDefault="00F22832" w:rsidP="00F22832">
            <w:pPr>
              <w:jc w:val="both"/>
              <w:rPr>
                <w:rFonts w:eastAsia="Times New Roman"/>
                <w:sz w:val="26"/>
                <w:szCs w:val="26"/>
                <w:lang w:val="lv-LV" w:eastAsia="lv-LV"/>
              </w:rPr>
            </w:pPr>
            <w:r w:rsidRPr="00E04790">
              <w:rPr>
                <w:rFonts w:eastAsia="Times New Roman"/>
                <w:sz w:val="26"/>
                <w:szCs w:val="26"/>
                <w:lang w:val="lv-LV" w:eastAsia="lv-LV"/>
              </w:rPr>
              <w:t>Pagaidu regulējums ir viens no komercdarbības atbalsta regulējumiem, balstoties uz kuriem ir izstrādāta virkne Covid-19 krīzes novēršanai paredzēto atbalsta programmu (Ministru kabineta noteikumi, piemēram, MK Noteikumi Nr.149</w:t>
            </w:r>
            <w:r w:rsidR="00C96D01" w:rsidRPr="00E04790">
              <w:rPr>
                <w:rStyle w:val="FootnoteReference"/>
                <w:rFonts w:eastAsia="Times New Roman"/>
                <w:sz w:val="26"/>
                <w:szCs w:val="26"/>
                <w:lang w:val="lv-LV" w:eastAsia="lv-LV"/>
              </w:rPr>
              <w:footnoteReference w:id="5"/>
            </w:r>
            <w:r w:rsidRPr="00E04790">
              <w:rPr>
                <w:rFonts w:eastAsia="Times New Roman"/>
                <w:sz w:val="26"/>
                <w:szCs w:val="26"/>
                <w:lang w:val="lv-LV" w:eastAsia="lv-LV"/>
              </w:rPr>
              <w:t xml:space="preserve">, MK noteikumi Nr.454, MK noteikumi Nr.150, MK noteikumi Nr.676, MK noteikumi Nr.457 u.c.) un atsauces uz kuru ir iestrādātas vairākas atbalsta programmas un saskaņā ar kura nosacījumiem tiek nodrošināta atbalsta programmas saderība ar ES iekšējo tirgu. </w:t>
            </w:r>
          </w:p>
          <w:p w14:paraId="7BBE2498" w14:textId="77777777" w:rsidR="00DA4213" w:rsidRPr="00E04790" w:rsidRDefault="00DA4213" w:rsidP="00EF1E1A">
            <w:pPr>
              <w:jc w:val="both"/>
              <w:rPr>
                <w:sz w:val="26"/>
                <w:szCs w:val="26"/>
                <w:lang w:val="lv-LV"/>
              </w:rPr>
            </w:pPr>
          </w:p>
          <w:p w14:paraId="09F04E06" w14:textId="5C0660D8" w:rsidR="00144FDD" w:rsidRPr="00E04790" w:rsidRDefault="00144FDD" w:rsidP="00EF1E1A">
            <w:pPr>
              <w:jc w:val="both"/>
              <w:rPr>
                <w:rFonts w:eastAsiaTheme="minorHAnsi"/>
                <w:sz w:val="26"/>
                <w:szCs w:val="26"/>
                <w:lang w:val="lv-LV"/>
              </w:rPr>
            </w:pPr>
            <w:r w:rsidRPr="00E04790">
              <w:rPr>
                <w:sz w:val="26"/>
                <w:szCs w:val="26"/>
                <w:lang w:val="lv-LV"/>
              </w:rPr>
              <w:t>Plānotie grozījumi kā arī grozījumi MK noteikumos Nr.150</w:t>
            </w:r>
            <w:r w:rsidR="00116B68" w:rsidRPr="00E04790">
              <w:rPr>
                <w:sz w:val="26"/>
                <w:szCs w:val="26"/>
                <w:lang w:val="lv-LV"/>
              </w:rPr>
              <w:t xml:space="preserve"> un MK noteikumos Nr.454</w:t>
            </w:r>
            <w:r w:rsidRPr="00E04790">
              <w:rPr>
                <w:sz w:val="26"/>
                <w:szCs w:val="26"/>
                <w:lang w:val="lv-LV"/>
              </w:rPr>
              <w:t xml:space="preserve"> neietekmēs personas, kuras jau ir saņēmušas atbalstu, līdz ar to grozījumi ir saskaņā ar tiesiskās paļāvības principu. Turklāt plānotie grozījumi ir labvēlīgi potenciālajiem atbalsta saņēmējiem un tie paredz atvieglot atbalsta saņemšanas nosacījumus kā arī paredz, ka atbalstu varēs saņemt plašāks atbalsta saņēmēju loks.</w:t>
            </w:r>
          </w:p>
        </w:tc>
      </w:tr>
      <w:tr w:rsidR="00844176" w:rsidRPr="00E04790" w14:paraId="41041CF1" w14:textId="77777777" w:rsidTr="00434856">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E04790" w:rsidRDefault="00844176" w:rsidP="003D3252">
            <w:pPr>
              <w:contextualSpacing/>
              <w:rPr>
                <w:rFonts w:eastAsia="Times New Roman"/>
                <w:sz w:val="26"/>
                <w:szCs w:val="26"/>
                <w:lang w:val="lv-LV" w:eastAsia="lv-LV"/>
              </w:rPr>
            </w:pPr>
            <w:r w:rsidRPr="00E04790">
              <w:rPr>
                <w:sz w:val="26"/>
                <w:szCs w:val="26"/>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2F4C459C" w14:textId="2F738161" w:rsidR="00844176" w:rsidRPr="00E04790" w:rsidRDefault="00557B17" w:rsidP="003D3252">
            <w:pPr>
              <w:contextualSpacing/>
              <w:rPr>
                <w:rFonts w:eastAsia="Times New Roman"/>
                <w:sz w:val="26"/>
                <w:szCs w:val="26"/>
                <w:lang w:val="lv-LV" w:eastAsia="lv-LV"/>
              </w:rPr>
            </w:pPr>
            <w:r w:rsidRPr="00E04790">
              <w:rPr>
                <w:sz w:val="26"/>
                <w:szCs w:val="26"/>
                <w:lang w:val="lv-LV"/>
              </w:rPr>
              <w:t>Projekta izstrādē iesaistītās institūcijas un publiskas personas kapitālsabiedrības</w:t>
            </w:r>
          </w:p>
        </w:tc>
        <w:tc>
          <w:tcPr>
            <w:tcW w:w="6160" w:type="dxa"/>
            <w:tcBorders>
              <w:top w:val="outset" w:sz="6" w:space="0" w:color="414142"/>
              <w:left w:val="outset" w:sz="6" w:space="0" w:color="414142"/>
              <w:bottom w:val="outset" w:sz="6" w:space="0" w:color="414142"/>
              <w:right w:val="outset" w:sz="6" w:space="0" w:color="414142"/>
            </w:tcBorders>
            <w:hideMark/>
          </w:tcPr>
          <w:p w14:paraId="1C1732C9" w14:textId="1C9BB769" w:rsidR="00844176" w:rsidRPr="00E04790" w:rsidRDefault="00CE0AC5" w:rsidP="003D3252">
            <w:pPr>
              <w:ind w:left="-31"/>
              <w:contextualSpacing/>
              <w:rPr>
                <w:rFonts w:eastAsia="Times New Roman"/>
                <w:sz w:val="26"/>
                <w:szCs w:val="26"/>
                <w:lang w:val="lv-LV" w:eastAsia="lv-LV"/>
              </w:rPr>
            </w:pPr>
            <w:r w:rsidRPr="00E04790">
              <w:rPr>
                <w:sz w:val="26"/>
                <w:szCs w:val="26"/>
                <w:lang w:val="lv-LV"/>
              </w:rPr>
              <w:t>E</w:t>
            </w:r>
            <w:r w:rsidR="00547ACF" w:rsidRPr="00E04790">
              <w:rPr>
                <w:sz w:val="26"/>
                <w:szCs w:val="26"/>
                <w:lang w:val="lv-LV"/>
              </w:rPr>
              <w:t>konomikas ministrija</w:t>
            </w:r>
            <w:r w:rsidRPr="00E04790">
              <w:rPr>
                <w:sz w:val="26"/>
                <w:szCs w:val="26"/>
                <w:lang w:val="lv-LV"/>
              </w:rPr>
              <w:t xml:space="preserve">, </w:t>
            </w:r>
            <w:proofErr w:type="spellStart"/>
            <w:r w:rsidR="00547ACF" w:rsidRPr="00E04790">
              <w:rPr>
                <w:sz w:val="26"/>
                <w:szCs w:val="26"/>
                <w:lang w:val="lv-LV"/>
              </w:rPr>
              <w:t>Altum</w:t>
            </w:r>
            <w:proofErr w:type="spellEnd"/>
          </w:p>
        </w:tc>
      </w:tr>
      <w:tr w:rsidR="00844176" w:rsidRPr="00E04790" w14:paraId="3C98D228" w14:textId="77777777" w:rsidTr="00434856">
        <w:tc>
          <w:tcPr>
            <w:tcW w:w="411"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E04790" w:rsidRDefault="00844176" w:rsidP="003D3252">
            <w:pPr>
              <w:contextualSpacing/>
              <w:rPr>
                <w:rFonts w:eastAsia="Times New Roman"/>
                <w:sz w:val="26"/>
                <w:szCs w:val="26"/>
                <w:lang w:val="lv-LV" w:eastAsia="lv-LV"/>
              </w:rPr>
            </w:pPr>
            <w:r w:rsidRPr="00E04790">
              <w:rPr>
                <w:sz w:val="26"/>
                <w:szCs w:val="26"/>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E04790" w:rsidRDefault="00844176" w:rsidP="003D3252">
            <w:pPr>
              <w:contextualSpacing/>
              <w:rPr>
                <w:rFonts w:eastAsia="Times New Roman"/>
                <w:sz w:val="26"/>
                <w:szCs w:val="26"/>
                <w:lang w:val="lv-LV" w:eastAsia="lv-LV"/>
              </w:rPr>
            </w:pPr>
            <w:r w:rsidRPr="00E04790">
              <w:rPr>
                <w:sz w:val="26"/>
                <w:szCs w:val="26"/>
                <w:lang w:val="lv-LV"/>
              </w:rPr>
              <w:t>Cita informācija</w:t>
            </w:r>
          </w:p>
        </w:tc>
        <w:tc>
          <w:tcPr>
            <w:tcW w:w="6160" w:type="dxa"/>
            <w:tcBorders>
              <w:top w:val="outset" w:sz="6" w:space="0" w:color="414142"/>
              <w:left w:val="outset" w:sz="6" w:space="0" w:color="414142"/>
              <w:bottom w:val="outset" w:sz="6" w:space="0" w:color="414142"/>
              <w:right w:val="outset" w:sz="6" w:space="0" w:color="414142"/>
            </w:tcBorders>
            <w:hideMark/>
          </w:tcPr>
          <w:p w14:paraId="5D4509E1" w14:textId="2DF013E8" w:rsidR="00844176" w:rsidRPr="00E04790" w:rsidRDefault="005A6E3D" w:rsidP="009122CA">
            <w:pPr>
              <w:jc w:val="both"/>
              <w:rPr>
                <w:rFonts w:eastAsia="Times New Roman"/>
                <w:sz w:val="26"/>
                <w:szCs w:val="26"/>
                <w:lang w:val="lv-LV" w:eastAsia="lv-LV"/>
              </w:rPr>
            </w:pPr>
            <w:r w:rsidRPr="00E04790">
              <w:rPr>
                <w:sz w:val="26"/>
                <w:szCs w:val="26"/>
                <w:lang w:val="lv-LV"/>
              </w:rPr>
              <w:t>Nav</w:t>
            </w:r>
          </w:p>
        </w:tc>
      </w:tr>
    </w:tbl>
    <w:p w14:paraId="00447F19" w14:textId="3BFE4D51" w:rsidR="009A00EB" w:rsidRPr="00E04790" w:rsidRDefault="009A00EB" w:rsidP="009A00EB">
      <w:pPr>
        <w:contextualSpacing/>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44176" w:rsidRPr="00DD1A4B" w14:paraId="5271E387" w14:textId="77777777" w:rsidTr="003D3252">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E04790" w:rsidRDefault="009A00EB" w:rsidP="003D3252">
            <w:pPr>
              <w:contextualSpacing/>
              <w:jc w:val="center"/>
              <w:rPr>
                <w:rFonts w:eastAsia="Times New Roman"/>
                <w:sz w:val="26"/>
                <w:szCs w:val="26"/>
                <w:lang w:val="lv-LV" w:eastAsia="lv-LV"/>
              </w:rPr>
            </w:pPr>
            <w:r w:rsidRPr="00E04790">
              <w:rPr>
                <w:rFonts w:eastAsia="Times New Roman"/>
                <w:b/>
                <w:bCs/>
                <w:sz w:val="26"/>
                <w:szCs w:val="26"/>
                <w:lang w:val="lv-LV" w:eastAsia="lv-LV"/>
              </w:rPr>
              <w:t>II. Tiesību akta projekta ietekme uz sabiedrību, tautsaimniecības attīstību un administratīvo slogu</w:t>
            </w:r>
          </w:p>
        </w:tc>
      </w:tr>
      <w:tr w:rsidR="00A76C0A" w:rsidRPr="00DD1A4B" w14:paraId="7F8630C6" w14:textId="77777777" w:rsidTr="00D51DD0">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E04790" w:rsidRDefault="009A00EB" w:rsidP="009A00EB">
            <w:pPr>
              <w:contextualSpacing/>
              <w:rPr>
                <w:rFonts w:eastAsia="Times New Roman"/>
                <w:sz w:val="26"/>
                <w:szCs w:val="26"/>
                <w:lang w:val="lv-LV" w:eastAsia="lv-LV"/>
              </w:rPr>
            </w:pPr>
            <w:r w:rsidRPr="00E04790">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E04790" w:rsidRDefault="009A00EB" w:rsidP="009A00EB">
            <w:pPr>
              <w:contextualSpacing/>
              <w:rPr>
                <w:rFonts w:eastAsia="Times New Roman"/>
                <w:sz w:val="26"/>
                <w:szCs w:val="26"/>
                <w:lang w:val="lv-LV" w:eastAsia="lv-LV"/>
              </w:rPr>
            </w:pPr>
            <w:r w:rsidRPr="00E04790">
              <w:rPr>
                <w:rFonts w:eastAsia="Times New Roman"/>
                <w:sz w:val="26"/>
                <w:szCs w:val="26"/>
                <w:lang w:val="lv-LV" w:eastAsia="lv-LV"/>
              </w:rPr>
              <w:t xml:space="preserve">Sabiedrības </w:t>
            </w:r>
            <w:proofErr w:type="spellStart"/>
            <w:r w:rsidRPr="00E04790">
              <w:rPr>
                <w:rFonts w:eastAsia="Times New Roman"/>
                <w:sz w:val="26"/>
                <w:szCs w:val="26"/>
                <w:lang w:val="lv-LV" w:eastAsia="lv-LV"/>
              </w:rPr>
              <w:t>mērķgrupas</w:t>
            </w:r>
            <w:proofErr w:type="spellEnd"/>
            <w:r w:rsidRPr="00E04790">
              <w:rPr>
                <w:rFonts w:eastAsia="Times New Roman"/>
                <w:sz w:val="26"/>
                <w:szCs w:val="26"/>
                <w:lang w:val="lv-LV" w:eastAsia="lv-LV"/>
              </w:rPr>
              <w:t>,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6D856C06" w14:textId="69AC9B25" w:rsidR="009A00EB" w:rsidRPr="00E04790" w:rsidRDefault="00B8759E" w:rsidP="005F3196">
            <w:pPr>
              <w:ind w:right="201"/>
              <w:contextualSpacing/>
              <w:jc w:val="both"/>
              <w:rPr>
                <w:sz w:val="26"/>
                <w:szCs w:val="26"/>
                <w:lang w:val="lv-LV"/>
              </w:rPr>
            </w:pPr>
            <w:r w:rsidRPr="00E04790">
              <w:rPr>
                <w:sz w:val="26"/>
                <w:szCs w:val="26"/>
                <w:lang w:val="lv-LV"/>
              </w:rPr>
              <w:t>Tūrisma nozares saimnieciskās darbības veicēji</w:t>
            </w:r>
            <w:r w:rsidR="00DE0724" w:rsidRPr="00E04790">
              <w:rPr>
                <w:sz w:val="26"/>
                <w:szCs w:val="26"/>
                <w:lang w:val="lv-LV"/>
              </w:rPr>
              <w:t xml:space="preserve"> NACE 2.red. klasifikācijai: 7911; 7912; 7990.</w:t>
            </w:r>
          </w:p>
          <w:p w14:paraId="3D68FB87" w14:textId="68936F28" w:rsidR="0014739B" w:rsidRPr="00E04790" w:rsidRDefault="00CB1F66" w:rsidP="005F3196">
            <w:pPr>
              <w:ind w:right="201"/>
              <w:contextualSpacing/>
              <w:jc w:val="both"/>
              <w:rPr>
                <w:sz w:val="26"/>
                <w:szCs w:val="26"/>
                <w:lang w:val="lv-LV"/>
              </w:rPr>
            </w:pPr>
            <w:r w:rsidRPr="00E04790">
              <w:rPr>
                <w:sz w:val="26"/>
                <w:szCs w:val="26"/>
                <w:lang w:val="lv-LV"/>
              </w:rPr>
              <w:t>Latvijā reģistrēti saimnieciskās darbības veicēji</w:t>
            </w:r>
            <w:r w:rsidR="00CB30D1" w:rsidRPr="00E04790">
              <w:rPr>
                <w:sz w:val="26"/>
                <w:szCs w:val="26"/>
                <w:lang w:val="lv-LV"/>
              </w:rPr>
              <w:t>.</w:t>
            </w:r>
          </w:p>
        </w:tc>
      </w:tr>
      <w:tr w:rsidR="00A76C0A" w:rsidRPr="00E04790" w14:paraId="718E705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E04790" w:rsidRDefault="009A00EB" w:rsidP="009A00EB">
            <w:pPr>
              <w:contextualSpacing/>
              <w:rPr>
                <w:rFonts w:eastAsia="Times New Roman"/>
                <w:sz w:val="26"/>
                <w:szCs w:val="26"/>
                <w:lang w:val="lv-LV" w:eastAsia="lv-LV"/>
              </w:rPr>
            </w:pPr>
            <w:r w:rsidRPr="00E04790">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E04790" w:rsidRDefault="009A00EB" w:rsidP="009A00EB">
            <w:pPr>
              <w:contextualSpacing/>
              <w:rPr>
                <w:rFonts w:eastAsia="Times New Roman"/>
                <w:sz w:val="26"/>
                <w:szCs w:val="26"/>
                <w:lang w:val="lv-LV" w:eastAsia="lv-LV"/>
              </w:rPr>
            </w:pPr>
            <w:r w:rsidRPr="00E04790">
              <w:rPr>
                <w:rFonts w:eastAsia="Times New Roman"/>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33918B01" w14:textId="49E170AE" w:rsidR="009A00EB" w:rsidRPr="00E04790" w:rsidRDefault="0014739B" w:rsidP="005F3196">
            <w:pPr>
              <w:pStyle w:val="BodyText"/>
              <w:ind w:right="201"/>
              <w:contextualSpacing/>
              <w:rPr>
                <w:rFonts w:eastAsia="Calibri"/>
                <w:sz w:val="26"/>
                <w:szCs w:val="26"/>
                <w:lang w:eastAsia="en-US"/>
              </w:rPr>
            </w:pPr>
            <w:r w:rsidRPr="00E04790">
              <w:rPr>
                <w:rFonts w:eastAsia="Calibri"/>
                <w:sz w:val="26"/>
                <w:szCs w:val="26"/>
                <w:lang w:eastAsia="en-US"/>
              </w:rPr>
              <w:t>Projekts šo jomu neskar</w:t>
            </w:r>
          </w:p>
        </w:tc>
      </w:tr>
      <w:tr w:rsidR="00A76C0A" w:rsidRPr="00E04790" w14:paraId="6AF18C8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E04790" w:rsidRDefault="009A00EB" w:rsidP="009A00EB">
            <w:pPr>
              <w:contextualSpacing/>
              <w:rPr>
                <w:rFonts w:eastAsia="Times New Roman"/>
                <w:sz w:val="26"/>
                <w:szCs w:val="26"/>
                <w:lang w:val="lv-LV" w:eastAsia="lv-LV"/>
              </w:rPr>
            </w:pPr>
            <w:r w:rsidRPr="00E04790">
              <w:rPr>
                <w:rFonts w:eastAsia="Times New Roman"/>
                <w:sz w:val="26"/>
                <w:szCs w:val="26"/>
                <w:lang w:val="lv-LV" w:eastAsia="lv-LV"/>
              </w:rPr>
              <w:lastRenderedPageBreak/>
              <w:t>3.</w:t>
            </w:r>
          </w:p>
        </w:tc>
        <w:tc>
          <w:tcPr>
            <w:tcW w:w="270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E04790" w:rsidRDefault="009A00EB" w:rsidP="009A00EB">
            <w:pPr>
              <w:contextualSpacing/>
              <w:rPr>
                <w:rFonts w:eastAsia="Times New Roman"/>
                <w:sz w:val="26"/>
                <w:szCs w:val="26"/>
                <w:lang w:val="lv-LV" w:eastAsia="lv-LV"/>
              </w:rPr>
            </w:pPr>
            <w:r w:rsidRPr="00E04790">
              <w:rPr>
                <w:rFonts w:eastAsia="Times New Roman"/>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1C2C4F79" w14:textId="7FD21686" w:rsidR="009A00EB" w:rsidRPr="00E04790" w:rsidRDefault="009A00EB" w:rsidP="005F3196">
            <w:pPr>
              <w:pStyle w:val="BodyText"/>
              <w:ind w:right="201"/>
              <w:contextualSpacing/>
              <w:rPr>
                <w:rFonts w:eastAsia="Calibri"/>
                <w:sz w:val="26"/>
                <w:szCs w:val="26"/>
                <w:lang w:eastAsia="en-US"/>
              </w:rPr>
            </w:pPr>
            <w:r w:rsidRPr="00E04790">
              <w:rPr>
                <w:rFonts w:eastAsia="Calibri"/>
                <w:sz w:val="26"/>
                <w:szCs w:val="26"/>
                <w:lang w:eastAsia="en-US"/>
              </w:rPr>
              <w:t>Projekts šo jomu neskar</w:t>
            </w:r>
          </w:p>
        </w:tc>
      </w:tr>
      <w:tr w:rsidR="00A76C0A" w:rsidRPr="00E04790" w14:paraId="259E0982" w14:textId="77777777" w:rsidTr="00D51DD0">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E04790" w:rsidRDefault="009A00EB" w:rsidP="009A00EB">
            <w:pPr>
              <w:contextualSpacing/>
              <w:rPr>
                <w:rFonts w:eastAsia="Times New Roman"/>
                <w:sz w:val="26"/>
                <w:szCs w:val="26"/>
                <w:lang w:val="lv-LV" w:eastAsia="lv-LV"/>
              </w:rPr>
            </w:pPr>
            <w:r w:rsidRPr="00E04790">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46245F16" w14:textId="77777777" w:rsidR="009A00EB" w:rsidRPr="00E04790" w:rsidRDefault="009A00EB" w:rsidP="009A00EB">
            <w:pPr>
              <w:contextualSpacing/>
              <w:rPr>
                <w:rFonts w:eastAsia="Times New Roman"/>
                <w:sz w:val="26"/>
                <w:szCs w:val="26"/>
                <w:lang w:val="lv-LV" w:eastAsia="lv-LV"/>
              </w:rPr>
            </w:pPr>
            <w:r w:rsidRPr="00E04790">
              <w:rPr>
                <w:rFonts w:eastAsia="Times New Roman"/>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7C60B8CA" w14:textId="39B71D86" w:rsidR="009A00EB" w:rsidRPr="00E04790" w:rsidRDefault="009A00EB" w:rsidP="005F3196">
            <w:pPr>
              <w:pStyle w:val="BodyText"/>
              <w:ind w:right="201"/>
              <w:contextualSpacing/>
              <w:rPr>
                <w:rFonts w:eastAsia="Calibri"/>
                <w:sz w:val="26"/>
                <w:szCs w:val="26"/>
                <w:lang w:eastAsia="en-US"/>
              </w:rPr>
            </w:pPr>
            <w:r w:rsidRPr="00E04790">
              <w:rPr>
                <w:rFonts w:eastAsia="Calibri"/>
                <w:sz w:val="26"/>
                <w:szCs w:val="26"/>
                <w:lang w:eastAsia="en-US"/>
              </w:rPr>
              <w:t>Projekts šo jomu neskar</w:t>
            </w:r>
          </w:p>
        </w:tc>
      </w:tr>
      <w:tr w:rsidR="00A76C0A" w:rsidRPr="00E04790" w14:paraId="14FCA979" w14:textId="77777777" w:rsidTr="00D51DD0">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E04790" w:rsidRDefault="009A00EB" w:rsidP="009A00EB">
            <w:pPr>
              <w:contextualSpacing/>
              <w:rPr>
                <w:rFonts w:eastAsia="Times New Roman"/>
                <w:sz w:val="26"/>
                <w:szCs w:val="26"/>
                <w:lang w:val="lv-LV" w:eastAsia="lv-LV"/>
              </w:rPr>
            </w:pPr>
            <w:r w:rsidRPr="00E04790">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E04790" w:rsidRDefault="009A00EB" w:rsidP="009A00EB">
            <w:pPr>
              <w:contextualSpacing/>
              <w:rPr>
                <w:rFonts w:eastAsia="Times New Roman"/>
                <w:sz w:val="26"/>
                <w:szCs w:val="26"/>
                <w:lang w:val="lv-LV" w:eastAsia="lv-LV"/>
              </w:rPr>
            </w:pPr>
            <w:r w:rsidRPr="00E04790">
              <w:rPr>
                <w:rFonts w:eastAsia="Times New Roman"/>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7E657313" w14:textId="77777777" w:rsidR="009A00EB" w:rsidRPr="00E04790" w:rsidRDefault="009A00EB" w:rsidP="005F3196">
            <w:pPr>
              <w:ind w:right="201"/>
              <w:contextualSpacing/>
              <w:jc w:val="both"/>
              <w:rPr>
                <w:sz w:val="26"/>
                <w:szCs w:val="26"/>
                <w:lang w:val="lv-LV"/>
              </w:rPr>
            </w:pPr>
            <w:r w:rsidRPr="00E04790">
              <w:rPr>
                <w:sz w:val="26"/>
                <w:szCs w:val="26"/>
                <w:lang w:val="lv-LV"/>
              </w:rPr>
              <w:t>Nav</w:t>
            </w:r>
          </w:p>
        </w:tc>
      </w:tr>
    </w:tbl>
    <w:p w14:paraId="57D2014F" w14:textId="77777777" w:rsidR="00E0333C" w:rsidRPr="00E04790" w:rsidRDefault="00E0333C" w:rsidP="00370711">
      <w:pPr>
        <w:contextualSpacing/>
        <w:rPr>
          <w:rFonts w:eastAsia="Times New Roman"/>
          <w:sz w:val="26"/>
          <w:szCs w:val="26"/>
          <w:lang w:val="lv-LV" w:eastAsia="lv-LV"/>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E0333C" w:rsidRPr="00DD1A4B" w14:paraId="5C3AC8E5"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2E8916C1" w14:textId="77777777" w:rsidR="00E0333C" w:rsidRPr="00E04790" w:rsidRDefault="00E0333C" w:rsidP="00370711">
            <w:pPr>
              <w:contextualSpacing/>
              <w:rPr>
                <w:rFonts w:eastAsia="Times New Roman"/>
                <w:b/>
                <w:sz w:val="26"/>
                <w:szCs w:val="26"/>
                <w:lang w:val="lv-LV" w:eastAsia="lv-LV"/>
              </w:rPr>
            </w:pPr>
            <w:r w:rsidRPr="00E04790">
              <w:rPr>
                <w:rFonts w:eastAsia="Times New Roman"/>
                <w:b/>
                <w:bCs/>
                <w:sz w:val="26"/>
                <w:szCs w:val="26"/>
                <w:lang w:val="lv-LV" w:eastAsia="lv-LV"/>
              </w:rPr>
              <w:t>III. Tiesību akta projekta ietekme uz valsts budžetu un pašvaldību budžetiem</w:t>
            </w:r>
          </w:p>
        </w:tc>
      </w:tr>
      <w:tr w:rsidR="00E0333C" w:rsidRPr="00E04790" w14:paraId="07D6D83D"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tcPr>
          <w:p w14:paraId="5639F0C7" w14:textId="43ACAAB1" w:rsidR="00E0333C" w:rsidRPr="00E04790" w:rsidRDefault="003A4F11" w:rsidP="00EB1F01">
            <w:pPr>
              <w:jc w:val="both"/>
              <w:rPr>
                <w:rFonts w:eastAsia="Times New Roman"/>
                <w:sz w:val="26"/>
                <w:szCs w:val="26"/>
                <w:lang w:val="lv-LV" w:eastAsia="lv-LV"/>
              </w:rPr>
            </w:pPr>
            <w:proofErr w:type="spellStart"/>
            <w:r w:rsidRPr="00E04790">
              <w:rPr>
                <w:sz w:val="26"/>
                <w:szCs w:val="26"/>
              </w:rPr>
              <w:t>Projekts</w:t>
            </w:r>
            <w:proofErr w:type="spellEnd"/>
            <w:r w:rsidRPr="00E04790">
              <w:rPr>
                <w:sz w:val="26"/>
                <w:szCs w:val="26"/>
              </w:rPr>
              <w:t xml:space="preserve"> </w:t>
            </w:r>
            <w:proofErr w:type="spellStart"/>
            <w:r w:rsidRPr="00E04790">
              <w:rPr>
                <w:sz w:val="26"/>
                <w:szCs w:val="26"/>
              </w:rPr>
              <w:t>šo</w:t>
            </w:r>
            <w:proofErr w:type="spellEnd"/>
            <w:r w:rsidRPr="00E04790">
              <w:rPr>
                <w:sz w:val="26"/>
                <w:szCs w:val="26"/>
              </w:rPr>
              <w:t xml:space="preserve"> </w:t>
            </w:r>
            <w:proofErr w:type="spellStart"/>
            <w:r w:rsidRPr="00E04790">
              <w:rPr>
                <w:sz w:val="26"/>
                <w:szCs w:val="26"/>
              </w:rPr>
              <w:t>jomu</w:t>
            </w:r>
            <w:proofErr w:type="spellEnd"/>
            <w:r w:rsidRPr="00E04790">
              <w:rPr>
                <w:sz w:val="26"/>
                <w:szCs w:val="26"/>
              </w:rPr>
              <w:t xml:space="preserve"> </w:t>
            </w:r>
            <w:proofErr w:type="spellStart"/>
            <w:r w:rsidRPr="00E04790">
              <w:rPr>
                <w:sz w:val="26"/>
                <w:szCs w:val="26"/>
              </w:rPr>
              <w:t>neskar</w:t>
            </w:r>
            <w:proofErr w:type="spellEnd"/>
          </w:p>
        </w:tc>
      </w:tr>
    </w:tbl>
    <w:p w14:paraId="57F14BC5" w14:textId="512F1E09" w:rsidR="00844176" w:rsidRPr="00E04790" w:rsidRDefault="00844176" w:rsidP="00370711">
      <w:pPr>
        <w:contextualSpacing/>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518"/>
        <w:gridCol w:w="6235"/>
      </w:tblGrid>
      <w:tr w:rsidR="00844176" w:rsidRPr="00DD1A4B" w14:paraId="6C33CD82" w14:textId="77777777" w:rsidTr="00320B22">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E04790" w:rsidRDefault="00844176" w:rsidP="00320B22">
            <w:pPr>
              <w:ind w:firstLine="300"/>
              <w:contextualSpacing/>
              <w:rPr>
                <w:rFonts w:eastAsia="Times New Roman"/>
                <w:b/>
                <w:bCs/>
                <w:sz w:val="26"/>
                <w:szCs w:val="26"/>
                <w:lang w:val="lv-LV" w:eastAsia="lv-LV"/>
              </w:rPr>
            </w:pPr>
            <w:r w:rsidRPr="00E04790">
              <w:rPr>
                <w:rFonts w:eastAsia="Times New Roman"/>
                <w:b/>
                <w:bCs/>
                <w:sz w:val="26"/>
                <w:szCs w:val="26"/>
                <w:lang w:val="lv-LV" w:eastAsia="lv-LV"/>
              </w:rPr>
              <w:t>IV. Tiesību akta projekta ietekme uz spēkā esošo tiesību normu sistēmu</w:t>
            </w:r>
          </w:p>
        </w:tc>
      </w:tr>
      <w:tr w:rsidR="00844176" w:rsidRPr="00DD1A4B" w14:paraId="57818953"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1A5FDF87" w14:textId="77777777" w:rsidR="00844176" w:rsidRPr="00E04790" w:rsidRDefault="00844176" w:rsidP="00320B22">
            <w:pPr>
              <w:contextualSpacing/>
              <w:rPr>
                <w:rFonts w:eastAsia="Times New Roman"/>
                <w:sz w:val="26"/>
                <w:szCs w:val="26"/>
                <w:lang w:val="lv-LV" w:eastAsia="lv-LV"/>
              </w:rPr>
            </w:pPr>
            <w:r w:rsidRPr="00E04790">
              <w:rPr>
                <w:rFonts w:eastAsia="Times New Roman"/>
                <w:sz w:val="26"/>
                <w:szCs w:val="26"/>
                <w:lang w:val="lv-LV" w:eastAsia="lv-LV"/>
              </w:rPr>
              <w:t>1.</w:t>
            </w:r>
          </w:p>
        </w:tc>
        <w:tc>
          <w:tcPr>
            <w:tcW w:w="1368" w:type="pct"/>
            <w:tcBorders>
              <w:top w:val="outset" w:sz="6" w:space="0" w:color="414142"/>
              <w:left w:val="outset" w:sz="6" w:space="0" w:color="414142"/>
              <w:bottom w:val="outset" w:sz="6" w:space="0" w:color="414142"/>
              <w:right w:val="outset" w:sz="6" w:space="0" w:color="414142"/>
            </w:tcBorders>
            <w:hideMark/>
          </w:tcPr>
          <w:p w14:paraId="6B0EF5B6" w14:textId="43CB5D85" w:rsidR="00844176" w:rsidRPr="00E04790" w:rsidRDefault="001C70CC" w:rsidP="00320B22">
            <w:pPr>
              <w:contextualSpacing/>
              <w:rPr>
                <w:rFonts w:eastAsia="Times New Roman"/>
                <w:sz w:val="26"/>
                <w:szCs w:val="26"/>
                <w:lang w:val="lv-LV" w:eastAsia="lv-LV"/>
              </w:rPr>
            </w:pPr>
            <w:r w:rsidRPr="00E04790">
              <w:rPr>
                <w:rFonts w:eastAsia="Times New Roman"/>
                <w:sz w:val="26"/>
                <w:szCs w:val="26"/>
                <w:lang w:val="lv-LV" w:eastAsia="lv-LV"/>
              </w:rPr>
              <w:t>Saistītie</w:t>
            </w:r>
            <w:r w:rsidR="00844176" w:rsidRPr="00E04790">
              <w:rPr>
                <w:rFonts w:eastAsia="Times New Roman"/>
                <w:sz w:val="26"/>
                <w:szCs w:val="26"/>
                <w:lang w:val="lv-LV" w:eastAsia="lv-LV"/>
              </w:rPr>
              <w:t xml:space="preserve"> tiesību aktu projekti</w:t>
            </w:r>
          </w:p>
        </w:tc>
        <w:tc>
          <w:tcPr>
            <w:tcW w:w="3387" w:type="pct"/>
            <w:tcBorders>
              <w:top w:val="outset" w:sz="6" w:space="0" w:color="414142"/>
              <w:left w:val="outset" w:sz="6" w:space="0" w:color="414142"/>
              <w:bottom w:val="outset" w:sz="6" w:space="0" w:color="414142"/>
              <w:right w:val="outset" w:sz="6" w:space="0" w:color="414142"/>
            </w:tcBorders>
            <w:hideMark/>
          </w:tcPr>
          <w:p w14:paraId="4A0C1089" w14:textId="64460CEB" w:rsidR="008F0CCC" w:rsidRPr="00E04790" w:rsidRDefault="008F0CCC" w:rsidP="000F2EA7">
            <w:pPr>
              <w:jc w:val="both"/>
              <w:rPr>
                <w:sz w:val="26"/>
                <w:szCs w:val="26"/>
                <w:lang w:val="lv-LV"/>
              </w:rPr>
            </w:pPr>
            <w:r w:rsidRPr="00E04790">
              <w:rPr>
                <w:sz w:val="26"/>
                <w:szCs w:val="26"/>
                <w:lang w:val="lv-LV"/>
              </w:rPr>
              <w:t xml:space="preserve">29.10.2020. VSS prot. Nr. 43 5.§ (VSS-925) </w:t>
            </w:r>
            <w:r w:rsidR="00DD4CCB" w:rsidRPr="00E04790">
              <w:rPr>
                <w:sz w:val="26"/>
                <w:szCs w:val="26"/>
                <w:lang w:val="lv-LV"/>
              </w:rPr>
              <w:t>–</w:t>
            </w:r>
            <w:r w:rsidRPr="00E04790">
              <w:rPr>
                <w:sz w:val="26"/>
                <w:szCs w:val="26"/>
                <w:lang w:val="lv-LV"/>
              </w:rPr>
              <w:t xml:space="preserve"> </w:t>
            </w:r>
            <w:r w:rsidR="00DD4CCB" w:rsidRPr="00E04790">
              <w:rPr>
                <w:sz w:val="26"/>
                <w:szCs w:val="26"/>
                <w:lang w:val="lv-LV"/>
              </w:rPr>
              <w:t>“G</w:t>
            </w:r>
            <w:r w:rsidRPr="00E04790">
              <w:rPr>
                <w:sz w:val="26"/>
                <w:szCs w:val="26"/>
                <w:lang w:val="lv-LV"/>
              </w:rPr>
              <w:t>rozījumi</w:t>
            </w:r>
          </w:p>
          <w:p w14:paraId="42E242BC" w14:textId="5A05797E" w:rsidR="00844176" w:rsidRPr="00E04790" w:rsidRDefault="003A4F11" w:rsidP="000F2EA7">
            <w:pPr>
              <w:jc w:val="both"/>
              <w:rPr>
                <w:sz w:val="26"/>
                <w:szCs w:val="26"/>
                <w:lang w:val="lv-LV"/>
              </w:rPr>
            </w:pPr>
            <w:r w:rsidRPr="00E04790">
              <w:rPr>
                <w:sz w:val="26"/>
                <w:szCs w:val="26"/>
                <w:lang w:val="lv-LV"/>
              </w:rPr>
              <w:t>Ministru kabineta 2020.gada 19.marta noteikumos Nr.150 “Noteikumi par garantijām saimnieciskās darbības veicējiem, kuru darbību ietekmējusi Covid-19 izplatība</w:t>
            </w:r>
            <w:r w:rsidR="00DD4CCB" w:rsidRPr="00E04790">
              <w:rPr>
                <w:sz w:val="26"/>
                <w:szCs w:val="26"/>
                <w:lang w:val="lv-LV"/>
              </w:rPr>
              <w:t>”</w:t>
            </w:r>
            <w:r w:rsidRPr="00E04790">
              <w:rPr>
                <w:sz w:val="26"/>
                <w:szCs w:val="26"/>
                <w:lang w:val="lv-LV"/>
              </w:rPr>
              <w:t>”</w:t>
            </w:r>
            <w:r w:rsidR="005C7853" w:rsidRPr="00E04790">
              <w:rPr>
                <w:sz w:val="26"/>
                <w:szCs w:val="26"/>
                <w:lang w:val="lv-LV"/>
              </w:rPr>
              <w:t xml:space="preserve">, kuri paredz 2,5 milj. </w:t>
            </w:r>
            <w:r w:rsidR="005C7853" w:rsidRPr="00E04790">
              <w:rPr>
                <w:i/>
                <w:iCs/>
                <w:sz w:val="26"/>
                <w:szCs w:val="26"/>
                <w:lang w:val="lv-LV"/>
              </w:rPr>
              <w:t>euro</w:t>
            </w:r>
            <w:r w:rsidR="005C7853" w:rsidRPr="00E04790">
              <w:rPr>
                <w:sz w:val="26"/>
                <w:szCs w:val="26"/>
                <w:lang w:val="lv-LV"/>
              </w:rPr>
              <w:t xml:space="preserve"> finansējuma pārdali uz Noteikumiem, lai nodrošinātu garantijas lielajiem saimnieciskās darbības veicējiem.</w:t>
            </w:r>
          </w:p>
          <w:p w14:paraId="267E4316" w14:textId="77777777" w:rsidR="0009291B" w:rsidRPr="00E04790" w:rsidRDefault="00BC528A" w:rsidP="000F2EA7">
            <w:pPr>
              <w:jc w:val="both"/>
              <w:rPr>
                <w:sz w:val="26"/>
                <w:szCs w:val="26"/>
                <w:lang w:val="lv-LV"/>
              </w:rPr>
            </w:pPr>
            <w:r w:rsidRPr="00E04790">
              <w:rPr>
                <w:bCs/>
                <w:iCs/>
                <w:sz w:val="26"/>
                <w:szCs w:val="26"/>
                <w:lang w:val="lv-LV"/>
              </w:rPr>
              <w:t>26.11.2020. VSS prot. Nr.</w:t>
            </w:r>
            <w:r w:rsidRPr="00E04790">
              <w:rPr>
                <w:sz w:val="26"/>
                <w:szCs w:val="26"/>
                <w:lang w:val="lv-LV"/>
              </w:rPr>
              <w:t xml:space="preserve">47 5.§ (VSS-1015) - </w:t>
            </w:r>
            <w:r w:rsidR="0009291B" w:rsidRPr="00E04790">
              <w:rPr>
                <w:sz w:val="26"/>
                <w:szCs w:val="26"/>
                <w:lang w:val="lv-LV"/>
              </w:rPr>
              <w:t xml:space="preserve"> </w:t>
            </w:r>
            <w:r w:rsidR="00DD4CCB" w:rsidRPr="00E04790">
              <w:rPr>
                <w:sz w:val="26"/>
                <w:szCs w:val="26"/>
                <w:lang w:val="lv-LV"/>
              </w:rPr>
              <w:t>“G</w:t>
            </w:r>
            <w:r w:rsidR="0009291B" w:rsidRPr="00E04790">
              <w:rPr>
                <w:sz w:val="26"/>
                <w:szCs w:val="26"/>
                <w:lang w:val="lv-LV"/>
              </w:rPr>
              <w:t xml:space="preserve">rozījumi </w:t>
            </w:r>
            <w:r w:rsidR="00DD4CCB" w:rsidRPr="00E04790">
              <w:rPr>
                <w:sz w:val="26"/>
                <w:szCs w:val="26"/>
                <w:lang w:val="lv-LV"/>
              </w:rPr>
              <w:t xml:space="preserve">Ministru kabineta </w:t>
            </w:r>
            <w:r w:rsidR="0009291B" w:rsidRPr="00E04790">
              <w:rPr>
                <w:sz w:val="26"/>
                <w:szCs w:val="26"/>
                <w:lang w:val="lv-LV"/>
              </w:rPr>
              <w:t>2020.gada 14.jūlija noteikumos Nr.454 “Noteikumi par garantijām lielajiem komersantiem, kuru darbību ietekmējusi Covid-19 izplatība”</w:t>
            </w:r>
            <w:r w:rsidR="00DD4CCB" w:rsidRPr="00E04790">
              <w:rPr>
                <w:sz w:val="26"/>
                <w:szCs w:val="26"/>
                <w:lang w:val="lv-LV"/>
              </w:rPr>
              <w:t>”</w:t>
            </w:r>
            <w:r w:rsidR="0009291B" w:rsidRPr="00E04790">
              <w:rPr>
                <w:sz w:val="26"/>
                <w:szCs w:val="26"/>
                <w:lang w:val="lv-LV"/>
              </w:rPr>
              <w:t xml:space="preserve"> par 2 milj. </w:t>
            </w:r>
            <w:r w:rsidR="0009291B" w:rsidRPr="00E04790">
              <w:rPr>
                <w:i/>
                <w:iCs/>
                <w:sz w:val="26"/>
                <w:szCs w:val="26"/>
                <w:lang w:val="lv-LV"/>
              </w:rPr>
              <w:t xml:space="preserve">euro </w:t>
            </w:r>
            <w:r w:rsidR="0009291B" w:rsidRPr="00E04790">
              <w:rPr>
                <w:sz w:val="26"/>
                <w:szCs w:val="26"/>
                <w:lang w:val="lv-LV"/>
              </w:rPr>
              <w:t>pārdali uz Noteikumiem garantiju sniegšanai lielajiem saimnieciskās darbības veicējiem.</w:t>
            </w:r>
          </w:p>
          <w:p w14:paraId="37F545BF" w14:textId="54E07BEE" w:rsidR="00DB66E1" w:rsidRPr="00E04790" w:rsidRDefault="00DB66E1" w:rsidP="000F2EA7">
            <w:pPr>
              <w:jc w:val="both"/>
              <w:rPr>
                <w:bCs/>
                <w:iCs/>
                <w:sz w:val="26"/>
                <w:szCs w:val="26"/>
                <w:lang w:val="lv-LV"/>
              </w:rPr>
            </w:pPr>
            <w:r w:rsidRPr="00E04790">
              <w:rPr>
                <w:bCs/>
                <w:iCs/>
                <w:sz w:val="26"/>
                <w:szCs w:val="26"/>
                <w:lang w:val="lv-LV"/>
              </w:rPr>
              <w:t>26.11.2020. VSS prot. Nr.</w:t>
            </w:r>
            <w:r w:rsidRPr="00E04790">
              <w:rPr>
                <w:sz w:val="26"/>
                <w:szCs w:val="26"/>
                <w:lang w:val="lv-LV"/>
              </w:rPr>
              <w:t xml:space="preserve">47 5.§ (VSS-1016) -  </w:t>
            </w:r>
            <w:r w:rsidRPr="00E04790">
              <w:rPr>
                <w:rFonts w:eastAsia="Times New Roman"/>
                <w:sz w:val="26"/>
                <w:szCs w:val="26"/>
                <w:lang w:val="lv-LV"/>
              </w:rPr>
              <w:t>“</w:t>
            </w:r>
            <w:r w:rsidRPr="00E04790">
              <w:rPr>
                <w:rStyle w:val="normaltextrun"/>
                <w:color w:val="000000"/>
                <w:sz w:val="26"/>
                <w:szCs w:val="26"/>
                <w:lang w:val="lv-LV"/>
              </w:rPr>
              <w:t xml:space="preserve">Grozījumi Ministru kabineta 2016.gada 1.marta noteikumos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 kas ir </w:t>
            </w:r>
            <w:proofErr w:type="spellStart"/>
            <w:r w:rsidRPr="00E04790">
              <w:rPr>
                <w:rStyle w:val="normaltextrun"/>
                <w:color w:val="000000"/>
                <w:sz w:val="26"/>
                <w:szCs w:val="26"/>
                <w:lang w:val="lv-LV"/>
              </w:rPr>
              <w:t>virsnoteikumi</w:t>
            </w:r>
            <w:proofErr w:type="spellEnd"/>
            <w:r w:rsidRPr="00E04790">
              <w:rPr>
                <w:rStyle w:val="normaltextrun"/>
                <w:color w:val="000000"/>
                <w:sz w:val="26"/>
                <w:szCs w:val="26"/>
                <w:lang w:val="lv-LV"/>
              </w:rPr>
              <w:t xml:space="preserve"> Noteikumiem un paredz </w:t>
            </w:r>
            <w:proofErr w:type="spellStart"/>
            <w:r w:rsidRPr="00E04790">
              <w:rPr>
                <w:rStyle w:val="normaltextrun"/>
                <w:color w:val="000000"/>
                <w:sz w:val="26"/>
                <w:szCs w:val="26"/>
                <w:lang w:val="lv-LV"/>
              </w:rPr>
              <w:t>predzicēt</w:t>
            </w:r>
            <w:proofErr w:type="spellEnd"/>
            <w:r w:rsidRPr="00E04790">
              <w:rPr>
                <w:rStyle w:val="normaltextrun"/>
                <w:color w:val="000000"/>
                <w:sz w:val="26"/>
                <w:szCs w:val="26"/>
                <w:lang w:val="lv-LV"/>
              </w:rPr>
              <w:t xml:space="preserve"> ar izpildes rādītājiem saistītos nosacījumus.</w:t>
            </w:r>
          </w:p>
        </w:tc>
      </w:tr>
      <w:tr w:rsidR="00844176" w:rsidRPr="00E04790" w14:paraId="3469659F"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E04790" w:rsidRDefault="00844176" w:rsidP="00320B22">
            <w:pPr>
              <w:contextualSpacing/>
              <w:rPr>
                <w:rFonts w:eastAsia="Times New Roman"/>
                <w:sz w:val="26"/>
                <w:szCs w:val="26"/>
                <w:lang w:val="lv-LV" w:eastAsia="lv-LV"/>
              </w:rPr>
            </w:pPr>
            <w:r w:rsidRPr="00E04790">
              <w:rPr>
                <w:rFonts w:eastAsia="Times New Roman"/>
                <w:sz w:val="26"/>
                <w:szCs w:val="26"/>
                <w:lang w:val="lv-LV" w:eastAsia="lv-LV"/>
              </w:rPr>
              <w:t>2.</w:t>
            </w:r>
          </w:p>
        </w:tc>
        <w:tc>
          <w:tcPr>
            <w:tcW w:w="1368"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E04790" w:rsidRDefault="00844176" w:rsidP="00320B22">
            <w:pPr>
              <w:contextualSpacing/>
              <w:rPr>
                <w:rFonts w:eastAsia="Times New Roman"/>
                <w:sz w:val="26"/>
                <w:szCs w:val="26"/>
                <w:lang w:val="lv-LV" w:eastAsia="lv-LV"/>
              </w:rPr>
            </w:pPr>
            <w:r w:rsidRPr="00E04790">
              <w:rPr>
                <w:rFonts w:eastAsia="Times New Roman"/>
                <w:sz w:val="26"/>
                <w:szCs w:val="26"/>
                <w:lang w:val="lv-LV" w:eastAsia="lv-LV"/>
              </w:rPr>
              <w:t>Atbildīgā institūcija</w:t>
            </w:r>
          </w:p>
        </w:tc>
        <w:tc>
          <w:tcPr>
            <w:tcW w:w="3387" w:type="pct"/>
            <w:tcBorders>
              <w:top w:val="outset" w:sz="6" w:space="0" w:color="414142"/>
              <w:left w:val="outset" w:sz="6" w:space="0" w:color="414142"/>
              <w:bottom w:val="outset" w:sz="6" w:space="0" w:color="414142"/>
              <w:right w:val="outset" w:sz="6" w:space="0" w:color="414142"/>
            </w:tcBorders>
            <w:hideMark/>
          </w:tcPr>
          <w:p w14:paraId="3DEC7C4D" w14:textId="77777777" w:rsidR="00844176" w:rsidRPr="00E04790" w:rsidRDefault="007F6449" w:rsidP="00320B22">
            <w:pPr>
              <w:pStyle w:val="BodyText"/>
              <w:ind w:right="142"/>
              <w:contextualSpacing/>
              <w:rPr>
                <w:rFonts w:eastAsia="Calibri"/>
                <w:sz w:val="26"/>
                <w:szCs w:val="26"/>
                <w:lang w:eastAsia="en-US"/>
              </w:rPr>
            </w:pPr>
            <w:r w:rsidRPr="00E04790">
              <w:rPr>
                <w:rFonts w:eastAsia="Calibri"/>
                <w:sz w:val="26"/>
                <w:szCs w:val="26"/>
                <w:lang w:eastAsia="en-US"/>
              </w:rPr>
              <w:t>Ekonomikas ministrija</w:t>
            </w:r>
          </w:p>
        </w:tc>
      </w:tr>
      <w:tr w:rsidR="00844176" w:rsidRPr="00E04790" w14:paraId="32F2DD54"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E04790" w:rsidRDefault="00844176" w:rsidP="00320B22">
            <w:pPr>
              <w:contextualSpacing/>
              <w:rPr>
                <w:rFonts w:eastAsia="Times New Roman"/>
                <w:sz w:val="26"/>
                <w:szCs w:val="26"/>
                <w:lang w:val="lv-LV" w:eastAsia="lv-LV"/>
              </w:rPr>
            </w:pPr>
            <w:r w:rsidRPr="00E04790">
              <w:rPr>
                <w:rFonts w:eastAsia="Times New Roman"/>
                <w:sz w:val="26"/>
                <w:szCs w:val="26"/>
                <w:lang w:val="lv-LV" w:eastAsia="lv-LV"/>
              </w:rPr>
              <w:t>3.</w:t>
            </w:r>
          </w:p>
        </w:tc>
        <w:tc>
          <w:tcPr>
            <w:tcW w:w="1368"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E04790" w:rsidRDefault="00844176" w:rsidP="00320B22">
            <w:pPr>
              <w:contextualSpacing/>
              <w:rPr>
                <w:rFonts w:eastAsia="Times New Roman"/>
                <w:sz w:val="26"/>
                <w:szCs w:val="26"/>
                <w:lang w:val="lv-LV" w:eastAsia="lv-LV"/>
              </w:rPr>
            </w:pPr>
            <w:r w:rsidRPr="00E04790">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539849A5" w14:textId="235A3E58" w:rsidR="003E5276" w:rsidRPr="00E04790" w:rsidRDefault="000F2EA7" w:rsidP="003E5276">
            <w:pPr>
              <w:pStyle w:val="ListParagraph"/>
              <w:ind w:left="0"/>
              <w:contextualSpacing w:val="0"/>
              <w:jc w:val="both"/>
              <w:rPr>
                <w:bCs/>
                <w:iCs/>
                <w:sz w:val="26"/>
                <w:szCs w:val="26"/>
                <w:lang w:val="lv-LV"/>
              </w:rPr>
            </w:pPr>
            <w:r w:rsidRPr="00E04790">
              <w:rPr>
                <w:bCs/>
                <w:iCs/>
                <w:sz w:val="26"/>
                <w:szCs w:val="26"/>
                <w:lang w:val="lv-LV"/>
              </w:rPr>
              <w:t>Nav</w:t>
            </w:r>
          </w:p>
          <w:p w14:paraId="637C4F16" w14:textId="690F03B4" w:rsidR="00844176" w:rsidRPr="00E04790" w:rsidRDefault="00844176" w:rsidP="003E5276">
            <w:pPr>
              <w:ind w:left="577"/>
              <w:contextualSpacing/>
              <w:jc w:val="both"/>
              <w:rPr>
                <w:bCs/>
                <w:iCs/>
                <w:sz w:val="26"/>
                <w:szCs w:val="26"/>
                <w:lang w:val="lv-LV"/>
              </w:rPr>
            </w:pPr>
          </w:p>
        </w:tc>
      </w:tr>
    </w:tbl>
    <w:p w14:paraId="2A21AD4B" w14:textId="77777777" w:rsidR="00844176" w:rsidRPr="00E04790" w:rsidRDefault="00844176" w:rsidP="00370711">
      <w:pPr>
        <w:contextualSpacing/>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844176" w:rsidRPr="00E04790" w14:paraId="07C3ABEE" w14:textId="77777777" w:rsidTr="00871E2F">
        <w:tc>
          <w:tcPr>
            <w:tcW w:w="0" w:type="auto"/>
            <w:gridSpan w:val="3"/>
            <w:tcBorders>
              <w:top w:val="outset" w:sz="6" w:space="0" w:color="414142"/>
              <w:left w:val="outset" w:sz="6" w:space="0" w:color="414142"/>
              <w:bottom w:val="outset" w:sz="6" w:space="0" w:color="414142"/>
              <w:right w:val="outset" w:sz="6" w:space="0" w:color="414142"/>
            </w:tcBorders>
            <w:hideMark/>
          </w:tcPr>
          <w:p w14:paraId="6901DE8D" w14:textId="77777777" w:rsidR="00844176" w:rsidRPr="00E04790" w:rsidRDefault="00844176" w:rsidP="00370711">
            <w:pPr>
              <w:contextualSpacing/>
              <w:jc w:val="center"/>
              <w:rPr>
                <w:rFonts w:eastAsia="Times New Roman"/>
                <w:sz w:val="26"/>
                <w:szCs w:val="26"/>
                <w:lang w:val="lv-LV" w:eastAsia="lv-LV"/>
              </w:rPr>
            </w:pPr>
            <w:r w:rsidRPr="00E04790">
              <w:rPr>
                <w:b/>
                <w:sz w:val="26"/>
                <w:szCs w:val="26"/>
                <w:lang w:val="lv-LV"/>
              </w:rPr>
              <w:t>V. Tiesību akta projekta atbilstība Latvijas Republikas starptautiskajām saistībām</w:t>
            </w:r>
          </w:p>
        </w:tc>
      </w:tr>
      <w:tr w:rsidR="006F4B13" w:rsidRPr="00E04790" w14:paraId="17F7F902"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78A781BB" w14:textId="77777777" w:rsidR="006F4B13" w:rsidRPr="00E04790" w:rsidRDefault="006F4B13" w:rsidP="00370711">
            <w:pPr>
              <w:contextualSpacing/>
              <w:rPr>
                <w:rFonts w:eastAsia="Times New Roman"/>
                <w:sz w:val="26"/>
                <w:szCs w:val="26"/>
                <w:lang w:val="lv-LV" w:eastAsia="lv-LV"/>
              </w:rPr>
            </w:pPr>
            <w:r w:rsidRPr="00E04790">
              <w:rPr>
                <w:rFonts w:eastAsia="Times New Roman"/>
                <w:sz w:val="26"/>
                <w:szCs w:val="26"/>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4D28CC95" w14:textId="77777777" w:rsidR="006F4B13" w:rsidRPr="00E04790" w:rsidRDefault="006F4B13" w:rsidP="00370711">
            <w:pPr>
              <w:contextualSpacing/>
              <w:jc w:val="both"/>
              <w:rPr>
                <w:rFonts w:eastAsia="Times New Roman"/>
                <w:sz w:val="26"/>
                <w:szCs w:val="26"/>
                <w:lang w:val="lv-LV" w:eastAsia="lv-LV"/>
              </w:rPr>
            </w:pPr>
            <w:r w:rsidRPr="00E04790">
              <w:rPr>
                <w:rFonts w:eastAsia="Times New Roman"/>
                <w:sz w:val="26"/>
                <w:szCs w:val="26"/>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5C58FE3A" w14:textId="7E314E26" w:rsidR="00AF163D" w:rsidRPr="00E04790" w:rsidRDefault="00AF163D" w:rsidP="00150256">
            <w:pPr>
              <w:jc w:val="both"/>
              <w:rPr>
                <w:rFonts w:eastAsia="Times New Roman"/>
                <w:color w:val="000000" w:themeColor="text1"/>
                <w:sz w:val="26"/>
                <w:szCs w:val="26"/>
                <w:lang w:val="lv-LV"/>
              </w:rPr>
            </w:pPr>
            <w:r w:rsidRPr="00E04790">
              <w:rPr>
                <w:rFonts w:eastAsia="Times New Roman"/>
                <w:sz w:val="26"/>
                <w:szCs w:val="26"/>
                <w:lang w:val="lv-LV" w:eastAsia="lv-LV"/>
              </w:rPr>
              <w:t xml:space="preserve">Komisijas 2013. gada 18. decembra Regula (ES) Nr. 1407/2013 par Līguma par Eiropas Savienības darbību 107. un 108. panta piemērošanu </w:t>
            </w:r>
            <w:proofErr w:type="spellStart"/>
            <w:r w:rsidRPr="00E04790">
              <w:rPr>
                <w:rFonts w:eastAsia="Times New Roman"/>
                <w:i/>
                <w:iCs/>
                <w:sz w:val="26"/>
                <w:szCs w:val="26"/>
                <w:lang w:val="lv-LV" w:eastAsia="lv-LV"/>
              </w:rPr>
              <w:t>de</w:t>
            </w:r>
            <w:proofErr w:type="spellEnd"/>
            <w:r w:rsidRPr="00E04790">
              <w:rPr>
                <w:rFonts w:eastAsia="Times New Roman"/>
                <w:i/>
                <w:iCs/>
                <w:sz w:val="26"/>
                <w:szCs w:val="26"/>
                <w:lang w:val="lv-LV" w:eastAsia="lv-LV"/>
              </w:rPr>
              <w:t xml:space="preserve"> </w:t>
            </w:r>
            <w:proofErr w:type="spellStart"/>
            <w:r w:rsidRPr="00E04790">
              <w:rPr>
                <w:rFonts w:eastAsia="Times New Roman"/>
                <w:i/>
                <w:iCs/>
                <w:sz w:val="26"/>
                <w:szCs w:val="26"/>
                <w:lang w:val="lv-LV" w:eastAsia="lv-LV"/>
              </w:rPr>
              <w:t>minimis</w:t>
            </w:r>
            <w:proofErr w:type="spellEnd"/>
            <w:r w:rsidRPr="00E04790">
              <w:rPr>
                <w:rFonts w:eastAsia="Times New Roman"/>
                <w:sz w:val="26"/>
                <w:szCs w:val="26"/>
                <w:lang w:val="lv-LV" w:eastAsia="lv-LV"/>
              </w:rPr>
              <w:t xml:space="preserve"> atbalstam.</w:t>
            </w:r>
          </w:p>
          <w:p w14:paraId="313D4E77" w14:textId="042517AF" w:rsidR="008D09FC" w:rsidRPr="00E04790" w:rsidRDefault="008D09FC" w:rsidP="00150256">
            <w:pPr>
              <w:jc w:val="both"/>
              <w:rPr>
                <w:rFonts w:eastAsia="Times New Roman"/>
                <w:sz w:val="26"/>
                <w:szCs w:val="26"/>
                <w:lang w:val="lv-LV" w:eastAsia="lv-LV"/>
              </w:rPr>
            </w:pPr>
          </w:p>
        </w:tc>
      </w:tr>
      <w:tr w:rsidR="006F4B13" w:rsidRPr="00E04790" w14:paraId="2BF33DFD"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1F188A09" w14:textId="77777777" w:rsidR="006F4B13" w:rsidRPr="00E04790" w:rsidRDefault="006F4B13" w:rsidP="00370711">
            <w:pPr>
              <w:contextualSpacing/>
              <w:rPr>
                <w:rFonts w:eastAsia="Times New Roman"/>
                <w:sz w:val="26"/>
                <w:szCs w:val="26"/>
                <w:lang w:val="lv-LV" w:eastAsia="lv-LV"/>
              </w:rPr>
            </w:pPr>
            <w:r w:rsidRPr="00E04790">
              <w:rPr>
                <w:rFonts w:eastAsia="Times New Roman"/>
                <w:sz w:val="26"/>
                <w:szCs w:val="26"/>
                <w:lang w:val="lv-LV"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14:paraId="0B74399D" w14:textId="77777777" w:rsidR="006F4B13" w:rsidRPr="00E04790" w:rsidRDefault="006F4B13" w:rsidP="00370711">
            <w:pPr>
              <w:contextualSpacing/>
              <w:jc w:val="both"/>
              <w:rPr>
                <w:rFonts w:eastAsia="Times New Roman"/>
                <w:sz w:val="26"/>
                <w:szCs w:val="26"/>
                <w:lang w:val="lv-LV" w:eastAsia="lv-LV"/>
              </w:rPr>
            </w:pPr>
            <w:r w:rsidRPr="00E04790">
              <w:rPr>
                <w:rFonts w:eastAsia="Times New Roman"/>
                <w:sz w:val="26"/>
                <w:szCs w:val="26"/>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04D2F44F" w14:textId="1B204823" w:rsidR="006F4B13" w:rsidRPr="00E04790" w:rsidRDefault="006F4B13" w:rsidP="00370711">
            <w:pPr>
              <w:contextualSpacing/>
              <w:jc w:val="both"/>
              <w:rPr>
                <w:rFonts w:eastAsia="Times New Roman"/>
                <w:sz w:val="26"/>
                <w:szCs w:val="26"/>
                <w:lang w:val="lv-LV" w:eastAsia="lv-LV"/>
              </w:rPr>
            </w:pPr>
            <w:r w:rsidRPr="00E04790">
              <w:rPr>
                <w:rFonts w:eastAsia="Times New Roman"/>
                <w:sz w:val="26"/>
                <w:szCs w:val="26"/>
                <w:lang w:val="lv-LV" w:eastAsia="lv-LV"/>
              </w:rPr>
              <w:t>Projekts šo jomu neskar</w:t>
            </w:r>
            <w:r w:rsidR="0099282E" w:rsidRPr="00E04790">
              <w:rPr>
                <w:rFonts w:eastAsia="Times New Roman"/>
                <w:sz w:val="26"/>
                <w:szCs w:val="26"/>
                <w:lang w:val="lv-LV" w:eastAsia="lv-LV"/>
              </w:rPr>
              <w:t>.</w:t>
            </w:r>
          </w:p>
        </w:tc>
      </w:tr>
      <w:tr w:rsidR="006F4B13" w:rsidRPr="00E04790" w14:paraId="64229F4B"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2D9DCABC" w14:textId="77777777" w:rsidR="006F4B13" w:rsidRPr="00E04790" w:rsidRDefault="006F4B13" w:rsidP="00370711">
            <w:pPr>
              <w:contextualSpacing/>
              <w:rPr>
                <w:rFonts w:eastAsia="Times New Roman"/>
                <w:sz w:val="26"/>
                <w:szCs w:val="26"/>
                <w:lang w:val="lv-LV" w:eastAsia="lv-LV"/>
              </w:rPr>
            </w:pPr>
            <w:r w:rsidRPr="00E04790">
              <w:rPr>
                <w:rFonts w:eastAsia="Times New Roman"/>
                <w:sz w:val="26"/>
                <w:szCs w:val="26"/>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19774E23" w14:textId="77777777" w:rsidR="006F4B13" w:rsidRPr="00E04790" w:rsidRDefault="006F4B13" w:rsidP="00370711">
            <w:pPr>
              <w:contextualSpacing/>
              <w:jc w:val="both"/>
              <w:rPr>
                <w:rFonts w:eastAsia="Times New Roman"/>
                <w:sz w:val="26"/>
                <w:szCs w:val="26"/>
                <w:lang w:val="lv-LV" w:eastAsia="lv-LV"/>
              </w:rPr>
            </w:pPr>
            <w:r w:rsidRPr="00E04790">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10FD6544" w14:textId="107065C6" w:rsidR="006F4B13" w:rsidRPr="00E04790" w:rsidRDefault="00495A06" w:rsidP="00370711">
            <w:pPr>
              <w:jc w:val="both"/>
              <w:rPr>
                <w:rFonts w:eastAsia="Times New Roman"/>
                <w:sz w:val="26"/>
                <w:szCs w:val="26"/>
                <w:lang w:val="lv-LV" w:eastAsia="lv-LV"/>
              </w:rPr>
            </w:pPr>
            <w:r w:rsidRPr="00E04790">
              <w:rPr>
                <w:rFonts w:eastAsia="Times New Roman"/>
                <w:color w:val="000000" w:themeColor="text1"/>
                <w:sz w:val="26"/>
                <w:szCs w:val="26"/>
                <w:lang w:val="lv-LV"/>
              </w:rPr>
              <w:t>Nav</w:t>
            </w:r>
          </w:p>
        </w:tc>
      </w:tr>
    </w:tbl>
    <w:p w14:paraId="1F45E5ED" w14:textId="3E0D1E21" w:rsidR="00844176" w:rsidRPr="00E04790" w:rsidRDefault="00844176" w:rsidP="00370711">
      <w:pPr>
        <w:contextualSpacing/>
        <w:rPr>
          <w:sz w:val="26"/>
          <w:szCs w:val="26"/>
          <w:lang w:val="lv-LV"/>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64"/>
        <w:gridCol w:w="2264"/>
        <w:gridCol w:w="1985"/>
        <w:gridCol w:w="2692"/>
      </w:tblGrid>
      <w:tr w:rsidR="00AF163D" w:rsidRPr="00DD1A4B" w14:paraId="234676C4" w14:textId="77777777" w:rsidTr="0010549D">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825010" w14:textId="77777777" w:rsidR="00AF163D" w:rsidRPr="00E04790" w:rsidRDefault="00AF163D" w:rsidP="0010549D">
            <w:pPr>
              <w:spacing w:before="100" w:beforeAutospacing="1" w:after="100" w:afterAutospacing="1" w:line="293" w:lineRule="atLeast"/>
              <w:jc w:val="center"/>
              <w:rPr>
                <w:rFonts w:eastAsia="Times New Roman"/>
                <w:b/>
                <w:bCs/>
                <w:sz w:val="26"/>
                <w:szCs w:val="26"/>
                <w:lang w:val="lv-LV" w:eastAsia="lv-LV"/>
              </w:rPr>
            </w:pPr>
            <w:r w:rsidRPr="00E04790">
              <w:rPr>
                <w:rFonts w:eastAsia="Times New Roman"/>
                <w:b/>
                <w:bCs/>
                <w:sz w:val="26"/>
                <w:szCs w:val="26"/>
                <w:lang w:val="lv-LV" w:eastAsia="lv-LV"/>
              </w:rPr>
              <w:t>1. tabula</w:t>
            </w:r>
            <w:r w:rsidRPr="00E04790">
              <w:rPr>
                <w:rFonts w:eastAsia="Times New Roman"/>
                <w:b/>
                <w:bCs/>
                <w:sz w:val="26"/>
                <w:szCs w:val="26"/>
                <w:lang w:val="lv-LV" w:eastAsia="lv-LV"/>
              </w:rPr>
              <w:br/>
              <w:t>Tiesību akta projekta atbilstība ES tiesību aktiem</w:t>
            </w:r>
          </w:p>
        </w:tc>
      </w:tr>
      <w:tr w:rsidR="00AF163D" w:rsidRPr="00DD1A4B" w14:paraId="4BE1852B" w14:textId="77777777" w:rsidTr="0010549D">
        <w:tc>
          <w:tcPr>
            <w:tcW w:w="1230" w:type="pct"/>
            <w:tcBorders>
              <w:top w:val="outset" w:sz="6" w:space="0" w:color="414142"/>
              <w:left w:val="outset" w:sz="6" w:space="0" w:color="414142"/>
              <w:bottom w:val="outset" w:sz="6" w:space="0" w:color="414142"/>
              <w:right w:val="outset" w:sz="6" w:space="0" w:color="414142"/>
            </w:tcBorders>
            <w:shd w:val="clear" w:color="auto" w:fill="FFFFFF"/>
            <w:hideMark/>
          </w:tcPr>
          <w:p w14:paraId="614707E8" w14:textId="77777777" w:rsidR="00AF163D" w:rsidRPr="00E04790" w:rsidRDefault="00AF163D" w:rsidP="0010549D">
            <w:pPr>
              <w:rPr>
                <w:rFonts w:eastAsia="Times New Roman"/>
                <w:sz w:val="26"/>
                <w:szCs w:val="26"/>
                <w:lang w:val="lv-LV" w:eastAsia="lv-LV"/>
              </w:rPr>
            </w:pPr>
            <w:r w:rsidRPr="00E04790">
              <w:rPr>
                <w:rFonts w:eastAsia="Times New Roman"/>
                <w:sz w:val="26"/>
                <w:szCs w:val="26"/>
                <w:lang w:val="lv-LV" w:eastAsia="lv-LV"/>
              </w:rPr>
              <w:t>Attiecīgā ES tiesību akta datums, numurs un nosaukums</w:t>
            </w:r>
          </w:p>
        </w:tc>
        <w:tc>
          <w:tcPr>
            <w:tcW w:w="377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174E3599" w14:textId="6EB466A1" w:rsidR="00AF163D" w:rsidRPr="00E04790" w:rsidRDefault="00AF163D" w:rsidP="005A24AE">
            <w:pPr>
              <w:jc w:val="both"/>
              <w:rPr>
                <w:rFonts w:eastAsia="Times New Roman"/>
                <w:sz w:val="26"/>
                <w:szCs w:val="26"/>
                <w:lang w:val="lv-LV"/>
              </w:rPr>
            </w:pPr>
            <w:r w:rsidRPr="00E04790">
              <w:rPr>
                <w:rFonts w:eastAsia="Times New Roman"/>
                <w:sz w:val="26"/>
                <w:szCs w:val="26"/>
                <w:lang w:val="lv-LV"/>
              </w:rPr>
              <w:t>Ar Noteikumu projektu tiek ieviestas šādas Eiropas Komisijas 2013. gada 18. decembra Regul</w:t>
            </w:r>
            <w:r w:rsidR="005A24AE" w:rsidRPr="00E04790">
              <w:rPr>
                <w:rFonts w:eastAsia="Times New Roman"/>
                <w:sz w:val="26"/>
                <w:szCs w:val="26"/>
                <w:lang w:val="lv-LV"/>
              </w:rPr>
              <w:t>as</w:t>
            </w:r>
            <w:r w:rsidRPr="00E04790">
              <w:rPr>
                <w:rFonts w:eastAsia="Times New Roman"/>
                <w:sz w:val="26"/>
                <w:szCs w:val="26"/>
                <w:lang w:val="lv-LV"/>
              </w:rPr>
              <w:t xml:space="preserve"> (ES) Nr. 1407/2013 par Līguma par Eiropas Savienības darbību 107. un 108. panta piemērošanu </w:t>
            </w:r>
            <w:proofErr w:type="spellStart"/>
            <w:r w:rsidRPr="00E04790">
              <w:rPr>
                <w:rFonts w:eastAsia="Times New Roman"/>
                <w:i/>
                <w:iCs/>
                <w:sz w:val="26"/>
                <w:szCs w:val="26"/>
                <w:lang w:val="lv-LV"/>
              </w:rPr>
              <w:t>de</w:t>
            </w:r>
            <w:proofErr w:type="spellEnd"/>
            <w:r w:rsidRPr="00E04790">
              <w:rPr>
                <w:rFonts w:eastAsia="Times New Roman"/>
                <w:i/>
                <w:iCs/>
                <w:sz w:val="26"/>
                <w:szCs w:val="26"/>
                <w:lang w:val="lv-LV"/>
              </w:rPr>
              <w:t xml:space="preserve"> </w:t>
            </w:r>
            <w:proofErr w:type="spellStart"/>
            <w:r w:rsidRPr="00E04790">
              <w:rPr>
                <w:rFonts w:eastAsia="Times New Roman"/>
                <w:i/>
                <w:iCs/>
                <w:sz w:val="26"/>
                <w:szCs w:val="26"/>
                <w:lang w:val="lv-LV"/>
              </w:rPr>
              <w:t>minimis</w:t>
            </w:r>
            <w:proofErr w:type="spellEnd"/>
            <w:r w:rsidRPr="00E04790">
              <w:rPr>
                <w:rFonts w:eastAsia="Times New Roman"/>
                <w:sz w:val="26"/>
                <w:szCs w:val="26"/>
                <w:lang w:val="lv-LV"/>
              </w:rPr>
              <w:t xml:space="preserve"> atbalstam (turpmāk - Regula Nr. 1407/2013)</w:t>
            </w:r>
            <w:r w:rsidR="005A24AE" w:rsidRPr="00E04790">
              <w:rPr>
                <w:rFonts w:eastAsia="Times New Roman"/>
                <w:sz w:val="26"/>
                <w:szCs w:val="26"/>
                <w:lang w:val="lv-LV"/>
              </w:rPr>
              <w:t xml:space="preserve"> prasības</w:t>
            </w:r>
            <w:r w:rsidR="00B72633" w:rsidRPr="00E04790">
              <w:rPr>
                <w:rFonts w:eastAsia="Times New Roman"/>
                <w:sz w:val="26"/>
                <w:szCs w:val="26"/>
                <w:lang w:val="lv-LV"/>
              </w:rPr>
              <w:t>.</w:t>
            </w:r>
          </w:p>
          <w:p w14:paraId="7E1D7A15" w14:textId="196A0F18" w:rsidR="00AF163D" w:rsidRPr="00E04790" w:rsidRDefault="00AF163D" w:rsidP="005A24AE">
            <w:pPr>
              <w:jc w:val="both"/>
              <w:rPr>
                <w:rFonts w:eastAsia="Times New Roman"/>
                <w:sz w:val="26"/>
                <w:szCs w:val="26"/>
                <w:lang w:val="lv-LV"/>
              </w:rPr>
            </w:pPr>
          </w:p>
        </w:tc>
      </w:tr>
      <w:tr w:rsidR="00AF163D" w:rsidRPr="00E04790" w14:paraId="1699AE10" w14:textId="77777777" w:rsidTr="0010549D">
        <w:tc>
          <w:tcPr>
            <w:tcW w:w="123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25BEA11C" w14:textId="77777777" w:rsidR="00AF163D" w:rsidRPr="00E04790" w:rsidRDefault="00AF163D" w:rsidP="0010549D">
            <w:pPr>
              <w:spacing w:before="100" w:beforeAutospacing="1" w:after="100" w:afterAutospacing="1" w:line="293" w:lineRule="atLeast"/>
              <w:jc w:val="center"/>
              <w:rPr>
                <w:rFonts w:eastAsia="Times New Roman"/>
                <w:color w:val="414142"/>
                <w:sz w:val="26"/>
                <w:szCs w:val="26"/>
                <w:lang w:val="lv-LV" w:eastAsia="lv-LV"/>
              </w:rPr>
            </w:pPr>
            <w:r w:rsidRPr="00E04790">
              <w:rPr>
                <w:rFonts w:eastAsia="Times New Roman"/>
                <w:color w:val="414142"/>
                <w:sz w:val="26"/>
                <w:szCs w:val="26"/>
                <w:lang w:val="lv-LV" w:eastAsia="lv-LV"/>
              </w:rPr>
              <w:t>A</w:t>
            </w:r>
          </w:p>
        </w:tc>
        <w:tc>
          <w:tcPr>
            <w:tcW w:w="123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D376486" w14:textId="77777777" w:rsidR="00AF163D" w:rsidRPr="00E04790" w:rsidRDefault="00AF163D" w:rsidP="0010549D">
            <w:pPr>
              <w:spacing w:before="100" w:beforeAutospacing="1" w:after="100" w:afterAutospacing="1" w:line="293" w:lineRule="atLeast"/>
              <w:jc w:val="center"/>
              <w:rPr>
                <w:rFonts w:eastAsia="Times New Roman"/>
                <w:color w:val="414142"/>
                <w:sz w:val="26"/>
                <w:szCs w:val="26"/>
                <w:lang w:val="lv-LV" w:eastAsia="lv-LV"/>
              </w:rPr>
            </w:pPr>
            <w:r w:rsidRPr="00E04790">
              <w:rPr>
                <w:rFonts w:eastAsia="Times New Roman"/>
                <w:color w:val="414142"/>
                <w:sz w:val="26"/>
                <w:szCs w:val="26"/>
                <w:lang w:val="lv-LV" w:eastAsia="lv-LV"/>
              </w:rPr>
              <w:t>B</w:t>
            </w:r>
          </w:p>
        </w:tc>
        <w:tc>
          <w:tcPr>
            <w:tcW w:w="1078"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711828BE" w14:textId="77777777" w:rsidR="00AF163D" w:rsidRPr="00E04790" w:rsidRDefault="00AF163D" w:rsidP="0010549D">
            <w:pPr>
              <w:spacing w:before="100" w:beforeAutospacing="1" w:after="100" w:afterAutospacing="1" w:line="293" w:lineRule="atLeast"/>
              <w:jc w:val="center"/>
              <w:rPr>
                <w:rFonts w:eastAsia="Times New Roman"/>
                <w:color w:val="414142"/>
                <w:sz w:val="26"/>
                <w:szCs w:val="26"/>
                <w:lang w:val="lv-LV" w:eastAsia="lv-LV"/>
              </w:rPr>
            </w:pPr>
            <w:r w:rsidRPr="00E04790">
              <w:rPr>
                <w:rFonts w:eastAsia="Times New Roman"/>
                <w:color w:val="414142"/>
                <w:sz w:val="26"/>
                <w:szCs w:val="26"/>
                <w:lang w:val="lv-LV" w:eastAsia="lv-LV"/>
              </w:rPr>
              <w:t>C</w:t>
            </w:r>
          </w:p>
        </w:tc>
        <w:tc>
          <w:tcPr>
            <w:tcW w:w="1462"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46DFE67A" w14:textId="77777777" w:rsidR="00AF163D" w:rsidRPr="00E04790" w:rsidRDefault="00AF163D" w:rsidP="0010549D">
            <w:pPr>
              <w:spacing w:before="100" w:beforeAutospacing="1" w:after="100" w:afterAutospacing="1" w:line="293" w:lineRule="atLeast"/>
              <w:jc w:val="center"/>
              <w:rPr>
                <w:rFonts w:eastAsia="Times New Roman"/>
                <w:color w:val="414142"/>
                <w:sz w:val="26"/>
                <w:szCs w:val="26"/>
                <w:lang w:val="lv-LV" w:eastAsia="lv-LV"/>
              </w:rPr>
            </w:pPr>
            <w:r w:rsidRPr="00E04790">
              <w:rPr>
                <w:rFonts w:eastAsia="Times New Roman"/>
                <w:color w:val="414142"/>
                <w:sz w:val="26"/>
                <w:szCs w:val="26"/>
                <w:lang w:val="lv-LV" w:eastAsia="lv-LV"/>
              </w:rPr>
              <w:t>D</w:t>
            </w:r>
          </w:p>
        </w:tc>
      </w:tr>
      <w:tr w:rsidR="00AF163D" w:rsidRPr="00E04790" w14:paraId="4AA38045" w14:textId="77777777" w:rsidTr="0010549D">
        <w:tc>
          <w:tcPr>
            <w:tcW w:w="1230" w:type="pct"/>
            <w:tcBorders>
              <w:top w:val="single" w:sz="4" w:space="0" w:color="auto"/>
              <w:left w:val="single" w:sz="4" w:space="0" w:color="auto"/>
              <w:bottom w:val="single" w:sz="4" w:space="0" w:color="auto"/>
              <w:right w:val="single" w:sz="4" w:space="0" w:color="auto"/>
            </w:tcBorders>
            <w:shd w:val="clear" w:color="auto" w:fill="auto"/>
          </w:tcPr>
          <w:p w14:paraId="7C9D7B16" w14:textId="6FEF9708" w:rsidR="00AF163D" w:rsidRPr="00E04790" w:rsidRDefault="00AF163D" w:rsidP="0010549D">
            <w:pPr>
              <w:rPr>
                <w:i/>
                <w:color w:val="000000"/>
                <w:sz w:val="26"/>
                <w:szCs w:val="26"/>
              </w:rPr>
            </w:pPr>
            <w:proofErr w:type="spellStart"/>
            <w:r w:rsidRPr="00E04790">
              <w:rPr>
                <w:i/>
                <w:color w:val="000000"/>
                <w:sz w:val="26"/>
                <w:szCs w:val="26"/>
              </w:rPr>
              <w:t>Regulas</w:t>
            </w:r>
            <w:proofErr w:type="spellEnd"/>
            <w:r w:rsidRPr="00E04790">
              <w:rPr>
                <w:i/>
                <w:color w:val="000000"/>
                <w:sz w:val="26"/>
                <w:szCs w:val="26"/>
              </w:rPr>
              <w:t xml:space="preserve"> Nr.1407/2013 </w:t>
            </w:r>
            <w:proofErr w:type="gramStart"/>
            <w:r w:rsidRPr="00E04790">
              <w:rPr>
                <w:i/>
                <w:color w:val="000000"/>
                <w:sz w:val="26"/>
                <w:szCs w:val="26"/>
              </w:rPr>
              <w:t>4.panta</w:t>
            </w:r>
            <w:proofErr w:type="gramEnd"/>
            <w:r w:rsidRPr="00E04790">
              <w:rPr>
                <w:i/>
                <w:color w:val="000000"/>
                <w:sz w:val="26"/>
                <w:szCs w:val="26"/>
              </w:rPr>
              <w:t xml:space="preserve"> 6.punkts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087F068" w14:textId="06D8B639" w:rsidR="00AF163D" w:rsidRPr="00E04790" w:rsidRDefault="00AF163D" w:rsidP="0010549D">
            <w:pPr>
              <w:rPr>
                <w:iCs/>
                <w:color w:val="000000"/>
                <w:sz w:val="26"/>
                <w:szCs w:val="26"/>
              </w:rPr>
            </w:pPr>
            <w:proofErr w:type="spellStart"/>
            <w:r w:rsidRPr="00E04790">
              <w:rPr>
                <w:iCs/>
                <w:color w:val="000000"/>
                <w:sz w:val="26"/>
                <w:szCs w:val="26"/>
              </w:rPr>
              <w:t>Noteikumu</w:t>
            </w:r>
            <w:proofErr w:type="spellEnd"/>
            <w:r w:rsidRPr="00E04790">
              <w:rPr>
                <w:iCs/>
                <w:color w:val="000000"/>
                <w:sz w:val="26"/>
                <w:szCs w:val="26"/>
              </w:rPr>
              <w:t xml:space="preserve"> </w:t>
            </w:r>
            <w:proofErr w:type="spellStart"/>
            <w:r w:rsidRPr="00E04790">
              <w:rPr>
                <w:iCs/>
                <w:color w:val="000000"/>
                <w:sz w:val="26"/>
                <w:szCs w:val="26"/>
              </w:rPr>
              <w:t>projekta</w:t>
            </w:r>
            <w:proofErr w:type="spellEnd"/>
            <w:r w:rsidRPr="00E04790">
              <w:rPr>
                <w:iCs/>
                <w:color w:val="000000"/>
                <w:sz w:val="26"/>
                <w:szCs w:val="26"/>
              </w:rPr>
              <w:t xml:space="preserve"> </w:t>
            </w:r>
            <w:proofErr w:type="gramStart"/>
            <w:r w:rsidR="0073543C" w:rsidRPr="00E04790">
              <w:rPr>
                <w:iCs/>
                <w:color w:val="000000"/>
                <w:sz w:val="26"/>
                <w:szCs w:val="26"/>
              </w:rPr>
              <w:t>2</w:t>
            </w:r>
            <w:r w:rsidRPr="00E04790">
              <w:rPr>
                <w:iCs/>
                <w:color w:val="000000"/>
                <w:sz w:val="26"/>
                <w:szCs w:val="26"/>
              </w:rPr>
              <w:t>.punkts</w:t>
            </w:r>
            <w:proofErr w:type="gramEnd"/>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3A1E9189" w14:textId="77777777" w:rsidR="00AF163D" w:rsidRPr="00E04790" w:rsidRDefault="00AF163D" w:rsidP="0010549D">
            <w:pPr>
              <w:rPr>
                <w:iCs/>
                <w:color w:val="000000"/>
                <w:sz w:val="26"/>
                <w:szCs w:val="26"/>
              </w:rPr>
            </w:pPr>
            <w:proofErr w:type="spellStart"/>
            <w:r w:rsidRPr="00E04790">
              <w:rPr>
                <w:iCs/>
                <w:color w:val="000000"/>
                <w:sz w:val="26"/>
                <w:szCs w:val="26"/>
              </w:rPr>
              <w:t>Ieviests</w:t>
            </w:r>
            <w:proofErr w:type="spellEnd"/>
            <w:r w:rsidRPr="00E04790">
              <w:rPr>
                <w:iCs/>
                <w:color w:val="000000"/>
                <w:sz w:val="26"/>
                <w:szCs w:val="26"/>
              </w:rPr>
              <w:t xml:space="preserve"> </w:t>
            </w:r>
            <w:proofErr w:type="spellStart"/>
            <w:r w:rsidRPr="00E04790">
              <w:rPr>
                <w:iCs/>
                <w:color w:val="000000"/>
                <w:sz w:val="26"/>
                <w:szCs w:val="26"/>
              </w:rPr>
              <w:t>pilnībā</w:t>
            </w:r>
            <w:proofErr w:type="spellEnd"/>
          </w:p>
        </w:tc>
        <w:tc>
          <w:tcPr>
            <w:tcW w:w="1462" w:type="pct"/>
            <w:tcBorders>
              <w:top w:val="single" w:sz="4" w:space="0" w:color="auto"/>
              <w:left w:val="single" w:sz="4" w:space="0" w:color="auto"/>
              <w:bottom w:val="single" w:sz="4" w:space="0" w:color="auto"/>
              <w:right w:val="single" w:sz="4" w:space="0" w:color="auto"/>
            </w:tcBorders>
            <w:shd w:val="clear" w:color="auto" w:fill="auto"/>
          </w:tcPr>
          <w:p w14:paraId="41C200BF" w14:textId="77777777" w:rsidR="00AF163D" w:rsidRPr="00E04790" w:rsidRDefault="00AF163D" w:rsidP="0010549D">
            <w:pPr>
              <w:rPr>
                <w:iCs/>
                <w:color w:val="000000"/>
                <w:sz w:val="26"/>
                <w:szCs w:val="26"/>
              </w:rPr>
            </w:pPr>
            <w:proofErr w:type="spellStart"/>
            <w:r w:rsidRPr="00E04790">
              <w:rPr>
                <w:iCs/>
                <w:color w:val="000000"/>
                <w:sz w:val="26"/>
                <w:szCs w:val="26"/>
              </w:rPr>
              <w:t>Neparedz</w:t>
            </w:r>
            <w:proofErr w:type="spellEnd"/>
            <w:r w:rsidRPr="00E04790">
              <w:rPr>
                <w:iCs/>
                <w:color w:val="000000"/>
                <w:sz w:val="26"/>
                <w:szCs w:val="26"/>
              </w:rPr>
              <w:t xml:space="preserve"> </w:t>
            </w:r>
            <w:proofErr w:type="spellStart"/>
            <w:r w:rsidRPr="00E04790">
              <w:rPr>
                <w:iCs/>
                <w:color w:val="000000"/>
                <w:sz w:val="26"/>
                <w:szCs w:val="26"/>
              </w:rPr>
              <w:t>stingrākas</w:t>
            </w:r>
            <w:proofErr w:type="spellEnd"/>
            <w:r w:rsidRPr="00E04790">
              <w:rPr>
                <w:iCs/>
                <w:color w:val="000000"/>
                <w:sz w:val="26"/>
                <w:szCs w:val="26"/>
              </w:rPr>
              <w:t xml:space="preserve"> </w:t>
            </w:r>
            <w:proofErr w:type="spellStart"/>
            <w:r w:rsidRPr="00E04790">
              <w:rPr>
                <w:iCs/>
                <w:color w:val="000000"/>
                <w:sz w:val="26"/>
                <w:szCs w:val="26"/>
              </w:rPr>
              <w:t>prasības</w:t>
            </w:r>
            <w:proofErr w:type="spellEnd"/>
          </w:p>
        </w:tc>
      </w:tr>
      <w:tr w:rsidR="00AF163D" w:rsidRPr="00E04790" w14:paraId="2115FFB2" w14:textId="77777777" w:rsidTr="0010549D">
        <w:tc>
          <w:tcPr>
            <w:tcW w:w="1230" w:type="pct"/>
            <w:tcBorders>
              <w:top w:val="single" w:sz="4" w:space="0" w:color="auto"/>
              <w:left w:val="outset" w:sz="6" w:space="0" w:color="414142"/>
              <w:bottom w:val="outset" w:sz="6" w:space="0" w:color="414142"/>
              <w:right w:val="outset" w:sz="6" w:space="0" w:color="414142"/>
            </w:tcBorders>
            <w:shd w:val="clear" w:color="auto" w:fill="FFFFFF"/>
            <w:hideMark/>
          </w:tcPr>
          <w:p w14:paraId="3055DDB5" w14:textId="77777777" w:rsidR="00AF163D" w:rsidRPr="00E04790" w:rsidRDefault="00AF163D" w:rsidP="0010549D">
            <w:pPr>
              <w:rPr>
                <w:rFonts w:eastAsia="Times New Roman"/>
                <w:sz w:val="26"/>
                <w:szCs w:val="26"/>
                <w:lang w:val="lv-LV" w:eastAsia="lv-LV"/>
              </w:rPr>
            </w:pPr>
            <w:r w:rsidRPr="00E04790">
              <w:rPr>
                <w:rFonts w:eastAsia="Times New Roman"/>
                <w:sz w:val="26"/>
                <w:szCs w:val="26"/>
                <w:lang w:val="lv-LV" w:eastAsia="lv-LV"/>
              </w:rPr>
              <w:t>Kā ir izmantota ES tiesību aktā paredzētā rīcības brīvība dalībvalstij pārņemt vai ieviest noteiktas ES tiesību akta normas? Kādēļ?</w:t>
            </w:r>
          </w:p>
        </w:tc>
        <w:tc>
          <w:tcPr>
            <w:tcW w:w="3770" w:type="pct"/>
            <w:gridSpan w:val="3"/>
            <w:tcBorders>
              <w:top w:val="single" w:sz="4" w:space="0" w:color="auto"/>
              <w:left w:val="single" w:sz="4" w:space="0" w:color="auto"/>
              <w:bottom w:val="single" w:sz="4" w:space="0" w:color="auto"/>
              <w:right w:val="single" w:sz="4" w:space="0" w:color="auto"/>
            </w:tcBorders>
            <w:hideMark/>
          </w:tcPr>
          <w:p w14:paraId="69273B2C" w14:textId="77777777" w:rsidR="00AF163D" w:rsidRPr="00E04790" w:rsidRDefault="00AF163D" w:rsidP="0010549D">
            <w:pPr>
              <w:rPr>
                <w:rFonts w:eastAsia="Times New Roman"/>
                <w:sz w:val="26"/>
                <w:szCs w:val="26"/>
                <w:lang w:val="lv-LV" w:eastAsia="lv-LV"/>
              </w:rPr>
            </w:pPr>
            <w:r w:rsidRPr="00E04790">
              <w:rPr>
                <w:rFonts w:eastAsia="Times New Roman"/>
                <w:sz w:val="26"/>
                <w:szCs w:val="26"/>
                <w:lang w:val="lv-LV"/>
              </w:rPr>
              <w:t>Projekts šo jomu neskar.</w:t>
            </w:r>
          </w:p>
        </w:tc>
      </w:tr>
      <w:tr w:rsidR="00AF163D" w:rsidRPr="00E04790" w14:paraId="13F98B44" w14:textId="77777777" w:rsidTr="0010549D">
        <w:tc>
          <w:tcPr>
            <w:tcW w:w="1230" w:type="pct"/>
            <w:tcBorders>
              <w:top w:val="outset" w:sz="6" w:space="0" w:color="414142"/>
              <w:left w:val="outset" w:sz="6" w:space="0" w:color="414142"/>
              <w:bottom w:val="outset" w:sz="6" w:space="0" w:color="414142"/>
              <w:right w:val="outset" w:sz="6" w:space="0" w:color="414142"/>
            </w:tcBorders>
            <w:shd w:val="clear" w:color="auto" w:fill="FFFFFF"/>
            <w:hideMark/>
          </w:tcPr>
          <w:p w14:paraId="63FF1B0A" w14:textId="77777777" w:rsidR="00AF163D" w:rsidRPr="00E04790" w:rsidRDefault="00AF163D" w:rsidP="0010549D">
            <w:pPr>
              <w:rPr>
                <w:rFonts w:eastAsia="Times New Roman"/>
                <w:sz w:val="26"/>
                <w:szCs w:val="26"/>
                <w:lang w:val="lv-LV" w:eastAsia="lv-LV"/>
              </w:rPr>
            </w:pPr>
            <w:r w:rsidRPr="00E04790">
              <w:rPr>
                <w:rFonts w:eastAsia="Times New Roman"/>
                <w:sz w:val="26"/>
                <w:szCs w:val="26"/>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70" w:type="pct"/>
            <w:gridSpan w:val="3"/>
            <w:tcBorders>
              <w:top w:val="single" w:sz="4" w:space="0" w:color="auto"/>
              <w:left w:val="single" w:sz="4" w:space="0" w:color="auto"/>
              <w:bottom w:val="single" w:sz="4" w:space="0" w:color="auto"/>
              <w:right w:val="single" w:sz="4" w:space="0" w:color="auto"/>
            </w:tcBorders>
            <w:hideMark/>
          </w:tcPr>
          <w:p w14:paraId="4CBD447F" w14:textId="77777777" w:rsidR="00AF163D" w:rsidRPr="00E04790" w:rsidRDefault="00AF163D" w:rsidP="0010549D">
            <w:pPr>
              <w:rPr>
                <w:rFonts w:eastAsia="Times New Roman"/>
                <w:sz w:val="26"/>
                <w:szCs w:val="26"/>
                <w:lang w:val="lv-LV" w:eastAsia="lv-LV"/>
              </w:rPr>
            </w:pPr>
            <w:r w:rsidRPr="00E04790">
              <w:rPr>
                <w:rFonts w:eastAsia="Times New Roman"/>
                <w:sz w:val="26"/>
                <w:szCs w:val="26"/>
                <w:lang w:val="lv-LV"/>
              </w:rPr>
              <w:t>Projekts šo jomu neskar.</w:t>
            </w:r>
          </w:p>
        </w:tc>
      </w:tr>
      <w:tr w:rsidR="00AF163D" w:rsidRPr="00E04790" w14:paraId="34A5AC7D" w14:textId="77777777" w:rsidTr="0010549D">
        <w:tc>
          <w:tcPr>
            <w:tcW w:w="1230" w:type="pct"/>
            <w:tcBorders>
              <w:top w:val="outset" w:sz="6" w:space="0" w:color="414142"/>
              <w:left w:val="outset" w:sz="6" w:space="0" w:color="414142"/>
              <w:bottom w:val="outset" w:sz="6" w:space="0" w:color="414142"/>
              <w:right w:val="outset" w:sz="6" w:space="0" w:color="414142"/>
            </w:tcBorders>
            <w:shd w:val="clear" w:color="auto" w:fill="FFFFFF"/>
            <w:hideMark/>
          </w:tcPr>
          <w:p w14:paraId="67605BFC" w14:textId="77777777" w:rsidR="00AF163D" w:rsidRPr="00E04790" w:rsidRDefault="00AF163D" w:rsidP="0010549D">
            <w:pPr>
              <w:rPr>
                <w:rFonts w:eastAsia="Times New Roman"/>
                <w:sz w:val="26"/>
                <w:szCs w:val="26"/>
                <w:lang w:val="lv-LV" w:eastAsia="lv-LV"/>
              </w:rPr>
            </w:pPr>
            <w:r w:rsidRPr="00E04790">
              <w:rPr>
                <w:rFonts w:eastAsia="Times New Roman"/>
                <w:sz w:val="26"/>
                <w:szCs w:val="26"/>
                <w:lang w:val="lv-LV" w:eastAsia="lv-LV"/>
              </w:rPr>
              <w:t>Cita informācija</w:t>
            </w:r>
          </w:p>
        </w:tc>
        <w:tc>
          <w:tcPr>
            <w:tcW w:w="3770" w:type="pct"/>
            <w:gridSpan w:val="3"/>
            <w:tcBorders>
              <w:top w:val="single" w:sz="4" w:space="0" w:color="auto"/>
              <w:left w:val="single" w:sz="4" w:space="0" w:color="auto"/>
              <w:bottom w:val="single" w:sz="4" w:space="0" w:color="auto"/>
              <w:right w:val="single" w:sz="4" w:space="0" w:color="auto"/>
            </w:tcBorders>
            <w:hideMark/>
          </w:tcPr>
          <w:p w14:paraId="76B5B9CC" w14:textId="77777777" w:rsidR="00AF163D" w:rsidRPr="00E04790" w:rsidRDefault="00AF163D" w:rsidP="0010549D">
            <w:pPr>
              <w:rPr>
                <w:rFonts w:eastAsia="Times New Roman"/>
                <w:sz w:val="26"/>
                <w:szCs w:val="26"/>
                <w:lang w:val="lv-LV" w:eastAsia="lv-LV"/>
              </w:rPr>
            </w:pPr>
            <w:r w:rsidRPr="00E04790">
              <w:rPr>
                <w:sz w:val="26"/>
                <w:szCs w:val="26"/>
                <w:lang w:val="lv-LV"/>
              </w:rPr>
              <w:t>Nav.</w:t>
            </w:r>
          </w:p>
        </w:tc>
      </w:tr>
    </w:tbl>
    <w:p w14:paraId="1849AC10" w14:textId="5D5A8DA5" w:rsidR="00A5551D" w:rsidRPr="00E04790" w:rsidRDefault="00A5551D" w:rsidP="00370711">
      <w:pPr>
        <w:contextualSpacing/>
        <w:rPr>
          <w:sz w:val="26"/>
          <w:szCs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234"/>
      </w:tblGrid>
      <w:tr w:rsidR="006F4B13" w:rsidRPr="00DD1A4B" w14:paraId="7EEC0F00" w14:textId="77777777" w:rsidTr="006C5DED">
        <w:trPr>
          <w:trHeight w:val="421"/>
        </w:trPr>
        <w:tc>
          <w:tcPr>
            <w:tcW w:w="9211" w:type="dxa"/>
            <w:gridSpan w:val="3"/>
            <w:tcBorders>
              <w:top w:val="single" w:sz="2" w:space="0" w:color="auto"/>
            </w:tcBorders>
            <w:vAlign w:val="center"/>
          </w:tcPr>
          <w:p w14:paraId="7BCCE7F8" w14:textId="77777777" w:rsidR="006F4B13" w:rsidRPr="00E04790" w:rsidRDefault="006F4B13" w:rsidP="00370711">
            <w:pPr>
              <w:ind w:left="57" w:right="57"/>
              <w:contextualSpacing/>
              <w:jc w:val="center"/>
              <w:rPr>
                <w:rFonts w:eastAsia="Times New Roman"/>
                <w:sz w:val="26"/>
                <w:szCs w:val="26"/>
                <w:lang w:val="lv-LV"/>
              </w:rPr>
            </w:pPr>
            <w:r w:rsidRPr="00E04790">
              <w:rPr>
                <w:rFonts w:eastAsia="Times New Roman"/>
                <w:b/>
                <w:sz w:val="26"/>
                <w:szCs w:val="26"/>
                <w:lang w:val="lv-LV"/>
              </w:rPr>
              <w:t>VI. Sabiedrības līdzdalība un komunikācijas aktivitātes</w:t>
            </w:r>
          </w:p>
        </w:tc>
      </w:tr>
      <w:tr w:rsidR="006F4B13" w:rsidRPr="00DD1A4B" w14:paraId="6FEF54FD" w14:textId="77777777" w:rsidTr="00E50D80">
        <w:trPr>
          <w:trHeight w:val="553"/>
        </w:trPr>
        <w:tc>
          <w:tcPr>
            <w:tcW w:w="312" w:type="dxa"/>
          </w:tcPr>
          <w:p w14:paraId="41086138" w14:textId="77777777" w:rsidR="006F4B13" w:rsidRPr="00E04790" w:rsidRDefault="006F4B13" w:rsidP="00370711">
            <w:pPr>
              <w:ind w:left="57" w:right="57"/>
              <w:contextualSpacing/>
              <w:jc w:val="both"/>
              <w:rPr>
                <w:sz w:val="26"/>
                <w:szCs w:val="26"/>
                <w:lang w:val="lv-LV"/>
              </w:rPr>
            </w:pPr>
            <w:r w:rsidRPr="00E04790">
              <w:rPr>
                <w:sz w:val="26"/>
                <w:szCs w:val="26"/>
                <w:lang w:val="lv-LV"/>
              </w:rPr>
              <w:t>1.</w:t>
            </w:r>
          </w:p>
        </w:tc>
        <w:tc>
          <w:tcPr>
            <w:tcW w:w="2665" w:type="dxa"/>
          </w:tcPr>
          <w:p w14:paraId="798682AC" w14:textId="77777777" w:rsidR="006F4B13" w:rsidRPr="00E04790" w:rsidRDefault="006F4B13" w:rsidP="00370711">
            <w:pPr>
              <w:tabs>
                <w:tab w:val="left" w:pos="170"/>
              </w:tabs>
              <w:ind w:left="57" w:right="57"/>
              <w:contextualSpacing/>
              <w:rPr>
                <w:rFonts w:eastAsia="PMingLiU"/>
                <w:sz w:val="26"/>
                <w:szCs w:val="26"/>
                <w:lang w:val="lv-LV" w:eastAsia="ja-JP"/>
              </w:rPr>
            </w:pPr>
            <w:r w:rsidRPr="00E04790">
              <w:rPr>
                <w:rFonts w:eastAsia="PMingLiU"/>
                <w:sz w:val="26"/>
                <w:szCs w:val="26"/>
                <w:lang w:val="lv-LV" w:eastAsia="ja-JP"/>
              </w:rPr>
              <w:t>Plānotās sabiedrības līdzdalības un komunikācijas aktivitātes saistībā ar projektu</w:t>
            </w:r>
          </w:p>
        </w:tc>
        <w:tc>
          <w:tcPr>
            <w:tcW w:w="6234" w:type="dxa"/>
          </w:tcPr>
          <w:p w14:paraId="17156FC5" w14:textId="13189A6F" w:rsidR="00CB30D1" w:rsidRPr="00E04790" w:rsidRDefault="00CB30D1" w:rsidP="00CB30D1">
            <w:pPr>
              <w:ind w:right="113"/>
              <w:contextualSpacing/>
              <w:jc w:val="both"/>
              <w:rPr>
                <w:rFonts w:eastAsia="PMingLiU"/>
                <w:sz w:val="26"/>
                <w:szCs w:val="26"/>
                <w:lang w:val="lv-LV" w:eastAsia="ja-JP"/>
              </w:rPr>
            </w:pPr>
            <w:r w:rsidRPr="00E04790">
              <w:rPr>
                <w:rFonts w:eastAsia="PMingLiU"/>
                <w:sz w:val="26"/>
                <w:szCs w:val="26"/>
                <w:lang w:val="lv-LV" w:eastAsia="ja-JP"/>
              </w:rPr>
              <w:t xml:space="preserve">Sabiedrības līdzdalība tiek nodrošināta, </w:t>
            </w:r>
            <w:r w:rsidR="00532B39" w:rsidRPr="00E04790">
              <w:rPr>
                <w:rFonts w:eastAsia="PMingLiU"/>
                <w:sz w:val="26"/>
                <w:szCs w:val="26"/>
                <w:lang w:val="lv-LV" w:eastAsia="ja-JP"/>
              </w:rPr>
              <w:t xml:space="preserve">no 2020.gada 19.oktobra līdz 2.novembrim </w:t>
            </w:r>
            <w:r w:rsidRPr="00E04790">
              <w:rPr>
                <w:rFonts w:eastAsia="PMingLiU"/>
                <w:sz w:val="26"/>
                <w:szCs w:val="26"/>
                <w:lang w:val="lv-LV" w:eastAsia="ja-JP"/>
              </w:rPr>
              <w:t xml:space="preserve">ievietojot projektu Ekonomikas ministrijas </w:t>
            </w:r>
            <w:r w:rsidRPr="00E04790">
              <w:rPr>
                <w:rFonts w:eastAsia="Times New Roman"/>
                <w:iCs/>
                <w:sz w:val="26"/>
                <w:szCs w:val="26"/>
                <w:lang w:val="lv-LV"/>
              </w:rPr>
              <w:t xml:space="preserve">un Ministru kabineta </w:t>
            </w:r>
            <w:r w:rsidR="00532B39" w:rsidRPr="00E04790">
              <w:rPr>
                <w:rFonts w:eastAsia="PMingLiU"/>
                <w:sz w:val="26"/>
                <w:szCs w:val="26"/>
                <w:lang w:val="lv-LV" w:eastAsia="ja-JP"/>
              </w:rPr>
              <w:t>tīmekļa vietnē</w:t>
            </w:r>
            <w:r w:rsidRPr="00E04790">
              <w:rPr>
                <w:rFonts w:eastAsia="PMingLiU"/>
                <w:sz w:val="26"/>
                <w:szCs w:val="26"/>
                <w:lang w:val="lv-LV" w:eastAsia="ja-JP"/>
              </w:rPr>
              <w:t xml:space="preserve"> sabiedriskajai apspriešanai.</w:t>
            </w:r>
          </w:p>
          <w:p w14:paraId="384FFED0" w14:textId="06B22824" w:rsidR="00D27E4D" w:rsidRPr="00E04790" w:rsidRDefault="00D27E4D" w:rsidP="00D27E4D">
            <w:pPr>
              <w:shd w:val="clear" w:color="auto" w:fill="FFFFFF"/>
              <w:ind w:right="113"/>
              <w:contextualSpacing/>
              <w:jc w:val="both"/>
              <w:rPr>
                <w:rFonts w:eastAsia="PMingLiU"/>
                <w:sz w:val="26"/>
                <w:szCs w:val="26"/>
                <w:highlight w:val="yellow"/>
                <w:lang w:val="lv-LV" w:eastAsia="ja-JP"/>
              </w:rPr>
            </w:pPr>
          </w:p>
        </w:tc>
      </w:tr>
      <w:tr w:rsidR="006F4B13" w:rsidRPr="00DD1A4B" w14:paraId="3F5FD1CD" w14:textId="77777777" w:rsidTr="00E50D80">
        <w:trPr>
          <w:trHeight w:val="339"/>
        </w:trPr>
        <w:tc>
          <w:tcPr>
            <w:tcW w:w="312" w:type="dxa"/>
          </w:tcPr>
          <w:p w14:paraId="4B9C6F89" w14:textId="77777777" w:rsidR="006F4B13" w:rsidRPr="00E04790" w:rsidRDefault="006F4B13" w:rsidP="00370711">
            <w:pPr>
              <w:ind w:left="57" w:right="57"/>
              <w:contextualSpacing/>
              <w:jc w:val="both"/>
              <w:rPr>
                <w:sz w:val="26"/>
                <w:szCs w:val="26"/>
                <w:lang w:val="lv-LV"/>
              </w:rPr>
            </w:pPr>
            <w:r w:rsidRPr="00E04790">
              <w:rPr>
                <w:sz w:val="26"/>
                <w:szCs w:val="26"/>
                <w:lang w:val="lv-LV"/>
              </w:rPr>
              <w:t>2.</w:t>
            </w:r>
          </w:p>
        </w:tc>
        <w:tc>
          <w:tcPr>
            <w:tcW w:w="2665" w:type="dxa"/>
          </w:tcPr>
          <w:p w14:paraId="4B6FBDE6" w14:textId="77777777" w:rsidR="006F4B13" w:rsidRPr="00E04790" w:rsidRDefault="006F4B13" w:rsidP="00370711">
            <w:pPr>
              <w:ind w:left="57" w:right="57"/>
              <w:contextualSpacing/>
              <w:rPr>
                <w:rFonts w:eastAsia="PMingLiU"/>
                <w:sz w:val="26"/>
                <w:szCs w:val="26"/>
                <w:lang w:val="lv-LV" w:eastAsia="ja-JP"/>
              </w:rPr>
            </w:pPr>
            <w:r w:rsidRPr="00E04790">
              <w:rPr>
                <w:rFonts w:eastAsia="PMingLiU"/>
                <w:sz w:val="26"/>
                <w:szCs w:val="26"/>
                <w:lang w:val="lv-LV" w:eastAsia="ja-JP"/>
              </w:rPr>
              <w:t>Sabiedrības līdzdalība projekta izstrādē</w:t>
            </w:r>
          </w:p>
        </w:tc>
        <w:tc>
          <w:tcPr>
            <w:tcW w:w="6234" w:type="dxa"/>
          </w:tcPr>
          <w:p w14:paraId="022F5EF9" w14:textId="720B49BA" w:rsidR="006F4B13" w:rsidRPr="00E04790" w:rsidRDefault="003A4F11" w:rsidP="00A82313">
            <w:pPr>
              <w:shd w:val="clear" w:color="auto" w:fill="FFFFFF"/>
              <w:ind w:left="57" w:right="113"/>
              <w:contextualSpacing/>
              <w:jc w:val="both"/>
              <w:rPr>
                <w:rFonts w:eastAsia="PMingLiU"/>
                <w:sz w:val="26"/>
                <w:szCs w:val="26"/>
                <w:lang w:val="lv-LV" w:eastAsia="ja-JP"/>
              </w:rPr>
            </w:pPr>
            <w:r w:rsidRPr="00E04790">
              <w:rPr>
                <w:rFonts w:eastAsia="PMingLiU"/>
                <w:sz w:val="26"/>
                <w:szCs w:val="26"/>
                <w:lang w:val="lv-LV" w:eastAsia="ja-JP"/>
              </w:rPr>
              <w:t>Noteikumos ietvertie nosacījumi ir pārrunāti ar Finanšu nozares asociāciju un tūrisma nozares pārstāvjiem.</w:t>
            </w:r>
          </w:p>
          <w:p w14:paraId="361864EC" w14:textId="47C77B87" w:rsidR="00446AAB" w:rsidRPr="00E04790" w:rsidRDefault="00446AAB" w:rsidP="00A82313">
            <w:pPr>
              <w:shd w:val="clear" w:color="auto" w:fill="FFFFFF"/>
              <w:ind w:left="57" w:right="113"/>
              <w:contextualSpacing/>
              <w:jc w:val="both"/>
              <w:rPr>
                <w:rFonts w:eastAsia="PMingLiU"/>
                <w:sz w:val="26"/>
                <w:szCs w:val="26"/>
                <w:lang w:val="lv-LV" w:eastAsia="ja-JP"/>
              </w:rPr>
            </w:pPr>
            <w:r w:rsidRPr="00E04790">
              <w:rPr>
                <w:rFonts w:eastAsia="PMingLiU"/>
                <w:sz w:val="26"/>
                <w:szCs w:val="26"/>
                <w:lang w:val="lv-LV" w:eastAsia="ja-JP"/>
              </w:rPr>
              <w:t xml:space="preserve">Nosacījumi par papildus 2 milj. EUR finansējumu lielajiem saimnieciskās darbības veicējiem ir </w:t>
            </w:r>
            <w:r w:rsidR="0082067D" w:rsidRPr="00E04790">
              <w:rPr>
                <w:rFonts w:eastAsia="PMingLiU"/>
                <w:sz w:val="26"/>
                <w:szCs w:val="26"/>
                <w:lang w:val="lv-LV" w:eastAsia="ja-JP"/>
              </w:rPr>
              <w:t>saskaņoti</w:t>
            </w:r>
            <w:r w:rsidRPr="00E04790">
              <w:rPr>
                <w:rFonts w:eastAsia="PMingLiU"/>
                <w:sz w:val="26"/>
                <w:szCs w:val="26"/>
                <w:lang w:val="lv-LV" w:eastAsia="ja-JP"/>
              </w:rPr>
              <w:t xml:space="preserve"> </w:t>
            </w:r>
            <w:r w:rsidRPr="00E04790">
              <w:rPr>
                <w:rFonts w:eastAsia="PMingLiU"/>
                <w:sz w:val="26"/>
                <w:szCs w:val="26"/>
                <w:lang w:val="lv-LV" w:eastAsia="ja-JP"/>
              </w:rPr>
              <w:lastRenderedPageBreak/>
              <w:t>03.12.2020. Finanšu ministra vadītājā krīzes vadības darba grupā.</w:t>
            </w:r>
          </w:p>
          <w:p w14:paraId="18D5064F" w14:textId="388C882E" w:rsidR="00532B39" w:rsidRPr="00E04790" w:rsidRDefault="00532B39" w:rsidP="00A82313">
            <w:pPr>
              <w:shd w:val="clear" w:color="auto" w:fill="FFFFFF"/>
              <w:ind w:left="57" w:right="113"/>
              <w:contextualSpacing/>
              <w:jc w:val="both"/>
              <w:rPr>
                <w:rFonts w:eastAsia="PMingLiU"/>
                <w:sz w:val="26"/>
                <w:szCs w:val="26"/>
                <w:shd w:val="clear" w:color="auto" w:fill="FFFFFF"/>
                <w:lang w:val="lv-LV" w:eastAsia="ja-JP"/>
              </w:rPr>
            </w:pPr>
            <w:r w:rsidRPr="00E04790">
              <w:rPr>
                <w:rFonts w:eastAsia="PMingLiU"/>
                <w:sz w:val="26"/>
                <w:szCs w:val="26"/>
                <w:lang w:val="lv-LV" w:eastAsia="ja-JP"/>
              </w:rPr>
              <w:t>Iebildumi par Noteikumu projekta virzību netika saņemti.</w:t>
            </w:r>
          </w:p>
        </w:tc>
      </w:tr>
      <w:tr w:rsidR="006F4B13" w:rsidRPr="00E04790" w14:paraId="0F937EA3" w14:textId="77777777" w:rsidTr="00E50D80">
        <w:trPr>
          <w:trHeight w:val="476"/>
        </w:trPr>
        <w:tc>
          <w:tcPr>
            <w:tcW w:w="312" w:type="dxa"/>
          </w:tcPr>
          <w:p w14:paraId="5A007BCA" w14:textId="77777777" w:rsidR="006F4B13" w:rsidRPr="00E04790" w:rsidRDefault="006F4B13" w:rsidP="00370711">
            <w:pPr>
              <w:ind w:left="57" w:right="57"/>
              <w:contextualSpacing/>
              <w:jc w:val="both"/>
              <w:rPr>
                <w:sz w:val="26"/>
                <w:szCs w:val="26"/>
                <w:lang w:val="lv-LV"/>
              </w:rPr>
            </w:pPr>
            <w:r w:rsidRPr="00E04790">
              <w:rPr>
                <w:sz w:val="26"/>
                <w:szCs w:val="26"/>
                <w:lang w:val="lv-LV"/>
              </w:rPr>
              <w:lastRenderedPageBreak/>
              <w:t>3.</w:t>
            </w:r>
          </w:p>
        </w:tc>
        <w:tc>
          <w:tcPr>
            <w:tcW w:w="2665" w:type="dxa"/>
          </w:tcPr>
          <w:p w14:paraId="5F99D7D0" w14:textId="77777777" w:rsidR="006F4B13" w:rsidRPr="00E04790" w:rsidRDefault="006F4B13" w:rsidP="00370711">
            <w:pPr>
              <w:ind w:left="57" w:right="57"/>
              <w:contextualSpacing/>
              <w:rPr>
                <w:rFonts w:eastAsia="PMingLiU"/>
                <w:sz w:val="26"/>
                <w:szCs w:val="26"/>
                <w:lang w:val="lv-LV" w:eastAsia="ja-JP"/>
              </w:rPr>
            </w:pPr>
            <w:r w:rsidRPr="00E04790">
              <w:rPr>
                <w:rFonts w:eastAsia="PMingLiU"/>
                <w:sz w:val="26"/>
                <w:szCs w:val="26"/>
                <w:lang w:val="lv-LV" w:eastAsia="ja-JP"/>
              </w:rPr>
              <w:t>Sabiedrības līdzdalības rezultāti</w:t>
            </w:r>
          </w:p>
        </w:tc>
        <w:tc>
          <w:tcPr>
            <w:tcW w:w="6234" w:type="dxa"/>
          </w:tcPr>
          <w:p w14:paraId="2BF921D4" w14:textId="71D77255" w:rsidR="006F4B13" w:rsidRPr="00E04790" w:rsidRDefault="003A4F11" w:rsidP="00370711">
            <w:pPr>
              <w:shd w:val="clear" w:color="auto" w:fill="FFFFFF"/>
              <w:ind w:left="57" w:right="113"/>
              <w:contextualSpacing/>
              <w:jc w:val="both"/>
              <w:rPr>
                <w:rFonts w:eastAsia="PMingLiU"/>
                <w:sz w:val="26"/>
                <w:szCs w:val="26"/>
                <w:shd w:val="clear" w:color="auto" w:fill="FFFFFF"/>
                <w:lang w:val="lv-LV" w:eastAsia="ja-JP"/>
              </w:rPr>
            </w:pPr>
            <w:r w:rsidRPr="00E04790">
              <w:rPr>
                <w:rFonts w:eastAsia="PMingLiU"/>
                <w:sz w:val="26"/>
                <w:szCs w:val="26"/>
                <w:shd w:val="clear" w:color="auto" w:fill="FFFFFF"/>
                <w:lang w:val="lv-LV" w:eastAsia="ja-JP"/>
              </w:rPr>
              <w:t xml:space="preserve">Nav </w:t>
            </w:r>
            <w:r w:rsidR="00532B39" w:rsidRPr="00E04790">
              <w:rPr>
                <w:rFonts w:eastAsia="PMingLiU"/>
                <w:sz w:val="26"/>
                <w:szCs w:val="26"/>
                <w:shd w:val="clear" w:color="auto" w:fill="FFFFFF"/>
                <w:lang w:val="lv-LV" w:eastAsia="ja-JP"/>
              </w:rPr>
              <w:t xml:space="preserve">saņemti </w:t>
            </w:r>
            <w:r w:rsidRPr="00E04790">
              <w:rPr>
                <w:rFonts w:eastAsia="PMingLiU"/>
                <w:sz w:val="26"/>
                <w:szCs w:val="26"/>
                <w:shd w:val="clear" w:color="auto" w:fill="FFFFFF"/>
                <w:lang w:val="lv-LV" w:eastAsia="ja-JP"/>
              </w:rPr>
              <w:t>iebildumu par projekta virzību</w:t>
            </w:r>
          </w:p>
        </w:tc>
      </w:tr>
      <w:tr w:rsidR="006F4B13" w:rsidRPr="00E04790" w14:paraId="13638F96" w14:textId="77777777" w:rsidTr="00E50D80">
        <w:trPr>
          <w:trHeight w:val="205"/>
        </w:trPr>
        <w:tc>
          <w:tcPr>
            <w:tcW w:w="312" w:type="dxa"/>
          </w:tcPr>
          <w:p w14:paraId="286DE4AB" w14:textId="77777777" w:rsidR="006F4B13" w:rsidRPr="00E04790" w:rsidRDefault="006F4B13" w:rsidP="00282251">
            <w:pPr>
              <w:ind w:left="57" w:right="57"/>
              <w:contextualSpacing/>
              <w:jc w:val="both"/>
              <w:rPr>
                <w:sz w:val="26"/>
                <w:szCs w:val="26"/>
                <w:lang w:val="lv-LV"/>
              </w:rPr>
            </w:pPr>
            <w:r w:rsidRPr="00E04790">
              <w:rPr>
                <w:sz w:val="26"/>
                <w:szCs w:val="26"/>
                <w:lang w:val="lv-LV"/>
              </w:rPr>
              <w:t>4.</w:t>
            </w:r>
          </w:p>
        </w:tc>
        <w:tc>
          <w:tcPr>
            <w:tcW w:w="2665" w:type="dxa"/>
          </w:tcPr>
          <w:p w14:paraId="1AEA4978" w14:textId="77777777" w:rsidR="006F4B13" w:rsidRPr="00E04790" w:rsidRDefault="006F4B13" w:rsidP="00282251">
            <w:pPr>
              <w:ind w:left="57" w:right="57"/>
              <w:contextualSpacing/>
              <w:rPr>
                <w:rFonts w:eastAsia="PMingLiU"/>
                <w:sz w:val="26"/>
                <w:szCs w:val="26"/>
                <w:lang w:val="lv-LV" w:eastAsia="ja-JP"/>
              </w:rPr>
            </w:pPr>
            <w:r w:rsidRPr="00E04790">
              <w:rPr>
                <w:rFonts w:eastAsia="PMingLiU"/>
                <w:sz w:val="26"/>
                <w:szCs w:val="26"/>
                <w:lang w:val="lv-LV" w:eastAsia="ja-JP"/>
              </w:rPr>
              <w:t>Cita informācija</w:t>
            </w:r>
          </w:p>
        </w:tc>
        <w:tc>
          <w:tcPr>
            <w:tcW w:w="6234" w:type="dxa"/>
          </w:tcPr>
          <w:p w14:paraId="29112FCD" w14:textId="5927F71D" w:rsidR="006F4B13" w:rsidRPr="00E04790" w:rsidRDefault="006F4B13" w:rsidP="00282251">
            <w:pPr>
              <w:ind w:left="57" w:right="113"/>
              <w:contextualSpacing/>
              <w:jc w:val="both"/>
              <w:rPr>
                <w:rFonts w:eastAsia="PMingLiU"/>
                <w:sz w:val="26"/>
                <w:szCs w:val="26"/>
                <w:lang w:val="lv-LV" w:eastAsia="ja-JP"/>
              </w:rPr>
            </w:pPr>
            <w:r w:rsidRPr="00E04790">
              <w:rPr>
                <w:rFonts w:eastAsia="PMingLiU"/>
                <w:sz w:val="26"/>
                <w:szCs w:val="26"/>
                <w:lang w:val="lv-LV" w:eastAsia="ja-JP"/>
              </w:rPr>
              <w:t>Nav</w:t>
            </w:r>
          </w:p>
        </w:tc>
      </w:tr>
    </w:tbl>
    <w:p w14:paraId="07B85D36" w14:textId="1E6EF1D8" w:rsidR="00844176" w:rsidRPr="00E04790" w:rsidRDefault="00844176" w:rsidP="00282251">
      <w:pPr>
        <w:contextualSpacing/>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844176" w:rsidRPr="00DD1A4B" w14:paraId="72278BCA" w14:textId="77777777"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E04790" w:rsidRDefault="00844176" w:rsidP="005A1518">
            <w:pPr>
              <w:spacing w:before="100" w:beforeAutospacing="1" w:after="100" w:afterAutospacing="1"/>
              <w:ind w:firstLine="300"/>
              <w:jc w:val="center"/>
              <w:rPr>
                <w:rFonts w:eastAsia="Times New Roman"/>
                <w:sz w:val="26"/>
                <w:szCs w:val="26"/>
                <w:lang w:val="lv-LV" w:eastAsia="lv-LV"/>
              </w:rPr>
            </w:pPr>
            <w:r w:rsidRPr="00E04790">
              <w:rPr>
                <w:b/>
                <w:sz w:val="26"/>
                <w:szCs w:val="26"/>
                <w:lang w:val="lv-LV"/>
              </w:rPr>
              <w:t>VII. Tiesību akta projekta izpildes nodrošināšana un tās ietekme uz institūcijām</w:t>
            </w:r>
          </w:p>
        </w:tc>
      </w:tr>
      <w:tr w:rsidR="00844176" w:rsidRPr="00E04790" w14:paraId="3BE578E7" w14:textId="77777777" w:rsidTr="00320B22">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E04790" w:rsidRDefault="00844176" w:rsidP="00282251">
            <w:pPr>
              <w:contextualSpacing/>
              <w:rPr>
                <w:rFonts w:eastAsia="Times New Roman"/>
                <w:sz w:val="26"/>
                <w:szCs w:val="26"/>
                <w:lang w:val="lv-LV" w:eastAsia="lv-LV"/>
              </w:rPr>
            </w:pPr>
            <w:r w:rsidRPr="00E04790">
              <w:rPr>
                <w:sz w:val="26"/>
                <w:szCs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E04790" w:rsidRDefault="00844176" w:rsidP="00282251">
            <w:pPr>
              <w:ind w:right="112"/>
              <w:contextualSpacing/>
              <w:jc w:val="both"/>
              <w:rPr>
                <w:sz w:val="26"/>
                <w:szCs w:val="26"/>
                <w:lang w:val="lv-LV"/>
              </w:rPr>
            </w:pPr>
            <w:r w:rsidRPr="00E04790">
              <w:rPr>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4C10CF17" w14:textId="3A1249B9" w:rsidR="00844176" w:rsidRPr="00E04790" w:rsidRDefault="00844176" w:rsidP="00282251">
            <w:pPr>
              <w:ind w:left="82" w:right="161"/>
              <w:contextualSpacing/>
              <w:jc w:val="both"/>
              <w:rPr>
                <w:sz w:val="26"/>
                <w:szCs w:val="26"/>
                <w:lang w:val="lv-LV"/>
              </w:rPr>
            </w:pPr>
            <w:r w:rsidRPr="00E04790">
              <w:rPr>
                <w:sz w:val="26"/>
                <w:szCs w:val="26"/>
                <w:lang w:val="lv-LV"/>
              </w:rPr>
              <w:t>E</w:t>
            </w:r>
            <w:r w:rsidR="00733C32" w:rsidRPr="00E04790">
              <w:rPr>
                <w:sz w:val="26"/>
                <w:szCs w:val="26"/>
                <w:lang w:val="lv-LV"/>
              </w:rPr>
              <w:t>konomikas ministrija</w:t>
            </w:r>
            <w:r w:rsidR="0074545C" w:rsidRPr="00E04790">
              <w:rPr>
                <w:sz w:val="26"/>
                <w:szCs w:val="26"/>
                <w:lang w:val="lv-LV"/>
              </w:rPr>
              <w:t xml:space="preserve">, </w:t>
            </w:r>
            <w:proofErr w:type="spellStart"/>
            <w:r w:rsidR="00733C32" w:rsidRPr="00E04790">
              <w:rPr>
                <w:sz w:val="26"/>
                <w:szCs w:val="26"/>
                <w:lang w:val="lv-LV"/>
              </w:rPr>
              <w:t>Altum</w:t>
            </w:r>
            <w:proofErr w:type="spellEnd"/>
          </w:p>
        </w:tc>
      </w:tr>
      <w:tr w:rsidR="00844176" w:rsidRPr="00DD1A4B" w14:paraId="2CF2C3EA" w14:textId="77777777" w:rsidTr="00320B22">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E04790" w:rsidRDefault="00844176" w:rsidP="00282251">
            <w:pPr>
              <w:contextualSpacing/>
              <w:rPr>
                <w:rFonts w:eastAsia="Times New Roman"/>
                <w:sz w:val="26"/>
                <w:szCs w:val="26"/>
                <w:lang w:val="lv-LV" w:eastAsia="lv-LV"/>
              </w:rPr>
            </w:pPr>
            <w:r w:rsidRPr="00E04790">
              <w:rPr>
                <w:sz w:val="26"/>
                <w:szCs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E04790" w:rsidRDefault="00844176" w:rsidP="00282251">
            <w:pPr>
              <w:ind w:right="112"/>
              <w:contextualSpacing/>
              <w:jc w:val="both"/>
              <w:rPr>
                <w:sz w:val="26"/>
                <w:szCs w:val="26"/>
                <w:lang w:val="lv-LV"/>
              </w:rPr>
            </w:pPr>
            <w:r w:rsidRPr="00E04790">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5F5A7977" w14:textId="2F1BC61B" w:rsidR="00844176" w:rsidRPr="00E04790" w:rsidRDefault="00F669EB" w:rsidP="00282251">
            <w:pPr>
              <w:ind w:left="82" w:right="161"/>
              <w:contextualSpacing/>
              <w:jc w:val="both"/>
              <w:rPr>
                <w:sz w:val="26"/>
                <w:szCs w:val="26"/>
                <w:lang w:val="lv-LV"/>
              </w:rPr>
            </w:pPr>
            <w:r w:rsidRPr="00E04790">
              <w:rPr>
                <w:sz w:val="26"/>
                <w:szCs w:val="26"/>
                <w:lang w:val="lv-LV"/>
              </w:rPr>
              <w:t>P</w:t>
            </w:r>
            <w:r w:rsidR="00844176" w:rsidRPr="00E04790">
              <w:rPr>
                <w:sz w:val="26"/>
                <w:szCs w:val="26"/>
                <w:lang w:val="lv-LV"/>
              </w:rPr>
              <w:t>roj</w:t>
            </w:r>
            <w:r w:rsidR="00733C32" w:rsidRPr="00E04790">
              <w:rPr>
                <w:sz w:val="26"/>
                <w:szCs w:val="26"/>
                <w:lang w:val="lv-LV"/>
              </w:rPr>
              <w:t>ekta izpilde tiks nodrošināta Ekonomikas ministrijas</w:t>
            </w:r>
            <w:r w:rsidR="00844176" w:rsidRPr="00E04790">
              <w:rPr>
                <w:sz w:val="26"/>
                <w:szCs w:val="26"/>
                <w:lang w:val="lv-LV"/>
              </w:rPr>
              <w:t xml:space="preserve"> un </w:t>
            </w:r>
            <w:proofErr w:type="spellStart"/>
            <w:r w:rsidR="00733C32" w:rsidRPr="00E04790">
              <w:rPr>
                <w:sz w:val="26"/>
                <w:szCs w:val="26"/>
                <w:lang w:val="lv-LV"/>
              </w:rPr>
              <w:t>Altum</w:t>
            </w:r>
            <w:proofErr w:type="spellEnd"/>
            <w:r w:rsidR="00733C32" w:rsidRPr="00E04790">
              <w:rPr>
                <w:sz w:val="26"/>
                <w:szCs w:val="26"/>
                <w:lang w:val="lv-LV"/>
              </w:rPr>
              <w:t xml:space="preserve"> </w:t>
            </w:r>
            <w:r w:rsidR="00844176" w:rsidRPr="00E04790">
              <w:rPr>
                <w:sz w:val="26"/>
                <w:szCs w:val="26"/>
                <w:lang w:val="lv-LV"/>
              </w:rPr>
              <w:t xml:space="preserve">esošo funkciju </w:t>
            </w:r>
            <w:r w:rsidR="002B7681" w:rsidRPr="00E04790">
              <w:rPr>
                <w:sz w:val="26"/>
                <w:szCs w:val="26"/>
                <w:lang w:val="lv-LV"/>
              </w:rPr>
              <w:t xml:space="preserve">un cilvēkresursu </w:t>
            </w:r>
            <w:r w:rsidR="00844176" w:rsidRPr="00E04790">
              <w:rPr>
                <w:sz w:val="26"/>
                <w:szCs w:val="26"/>
                <w:lang w:val="lv-LV"/>
              </w:rPr>
              <w:t>ietvaros</w:t>
            </w:r>
            <w:r w:rsidR="002B7681" w:rsidRPr="00E04790">
              <w:rPr>
                <w:sz w:val="26"/>
                <w:szCs w:val="26"/>
                <w:lang w:val="lv-LV"/>
              </w:rPr>
              <w:t>, kā arī nav paredzēta jaunu institūciju izveide, esošu institūciju likvidācija vai reorganizācija</w:t>
            </w:r>
            <w:r w:rsidR="00844176" w:rsidRPr="00E04790">
              <w:rPr>
                <w:sz w:val="26"/>
                <w:szCs w:val="26"/>
                <w:lang w:val="lv-LV"/>
              </w:rPr>
              <w:t>.</w:t>
            </w:r>
          </w:p>
        </w:tc>
      </w:tr>
      <w:tr w:rsidR="00844176" w:rsidRPr="00E04790" w14:paraId="2EBACAF6" w14:textId="77777777" w:rsidTr="00320B22">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E04790" w:rsidRDefault="00844176" w:rsidP="00282251">
            <w:pPr>
              <w:contextualSpacing/>
              <w:rPr>
                <w:rFonts w:eastAsia="Times New Roman"/>
                <w:sz w:val="26"/>
                <w:szCs w:val="26"/>
                <w:lang w:val="lv-LV" w:eastAsia="lv-LV"/>
              </w:rPr>
            </w:pPr>
            <w:r w:rsidRPr="00E04790">
              <w:rPr>
                <w:sz w:val="26"/>
                <w:szCs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E04790" w:rsidRDefault="00844176" w:rsidP="00282251">
            <w:pPr>
              <w:contextualSpacing/>
              <w:jc w:val="both"/>
              <w:rPr>
                <w:rFonts w:eastAsia="Times New Roman"/>
                <w:sz w:val="26"/>
                <w:szCs w:val="26"/>
                <w:lang w:val="lv-LV" w:eastAsia="lv-LV"/>
              </w:rPr>
            </w:pPr>
            <w:r w:rsidRPr="00E04790">
              <w:rPr>
                <w:rFonts w:eastAsia="Times New Roman"/>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E04790" w:rsidRDefault="00844176" w:rsidP="00282251">
            <w:pPr>
              <w:contextualSpacing/>
              <w:jc w:val="both"/>
              <w:rPr>
                <w:rFonts w:eastAsia="Times New Roman"/>
                <w:sz w:val="26"/>
                <w:szCs w:val="26"/>
                <w:lang w:val="lv-LV" w:eastAsia="lv-LV"/>
              </w:rPr>
            </w:pPr>
            <w:r w:rsidRPr="00E04790">
              <w:rPr>
                <w:rFonts w:eastAsia="Times New Roman"/>
                <w:sz w:val="26"/>
                <w:szCs w:val="26"/>
                <w:lang w:val="lv-LV" w:eastAsia="lv-LV"/>
              </w:rPr>
              <w:t>Nav</w:t>
            </w:r>
          </w:p>
        </w:tc>
      </w:tr>
    </w:tbl>
    <w:p w14:paraId="03EE94B5" w14:textId="1CE65C68" w:rsidR="00862580" w:rsidRPr="00E04790" w:rsidRDefault="00862580" w:rsidP="00282251">
      <w:pPr>
        <w:contextualSpacing/>
        <w:jc w:val="both"/>
        <w:rPr>
          <w:sz w:val="26"/>
          <w:szCs w:val="26"/>
          <w:lang w:val="lv-LV"/>
        </w:rPr>
      </w:pPr>
    </w:p>
    <w:p w14:paraId="37747DD5" w14:textId="77777777" w:rsidR="004354EC" w:rsidRPr="00E04790" w:rsidRDefault="004354EC" w:rsidP="004354EC">
      <w:pPr>
        <w:jc w:val="both"/>
        <w:rPr>
          <w:b/>
          <w:bCs/>
          <w:sz w:val="26"/>
          <w:szCs w:val="26"/>
          <w:lang w:val="lv-LV"/>
        </w:rPr>
      </w:pPr>
      <w:r w:rsidRPr="00E04790">
        <w:rPr>
          <w:b/>
          <w:bCs/>
          <w:sz w:val="26"/>
          <w:szCs w:val="26"/>
          <w:lang w:val="lv-LV"/>
        </w:rPr>
        <w:t xml:space="preserve">Ekonomikas ministrs </w:t>
      </w:r>
      <w:r w:rsidRPr="00E04790">
        <w:rPr>
          <w:b/>
          <w:bCs/>
          <w:sz w:val="26"/>
          <w:szCs w:val="26"/>
          <w:lang w:val="lv-LV"/>
        </w:rPr>
        <w:tab/>
      </w:r>
      <w:r w:rsidRPr="00E04790">
        <w:rPr>
          <w:b/>
          <w:bCs/>
          <w:sz w:val="26"/>
          <w:szCs w:val="26"/>
          <w:lang w:val="lv-LV"/>
        </w:rPr>
        <w:tab/>
      </w:r>
      <w:r w:rsidRPr="00E04790">
        <w:rPr>
          <w:b/>
          <w:bCs/>
          <w:sz w:val="26"/>
          <w:szCs w:val="26"/>
          <w:lang w:val="lv-LV"/>
        </w:rPr>
        <w:tab/>
      </w:r>
      <w:r w:rsidRPr="00E04790">
        <w:rPr>
          <w:b/>
          <w:bCs/>
          <w:sz w:val="26"/>
          <w:szCs w:val="26"/>
          <w:lang w:val="lv-LV"/>
        </w:rPr>
        <w:tab/>
      </w:r>
      <w:r w:rsidRPr="00E04790">
        <w:rPr>
          <w:b/>
          <w:bCs/>
          <w:sz w:val="26"/>
          <w:szCs w:val="26"/>
          <w:lang w:val="lv-LV"/>
        </w:rPr>
        <w:tab/>
      </w:r>
      <w:r w:rsidRPr="00E04790">
        <w:rPr>
          <w:b/>
          <w:bCs/>
          <w:sz w:val="26"/>
          <w:szCs w:val="26"/>
          <w:lang w:val="lv-LV"/>
        </w:rPr>
        <w:tab/>
      </w:r>
      <w:r w:rsidRPr="00E04790">
        <w:rPr>
          <w:b/>
          <w:bCs/>
          <w:sz w:val="26"/>
          <w:szCs w:val="26"/>
          <w:lang w:val="lv-LV"/>
        </w:rPr>
        <w:tab/>
        <w:t xml:space="preserve">      J. </w:t>
      </w:r>
      <w:proofErr w:type="spellStart"/>
      <w:r w:rsidRPr="00E04790">
        <w:rPr>
          <w:b/>
          <w:bCs/>
          <w:sz w:val="26"/>
          <w:szCs w:val="26"/>
          <w:lang w:val="lv-LV"/>
        </w:rPr>
        <w:t>Vitenbergs</w:t>
      </w:r>
      <w:proofErr w:type="spellEnd"/>
    </w:p>
    <w:p w14:paraId="0B0C3138" w14:textId="77777777" w:rsidR="004354EC" w:rsidRPr="00E04790" w:rsidRDefault="004354EC" w:rsidP="004354EC">
      <w:pPr>
        <w:jc w:val="both"/>
        <w:rPr>
          <w:b/>
          <w:bCs/>
          <w:sz w:val="26"/>
          <w:szCs w:val="26"/>
          <w:lang w:val="lv-LV"/>
        </w:rPr>
      </w:pPr>
      <w:r w:rsidRPr="00E04790">
        <w:rPr>
          <w:b/>
          <w:bCs/>
          <w:sz w:val="26"/>
          <w:szCs w:val="26"/>
          <w:lang w:val="lv-LV"/>
        </w:rPr>
        <w:tab/>
      </w:r>
      <w:r w:rsidRPr="00E04790">
        <w:rPr>
          <w:b/>
          <w:bCs/>
          <w:sz w:val="26"/>
          <w:szCs w:val="26"/>
          <w:lang w:val="lv-LV"/>
        </w:rPr>
        <w:tab/>
      </w:r>
      <w:r w:rsidRPr="00E04790">
        <w:rPr>
          <w:b/>
          <w:bCs/>
          <w:sz w:val="26"/>
          <w:szCs w:val="26"/>
          <w:lang w:val="lv-LV"/>
        </w:rPr>
        <w:tab/>
      </w:r>
      <w:r w:rsidRPr="00E04790">
        <w:rPr>
          <w:b/>
          <w:bCs/>
          <w:sz w:val="26"/>
          <w:szCs w:val="26"/>
          <w:lang w:val="lv-LV"/>
        </w:rPr>
        <w:tab/>
      </w:r>
    </w:p>
    <w:p w14:paraId="4F4CBA78" w14:textId="77777777" w:rsidR="004354EC" w:rsidRPr="00E04790" w:rsidRDefault="004354EC" w:rsidP="004354EC">
      <w:pPr>
        <w:tabs>
          <w:tab w:val="left" w:pos="6237"/>
        </w:tabs>
        <w:contextualSpacing/>
        <w:rPr>
          <w:b/>
          <w:bCs/>
          <w:sz w:val="26"/>
          <w:szCs w:val="26"/>
          <w:lang w:val="lv-LV"/>
        </w:rPr>
      </w:pPr>
      <w:r w:rsidRPr="00E04790">
        <w:rPr>
          <w:b/>
          <w:bCs/>
          <w:sz w:val="26"/>
          <w:szCs w:val="26"/>
          <w:lang w:val="lv-LV"/>
        </w:rPr>
        <w:t>Vīza:</w:t>
      </w:r>
    </w:p>
    <w:p w14:paraId="3A308AB7" w14:textId="37207332" w:rsidR="001B634A" w:rsidRPr="00E04790" w:rsidRDefault="004354EC" w:rsidP="004354EC">
      <w:pPr>
        <w:tabs>
          <w:tab w:val="left" w:pos="6237"/>
        </w:tabs>
        <w:contextualSpacing/>
        <w:rPr>
          <w:b/>
          <w:bCs/>
          <w:sz w:val="26"/>
          <w:szCs w:val="26"/>
          <w:lang w:val="lv-LV"/>
        </w:rPr>
      </w:pPr>
      <w:r w:rsidRPr="00E04790">
        <w:rPr>
          <w:b/>
          <w:bCs/>
          <w:sz w:val="26"/>
          <w:szCs w:val="26"/>
          <w:lang w:val="lv-LV"/>
        </w:rPr>
        <w:t>Valsts sekretār</w:t>
      </w:r>
      <w:r w:rsidR="001B634A" w:rsidRPr="00E04790">
        <w:rPr>
          <w:b/>
          <w:bCs/>
          <w:sz w:val="26"/>
          <w:szCs w:val="26"/>
          <w:lang w:val="lv-LV"/>
        </w:rPr>
        <w:t>a vietā</w:t>
      </w:r>
      <w:r w:rsidR="00E04790" w:rsidRPr="00E04790">
        <w:rPr>
          <w:b/>
          <w:bCs/>
          <w:sz w:val="26"/>
          <w:szCs w:val="26"/>
          <w:lang w:val="lv-LV"/>
        </w:rPr>
        <w:t xml:space="preserve"> - </w:t>
      </w:r>
    </w:p>
    <w:p w14:paraId="4D9A6AE1" w14:textId="7C1F9BCC" w:rsidR="004354EC" w:rsidRPr="00E04790" w:rsidRDefault="001B634A" w:rsidP="004354EC">
      <w:pPr>
        <w:tabs>
          <w:tab w:val="left" w:pos="6237"/>
        </w:tabs>
        <w:contextualSpacing/>
        <w:rPr>
          <w:sz w:val="26"/>
          <w:szCs w:val="26"/>
          <w:lang w:val="lv-LV"/>
        </w:rPr>
      </w:pPr>
      <w:r w:rsidRPr="00E04790">
        <w:rPr>
          <w:b/>
          <w:bCs/>
          <w:sz w:val="26"/>
          <w:szCs w:val="26"/>
          <w:lang w:val="lv-LV"/>
        </w:rPr>
        <w:t>Valsts sekretāra vietniece</w:t>
      </w:r>
      <w:r w:rsidR="004354EC" w:rsidRPr="00E04790">
        <w:rPr>
          <w:b/>
          <w:bCs/>
          <w:sz w:val="26"/>
          <w:szCs w:val="26"/>
          <w:lang w:val="lv-LV"/>
        </w:rPr>
        <w:tab/>
      </w:r>
      <w:r w:rsidR="004354EC" w:rsidRPr="00E04790">
        <w:rPr>
          <w:b/>
          <w:bCs/>
          <w:sz w:val="26"/>
          <w:szCs w:val="26"/>
          <w:lang w:val="lv-LV"/>
        </w:rPr>
        <w:tab/>
        <w:t xml:space="preserve">                   </w:t>
      </w:r>
      <w:r w:rsidRPr="00E04790">
        <w:rPr>
          <w:b/>
          <w:bCs/>
          <w:sz w:val="26"/>
          <w:szCs w:val="26"/>
          <w:lang w:val="lv-LV"/>
        </w:rPr>
        <w:t>Z</w:t>
      </w:r>
      <w:r w:rsidR="004354EC" w:rsidRPr="00E04790">
        <w:rPr>
          <w:b/>
          <w:bCs/>
          <w:sz w:val="26"/>
          <w:szCs w:val="26"/>
          <w:lang w:val="lv-LV"/>
        </w:rPr>
        <w:t xml:space="preserve">. </w:t>
      </w:r>
      <w:r w:rsidRPr="00E04790">
        <w:rPr>
          <w:b/>
          <w:bCs/>
          <w:sz w:val="26"/>
          <w:szCs w:val="26"/>
          <w:lang w:val="lv-LV"/>
        </w:rPr>
        <w:t>Liepiņa</w:t>
      </w:r>
    </w:p>
    <w:p w14:paraId="686EDB4F" w14:textId="0FC0C259" w:rsidR="00862580" w:rsidRPr="00E04790" w:rsidRDefault="00862580" w:rsidP="00282251">
      <w:pPr>
        <w:tabs>
          <w:tab w:val="left" w:pos="6237"/>
        </w:tabs>
        <w:contextualSpacing/>
        <w:rPr>
          <w:sz w:val="26"/>
          <w:szCs w:val="26"/>
          <w:lang w:val="lv-LV"/>
        </w:rPr>
      </w:pPr>
    </w:p>
    <w:p w14:paraId="7FE050EB" w14:textId="77777777" w:rsidR="00862580" w:rsidRPr="00E04790" w:rsidRDefault="00862580" w:rsidP="00282251">
      <w:pPr>
        <w:tabs>
          <w:tab w:val="left" w:pos="6840"/>
        </w:tabs>
        <w:contextualSpacing/>
        <w:jc w:val="both"/>
        <w:rPr>
          <w:lang w:val="lv-LV"/>
        </w:rPr>
      </w:pPr>
      <w:r w:rsidRPr="00E04790">
        <w:rPr>
          <w:lang w:val="lv-LV"/>
        </w:rPr>
        <w:t>Tetere, 67013044</w:t>
      </w:r>
    </w:p>
    <w:p w14:paraId="5B8D44CD" w14:textId="335AC42F" w:rsidR="00862580" w:rsidRPr="00E04790" w:rsidRDefault="00DD1A4B" w:rsidP="00282251">
      <w:pPr>
        <w:pStyle w:val="Header"/>
        <w:tabs>
          <w:tab w:val="clear" w:pos="4153"/>
          <w:tab w:val="clear" w:pos="8306"/>
        </w:tabs>
        <w:contextualSpacing/>
        <w:rPr>
          <w:lang w:val="lv-LV"/>
        </w:rPr>
      </w:pPr>
      <w:hyperlink r:id="rId11" w:history="1">
        <w:r w:rsidR="00862580" w:rsidRPr="00E04790">
          <w:rPr>
            <w:rStyle w:val="Hyperlink"/>
            <w:color w:val="auto"/>
            <w:lang w:val="lv-LV"/>
          </w:rPr>
          <w:t>Dita.Tetere@em.gov.lv</w:t>
        </w:r>
      </w:hyperlink>
    </w:p>
    <w:sectPr w:rsidR="00862580" w:rsidRPr="00E04790" w:rsidSect="006064F8">
      <w:headerReference w:type="default" r:id="rId12"/>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640F1" w14:textId="77777777" w:rsidR="00EE0C47" w:rsidRDefault="00EE0C47" w:rsidP="006B2FEF">
      <w:r>
        <w:separator/>
      </w:r>
    </w:p>
  </w:endnote>
  <w:endnote w:type="continuationSeparator" w:id="0">
    <w:p w14:paraId="0B1AFFE5" w14:textId="77777777" w:rsidR="00EE0C47" w:rsidRDefault="00EE0C47" w:rsidP="006B2FEF">
      <w:r>
        <w:continuationSeparator/>
      </w:r>
    </w:p>
  </w:endnote>
  <w:endnote w:type="continuationNotice" w:id="1">
    <w:p w14:paraId="5D4AFCAA" w14:textId="77777777" w:rsidR="00EE0C47" w:rsidRDefault="00EE0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altName w:val="Calibri"/>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F7A9B" w14:textId="77777777" w:rsidR="00EE0C47" w:rsidRDefault="00EE0C47" w:rsidP="006B2FEF">
      <w:r>
        <w:separator/>
      </w:r>
    </w:p>
  </w:footnote>
  <w:footnote w:type="continuationSeparator" w:id="0">
    <w:p w14:paraId="7DA91833" w14:textId="77777777" w:rsidR="00EE0C47" w:rsidRDefault="00EE0C47" w:rsidP="006B2FEF">
      <w:r>
        <w:continuationSeparator/>
      </w:r>
    </w:p>
  </w:footnote>
  <w:footnote w:type="continuationNotice" w:id="1">
    <w:p w14:paraId="68099FDF" w14:textId="77777777" w:rsidR="00EE0C47" w:rsidRDefault="00EE0C47"/>
  </w:footnote>
  <w:footnote w:id="2">
    <w:p w14:paraId="020C6C98" w14:textId="7AFCDCFE" w:rsidR="00AD06DD" w:rsidRDefault="00AD06DD">
      <w:pPr>
        <w:pStyle w:val="FootnoteText"/>
      </w:pPr>
      <w:r>
        <w:rPr>
          <w:rStyle w:val="FootnoteReference"/>
        </w:rPr>
        <w:footnoteRef/>
      </w:r>
      <w:r>
        <w:t xml:space="preserve"> </w:t>
      </w:r>
      <w:hyperlink r:id="rId1" w:history="1">
        <w:r w:rsidRPr="00AD06DD">
          <w:rPr>
            <w:rStyle w:val="Hyperlink"/>
          </w:rPr>
          <w:t xml:space="preserve">2016.gada 31.maija Ministru kabineta noteikumi Nr.328 “Noteikumi par </w:t>
        </w:r>
        <w:proofErr w:type="spellStart"/>
        <w:r w:rsidRPr="00AD06DD">
          <w:rPr>
            <w:rStyle w:val="Hyperlink"/>
          </w:rPr>
          <w:t>mikroaizdevumiem</w:t>
        </w:r>
        <w:proofErr w:type="spellEnd"/>
        <w:r w:rsidRPr="00AD06DD">
          <w:rPr>
            <w:rStyle w:val="Hyperlink"/>
          </w:rPr>
          <w:t xml:space="preserve"> un starta aizdevumiem”</w:t>
        </w:r>
      </w:hyperlink>
      <w:r w:rsidR="00604D73">
        <w:t xml:space="preserve"> (turpmāk – MK noteikumi Nr.328)</w:t>
      </w:r>
    </w:p>
  </w:footnote>
  <w:footnote w:id="3">
    <w:p w14:paraId="72F5FB6E" w14:textId="77777777" w:rsidR="00EF6E9F" w:rsidRDefault="00EF6E9F" w:rsidP="00EF6E9F">
      <w:pPr>
        <w:pStyle w:val="FootnoteText"/>
      </w:pPr>
      <w:r>
        <w:rPr>
          <w:rStyle w:val="FootnoteReference"/>
          <w:rFonts w:eastAsia="Calibri"/>
        </w:rPr>
        <w:footnoteRef/>
      </w:r>
      <w:r>
        <w:t xml:space="preserve">26.(11) </w:t>
      </w:r>
      <w:r>
        <w:rPr>
          <w:color w:val="414142"/>
          <w:sz w:val="18"/>
          <w:szCs w:val="18"/>
          <w:shd w:val="clear" w:color="auto" w:fill="FFFFFF"/>
        </w:rPr>
        <w:t>Nodokļu administrācijai, kura atbilstoši šā likuma </w:t>
      </w:r>
      <w:hyperlink r:id="rId2" w:anchor="p20" w:history="1">
        <w:r>
          <w:rPr>
            <w:rStyle w:val="Hyperlink"/>
            <w:rFonts w:eastAsia="Calibri"/>
            <w:color w:val="16497B"/>
            <w:sz w:val="18"/>
            <w:szCs w:val="18"/>
            <w:shd w:val="clear" w:color="auto" w:fill="FFFFFF"/>
          </w:rPr>
          <w:t>20.pantam</w:t>
        </w:r>
      </w:hyperlink>
      <w:r>
        <w:rPr>
          <w:color w:val="414142"/>
          <w:sz w:val="18"/>
          <w:szCs w:val="18"/>
          <w:shd w:val="clear" w:color="auto" w:fill="FFFFFF"/>
        </w:rPr>
        <w:t> administrē konkrētos nodokļus, uz nodokļu maksātāja motivēta rakstveida iesnieguma pamata ir tiesības pieņemt lēmumu par nokavēto nodokļu maksājumu labprātīgu izpildi, nosakot nodokļu maksātājam termiņus uz laiku līdz trim gadiem, skaitot no iesnieguma iesniegšanas dienas, labprātīgai tādu nokavēto nodokļu maksājumu samaksai, kuri tiek piedzīti ar lēmumu par nokavēto nodokļu maksājumu piedziņu………</w:t>
      </w:r>
    </w:p>
  </w:footnote>
  <w:footnote w:id="4">
    <w:p w14:paraId="61BBB115" w14:textId="77777777" w:rsidR="00EF6E9F" w:rsidRDefault="00EF6E9F" w:rsidP="00EF6E9F">
      <w:pPr>
        <w:pStyle w:val="FootnoteText"/>
      </w:pPr>
      <w:r>
        <w:rPr>
          <w:rStyle w:val="FootnoteReference"/>
          <w:rFonts w:eastAsia="Calibri"/>
        </w:rPr>
        <w:footnoteRef/>
      </w:r>
      <w:r>
        <w:t xml:space="preserve"> 41.1.Valsts ieņēmumu dienesta un nodokļu maksātāja vienošanās līgumu slēdz, lai izbeigtu tiesisku strīdu par datu atbilstības pārbaudes un nodokļu revīzijas (audita) rezultātā aprēķinātajiem papildu maksājumiem budžetā vai par konstatēto no budžeta atmaksājamās summas nepamatotu palielināšanu</w:t>
      </w:r>
    </w:p>
  </w:footnote>
  <w:footnote w:id="5">
    <w:p w14:paraId="225A2F76" w14:textId="311E40D0" w:rsidR="00C96D01" w:rsidRDefault="00C96D01">
      <w:pPr>
        <w:pStyle w:val="FootnoteText"/>
      </w:pPr>
      <w:r>
        <w:rPr>
          <w:rStyle w:val="FootnoteReference"/>
        </w:rPr>
        <w:footnoteRef/>
      </w:r>
      <w:r>
        <w:t xml:space="preserve"> Ministru kabineta 2020.gada 19.marta noteikumi Nr.149 “</w:t>
      </w:r>
      <w:r w:rsidRPr="00C96D01">
        <w:t>Noteikumi par apgrozāmo līdzekļu aizdevumiem saimnieciskās darbības veicējiem, kuru darbību ietekmējusi Covid-19 izplatība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605F079C"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557927">
          <w:rPr>
            <w:noProof/>
            <w:sz w:val="24"/>
            <w:szCs w:val="24"/>
          </w:rPr>
          <w:t>9</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491D"/>
    <w:multiLevelType w:val="multilevel"/>
    <w:tmpl w:val="3B56E4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84108"/>
    <w:multiLevelType w:val="hybridMultilevel"/>
    <w:tmpl w:val="0BAACA02"/>
    <w:lvl w:ilvl="0" w:tplc="E4B49416">
      <w:start w:val="1"/>
      <w:numFmt w:val="decimal"/>
      <w:lvlText w:val="%1."/>
      <w:lvlJc w:val="left"/>
      <w:pPr>
        <w:tabs>
          <w:tab w:val="num" w:pos="720"/>
        </w:tabs>
        <w:ind w:left="720" w:hanging="360"/>
      </w:pPr>
    </w:lvl>
    <w:lvl w:ilvl="1" w:tplc="B39E44DE" w:tentative="1">
      <w:start w:val="1"/>
      <w:numFmt w:val="decimal"/>
      <w:lvlText w:val="%2."/>
      <w:lvlJc w:val="left"/>
      <w:pPr>
        <w:tabs>
          <w:tab w:val="num" w:pos="1440"/>
        </w:tabs>
        <w:ind w:left="1440" w:hanging="360"/>
      </w:pPr>
    </w:lvl>
    <w:lvl w:ilvl="2" w:tplc="8342FDB4" w:tentative="1">
      <w:start w:val="1"/>
      <w:numFmt w:val="decimal"/>
      <w:lvlText w:val="%3."/>
      <w:lvlJc w:val="left"/>
      <w:pPr>
        <w:tabs>
          <w:tab w:val="num" w:pos="2160"/>
        </w:tabs>
        <w:ind w:left="2160" w:hanging="360"/>
      </w:pPr>
    </w:lvl>
    <w:lvl w:ilvl="3" w:tplc="A266D1DC" w:tentative="1">
      <w:start w:val="1"/>
      <w:numFmt w:val="decimal"/>
      <w:lvlText w:val="%4."/>
      <w:lvlJc w:val="left"/>
      <w:pPr>
        <w:tabs>
          <w:tab w:val="num" w:pos="2880"/>
        </w:tabs>
        <w:ind w:left="2880" w:hanging="360"/>
      </w:pPr>
    </w:lvl>
    <w:lvl w:ilvl="4" w:tplc="84C617B8" w:tentative="1">
      <w:start w:val="1"/>
      <w:numFmt w:val="decimal"/>
      <w:lvlText w:val="%5."/>
      <w:lvlJc w:val="left"/>
      <w:pPr>
        <w:tabs>
          <w:tab w:val="num" w:pos="3600"/>
        </w:tabs>
        <w:ind w:left="3600" w:hanging="360"/>
      </w:pPr>
    </w:lvl>
    <w:lvl w:ilvl="5" w:tplc="6BDE9922" w:tentative="1">
      <w:start w:val="1"/>
      <w:numFmt w:val="decimal"/>
      <w:lvlText w:val="%6."/>
      <w:lvlJc w:val="left"/>
      <w:pPr>
        <w:tabs>
          <w:tab w:val="num" w:pos="4320"/>
        </w:tabs>
        <w:ind w:left="4320" w:hanging="360"/>
      </w:pPr>
    </w:lvl>
    <w:lvl w:ilvl="6" w:tplc="471C8944" w:tentative="1">
      <w:start w:val="1"/>
      <w:numFmt w:val="decimal"/>
      <w:lvlText w:val="%7."/>
      <w:lvlJc w:val="left"/>
      <w:pPr>
        <w:tabs>
          <w:tab w:val="num" w:pos="5040"/>
        </w:tabs>
        <w:ind w:left="5040" w:hanging="360"/>
      </w:pPr>
    </w:lvl>
    <w:lvl w:ilvl="7" w:tplc="8C3EA2A8" w:tentative="1">
      <w:start w:val="1"/>
      <w:numFmt w:val="decimal"/>
      <w:lvlText w:val="%8."/>
      <w:lvlJc w:val="left"/>
      <w:pPr>
        <w:tabs>
          <w:tab w:val="num" w:pos="5760"/>
        </w:tabs>
        <w:ind w:left="5760" w:hanging="360"/>
      </w:pPr>
    </w:lvl>
    <w:lvl w:ilvl="8" w:tplc="AE60418A" w:tentative="1">
      <w:start w:val="1"/>
      <w:numFmt w:val="decimal"/>
      <w:lvlText w:val="%9."/>
      <w:lvlJc w:val="left"/>
      <w:pPr>
        <w:tabs>
          <w:tab w:val="num" w:pos="6480"/>
        </w:tabs>
        <w:ind w:left="6480" w:hanging="360"/>
      </w:pPr>
    </w:lvl>
  </w:abstractNum>
  <w:abstractNum w:abstractNumId="2"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B0316DF"/>
    <w:multiLevelType w:val="hybridMultilevel"/>
    <w:tmpl w:val="4DB486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BC74A34"/>
    <w:multiLevelType w:val="hybridMultilevel"/>
    <w:tmpl w:val="2FA677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8E5236"/>
    <w:multiLevelType w:val="hybridMultilevel"/>
    <w:tmpl w:val="4E0A5B6E"/>
    <w:lvl w:ilvl="0" w:tplc="28443DA4">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87450EA"/>
    <w:multiLevelType w:val="hybridMultilevel"/>
    <w:tmpl w:val="B66C0196"/>
    <w:lvl w:ilvl="0" w:tplc="F614FF4A">
      <w:start w:val="3"/>
      <w:numFmt w:val="decimal"/>
      <w:lvlText w:val="%1."/>
      <w:lvlJc w:val="left"/>
      <w:pPr>
        <w:tabs>
          <w:tab w:val="num" w:pos="720"/>
        </w:tabs>
        <w:ind w:left="720" w:hanging="360"/>
      </w:pPr>
    </w:lvl>
    <w:lvl w:ilvl="1" w:tplc="7D4AE8A4" w:tentative="1">
      <w:start w:val="1"/>
      <w:numFmt w:val="decimal"/>
      <w:lvlText w:val="%2."/>
      <w:lvlJc w:val="left"/>
      <w:pPr>
        <w:tabs>
          <w:tab w:val="num" w:pos="1440"/>
        </w:tabs>
        <w:ind w:left="1440" w:hanging="360"/>
      </w:pPr>
    </w:lvl>
    <w:lvl w:ilvl="2" w:tplc="7CCAEF06" w:tentative="1">
      <w:start w:val="1"/>
      <w:numFmt w:val="decimal"/>
      <w:lvlText w:val="%3."/>
      <w:lvlJc w:val="left"/>
      <w:pPr>
        <w:tabs>
          <w:tab w:val="num" w:pos="2160"/>
        </w:tabs>
        <w:ind w:left="2160" w:hanging="360"/>
      </w:pPr>
    </w:lvl>
    <w:lvl w:ilvl="3" w:tplc="3D08A506" w:tentative="1">
      <w:start w:val="1"/>
      <w:numFmt w:val="decimal"/>
      <w:lvlText w:val="%4."/>
      <w:lvlJc w:val="left"/>
      <w:pPr>
        <w:tabs>
          <w:tab w:val="num" w:pos="2880"/>
        </w:tabs>
        <w:ind w:left="2880" w:hanging="360"/>
      </w:pPr>
    </w:lvl>
    <w:lvl w:ilvl="4" w:tplc="43627BDA" w:tentative="1">
      <w:start w:val="1"/>
      <w:numFmt w:val="decimal"/>
      <w:lvlText w:val="%5."/>
      <w:lvlJc w:val="left"/>
      <w:pPr>
        <w:tabs>
          <w:tab w:val="num" w:pos="3600"/>
        </w:tabs>
        <w:ind w:left="3600" w:hanging="360"/>
      </w:pPr>
    </w:lvl>
    <w:lvl w:ilvl="5" w:tplc="CDA4A38C" w:tentative="1">
      <w:start w:val="1"/>
      <w:numFmt w:val="decimal"/>
      <w:lvlText w:val="%6."/>
      <w:lvlJc w:val="left"/>
      <w:pPr>
        <w:tabs>
          <w:tab w:val="num" w:pos="4320"/>
        </w:tabs>
        <w:ind w:left="4320" w:hanging="360"/>
      </w:pPr>
    </w:lvl>
    <w:lvl w:ilvl="6" w:tplc="A4D40BFC" w:tentative="1">
      <w:start w:val="1"/>
      <w:numFmt w:val="decimal"/>
      <w:lvlText w:val="%7."/>
      <w:lvlJc w:val="left"/>
      <w:pPr>
        <w:tabs>
          <w:tab w:val="num" w:pos="5040"/>
        </w:tabs>
        <w:ind w:left="5040" w:hanging="360"/>
      </w:pPr>
    </w:lvl>
    <w:lvl w:ilvl="7" w:tplc="07F2266E" w:tentative="1">
      <w:start w:val="1"/>
      <w:numFmt w:val="decimal"/>
      <w:lvlText w:val="%8."/>
      <w:lvlJc w:val="left"/>
      <w:pPr>
        <w:tabs>
          <w:tab w:val="num" w:pos="5760"/>
        </w:tabs>
        <w:ind w:left="5760" w:hanging="360"/>
      </w:pPr>
    </w:lvl>
    <w:lvl w:ilvl="8" w:tplc="B8A04268" w:tentative="1">
      <w:start w:val="1"/>
      <w:numFmt w:val="decimal"/>
      <w:lvlText w:val="%9."/>
      <w:lvlJc w:val="left"/>
      <w:pPr>
        <w:tabs>
          <w:tab w:val="num" w:pos="6480"/>
        </w:tabs>
        <w:ind w:left="6480" w:hanging="360"/>
      </w:pPr>
    </w:lvl>
  </w:abstractNum>
  <w:abstractNum w:abstractNumId="10"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07133C3"/>
    <w:multiLevelType w:val="hybridMultilevel"/>
    <w:tmpl w:val="F4B2D3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2"/>
  </w:num>
  <w:num w:numId="5">
    <w:abstractNumId w:val="8"/>
  </w:num>
  <w:num w:numId="6">
    <w:abstractNumId w:val="12"/>
  </w:num>
  <w:num w:numId="7">
    <w:abstractNumId w:val="3"/>
  </w:num>
  <w:num w:numId="8">
    <w:abstractNumId w:val="1"/>
  </w:num>
  <w:num w:numId="9">
    <w:abstractNumId w:val="0"/>
  </w:num>
  <w:num w:numId="10">
    <w:abstractNumId w:val="9"/>
  </w:num>
  <w:num w:numId="11">
    <w:abstractNumId w:val="11"/>
  </w:num>
  <w:num w:numId="12">
    <w:abstractNumId w:val="6"/>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58AA"/>
    <w:rsid w:val="0000653D"/>
    <w:rsid w:val="00007491"/>
    <w:rsid w:val="0001048C"/>
    <w:rsid w:val="00013B61"/>
    <w:rsid w:val="00014B9F"/>
    <w:rsid w:val="00016159"/>
    <w:rsid w:val="0002003C"/>
    <w:rsid w:val="000231D2"/>
    <w:rsid w:val="000240CA"/>
    <w:rsid w:val="00024ACB"/>
    <w:rsid w:val="00024D9D"/>
    <w:rsid w:val="0002596F"/>
    <w:rsid w:val="00026F18"/>
    <w:rsid w:val="0003012D"/>
    <w:rsid w:val="00030B7E"/>
    <w:rsid w:val="0003245D"/>
    <w:rsid w:val="00032471"/>
    <w:rsid w:val="0003265E"/>
    <w:rsid w:val="0003309D"/>
    <w:rsid w:val="00033F5A"/>
    <w:rsid w:val="00035C7B"/>
    <w:rsid w:val="000430AC"/>
    <w:rsid w:val="0004380E"/>
    <w:rsid w:val="00044683"/>
    <w:rsid w:val="00044743"/>
    <w:rsid w:val="00047095"/>
    <w:rsid w:val="00047962"/>
    <w:rsid w:val="000527A4"/>
    <w:rsid w:val="000678CD"/>
    <w:rsid w:val="00070F56"/>
    <w:rsid w:val="00071082"/>
    <w:rsid w:val="0007156D"/>
    <w:rsid w:val="00071BC9"/>
    <w:rsid w:val="00072B02"/>
    <w:rsid w:val="0007330D"/>
    <w:rsid w:val="00074090"/>
    <w:rsid w:val="000773A5"/>
    <w:rsid w:val="00077D13"/>
    <w:rsid w:val="0008002B"/>
    <w:rsid w:val="00080352"/>
    <w:rsid w:val="000818FB"/>
    <w:rsid w:val="00081EC5"/>
    <w:rsid w:val="0008515E"/>
    <w:rsid w:val="00085640"/>
    <w:rsid w:val="00091668"/>
    <w:rsid w:val="00091F4F"/>
    <w:rsid w:val="0009291B"/>
    <w:rsid w:val="0009324B"/>
    <w:rsid w:val="00094B1E"/>
    <w:rsid w:val="00094DE4"/>
    <w:rsid w:val="00095280"/>
    <w:rsid w:val="00096060"/>
    <w:rsid w:val="000964C6"/>
    <w:rsid w:val="000A0059"/>
    <w:rsid w:val="000A14E3"/>
    <w:rsid w:val="000A37C3"/>
    <w:rsid w:val="000A38DA"/>
    <w:rsid w:val="000A44CE"/>
    <w:rsid w:val="000B0748"/>
    <w:rsid w:val="000B1926"/>
    <w:rsid w:val="000B1B64"/>
    <w:rsid w:val="000B2C54"/>
    <w:rsid w:val="000B3449"/>
    <w:rsid w:val="000B3FAB"/>
    <w:rsid w:val="000B492B"/>
    <w:rsid w:val="000B71B4"/>
    <w:rsid w:val="000C090A"/>
    <w:rsid w:val="000C33C1"/>
    <w:rsid w:val="000C4418"/>
    <w:rsid w:val="000C50F5"/>
    <w:rsid w:val="000C71B9"/>
    <w:rsid w:val="000D0CAC"/>
    <w:rsid w:val="000D2474"/>
    <w:rsid w:val="000D3D56"/>
    <w:rsid w:val="000D43D9"/>
    <w:rsid w:val="000D460D"/>
    <w:rsid w:val="000D74B9"/>
    <w:rsid w:val="000E257B"/>
    <w:rsid w:val="000E53C3"/>
    <w:rsid w:val="000E56F8"/>
    <w:rsid w:val="000E5DD2"/>
    <w:rsid w:val="000E63F3"/>
    <w:rsid w:val="000F0A62"/>
    <w:rsid w:val="000F0E0E"/>
    <w:rsid w:val="000F25D2"/>
    <w:rsid w:val="000F2EA7"/>
    <w:rsid w:val="000F4230"/>
    <w:rsid w:val="000F785A"/>
    <w:rsid w:val="001001F5"/>
    <w:rsid w:val="00102922"/>
    <w:rsid w:val="00102B0D"/>
    <w:rsid w:val="00102B1D"/>
    <w:rsid w:val="00105D17"/>
    <w:rsid w:val="00110128"/>
    <w:rsid w:val="0011606F"/>
    <w:rsid w:val="00116B68"/>
    <w:rsid w:val="001205C6"/>
    <w:rsid w:val="0012353E"/>
    <w:rsid w:val="001257ED"/>
    <w:rsid w:val="0012624C"/>
    <w:rsid w:val="00130058"/>
    <w:rsid w:val="0013024B"/>
    <w:rsid w:val="00131AB3"/>
    <w:rsid w:val="00131C9F"/>
    <w:rsid w:val="00136CCC"/>
    <w:rsid w:val="00137388"/>
    <w:rsid w:val="00137F96"/>
    <w:rsid w:val="00142C3C"/>
    <w:rsid w:val="00143BB6"/>
    <w:rsid w:val="00144FDD"/>
    <w:rsid w:val="00145366"/>
    <w:rsid w:val="00146697"/>
    <w:rsid w:val="00146D17"/>
    <w:rsid w:val="0014739B"/>
    <w:rsid w:val="00150256"/>
    <w:rsid w:val="00151BBD"/>
    <w:rsid w:val="00152387"/>
    <w:rsid w:val="0015295F"/>
    <w:rsid w:val="00156C28"/>
    <w:rsid w:val="0016143E"/>
    <w:rsid w:val="00161BA7"/>
    <w:rsid w:val="001633A3"/>
    <w:rsid w:val="001633E5"/>
    <w:rsid w:val="00163DB7"/>
    <w:rsid w:val="001650AC"/>
    <w:rsid w:val="001655DD"/>
    <w:rsid w:val="00165747"/>
    <w:rsid w:val="00165F5E"/>
    <w:rsid w:val="0016668A"/>
    <w:rsid w:val="00166A8B"/>
    <w:rsid w:val="0016744E"/>
    <w:rsid w:val="00167597"/>
    <w:rsid w:val="00172082"/>
    <w:rsid w:val="00176AB2"/>
    <w:rsid w:val="00177250"/>
    <w:rsid w:val="00177882"/>
    <w:rsid w:val="00177C69"/>
    <w:rsid w:val="00180E2B"/>
    <w:rsid w:val="00183B65"/>
    <w:rsid w:val="00183C0A"/>
    <w:rsid w:val="001850AC"/>
    <w:rsid w:val="00186A4D"/>
    <w:rsid w:val="00187140"/>
    <w:rsid w:val="00187CC8"/>
    <w:rsid w:val="00190B3D"/>
    <w:rsid w:val="0019140D"/>
    <w:rsid w:val="00191B63"/>
    <w:rsid w:val="001935C8"/>
    <w:rsid w:val="001946C8"/>
    <w:rsid w:val="00195D43"/>
    <w:rsid w:val="001A00DC"/>
    <w:rsid w:val="001A120C"/>
    <w:rsid w:val="001A1322"/>
    <w:rsid w:val="001A1368"/>
    <w:rsid w:val="001A1439"/>
    <w:rsid w:val="001A2748"/>
    <w:rsid w:val="001A38EA"/>
    <w:rsid w:val="001A3ED2"/>
    <w:rsid w:val="001A7C3A"/>
    <w:rsid w:val="001A7E1D"/>
    <w:rsid w:val="001B1AD3"/>
    <w:rsid w:val="001B634A"/>
    <w:rsid w:val="001B70CA"/>
    <w:rsid w:val="001B7454"/>
    <w:rsid w:val="001C0801"/>
    <w:rsid w:val="001C143C"/>
    <w:rsid w:val="001C1B72"/>
    <w:rsid w:val="001C2832"/>
    <w:rsid w:val="001C362D"/>
    <w:rsid w:val="001C5ED6"/>
    <w:rsid w:val="001C6208"/>
    <w:rsid w:val="001C68A2"/>
    <w:rsid w:val="001C70CC"/>
    <w:rsid w:val="001D0561"/>
    <w:rsid w:val="001D0800"/>
    <w:rsid w:val="001D2C06"/>
    <w:rsid w:val="001D3167"/>
    <w:rsid w:val="001D57E4"/>
    <w:rsid w:val="001D6EFA"/>
    <w:rsid w:val="001D7397"/>
    <w:rsid w:val="001D7DC1"/>
    <w:rsid w:val="001E023A"/>
    <w:rsid w:val="001E11E3"/>
    <w:rsid w:val="001E1B0F"/>
    <w:rsid w:val="001E3588"/>
    <w:rsid w:val="001E4C2F"/>
    <w:rsid w:val="001E5FBC"/>
    <w:rsid w:val="001E76BE"/>
    <w:rsid w:val="001F2BA2"/>
    <w:rsid w:val="001F6DBE"/>
    <w:rsid w:val="001F7086"/>
    <w:rsid w:val="001F7AAD"/>
    <w:rsid w:val="00200E7D"/>
    <w:rsid w:val="00201D17"/>
    <w:rsid w:val="00203DBB"/>
    <w:rsid w:val="0020468C"/>
    <w:rsid w:val="002107BF"/>
    <w:rsid w:val="00210E64"/>
    <w:rsid w:val="00211315"/>
    <w:rsid w:val="00215A5A"/>
    <w:rsid w:val="00215C6A"/>
    <w:rsid w:val="0021738A"/>
    <w:rsid w:val="002177B0"/>
    <w:rsid w:val="00217F5B"/>
    <w:rsid w:val="00223778"/>
    <w:rsid w:val="00224E84"/>
    <w:rsid w:val="002267E7"/>
    <w:rsid w:val="00227BC3"/>
    <w:rsid w:val="00227F25"/>
    <w:rsid w:val="00232596"/>
    <w:rsid w:val="00234470"/>
    <w:rsid w:val="0023582E"/>
    <w:rsid w:val="00237878"/>
    <w:rsid w:val="002438ED"/>
    <w:rsid w:val="00244A9E"/>
    <w:rsid w:val="00246849"/>
    <w:rsid w:val="00250127"/>
    <w:rsid w:val="0025023B"/>
    <w:rsid w:val="00251FA5"/>
    <w:rsid w:val="00252EEF"/>
    <w:rsid w:val="00253B6C"/>
    <w:rsid w:val="00254651"/>
    <w:rsid w:val="00254901"/>
    <w:rsid w:val="0025543B"/>
    <w:rsid w:val="00255BAC"/>
    <w:rsid w:val="0025654B"/>
    <w:rsid w:val="002565F1"/>
    <w:rsid w:val="00257981"/>
    <w:rsid w:val="002601C7"/>
    <w:rsid w:val="00261B97"/>
    <w:rsid w:val="002631DB"/>
    <w:rsid w:val="002651EA"/>
    <w:rsid w:val="0027369F"/>
    <w:rsid w:val="00273700"/>
    <w:rsid w:val="00273B21"/>
    <w:rsid w:val="00277D9D"/>
    <w:rsid w:val="00281C0B"/>
    <w:rsid w:val="00281F89"/>
    <w:rsid w:val="00282251"/>
    <w:rsid w:val="0028288E"/>
    <w:rsid w:val="00290EE2"/>
    <w:rsid w:val="00292062"/>
    <w:rsid w:val="002932D2"/>
    <w:rsid w:val="00294DDB"/>
    <w:rsid w:val="00294DF3"/>
    <w:rsid w:val="002957B7"/>
    <w:rsid w:val="002A0435"/>
    <w:rsid w:val="002A0BC1"/>
    <w:rsid w:val="002A166A"/>
    <w:rsid w:val="002A1AA4"/>
    <w:rsid w:val="002A3287"/>
    <w:rsid w:val="002A3EC2"/>
    <w:rsid w:val="002A6400"/>
    <w:rsid w:val="002B071C"/>
    <w:rsid w:val="002B24D2"/>
    <w:rsid w:val="002B3EAE"/>
    <w:rsid w:val="002B4900"/>
    <w:rsid w:val="002B6364"/>
    <w:rsid w:val="002B7681"/>
    <w:rsid w:val="002B7F82"/>
    <w:rsid w:val="002C15A0"/>
    <w:rsid w:val="002C22CF"/>
    <w:rsid w:val="002C3E23"/>
    <w:rsid w:val="002C3E51"/>
    <w:rsid w:val="002C504B"/>
    <w:rsid w:val="002C65E0"/>
    <w:rsid w:val="002C743D"/>
    <w:rsid w:val="002D0D53"/>
    <w:rsid w:val="002D339C"/>
    <w:rsid w:val="002D43A2"/>
    <w:rsid w:val="002D6A10"/>
    <w:rsid w:val="002D6BDB"/>
    <w:rsid w:val="002D744A"/>
    <w:rsid w:val="002D7D0E"/>
    <w:rsid w:val="002E024D"/>
    <w:rsid w:val="002E1075"/>
    <w:rsid w:val="002E5019"/>
    <w:rsid w:val="002E5643"/>
    <w:rsid w:val="002E5CDE"/>
    <w:rsid w:val="002E678E"/>
    <w:rsid w:val="002E708A"/>
    <w:rsid w:val="002E7635"/>
    <w:rsid w:val="002F06CE"/>
    <w:rsid w:val="002F1DDB"/>
    <w:rsid w:val="002F5587"/>
    <w:rsid w:val="002F5B63"/>
    <w:rsid w:val="002F5FB0"/>
    <w:rsid w:val="002F67C8"/>
    <w:rsid w:val="002F741D"/>
    <w:rsid w:val="00300B84"/>
    <w:rsid w:val="00301A6D"/>
    <w:rsid w:val="0030247A"/>
    <w:rsid w:val="00303955"/>
    <w:rsid w:val="00303F18"/>
    <w:rsid w:val="00304810"/>
    <w:rsid w:val="003055C3"/>
    <w:rsid w:val="003061FB"/>
    <w:rsid w:val="00306270"/>
    <w:rsid w:val="0031008A"/>
    <w:rsid w:val="00310924"/>
    <w:rsid w:val="0031259B"/>
    <w:rsid w:val="00314287"/>
    <w:rsid w:val="00314298"/>
    <w:rsid w:val="0031471E"/>
    <w:rsid w:val="003176D3"/>
    <w:rsid w:val="00320B22"/>
    <w:rsid w:val="003228DE"/>
    <w:rsid w:val="00323C8A"/>
    <w:rsid w:val="003251AC"/>
    <w:rsid w:val="00326096"/>
    <w:rsid w:val="00326AE5"/>
    <w:rsid w:val="00330421"/>
    <w:rsid w:val="0033237E"/>
    <w:rsid w:val="003334FB"/>
    <w:rsid w:val="003344E7"/>
    <w:rsid w:val="0033779C"/>
    <w:rsid w:val="00337AC6"/>
    <w:rsid w:val="00343A18"/>
    <w:rsid w:val="0034476B"/>
    <w:rsid w:val="00346913"/>
    <w:rsid w:val="003469B5"/>
    <w:rsid w:val="00346CE0"/>
    <w:rsid w:val="003513E6"/>
    <w:rsid w:val="00354ABE"/>
    <w:rsid w:val="00356492"/>
    <w:rsid w:val="00357C6C"/>
    <w:rsid w:val="00360657"/>
    <w:rsid w:val="003621A3"/>
    <w:rsid w:val="00366AFE"/>
    <w:rsid w:val="00367B98"/>
    <w:rsid w:val="00370711"/>
    <w:rsid w:val="00371757"/>
    <w:rsid w:val="00373F39"/>
    <w:rsid w:val="00374F73"/>
    <w:rsid w:val="0037530A"/>
    <w:rsid w:val="00375D4C"/>
    <w:rsid w:val="00375F30"/>
    <w:rsid w:val="00376F09"/>
    <w:rsid w:val="00380AC5"/>
    <w:rsid w:val="00380D03"/>
    <w:rsid w:val="00381382"/>
    <w:rsid w:val="003814A5"/>
    <w:rsid w:val="00381B26"/>
    <w:rsid w:val="00382FEC"/>
    <w:rsid w:val="00385772"/>
    <w:rsid w:val="00387734"/>
    <w:rsid w:val="003911D7"/>
    <w:rsid w:val="0039139B"/>
    <w:rsid w:val="003913FB"/>
    <w:rsid w:val="00391F87"/>
    <w:rsid w:val="0039281D"/>
    <w:rsid w:val="00392998"/>
    <w:rsid w:val="0039319E"/>
    <w:rsid w:val="00393E8A"/>
    <w:rsid w:val="003949F0"/>
    <w:rsid w:val="00395460"/>
    <w:rsid w:val="00396152"/>
    <w:rsid w:val="003962D9"/>
    <w:rsid w:val="00397D0E"/>
    <w:rsid w:val="003A1D77"/>
    <w:rsid w:val="003A24AD"/>
    <w:rsid w:val="003A2C91"/>
    <w:rsid w:val="003A3B51"/>
    <w:rsid w:val="003A40AD"/>
    <w:rsid w:val="003A4F11"/>
    <w:rsid w:val="003A66B2"/>
    <w:rsid w:val="003A6A32"/>
    <w:rsid w:val="003A6B7C"/>
    <w:rsid w:val="003A7D7E"/>
    <w:rsid w:val="003B1693"/>
    <w:rsid w:val="003B32EC"/>
    <w:rsid w:val="003B3488"/>
    <w:rsid w:val="003B5E55"/>
    <w:rsid w:val="003B5F6A"/>
    <w:rsid w:val="003B623A"/>
    <w:rsid w:val="003B63BE"/>
    <w:rsid w:val="003B7B62"/>
    <w:rsid w:val="003C072B"/>
    <w:rsid w:val="003C3D3D"/>
    <w:rsid w:val="003C5836"/>
    <w:rsid w:val="003C585E"/>
    <w:rsid w:val="003C7796"/>
    <w:rsid w:val="003D0189"/>
    <w:rsid w:val="003D0448"/>
    <w:rsid w:val="003D0D82"/>
    <w:rsid w:val="003D0FB7"/>
    <w:rsid w:val="003D1A86"/>
    <w:rsid w:val="003D3252"/>
    <w:rsid w:val="003D3CA2"/>
    <w:rsid w:val="003D3E7E"/>
    <w:rsid w:val="003D7F0B"/>
    <w:rsid w:val="003E06DF"/>
    <w:rsid w:val="003E145E"/>
    <w:rsid w:val="003E171B"/>
    <w:rsid w:val="003E3100"/>
    <w:rsid w:val="003E4132"/>
    <w:rsid w:val="003E5276"/>
    <w:rsid w:val="003E5596"/>
    <w:rsid w:val="003E58C7"/>
    <w:rsid w:val="003E5A6D"/>
    <w:rsid w:val="003E5B81"/>
    <w:rsid w:val="003E5D7B"/>
    <w:rsid w:val="003E637A"/>
    <w:rsid w:val="003E78C2"/>
    <w:rsid w:val="003E7E55"/>
    <w:rsid w:val="003F0341"/>
    <w:rsid w:val="003F288B"/>
    <w:rsid w:val="003F2B20"/>
    <w:rsid w:val="003F2C34"/>
    <w:rsid w:val="003F2DF0"/>
    <w:rsid w:val="003F30FC"/>
    <w:rsid w:val="003F45CD"/>
    <w:rsid w:val="003F4CC7"/>
    <w:rsid w:val="003F7C94"/>
    <w:rsid w:val="00401397"/>
    <w:rsid w:val="004038BC"/>
    <w:rsid w:val="00406AE2"/>
    <w:rsid w:val="0040785B"/>
    <w:rsid w:val="0041036A"/>
    <w:rsid w:val="0041316A"/>
    <w:rsid w:val="00414633"/>
    <w:rsid w:val="004158F6"/>
    <w:rsid w:val="00415A66"/>
    <w:rsid w:val="00416A31"/>
    <w:rsid w:val="00417136"/>
    <w:rsid w:val="00417240"/>
    <w:rsid w:val="0041770B"/>
    <w:rsid w:val="004205F6"/>
    <w:rsid w:val="00420760"/>
    <w:rsid w:val="00420CFF"/>
    <w:rsid w:val="004224C2"/>
    <w:rsid w:val="00423B46"/>
    <w:rsid w:val="00424376"/>
    <w:rsid w:val="00425AA9"/>
    <w:rsid w:val="00426250"/>
    <w:rsid w:val="00426A69"/>
    <w:rsid w:val="00426B77"/>
    <w:rsid w:val="00430F61"/>
    <w:rsid w:val="00431019"/>
    <w:rsid w:val="00433EC2"/>
    <w:rsid w:val="00434856"/>
    <w:rsid w:val="00434CD9"/>
    <w:rsid w:val="004352F7"/>
    <w:rsid w:val="004354EC"/>
    <w:rsid w:val="0043554A"/>
    <w:rsid w:val="0043619D"/>
    <w:rsid w:val="004362D3"/>
    <w:rsid w:val="00442A8B"/>
    <w:rsid w:val="00442D1E"/>
    <w:rsid w:val="00443016"/>
    <w:rsid w:val="00444344"/>
    <w:rsid w:val="00445945"/>
    <w:rsid w:val="00446AAB"/>
    <w:rsid w:val="00450691"/>
    <w:rsid w:val="00450D9C"/>
    <w:rsid w:val="00452140"/>
    <w:rsid w:val="00453BB3"/>
    <w:rsid w:val="004545A3"/>
    <w:rsid w:val="00454695"/>
    <w:rsid w:val="00457427"/>
    <w:rsid w:val="00457529"/>
    <w:rsid w:val="00457C1C"/>
    <w:rsid w:val="004615AE"/>
    <w:rsid w:val="004617B1"/>
    <w:rsid w:val="004619FE"/>
    <w:rsid w:val="00462679"/>
    <w:rsid w:val="00463574"/>
    <w:rsid w:val="00464762"/>
    <w:rsid w:val="00466669"/>
    <w:rsid w:val="004666F3"/>
    <w:rsid w:val="00467343"/>
    <w:rsid w:val="0047031A"/>
    <w:rsid w:val="00471A6D"/>
    <w:rsid w:val="0047322E"/>
    <w:rsid w:val="004741BD"/>
    <w:rsid w:val="004757CE"/>
    <w:rsid w:val="00475FA3"/>
    <w:rsid w:val="00476F80"/>
    <w:rsid w:val="00480F68"/>
    <w:rsid w:val="00481C20"/>
    <w:rsid w:val="00483B86"/>
    <w:rsid w:val="00485293"/>
    <w:rsid w:val="00485E47"/>
    <w:rsid w:val="00490499"/>
    <w:rsid w:val="00491123"/>
    <w:rsid w:val="00495A06"/>
    <w:rsid w:val="004961D7"/>
    <w:rsid w:val="00497AB8"/>
    <w:rsid w:val="004A2EE3"/>
    <w:rsid w:val="004A4356"/>
    <w:rsid w:val="004A5EEF"/>
    <w:rsid w:val="004B0B1D"/>
    <w:rsid w:val="004B261A"/>
    <w:rsid w:val="004B3C41"/>
    <w:rsid w:val="004B6792"/>
    <w:rsid w:val="004C0738"/>
    <w:rsid w:val="004C0D20"/>
    <w:rsid w:val="004C0FE6"/>
    <w:rsid w:val="004C20F1"/>
    <w:rsid w:val="004C212C"/>
    <w:rsid w:val="004C253C"/>
    <w:rsid w:val="004C2FC4"/>
    <w:rsid w:val="004C30C9"/>
    <w:rsid w:val="004D0B68"/>
    <w:rsid w:val="004D0F95"/>
    <w:rsid w:val="004D232B"/>
    <w:rsid w:val="004D3010"/>
    <w:rsid w:val="004D3ABB"/>
    <w:rsid w:val="004D4A6B"/>
    <w:rsid w:val="004E1476"/>
    <w:rsid w:val="004E4946"/>
    <w:rsid w:val="004E5D38"/>
    <w:rsid w:val="004E603B"/>
    <w:rsid w:val="004E626B"/>
    <w:rsid w:val="004E6C7D"/>
    <w:rsid w:val="004F13BD"/>
    <w:rsid w:val="004F478F"/>
    <w:rsid w:val="00501246"/>
    <w:rsid w:val="0050230D"/>
    <w:rsid w:val="0050364D"/>
    <w:rsid w:val="00503D17"/>
    <w:rsid w:val="00504D6E"/>
    <w:rsid w:val="005116FB"/>
    <w:rsid w:val="0051378F"/>
    <w:rsid w:val="00514B75"/>
    <w:rsid w:val="00515D44"/>
    <w:rsid w:val="00516EF1"/>
    <w:rsid w:val="00520907"/>
    <w:rsid w:val="00531AFF"/>
    <w:rsid w:val="00532875"/>
    <w:rsid w:val="00532B39"/>
    <w:rsid w:val="00533F84"/>
    <w:rsid w:val="00534305"/>
    <w:rsid w:val="0053691B"/>
    <w:rsid w:val="00537FF8"/>
    <w:rsid w:val="00542913"/>
    <w:rsid w:val="0054467E"/>
    <w:rsid w:val="005464E6"/>
    <w:rsid w:val="00546938"/>
    <w:rsid w:val="00547ACF"/>
    <w:rsid w:val="005519BC"/>
    <w:rsid w:val="005525C7"/>
    <w:rsid w:val="00552639"/>
    <w:rsid w:val="00555557"/>
    <w:rsid w:val="00557927"/>
    <w:rsid w:val="00557AA8"/>
    <w:rsid w:val="00557B17"/>
    <w:rsid w:val="00561126"/>
    <w:rsid w:val="00561142"/>
    <w:rsid w:val="00561296"/>
    <w:rsid w:val="00566916"/>
    <w:rsid w:val="00566F71"/>
    <w:rsid w:val="00567EBC"/>
    <w:rsid w:val="00567FC5"/>
    <w:rsid w:val="00571CCF"/>
    <w:rsid w:val="00572180"/>
    <w:rsid w:val="00572337"/>
    <w:rsid w:val="00573FFE"/>
    <w:rsid w:val="00575FC3"/>
    <w:rsid w:val="0057625C"/>
    <w:rsid w:val="00576743"/>
    <w:rsid w:val="005771D5"/>
    <w:rsid w:val="0058066B"/>
    <w:rsid w:val="0058099B"/>
    <w:rsid w:val="00580B98"/>
    <w:rsid w:val="00581784"/>
    <w:rsid w:val="005836A3"/>
    <w:rsid w:val="00583CBA"/>
    <w:rsid w:val="00584453"/>
    <w:rsid w:val="00591838"/>
    <w:rsid w:val="00592809"/>
    <w:rsid w:val="00593343"/>
    <w:rsid w:val="00594A83"/>
    <w:rsid w:val="005A0C78"/>
    <w:rsid w:val="005A1518"/>
    <w:rsid w:val="005A24AE"/>
    <w:rsid w:val="005A4807"/>
    <w:rsid w:val="005A4FDF"/>
    <w:rsid w:val="005A5A80"/>
    <w:rsid w:val="005A6E3D"/>
    <w:rsid w:val="005A7042"/>
    <w:rsid w:val="005B0FC7"/>
    <w:rsid w:val="005B297A"/>
    <w:rsid w:val="005B29EF"/>
    <w:rsid w:val="005B2DA5"/>
    <w:rsid w:val="005B476F"/>
    <w:rsid w:val="005B5F05"/>
    <w:rsid w:val="005B6095"/>
    <w:rsid w:val="005B65B8"/>
    <w:rsid w:val="005B6A0D"/>
    <w:rsid w:val="005B6D1C"/>
    <w:rsid w:val="005B6FD2"/>
    <w:rsid w:val="005C04E5"/>
    <w:rsid w:val="005C1764"/>
    <w:rsid w:val="005C3B2C"/>
    <w:rsid w:val="005C3BE8"/>
    <w:rsid w:val="005C3D03"/>
    <w:rsid w:val="005C51FA"/>
    <w:rsid w:val="005C5413"/>
    <w:rsid w:val="005C59B9"/>
    <w:rsid w:val="005C63C7"/>
    <w:rsid w:val="005C6502"/>
    <w:rsid w:val="005C6628"/>
    <w:rsid w:val="005C6B2C"/>
    <w:rsid w:val="005C73E4"/>
    <w:rsid w:val="005C7853"/>
    <w:rsid w:val="005C7B1F"/>
    <w:rsid w:val="005D06E8"/>
    <w:rsid w:val="005D1195"/>
    <w:rsid w:val="005D11E7"/>
    <w:rsid w:val="005D2167"/>
    <w:rsid w:val="005D603F"/>
    <w:rsid w:val="005D688E"/>
    <w:rsid w:val="005D6B98"/>
    <w:rsid w:val="005D6F53"/>
    <w:rsid w:val="005D794E"/>
    <w:rsid w:val="005E2CE4"/>
    <w:rsid w:val="005E2FF9"/>
    <w:rsid w:val="005E30B2"/>
    <w:rsid w:val="005E3715"/>
    <w:rsid w:val="005E39B3"/>
    <w:rsid w:val="005E4164"/>
    <w:rsid w:val="005F11BD"/>
    <w:rsid w:val="005F1F64"/>
    <w:rsid w:val="005F24C4"/>
    <w:rsid w:val="005F3196"/>
    <w:rsid w:val="005F32D1"/>
    <w:rsid w:val="005F3835"/>
    <w:rsid w:val="005F3FC6"/>
    <w:rsid w:val="005F75C4"/>
    <w:rsid w:val="006002BF"/>
    <w:rsid w:val="00600301"/>
    <w:rsid w:val="006008D1"/>
    <w:rsid w:val="00603CC2"/>
    <w:rsid w:val="00604D73"/>
    <w:rsid w:val="006064F8"/>
    <w:rsid w:val="006101CF"/>
    <w:rsid w:val="00611ADA"/>
    <w:rsid w:val="00611E18"/>
    <w:rsid w:val="00611FC0"/>
    <w:rsid w:val="00613A4A"/>
    <w:rsid w:val="00614157"/>
    <w:rsid w:val="00614A2A"/>
    <w:rsid w:val="00614ECD"/>
    <w:rsid w:val="00622341"/>
    <w:rsid w:val="006231D7"/>
    <w:rsid w:val="00624A71"/>
    <w:rsid w:val="00626031"/>
    <w:rsid w:val="00630C6C"/>
    <w:rsid w:val="00630ED2"/>
    <w:rsid w:val="00631935"/>
    <w:rsid w:val="00636B91"/>
    <w:rsid w:val="00636DC6"/>
    <w:rsid w:val="006373FF"/>
    <w:rsid w:val="00637833"/>
    <w:rsid w:val="00641AC4"/>
    <w:rsid w:val="00646A6F"/>
    <w:rsid w:val="00653397"/>
    <w:rsid w:val="006535C3"/>
    <w:rsid w:val="006553CD"/>
    <w:rsid w:val="006559F5"/>
    <w:rsid w:val="0065752A"/>
    <w:rsid w:val="00661782"/>
    <w:rsid w:val="00662C11"/>
    <w:rsid w:val="0066570F"/>
    <w:rsid w:val="00672822"/>
    <w:rsid w:val="006729D2"/>
    <w:rsid w:val="00673B07"/>
    <w:rsid w:val="00673BC6"/>
    <w:rsid w:val="006775B3"/>
    <w:rsid w:val="00684808"/>
    <w:rsid w:val="0068483E"/>
    <w:rsid w:val="00687967"/>
    <w:rsid w:val="00690F72"/>
    <w:rsid w:val="00695FE4"/>
    <w:rsid w:val="006A0F95"/>
    <w:rsid w:val="006A516C"/>
    <w:rsid w:val="006A6B80"/>
    <w:rsid w:val="006B1301"/>
    <w:rsid w:val="006B2D92"/>
    <w:rsid w:val="006B2FEF"/>
    <w:rsid w:val="006B4A7A"/>
    <w:rsid w:val="006B4B31"/>
    <w:rsid w:val="006B6581"/>
    <w:rsid w:val="006B6D6C"/>
    <w:rsid w:val="006B77B3"/>
    <w:rsid w:val="006C20C5"/>
    <w:rsid w:val="006C4918"/>
    <w:rsid w:val="006C5DED"/>
    <w:rsid w:val="006C5ECD"/>
    <w:rsid w:val="006D1520"/>
    <w:rsid w:val="006D2482"/>
    <w:rsid w:val="006D2E02"/>
    <w:rsid w:val="006D2F0C"/>
    <w:rsid w:val="006D3604"/>
    <w:rsid w:val="006D416D"/>
    <w:rsid w:val="006D536E"/>
    <w:rsid w:val="006D5EB4"/>
    <w:rsid w:val="006D6EE2"/>
    <w:rsid w:val="006E2082"/>
    <w:rsid w:val="006E3BE5"/>
    <w:rsid w:val="006E5D5B"/>
    <w:rsid w:val="006E67BA"/>
    <w:rsid w:val="006F2362"/>
    <w:rsid w:val="006F47EB"/>
    <w:rsid w:val="006F4B13"/>
    <w:rsid w:val="006F4DE9"/>
    <w:rsid w:val="006F61B5"/>
    <w:rsid w:val="006F71C2"/>
    <w:rsid w:val="007008B0"/>
    <w:rsid w:val="00700AC3"/>
    <w:rsid w:val="00700AD6"/>
    <w:rsid w:val="00700E68"/>
    <w:rsid w:val="00701065"/>
    <w:rsid w:val="0070175E"/>
    <w:rsid w:val="00702366"/>
    <w:rsid w:val="00703DC5"/>
    <w:rsid w:val="007040F2"/>
    <w:rsid w:val="007049DF"/>
    <w:rsid w:val="00705DFA"/>
    <w:rsid w:val="007061B6"/>
    <w:rsid w:val="007120EE"/>
    <w:rsid w:val="0071279F"/>
    <w:rsid w:val="007153C5"/>
    <w:rsid w:val="007161D3"/>
    <w:rsid w:val="0072038E"/>
    <w:rsid w:val="00720C35"/>
    <w:rsid w:val="00720E7B"/>
    <w:rsid w:val="0072232C"/>
    <w:rsid w:val="007262F0"/>
    <w:rsid w:val="00727BE9"/>
    <w:rsid w:val="007314F1"/>
    <w:rsid w:val="00731BE9"/>
    <w:rsid w:val="00731E2B"/>
    <w:rsid w:val="00732F98"/>
    <w:rsid w:val="00733C32"/>
    <w:rsid w:val="00734947"/>
    <w:rsid w:val="00734DAD"/>
    <w:rsid w:val="0073543C"/>
    <w:rsid w:val="007366D2"/>
    <w:rsid w:val="007420D7"/>
    <w:rsid w:val="0074545C"/>
    <w:rsid w:val="0074742D"/>
    <w:rsid w:val="00752DBC"/>
    <w:rsid w:val="00753FF4"/>
    <w:rsid w:val="0075411D"/>
    <w:rsid w:val="00755CB1"/>
    <w:rsid w:val="00756116"/>
    <w:rsid w:val="00756F8A"/>
    <w:rsid w:val="00757367"/>
    <w:rsid w:val="007601AF"/>
    <w:rsid w:val="00760295"/>
    <w:rsid w:val="00760998"/>
    <w:rsid w:val="00760B97"/>
    <w:rsid w:val="00762675"/>
    <w:rsid w:val="00762FC8"/>
    <w:rsid w:val="00765825"/>
    <w:rsid w:val="00765DBD"/>
    <w:rsid w:val="007700D3"/>
    <w:rsid w:val="00770970"/>
    <w:rsid w:val="0077131C"/>
    <w:rsid w:val="0077138B"/>
    <w:rsid w:val="0077534E"/>
    <w:rsid w:val="007770A2"/>
    <w:rsid w:val="00777133"/>
    <w:rsid w:val="0077733C"/>
    <w:rsid w:val="0078045E"/>
    <w:rsid w:val="00780B70"/>
    <w:rsid w:val="00782502"/>
    <w:rsid w:val="00782847"/>
    <w:rsid w:val="00783777"/>
    <w:rsid w:val="00783D20"/>
    <w:rsid w:val="00785232"/>
    <w:rsid w:val="0078549A"/>
    <w:rsid w:val="007862D0"/>
    <w:rsid w:val="0079247D"/>
    <w:rsid w:val="00794F2D"/>
    <w:rsid w:val="007954D3"/>
    <w:rsid w:val="00796159"/>
    <w:rsid w:val="00797AAD"/>
    <w:rsid w:val="007A01B6"/>
    <w:rsid w:val="007A2F02"/>
    <w:rsid w:val="007A509E"/>
    <w:rsid w:val="007A5127"/>
    <w:rsid w:val="007A5C51"/>
    <w:rsid w:val="007B25FF"/>
    <w:rsid w:val="007B2A03"/>
    <w:rsid w:val="007B41D7"/>
    <w:rsid w:val="007B70B5"/>
    <w:rsid w:val="007C0DB7"/>
    <w:rsid w:val="007C1A7D"/>
    <w:rsid w:val="007C1F6C"/>
    <w:rsid w:val="007C4094"/>
    <w:rsid w:val="007C45C5"/>
    <w:rsid w:val="007C608D"/>
    <w:rsid w:val="007C723E"/>
    <w:rsid w:val="007D29EC"/>
    <w:rsid w:val="007D50AE"/>
    <w:rsid w:val="007D516C"/>
    <w:rsid w:val="007E1EA6"/>
    <w:rsid w:val="007E2AE1"/>
    <w:rsid w:val="007E2FDE"/>
    <w:rsid w:val="007E4C1F"/>
    <w:rsid w:val="007E50CC"/>
    <w:rsid w:val="007E6851"/>
    <w:rsid w:val="007E6943"/>
    <w:rsid w:val="007F0204"/>
    <w:rsid w:val="007F3879"/>
    <w:rsid w:val="007F4575"/>
    <w:rsid w:val="007F5C3C"/>
    <w:rsid w:val="007F5C58"/>
    <w:rsid w:val="007F6449"/>
    <w:rsid w:val="007F6674"/>
    <w:rsid w:val="007F6D31"/>
    <w:rsid w:val="00800459"/>
    <w:rsid w:val="0080630B"/>
    <w:rsid w:val="00806AB5"/>
    <w:rsid w:val="00807142"/>
    <w:rsid w:val="008074E3"/>
    <w:rsid w:val="00807802"/>
    <w:rsid w:val="0080799C"/>
    <w:rsid w:val="00810C18"/>
    <w:rsid w:val="00814421"/>
    <w:rsid w:val="00814AFC"/>
    <w:rsid w:val="00814B22"/>
    <w:rsid w:val="0082067D"/>
    <w:rsid w:val="00822862"/>
    <w:rsid w:val="0082350A"/>
    <w:rsid w:val="00823765"/>
    <w:rsid w:val="0082597B"/>
    <w:rsid w:val="00830C89"/>
    <w:rsid w:val="00831A5D"/>
    <w:rsid w:val="00831DB4"/>
    <w:rsid w:val="008365EC"/>
    <w:rsid w:val="00837390"/>
    <w:rsid w:val="00840A8F"/>
    <w:rsid w:val="00844176"/>
    <w:rsid w:val="00844A32"/>
    <w:rsid w:val="00846A9D"/>
    <w:rsid w:val="008503CA"/>
    <w:rsid w:val="00852BA6"/>
    <w:rsid w:val="0085308E"/>
    <w:rsid w:val="0085318D"/>
    <w:rsid w:val="008565FB"/>
    <w:rsid w:val="008577FA"/>
    <w:rsid w:val="00862580"/>
    <w:rsid w:val="00862834"/>
    <w:rsid w:val="00870E97"/>
    <w:rsid w:val="00871516"/>
    <w:rsid w:val="008717E5"/>
    <w:rsid w:val="00871E2F"/>
    <w:rsid w:val="0087272B"/>
    <w:rsid w:val="00876284"/>
    <w:rsid w:val="008764DD"/>
    <w:rsid w:val="0087711A"/>
    <w:rsid w:val="00877499"/>
    <w:rsid w:val="008814E9"/>
    <w:rsid w:val="00881D71"/>
    <w:rsid w:val="00883C37"/>
    <w:rsid w:val="008841EB"/>
    <w:rsid w:val="0088688D"/>
    <w:rsid w:val="008910B2"/>
    <w:rsid w:val="00891622"/>
    <w:rsid w:val="00891C00"/>
    <w:rsid w:val="008921BE"/>
    <w:rsid w:val="00895E41"/>
    <w:rsid w:val="0089734D"/>
    <w:rsid w:val="008A0A32"/>
    <w:rsid w:val="008A1056"/>
    <w:rsid w:val="008A50CB"/>
    <w:rsid w:val="008A7CC5"/>
    <w:rsid w:val="008B0720"/>
    <w:rsid w:val="008B1C5A"/>
    <w:rsid w:val="008B1CC3"/>
    <w:rsid w:val="008B206C"/>
    <w:rsid w:val="008B34AA"/>
    <w:rsid w:val="008B4335"/>
    <w:rsid w:val="008B5413"/>
    <w:rsid w:val="008B56DF"/>
    <w:rsid w:val="008B5B2C"/>
    <w:rsid w:val="008B5EFB"/>
    <w:rsid w:val="008B66B6"/>
    <w:rsid w:val="008B69DC"/>
    <w:rsid w:val="008C089C"/>
    <w:rsid w:val="008C4728"/>
    <w:rsid w:val="008C6299"/>
    <w:rsid w:val="008C7959"/>
    <w:rsid w:val="008D09FC"/>
    <w:rsid w:val="008D3653"/>
    <w:rsid w:val="008D4F09"/>
    <w:rsid w:val="008D539E"/>
    <w:rsid w:val="008D65D5"/>
    <w:rsid w:val="008D75EB"/>
    <w:rsid w:val="008D7F23"/>
    <w:rsid w:val="008E12FB"/>
    <w:rsid w:val="008E1F57"/>
    <w:rsid w:val="008E5D85"/>
    <w:rsid w:val="008E751B"/>
    <w:rsid w:val="008F0CCC"/>
    <w:rsid w:val="008F5CF9"/>
    <w:rsid w:val="00900C33"/>
    <w:rsid w:val="0090193D"/>
    <w:rsid w:val="009034C7"/>
    <w:rsid w:val="00906ABE"/>
    <w:rsid w:val="00906D17"/>
    <w:rsid w:val="00907D1C"/>
    <w:rsid w:val="00907DD7"/>
    <w:rsid w:val="00910BBC"/>
    <w:rsid w:val="0091182D"/>
    <w:rsid w:val="00911DA2"/>
    <w:rsid w:val="009122CA"/>
    <w:rsid w:val="00915081"/>
    <w:rsid w:val="009165D6"/>
    <w:rsid w:val="00917D6F"/>
    <w:rsid w:val="00921504"/>
    <w:rsid w:val="00921E12"/>
    <w:rsid w:val="00922352"/>
    <w:rsid w:val="0092710C"/>
    <w:rsid w:val="0093112B"/>
    <w:rsid w:val="0093298F"/>
    <w:rsid w:val="009354F2"/>
    <w:rsid w:val="009370A3"/>
    <w:rsid w:val="00937BB0"/>
    <w:rsid w:val="0094022B"/>
    <w:rsid w:val="00941E05"/>
    <w:rsid w:val="00942D63"/>
    <w:rsid w:val="0094437B"/>
    <w:rsid w:val="009455DB"/>
    <w:rsid w:val="00945DB2"/>
    <w:rsid w:val="009511D6"/>
    <w:rsid w:val="00951ED7"/>
    <w:rsid w:val="00954428"/>
    <w:rsid w:val="00954541"/>
    <w:rsid w:val="00954C0F"/>
    <w:rsid w:val="00954F5D"/>
    <w:rsid w:val="00956218"/>
    <w:rsid w:val="00956C4B"/>
    <w:rsid w:val="00957E64"/>
    <w:rsid w:val="00961605"/>
    <w:rsid w:val="009620C5"/>
    <w:rsid w:val="00963C88"/>
    <w:rsid w:val="00965995"/>
    <w:rsid w:val="0096636E"/>
    <w:rsid w:val="00966814"/>
    <w:rsid w:val="00970D58"/>
    <w:rsid w:val="00973167"/>
    <w:rsid w:val="00974141"/>
    <w:rsid w:val="00980174"/>
    <w:rsid w:val="00981A42"/>
    <w:rsid w:val="00985A6C"/>
    <w:rsid w:val="009921E3"/>
    <w:rsid w:val="0099282E"/>
    <w:rsid w:val="00993596"/>
    <w:rsid w:val="00995A52"/>
    <w:rsid w:val="0099759D"/>
    <w:rsid w:val="009A00EB"/>
    <w:rsid w:val="009A6766"/>
    <w:rsid w:val="009A692C"/>
    <w:rsid w:val="009A7E10"/>
    <w:rsid w:val="009B1CEB"/>
    <w:rsid w:val="009B2576"/>
    <w:rsid w:val="009B3508"/>
    <w:rsid w:val="009B3AE3"/>
    <w:rsid w:val="009B430C"/>
    <w:rsid w:val="009B43EB"/>
    <w:rsid w:val="009B584C"/>
    <w:rsid w:val="009B6613"/>
    <w:rsid w:val="009B6674"/>
    <w:rsid w:val="009B7000"/>
    <w:rsid w:val="009B75D4"/>
    <w:rsid w:val="009C0178"/>
    <w:rsid w:val="009C030C"/>
    <w:rsid w:val="009C061A"/>
    <w:rsid w:val="009C108E"/>
    <w:rsid w:val="009C1FE8"/>
    <w:rsid w:val="009C228A"/>
    <w:rsid w:val="009C282F"/>
    <w:rsid w:val="009C2E2D"/>
    <w:rsid w:val="009C3257"/>
    <w:rsid w:val="009C5640"/>
    <w:rsid w:val="009C7F6E"/>
    <w:rsid w:val="009D0A96"/>
    <w:rsid w:val="009D1051"/>
    <w:rsid w:val="009D2037"/>
    <w:rsid w:val="009D3F87"/>
    <w:rsid w:val="009D43B2"/>
    <w:rsid w:val="009E03F3"/>
    <w:rsid w:val="009E5C84"/>
    <w:rsid w:val="009F0FC9"/>
    <w:rsid w:val="009F1A7E"/>
    <w:rsid w:val="00A035A7"/>
    <w:rsid w:val="00A03E32"/>
    <w:rsid w:val="00A075B0"/>
    <w:rsid w:val="00A11259"/>
    <w:rsid w:val="00A12B76"/>
    <w:rsid w:val="00A13FC8"/>
    <w:rsid w:val="00A14369"/>
    <w:rsid w:val="00A154D5"/>
    <w:rsid w:val="00A2067E"/>
    <w:rsid w:val="00A20B99"/>
    <w:rsid w:val="00A21F19"/>
    <w:rsid w:val="00A229AC"/>
    <w:rsid w:val="00A23E8B"/>
    <w:rsid w:val="00A25225"/>
    <w:rsid w:val="00A26607"/>
    <w:rsid w:val="00A26676"/>
    <w:rsid w:val="00A267B2"/>
    <w:rsid w:val="00A27A02"/>
    <w:rsid w:val="00A30DAB"/>
    <w:rsid w:val="00A3172A"/>
    <w:rsid w:val="00A32A3F"/>
    <w:rsid w:val="00A337C5"/>
    <w:rsid w:val="00A33B10"/>
    <w:rsid w:val="00A340FB"/>
    <w:rsid w:val="00A34C17"/>
    <w:rsid w:val="00A34EAB"/>
    <w:rsid w:val="00A3537A"/>
    <w:rsid w:val="00A37CD5"/>
    <w:rsid w:val="00A41FB2"/>
    <w:rsid w:val="00A43105"/>
    <w:rsid w:val="00A43A02"/>
    <w:rsid w:val="00A468F1"/>
    <w:rsid w:val="00A471D7"/>
    <w:rsid w:val="00A475CE"/>
    <w:rsid w:val="00A541ED"/>
    <w:rsid w:val="00A5551D"/>
    <w:rsid w:val="00A562DC"/>
    <w:rsid w:val="00A56657"/>
    <w:rsid w:val="00A56D8E"/>
    <w:rsid w:val="00A56E9B"/>
    <w:rsid w:val="00A56F27"/>
    <w:rsid w:val="00A57518"/>
    <w:rsid w:val="00A60C80"/>
    <w:rsid w:val="00A6144E"/>
    <w:rsid w:val="00A66F1F"/>
    <w:rsid w:val="00A71824"/>
    <w:rsid w:val="00A718EE"/>
    <w:rsid w:val="00A72936"/>
    <w:rsid w:val="00A73448"/>
    <w:rsid w:val="00A76C0A"/>
    <w:rsid w:val="00A82313"/>
    <w:rsid w:val="00A86F1C"/>
    <w:rsid w:val="00A87032"/>
    <w:rsid w:val="00A9174A"/>
    <w:rsid w:val="00A92A07"/>
    <w:rsid w:val="00A93054"/>
    <w:rsid w:val="00A94B68"/>
    <w:rsid w:val="00A969CC"/>
    <w:rsid w:val="00A96C8D"/>
    <w:rsid w:val="00A9708B"/>
    <w:rsid w:val="00AA0266"/>
    <w:rsid w:val="00AA0B5A"/>
    <w:rsid w:val="00AA34A6"/>
    <w:rsid w:val="00AA3A72"/>
    <w:rsid w:val="00AA45BA"/>
    <w:rsid w:val="00AA6E88"/>
    <w:rsid w:val="00AB30B4"/>
    <w:rsid w:val="00AB3EB4"/>
    <w:rsid w:val="00AB4677"/>
    <w:rsid w:val="00AB6AE8"/>
    <w:rsid w:val="00AC16D2"/>
    <w:rsid w:val="00AC24BD"/>
    <w:rsid w:val="00AC5779"/>
    <w:rsid w:val="00AD06DD"/>
    <w:rsid w:val="00AD3D79"/>
    <w:rsid w:val="00AD48AA"/>
    <w:rsid w:val="00AD5B91"/>
    <w:rsid w:val="00AD5C75"/>
    <w:rsid w:val="00AD6AEF"/>
    <w:rsid w:val="00AE0055"/>
    <w:rsid w:val="00AE091D"/>
    <w:rsid w:val="00AE3B88"/>
    <w:rsid w:val="00AE4C8F"/>
    <w:rsid w:val="00AE5675"/>
    <w:rsid w:val="00AE57EC"/>
    <w:rsid w:val="00AE64F9"/>
    <w:rsid w:val="00AF163D"/>
    <w:rsid w:val="00AF1C04"/>
    <w:rsid w:val="00AF2547"/>
    <w:rsid w:val="00AF254A"/>
    <w:rsid w:val="00AF36C9"/>
    <w:rsid w:val="00AF5DF5"/>
    <w:rsid w:val="00AF755E"/>
    <w:rsid w:val="00B02EDD"/>
    <w:rsid w:val="00B039A0"/>
    <w:rsid w:val="00B04603"/>
    <w:rsid w:val="00B0569D"/>
    <w:rsid w:val="00B1092B"/>
    <w:rsid w:val="00B10B94"/>
    <w:rsid w:val="00B111A5"/>
    <w:rsid w:val="00B117F2"/>
    <w:rsid w:val="00B13379"/>
    <w:rsid w:val="00B13C6F"/>
    <w:rsid w:val="00B14D75"/>
    <w:rsid w:val="00B15DBA"/>
    <w:rsid w:val="00B16A95"/>
    <w:rsid w:val="00B228C3"/>
    <w:rsid w:val="00B2297A"/>
    <w:rsid w:val="00B230F6"/>
    <w:rsid w:val="00B26202"/>
    <w:rsid w:val="00B300C7"/>
    <w:rsid w:val="00B30CFE"/>
    <w:rsid w:val="00B32793"/>
    <w:rsid w:val="00B33D89"/>
    <w:rsid w:val="00B34F7D"/>
    <w:rsid w:val="00B355D9"/>
    <w:rsid w:val="00B404B6"/>
    <w:rsid w:val="00B414FF"/>
    <w:rsid w:val="00B4164D"/>
    <w:rsid w:val="00B450C4"/>
    <w:rsid w:val="00B457C4"/>
    <w:rsid w:val="00B462F7"/>
    <w:rsid w:val="00B4697F"/>
    <w:rsid w:val="00B46A16"/>
    <w:rsid w:val="00B47747"/>
    <w:rsid w:val="00B47E34"/>
    <w:rsid w:val="00B50D88"/>
    <w:rsid w:val="00B51099"/>
    <w:rsid w:val="00B51427"/>
    <w:rsid w:val="00B5564B"/>
    <w:rsid w:val="00B55A30"/>
    <w:rsid w:val="00B56A48"/>
    <w:rsid w:val="00B56B47"/>
    <w:rsid w:val="00B618A9"/>
    <w:rsid w:val="00B621AF"/>
    <w:rsid w:val="00B652FE"/>
    <w:rsid w:val="00B65A0A"/>
    <w:rsid w:val="00B65CF6"/>
    <w:rsid w:val="00B67E5C"/>
    <w:rsid w:val="00B700CC"/>
    <w:rsid w:val="00B72365"/>
    <w:rsid w:val="00B72633"/>
    <w:rsid w:val="00B74890"/>
    <w:rsid w:val="00B74B38"/>
    <w:rsid w:val="00B75313"/>
    <w:rsid w:val="00B762A0"/>
    <w:rsid w:val="00B77E56"/>
    <w:rsid w:val="00B80371"/>
    <w:rsid w:val="00B8269F"/>
    <w:rsid w:val="00B837AE"/>
    <w:rsid w:val="00B83EED"/>
    <w:rsid w:val="00B85597"/>
    <w:rsid w:val="00B85A89"/>
    <w:rsid w:val="00B868AD"/>
    <w:rsid w:val="00B86DD0"/>
    <w:rsid w:val="00B8759E"/>
    <w:rsid w:val="00B9136E"/>
    <w:rsid w:val="00B91B04"/>
    <w:rsid w:val="00B9742D"/>
    <w:rsid w:val="00BA131A"/>
    <w:rsid w:val="00BA208A"/>
    <w:rsid w:val="00BA2274"/>
    <w:rsid w:val="00BA31BC"/>
    <w:rsid w:val="00BB0042"/>
    <w:rsid w:val="00BB0BAA"/>
    <w:rsid w:val="00BB1EA2"/>
    <w:rsid w:val="00BB480B"/>
    <w:rsid w:val="00BB4E62"/>
    <w:rsid w:val="00BB55EA"/>
    <w:rsid w:val="00BB61B6"/>
    <w:rsid w:val="00BB6326"/>
    <w:rsid w:val="00BB7389"/>
    <w:rsid w:val="00BB7D03"/>
    <w:rsid w:val="00BC31E7"/>
    <w:rsid w:val="00BC528A"/>
    <w:rsid w:val="00BC608E"/>
    <w:rsid w:val="00BC69DC"/>
    <w:rsid w:val="00BC7045"/>
    <w:rsid w:val="00BD07F2"/>
    <w:rsid w:val="00BD20AE"/>
    <w:rsid w:val="00BD39EE"/>
    <w:rsid w:val="00BD746F"/>
    <w:rsid w:val="00BD7AE1"/>
    <w:rsid w:val="00BE0E6C"/>
    <w:rsid w:val="00BE15E4"/>
    <w:rsid w:val="00BE6127"/>
    <w:rsid w:val="00BE786E"/>
    <w:rsid w:val="00BF13E6"/>
    <w:rsid w:val="00BF15B9"/>
    <w:rsid w:val="00BF2AA4"/>
    <w:rsid w:val="00BF31D5"/>
    <w:rsid w:val="00BF3FC2"/>
    <w:rsid w:val="00BF5793"/>
    <w:rsid w:val="00BF742F"/>
    <w:rsid w:val="00BF7A72"/>
    <w:rsid w:val="00BF7BD9"/>
    <w:rsid w:val="00BF7D60"/>
    <w:rsid w:val="00C017FE"/>
    <w:rsid w:val="00C03273"/>
    <w:rsid w:val="00C0447C"/>
    <w:rsid w:val="00C04CAF"/>
    <w:rsid w:val="00C050AF"/>
    <w:rsid w:val="00C054A9"/>
    <w:rsid w:val="00C05EF2"/>
    <w:rsid w:val="00C0600E"/>
    <w:rsid w:val="00C07585"/>
    <w:rsid w:val="00C11685"/>
    <w:rsid w:val="00C1189F"/>
    <w:rsid w:val="00C12263"/>
    <w:rsid w:val="00C12CF8"/>
    <w:rsid w:val="00C136CD"/>
    <w:rsid w:val="00C13D67"/>
    <w:rsid w:val="00C14903"/>
    <w:rsid w:val="00C151DF"/>
    <w:rsid w:val="00C1563D"/>
    <w:rsid w:val="00C15EB7"/>
    <w:rsid w:val="00C1626D"/>
    <w:rsid w:val="00C17A3E"/>
    <w:rsid w:val="00C20C8F"/>
    <w:rsid w:val="00C212B4"/>
    <w:rsid w:val="00C21746"/>
    <w:rsid w:val="00C220E6"/>
    <w:rsid w:val="00C23427"/>
    <w:rsid w:val="00C23F73"/>
    <w:rsid w:val="00C25016"/>
    <w:rsid w:val="00C2517F"/>
    <w:rsid w:val="00C26333"/>
    <w:rsid w:val="00C264E6"/>
    <w:rsid w:val="00C26E37"/>
    <w:rsid w:val="00C271E6"/>
    <w:rsid w:val="00C32C97"/>
    <w:rsid w:val="00C32DF0"/>
    <w:rsid w:val="00C33A18"/>
    <w:rsid w:val="00C353F8"/>
    <w:rsid w:val="00C35A54"/>
    <w:rsid w:val="00C416DB"/>
    <w:rsid w:val="00C423B7"/>
    <w:rsid w:val="00C42887"/>
    <w:rsid w:val="00C42ACD"/>
    <w:rsid w:val="00C42C49"/>
    <w:rsid w:val="00C446A5"/>
    <w:rsid w:val="00C45150"/>
    <w:rsid w:val="00C46737"/>
    <w:rsid w:val="00C51DEA"/>
    <w:rsid w:val="00C52004"/>
    <w:rsid w:val="00C56568"/>
    <w:rsid w:val="00C60E1C"/>
    <w:rsid w:val="00C61AB3"/>
    <w:rsid w:val="00C62D9D"/>
    <w:rsid w:val="00C6333E"/>
    <w:rsid w:val="00C633A8"/>
    <w:rsid w:val="00C64DE5"/>
    <w:rsid w:val="00C65AAE"/>
    <w:rsid w:val="00C66A4D"/>
    <w:rsid w:val="00C7141D"/>
    <w:rsid w:val="00C72945"/>
    <w:rsid w:val="00C758F1"/>
    <w:rsid w:val="00C75E3A"/>
    <w:rsid w:val="00C77378"/>
    <w:rsid w:val="00C77C68"/>
    <w:rsid w:val="00C81E41"/>
    <w:rsid w:val="00C82E0E"/>
    <w:rsid w:val="00C85115"/>
    <w:rsid w:val="00C86896"/>
    <w:rsid w:val="00C86AE5"/>
    <w:rsid w:val="00C87BC6"/>
    <w:rsid w:val="00C90DBB"/>
    <w:rsid w:val="00C933DE"/>
    <w:rsid w:val="00C95D2F"/>
    <w:rsid w:val="00C96D01"/>
    <w:rsid w:val="00CA082C"/>
    <w:rsid w:val="00CA0BCB"/>
    <w:rsid w:val="00CA373F"/>
    <w:rsid w:val="00CA6DEA"/>
    <w:rsid w:val="00CB0DAC"/>
    <w:rsid w:val="00CB1F66"/>
    <w:rsid w:val="00CB237D"/>
    <w:rsid w:val="00CB2A80"/>
    <w:rsid w:val="00CB2F00"/>
    <w:rsid w:val="00CB30D1"/>
    <w:rsid w:val="00CB5A26"/>
    <w:rsid w:val="00CB6AC4"/>
    <w:rsid w:val="00CB7DE8"/>
    <w:rsid w:val="00CC0BD5"/>
    <w:rsid w:val="00CC10D3"/>
    <w:rsid w:val="00CC2DAC"/>
    <w:rsid w:val="00CC4858"/>
    <w:rsid w:val="00CD1C12"/>
    <w:rsid w:val="00CD1D66"/>
    <w:rsid w:val="00CD1F7F"/>
    <w:rsid w:val="00CD2774"/>
    <w:rsid w:val="00CD57A7"/>
    <w:rsid w:val="00CD5FCA"/>
    <w:rsid w:val="00CD6F2A"/>
    <w:rsid w:val="00CD7CCA"/>
    <w:rsid w:val="00CE0AC5"/>
    <w:rsid w:val="00CE1DD6"/>
    <w:rsid w:val="00CE261F"/>
    <w:rsid w:val="00CE35E1"/>
    <w:rsid w:val="00CE5541"/>
    <w:rsid w:val="00CE5C53"/>
    <w:rsid w:val="00CF0573"/>
    <w:rsid w:val="00CF4607"/>
    <w:rsid w:val="00CF6767"/>
    <w:rsid w:val="00CF747C"/>
    <w:rsid w:val="00D00576"/>
    <w:rsid w:val="00D0207F"/>
    <w:rsid w:val="00D02CD4"/>
    <w:rsid w:val="00D038E9"/>
    <w:rsid w:val="00D04299"/>
    <w:rsid w:val="00D0506F"/>
    <w:rsid w:val="00D0599F"/>
    <w:rsid w:val="00D05A7A"/>
    <w:rsid w:val="00D07B78"/>
    <w:rsid w:val="00D12B80"/>
    <w:rsid w:val="00D13BD0"/>
    <w:rsid w:val="00D13D6F"/>
    <w:rsid w:val="00D165F4"/>
    <w:rsid w:val="00D1668E"/>
    <w:rsid w:val="00D16C33"/>
    <w:rsid w:val="00D177EA"/>
    <w:rsid w:val="00D20CC5"/>
    <w:rsid w:val="00D217AC"/>
    <w:rsid w:val="00D27E4D"/>
    <w:rsid w:val="00D301D6"/>
    <w:rsid w:val="00D31BE1"/>
    <w:rsid w:val="00D35B96"/>
    <w:rsid w:val="00D37973"/>
    <w:rsid w:val="00D40EAC"/>
    <w:rsid w:val="00D41F46"/>
    <w:rsid w:val="00D4222D"/>
    <w:rsid w:val="00D42754"/>
    <w:rsid w:val="00D43177"/>
    <w:rsid w:val="00D455A4"/>
    <w:rsid w:val="00D51DD0"/>
    <w:rsid w:val="00D5265D"/>
    <w:rsid w:val="00D60415"/>
    <w:rsid w:val="00D62E09"/>
    <w:rsid w:val="00D64101"/>
    <w:rsid w:val="00D64FFD"/>
    <w:rsid w:val="00D670EB"/>
    <w:rsid w:val="00D671F5"/>
    <w:rsid w:val="00D67CE9"/>
    <w:rsid w:val="00D70AAA"/>
    <w:rsid w:val="00D7105E"/>
    <w:rsid w:val="00D71684"/>
    <w:rsid w:val="00D72D32"/>
    <w:rsid w:val="00D74824"/>
    <w:rsid w:val="00D7671C"/>
    <w:rsid w:val="00D767E6"/>
    <w:rsid w:val="00D76D7C"/>
    <w:rsid w:val="00D77A0C"/>
    <w:rsid w:val="00D8131B"/>
    <w:rsid w:val="00D81D94"/>
    <w:rsid w:val="00D8420C"/>
    <w:rsid w:val="00D84DE0"/>
    <w:rsid w:val="00D90CAE"/>
    <w:rsid w:val="00D96FBA"/>
    <w:rsid w:val="00D97622"/>
    <w:rsid w:val="00DA1B53"/>
    <w:rsid w:val="00DA1FCE"/>
    <w:rsid w:val="00DA239C"/>
    <w:rsid w:val="00DA4213"/>
    <w:rsid w:val="00DA433D"/>
    <w:rsid w:val="00DA58AF"/>
    <w:rsid w:val="00DA6988"/>
    <w:rsid w:val="00DA7141"/>
    <w:rsid w:val="00DA744D"/>
    <w:rsid w:val="00DB1E78"/>
    <w:rsid w:val="00DB3228"/>
    <w:rsid w:val="00DB3721"/>
    <w:rsid w:val="00DB3D04"/>
    <w:rsid w:val="00DB57B4"/>
    <w:rsid w:val="00DB66E1"/>
    <w:rsid w:val="00DC07AE"/>
    <w:rsid w:val="00DC10A1"/>
    <w:rsid w:val="00DC15CB"/>
    <w:rsid w:val="00DC1AC5"/>
    <w:rsid w:val="00DC1E2F"/>
    <w:rsid w:val="00DC2365"/>
    <w:rsid w:val="00DC3534"/>
    <w:rsid w:val="00DC499A"/>
    <w:rsid w:val="00DC64F8"/>
    <w:rsid w:val="00DC72F1"/>
    <w:rsid w:val="00DD00BE"/>
    <w:rsid w:val="00DD02D4"/>
    <w:rsid w:val="00DD0953"/>
    <w:rsid w:val="00DD0F2E"/>
    <w:rsid w:val="00DD1A4B"/>
    <w:rsid w:val="00DD1CB9"/>
    <w:rsid w:val="00DD1F77"/>
    <w:rsid w:val="00DD23E0"/>
    <w:rsid w:val="00DD2637"/>
    <w:rsid w:val="00DD2F35"/>
    <w:rsid w:val="00DD4CCB"/>
    <w:rsid w:val="00DD696D"/>
    <w:rsid w:val="00DD6FA5"/>
    <w:rsid w:val="00DD7872"/>
    <w:rsid w:val="00DE0724"/>
    <w:rsid w:val="00DE0896"/>
    <w:rsid w:val="00DE0AD5"/>
    <w:rsid w:val="00DE7E62"/>
    <w:rsid w:val="00DF1C2B"/>
    <w:rsid w:val="00DF2F6B"/>
    <w:rsid w:val="00DF3993"/>
    <w:rsid w:val="00DF6E16"/>
    <w:rsid w:val="00E00218"/>
    <w:rsid w:val="00E018E1"/>
    <w:rsid w:val="00E0333C"/>
    <w:rsid w:val="00E04790"/>
    <w:rsid w:val="00E0484E"/>
    <w:rsid w:val="00E07AC4"/>
    <w:rsid w:val="00E10305"/>
    <w:rsid w:val="00E1062C"/>
    <w:rsid w:val="00E1136D"/>
    <w:rsid w:val="00E116BA"/>
    <w:rsid w:val="00E11D27"/>
    <w:rsid w:val="00E11D29"/>
    <w:rsid w:val="00E140A6"/>
    <w:rsid w:val="00E15447"/>
    <w:rsid w:val="00E15B7B"/>
    <w:rsid w:val="00E20773"/>
    <w:rsid w:val="00E2107F"/>
    <w:rsid w:val="00E23059"/>
    <w:rsid w:val="00E231E0"/>
    <w:rsid w:val="00E30352"/>
    <w:rsid w:val="00E33146"/>
    <w:rsid w:val="00E33F29"/>
    <w:rsid w:val="00E36F7D"/>
    <w:rsid w:val="00E374D1"/>
    <w:rsid w:val="00E37F50"/>
    <w:rsid w:val="00E40942"/>
    <w:rsid w:val="00E50D80"/>
    <w:rsid w:val="00E50E6F"/>
    <w:rsid w:val="00E51035"/>
    <w:rsid w:val="00E53438"/>
    <w:rsid w:val="00E539B3"/>
    <w:rsid w:val="00E55EC8"/>
    <w:rsid w:val="00E56469"/>
    <w:rsid w:val="00E56D02"/>
    <w:rsid w:val="00E57209"/>
    <w:rsid w:val="00E5727D"/>
    <w:rsid w:val="00E57FAB"/>
    <w:rsid w:val="00E60EDC"/>
    <w:rsid w:val="00E670D3"/>
    <w:rsid w:val="00E713A7"/>
    <w:rsid w:val="00E72404"/>
    <w:rsid w:val="00E73990"/>
    <w:rsid w:val="00E74A15"/>
    <w:rsid w:val="00E74B1D"/>
    <w:rsid w:val="00E7567F"/>
    <w:rsid w:val="00E75744"/>
    <w:rsid w:val="00E81F3E"/>
    <w:rsid w:val="00E85807"/>
    <w:rsid w:val="00E86211"/>
    <w:rsid w:val="00E86ACB"/>
    <w:rsid w:val="00E900E0"/>
    <w:rsid w:val="00E9059C"/>
    <w:rsid w:val="00E90628"/>
    <w:rsid w:val="00E9122B"/>
    <w:rsid w:val="00E92559"/>
    <w:rsid w:val="00E93CFE"/>
    <w:rsid w:val="00E953B9"/>
    <w:rsid w:val="00EA0D43"/>
    <w:rsid w:val="00EA0EBB"/>
    <w:rsid w:val="00EA1619"/>
    <w:rsid w:val="00EA49CE"/>
    <w:rsid w:val="00EA4CBA"/>
    <w:rsid w:val="00EA6CD3"/>
    <w:rsid w:val="00EA7EDF"/>
    <w:rsid w:val="00EB184B"/>
    <w:rsid w:val="00EB1F01"/>
    <w:rsid w:val="00EB27FB"/>
    <w:rsid w:val="00EC03E6"/>
    <w:rsid w:val="00EC218F"/>
    <w:rsid w:val="00EC5935"/>
    <w:rsid w:val="00ED053C"/>
    <w:rsid w:val="00ED0911"/>
    <w:rsid w:val="00ED0A46"/>
    <w:rsid w:val="00ED18C9"/>
    <w:rsid w:val="00ED2979"/>
    <w:rsid w:val="00ED321C"/>
    <w:rsid w:val="00ED377A"/>
    <w:rsid w:val="00ED39FF"/>
    <w:rsid w:val="00ED4255"/>
    <w:rsid w:val="00ED5CF7"/>
    <w:rsid w:val="00ED603E"/>
    <w:rsid w:val="00EE0C47"/>
    <w:rsid w:val="00EE1CB0"/>
    <w:rsid w:val="00EE44FE"/>
    <w:rsid w:val="00EE4A54"/>
    <w:rsid w:val="00EE4C51"/>
    <w:rsid w:val="00EE61BD"/>
    <w:rsid w:val="00EE7BA0"/>
    <w:rsid w:val="00EF1E1A"/>
    <w:rsid w:val="00EF2696"/>
    <w:rsid w:val="00EF55B6"/>
    <w:rsid w:val="00EF6E9F"/>
    <w:rsid w:val="00F00E88"/>
    <w:rsid w:val="00F01691"/>
    <w:rsid w:val="00F019FA"/>
    <w:rsid w:val="00F02EB7"/>
    <w:rsid w:val="00F03FAA"/>
    <w:rsid w:val="00F04A52"/>
    <w:rsid w:val="00F0662E"/>
    <w:rsid w:val="00F066C5"/>
    <w:rsid w:val="00F06F21"/>
    <w:rsid w:val="00F11383"/>
    <w:rsid w:val="00F1504D"/>
    <w:rsid w:val="00F155E5"/>
    <w:rsid w:val="00F15773"/>
    <w:rsid w:val="00F1588A"/>
    <w:rsid w:val="00F205D5"/>
    <w:rsid w:val="00F22832"/>
    <w:rsid w:val="00F23C9C"/>
    <w:rsid w:val="00F25C34"/>
    <w:rsid w:val="00F2652E"/>
    <w:rsid w:val="00F27363"/>
    <w:rsid w:val="00F30608"/>
    <w:rsid w:val="00F30A0A"/>
    <w:rsid w:val="00F32129"/>
    <w:rsid w:val="00F32822"/>
    <w:rsid w:val="00F32ADC"/>
    <w:rsid w:val="00F352DD"/>
    <w:rsid w:val="00F35567"/>
    <w:rsid w:val="00F373AD"/>
    <w:rsid w:val="00F40716"/>
    <w:rsid w:val="00F40762"/>
    <w:rsid w:val="00F40F20"/>
    <w:rsid w:val="00F418C2"/>
    <w:rsid w:val="00F42208"/>
    <w:rsid w:val="00F449A8"/>
    <w:rsid w:val="00F44B3E"/>
    <w:rsid w:val="00F4599D"/>
    <w:rsid w:val="00F47AB9"/>
    <w:rsid w:val="00F51164"/>
    <w:rsid w:val="00F53042"/>
    <w:rsid w:val="00F53217"/>
    <w:rsid w:val="00F53508"/>
    <w:rsid w:val="00F53B91"/>
    <w:rsid w:val="00F542FA"/>
    <w:rsid w:val="00F5586F"/>
    <w:rsid w:val="00F56EB4"/>
    <w:rsid w:val="00F63A74"/>
    <w:rsid w:val="00F64D33"/>
    <w:rsid w:val="00F64FF5"/>
    <w:rsid w:val="00F652EB"/>
    <w:rsid w:val="00F669EB"/>
    <w:rsid w:val="00F66C35"/>
    <w:rsid w:val="00F70443"/>
    <w:rsid w:val="00F7097D"/>
    <w:rsid w:val="00F716EF"/>
    <w:rsid w:val="00F77D50"/>
    <w:rsid w:val="00F81A0A"/>
    <w:rsid w:val="00F838F0"/>
    <w:rsid w:val="00F858D1"/>
    <w:rsid w:val="00F85A24"/>
    <w:rsid w:val="00F9016C"/>
    <w:rsid w:val="00F929ED"/>
    <w:rsid w:val="00F9305D"/>
    <w:rsid w:val="00F94D89"/>
    <w:rsid w:val="00F9522F"/>
    <w:rsid w:val="00F96902"/>
    <w:rsid w:val="00FA2346"/>
    <w:rsid w:val="00FA37DC"/>
    <w:rsid w:val="00FA3AB1"/>
    <w:rsid w:val="00FA3B62"/>
    <w:rsid w:val="00FA4EC5"/>
    <w:rsid w:val="00FA5C8C"/>
    <w:rsid w:val="00FA5EE1"/>
    <w:rsid w:val="00FB05EC"/>
    <w:rsid w:val="00FB0E29"/>
    <w:rsid w:val="00FB1472"/>
    <w:rsid w:val="00FB3115"/>
    <w:rsid w:val="00FB392A"/>
    <w:rsid w:val="00FB5467"/>
    <w:rsid w:val="00FC0F65"/>
    <w:rsid w:val="00FC3C5A"/>
    <w:rsid w:val="00FC3C7A"/>
    <w:rsid w:val="00FC4BE9"/>
    <w:rsid w:val="00FC6839"/>
    <w:rsid w:val="00FC6FCC"/>
    <w:rsid w:val="00FD01FC"/>
    <w:rsid w:val="00FD061B"/>
    <w:rsid w:val="00FD5F34"/>
    <w:rsid w:val="00FD5FEF"/>
    <w:rsid w:val="00FE2D33"/>
    <w:rsid w:val="00FE6FC3"/>
    <w:rsid w:val="00FE76B5"/>
    <w:rsid w:val="00FE76D2"/>
    <w:rsid w:val="00FE7B9E"/>
    <w:rsid w:val="00FF15B4"/>
    <w:rsid w:val="00FF22AC"/>
    <w:rsid w:val="00FF2598"/>
    <w:rsid w:val="00FF3664"/>
    <w:rsid w:val="00FF42CE"/>
    <w:rsid w:val="00FF5967"/>
    <w:rsid w:val="00FF63FA"/>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Normal bullet 2,Bullet list,Saistīto dokumentu saraksts,Syle 1,Numurets,List Paragraph11,OBC Bullet,Bullet Style,L,List Paragraph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uiPriority w:val="99"/>
    <w:rsid w:val="00AD6AEF"/>
    <w:pPr>
      <w:jc w:val="both"/>
    </w:pPr>
    <w:rPr>
      <w:rFonts w:eastAsia="Times New Roman"/>
      <w:lang w:val="lv-LV"/>
    </w:rPr>
  </w:style>
  <w:style w:type="character" w:customStyle="1" w:styleId="FootnoteTextChar">
    <w:name w:val="Footnote Text Char"/>
    <w:basedOn w:val="DefaultParagraphFont"/>
    <w:link w:val="FootnoteText"/>
    <w:uiPriority w:val="99"/>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Normal bullet 2 Char,Bullet list Char,Saistīto dokumentu saraksts Char,Syle 1 Char,Numurets Char,List Paragraph11 Char,OBC Bullet Char,L Char"/>
    <w:link w:val="ListParagraph"/>
    <w:uiPriority w:val="34"/>
    <w:qFormat/>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styleId="UnresolvedMention">
    <w:name w:val="Unresolved Mention"/>
    <w:basedOn w:val="DefaultParagraphFont"/>
    <w:uiPriority w:val="99"/>
    <w:semiHidden/>
    <w:unhideWhenUsed/>
    <w:rsid w:val="000A38DA"/>
    <w:rPr>
      <w:color w:val="605E5C"/>
      <w:shd w:val="clear" w:color="auto" w:fill="E1DFDD"/>
    </w:rPr>
  </w:style>
  <w:style w:type="character" w:customStyle="1" w:styleId="normaltextrun">
    <w:name w:val="normaltextrun"/>
    <w:rsid w:val="00DB6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18718476">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3706275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48305589">
      <w:bodyDiv w:val="1"/>
      <w:marLeft w:val="0"/>
      <w:marRight w:val="0"/>
      <w:marTop w:val="0"/>
      <w:marBottom w:val="0"/>
      <w:divBdr>
        <w:top w:val="none" w:sz="0" w:space="0" w:color="auto"/>
        <w:left w:val="none" w:sz="0" w:space="0" w:color="auto"/>
        <w:bottom w:val="none" w:sz="0" w:space="0" w:color="auto"/>
        <w:right w:val="none" w:sz="0" w:space="0" w:color="auto"/>
      </w:divBdr>
    </w:div>
    <w:div w:id="550457146">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799298460">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1005598317">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308893881">
      <w:bodyDiv w:val="1"/>
      <w:marLeft w:val="0"/>
      <w:marRight w:val="0"/>
      <w:marTop w:val="0"/>
      <w:marBottom w:val="0"/>
      <w:divBdr>
        <w:top w:val="none" w:sz="0" w:space="0" w:color="auto"/>
        <w:left w:val="none" w:sz="0" w:space="0" w:color="auto"/>
        <w:bottom w:val="none" w:sz="0" w:space="0" w:color="auto"/>
        <w:right w:val="none" w:sz="0" w:space="0" w:color="auto"/>
      </w:divBdr>
    </w:div>
    <w:div w:id="1311860429">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7594119">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ta.Tetere@em.gov.lv" TargetMode="External"/><Relationship Id="rId5" Type="http://schemas.openxmlformats.org/officeDocument/2006/relationships/webSettings" Target="webSettings.xml"/><Relationship Id="rId10" Type="http://schemas.openxmlformats.org/officeDocument/2006/relationships/hyperlink" Target="https://likumi.lv/ta/id/315560"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33946" TargetMode="External"/><Relationship Id="rId1" Type="http://schemas.openxmlformats.org/officeDocument/2006/relationships/hyperlink" Target="https://likumi.lv/ta/id/282520-noteikumi-par-mikroaizdevumiem-un-starta-aizdevum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20217-0DA2-4226-A0D0-52C91C53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10</Pages>
  <Words>12909</Words>
  <Characters>7359</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Dita Tetere</cp:lastModifiedBy>
  <cp:revision>77</cp:revision>
  <cp:lastPrinted>2017-07-21T07:32:00Z</cp:lastPrinted>
  <dcterms:created xsi:type="dcterms:W3CDTF">2020-10-19T06:27:00Z</dcterms:created>
  <dcterms:modified xsi:type="dcterms:W3CDTF">2020-12-10T06:41:00Z</dcterms:modified>
</cp:coreProperties>
</file>