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19C1CCA7" w:rsidR="00310924" w:rsidRPr="00CF0ACA" w:rsidRDefault="00032471" w:rsidP="003C585E">
      <w:pPr>
        <w:shd w:val="clear" w:color="auto" w:fill="FFFFFF"/>
        <w:contextualSpacing/>
        <w:jc w:val="center"/>
        <w:rPr>
          <w:b/>
          <w:sz w:val="26"/>
          <w:lang w:val="lv-LV"/>
        </w:rPr>
      </w:pPr>
      <w:bookmarkStart w:id="0" w:name="OLE_LINK3"/>
      <w:bookmarkStart w:id="1" w:name="OLE_LINK1"/>
      <w:bookmarkStart w:id="2" w:name="OLE_LINK2"/>
      <w:r w:rsidRPr="00CF0ACA">
        <w:rPr>
          <w:b/>
          <w:sz w:val="26"/>
          <w:szCs w:val="26"/>
          <w:lang w:val="lv-LV"/>
        </w:rPr>
        <w:t>Ministru kabineta noteikumu proj</w:t>
      </w:r>
      <w:r w:rsidRPr="00CF0ACA">
        <w:rPr>
          <w:b/>
          <w:sz w:val="26"/>
          <w:lang w:val="lv-LV"/>
        </w:rPr>
        <w:t>ekt</w:t>
      </w:r>
      <w:r w:rsidRPr="00CF0ACA">
        <w:rPr>
          <w:b/>
          <w:sz w:val="26"/>
          <w:szCs w:val="26"/>
          <w:lang w:val="lv-LV"/>
        </w:rPr>
        <w:t xml:space="preserve">a </w:t>
      </w:r>
      <w:r w:rsidR="00D82825" w:rsidRPr="00CF0ACA">
        <w:rPr>
          <w:b/>
          <w:sz w:val="26"/>
          <w:szCs w:val="26"/>
          <w:lang w:val="lv-LV"/>
        </w:rPr>
        <w:t xml:space="preserve">“Grozījumi Ministru kabineta 2017.gada 5.decembra noteikumos Nr.537 „Noteikumi par </w:t>
      </w:r>
      <w:proofErr w:type="spellStart"/>
      <w:r w:rsidR="00D82825" w:rsidRPr="00CF0ACA">
        <w:rPr>
          <w:b/>
          <w:sz w:val="26"/>
          <w:szCs w:val="26"/>
          <w:lang w:val="lv-LV"/>
        </w:rPr>
        <w:t>portfeļgarantijām</w:t>
      </w:r>
      <w:proofErr w:type="spellEnd"/>
      <w:r w:rsidR="00D82825" w:rsidRPr="00CF0ACA">
        <w:rPr>
          <w:b/>
          <w:sz w:val="26"/>
          <w:szCs w:val="26"/>
          <w:lang w:val="lv-LV"/>
        </w:rPr>
        <w:t xml:space="preserve"> sīko (mikro), mazo un vidējo komersantu kreditēšanas veicināšanai””</w:t>
      </w:r>
      <w:r w:rsidR="00D82825" w:rsidRPr="00CF0ACA">
        <w:rPr>
          <w:rFonts w:eastAsia="Times New Roman"/>
          <w:b/>
          <w:sz w:val="28"/>
          <w:szCs w:val="28"/>
          <w:lang w:eastAsia="lv-LV"/>
        </w:rPr>
        <w:t xml:space="preserve"> </w:t>
      </w:r>
      <w:r w:rsidRPr="00CF0ACA">
        <w:rPr>
          <w:b/>
          <w:sz w:val="26"/>
          <w:szCs w:val="26"/>
          <w:lang w:val="lv-LV"/>
        </w:rPr>
        <w:t>sākotnējās ietekmes novērtējuma ziņojums (anotācija)</w:t>
      </w:r>
    </w:p>
    <w:p w14:paraId="286653D2" w14:textId="77777777" w:rsidR="00032471" w:rsidRPr="00CF0ACA"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CF0ACA"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CF0ACA" w:rsidRDefault="00310924" w:rsidP="006064F8">
            <w:pPr>
              <w:contextualSpacing/>
              <w:rPr>
                <w:rFonts w:eastAsia="Times New Roman"/>
                <w:b/>
                <w:bCs/>
                <w:iCs/>
                <w:sz w:val="26"/>
                <w:szCs w:val="26"/>
                <w:lang w:val="lv-LV" w:eastAsia="lv-LV"/>
              </w:rPr>
            </w:pPr>
            <w:r w:rsidRPr="00CF0ACA">
              <w:rPr>
                <w:rFonts w:eastAsia="Times New Roman"/>
                <w:b/>
                <w:bCs/>
                <w:iCs/>
                <w:sz w:val="26"/>
                <w:szCs w:val="26"/>
                <w:lang w:val="lv-LV" w:eastAsia="lv-LV"/>
              </w:rPr>
              <w:t>Tiesību akta projekta anotācijas kopsavilkums</w:t>
            </w:r>
          </w:p>
        </w:tc>
      </w:tr>
      <w:tr w:rsidR="00310924" w:rsidRPr="00AB24D0"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CF0ACA" w:rsidRDefault="00310924" w:rsidP="006064F8">
            <w:pPr>
              <w:contextualSpacing/>
              <w:rPr>
                <w:rFonts w:eastAsia="Times New Roman"/>
                <w:iCs/>
                <w:sz w:val="26"/>
                <w:szCs w:val="26"/>
                <w:lang w:val="lv-LV" w:eastAsia="lv-LV"/>
              </w:rPr>
            </w:pPr>
            <w:r w:rsidRPr="00CF0ACA">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400E6956" w14:textId="46595425" w:rsidR="008713B8" w:rsidRPr="00CF0ACA" w:rsidRDefault="008713B8" w:rsidP="008713B8">
            <w:pPr>
              <w:jc w:val="both"/>
              <w:rPr>
                <w:rFonts w:eastAsia="Times New Roman"/>
                <w:iCs/>
                <w:sz w:val="26"/>
                <w:szCs w:val="26"/>
                <w:lang w:val="lv-LV" w:eastAsia="lv-LV"/>
              </w:rPr>
            </w:pPr>
            <w:r w:rsidRPr="00CF0ACA">
              <w:rPr>
                <w:bCs/>
                <w:sz w:val="26"/>
                <w:szCs w:val="26"/>
                <w:lang w:val="lv-LV"/>
              </w:rPr>
              <w:t xml:space="preserve">Ministru kabineta </w:t>
            </w:r>
            <w:r w:rsidRPr="00CF0ACA">
              <w:rPr>
                <w:rFonts w:eastAsia="Times New Roman"/>
                <w:iCs/>
                <w:sz w:val="26"/>
                <w:szCs w:val="26"/>
                <w:lang w:val="lv-LV" w:eastAsia="lv-LV"/>
              </w:rPr>
              <w:t xml:space="preserve">noteikumu projekta “Grozījumi Ministru kabineta 2017.gada 5.decembra noteikumos Nr.537 „Noteikumi par </w:t>
            </w:r>
            <w:proofErr w:type="spellStart"/>
            <w:r w:rsidRPr="00CF0ACA">
              <w:rPr>
                <w:rFonts w:eastAsia="Times New Roman"/>
                <w:iCs/>
                <w:sz w:val="26"/>
                <w:szCs w:val="26"/>
                <w:lang w:val="lv-LV" w:eastAsia="lv-LV"/>
              </w:rPr>
              <w:t>portfeļgarantijām</w:t>
            </w:r>
            <w:proofErr w:type="spellEnd"/>
            <w:r w:rsidRPr="00CF0ACA">
              <w:rPr>
                <w:rFonts w:eastAsia="Times New Roman"/>
                <w:iCs/>
                <w:sz w:val="26"/>
                <w:szCs w:val="26"/>
                <w:lang w:val="lv-LV" w:eastAsia="lv-LV"/>
              </w:rPr>
              <w:t xml:space="preserve"> sīko (mikro), mazo un vidējo komersantu kreditēšanas veicināšanai”” (turpmāk – Noteikumu</w:t>
            </w:r>
            <w:r w:rsidRPr="00CF0ACA">
              <w:rPr>
                <w:bCs/>
                <w:sz w:val="26"/>
                <w:szCs w:val="26"/>
                <w:lang w:val="lv-LV"/>
              </w:rPr>
              <w:t xml:space="preserve"> projekts)</w:t>
            </w:r>
            <w:r w:rsidRPr="00CF0ACA">
              <w:rPr>
                <w:rFonts w:eastAsia="Times New Roman"/>
                <w:iCs/>
                <w:sz w:val="26"/>
                <w:szCs w:val="26"/>
                <w:lang w:val="lv-LV" w:eastAsia="lv-LV"/>
              </w:rPr>
              <w:t xml:space="preserve"> paredz programmas nosacījumu precizēšanu, lai paplašinātu atbalsta saņēmēju loku un nodrošinātu </w:t>
            </w:r>
            <w:r w:rsidR="00556F8F" w:rsidRPr="00CF0ACA">
              <w:rPr>
                <w:rFonts w:eastAsia="Times New Roman"/>
                <w:iCs/>
                <w:sz w:val="26"/>
                <w:szCs w:val="26"/>
                <w:lang w:val="lv-LV" w:eastAsia="lv-LV"/>
              </w:rPr>
              <w:t xml:space="preserve">turpmāku </w:t>
            </w:r>
            <w:r w:rsidRPr="00CF0ACA">
              <w:rPr>
                <w:rFonts w:eastAsia="Times New Roman"/>
                <w:iCs/>
                <w:sz w:val="26"/>
                <w:szCs w:val="26"/>
                <w:lang w:val="lv-LV" w:eastAsia="lv-LV"/>
              </w:rPr>
              <w:t>finansējuma pieejamību Covid-19 krīzes skartajiem saimniecības darbības veicējiem.</w:t>
            </w:r>
          </w:p>
          <w:p w14:paraId="0891E1DE" w14:textId="37EDFCC6" w:rsidR="00DD696D" w:rsidRPr="00CF0ACA" w:rsidRDefault="008713B8" w:rsidP="00251FA5">
            <w:pPr>
              <w:contextualSpacing/>
              <w:jc w:val="both"/>
              <w:rPr>
                <w:rFonts w:eastAsia="Times New Roman"/>
                <w:iCs/>
                <w:sz w:val="26"/>
                <w:szCs w:val="26"/>
                <w:lang w:val="lv-LV"/>
              </w:rPr>
            </w:pPr>
            <w:r w:rsidRPr="00CF0ACA">
              <w:rPr>
                <w:rFonts w:eastAsia="Times New Roman"/>
                <w:iCs/>
                <w:sz w:val="26"/>
                <w:szCs w:val="26"/>
                <w:lang w:val="lv-LV" w:eastAsia="lv-LV"/>
              </w:rPr>
              <w:t>Noteikumu projekts stājas spēkā nākamajā dienā pēc tā izsludināšanas oficiālajā izdevumā “Latvijas vēstnesis”.</w:t>
            </w:r>
          </w:p>
        </w:tc>
      </w:tr>
    </w:tbl>
    <w:p w14:paraId="6A8022D4" w14:textId="0FD7EE14" w:rsidR="00310924" w:rsidRPr="00CF0ACA"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319"/>
        <w:gridCol w:w="2048"/>
        <w:gridCol w:w="6762"/>
      </w:tblGrid>
      <w:tr w:rsidR="00844176" w:rsidRPr="00CF0ACA"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CF0ACA" w:rsidRDefault="00844176" w:rsidP="00434856">
            <w:pPr>
              <w:tabs>
                <w:tab w:val="left" w:pos="5888"/>
              </w:tabs>
              <w:contextualSpacing/>
              <w:jc w:val="center"/>
              <w:rPr>
                <w:rFonts w:eastAsia="Times New Roman"/>
                <w:sz w:val="26"/>
                <w:szCs w:val="26"/>
                <w:lang w:val="lv-LV" w:eastAsia="lv-LV"/>
              </w:rPr>
            </w:pPr>
            <w:r w:rsidRPr="00CF0ACA">
              <w:rPr>
                <w:b/>
                <w:sz w:val="26"/>
                <w:lang w:val="lv-LV"/>
              </w:rPr>
              <w:t>I. Tiesību akta projekta izstrādes nepieciešamība</w:t>
            </w:r>
          </w:p>
        </w:tc>
      </w:tr>
      <w:tr w:rsidR="00844176" w:rsidRPr="00AB24D0"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F0ACA" w:rsidRDefault="00844176" w:rsidP="00D74824">
            <w:pPr>
              <w:spacing w:after="160" w:line="259" w:lineRule="auto"/>
              <w:contextualSpacing/>
              <w:jc w:val="both"/>
              <w:rPr>
                <w:rFonts w:eastAsiaTheme="minorHAnsi"/>
                <w:sz w:val="26"/>
                <w:szCs w:val="26"/>
                <w:lang w:val="lv-LV"/>
              </w:rPr>
            </w:pPr>
            <w:r w:rsidRPr="00CF0ACA">
              <w:rPr>
                <w:rFonts w:eastAsiaTheme="minorHAnsi"/>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F0ACA" w:rsidRDefault="00844176" w:rsidP="00D74824">
            <w:pPr>
              <w:spacing w:after="160" w:line="259" w:lineRule="auto"/>
              <w:contextualSpacing/>
              <w:jc w:val="both"/>
              <w:rPr>
                <w:rFonts w:eastAsiaTheme="minorHAnsi"/>
                <w:sz w:val="26"/>
                <w:szCs w:val="26"/>
                <w:lang w:val="lv-LV"/>
              </w:rPr>
            </w:pPr>
            <w:r w:rsidRPr="00CF0ACA">
              <w:rPr>
                <w:rFonts w:eastAsiaTheme="minorHAnsi"/>
                <w:sz w:val="26"/>
                <w:szCs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77C48AB2" w:rsidR="00B72365" w:rsidRPr="00CF0ACA" w:rsidRDefault="008713B8" w:rsidP="007C614A">
            <w:pPr>
              <w:spacing w:after="160" w:line="256" w:lineRule="auto"/>
              <w:contextualSpacing/>
              <w:jc w:val="both"/>
              <w:rPr>
                <w:rFonts w:eastAsiaTheme="minorHAnsi"/>
                <w:sz w:val="26"/>
                <w:szCs w:val="26"/>
                <w:lang w:val="lv-LV"/>
              </w:rPr>
            </w:pPr>
            <w:r w:rsidRPr="00CF0ACA">
              <w:rPr>
                <w:rFonts w:eastAsiaTheme="minorHAnsi"/>
                <w:sz w:val="26"/>
                <w:szCs w:val="26"/>
                <w:lang w:val="lv-LV"/>
              </w:rPr>
              <w:t>Noteikumu p</w:t>
            </w:r>
            <w:r w:rsidR="007C614A" w:rsidRPr="00CF0ACA">
              <w:rPr>
                <w:rFonts w:eastAsiaTheme="minorHAnsi"/>
                <w:sz w:val="26"/>
                <w:szCs w:val="26"/>
                <w:lang w:val="lv-LV"/>
              </w:rPr>
              <w:t>rojekts sagatavots pēc Ekonomikas ministrijas iniciatīvas pamatojoties uz Attīstības finanšu institūcijas likuma 12.panta ceturto daļu</w:t>
            </w:r>
            <w:r w:rsidR="00556F8F" w:rsidRPr="00CF0ACA">
              <w:rPr>
                <w:rFonts w:eastAsiaTheme="minorHAnsi"/>
                <w:sz w:val="26"/>
                <w:szCs w:val="26"/>
                <w:lang w:val="lv-LV"/>
              </w:rPr>
              <w:t>, lai nodrošinātu turpmāku atbalsta sniegšanu Covid-19 krīzes skartajiem saimnieciskās darbības veicējiem kā arī lai precizētu Noteikumu projekta normas un atbalsta saņēmēju loku, nodrošinot plašāku atbalsta pieejamību.</w:t>
            </w:r>
          </w:p>
        </w:tc>
      </w:tr>
      <w:tr w:rsidR="00844176" w:rsidRPr="00AB24D0"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F0ACA" w:rsidRDefault="00844176" w:rsidP="00434856">
            <w:pPr>
              <w:contextualSpacing/>
              <w:rPr>
                <w:rFonts w:eastAsia="Times New Roman"/>
                <w:sz w:val="26"/>
                <w:szCs w:val="26"/>
                <w:lang w:val="lv-LV" w:eastAsia="lv-LV"/>
              </w:rPr>
            </w:pPr>
            <w:r w:rsidRPr="00CF0ACA">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CF0ACA" w:rsidRDefault="00844176" w:rsidP="00434856">
            <w:pPr>
              <w:contextualSpacing/>
              <w:rPr>
                <w:rFonts w:eastAsia="Times New Roman"/>
                <w:sz w:val="26"/>
                <w:szCs w:val="26"/>
                <w:lang w:val="lv-LV" w:eastAsia="lv-LV"/>
              </w:rPr>
            </w:pPr>
            <w:r w:rsidRPr="00CF0ACA">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3AA9A54B" w14:textId="1312213F" w:rsidR="008713B8" w:rsidRPr="00CF0ACA" w:rsidRDefault="008713B8" w:rsidP="008713B8">
            <w:pPr>
              <w:jc w:val="both"/>
              <w:rPr>
                <w:iCs/>
                <w:sz w:val="26"/>
                <w:szCs w:val="26"/>
                <w:lang w:val="lv-LV" w:eastAsia="lv-LV"/>
              </w:rPr>
            </w:pPr>
            <w:r w:rsidRPr="00CF0ACA">
              <w:rPr>
                <w:iCs/>
                <w:sz w:val="26"/>
                <w:szCs w:val="26"/>
                <w:lang w:val="lv-LV" w:eastAsia="lv-LV"/>
              </w:rPr>
              <w:t xml:space="preserve">Ar Noteikumu projektu tiek veikti tālāk minētie grozījumi </w:t>
            </w:r>
            <w:r w:rsidRPr="00CF0ACA">
              <w:rPr>
                <w:rFonts w:eastAsia="Times New Roman"/>
                <w:iCs/>
                <w:sz w:val="26"/>
                <w:szCs w:val="26"/>
                <w:lang w:val="lv-LV" w:eastAsia="lv-LV"/>
              </w:rPr>
              <w:t xml:space="preserve">Ministru kabineta 2017.gada 5.decembra noteikumos Nr.537 „Noteikumi par </w:t>
            </w:r>
            <w:proofErr w:type="spellStart"/>
            <w:r w:rsidRPr="00CF0ACA">
              <w:rPr>
                <w:rFonts w:eastAsia="Times New Roman"/>
                <w:iCs/>
                <w:sz w:val="26"/>
                <w:szCs w:val="26"/>
                <w:lang w:val="lv-LV" w:eastAsia="lv-LV"/>
              </w:rPr>
              <w:t>portfeļgarantijām</w:t>
            </w:r>
            <w:proofErr w:type="spellEnd"/>
            <w:r w:rsidRPr="00CF0ACA">
              <w:rPr>
                <w:rFonts w:eastAsia="Times New Roman"/>
                <w:iCs/>
                <w:sz w:val="26"/>
                <w:szCs w:val="26"/>
                <w:lang w:val="lv-LV" w:eastAsia="lv-LV"/>
              </w:rPr>
              <w:t xml:space="preserve"> sīko (mikro), mazo un vidējo komersantu kreditēšanas veicināšanai”” </w:t>
            </w:r>
            <w:r w:rsidRPr="00CF0ACA">
              <w:rPr>
                <w:iCs/>
                <w:sz w:val="26"/>
                <w:szCs w:val="26"/>
                <w:lang w:val="lv-LV" w:eastAsia="lv-LV"/>
              </w:rPr>
              <w:t xml:space="preserve"> (turpmāk – MK noteikumi Nr.537).</w:t>
            </w:r>
          </w:p>
          <w:p w14:paraId="52002A28" w14:textId="77777777" w:rsidR="00945065" w:rsidRPr="00CF0ACA" w:rsidRDefault="00945065" w:rsidP="00782332">
            <w:pPr>
              <w:pStyle w:val="Default"/>
              <w:spacing w:after="60"/>
              <w:jc w:val="both"/>
              <w:rPr>
                <w:rFonts w:ascii="Times New Roman" w:hAnsi="Times New Roman" w:cs="Times New Roman"/>
                <w:sz w:val="26"/>
                <w:szCs w:val="26"/>
              </w:rPr>
            </w:pPr>
          </w:p>
          <w:p w14:paraId="177959E8" w14:textId="083A4612" w:rsidR="00945065" w:rsidRPr="0027660A" w:rsidRDefault="004858C7" w:rsidP="00782332">
            <w:pPr>
              <w:pStyle w:val="Default"/>
              <w:spacing w:after="60"/>
              <w:jc w:val="both"/>
              <w:rPr>
                <w:rFonts w:ascii="Times New Roman" w:hAnsi="Times New Roman" w:cs="Times New Roman"/>
                <w:b/>
                <w:bCs/>
                <w:i/>
                <w:iCs/>
                <w:sz w:val="26"/>
                <w:szCs w:val="26"/>
              </w:rPr>
            </w:pPr>
            <w:r w:rsidRPr="0027660A">
              <w:rPr>
                <w:rFonts w:ascii="Times New Roman" w:hAnsi="Times New Roman" w:cs="Times New Roman"/>
                <w:b/>
                <w:bCs/>
                <w:i/>
                <w:iCs/>
                <w:sz w:val="26"/>
                <w:szCs w:val="26"/>
              </w:rPr>
              <w:t>Atbalsta piešķiršanas</w:t>
            </w:r>
            <w:r w:rsidR="00945065" w:rsidRPr="0027660A">
              <w:rPr>
                <w:rFonts w:ascii="Times New Roman" w:hAnsi="Times New Roman" w:cs="Times New Roman"/>
                <w:b/>
                <w:bCs/>
                <w:i/>
                <w:iCs/>
                <w:sz w:val="26"/>
                <w:szCs w:val="26"/>
              </w:rPr>
              <w:t xml:space="preserve"> normu precizē</w:t>
            </w:r>
            <w:r w:rsidRPr="0027660A">
              <w:rPr>
                <w:rFonts w:ascii="Times New Roman" w:hAnsi="Times New Roman" w:cs="Times New Roman"/>
                <w:b/>
                <w:bCs/>
                <w:i/>
                <w:iCs/>
                <w:sz w:val="26"/>
                <w:szCs w:val="26"/>
              </w:rPr>
              <w:t>š</w:t>
            </w:r>
            <w:r w:rsidR="00945065" w:rsidRPr="0027660A">
              <w:rPr>
                <w:rFonts w:ascii="Times New Roman" w:hAnsi="Times New Roman" w:cs="Times New Roman"/>
                <w:b/>
                <w:bCs/>
                <w:i/>
                <w:iCs/>
                <w:sz w:val="26"/>
                <w:szCs w:val="26"/>
              </w:rPr>
              <w:t>ana</w:t>
            </w:r>
          </w:p>
          <w:p w14:paraId="6D89BFC0" w14:textId="4D2B6D80" w:rsidR="00575FE5" w:rsidRPr="00CF0ACA" w:rsidRDefault="0027660A" w:rsidP="00CD3066">
            <w:pPr>
              <w:pStyle w:val="Default"/>
              <w:spacing w:after="60"/>
              <w:jc w:val="both"/>
              <w:rPr>
                <w:rFonts w:ascii="Times New Roman" w:hAnsi="Times New Roman" w:cs="Times New Roman"/>
                <w:sz w:val="26"/>
                <w:szCs w:val="26"/>
              </w:rPr>
            </w:pPr>
            <w:r w:rsidRPr="0027660A">
              <w:rPr>
                <w:rFonts w:ascii="Times New Roman" w:hAnsi="Times New Roman" w:cs="Times New Roman"/>
                <w:sz w:val="26"/>
                <w:szCs w:val="26"/>
              </w:rPr>
              <w:t xml:space="preserve">Ņemot vērā Covid-19 pandēmiju, kā arī pamatojoties uz 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uzliesmojumu”25 a) panta 11.punktu (https://eur-lex.europa.eu/legal-content/LV/TXT/HTML/?uri=CELEX:32020R0558&amp;from=LV ), kas nosaka,  </w:t>
            </w:r>
            <w:r w:rsidRPr="0027660A">
              <w:rPr>
                <w:rFonts w:ascii="Times New Roman" w:hAnsi="Times New Roman" w:cs="Times New Roman"/>
                <w:i/>
                <w:iCs/>
                <w:sz w:val="26"/>
                <w:szCs w:val="26"/>
              </w:rPr>
              <w:t xml:space="preserve">ja finanšu instrumenti sniedz atbalstu MVU apgrozāmā kapitāla veidā saskaņā ar šīs regulas 37. panta 4. punkta otro daļu, jauni vai atjaunināti uzņēmējdarbības plāni vai līdzvērtīgi dokumenti un pierādījumi, kas ļauj pārbaudīt, vai ar finanšu instrumentu starpniecību piešķirtais atbalsts ir </w:t>
            </w:r>
            <w:r w:rsidRPr="0027660A">
              <w:rPr>
                <w:rFonts w:ascii="Times New Roman" w:hAnsi="Times New Roman" w:cs="Times New Roman"/>
                <w:i/>
                <w:iCs/>
                <w:sz w:val="26"/>
                <w:szCs w:val="26"/>
              </w:rPr>
              <w:lastRenderedPageBreak/>
              <w:t>izmantots tā paredzētajam mērķim, kā daļa no apliecinošajiem dokumentiem netiek prasīti</w:t>
            </w:r>
            <w:r w:rsidRPr="0027660A">
              <w:rPr>
                <w:rFonts w:ascii="Times New Roman" w:hAnsi="Times New Roman" w:cs="Times New Roman"/>
                <w:sz w:val="26"/>
                <w:szCs w:val="26"/>
              </w:rPr>
              <w:t xml:space="preserve">, Ekonomikas ministrijas rosina šādu dokumentu prasīšanu neattiecināt arī </w:t>
            </w:r>
            <w:proofErr w:type="spellStart"/>
            <w:r w:rsidRPr="0027660A">
              <w:rPr>
                <w:rFonts w:ascii="Times New Roman" w:hAnsi="Times New Roman" w:cs="Times New Roman"/>
                <w:sz w:val="26"/>
                <w:szCs w:val="26"/>
              </w:rPr>
              <w:t>portfeļgarantiju</w:t>
            </w:r>
            <w:proofErr w:type="spellEnd"/>
            <w:r w:rsidRPr="0027660A">
              <w:rPr>
                <w:rFonts w:ascii="Times New Roman" w:hAnsi="Times New Roman" w:cs="Times New Roman"/>
                <w:sz w:val="26"/>
                <w:szCs w:val="26"/>
              </w:rPr>
              <w:t xml:space="preserve"> programmā līdz 2021.gada 31.decembrim</w:t>
            </w:r>
            <w:r w:rsidR="008E350B">
              <w:rPr>
                <w:rFonts w:ascii="Times New Roman" w:hAnsi="Times New Roman" w:cs="Times New Roman"/>
                <w:sz w:val="26"/>
                <w:szCs w:val="26"/>
              </w:rPr>
              <w:t>.</w:t>
            </w:r>
            <w:bookmarkStart w:id="3" w:name="_GoBack"/>
            <w:bookmarkEnd w:id="3"/>
            <w:r w:rsidRPr="0027660A">
              <w:rPr>
                <w:rFonts w:ascii="Times New Roman" w:hAnsi="Times New Roman" w:cs="Times New Roman"/>
                <w:sz w:val="26"/>
                <w:szCs w:val="26"/>
              </w:rPr>
              <w:t xml:space="preserve"> </w:t>
            </w:r>
            <w:r>
              <w:rPr>
                <w:rFonts w:ascii="Times New Roman" w:hAnsi="Times New Roman" w:cs="Times New Roman"/>
                <w:sz w:val="26"/>
                <w:szCs w:val="26"/>
              </w:rPr>
              <w:t>Tādējādi</w:t>
            </w:r>
            <w:r w:rsidR="00CD3066" w:rsidRPr="00CF0ACA">
              <w:rPr>
                <w:rFonts w:ascii="Times New Roman" w:hAnsi="Times New Roman" w:cs="Times New Roman"/>
                <w:sz w:val="26"/>
                <w:szCs w:val="26"/>
              </w:rPr>
              <w:t xml:space="preserve"> </w:t>
            </w:r>
            <w:r>
              <w:rPr>
                <w:rFonts w:ascii="Times New Roman" w:hAnsi="Times New Roman" w:cs="Times New Roman"/>
                <w:sz w:val="26"/>
                <w:szCs w:val="26"/>
              </w:rPr>
              <w:t>n</w:t>
            </w:r>
            <w:r w:rsidR="00C16DED" w:rsidRPr="00CF0ACA">
              <w:rPr>
                <w:rFonts w:ascii="Times New Roman" w:hAnsi="Times New Roman" w:cs="Times New Roman"/>
                <w:sz w:val="26"/>
                <w:szCs w:val="26"/>
              </w:rPr>
              <w:t>oteikumu p</w:t>
            </w:r>
            <w:r w:rsidR="00CD3066" w:rsidRPr="00CF0ACA">
              <w:rPr>
                <w:rFonts w:ascii="Times New Roman" w:hAnsi="Times New Roman" w:cs="Times New Roman"/>
                <w:b/>
                <w:bCs/>
                <w:sz w:val="26"/>
                <w:szCs w:val="26"/>
              </w:rPr>
              <w:t>rojekts paredz no</w:t>
            </w:r>
            <w:r w:rsidR="000D725C">
              <w:rPr>
                <w:rFonts w:ascii="Times New Roman" w:hAnsi="Times New Roman" w:cs="Times New Roman"/>
                <w:b/>
                <w:bCs/>
                <w:sz w:val="26"/>
                <w:szCs w:val="26"/>
              </w:rPr>
              <w:t>teikumu</w:t>
            </w:r>
            <w:r w:rsidR="00CD3066" w:rsidRPr="00CF0ACA">
              <w:rPr>
                <w:rFonts w:ascii="Times New Roman" w:hAnsi="Times New Roman" w:cs="Times New Roman"/>
                <w:b/>
                <w:bCs/>
                <w:sz w:val="26"/>
                <w:szCs w:val="26"/>
              </w:rPr>
              <w:t xml:space="preserve"> par nepieciešamību komersanta biznesa plānā vai tam pielīdzināmā dokumentā pamatot aizdevuma saistību ar komersanta darbības uzsākšanu, komersanta attīstību vai darbības paplašināšanu aizdevumiem apgrozāmo līdzekļu finansēšanai</w:t>
            </w:r>
            <w:r w:rsidR="00CD3066" w:rsidRPr="00CF0ACA">
              <w:rPr>
                <w:rFonts w:ascii="Times New Roman" w:hAnsi="Times New Roman" w:cs="Times New Roman"/>
                <w:sz w:val="26"/>
                <w:szCs w:val="26"/>
              </w:rPr>
              <w:t xml:space="preserve">, tai skaitā aizdevumiem kredītlīnijas vai </w:t>
            </w:r>
            <w:proofErr w:type="spellStart"/>
            <w:r w:rsidR="00CD3066" w:rsidRPr="00CF0ACA">
              <w:rPr>
                <w:rFonts w:ascii="Times New Roman" w:hAnsi="Times New Roman" w:cs="Times New Roman"/>
                <w:sz w:val="26"/>
                <w:szCs w:val="26"/>
              </w:rPr>
              <w:t>kredītlimita</w:t>
            </w:r>
            <w:proofErr w:type="spellEnd"/>
            <w:r w:rsidR="00CD3066" w:rsidRPr="00CF0ACA">
              <w:rPr>
                <w:rFonts w:ascii="Times New Roman" w:hAnsi="Times New Roman" w:cs="Times New Roman"/>
                <w:sz w:val="26"/>
                <w:szCs w:val="26"/>
              </w:rPr>
              <w:t xml:space="preserve"> veidā</w:t>
            </w:r>
            <w:r w:rsidR="000D725C">
              <w:rPr>
                <w:rFonts w:ascii="Times New Roman" w:hAnsi="Times New Roman" w:cs="Times New Roman"/>
                <w:sz w:val="26"/>
                <w:szCs w:val="26"/>
              </w:rPr>
              <w:t xml:space="preserve"> </w:t>
            </w:r>
            <w:r w:rsidR="000D725C" w:rsidRPr="000D725C">
              <w:rPr>
                <w:rFonts w:ascii="Times New Roman" w:hAnsi="Times New Roman" w:cs="Times New Roman"/>
                <w:sz w:val="26"/>
                <w:szCs w:val="26"/>
              </w:rPr>
              <w:t>nepiemērot līdz 2021.gada 31.decembrim</w:t>
            </w:r>
            <w:r w:rsidR="000D725C">
              <w:rPr>
                <w:rFonts w:ascii="Times New Roman" w:hAnsi="Times New Roman" w:cs="Times New Roman"/>
                <w:sz w:val="26"/>
                <w:szCs w:val="26"/>
              </w:rPr>
              <w:t>.</w:t>
            </w:r>
          </w:p>
          <w:p w14:paraId="259061AF" w14:textId="03E21C8A" w:rsidR="000E3267" w:rsidRPr="00CF0ACA" w:rsidRDefault="000E3267" w:rsidP="00CD3066">
            <w:pPr>
              <w:pStyle w:val="Default"/>
              <w:spacing w:after="60"/>
              <w:jc w:val="both"/>
              <w:rPr>
                <w:rFonts w:ascii="Times New Roman" w:hAnsi="Times New Roman" w:cs="Times New Roman"/>
                <w:sz w:val="26"/>
                <w:szCs w:val="26"/>
              </w:rPr>
            </w:pPr>
            <w:r w:rsidRPr="00CF0ACA">
              <w:rPr>
                <w:rFonts w:ascii="Times New Roman" w:hAnsi="Times New Roman" w:cs="Times New Roman"/>
                <w:sz w:val="26"/>
                <w:szCs w:val="26"/>
              </w:rPr>
              <w:t xml:space="preserve">Šie grozījumi </w:t>
            </w:r>
            <w:r w:rsidR="0031165D" w:rsidRPr="00CF0ACA">
              <w:rPr>
                <w:rFonts w:ascii="Times New Roman" w:hAnsi="Times New Roman" w:cs="Times New Roman"/>
                <w:sz w:val="26"/>
                <w:szCs w:val="26"/>
              </w:rPr>
              <w:t>arī precizē atbalsta saņēmēju loku</w:t>
            </w:r>
            <w:r w:rsidRPr="00CF0ACA">
              <w:rPr>
                <w:rFonts w:ascii="Times New Roman" w:hAnsi="Times New Roman" w:cs="Times New Roman"/>
                <w:sz w:val="26"/>
                <w:szCs w:val="26"/>
              </w:rPr>
              <w:t>, tādējādi veicinot uzņēmējdarbības kreditēšanu</w:t>
            </w:r>
            <w:r w:rsidR="00C16DED" w:rsidRPr="00CF0ACA">
              <w:rPr>
                <w:rFonts w:ascii="Times New Roman" w:hAnsi="Times New Roman" w:cs="Times New Roman"/>
                <w:sz w:val="26"/>
                <w:szCs w:val="26"/>
              </w:rPr>
              <w:t xml:space="preserve"> Latvijā</w:t>
            </w:r>
            <w:r w:rsidRPr="00CF0ACA">
              <w:rPr>
                <w:rFonts w:ascii="Times New Roman" w:hAnsi="Times New Roman" w:cs="Times New Roman"/>
                <w:sz w:val="26"/>
                <w:szCs w:val="26"/>
              </w:rPr>
              <w:t>.</w:t>
            </w:r>
          </w:p>
          <w:p w14:paraId="1727FC24" w14:textId="321AC631" w:rsidR="00F543D6" w:rsidRPr="00CF0ACA" w:rsidRDefault="00F543D6" w:rsidP="00782332">
            <w:pPr>
              <w:pStyle w:val="Default"/>
              <w:spacing w:after="60"/>
              <w:jc w:val="both"/>
              <w:rPr>
                <w:rFonts w:ascii="Times New Roman" w:hAnsi="Times New Roman" w:cs="Times New Roman"/>
                <w:sz w:val="26"/>
                <w:szCs w:val="26"/>
              </w:rPr>
            </w:pPr>
            <w:r w:rsidRPr="00CF0ACA">
              <w:rPr>
                <w:rFonts w:ascii="Times New Roman" w:hAnsi="Times New Roman" w:cs="Times New Roman"/>
                <w:sz w:val="26"/>
                <w:szCs w:val="26"/>
              </w:rPr>
              <w:t>Papildus E</w:t>
            </w:r>
            <w:r w:rsidR="00291C35" w:rsidRPr="00CF0ACA">
              <w:rPr>
                <w:rFonts w:ascii="Times New Roman" w:hAnsi="Times New Roman" w:cs="Times New Roman"/>
                <w:sz w:val="26"/>
                <w:szCs w:val="26"/>
              </w:rPr>
              <w:t>konomikas ministrija</w:t>
            </w:r>
            <w:r w:rsidRPr="00CF0ACA">
              <w:rPr>
                <w:rFonts w:ascii="Times New Roman" w:hAnsi="Times New Roman" w:cs="Times New Roman"/>
                <w:sz w:val="26"/>
                <w:szCs w:val="26"/>
              </w:rPr>
              <w:t xml:space="preserve"> skaidro, </w:t>
            </w:r>
            <w:r w:rsidR="00291C35" w:rsidRPr="00CF0ACA">
              <w:rPr>
                <w:rFonts w:ascii="Times New Roman" w:hAnsi="Times New Roman" w:cs="Times New Roman"/>
                <w:sz w:val="26"/>
                <w:szCs w:val="26"/>
              </w:rPr>
              <w:t xml:space="preserve">ka MK noteikumos Nr.537 </w:t>
            </w:r>
            <w:r w:rsidRPr="00CF0ACA">
              <w:rPr>
                <w:rFonts w:ascii="Times New Roman" w:hAnsi="Times New Roman" w:cs="Times New Roman"/>
                <w:sz w:val="26"/>
                <w:szCs w:val="26"/>
              </w:rPr>
              <w:t>ietvaros nav saistoša norma par garantijas sniegšanu apgrozāmo līdzekļu aizdevumam tikai saistībā ar investīciju veikšanu.</w:t>
            </w:r>
          </w:p>
          <w:p w14:paraId="0677B090" w14:textId="0CD2C876" w:rsidR="00880720" w:rsidRPr="00CF0ACA" w:rsidRDefault="00880720" w:rsidP="00065216">
            <w:pPr>
              <w:pStyle w:val="Default"/>
              <w:spacing w:after="60"/>
              <w:jc w:val="both"/>
              <w:rPr>
                <w:rFonts w:ascii="Times New Roman" w:hAnsi="Times New Roman" w:cs="Times New Roman"/>
                <w:sz w:val="26"/>
                <w:szCs w:val="26"/>
              </w:rPr>
            </w:pPr>
            <w:r w:rsidRPr="00CF0ACA">
              <w:rPr>
                <w:rFonts w:ascii="Times New Roman" w:hAnsi="Times New Roman" w:cs="Times New Roman"/>
                <w:sz w:val="26"/>
                <w:szCs w:val="26"/>
              </w:rPr>
              <w:t>MK</w:t>
            </w:r>
            <w:r w:rsidR="00234025" w:rsidRPr="00CF0ACA">
              <w:rPr>
                <w:rFonts w:ascii="Times New Roman" w:hAnsi="Times New Roman" w:cs="Times New Roman"/>
                <w:sz w:val="26"/>
                <w:szCs w:val="26"/>
              </w:rPr>
              <w:t xml:space="preserve"> noteikumi Nr.</w:t>
            </w:r>
            <w:r w:rsidRPr="00CF0ACA">
              <w:rPr>
                <w:rFonts w:ascii="Times New Roman" w:hAnsi="Times New Roman" w:cs="Times New Roman"/>
                <w:sz w:val="26"/>
                <w:szCs w:val="26"/>
              </w:rPr>
              <w:t xml:space="preserve">537 10.1. punkts nosaka, ka </w:t>
            </w:r>
            <w:proofErr w:type="spellStart"/>
            <w:r w:rsidRPr="00CF0ACA">
              <w:rPr>
                <w:rFonts w:ascii="Times New Roman" w:hAnsi="Times New Roman" w:cs="Times New Roman"/>
                <w:sz w:val="26"/>
                <w:szCs w:val="26"/>
              </w:rPr>
              <w:t>portfeļgarantiju</w:t>
            </w:r>
            <w:proofErr w:type="spellEnd"/>
            <w:r w:rsidRPr="00CF0ACA">
              <w:rPr>
                <w:rFonts w:ascii="Times New Roman" w:hAnsi="Times New Roman" w:cs="Times New Roman"/>
                <w:sz w:val="26"/>
                <w:szCs w:val="26"/>
              </w:rPr>
              <w:t xml:space="preserve"> var saņemt komersants, kas atbilst Komisijas 2014. gada 17. jūnija Regulas (ES) Nr. 651/2014, ar ko noteiktas atbalsta kategorijas atzīst par saderīgām ar iekšējo tirgu, piemērojot Līguma 107. un 108. pantu (turpmāk – Komisijas regula Nr. 651/2014), 1. pielikumā noteiktajām </w:t>
            </w:r>
            <w:proofErr w:type="spellStart"/>
            <w:r w:rsidRPr="00CF0ACA">
              <w:rPr>
                <w:rFonts w:ascii="Times New Roman" w:hAnsi="Times New Roman" w:cs="Times New Roman"/>
                <w:sz w:val="26"/>
                <w:szCs w:val="26"/>
              </w:rPr>
              <w:t>mikrouzņēmumu</w:t>
            </w:r>
            <w:proofErr w:type="spellEnd"/>
            <w:r w:rsidRPr="00CF0ACA">
              <w:rPr>
                <w:rFonts w:ascii="Times New Roman" w:hAnsi="Times New Roman" w:cs="Times New Roman"/>
                <w:sz w:val="26"/>
                <w:szCs w:val="26"/>
              </w:rPr>
              <w:t xml:space="preserve">, mazo un vidējo uzņēmumu definīcijām. </w:t>
            </w:r>
            <w:r w:rsidR="00234025" w:rsidRPr="00CF0ACA">
              <w:rPr>
                <w:rFonts w:ascii="Times New Roman" w:hAnsi="Times New Roman" w:cs="Times New Roman"/>
                <w:sz w:val="26"/>
                <w:szCs w:val="26"/>
              </w:rPr>
              <w:t>Komisijas r</w:t>
            </w:r>
            <w:r w:rsidRPr="00CF0ACA">
              <w:rPr>
                <w:rFonts w:ascii="Times New Roman" w:hAnsi="Times New Roman" w:cs="Times New Roman"/>
                <w:sz w:val="26"/>
                <w:szCs w:val="26"/>
              </w:rPr>
              <w:t xml:space="preserve">egulas Nr.651/2014 1.pielikuma 1.pants nosaka uzņēmuma definīciju: “Par uzņēmumu uzskata jebkuru saimnieciskās darbības subjektu neatkarīgi no tā juridiskās formas. Tas jo īpaši ietver </w:t>
            </w:r>
            <w:proofErr w:type="spellStart"/>
            <w:r w:rsidRPr="00CF0ACA">
              <w:rPr>
                <w:rFonts w:ascii="Times New Roman" w:hAnsi="Times New Roman" w:cs="Times New Roman"/>
                <w:sz w:val="26"/>
                <w:szCs w:val="26"/>
              </w:rPr>
              <w:t>pašnodarbinātas</w:t>
            </w:r>
            <w:proofErr w:type="spellEnd"/>
            <w:r w:rsidRPr="00CF0ACA">
              <w:rPr>
                <w:rFonts w:ascii="Times New Roman" w:hAnsi="Times New Roman" w:cs="Times New Roman"/>
                <w:sz w:val="26"/>
                <w:szCs w:val="26"/>
              </w:rPr>
              <w:t xml:space="preserve"> personas un ģimenes uzņēmumus, kas nodarbojas ar amatniecību vai veic citu darbību, kā arī personālsabiedrības un apvienības, kas regulāri ir iesaistītas saimnieciskajā darbībā.”  </w:t>
            </w:r>
          </w:p>
          <w:p w14:paraId="61D20222" w14:textId="72420091" w:rsidR="00880720" w:rsidRPr="00CF0ACA" w:rsidRDefault="00880720" w:rsidP="00880720">
            <w:pPr>
              <w:pStyle w:val="Default"/>
              <w:spacing w:after="60"/>
              <w:jc w:val="both"/>
              <w:rPr>
                <w:rFonts w:ascii="Times New Roman" w:hAnsi="Times New Roman" w:cs="Times New Roman"/>
                <w:sz w:val="26"/>
                <w:szCs w:val="26"/>
              </w:rPr>
            </w:pPr>
            <w:r w:rsidRPr="00CF0ACA">
              <w:rPr>
                <w:rFonts w:ascii="Times New Roman" w:hAnsi="Times New Roman" w:cs="Times New Roman"/>
                <w:sz w:val="26"/>
                <w:szCs w:val="26"/>
              </w:rPr>
              <w:t xml:space="preserve">Attiecīgi saskaņā ar </w:t>
            </w:r>
            <w:r w:rsidR="00234025" w:rsidRPr="00CF0ACA">
              <w:rPr>
                <w:rFonts w:ascii="Times New Roman" w:hAnsi="Times New Roman" w:cs="Times New Roman"/>
                <w:sz w:val="26"/>
                <w:szCs w:val="26"/>
              </w:rPr>
              <w:t>Komisijas r</w:t>
            </w:r>
            <w:r w:rsidRPr="00CF0ACA">
              <w:rPr>
                <w:rFonts w:ascii="Times New Roman" w:hAnsi="Times New Roman" w:cs="Times New Roman"/>
                <w:sz w:val="26"/>
                <w:szCs w:val="26"/>
              </w:rPr>
              <w:t>egulā Nr.651/2014 minēto - saimnieciskās darbības subjekta juridiskā forma nav noteikta un tā var būt ne tikai komersants.</w:t>
            </w:r>
          </w:p>
          <w:p w14:paraId="38BD437A" w14:textId="7499D91F" w:rsidR="00880720" w:rsidRPr="00CF0ACA" w:rsidRDefault="00880720" w:rsidP="00880720">
            <w:pPr>
              <w:pStyle w:val="Default"/>
              <w:spacing w:after="60"/>
              <w:jc w:val="both"/>
              <w:rPr>
                <w:rFonts w:ascii="Times New Roman" w:hAnsi="Times New Roman" w:cs="Times New Roman"/>
                <w:sz w:val="26"/>
                <w:szCs w:val="26"/>
              </w:rPr>
            </w:pPr>
            <w:r w:rsidRPr="00CF0ACA">
              <w:rPr>
                <w:rFonts w:ascii="Times New Roman" w:hAnsi="Times New Roman" w:cs="Times New Roman"/>
                <w:sz w:val="26"/>
                <w:szCs w:val="26"/>
              </w:rPr>
              <w:t xml:space="preserve">Tā kā saimniecisko darbību var veikt ne tikai komersanti, bet arī biedrības un nodibinājumi, kā arī zemnieku saimniecības savu mērķu sasniegšanai, kas var būt atbalstāmi saskaņā ar </w:t>
            </w:r>
            <w:r w:rsidR="00A31038" w:rsidRPr="00CF0ACA">
              <w:rPr>
                <w:rFonts w:ascii="Times New Roman" w:hAnsi="Times New Roman" w:cs="Times New Roman"/>
                <w:sz w:val="26"/>
                <w:szCs w:val="26"/>
              </w:rPr>
              <w:t>R</w:t>
            </w:r>
            <w:r w:rsidRPr="00CF0ACA">
              <w:rPr>
                <w:rFonts w:ascii="Times New Roman" w:hAnsi="Times New Roman" w:cs="Times New Roman"/>
                <w:sz w:val="26"/>
                <w:szCs w:val="26"/>
              </w:rPr>
              <w:t xml:space="preserve">egulu Nr.964/2014 un Nr.1407/2013, </w:t>
            </w:r>
            <w:r w:rsidR="00DE61A9" w:rsidRPr="00CF0ACA">
              <w:rPr>
                <w:rFonts w:ascii="Times New Roman" w:hAnsi="Times New Roman" w:cs="Times New Roman"/>
                <w:sz w:val="26"/>
                <w:szCs w:val="26"/>
              </w:rPr>
              <w:t xml:space="preserve">lai </w:t>
            </w:r>
            <w:r w:rsidR="0031165D" w:rsidRPr="00CF0ACA">
              <w:rPr>
                <w:rFonts w:ascii="Times New Roman" w:hAnsi="Times New Roman" w:cs="Times New Roman"/>
                <w:sz w:val="26"/>
                <w:szCs w:val="26"/>
              </w:rPr>
              <w:t xml:space="preserve">precizētu </w:t>
            </w:r>
            <w:r w:rsidR="00DE61A9" w:rsidRPr="00CF0ACA">
              <w:rPr>
                <w:rFonts w:ascii="Times New Roman" w:hAnsi="Times New Roman" w:cs="Times New Roman"/>
                <w:sz w:val="26"/>
                <w:szCs w:val="26"/>
              </w:rPr>
              <w:t xml:space="preserve">atbalsta saņēmēju loku, </w:t>
            </w:r>
            <w:r w:rsidRPr="00CF0ACA">
              <w:rPr>
                <w:rFonts w:ascii="Times New Roman" w:hAnsi="Times New Roman" w:cs="Times New Roman"/>
                <w:sz w:val="26"/>
                <w:szCs w:val="26"/>
              </w:rPr>
              <w:t>noteik</w:t>
            </w:r>
            <w:r w:rsidR="00DE61A9" w:rsidRPr="00CF0ACA">
              <w:rPr>
                <w:rFonts w:ascii="Times New Roman" w:hAnsi="Times New Roman" w:cs="Times New Roman"/>
                <w:sz w:val="26"/>
                <w:szCs w:val="26"/>
              </w:rPr>
              <w:t>umu</w:t>
            </w:r>
            <w:r w:rsidRPr="00CF0ACA">
              <w:rPr>
                <w:rFonts w:ascii="Times New Roman" w:hAnsi="Times New Roman" w:cs="Times New Roman"/>
                <w:sz w:val="26"/>
                <w:szCs w:val="26"/>
              </w:rPr>
              <w:t xml:space="preserve"> projekts paredz </w:t>
            </w:r>
            <w:r w:rsidR="0031165D" w:rsidRPr="00CF0ACA">
              <w:rPr>
                <w:rFonts w:ascii="Times New Roman" w:hAnsi="Times New Roman" w:cs="Times New Roman"/>
                <w:sz w:val="26"/>
                <w:szCs w:val="26"/>
              </w:rPr>
              <w:t xml:space="preserve">noteikt </w:t>
            </w:r>
            <w:r w:rsidRPr="00CF0ACA">
              <w:rPr>
                <w:rFonts w:ascii="Times New Roman" w:hAnsi="Times New Roman" w:cs="Times New Roman"/>
                <w:sz w:val="26"/>
                <w:szCs w:val="26"/>
              </w:rPr>
              <w:t xml:space="preserve">atbalsta saņēmēju mērķa grupu. Tādējādi tās būs saskaņā ar </w:t>
            </w:r>
            <w:r w:rsidR="00B7453B" w:rsidRPr="00CF0ACA">
              <w:rPr>
                <w:rFonts w:ascii="Times New Roman" w:hAnsi="Times New Roman" w:cs="Times New Roman"/>
                <w:sz w:val="26"/>
                <w:szCs w:val="26"/>
              </w:rPr>
              <w:t xml:space="preserve">citām Attīstības finanšu institūcijas </w:t>
            </w:r>
            <w:proofErr w:type="spellStart"/>
            <w:r w:rsidR="00B7453B" w:rsidRPr="00CF0ACA">
              <w:rPr>
                <w:rFonts w:ascii="Times New Roman" w:hAnsi="Times New Roman" w:cs="Times New Roman"/>
                <w:sz w:val="26"/>
                <w:szCs w:val="26"/>
              </w:rPr>
              <w:t>Altum</w:t>
            </w:r>
            <w:proofErr w:type="spellEnd"/>
            <w:r w:rsidR="00B7453B" w:rsidRPr="00CF0ACA">
              <w:rPr>
                <w:rFonts w:ascii="Times New Roman" w:hAnsi="Times New Roman" w:cs="Times New Roman"/>
                <w:sz w:val="26"/>
                <w:szCs w:val="26"/>
              </w:rPr>
              <w:t xml:space="preserve"> (turpmāk – </w:t>
            </w:r>
            <w:r w:rsidRPr="00CF0ACA">
              <w:rPr>
                <w:rFonts w:ascii="Times New Roman" w:hAnsi="Times New Roman" w:cs="Times New Roman"/>
                <w:sz w:val="26"/>
                <w:szCs w:val="26"/>
              </w:rPr>
              <w:t>ALTUM</w:t>
            </w:r>
            <w:r w:rsidR="00B7453B" w:rsidRPr="00CF0ACA">
              <w:rPr>
                <w:rFonts w:ascii="Times New Roman" w:hAnsi="Times New Roman" w:cs="Times New Roman"/>
                <w:sz w:val="26"/>
                <w:szCs w:val="26"/>
              </w:rPr>
              <w:t>)</w:t>
            </w:r>
            <w:r w:rsidRPr="00CF0ACA">
              <w:rPr>
                <w:rFonts w:ascii="Times New Roman" w:hAnsi="Times New Roman" w:cs="Times New Roman"/>
                <w:sz w:val="26"/>
                <w:szCs w:val="26"/>
              </w:rPr>
              <w:t xml:space="preserve"> finanšu instrumentu programmām, kā piem</w:t>
            </w:r>
            <w:r w:rsidR="00B7453B" w:rsidRPr="00CF0ACA">
              <w:rPr>
                <w:rFonts w:ascii="Times New Roman" w:hAnsi="Times New Roman" w:cs="Times New Roman"/>
                <w:sz w:val="26"/>
                <w:szCs w:val="26"/>
              </w:rPr>
              <w:t xml:space="preserve">ēram, </w:t>
            </w:r>
            <w:r w:rsidRPr="00CF0ACA">
              <w:rPr>
                <w:rFonts w:ascii="Times New Roman" w:hAnsi="Times New Roman" w:cs="Times New Roman"/>
                <w:sz w:val="26"/>
                <w:szCs w:val="26"/>
              </w:rPr>
              <w:t>individuālās garantijas</w:t>
            </w:r>
            <w:r w:rsidR="0031165D" w:rsidRPr="00CF0ACA">
              <w:rPr>
                <w:rFonts w:ascii="Times New Roman" w:hAnsi="Times New Roman" w:cs="Times New Roman"/>
                <w:sz w:val="26"/>
                <w:szCs w:val="26"/>
              </w:rPr>
              <w:t xml:space="preserve"> saskaņā ar MK</w:t>
            </w:r>
            <w:r w:rsidR="004569E8" w:rsidRPr="00CF0ACA">
              <w:rPr>
                <w:rFonts w:ascii="Times New Roman" w:hAnsi="Times New Roman" w:cs="Times New Roman"/>
                <w:sz w:val="26"/>
                <w:szCs w:val="26"/>
              </w:rPr>
              <w:t xml:space="preserve"> noteikumiem</w:t>
            </w:r>
            <w:r w:rsidR="0031165D" w:rsidRPr="00CF0ACA">
              <w:rPr>
                <w:rFonts w:ascii="Times New Roman" w:hAnsi="Times New Roman" w:cs="Times New Roman"/>
                <w:sz w:val="26"/>
                <w:szCs w:val="26"/>
              </w:rPr>
              <w:t xml:space="preserve"> 383</w:t>
            </w:r>
            <w:r w:rsidR="0031165D" w:rsidRPr="00CF0ACA">
              <w:rPr>
                <w:rStyle w:val="FootnoteReference"/>
                <w:rFonts w:cs="Times New Roman"/>
                <w:sz w:val="26"/>
                <w:szCs w:val="26"/>
              </w:rPr>
              <w:footnoteReference w:id="2"/>
            </w:r>
            <w:r w:rsidRPr="00CF0ACA">
              <w:rPr>
                <w:rFonts w:ascii="Times New Roman" w:hAnsi="Times New Roman" w:cs="Times New Roman"/>
                <w:sz w:val="26"/>
                <w:szCs w:val="26"/>
              </w:rPr>
              <w:t>.</w:t>
            </w:r>
          </w:p>
          <w:p w14:paraId="6FDE2EDA" w14:textId="4E441C3B" w:rsidR="00575FE5" w:rsidRPr="0057611F" w:rsidRDefault="00C34E17" w:rsidP="00782332">
            <w:pPr>
              <w:pStyle w:val="Default"/>
              <w:spacing w:after="60"/>
              <w:jc w:val="both"/>
              <w:rPr>
                <w:rFonts w:ascii="Times New Roman" w:hAnsi="Times New Roman" w:cs="Times New Roman"/>
                <w:sz w:val="26"/>
                <w:szCs w:val="26"/>
              </w:rPr>
            </w:pPr>
            <w:r w:rsidRPr="0057611F">
              <w:rPr>
                <w:rFonts w:ascii="Times New Roman" w:hAnsi="Times New Roman" w:cs="Times New Roman"/>
                <w:sz w:val="26"/>
                <w:szCs w:val="26"/>
              </w:rPr>
              <w:lastRenderedPageBreak/>
              <w:t xml:space="preserve">Ņemot vērā, ka saskaņā ar </w:t>
            </w:r>
            <w:r w:rsidR="006356D3" w:rsidRPr="0057611F">
              <w:rPr>
                <w:rFonts w:ascii="Times New Roman" w:hAnsi="Times New Roman" w:cs="Times New Roman"/>
                <w:sz w:val="26"/>
                <w:szCs w:val="26"/>
              </w:rPr>
              <w:t>Komerclikumu</w:t>
            </w:r>
            <w:r w:rsidR="006356D3" w:rsidRPr="0057611F">
              <w:rPr>
                <w:rStyle w:val="FootnoteReference"/>
                <w:rFonts w:cs="Times New Roman"/>
                <w:sz w:val="26"/>
                <w:szCs w:val="26"/>
              </w:rPr>
              <w:footnoteReference w:id="3"/>
            </w:r>
            <w:r w:rsidRPr="0057611F">
              <w:rPr>
                <w:rFonts w:ascii="Times New Roman" w:hAnsi="Times New Roman" w:cs="Times New Roman"/>
                <w:sz w:val="26"/>
                <w:szCs w:val="26"/>
              </w:rPr>
              <w:t xml:space="preserve"> termins komersants attiecas </w:t>
            </w:r>
            <w:r w:rsidR="006356D3" w:rsidRPr="0057611F">
              <w:rPr>
                <w:rFonts w:ascii="Times New Roman" w:hAnsi="Times New Roman" w:cs="Times New Roman"/>
                <w:sz w:val="26"/>
                <w:szCs w:val="26"/>
              </w:rPr>
              <w:t>uz Komercreģistrā ierakstītām personā, l</w:t>
            </w:r>
            <w:r w:rsidR="00D0780B" w:rsidRPr="0057611F">
              <w:rPr>
                <w:rFonts w:ascii="Times New Roman" w:hAnsi="Times New Roman" w:cs="Times New Roman"/>
                <w:sz w:val="26"/>
                <w:szCs w:val="26"/>
              </w:rPr>
              <w:t>ai aptvertu plašāku saņēmēju loku</w:t>
            </w:r>
            <w:r w:rsidR="006356D3" w:rsidRPr="0057611F">
              <w:rPr>
                <w:rFonts w:ascii="Times New Roman" w:hAnsi="Times New Roman" w:cs="Times New Roman"/>
                <w:sz w:val="26"/>
                <w:szCs w:val="26"/>
              </w:rPr>
              <w:t xml:space="preserve">, </w:t>
            </w:r>
            <w:r w:rsidR="00D0780B" w:rsidRPr="0057611F">
              <w:rPr>
                <w:rFonts w:ascii="Times New Roman" w:hAnsi="Times New Roman" w:cs="Times New Roman"/>
                <w:sz w:val="26"/>
                <w:szCs w:val="26"/>
              </w:rPr>
              <w:t>kā atbalsta saņēmējs tiek noteikts saimnieciskās darbības veicējs – juridiska persona</w:t>
            </w:r>
            <w:r w:rsidR="006356D3" w:rsidRPr="0057611F">
              <w:rPr>
                <w:rFonts w:ascii="Times New Roman" w:hAnsi="Times New Roman" w:cs="Times New Roman"/>
                <w:sz w:val="26"/>
                <w:szCs w:val="26"/>
              </w:rPr>
              <w:t>,</w:t>
            </w:r>
            <w:r w:rsidR="00E455E2" w:rsidRPr="0057611F">
              <w:rPr>
                <w:rFonts w:ascii="Times New Roman" w:hAnsi="Times New Roman" w:cs="Times New Roman"/>
                <w:sz w:val="26"/>
                <w:szCs w:val="26"/>
              </w:rPr>
              <w:t xml:space="preserve"> kas ietver gan Komercreģistrā reģistrētas juridiskas personas, kā arī citos reģistros reģistrētas juridiskas personas, kas veic saimniecisko darbību.</w:t>
            </w:r>
          </w:p>
          <w:p w14:paraId="436C9D66" w14:textId="5466926B" w:rsidR="00C34E17" w:rsidRDefault="006356D3" w:rsidP="00782332">
            <w:pPr>
              <w:pStyle w:val="Default"/>
              <w:spacing w:after="60"/>
              <w:jc w:val="both"/>
              <w:rPr>
                <w:rFonts w:ascii="Times New Roman" w:hAnsi="Times New Roman" w:cs="Times New Roman"/>
                <w:sz w:val="26"/>
                <w:szCs w:val="26"/>
              </w:rPr>
            </w:pPr>
            <w:r w:rsidRPr="0057611F">
              <w:rPr>
                <w:rFonts w:ascii="Times New Roman" w:hAnsi="Times New Roman" w:cs="Times New Roman"/>
                <w:sz w:val="26"/>
                <w:szCs w:val="26"/>
              </w:rPr>
              <w:t>Saimnieciskās darbības veicēji, kas ir fiziskas personas nav atbalstāmas</w:t>
            </w:r>
            <w:r w:rsidR="00C34E17" w:rsidRPr="0057611F">
              <w:rPr>
                <w:rFonts w:ascii="Times New Roman" w:hAnsi="Times New Roman" w:cs="Times New Roman"/>
                <w:sz w:val="26"/>
                <w:szCs w:val="26"/>
              </w:rPr>
              <w:t xml:space="preserve"> </w:t>
            </w:r>
            <w:r w:rsidRPr="0057611F">
              <w:rPr>
                <w:rFonts w:ascii="Times New Roman" w:hAnsi="Times New Roman" w:cs="Times New Roman"/>
                <w:sz w:val="26"/>
                <w:szCs w:val="26"/>
              </w:rPr>
              <w:t>Noteikumu Nr.537 ietvaros.</w:t>
            </w:r>
          </w:p>
          <w:p w14:paraId="7368FAB1" w14:textId="77777777" w:rsidR="00E455E2" w:rsidRPr="00CF0ACA" w:rsidRDefault="00E455E2" w:rsidP="00782332">
            <w:pPr>
              <w:pStyle w:val="Default"/>
              <w:spacing w:after="60"/>
              <w:jc w:val="both"/>
              <w:rPr>
                <w:rFonts w:ascii="Times New Roman" w:hAnsi="Times New Roman" w:cs="Times New Roman"/>
                <w:sz w:val="26"/>
                <w:szCs w:val="26"/>
              </w:rPr>
            </w:pPr>
          </w:p>
          <w:p w14:paraId="1699DEA8" w14:textId="66601DAF" w:rsidR="00945065" w:rsidRPr="00CF0ACA" w:rsidRDefault="00945065" w:rsidP="00782332">
            <w:pPr>
              <w:pStyle w:val="Default"/>
              <w:spacing w:after="60"/>
              <w:jc w:val="both"/>
              <w:rPr>
                <w:rFonts w:ascii="Times New Roman" w:hAnsi="Times New Roman" w:cs="Times New Roman"/>
                <w:b/>
                <w:bCs/>
                <w:i/>
                <w:iCs/>
                <w:sz w:val="26"/>
                <w:szCs w:val="26"/>
              </w:rPr>
            </w:pPr>
            <w:r w:rsidRPr="00CF0ACA">
              <w:rPr>
                <w:rFonts w:ascii="Times New Roman" w:hAnsi="Times New Roman" w:cs="Times New Roman"/>
                <w:b/>
                <w:bCs/>
                <w:i/>
                <w:iCs/>
                <w:sz w:val="26"/>
                <w:szCs w:val="26"/>
              </w:rPr>
              <w:t>Covid-19 programmas pagarinājums</w:t>
            </w:r>
          </w:p>
          <w:p w14:paraId="33759E51" w14:textId="267ABA83" w:rsidR="005A4865" w:rsidRPr="00CF0ACA" w:rsidRDefault="005A4865" w:rsidP="00782332">
            <w:pPr>
              <w:pStyle w:val="Default"/>
              <w:spacing w:after="60"/>
              <w:jc w:val="both"/>
              <w:rPr>
                <w:rFonts w:ascii="Times New Roman" w:hAnsi="Times New Roman" w:cs="Times New Roman"/>
                <w:sz w:val="26"/>
                <w:szCs w:val="26"/>
              </w:rPr>
            </w:pPr>
            <w:proofErr w:type="spellStart"/>
            <w:r w:rsidRPr="00CF0ACA">
              <w:rPr>
                <w:rFonts w:ascii="Times New Roman" w:hAnsi="Times New Roman" w:cs="Times New Roman"/>
                <w:sz w:val="26"/>
                <w:szCs w:val="26"/>
              </w:rPr>
              <w:t>P</w:t>
            </w:r>
            <w:r w:rsidR="00F25F7D" w:rsidRPr="00CF0ACA">
              <w:rPr>
                <w:rFonts w:ascii="Times New Roman" w:hAnsi="Times New Roman" w:cs="Times New Roman"/>
                <w:sz w:val="26"/>
                <w:szCs w:val="26"/>
              </w:rPr>
              <w:t>ortfeļgarantiju</w:t>
            </w:r>
            <w:proofErr w:type="spellEnd"/>
            <w:r w:rsidR="00F25F7D" w:rsidRPr="00CF0ACA">
              <w:rPr>
                <w:rFonts w:ascii="Times New Roman" w:hAnsi="Times New Roman" w:cs="Times New Roman"/>
                <w:sz w:val="26"/>
                <w:szCs w:val="26"/>
              </w:rPr>
              <w:t xml:space="preserve"> programma Covid-19 seku mazināšanai (MK Noteikumu Nr.537 5.</w:t>
            </w:r>
            <w:r w:rsidR="00F25F7D" w:rsidRPr="00CF0ACA">
              <w:rPr>
                <w:rFonts w:ascii="Times New Roman" w:hAnsi="Times New Roman" w:cs="Times New Roman"/>
                <w:sz w:val="26"/>
                <w:szCs w:val="26"/>
                <w:vertAlign w:val="superscript"/>
              </w:rPr>
              <w:t xml:space="preserve">1 </w:t>
            </w:r>
            <w:r w:rsidR="00F25F7D" w:rsidRPr="00CF0ACA">
              <w:rPr>
                <w:rFonts w:ascii="Times New Roman" w:hAnsi="Times New Roman" w:cs="Times New Roman"/>
                <w:sz w:val="26"/>
                <w:szCs w:val="26"/>
              </w:rPr>
              <w:t xml:space="preserve">punkts) tika ieviesta saskaņā ar </w:t>
            </w:r>
            <w:proofErr w:type="spellStart"/>
            <w:r w:rsidR="00F25F7D" w:rsidRPr="00CF0ACA">
              <w:rPr>
                <w:rFonts w:ascii="Times New Roman" w:hAnsi="Times New Roman" w:cs="Times New Roman"/>
                <w:i/>
                <w:iCs/>
                <w:sz w:val="26"/>
                <w:szCs w:val="26"/>
              </w:rPr>
              <w:t>de</w:t>
            </w:r>
            <w:proofErr w:type="spellEnd"/>
            <w:r w:rsidR="00F25F7D" w:rsidRPr="00CF0ACA">
              <w:rPr>
                <w:rFonts w:ascii="Times New Roman" w:hAnsi="Times New Roman" w:cs="Times New Roman"/>
                <w:i/>
                <w:iCs/>
                <w:sz w:val="26"/>
                <w:szCs w:val="26"/>
              </w:rPr>
              <w:t xml:space="preserve"> </w:t>
            </w:r>
            <w:proofErr w:type="spellStart"/>
            <w:r w:rsidR="00F25F7D" w:rsidRPr="00CF0ACA">
              <w:rPr>
                <w:rFonts w:ascii="Times New Roman" w:hAnsi="Times New Roman" w:cs="Times New Roman"/>
                <w:i/>
                <w:iCs/>
                <w:sz w:val="26"/>
                <w:szCs w:val="26"/>
              </w:rPr>
              <w:t>minimis</w:t>
            </w:r>
            <w:proofErr w:type="spellEnd"/>
            <w:r w:rsidR="00F25F7D" w:rsidRPr="00CF0ACA">
              <w:rPr>
                <w:rFonts w:ascii="Times New Roman" w:hAnsi="Times New Roman" w:cs="Times New Roman"/>
                <w:sz w:val="26"/>
                <w:szCs w:val="26"/>
              </w:rPr>
              <w:t xml:space="preserve"> atbalsta nosacījumiem,</w:t>
            </w:r>
            <w:r w:rsidRPr="00CF0ACA">
              <w:rPr>
                <w:rFonts w:ascii="Times New Roman" w:hAnsi="Times New Roman" w:cs="Times New Roman"/>
                <w:sz w:val="26"/>
                <w:szCs w:val="26"/>
              </w:rPr>
              <w:t xml:space="preserve"> pārņemot atsevišķus </w:t>
            </w:r>
            <w:r w:rsidR="00F25F7D" w:rsidRPr="00CF0ACA">
              <w:rPr>
                <w:rFonts w:ascii="Times New Roman" w:hAnsi="Times New Roman" w:cs="Times New Roman"/>
                <w:sz w:val="26"/>
                <w:szCs w:val="26"/>
              </w:rPr>
              <w:t>Eiropas Komisijas 2020.gada 19.marta Komisijas paziņojumu “Pagaidu regulējums valsts atbalsta pasākumiem, ar ko atbalsta ekonomiku pašreizējā Covid-19 uzliesmojuma situācijā” (2020/C 91 I/01) (turpmāk – Pagaidu regulējums)</w:t>
            </w:r>
            <w:r w:rsidRPr="00CF0ACA">
              <w:rPr>
                <w:rFonts w:ascii="Times New Roman" w:hAnsi="Times New Roman" w:cs="Times New Roman"/>
                <w:sz w:val="26"/>
                <w:szCs w:val="26"/>
              </w:rPr>
              <w:t xml:space="preserve"> nosacījumus</w:t>
            </w:r>
            <w:r w:rsidR="00F25F7D" w:rsidRPr="00CF0ACA">
              <w:rPr>
                <w:rFonts w:ascii="Times New Roman" w:hAnsi="Times New Roman" w:cs="Times New Roman"/>
                <w:sz w:val="26"/>
                <w:szCs w:val="26"/>
              </w:rPr>
              <w:t xml:space="preserve">. </w:t>
            </w:r>
          </w:p>
          <w:p w14:paraId="5F39B498" w14:textId="41E7C0D6" w:rsidR="00392FEE" w:rsidRPr="00CF0ACA" w:rsidRDefault="00392FEE" w:rsidP="00945065">
            <w:pPr>
              <w:pStyle w:val="Default"/>
              <w:spacing w:after="60"/>
              <w:jc w:val="both"/>
              <w:rPr>
                <w:rFonts w:ascii="Times New Roman" w:hAnsi="Times New Roman" w:cs="Times New Roman"/>
                <w:sz w:val="26"/>
                <w:szCs w:val="26"/>
              </w:rPr>
            </w:pPr>
            <w:r w:rsidRPr="00CF0ACA">
              <w:rPr>
                <w:rFonts w:ascii="Times New Roman" w:hAnsi="Times New Roman" w:cs="Times New Roman"/>
                <w:sz w:val="26"/>
                <w:szCs w:val="26"/>
              </w:rPr>
              <w:t>Attiecīgi programmas termiņš sākotnēji tika noteikts saskaņā ar Pagaidu regulējumu</w:t>
            </w:r>
            <w:r w:rsidR="0082639D" w:rsidRPr="00CF0ACA">
              <w:rPr>
                <w:rFonts w:ascii="Times New Roman" w:hAnsi="Times New Roman" w:cs="Times New Roman"/>
                <w:sz w:val="26"/>
                <w:szCs w:val="26"/>
              </w:rPr>
              <w:t xml:space="preserve"> t.i. līdz 2020.gada 31.decembrim.</w:t>
            </w:r>
          </w:p>
          <w:p w14:paraId="2E0570CA" w14:textId="26158B04" w:rsidR="004858C7" w:rsidRPr="00CF0ACA" w:rsidRDefault="00392FEE" w:rsidP="00945065">
            <w:pPr>
              <w:pStyle w:val="Default"/>
              <w:spacing w:after="60"/>
              <w:jc w:val="both"/>
              <w:rPr>
                <w:rFonts w:ascii="Times New Roman" w:hAnsi="Times New Roman" w:cs="Times New Roman"/>
                <w:sz w:val="26"/>
                <w:szCs w:val="26"/>
              </w:rPr>
            </w:pPr>
            <w:r w:rsidRPr="00CF0ACA">
              <w:rPr>
                <w:rFonts w:ascii="Times New Roman" w:hAnsi="Times New Roman" w:cs="Times New Roman"/>
                <w:sz w:val="26"/>
                <w:szCs w:val="26"/>
              </w:rPr>
              <w:t>I</w:t>
            </w:r>
            <w:r w:rsidR="005A4865" w:rsidRPr="00CF0ACA">
              <w:rPr>
                <w:rFonts w:ascii="Times New Roman" w:hAnsi="Times New Roman" w:cs="Times New Roman"/>
                <w:sz w:val="26"/>
                <w:szCs w:val="26"/>
              </w:rPr>
              <w:t>zvērtējot ekonomisko situāciju valstī</w:t>
            </w:r>
            <w:r w:rsidRPr="00CF0ACA">
              <w:rPr>
                <w:rFonts w:ascii="Times New Roman" w:hAnsi="Times New Roman" w:cs="Times New Roman"/>
                <w:sz w:val="26"/>
                <w:szCs w:val="26"/>
              </w:rPr>
              <w:t xml:space="preserve">, </w:t>
            </w:r>
            <w:r w:rsidR="005A4865" w:rsidRPr="00CF0ACA">
              <w:rPr>
                <w:rFonts w:ascii="Times New Roman" w:hAnsi="Times New Roman" w:cs="Times New Roman"/>
                <w:sz w:val="26"/>
                <w:szCs w:val="26"/>
              </w:rPr>
              <w:t>nākotnes attīstības prognožu nenoteiktību</w:t>
            </w:r>
            <w:r w:rsidRPr="00CF0ACA">
              <w:rPr>
                <w:rFonts w:ascii="Times New Roman" w:hAnsi="Times New Roman" w:cs="Times New Roman"/>
                <w:sz w:val="26"/>
                <w:szCs w:val="26"/>
              </w:rPr>
              <w:t xml:space="preserve"> un to, ka programma tiek ieviesta zem Komisijas regulas Nr.1407/2013, </w:t>
            </w:r>
            <w:r w:rsidR="00F25F7D" w:rsidRPr="00CF0ACA">
              <w:rPr>
                <w:rFonts w:ascii="Times New Roman" w:hAnsi="Times New Roman" w:cs="Times New Roman"/>
                <w:sz w:val="26"/>
                <w:szCs w:val="26"/>
              </w:rPr>
              <w:t>E</w:t>
            </w:r>
            <w:r w:rsidR="005A4865" w:rsidRPr="00CF0ACA">
              <w:rPr>
                <w:rFonts w:ascii="Times New Roman" w:hAnsi="Times New Roman" w:cs="Times New Roman"/>
                <w:sz w:val="26"/>
                <w:szCs w:val="26"/>
              </w:rPr>
              <w:t>konomikas ministrija</w:t>
            </w:r>
            <w:r w:rsidR="00F25F7D" w:rsidRPr="00CF0ACA">
              <w:rPr>
                <w:rFonts w:ascii="Times New Roman" w:hAnsi="Times New Roman" w:cs="Times New Roman"/>
                <w:sz w:val="26"/>
                <w:szCs w:val="26"/>
              </w:rPr>
              <w:t xml:space="preserve"> </w:t>
            </w:r>
            <w:r w:rsidR="005A4865" w:rsidRPr="00CF0ACA">
              <w:rPr>
                <w:rFonts w:ascii="Times New Roman" w:hAnsi="Times New Roman" w:cs="Times New Roman"/>
                <w:sz w:val="26"/>
                <w:szCs w:val="26"/>
              </w:rPr>
              <w:t>ie</w:t>
            </w:r>
            <w:r w:rsidR="00F25F7D" w:rsidRPr="00CF0ACA">
              <w:rPr>
                <w:rFonts w:ascii="Times New Roman" w:hAnsi="Times New Roman" w:cs="Times New Roman"/>
                <w:sz w:val="26"/>
                <w:szCs w:val="26"/>
              </w:rPr>
              <w:t xml:space="preserve">rosina </w:t>
            </w:r>
            <w:proofErr w:type="spellStart"/>
            <w:r w:rsidR="0057338A" w:rsidRPr="00CF0ACA">
              <w:rPr>
                <w:rFonts w:ascii="Times New Roman" w:hAnsi="Times New Roman" w:cs="Times New Roman"/>
                <w:sz w:val="26"/>
                <w:szCs w:val="26"/>
              </w:rPr>
              <w:t>portfeļgarantiju</w:t>
            </w:r>
            <w:proofErr w:type="spellEnd"/>
            <w:r w:rsidR="0057338A" w:rsidRPr="00CF0ACA">
              <w:rPr>
                <w:rFonts w:ascii="Times New Roman" w:hAnsi="Times New Roman" w:cs="Times New Roman"/>
                <w:sz w:val="26"/>
                <w:szCs w:val="26"/>
              </w:rPr>
              <w:t xml:space="preserve"> programmas īstenošanu Covid-19 seku mazināšanai (</w:t>
            </w:r>
            <w:r w:rsidR="005A4865" w:rsidRPr="00CF0ACA">
              <w:rPr>
                <w:rFonts w:ascii="Times New Roman" w:hAnsi="Times New Roman" w:cs="Times New Roman"/>
                <w:sz w:val="26"/>
                <w:szCs w:val="26"/>
              </w:rPr>
              <w:t>MK noteikumu Nr.</w:t>
            </w:r>
            <w:r w:rsidR="0057338A" w:rsidRPr="00CF0ACA">
              <w:rPr>
                <w:rFonts w:ascii="Times New Roman" w:hAnsi="Times New Roman" w:cs="Times New Roman"/>
                <w:sz w:val="26"/>
                <w:szCs w:val="26"/>
              </w:rPr>
              <w:t>537 5.</w:t>
            </w:r>
            <w:r w:rsidR="0057338A" w:rsidRPr="00CF0ACA">
              <w:rPr>
                <w:rFonts w:ascii="Times New Roman" w:hAnsi="Times New Roman" w:cs="Times New Roman"/>
                <w:sz w:val="26"/>
                <w:szCs w:val="26"/>
                <w:vertAlign w:val="superscript"/>
              </w:rPr>
              <w:t xml:space="preserve">1 </w:t>
            </w:r>
            <w:r w:rsidR="0057338A" w:rsidRPr="00CF0ACA">
              <w:rPr>
                <w:rFonts w:ascii="Times New Roman" w:hAnsi="Times New Roman" w:cs="Times New Roman"/>
                <w:sz w:val="26"/>
                <w:szCs w:val="26"/>
              </w:rPr>
              <w:t>punkts) pagarināt līdz 2021.gada 31.decembrim.</w:t>
            </w:r>
            <w:r w:rsidR="005C1507" w:rsidRPr="00CF0ACA">
              <w:rPr>
                <w:rFonts w:ascii="Times New Roman" w:hAnsi="Times New Roman" w:cs="Times New Roman"/>
                <w:sz w:val="26"/>
                <w:szCs w:val="26"/>
              </w:rPr>
              <w:t xml:space="preserve"> </w:t>
            </w:r>
            <w:r w:rsidR="00F543D6" w:rsidRPr="00CF0ACA">
              <w:rPr>
                <w:rFonts w:ascii="Times New Roman" w:hAnsi="Times New Roman" w:cs="Times New Roman"/>
                <w:sz w:val="26"/>
                <w:szCs w:val="26"/>
              </w:rPr>
              <w:t xml:space="preserve">Šāds termiņš </w:t>
            </w:r>
            <w:r w:rsidR="004F29F8" w:rsidRPr="00CF0ACA">
              <w:rPr>
                <w:rFonts w:ascii="Times New Roman" w:hAnsi="Times New Roman" w:cs="Times New Roman"/>
                <w:sz w:val="26"/>
                <w:szCs w:val="26"/>
              </w:rPr>
              <w:t>ir saskaņā</w:t>
            </w:r>
            <w:r w:rsidR="00F543D6" w:rsidRPr="00CF0ACA">
              <w:rPr>
                <w:rFonts w:ascii="Times New Roman" w:hAnsi="Times New Roman" w:cs="Times New Roman"/>
                <w:sz w:val="26"/>
                <w:szCs w:val="26"/>
              </w:rPr>
              <w:t xml:space="preserve"> ar </w:t>
            </w:r>
            <w:r w:rsidR="004F29F8" w:rsidRPr="00CF0ACA">
              <w:rPr>
                <w:rFonts w:ascii="Times New Roman" w:hAnsi="Times New Roman" w:cs="Times New Roman"/>
                <w:sz w:val="26"/>
                <w:szCs w:val="26"/>
              </w:rPr>
              <w:t>Komisijas regulas Nr.1407/2013</w:t>
            </w:r>
            <w:r w:rsidR="00F543D6" w:rsidRPr="00CF0ACA">
              <w:rPr>
                <w:rFonts w:ascii="Times New Roman" w:hAnsi="Times New Roman" w:cs="Times New Roman"/>
                <w:sz w:val="26"/>
                <w:szCs w:val="26"/>
              </w:rPr>
              <w:t xml:space="preserve"> no</w:t>
            </w:r>
            <w:r w:rsidR="00F2290E" w:rsidRPr="00CF0ACA">
              <w:rPr>
                <w:rFonts w:ascii="Times New Roman" w:hAnsi="Times New Roman" w:cs="Times New Roman"/>
                <w:sz w:val="26"/>
                <w:szCs w:val="26"/>
              </w:rPr>
              <w:t>s</w:t>
            </w:r>
            <w:r w:rsidR="00F543D6" w:rsidRPr="00CF0ACA">
              <w:rPr>
                <w:rFonts w:ascii="Times New Roman" w:hAnsi="Times New Roman" w:cs="Times New Roman"/>
                <w:sz w:val="26"/>
                <w:szCs w:val="26"/>
              </w:rPr>
              <w:t>acījumiem</w:t>
            </w:r>
            <w:r w:rsidR="00F2290E" w:rsidRPr="00CF0ACA">
              <w:rPr>
                <w:rFonts w:ascii="Times New Roman" w:hAnsi="Times New Roman" w:cs="Times New Roman"/>
                <w:sz w:val="26"/>
                <w:szCs w:val="26"/>
              </w:rPr>
              <w:t>.</w:t>
            </w:r>
          </w:p>
          <w:p w14:paraId="15B6363C" w14:textId="77777777" w:rsidR="004858C7" w:rsidRPr="00CF0ACA" w:rsidRDefault="004858C7" w:rsidP="00945065">
            <w:pPr>
              <w:pStyle w:val="Default"/>
              <w:spacing w:after="60"/>
              <w:jc w:val="both"/>
              <w:rPr>
                <w:rFonts w:ascii="Times New Roman" w:hAnsi="Times New Roman" w:cs="Times New Roman"/>
                <w:b/>
                <w:bCs/>
                <w:i/>
                <w:iCs/>
                <w:sz w:val="26"/>
                <w:szCs w:val="26"/>
              </w:rPr>
            </w:pPr>
          </w:p>
          <w:p w14:paraId="37CBCBB2" w14:textId="77777777" w:rsidR="0065168D" w:rsidRDefault="0065168D" w:rsidP="00AB24D0">
            <w:pPr>
              <w:pStyle w:val="Default"/>
              <w:spacing w:after="60"/>
              <w:ind w:left="90"/>
              <w:jc w:val="both"/>
              <w:rPr>
                <w:rFonts w:ascii="Times New Roman" w:hAnsi="Times New Roman" w:cs="Times New Roman"/>
                <w:sz w:val="26"/>
                <w:szCs w:val="26"/>
              </w:rPr>
            </w:pPr>
            <w:r w:rsidRPr="00CF0ACA">
              <w:rPr>
                <w:rFonts w:ascii="Times New Roman" w:hAnsi="Times New Roman" w:cs="Times New Roman"/>
                <w:sz w:val="26"/>
                <w:szCs w:val="26"/>
              </w:rPr>
              <w:t xml:space="preserve">Ņemot vērā arvien pieaugošu Covid-19 izplatību un ietekmi uz komersantu saimniecisko darbību, MK Noteikumos precizēts, ka garantijas pieejamas, lai mazinātu Covid-19 izplatības seku negatīvo ietekmi uz saimnieciskās darbības veicēju saimniecisko darbību, kā arī svītroti nosacījumi par likviditātes un finanšu datu prasībām, tā kā praksē ir virkne citu situāciju, kas negatīvi ietekmē saimniecisko darbību, piemēram, slēgtu robežu dēļ nevar veikt darbus ārvalstīs vai kavējas izejvielu piegādes, darbaspēka </w:t>
            </w:r>
            <w:proofErr w:type="spellStart"/>
            <w:r w:rsidRPr="00CF0ACA">
              <w:rPr>
                <w:rFonts w:ascii="Times New Roman" w:hAnsi="Times New Roman" w:cs="Times New Roman"/>
                <w:sz w:val="26"/>
                <w:szCs w:val="26"/>
              </w:rPr>
              <w:t>pašizolācija</w:t>
            </w:r>
            <w:proofErr w:type="spellEnd"/>
            <w:r w:rsidRPr="00CF0ACA">
              <w:rPr>
                <w:rFonts w:ascii="Times New Roman" w:hAnsi="Times New Roman" w:cs="Times New Roman"/>
                <w:sz w:val="26"/>
                <w:szCs w:val="26"/>
              </w:rPr>
              <w:t>, klientu maksājumu kavējumu īpatsvara pieaugums, piegādātāju pāreja uz priekšapmaksu, klientu pēcapmaksas termiņu pagarināšana u.c. neizslēdzot arī saimnieciskās darbības veicēju likviditātes samazināšanos un finanšu datu pasliktināšanos salīdzinājumā ar laika periodu pirms Covid-19 izplatības.</w:t>
            </w:r>
          </w:p>
          <w:p w14:paraId="72EADDA7" w14:textId="2503706B" w:rsidR="00D03516" w:rsidRPr="00B9136E" w:rsidRDefault="00D03516" w:rsidP="00D03516">
            <w:pPr>
              <w:spacing w:before="240"/>
              <w:jc w:val="both"/>
              <w:rPr>
                <w:b/>
                <w:bCs/>
                <w:i/>
                <w:iCs/>
                <w:sz w:val="26"/>
                <w:szCs w:val="26"/>
                <w:lang w:val="lv-LV"/>
              </w:rPr>
            </w:pPr>
            <w:r w:rsidRPr="00B9136E">
              <w:rPr>
                <w:b/>
                <w:bCs/>
                <w:i/>
                <w:iCs/>
                <w:sz w:val="26"/>
                <w:szCs w:val="26"/>
                <w:lang w:val="lv-LV"/>
              </w:rPr>
              <w:t>Atbalsta apvienošanas nosacījum</w:t>
            </w:r>
            <w:r w:rsidR="00981677">
              <w:rPr>
                <w:b/>
                <w:bCs/>
                <w:i/>
                <w:iCs/>
                <w:sz w:val="26"/>
                <w:szCs w:val="26"/>
                <w:lang w:val="lv-LV"/>
              </w:rPr>
              <w:t>u precizēšana</w:t>
            </w:r>
          </w:p>
          <w:p w14:paraId="37465125" w14:textId="46629584" w:rsidR="00D03516" w:rsidRPr="00B9136E" w:rsidRDefault="00D03516" w:rsidP="00D03516">
            <w:pPr>
              <w:jc w:val="both"/>
              <w:rPr>
                <w:rFonts w:eastAsia="Times New Roman"/>
                <w:sz w:val="26"/>
                <w:szCs w:val="26"/>
                <w:lang w:val="lv-LV" w:eastAsia="lv-LV"/>
              </w:rPr>
            </w:pPr>
            <w:r w:rsidRPr="00B9136E">
              <w:rPr>
                <w:rFonts w:eastAsia="Times New Roman"/>
                <w:sz w:val="26"/>
                <w:szCs w:val="26"/>
                <w:lang w:val="lv-LV" w:eastAsia="lv-LV"/>
              </w:rPr>
              <w:lastRenderedPageBreak/>
              <w:t xml:space="preserve">Lai nodrošinātu, ka tiek ievēroti </w:t>
            </w:r>
            <w:r>
              <w:rPr>
                <w:rFonts w:eastAsia="Times New Roman"/>
                <w:sz w:val="26"/>
                <w:szCs w:val="26"/>
                <w:lang w:val="lv-LV" w:eastAsia="lv-LV"/>
              </w:rPr>
              <w:t>Pagaidu regulējuma</w:t>
            </w:r>
            <w:r w:rsidRPr="00B9136E">
              <w:rPr>
                <w:rFonts w:eastAsia="Times New Roman"/>
                <w:sz w:val="26"/>
                <w:szCs w:val="26"/>
                <w:lang w:val="lv-LV" w:eastAsia="lv-LV"/>
              </w:rPr>
              <w:t xml:space="preserve"> noteiktie kumulācijas nosacījumi, kā arī ņemot vērā, ka kopš 2020.gada </w:t>
            </w:r>
            <w:r>
              <w:rPr>
                <w:rFonts w:eastAsia="Times New Roman"/>
                <w:sz w:val="26"/>
                <w:szCs w:val="26"/>
                <w:lang w:val="lv-LV" w:eastAsia="lv-LV"/>
              </w:rPr>
              <w:t>aprīļa</w:t>
            </w:r>
            <w:r w:rsidRPr="00B9136E">
              <w:rPr>
                <w:rFonts w:eastAsia="Times New Roman"/>
                <w:sz w:val="26"/>
                <w:szCs w:val="26"/>
                <w:lang w:val="lv-LV" w:eastAsia="lv-LV"/>
              </w:rPr>
              <w:t xml:space="preserve">, kad tika </w:t>
            </w:r>
            <w:r>
              <w:rPr>
                <w:rFonts w:eastAsia="Times New Roman"/>
                <w:sz w:val="26"/>
                <w:szCs w:val="26"/>
                <w:lang w:val="lv-LV" w:eastAsia="lv-LV"/>
              </w:rPr>
              <w:t xml:space="preserve">veikti grozījumi </w:t>
            </w:r>
            <w:r w:rsidRPr="00B9136E">
              <w:rPr>
                <w:rFonts w:eastAsia="Times New Roman"/>
                <w:sz w:val="26"/>
                <w:szCs w:val="26"/>
                <w:lang w:val="lv-LV" w:eastAsia="lv-LV"/>
              </w:rPr>
              <w:t>Noteikum</w:t>
            </w:r>
            <w:r>
              <w:rPr>
                <w:rFonts w:eastAsia="Times New Roman"/>
                <w:sz w:val="26"/>
                <w:szCs w:val="26"/>
                <w:lang w:val="lv-LV" w:eastAsia="lv-LV"/>
              </w:rPr>
              <w:t>os</w:t>
            </w:r>
            <w:r w:rsidRPr="00B9136E">
              <w:rPr>
                <w:rFonts w:eastAsia="Times New Roman"/>
                <w:sz w:val="26"/>
                <w:szCs w:val="26"/>
                <w:lang w:val="lv-LV" w:eastAsia="lv-LV"/>
              </w:rPr>
              <w:t xml:space="preserve"> Nr.</w:t>
            </w:r>
            <w:r>
              <w:rPr>
                <w:rFonts w:eastAsia="Times New Roman"/>
                <w:sz w:val="26"/>
                <w:szCs w:val="26"/>
                <w:lang w:val="lv-LV" w:eastAsia="lv-LV"/>
              </w:rPr>
              <w:t>537</w:t>
            </w:r>
            <w:r w:rsidRPr="00B9136E">
              <w:rPr>
                <w:rFonts w:eastAsia="Times New Roman"/>
                <w:sz w:val="26"/>
                <w:szCs w:val="26"/>
                <w:lang w:val="lv-LV" w:eastAsia="lv-LV"/>
              </w:rPr>
              <w:t xml:space="preserve">, ir ieviestas un saskaņotas jaunas atbalsta programmas saskaņā ar </w:t>
            </w:r>
            <w:r>
              <w:rPr>
                <w:rFonts w:eastAsia="Times New Roman"/>
                <w:sz w:val="26"/>
                <w:szCs w:val="26"/>
                <w:lang w:val="lv-LV" w:eastAsia="lv-LV"/>
              </w:rPr>
              <w:t>Pagaidu regulējumu</w:t>
            </w:r>
            <w:r w:rsidRPr="00B9136E">
              <w:rPr>
                <w:rFonts w:eastAsia="Times New Roman"/>
                <w:sz w:val="26"/>
                <w:szCs w:val="26"/>
                <w:lang w:val="lv-LV" w:eastAsia="lv-LV"/>
              </w:rPr>
              <w:t xml:space="preserve">, Noteikumu projekts paredz precizēt Noteikumu </w:t>
            </w:r>
            <w:r w:rsidRPr="00D03516">
              <w:rPr>
                <w:rFonts w:eastAsia="Times New Roman"/>
                <w:sz w:val="26"/>
                <w:szCs w:val="26"/>
                <w:lang w:val="lv-LV" w:eastAsia="lv-LV"/>
              </w:rPr>
              <w:t>32.</w:t>
            </w:r>
            <w:r w:rsidRPr="00D03516">
              <w:rPr>
                <w:rFonts w:eastAsia="Times New Roman"/>
                <w:sz w:val="26"/>
                <w:szCs w:val="26"/>
                <w:vertAlign w:val="superscript"/>
                <w:lang w:val="lv-LV" w:eastAsia="lv-LV"/>
              </w:rPr>
              <w:t>2</w:t>
            </w:r>
            <w:r w:rsidRPr="00D03516">
              <w:rPr>
                <w:rFonts w:eastAsia="Times New Roman"/>
                <w:sz w:val="26"/>
                <w:szCs w:val="26"/>
                <w:lang w:val="lv-LV" w:eastAsia="lv-LV"/>
              </w:rPr>
              <w:t> punktu</w:t>
            </w:r>
            <w:r w:rsidRPr="00B9136E">
              <w:rPr>
                <w:rFonts w:eastAsia="Times New Roman"/>
                <w:sz w:val="26"/>
                <w:szCs w:val="26"/>
                <w:lang w:val="lv-LV" w:eastAsia="lv-LV"/>
              </w:rPr>
              <w:t>.</w:t>
            </w:r>
          </w:p>
          <w:p w14:paraId="1FA3CD7D" w14:textId="632E4F57" w:rsidR="00D03516" w:rsidRPr="00B9136E" w:rsidRDefault="00D03516" w:rsidP="00D03516">
            <w:pPr>
              <w:jc w:val="both"/>
              <w:rPr>
                <w:rFonts w:eastAsia="Times New Roman"/>
                <w:sz w:val="26"/>
                <w:szCs w:val="26"/>
                <w:lang w:val="lv-LV" w:eastAsia="lv-LV"/>
              </w:rPr>
            </w:pPr>
            <w:r w:rsidRPr="00B9136E">
              <w:rPr>
                <w:rFonts w:eastAsia="Times New Roman"/>
                <w:sz w:val="26"/>
                <w:szCs w:val="26"/>
                <w:lang w:val="lv-LV" w:eastAsia="lv-LV"/>
              </w:rPr>
              <w:t xml:space="preserve">Lai gan Komisijas paziņojumi nav juridiski saistoši, Noteikumu projekta </w:t>
            </w:r>
            <w:r>
              <w:rPr>
                <w:rFonts w:eastAsia="Times New Roman"/>
                <w:sz w:val="26"/>
                <w:szCs w:val="26"/>
                <w:lang w:val="lv-LV" w:eastAsia="lv-LV"/>
              </w:rPr>
              <w:t>10</w:t>
            </w:r>
            <w:r w:rsidRPr="00B9136E">
              <w:rPr>
                <w:rFonts w:eastAsia="Times New Roman"/>
                <w:sz w:val="26"/>
                <w:szCs w:val="26"/>
                <w:lang w:val="lv-LV" w:eastAsia="lv-LV"/>
              </w:rPr>
              <w:t xml:space="preserve">.punktā ir ietverta atsauce uz Pagaidu regulējumu, ņemot vērā, ka šajā normā ir ietverts atbalsta kumulācijas aizliegums tieši ar tādu atbalstu, kuru sniedz saskaņā ar Eiropas Komisijas lēmumiem, kas pieņemti atbilstoši iepriekš minētā </w:t>
            </w:r>
            <w:r>
              <w:rPr>
                <w:rFonts w:eastAsia="Times New Roman"/>
                <w:sz w:val="26"/>
                <w:szCs w:val="26"/>
                <w:lang w:val="lv-LV" w:eastAsia="lv-LV"/>
              </w:rPr>
              <w:t>Pagaidu regulējuma</w:t>
            </w:r>
            <w:r w:rsidRPr="00B9136E">
              <w:rPr>
                <w:rFonts w:eastAsia="Times New Roman"/>
                <w:sz w:val="26"/>
                <w:szCs w:val="26"/>
                <w:lang w:val="lv-LV" w:eastAsia="lv-LV"/>
              </w:rPr>
              <w:t xml:space="preserve"> 3.2. un 3.3. </w:t>
            </w:r>
            <w:r>
              <w:rPr>
                <w:rFonts w:eastAsia="Times New Roman"/>
                <w:sz w:val="26"/>
                <w:szCs w:val="26"/>
                <w:lang w:val="lv-LV" w:eastAsia="lv-LV"/>
              </w:rPr>
              <w:t>ie</w:t>
            </w:r>
            <w:r w:rsidRPr="00B9136E">
              <w:rPr>
                <w:rFonts w:eastAsia="Times New Roman"/>
                <w:sz w:val="26"/>
                <w:szCs w:val="26"/>
                <w:lang w:val="lv-LV" w:eastAsia="lv-LV"/>
              </w:rPr>
              <w:t xml:space="preserve">daļām un ar atbalstu, kuru sniedz atbalsta programmas ietvaros Covid-19 krīzes skartajiem uzņēmumiem apgrozāmo līdzekļu plūsmas nodrošināšanai, kā arī ņemot vērā, ka joprojām var tikt izstrādātas jaunas atbalsta programmas saskaņā ar šī </w:t>
            </w:r>
            <w:r>
              <w:rPr>
                <w:rFonts w:eastAsia="Times New Roman"/>
                <w:sz w:val="26"/>
                <w:szCs w:val="26"/>
                <w:lang w:val="lv-LV" w:eastAsia="lv-LV"/>
              </w:rPr>
              <w:t>Pagaidu regulējuma</w:t>
            </w:r>
            <w:r w:rsidRPr="00B9136E">
              <w:rPr>
                <w:rFonts w:eastAsia="Times New Roman"/>
                <w:sz w:val="26"/>
                <w:szCs w:val="26"/>
                <w:lang w:val="lv-LV" w:eastAsia="lv-LV"/>
              </w:rPr>
              <w:t xml:space="preserve"> 3.2. un 3.3.</w:t>
            </w:r>
            <w:r>
              <w:rPr>
                <w:rFonts w:eastAsia="Times New Roman"/>
                <w:sz w:val="26"/>
                <w:szCs w:val="26"/>
                <w:lang w:val="lv-LV" w:eastAsia="lv-LV"/>
              </w:rPr>
              <w:t>ie</w:t>
            </w:r>
            <w:r w:rsidRPr="00B9136E">
              <w:rPr>
                <w:rFonts w:eastAsia="Times New Roman"/>
                <w:sz w:val="26"/>
                <w:szCs w:val="26"/>
                <w:lang w:val="lv-LV" w:eastAsia="lv-LV"/>
              </w:rPr>
              <w:t>daļām.</w:t>
            </w:r>
          </w:p>
          <w:p w14:paraId="6A0EEE1A" w14:textId="5E6EAF33" w:rsidR="00D03516" w:rsidRPr="00B9136E" w:rsidRDefault="00D03516" w:rsidP="00D03516">
            <w:pPr>
              <w:jc w:val="both"/>
              <w:rPr>
                <w:rFonts w:eastAsia="Times New Roman"/>
                <w:sz w:val="26"/>
                <w:szCs w:val="26"/>
                <w:lang w:val="lv-LV" w:eastAsia="lv-LV"/>
              </w:rPr>
            </w:pPr>
            <w:r w:rsidRPr="00B9136E">
              <w:rPr>
                <w:rFonts w:eastAsia="Times New Roman"/>
                <w:sz w:val="26"/>
                <w:szCs w:val="26"/>
                <w:lang w:val="lv-LV" w:eastAsia="lv-LV"/>
              </w:rPr>
              <w:t xml:space="preserve">Attiecīgi, ja normā netiktu iekļauta atsauce uz </w:t>
            </w:r>
            <w:r>
              <w:rPr>
                <w:rFonts w:eastAsia="Times New Roman"/>
                <w:sz w:val="26"/>
                <w:szCs w:val="26"/>
                <w:lang w:val="lv-LV" w:eastAsia="lv-LV"/>
              </w:rPr>
              <w:t>Pagaidu regulējumu</w:t>
            </w:r>
            <w:r w:rsidRPr="00B9136E">
              <w:rPr>
                <w:rFonts w:eastAsia="Times New Roman"/>
                <w:sz w:val="26"/>
                <w:szCs w:val="26"/>
                <w:lang w:val="lv-LV" w:eastAsia="lv-LV"/>
              </w:rPr>
              <w:t>, bet gan uz katru konkrēto atbalsta programmu, līdz ar katru jauno atbalsta programmu būtu jāgroza arī Noteikumi Nr.</w:t>
            </w:r>
            <w:r w:rsidR="005853F6">
              <w:rPr>
                <w:rFonts w:eastAsia="Times New Roman"/>
                <w:sz w:val="26"/>
                <w:szCs w:val="26"/>
                <w:lang w:val="lv-LV" w:eastAsia="lv-LV"/>
              </w:rPr>
              <w:t>537</w:t>
            </w:r>
            <w:r w:rsidRPr="00B9136E">
              <w:rPr>
                <w:rFonts w:eastAsia="Times New Roman"/>
                <w:sz w:val="26"/>
                <w:szCs w:val="26"/>
                <w:lang w:val="lv-LV" w:eastAsia="lv-LV"/>
              </w:rPr>
              <w:t xml:space="preserve">, kas radītu nesamērīgu administratīvo slogu. </w:t>
            </w:r>
          </w:p>
          <w:p w14:paraId="63735161" w14:textId="77777777" w:rsidR="00D03516" w:rsidRDefault="00D03516" w:rsidP="005853F6">
            <w:pPr>
              <w:jc w:val="both"/>
              <w:rPr>
                <w:rFonts w:eastAsia="Times New Roman"/>
                <w:sz w:val="26"/>
                <w:szCs w:val="26"/>
                <w:lang w:val="lv-LV" w:eastAsia="lv-LV"/>
              </w:rPr>
            </w:pPr>
            <w:r w:rsidRPr="00B9136E">
              <w:rPr>
                <w:rFonts w:eastAsia="Times New Roman"/>
                <w:sz w:val="26"/>
                <w:szCs w:val="26"/>
                <w:lang w:val="lv-LV" w:eastAsia="lv-LV"/>
              </w:rPr>
              <w:t xml:space="preserve">Pagaidu regulējums ir viens no komercdarbības atbalsta regulējumiem, balstoties uz kuriem ir izstrādāta virkne Covid-19 krīzes novēršanai paredzēto atbalsta programmu </w:t>
            </w:r>
            <w:r>
              <w:rPr>
                <w:rFonts w:eastAsia="Times New Roman"/>
                <w:sz w:val="26"/>
                <w:szCs w:val="26"/>
                <w:lang w:val="lv-LV" w:eastAsia="lv-LV"/>
              </w:rPr>
              <w:t>(</w:t>
            </w:r>
            <w:r w:rsidRPr="0070262B">
              <w:rPr>
                <w:rFonts w:eastAsia="Times New Roman"/>
                <w:sz w:val="26"/>
                <w:szCs w:val="26"/>
                <w:lang w:val="lv-LV" w:eastAsia="lv-LV"/>
              </w:rPr>
              <w:t>Ministru kabineta noteikumi, piemēram, MK Noteikumi Nr.149</w:t>
            </w:r>
            <w:r>
              <w:rPr>
                <w:rStyle w:val="FootnoteReference"/>
                <w:rFonts w:eastAsia="Times New Roman"/>
                <w:sz w:val="26"/>
                <w:szCs w:val="26"/>
                <w:lang w:val="lv-LV" w:eastAsia="lv-LV"/>
              </w:rPr>
              <w:footnoteReference w:id="4"/>
            </w:r>
            <w:r w:rsidRPr="0070262B">
              <w:rPr>
                <w:rFonts w:eastAsia="Times New Roman"/>
                <w:sz w:val="26"/>
                <w:szCs w:val="26"/>
                <w:lang w:val="lv-LV" w:eastAsia="lv-LV"/>
              </w:rPr>
              <w:t>, MK noteikumi Nr.454, MK noteikumi Nr.150, MK noteikumi Nr.676, MK noteikumi Nr.457 u.c.)</w:t>
            </w:r>
            <w:r>
              <w:rPr>
                <w:rFonts w:eastAsia="Times New Roman"/>
                <w:sz w:val="26"/>
                <w:szCs w:val="26"/>
                <w:lang w:val="lv-LV" w:eastAsia="lv-LV"/>
              </w:rPr>
              <w:t xml:space="preserve"> </w:t>
            </w:r>
            <w:r w:rsidRPr="00B9136E">
              <w:rPr>
                <w:rFonts w:eastAsia="Times New Roman"/>
                <w:sz w:val="26"/>
                <w:szCs w:val="26"/>
                <w:lang w:val="lv-LV" w:eastAsia="lv-LV"/>
              </w:rPr>
              <w:t>un atsauces uz kuru ir iestrādātas vairākas atbalsta programmas un saskaņā ar kura nosacījumiem tiek nodrošināta atbalsta programmas saderība ar ES iekšējo tirgu.</w:t>
            </w:r>
            <w:r w:rsidRPr="001633E5">
              <w:rPr>
                <w:rFonts w:eastAsia="Times New Roman"/>
                <w:sz w:val="26"/>
                <w:szCs w:val="26"/>
                <w:lang w:val="lv-LV" w:eastAsia="lv-LV"/>
              </w:rPr>
              <w:t xml:space="preserve"> </w:t>
            </w:r>
          </w:p>
          <w:p w14:paraId="09F69773" w14:textId="77777777" w:rsidR="00981677" w:rsidRPr="00F3430B" w:rsidRDefault="00981677" w:rsidP="00F3430B">
            <w:pPr>
              <w:spacing w:before="240"/>
              <w:jc w:val="both"/>
              <w:rPr>
                <w:b/>
                <w:bCs/>
                <w:i/>
                <w:iCs/>
                <w:sz w:val="26"/>
                <w:szCs w:val="26"/>
                <w:lang w:val="lv-LV"/>
              </w:rPr>
            </w:pPr>
            <w:r w:rsidRPr="00F3430B">
              <w:rPr>
                <w:b/>
                <w:bCs/>
                <w:i/>
                <w:iCs/>
                <w:sz w:val="26"/>
                <w:szCs w:val="26"/>
                <w:lang w:val="lv-LV"/>
              </w:rPr>
              <w:t>Valsts atbalsta atgūšanas normas precizēšana</w:t>
            </w:r>
          </w:p>
          <w:p w14:paraId="10EF9A95" w14:textId="688BB9A2" w:rsidR="00F3430B" w:rsidRPr="0018513C" w:rsidRDefault="00F3430B" w:rsidP="0018513C">
            <w:pPr>
              <w:jc w:val="both"/>
              <w:rPr>
                <w:sz w:val="26"/>
                <w:szCs w:val="26"/>
                <w:lang w:val="lv-LV"/>
              </w:rPr>
            </w:pPr>
            <w:r w:rsidRPr="00F3430B">
              <w:rPr>
                <w:sz w:val="26"/>
                <w:szCs w:val="26"/>
                <w:lang w:val="lv-LV"/>
              </w:rPr>
              <w:t>Lai precīzāk atspoguļotu Noteikumos Nr.537 normu par valsts atbalsta atgūšanu, Noteikumu projekts paredz precizēt 32.</w:t>
            </w:r>
            <w:r w:rsidRPr="00F3430B">
              <w:rPr>
                <w:sz w:val="26"/>
                <w:szCs w:val="26"/>
                <w:vertAlign w:val="superscript"/>
                <w:lang w:val="lv-LV"/>
              </w:rPr>
              <w:t>1</w:t>
            </w:r>
            <w:r w:rsidRPr="00F3430B">
              <w:rPr>
                <w:sz w:val="26"/>
                <w:szCs w:val="26"/>
                <w:lang w:val="lv-LV"/>
              </w:rPr>
              <w:t xml:space="preserve"> punktu, aizstājot vārdus “ir pārkāpis” ar vārdiem “ir pārkāptas”, tādā veidā nosakot, ka atbalsta saņēmējam ir pienākums atmaksāt visu projekta ietvaros saņemto atbalstu kopā ar procentiem ne tikai gadījumā, ja atbalsta saņēmējs ir pārkāpis Komisijas regulas Nr.1407/2013 prasības, bet arī gadījumā, ja tiek konstatēts, ka atbalsta sniedzējs ir pārkāpis Komisijas regulas Nr.1407/2013 prasības.</w:t>
            </w:r>
          </w:p>
          <w:p w14:paraId="29C295BB" w14:textId="77777777" w:rsidR="005207D9" w:rsidRDefault="00F3430B" w:rsidP="00F3430B">
            <w:pPr>
              <w:jc w:val="both"/>
              <w:rPr>
                <w:sz w:val="26"/>
                <w:szCs w:val="26"/>
                <w:lang w:val="lv-LV"/>
              </w:rPr>
            </w:pPr>
            <w:r w:rsidRPr="00F3430B">
              <w:rPr>
                <w:sz w:val="26"/>
                <w:szCs w:val="26"/>
                <w:lang w:val="lv-LV"/>
              </w:rPr>
              <w:t xml:space="preserve">Skaidrojums par nelikumīga atbalsta atgūšanu nacionālā līmenī ir sniegts </w:t>
            </w:r>
            <w:r w:rsidR="003E5C22" w:rsidRPr="00F3430B">
              <w:rPr>
                <w:sz w:val="26"/>
                <w:szCs w:val="26"/>
                <w:lang w:val="lv-LV"/>
              </w:rPr>
              <w:t>2019.gada 5.marta spriedum</w:t>
            </w:r>
            <w:r w:rsidR="003E5C22">
              <w:rPr>
                <w:sz w:val="26"/>
                <w:szCs w:val="26"/>
                <w:lang w:val="lv-LV"/>
              </w:rPr>
              <w:t>ā</w:t>
            </w:r>
            <w:r w:rsidR="003E5C22" w:rsidRPr="00F3430B">
              <w:rPr>
                <w:sz w:val="26"/>
                <w:szCs w:val="26"/>
                <w:lang w:val="lv-LV"/>
              </w:rPr>
              <w:t xml:space="preserve"> lietā </w:t>
            </w:r>
            <w:proofErr w:type="spellStart"/>
            <w:r w:rsidR="003E5C22" w:rsidRPr="00F3430B">
              <w:rPr>
                <w:sz w:val="26"/>
                <w:szCs w:val="26"/>
                <w:lang w:val="lv-LV"/>
              </w:rPr>
              <w:t>Estii</w:t>
            </w:r>
            <w:proofErr w:type="spellEnd"/>
            <w:r w:rsidR="003E5C22" w:rsidRPr="00F3430B">
              <w:rPr>
                <w:sz w:val="26"/>
                <w:szCs w:val="26"/>
                <w:lang w:val="lv-LV"/>
              </w:rPr>
              <w:t xml:space="preserve"> </w:t>
            </w:r>
            <w:proofErr w:type="spellStart"/>
            <w:r w:rsidR="003E5C22" w:rsidRPr="00F3430B">
              <w:rPr>
                <w:sz w:val="26"/>
                <w:szCs w:val="26"/>
                <w:lang w:val="lv-LV"/>
              </w:rPr>
              <w:t>Pagar</w:t>
            </w:r>
            <w:proofErr w:type="spellEnd"/>
            <w:r w:rsidR="003E5C22" w:rsidRPr="00F3430B">
              <w:rPr>
                <w:sz w:val="26"/>
                <w:szCs w:val="26"/>
                <w:lang w:val="lv-LV"/>
              </w:rPr>
              <w:t xml:space="preserve"> C-349/17</w:t>
            </w:r>
            <w:r w:rsidRPr="00F3430B">
              <w:rPr>
                <w:sz w:val="26"/>
                <w:szCs w:val="26"/>
                <w:lang w:val="lv-LV"/>
              </w:rPr>
              <w:t>, kas ir lasāms plašāk, aptverot visus komercdarbības atbalsta regulējumus.</w:t>
            </w:r>
            <w:r>
              <w:rPr>
                <w:sz w:val="26"/>
                <w:szCs w:val="26"/>
                <w:lang w:val="lv-LV"/>
              </w:rPr>
              <w:t xml:space="preserve"> </w:t>
            </w:r>
          </w:p>
          <w:p w14:paraId="4B828594" w14:textId="6657A7A6" w:rsidR="00F3430B" w:rsidRDefault="005207D9" w:rsidP="005207D9">
            <w:pPr>
              <w:jc w:val="both"/>
              <w:rPr>
                <w:sz w:val="26"/>
                <w:szCs w:val="26"/>
                <w:lang w:val="lv-LV"/>
              </w:rPr>
            </w:pPr>
            <w:r w:rsidRPr="005207D9">
              <w:rPr>
                <w:sz w:val="26"/>
                <w:szCs w:val="26"/>
                <w:lang w:val="lv-LV"/>
              </w:rPr>
              <w:lastRenderedPageBreak/>
              <w:t xml:space="preserve">Atbilstoši </w:t>
            </w:r>
            <w:proofErr w:type="spellStart"/>
            <w:r w:rsidRPr="005207D9">
              <w:rPr>
                <w:sz w:val="26"/>
                <w:szCs w:val="26"/>
                <w:lang w:val="lv-LV"/>
              </w:rPr>
              <w:t>Esti</w:t>
            </w:r>
            <w:proofErr w:type="spellEnd"/>
            <w:r w:rsidRPr="005207D9">
              <w:rPr>
                <w:sz w:val="26"/>
                <w:szCs w:val="26"/>
                <w:lang w:val="lv-LV"/>
              </w:rPr>
              <w:t xml:space="preserve"> </w:t>
            </w:r>
            <w:proofErr w:type="spellStart"/>
            <w:r w:rsidRPr="005207D9">
              <w:rPr>
                <w:sz w:val="26"/>
                <w:szCs w:val="26"/>
                <w:lang w:val="lv-LV"/>
              </w:rPr>
              <w:t>Pagar</w:t>
            </w:r>
            <w:proofErr w:type="spellEnd"/>
            <w:r w:rsidRPr="005207D9">
              <w:rPr>
                <w:sz w:val="26"/>
                <w:szCs w:val="26"/>
                <w:lang w:val="lv-LV"/>
              </w:rPr>
              <w:t xml:space="preserve"> sprieduma lietā C-349/17 104. – 106.punktam valsts iestāde, gadījumā, ja ir kļūdaini piemērojusi attiecīgo komercdarbības atbalsta regulējumu, nevar radīt šī atbalsta saņēmējam tiesisko paļāvību par šī atbalsta likumību</w:t>
            </w:r>
            <w:r>
              <w:rPr>
                <w:sz w:val="26"/>
                <w:szCs w:val="26"/>
                <w:lang w:val="lv-LV"/>
              </w:rPr>
              <w:t xml:space="preserve">. Līdz ar to </w:t>
            </w:r>
            <w:r w:rsidR="00F3430B" w:rsidRPr="00F3430B">
              <w:rPr>
                <w:sz w:val="26"/>
                <w:szCs w:val="26"/>
                <w:lang w:val="lv-LV"/>
              </w:rPr>
              <w:t>atbalsts ir uzskatāms par nelikumīgi piešķirtu arī gadījumā, ja atbalsta sniedzējs ir kļūdaini piemērojis regulu nosacījumus</w:t>
            </w:r>
            <w:r w:rsidR="003E5C22">
              <w:rPr>
                <w:sz w:val="26"/>
                <w:szCs w:val="26"/>
                <w:lang w:val="lv-LV"/>
              </w:rPr>
              <w:t>,</w:t>
            </w:r>
            <w:r w:rsidR="00F3430B" w:rsidRPr="00F3430B">
              <w:rPr>
                <w:sz w:val="26"/>
                <w:szCs w:val="26"/>
                <w:lang w:val="lv-LV"/>
              </w:rPr>
              <w:t xml:space="preserve"> piešķirot atbalstu un šādā gadījumā atbalsta sniedzējs nevar nodrošināt tiesisko paļāvību atbalsta saņēmējam par šī atbalsta likumību.</w:t>
            </w:r>
          </w:p>
          <w:p w14:paraId="2BB1607E" w14:textId="2576B428" w:rsidR="003E5C22" w:rsidRPr="008167E5" w:rsidRDefault="003E5C22" w:rsidP="008167E5">
            <w:pPr>
              <w:jc w:val="both"/>
              <w:rPr>
                <w:sz w:val="26"/>
                <w:szCs w:val="26"/>
                <w:lang w:val="lv-LV"/>
              </w:rPr>
            </w:pPr>
            <w:r w:rsidRPr="008167E5">
              <w:rPr>
                <w:sz w:val="26"/>
                <w:szCs w:val="26"/>
                <w:lang w:val="lv-LV"/>
              </w:rPr>
              <w:t xml:space="preserve">Tāpat Finanšu ministrijas 15.04.2020 vēstulē 7-4/18/1772 ir sniegts skaidrojums par </w:t>
            </w:r>
            <w:r w:rsidR="008167E5" w:rsidRPr="008167E5">
              <w:rPr>
                <w:sz w:val="26"/>
                <w:szCs w:val="26"/>
                <w:lang w:val="lv-LV"/>
              </w:rPr>
              <w:t xml:space="preserve">piemērojamiem pamatprincipiem komercdarbības atbalsta atgūšanā atsaucoties uz tiesvedībā </w:t>
            </w:r>
            <w:proofErr w:type="spellStart"/>
            <w:r w:rsidR="008167E5" w:rsidRPr="008167E5">
              <w:rPr>
                <w:i/>
                <w:iCs/>
                <w:sz w:val="26"/>
                <w:szCs w:val="26"/>
                <w:lang w:val="lv-LV"/>
              </w:rPr>
              <w:t>Eesti</w:t>
            </w:r>
            <w:proofErr w:type="spellEnd"/>
            <w:r w:rsidR="008167E5" w:rsidRPr="008167E5">
              <w:rPr>
                <w:i/>
                <w:iCs/>
                <w:sz w:val="26"/>
                <w:szCs w:val="26"/>
                <w:lang w:val="lv-LV"/>
              </w:rPr>
              <w:t xml:space="preserve"> </w:t>
            </w:r>
            <w:proofErr w:type="spellStart"/>
            <w:r w:rsidR="008167E5" w:rsidRPr="008167E5">
              <w:rPr>
                <w:i/>
                <w:iCs/>
                <w:sz w:val="26"/>
                <w:szCs w:val="26"/>
                <w:lang w:val="lv-LV"/>
              </w:rPr>
              <w:t>Pagar</w:t>
            </w:r>
            <w:proofErr w:type="spellEnd"/>
            <w:r w:rsidR="008167E5" w:rsidRPr="008167E5">
              <w:rPr>
                <w:i/>
                <w:iCs/>
                <w:sz w:val="26"/>
                <w:szCs w:val="26"/>
                <w:lang w:val="lv-LV"/>
              </w:rPr>
              <w:t> AS</w:t>
            </w:r>
            <w:r w:rsidR="008167E5" w:rsidRPr="008167E5">
              <w:rPr>
                <w:sz w:val="26"/>
                <w:szCs w:val="26"/>
                <w:lang w:val="lv-LV"/>
              </w:rPr>
              <w:t xml:space="preserve"> pret </w:t>
            </w:r>
            <w:proofErr w:type="spellStart"/>
            <w:r w:rsidR="008167E5" w:rsidRPr="008167E5">
              <w:rPr>
                <w:i/>
                <w:iCs/>
                <w:sz w:val="26"/>
                <w:szCs w:val="26"/>
                <w:lang w:val="lv-LV"/>
              </w:rPr>
              <w:t>Ettevõtluse</w:t>
            </w:r>
            <w:proofErr w:type="spellEnd"/>
            <w:r w:rsidR="008167E5" w:rsidRPr="008167E5">
              <w:rPr>
                <w:i/>
                <w:iCs/>
                <w:sz w:val="26"/>
                <w:szCs w:val="26"/>
                <w:lang w:val="lv-LV"/>
              </w:rPr>
              <w:t xml:space="preserve"> </w:t>
            </w:r>
            <w:proofErr w:type="spellStart"/>
            <w:r w:rsidR="008167E5" w:rsidRPr="008167E5">
              <w:rPr>
                <w:i/>
                <w:iCs/>
                <w:sz w:val="26"/>
                <w:szCs w:val="26"/>
                <w:lang w:val="lv-LV"/>
              </w:rPr>
              <w:t>Arendamise</w:t>
            </w:r>
            <w:proofErr w:type="spellEnd"/>
            <w:r w:rsidR="008167E5" w:rsidRPr="008167E5">
              <w:rPr>
                <w:i/>
                <w:iCs/>
                <w:sz w:val="26"/>
                <w:szCs w:val="26"/>
                <w:lang w:val="lv-LV"/>
              </w:rPr>
              <w:t xml:space="preserve"> </w:t>
            </w:r>
            <w:proofErr w:type="spellStart"/>
            <w:r w:rsidR="008167E5" w:rsidRPr="008167E5">
              <w:rPr>
                <w:i/>
                <w:iCs/>
                <w:sz w:val="26"/>
                <w:szCs w:val="26"/>
                <w:lang w:val="lv-LV"/>
              </w:rPr>
              <w:t>Sihtasutus</w:t>
            </w:r>
            <w:proofErr w:type="spellEnd"/>
            <w:r w:rsidR="008167E5" w:rsidRPr="008167E5">
              <w:rPr>
                <w:i/>
                <w:iCs/>
                <w:sz w:val="26"/>
                <w:szCs w:val="26"/>
                <w:lang w:val="lv-LV"/>
              </w:rPr>
              <w:t xml:space="preserve">, </w:t>
            </w:r>
            <w:proofErr w:type="spellStart"/>
            <w:r w:rsidR="008167E5" w:rsidRPr="008167E5">
              <w:rPr>
                <w:i/>
                <w:iCs/>
                <w:sz w:val="26"/>
                <w:szCs w:val="26"/>
                <w:lang w:val="lv-LV"/>
              </w:rPr>
              <w:t>Majandus</w:t>
            </w:r>
            <w:proofErr w:type="spellEnd"/>
            <w:r w:rsidR="008167E5" w:rsidRPr="008167E5">
              <w:rPr>
                <w:i/>
                <w:iCs/>
                <w:sz w:val="26"/>
                <w:szCs w:val="26"/>
                <w:lang w:val="lv-LV"/>
              </w:rPr>
              <w:t xml:space="preserve"> </w:t>
            </w:r>
            <w:r w:rsidR="008167E5" w:rsidRPr="008167E5">
              <w:rPr>
                <w:i/>
                <w:iCs/>
                <w:sz w:val="26"/>
                <w:szCs w:val="26"/>
                <w:lang w:val="lv-LV"/>
              </w:rPr>
              <w:noBreakHyphen/>
              <w:t xml:space="preserve"> ja </w:t>
            </w:r>
            <w:proofErr w:type="spellStart"/>
            <w:r w:rsidR="008167E5" w:rsidRPr="008167E5">
              <w:rPr>
                <w:i/>
                <w:iCs/>
                <w:sz w:val="26"/>
                <w:szCs w:val="26"/>
                <w:lang w:val="lv-LV"/>
              </w:rPr>
              <w:t>Kommunikatsiooniministeerium</w:t>
            </w:r>
            <w:proofErr w:type="spellEnd"/>
            <w:r w:rsidR="008167E5" w:rsidRPr="008167E5">
              <w:rPr>
                <w:vertAlign w:val="superscript"/>
                <w:lang w:val="lv-LV"/>
              </w:rPr>
              <w:footnoteReference w:id="5"/>
            </w:r>
            <w:r w:rsidR="008167E5" w:rsidRPr="008167E5">
              <w:rPr>
                <w:sz w:val="26"/>
                <w:szCs w:val="26"/>
                <w:lang w:val="lv-LV"/>
              </w:rPr>
              <w:t xml:space="preserve"> (turpmāk – EST spriedums) minētajiem apsvērumiem</w:t>
            </w:r>
            <w:r w:rsidR="00E32192">
              <w:rPr>
                <w:sz w:val="26"/>
                <w:szCs w:val="26"/>
                <w:lang w:val="lv-LV"/>
              </w:rPr>
              <w:t>:</w:t>
            </w:r>
          </w:p>
          <w:p w14:paraId="09F04E06" w14:textId="55EA3148" w:rsidR="008167E5" w:rsidRPr="00E32192" w:rsidRDefault="008167E5" w:rsidP="00F3430B">
            <w:pPr>
              <w:jc w:val="both"/>
              <w:rPr>
                <w:rFonts w:eastAsiaTheme="minorHAnsi"/>
                <w:i/>
                <w:iCs/>
                <w:sz w:val="26"/>
                <w:szCs w:val="26"/>
                <w:lang w:val="lv-LV"/>
              </w:rPr>
            </w:pPr>
            <w:r w:rsidRPr="008167E5">
              <w:rPr>
                <w:i/>
                <w:iCs/>
                <w:sz w:val="26"/>
                <w:szCs w:val="26"/>
                <w:lang w:val="lv-LV"/>
              </w:rPr>
              <w:t xml:space="preserve">“No minētā EST sprieduma galvenokārt izriet, ka arī gadījumos, kad Eiropas Komisija nav pieņēmusi lēmumu par komercdarbības atbalsta atgūšanu par dalībvalsts iestādes (atbalsta sniedzēja) piešķirto komercdarbības atbalstu, kas tika piešķirts, neievērojot LESD 108. panta 3. punktā noteikto paziņošanas pienākumu, un kuru piešķirot netika izpildīti komercdarbības atbalsta regulējuma (t.sk., Komisijas 2014. gada 17. jūnija regulas (ES) Nr. 651/2014 ar ko noteiktas atbalsta kategorijas atzīst par saderīgām ar iekšējo tirgu, piemērojot Līguma 107. un 108. pantu) nosacījumi, </w:t>
            </w:r>
            <w:r w:rsidRPr="008167E5">
              <w:rPr>
                <w:i/>
                <w:iCs/>
                <w:sz w:val="26"/>
                <w:szCs w:val="26"/>
                <w:u w:val="single"/>
                <w:lang w:val="lv-LV"/>
              </w:rPr>
              <w:t>dalībvalsts iestādei (atbalsta sniedzējam) ir pienākums pašai pēc savas iniciatīvas atgūt šādu komercdarbības atbalstu</w:t>
            </w:r>
            <w:r w:rsidRPr="008167E5">
              <w:rPr>
                <w:i/>
                <w:iCs/>
                <w:sz w:val="26"/>
                <w:szCs w:val="26"/>
                <w:lang w:val="lv-LV"/>
              </w:rPr>
              <w:t xml:space="preserve">. EST spriedumā Eiropas Savienības tiesa ir skaidri nospriedusi, ka no LESD 108. panta 3. punkta izriet arī tas, ka, atgūstot iepriekš minēto komercdarbības atbalstu pēc savas iniciatīvas, dalībvalsts iestādei (atbalsta sniedzējam) </w:t>
            </w:r>
            <w:r w:rsidRPr="008167E5">
              <w:rPr>
                <w:i/>
                <w:iCs/>
                <w:sz w:val="26"/>
                <w:szCs w:val="26"/>
                <w:u w:val="single"/>
                <w:lang w:val="lv-LV"/>
              </w:rPr>
              <w:t>ir jāpieprasa no šī atbalsta saņēmēja procenti</w:t>
            </w:r>
            <w:r w:rsidRPr="008167E5">
              <w:rPr>
                <w:i/>
                <w:iCs/>
                <w:sz w:val="26"/>
                <w:szCs w:val="26"/>
                <w:lang w:val="lv-LV"/>
              </w:rPr>
              <w:t xml:space="preserve"> atbilstoši piemērojamo valsts tiesību normām. EST spriedumā ir noteikts, ka LESD 108. panta 3. punktā ir prasīts, lai ar šīm tiesību normām tiktu nodrošināta visa nelikumīgā atbalsta atgūšana un lai līdz ar to tā </w:t>
            </w:r>
            <w:r w:rsidRPr="008167E5">
              <w:rPr>
                <w:i/>
                <w:iCs/>
                <w:sz w:val="26"/>
                <w:szCs w:val="26"/>
                <w:u w:val="single"/>
                <w:lang w:val="lv-LV"/>
              </w:rPr>
              <w:t>saņēmējam tostarp tiktu uzdots samaksāt procentus par visu laikposmu, kurā tas ir guvis labumu no šī atbalsta, pēc likmes, kas vienāda ar likmi, kura būtu tikusi piemērota, ja šim atbalsta saņēmējam minētajā laikposmā attiecīgā atbalsta summa būtu bijusi jāaizņemas tirgū</w:t>
            </w:r>
            <w:r w:rsidRPr="008167E5">
              <w:rPr>
                <w:i/>
                <w:iCs/>
                <w:sz w:val="26"/>
                <w:szCs w:val="26"/>
                <w:lang w:val="lv-LV"/>
              </w:rPr>
              <w:t xml:space="preserve">.” </w:t>
            </w:r>
          </w:p>
        </w:tc>
      </w:tr>
      <w:tr w:rsidR="00844176" w:rsidRPr="00CF0ACA"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F0ACA" w:rsidRDefault="00844176" w:rsidP="003D3252">
            <w:pPr>
              <w:contextualSpacing/>
              <w:rPr>
                <w:rFonts w:eastAsia="Times New Roman"/>
                <w:sz w:val="26"/>
                <w:szCs w:val="26"/>
                <w:lang w:val="lv-LV" w:eastAsia="lv-LV"/>
              </w:rPr>
            </w:pPr>
            <w:r w:rsidRPr="00CF0ACA">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CF0ACA" w:rsidRDefault="00557B17" w:rsidP="003D3252">
            <w:pPr>
              <w:contextualSpacing/>
              <w:rPr>
                <w:rFonts w:eastAsia="Times New Roman"/>
                <w:sz w:val="26"/>
                <w:szCs w:val="26"/>
                <w:lang w:val="lv-LV" w:eastAsia="lv-LV"/>
              </w:rPr>
            </w:pPr>
            <w:r w:rsidRPr="00CF0ACA">
              <w:rPr>
                <w:sz w:val="26"/>
                <w:lang w:val="lv-LV"/>
              </w:rPr>
              <w:t xml:space="preserve">Projekta izstrādē iesaistītās institūcijas un publiskas </w:t>
            </w:r>
            <w:r w:rsidRPr="00CF0ACA">
              <w:rPr>
                <w:sz w:val="26"/>
                <w:lang w:val="lv-LV"/>
              </w:rPr>
              <w:lastRenderedPageBreak/>
              <w:t>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1C9BB769" w:rsidR="00844176" w:rsidRPr="00CF0ACA" w:rsidRDefault="00CE0AC5" w:rsidP="003D3252">
            <w:pPr>
              <w:ind w:left="-31"/>
              <w:contextualSpacing/>
              <w:rPr>
                <w:rFonts w:eastAsia="Times New Roman"/>
                <w:sz w:val="26"/>
                <w:szCs w:val="26"/>
                <w:lang w:val="lv-LV" w:eastAsia="lv-LV"/>
              </w:rPr>
            </w:pPr>
            <w:r w:rsidRPr="00CF0ACA">
              <w:rPr>
                <w:sz w:val="26"/>
                <w:szCs w:val="26"/>
                <w:lang w:val="lv-LV"/>
              </w:rPr>
              <w:lastRenderedPageBreak/>
              <w:t>E</w:t>
            </w:r>
            <w:r w:rsidR="00547ACF" w:rsidRPr="00CF0ACA">
              <w:rPr>
                <w:sz w:val="26"/>
                <w:szCs w:val="26"/>
                <w:lang w:val="lv-LV"/>
              </w:rPr>
              <w:t>konomikas ministrija</w:t>
            </w:r>
            <w:r w:rsidRPr="00CF0ACA">
              <w:rPr>
                <w:sz w:val="26"/>
                <w:szCs w:val="26"/>
                <w:lang w:val="lv-LV"/>
              </w:rPr>
              <w:t xml:space="preserve">, </w:t>
            </w:r>
            <w:proofErr w:type="spellStart"/>
            <w:r w:rsidR="00547ACF" w:rsidRPr="00CF0ACA">
              <w:rPr>
                <w:sz w:val="26"/>
                <w:szCs w:val="26"/>
                <w:lang w:val="lv-LV"/>
              </w:rPr>
              <w:t>Altum</w:t>
            </w:r>
            <w:proofErr w:type="spellEnd"/>
          </w:p>
        </w:tc>
      </w:tr>
      <w:tr w:rsidR="00844176" w:rsidRPr="00CF0ACA"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F0ACA" w:rsidRDefault="00844176" w:rsidP="003D3252">
            <w:pPr>
              <w:contextualSpacing/>
              <w:rPr>
                <w:rFonts w:eastAsia="Times New Roman"/>
                <w:sz w:val="26"/>
                <w:szCs w:val="26"/>
                <w:lang w:val="lv-LV" w:eastAsia="lv-LV"/>
              </w:rPr>
            </w:pPr>
            <w:r w:rsidRPr="00CF0ACA">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F0ACA" w:rsidRDefault="00844176" w:rsidP="003D3252">
            <w:pPr>
              <w:contextualSpacing/>
              <w:rPr>
                <w:rFonts w:eastAsia="Times New Roman"/>
                <w:sz w:val="26"/>
                <w:szCs w:val="26"/>
                <w:lang w:val="lv-LV" w:eastAsia="lv-LV"/>
              </w:rPr>
            </w:pPr>
            <w:r w:rsidRPr="00CF0ACA">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5EFCDE3B" w:rsidR="00844176" w:rsidRPr="00CF0ACA" w:rsidRDefault="00AA0266" w:rsidP="003D3252">
            <w:pPr>
              <w:contextualSpacing/>
              <w:rPr>
                <w:rFonts w:eastAsia="Times New Roman"/>
                <w:sz w:val="26"/>
                <w:szCs w:val="26"/>
                <w:lang w:val="lv-LV" w:eastAsia="lv-LV"/>
              </w:rPr>
            </w:pPr>
            <w:r w:rsidRPr="00CF0ACA">
              <w:rPr>
                <w:sz w:val="26"/>
                <w:lang w:val="lv-LV" w:eastAsia="lv-LV"/>
              </w:rPr>
              <w:t>Nav</w:t>
            </w:r>
          </w:p>
        </w:tc>
      </w:tr>
    </w:tbl>
    <w:p w14:paraId="00447F19" w14:textId="3BFE4D51" w:rsidR="009A00EB" w:rsidRPr="00CF0ACA"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AB24D0"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CF0ACA" w:rsidRDefault="009A00EB" w:rsidP="003D3252">
            <w:pPr>
              <w:contextualSpacing/>
              <w:jc w:val="center"/>
              <w:rPr>
                <w:rFonts w:eastAsia="Times New Roman"/>
                <w:sz w:val="26"/>
                <w:szCs w:val="26"/>
                <w:lang w:val="lv-LV" w:eastAsia="lv-LV"/>
              </w:rPr>
            </w:pPr>
            <w:r w:rsidRPr="00CF0ACA">
              <w:rPr>
                <w:rFonts w:eastAsia="Times New Roman"/>
                <w:b/>
                <w:bCs/>
                <w:sz w:val="26"/>
                <w:szCs w:val="26"/>
                <w:lang w:val="lv-LV" w:eastAsia="lv-LV"/>
              </w:rPr>
              <w:t>II. Tiesību akta projekta ietekme uz sabiedrību, tautsaimniecības attīstību un administratīvo slogu</w:t>
            </w:r>
          </w:p>
        </w:tc>
      </w:tr>
      <w:tr w:rsidR="00A76C0A" w:rsidRPr="00AB24D0"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CF0ACA" w:rsidRDefault="009A00EB" w:rsidP="009A00EB">
            <w:pPr>
              <w:contextualSpacing/>
              <w:rPr>
                <w:rFonts w:eastAsia="Times New Roman"/>
                <w:sz w:val="26"/>
                <w:szCs w:val="26"/>
                <w:lang w:val="lv-LV" w:eastAsia="lv-LV"/>
              </w:rPr>
            </w:pPr>
            <w:r w:rsidRPr="00CF0ACA">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CF0ACA" w:rsidRDefault="009A00EB" w:rsidP="009A00EB">
            <w:pPr>
              <w:contextualSpacing/>
              <w:rPr>
                <w:rFonts w:eastAsia="Times New Roman"/>
                <w:sz w:val="26"/>
                <w:szCs w:val="26"/>
                <w:lang w:val="lv-LV" w:eastAsia="lv-LV"/>
              </w:rPr>
            </w:pPr>
            <w:r w:rsidRPr="00CF0ACA">
              <w:rPr>
                <w:rFonts w:eastAsia="Times New Roman"/>
                <w:sz w:val="26"/>
                <w:szCs w:val="26"/>
                <w:lang w:val="lv-LV" w:eastAsia="lv-LV"/>
              </w:rPr>
              <w:t xml:space="preserve">Sabiedrības </w:t>
            </w:r>
            <w:proofErr w:type="spellStart"/>
            <w:r w:rsidRPr="00CF0ACA">
              <w:rPr>
                <w:rFonts w:eastAsia="Times New Roman"/>
                <w:sz w:val="26"/>
                <w:szCs w:val="26"/>
                <w:lang w:val="lv-LV" w:eastAsia="lv-LV"/>
              </w:rPr>
              <w:t>mērķgrupas</w:t>
            </w:r>
            <w:proofErr w:type="spellEnd"/>
            <w:r w:rsidRPr="00CF0ACA">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68936F28" w:rsidR="0014739B" w:rsidRPr="00CF0ACA" w:rsidRDefault="00CB1F66" w:rsidP="005F3196">
            <w:pPr>
              <w:ind w:right="201"/>
              <w:contextualSpacing/>
              <w:jc w:val="both"/>
              <w:rPr>
                <w:sz w:val="26"/>
                <w:szCs w:val="26"/>
                <w:lang w:val="lv-LV"/>
              </w:rPr>
            </w:pPr>
            <w:r w:rsidRPr="00CF0ACA">
              <w:rPr>
                <w:sz w:val="26"/>
                <w:szCs w:val="26"/>
                <w:lang w:val="lv-LV"/>
              </w:rPr>
              <w:t>Latvijā reģistrēti saimnieciskās darbības veicēji</w:t>
            </w:r>
            <w:r w:rsidR="00CB30D1" w:rsidRPr="00CF0ACA">
              <w:rPr>
                <w:sz w:val="26"/>
                <w:szCs w:val="26"/>
                <w:lang w:val="lv-LV"/>
              </w:rPr>
              <w:t>.</w:t>
            </w:r>
          </w:p>
        </w:tc>
      </w:tr>
      <w:tr w:rsidR="00A76C0A" w:rsidRPr="00AB24D0"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CF0ACA" w:rsidRDefault="009A00EB" w:rsidP="009A00EB">
            <w:pPr>
              <w:contextualSpacing/>
              <w:rPr>
                <w:rFonts w:eastAsia="Times New Roman"/>
                <w:sz w:val="26"/>
                <w:szCs w:val="26"/>
                <w:lang w:val="lv-LV" w:eastAsia="lv-LV"/>
              </w:rPr>
            </w:pPr>
            <w:r w:rsidRPr="00CF0ACA">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CF0ACA" w:rsidRDefault="009A00EB" w:rsidP="009A00EB">
            <w:pPr>
              <w:contextualSpacing/>
              <w:rPr>
                <w:rFonts w:eastAsia="Times New Roman"/>
                <w:sz w:val="26"/>
                <w:szCs w:val="26"/>
                <w:lang w:val="lv-LV" w:eastAsia="lv-LV"/>
              </w:rPr>
            </w:pPr>
            <w:r w:rsidRPr="00CF0ACA">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6B0A70F0" w14:textId="77777777" w:rsidR="00772B32" w:rsidRDefault="00772B32" w:rsidP="00772B32">
            <w:pPr>
              <w:pStyle w:val="BodyText"/>
              <w:ind w:left="60" w:right="201"/>
              <w:rPr>
                <w:rFonts w:eastAsia="Calibri"/>
                <w:sz w:val="26"/>
                <w:szCs w:val="26"/>
                <w:lang w:eastAsia="en-US"/>
              </w:rPr>
            </w:pPr>
            <w:r>
              <w:rPr>
                <w:rFonts w:eastAsia="Calibri"/>
                <w:sz w:val="26"/>
                <w:szCs w:val="26"/>
                <w:lang w:eastAsia="en-US"/>
              </w:rPr>
              <w:t xml:space="preserve">Noteikumu projektam ir labvēlīga ietekme uz Latvijas </w:t>
            </w:r>
          </w:p>
          <w:p w14:paraId="729CB92F" w14:textId="637B31F4" w:rsidR="00772B32" w:rsidRDefault="00772B32" w:rsidP="00772B32">
            <w:pPr>
              <w:pStyle w:val="BodyText"/>
              <w:ind w:left="60" w:right="201"/>
              <w:rPr>
                <w:rFonts w:eastAsia="Calibri"/>
                <w:sz w:val="26"/>
                <w:szCs w:val="26"/>
                <w:lang w:eastAsia="en-US"/>
              </w:rPr>
            </w:pPr>
            <w:r>
              <w:rPr>
                <w:rFonts w:eastAsia="Calibri"/>
                <w:sz w:val="26"/>
                <w:szCs w:val="26"/>
                <w:lang w:eastAsia="en-US"/>
              </w:rPr>
              <w:t xml:space="preserve">uzņēmumiem, palīdzot tiem pārvarēt Covid-19 pandēmijas izraisītu krīzi, turpinot piedāvāt </w:t>
            </w:r>
            <w:proofErr w:type="spellStart"/>
            <w:r>
              <w:rPr>
                <w:rFonts w:eastAsia="Calibri"/>
                <w:sz w:val="26"/>
                <w:szCs w:val="26"/>
                <w:lang w:eastAsia="en-US"/>
              </w:rPr>
              <w:t>portfeļgarantijas</w:t>
            </w:r>
            <w:proofErr w:type="spellEnd"/>
            <w:r w:rsidR="002B69B2">
              <w:rPr>
                <w:rFonts w:eastAsia="Calibri"/>
                <w:sz w:val="26"/>
                <w:szCs w:val="26"/>
                <w:lang w:eastAsia="en-US"/>
              </w:rPr>
              <w:t xml:space="preserve"> komerc</w:t>
            </w:r>
            <w:r>
              <w:rPr>
                <w:rFonts w:eastAsia="Calibri"/>
                <w:sz w:val="26"/>
                <w:szCs w:val="26"/>
                <w:lang w:eastAsia="en-US"/>
              </w:rPr>
              <w:t>banku sniegtajiem pakalpojumiem</w:t>
            </w:r>
            <w:r w:rsidR="002B69B2">
              <w:rPr>
                <w:rFonts w:eastAsia="Calibri"/>
                <w:sz w:val="26"/>
                <w:szCs w:val="26"/>
                <w:lang w:eastAsia="en-US"/>
              </w:rPr>
              <w:t>. Garantijas būs pieejamas plašākam atbalsta saņēmēju lokam.</w:t>
            </w:r>
          </w:p>
          <w:p w14:paraId="01792FCC" w14:textId="77777777" w:rsidR="00772B32" w:rsidRDefault="00772B32" w:rsidP="00772B32">
            <w:pPr>
              <w:pStyle w:val="BodyText"/>
              <w:ind w:left="60" w:right="201"/>
              <w:rPr>
                <w:rFonts w:eastAsia="Calibri"/>
                <w:sz w:val="26"/>
                <w:szCs w:val="26"/>
                <w:lang w:eastAsia="en-US"/>
              </w:rPr>
            </w:pPr>
            <w:r>
              <w:rPr>
                <w:rFonts w:eastAsia="Calibri"/>
                <w:sz w:val="26"/>
                <w:szCs w:val="26"/>
                <w:lang w:eastAsia="en-US"/>
              </w:rPr>
              <w:t>Noteikumu projektam ir labvēlīga ietekme uz ekonomiku kopumā.</w:t>
            </w:r>
          </w:p>
          <w:p w14:paraId="33918B01" w14:textId="212B51FE" w:rsidR="009A00EB" w:rsidRPr="00CF0ACA" w:rsidRDefault="00772B32" w:rsidP="00772B32">
            <w:pPr>
              <w:pStyle w:val="BodyText"/>
              <w:ind w:right="201"/>
              <w:contextualSpacing/>
              <w:rPr>
                <w:rFonts w:eastAsia="Calibri"/>
                <w:sz w:val="26"/>
                <w:szCs w:val="26"/>
                <w:lang w:eastAsia="en-US"/>
              </w:rPr>
            </w:pPr>
            <w:r w:rsidRPr="00846B2A">
              <w:rPr>
                <w:rFonts w:eastAsia="Calibri"/>
                <w:sz w:val="26"/>
                <w:szCs w:val="26"/>
                <w:lang w:eastAsia="en-US"/>
              </w:rPr>
              <w:t xml:space="preserve">Sabiedrības </w:t>
            </w:r>
            <w:proofErr w:type="spellStart"/>
            <w:r w:rsidRPr="00846B2A">
              <w:rPr>
                <w:rFonts w:eastAsia="Calibri"/>
                <w:sz w:val="26"/>
                <w:szCs w:val="26"/>
                <w:lang w:eastAsia="en-US"/>
              </w:rPr>
              <w:t>mērķgrupām</w:t>
            </w:r>
            <w:proofErr w:type="spellEnd"/>
            <w:r w:rsidRPr="00846B2A">
              <w:rPr>
                <w:rFonts w:eastAsia="Calibri"/>
                <w:sz w:val="26"/>
                <w:szCs w:val="26"/>
                <w:lang w:eastAsia="en-US"/>
              </w:rPr>
              <w:t xml:space="preserve"> un institūcijām projekta tiesiskais regulējums nemaina tiesības un pienākumus, kā arī veicamās darbības</w:t>
            </w:r>
            <w:r>
              <w:rPr>
                <w:rFonts w:eastAsia="Calibri"/>
                <w:sz w:val="26"/>
                <w:szCs w:val="26"/>
                <w:lang w:eastAsia="en-US"/>
              </w:rPr>
              <w:t>.</w:t>
            </w:r>
          </w:p>
        </w:tc>
      </w:tr>
      <w:tr w:rsidR="00A76C0A" w:rsidRPr="00CF0ACA"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CF0ACA" w:rsidRDefault="009A00EB" w:rsidP="009A00EB">
            <w:pPr>
              <w:contextualSpacing/>
              <w:rPr>
                <w:rFonts w:eastAsia="Times New Roman"/>
                <w:sz w:val="26"/>
                <w:szCs w:val="26"/>
                <w:lang w:val="lv-LV" w:eastAsia="lv-LV"/>
              </w:rPr>
            </w:pPr>
            <w:r w:rsidRPr="00CF0ACA">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CF0ACA" w:rsidRDefault="009A00EB" w:rsidP="009A00EB">
            <w:pPr>
              <w:contextualSpacing/>
              <w:rPr>
                <w:rFonts w:eastAsia="Times New Roman"/>
                <w:sz w:val="26"/>
                <w:szCs w:val="26"/>
                <w:lang w:val="lv-LV" w:eastAsia="lv-LV"/>
              </w:rPr>
            </w:pPr>
            <w:r w:rsidRPr="00CF0ACA">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CF0ACA" w:rsidRDefault="009A00EB" w:rsidP="005F3196">
            <w:pPr>
              <w:pStyle w:val="BodyText"/>
              <w:ind w:right="201"/>
              <w:contextualSpacing/>
              <w:rPr>
                <w:rFonts w:eastAsia="Calibri"/>
                <w:sz w:val="26"/>
                <w:szCs w:val="26"/>
                <w:lang w:eastAsia="en-US"/>
              </w:rPr>
            </w:pPr>
            <w:r w:rsidRPr="00CF0ACA">
              <w:rPr>
                <w:rFonts w:eastAsia="Calibri"/>
                <w:sz w:val="26"/>
                <w:szCs w:val="26"/>
                <w:lang w:eastAsia="en-US"/>
              </w:rPr>
              <w:t>Projekts šo jomu neskar</w:t>
            </w:r>
          </w:p>
        </w:tc>
      </w:tr>
      <w:tr w:rsidR="00A76C0A" w:rsidRPr="00CF0ACA"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CF0ACA" w:rsidRDefault="009A00EB" w:rsidP="009A00EB">
            <w:pPr>
              <w:contextualSpacing/>
              <w:rPr>
                <w:rFonts w:eastAsia="Times New Roman"/>
                <w:sz w:val="26"/>
                <w:szCs w:val="26"/>
                <w:lang w:val="lv-LV" w:eastAsia="lv-LV"/>
              </w:rPr>
            </w:pPr>
            <w:r w:rsidRPr="00CF0ACA">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CF0ACA" w:rsidRDefault="009A00EB" w:rsidP="009A00EB">
            <w:pPr>
              <w:contextualSpacing/>
              <w:rPr>
                <w:rFonts w:eastAsia="Times New Roman"/>
                <w:sz w:val="26"/>
                <w:szCs w:val="26"/>
                <w:lang w:val="lv-LV" w:eastAsia="lv-LV"/>
              </w:rPr>
            </w:pPr>
            <w:r w:rsidRPr="00CF0ACA">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CF0ACA" w:rsidRDefault="009A00EB" w:rsidP="005F3196">
            <w:pPr>
              <w:pStyle w:val="BodyText"/>
              <w:ind w:right="201"/>
              <w:contextualSpacing/>
              <w:rPr>
                <w:rFonts w:eastAsia="Calibri"/>
                <w:sz w:val="26"/>
                <w:szCs w:val="26"/>
                <w:lang w:eastAsia="en-US"/>
              </w:rPr>
            </w:pPr>
            <w:r w:rsidRPr="00CF0ACA">
              <w:rPr>
                <w:rFonts w:eastAsia="Calibri"/>
                <w:sz w:val="26"/>
                <w:szCs w:val="26"/>
                <w:lang w:eastAsia="en-US"/>
              </w:rPr>
              <w:t>Projekts šo jomu neskar</w:t>
            </w:r>
          </w:p>
        </w:tc>
      </w:tr>
      <w:tr w:rsidR="00A76C0A" w:rsidRPr="00CF0ACA"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CF0ACA" w:rsidRDefault="009A00EB" w:rsidP="009A00EB">
            <w:pPr>
              <w:contextualSpacing/>
              <w:rPr>
                <w:rFonts w:eastAsia="Times New Roman"/>
                <w:sz w:val="26"/>
                <w:szCs w:val="26"/>
                <w:lang w:val="lv-LV" w:eastAsia="lv-LV"/>
              </w:rPr>
            </w:pPr>
            <w:r w:rsidRPr="00CF0ACA">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CF0ACA" w:rsidRDefault="009A00EB" w:rsidP="009A00EB">
            <w:pPr>
              <w:contextualSpacing/>
              <w:rPr>
                <w:rFonts w:eastAsia="Times New Roman"/>
                <w:sz w:val="26"/>
                <w:szCs w:val="26"/>
                <w:lang w:val="lv-LV" w:eastAsia="lv-LV"/>
              </w:rPr>
            </w:pPr>
            <w:r w:rsidRPr="00CF0ACA">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CF0ACA" w:rsidRDefault="009A00EB" w:rsidP="005F3196">
            <w:pPr>
              <w:ind w:right="201"/>
              <w:contextualSpacing/>
              <w:jc w:val="both"/>
              <w:rPr>
                <w:sz w:val="26"/>
                <w:szCs w:val="26"/>
                <w:lang w:val="lv-LV"/>
              </w:rPr>
            </w:pPr>
            <w:r w:rsidRPr="00CF0ACA">
              <w:rPr>
                <w:sz w:val="26"/>
                <w:szCs w:val="26"/>
                <w:lang w:val="lv-LV"/>
              </w:rPr>
              <w:t>Nav</w:t>
            </w:r>
          </w:p>
        </w:tc>
      </w:tr>
    </w:tbl>
    <w:p w14:paraId="57D2014F" w14:textId="77777777" w:rsidR="00E0333C" w:rsidRPr="00CF0ACA"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AB24D0"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CF0ACA" w:rsidRDefault="00E0333C" w:rsidP="00370711">
            <w:pPr>
              <w:contextualSpacing/>
              <w:rPr>
                <w:rFonts w:eastAsia="Times New Roman"/>
                <w:b/>
                <w:sz w:val="26"/>
                <w:szCs w:val="26"/>
                <w:lang w:val="lv-LV" w:eastAsia="lv-LV"/>
              </w:rPr>
            </w:pPr>
            <w:r w:rsidRPr="00CF0ACA">
              <w:rPr>
                <w:rFonts w:eastAsia="Times New Roman"/>
                <w:b/>
                <w:bCs/>
                <w:sz w:val="26"/>
                <w:szCs w:val="26"/>
                <w:lang w:val="lv-LV" w:eastAsia="lv-LV"/>
              </w:rPr>
              <w:t>III. Tiesību akta projekta ietekme uz valsts budžetu un pašvaldību budžetiem</w:t>
            </w:r>
          </w:p>
        </w:tc>
      </w:tr>
      <w:tr w:rsidR="00E0333C" w:rsidRPr="00CF0ACA"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43ACAAB1" w:rsidR="00E0333C" w:rsidRPr="00CF0ACA" w:rsidRDefault="003A4F11" w:rsidP="00EB1F01">
            <w:pPr>
              <w:jc w:val="both"/>
              <w:rPr>
                <w:rFonts w:eastAsia="Times New Roman"/>
                <w:sz w:val="26"/>
                <w:szCs w:val="26"/>
                <w:lang w:val="lv-LV" w:eastAsia="lv-LV"/>
              </w:rPr>
            </w:pPr>
            <w:r w:rsidRPr="00CF0ACA">
              <w:rPr>
                <w:sz w:val="26"/>
                <w:szCs w:val="26"/>
                <w:lang w:val="lv-LV"/>
              </w:rPr>
              <w:t>Projekts šo jomu neskar</w:t>
            </w:r>
          </w:p>
        </w:tc>
      </w:tr>
    </w:tbl>
    <w:p w14:paraId="57F14BC5" w14:textId="512F1E09" w:rsidR="00844176" w:rsidRPr="00CF0ACA"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AB24D0"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CF0ACA" w:rsidRDefault="00844176" w:rsidP="00320B22">
            <w:pPr>
              <w:ind w:firstLine="300"/>
              <w:contextualSpacing/>
              <w:rPr>
                <w:rFonts w:eastAsia="Times New Roman"/>
                <w:b/>
                <w:bCs/>
                <w:sz w:val="26"/>
                <w:szCs w:val="26"/>
                <w:lang w:val="lv-LV" w:eastAsia="lv-LV"/>
              </w:rPr>
            </w:pPr>
            <w:r w:rsidRPr="00CF0ACA">
              <w:rPr>
                <w:rFonts w:eastAsia="Times New Roman"/>
                <w:b/>
                <w:bCs/>
                <w:sz w:val="26"/>
                <w:szCs w:val="26"/>
                <w:lang w:val="lv-LV" w:eastAsia="lv-LV"/>
              </w:rPr>
              <w:t>IV. Tiesību akta projekta ietekme uz spēkā esošo tiesību normu sistēmu</w:t>
            </w:r>
          </w:p>
        </w:tc>
      </w:tr>
      <w:tr w:rsidR="00844176" w:rsidRPr="00CF0ACA"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CF0ACA" w:rsidRDefault="00844176" w:rsidP="00320B22">
            <w:pPr>
              <w:contextualSpacing/>
              <w:rPr>
                <w:rFonts w:eastAsia="Times New Roman"/>
                <w:sz w:val="26"/>
                <w:szCs w:val="26"/>
                <w:lang w:val="lv-LV" w:eastAsia="lv-LV"/>
              </w:rPr>
            </w:pPr>
            <w:r w:rsidRPr="00CF0ACA">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CF0ACA" w:rsidRDefault="001C70CC" w:rsidP="00320B22">
            <w:pPr>
              <w:contextualSpacing/>
              <w:rPr>
                <w:rFonts w:eastAsia="Times New Roman"/>
                <w:sz w:val="26"/>
                <w:szCs w:val="26"/>
                <w:lang w:val="lv-LV" w:eastAsia="lv-LV"/>
              </w:rPr>
            </w:pPr>
            <w:r w:rsidRPr="00CF0ACA">
              <w:rPr>
                <w:rFonts w:eastAsia="Times New Roman"/>
                <w:sz w:val="26"/>
                <w:szCs w:val="26"/>
                <w:lang w:val="lv-LV" w:eastAsia="lv-LV"/>
              </w:rPr>
              <w:t>Saistītie</w:t>
            </w:r>
            <w:r w:rsidR="00844176" w:rsidRPr="00CF0ACA">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37F545BF" w14:textId="75D030C2" w:rsidR="00844176" w:rsidRPr="00CF0ACA" w:rsidRDefault="00B34CC7" w:rsidP="000F2EA7">
            <w:pPr>
              <w:jc w:val="both"/>
              <w:rPr>
                <w:bCs/>
                <w:iCs/>
                <w:sz w:val="26"/>
                <w:szCs w:val="26"/>
                <w:lang w:val="lv-LV"/>
              </w:rPr>
            </w:pPr>
            <w:r w:rsidRPr="00CF0ACA">
              <w:rPr>
                <w:sz w:val="26"/>
                <w:szCs w:val="26"/>
                <w:lang w:val="lv-LV"/>
              </w:rPr>
              <w:t>Projekts šo jomu neskar</w:t>
            </w:r>
          </w:p>
        </w:tc>
      </w:tr>
      <w:tr w:rsidR="00844176" w:rsidRPr="00CF0ACA"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CF0ACA" w:rsidRDefault="00844176" w:rsidP="00320B22">
            <w:pPr>
              <w:contextualSpacing/>
              <w:rPr>
                <w:rFonts w:eastAsia="Times New Roman"/>
                <w:sz w:val="26"/>
                <w:szCs w:val="26"/>
                <w:lang w:val="lv-LV" w:eastAsia="lv-LV"/>
              </w:rPr>
            </w:pPr>
            <w:r w:rsidRPr="00CF0ACA">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CF0ACA" w:rsidRDefault="00844176" w:rsidP="00320B22">
            <w:pPr>
              <w:contextualSpacing/>
              <w:rPr>
                <w:rFonts w:eastAsia="Times New Roman"/>
                <w:sz w:val="26"/>
                <w:szCs w:val="26"/>
                <w:lang w:val="lv-LV" w:eastAsia="lv-LV"/>
              </w:rPr>
            </w:pPr>
            <w:r w:rsidRPr="00CF0ACA">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167695D5" w:rsidR="00844176" w:rsidRPr="00CF0ACA" w:rsidRDefault="00B34CC7" w:rsidP="00320B22">
            <w:pPr>
              <w:pStyle w:val="BodyText"/>
              <w:ind w:right="142"/>
              <w:contextualSpacing/>
              <w:rPr>
                <w:rFonts w:eastAsia="Calibri"/>
                <w:sz w:val="26"/>
                <w:szCs w:val="26"/>
                <w:lang w:eastAsia="en-US"/>
              </w:rPr>
            </w:pPr>
            <w:r w:rsidRPr="00CF0ACA">
              <w:rPr>
                <w:rFonts w:eastAsia="Calibri"/>
                <w:sz w:val="26"/>
                <w:szCs w:val="26"/>
                <w:lang w:eastAsia="en-US"/>
              </w:rPr>
              <w:t>Projekts šo jomu neskar</w:t>
            </w:r>
          </w:p>
        </w:tc>
      </w:tr>
      <w:tr w:rsidR="00844176" w:rsidRPr="00CF0ACA"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CF0ACA" w:rsidRDefault="00844176" w:rsidP="00320B22">
            <w:pPr>
              <w:contextualSpacing/>
              <w:rPr>
                <w:rFonts w:eastAsia="Times New Roman"/>
                <w:sz w:val="26"/>
                <w:szCs w:val="26"/>
                <w:lang w:val="lv-LV" w:eastAsia="lv-LV"/>
              </w:rPr>
            </w:pPr>
            <w:r w:rsidRPr="00CF0ACA">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CF0ACA" w:rsidRDefault="00844176" w:rsidP="00320B22">
            <w:pPr>
              <w:contextualSpacing/>
              <w:rPr>
                <w:rFonts w:eastAsia="Times New Roman"/>
                <w:sz w:val="26"/>
                <w:szCs w:val="26"/>
                <w:lang w:val="lv-LV" w:eastAsia="lv-LV"/>
              </w:rPr>
            </w:pPr>
            <w:r w:rsidRPr="00CF0ACA">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235A3E58" w:rsidR="003E5276" w:rsidRPr="00CF0ACA" w:rsidRDefault="000F2EA7" w:rsidP="003E5276">
            <w:pPr>
              <w:pStyle w:val="ListParagraph"/>
              <w:ind w:left="0"/>
              <w:contextualSpacing w:val="0"/>
              <w:jc w:val="both"/>
              <w:rPr>
                <w:bCs/>
                <w:iCs/>
                <w:sz w:val="26"/>
                <w:szCs w:val="26"/>
                <w:lang w:val="lv-LV"/>
              </w:rPr>
            </w:pPr>
            <w:r w:rsidRPr="00CF0ACA">
              <w:rPr>
                <w:bCs/>
                <w:iCs/>
                <w:sz w:val="26"/>
                <w:szCs w:val="26"/>
                <w:lang w:val="lv-LV"/>
              </w:rPr>
              <w:t>Nav</w:t>
            </w:r>
          </w:p>
          <w:p w14:paraId="637C4F16" w14:textId="690F03B4" w:rsidR="00844176" w:rsidRPr="00CF0ACA" w:rsidRDefault="00844176" w:rsidP="003E5276">
            <w:pPr>
              <w:ind w:left="577"/>
              <w:contextualSpacing/>
              <w:jc w:val="both"/>
              <w:rPr>
                <w:bCs/>
                <w:iCs/>
                <w:sz w:val="26"/>
                <w:szCs w:val="26"/>
                <w:lang w:val="lv-LV"/>
              </w:rPr>
            </w:pPr>
          </w:p>
        </w:tc>
      </w:tr>
    </w:tbl>
    <w:p w14:paraId="2A21AD4B" w14:textId="77777777" w:rsidR="00844176" w:rsidRPr="00CF0ACA"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CF0ACA"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CF0ACA" w:rsidRDefault="00844176" w:rsidP="00370711">
            <w:pPr>
              <w:contextualSpacing/>
              <w:jc w:val="center"/>
              <w:rPr>
                <w:rFonts w:eastAsia="Times New Roman"/>
                <w:sz w:val="26"/>
                <w:szCs w:val="26"/>
                <w:lang w:val="lv-LV" w:eastAsia="lv-LV"/>
              </w:rPr>
            </w:pPr>
            <w:r w:rsidRPr="00CF0ACA">
              <w:rPr>
                <w:b/>
                <w:sz w:val="26"/>
                <w:lang w:val="lv-LV"/>
              </w:rPr>
              <w:t>V. Tiesību akta projekta atbilstība Latvijas Republikas starptautiskajām saistībām</w:t>
            </w:r>
          </w:p>
        </w:tc>
      </w:tr>
      <w:tr w:rsidR="006F4B13" w:rsidRPr="00CF0ACA"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CF0ACA" w:rsidRDefault="006F4B13" w:rsidP="00370711">
            <w:pPr>
              <w:contextualSpacing/>
              <w:rPr>
                <w:rFonts w:eastAsia="Times New Roman"/>
                <w:sz w:val="26"/>
                <w:szCs w:val="26"/>
                <w:lang w:val="lv-LV" w:eastAsia="lv-LV"/>
              </w:rPr>
            </w:pPr>
            <w:r w:rsidRPr="00CF0ACA">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CF0ACA" w:rsidRDefault="006F4B13" w:rsidP="00370711">
            <w:pPr>
              <w:contextualSpacing/>
              <w:jc w:val="both"/>
              <w:rPr>
                <w:rFonts w:eastAsia="Times New Roman"/>
                <w:sz w:val="26"/>
                <w:szCs w:val="26"/>
                <w:lang w:val="lv-LV" w:eastAsia="lv-LV"/>
              </w:rPr>
            </w:pPr>
            <w:r w:rsidRPr="00CF0ACA">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4F0FDC0F" w:rsidR="008D09FC" w:rsidRPr="00CF0ACA" w:rsidRDefault="002278EE" w:rsidP="00150256">
            <w:pPr>
              <w:jc w:val="both"/>
              <w:rPr>
                <w:rFonts w:eastAsia="Times New Roman"/>
                <w:sz w:val="26"/>
                <w:szCs w:val="26"/>
                <w:lang w:val="lv-LV" w:eastAsia="lv-LV"/>
              </w:rPr>
            </w:pPr>
            <w:r w:rsidRPr="00CF0ACA">
              <w:rPr>
                <w:sz w:val="26"/>
                <w:szCs w:val="26"/>
                <w:lang w:val="lv-LV"/>
              </w:rPr>
              <w:t>Komisijas 2004. gada 21. aprīļa Regulas (EK) Nr. 794/2004, ar ko īsteno Padomes Regulu (ES) </w:t>
            </w:r>
            <w:hyperlink r:id="rId8" w:tgtFrame="_blank" w:history="1">
              <w:r w:rsidRPr="00CF0ACA">
                <w:rPr>
                  <w:sz w:val="26"/>
                  <w:szCs w:val="26"/>
                  <w:lang w:val="lv-LV"/>
                </w:rPr>
                <w:t>2015/1589</w:t>
              </w:r>
            </w:hyperlink>
            <w:r w:rsidRPr="00CF0ACA">
              <w:rPr>
                <w:sz w:val="26"/>
                <w:szCs w:val="26"/>
                <w:lang w:val="lv-LV"/>
              </w:rPr>
              <w:t>, ar ko nosaka sīki izstrādātus noteikumus Līguma par Eiropas Savienības darbību </w:t>
            </w:r>
            <w:hyperlink r:id="rId9" w:anchor="p108" w:history="1">
              <w:r w:rsidRPr="00CF0ACA">
                <w:rPr>
                  <w:sz w:val="26"/>
                  <w:szCs w:val="26"/>
                  <w:lang w:val="lv-LV"/>
                </w:rPr>
                <w:t>108.</w:t>
              </w:r>
            </w:hyperlink>
            <w:r w:rsidRPr="00CF0ACA">
              <w:rPr>
                <w:sz w:val="26"/>
                <w:szCs w:val="26"/>
                <w:lang w:val="lv-LV"/>
              </w:rPr>
              <w:t> panta piemērošanai (turpmāk – Komisijas regula Nr.794/2004)</w:t>
            </w:r>
          </w:p>
        </w:tc>
      </w:tr>
      <w:tr w:rsidR="006F4B13" w:rsidRPr="00CF0ACA"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CF0ACA" w:rsidRDefault="006F4B13" w:rsidP="00370711">
            <w:pPr>
              <w:contextualSpacing/>
              <w:rPr>
                <w:rFonts w:eastAsia="Times New Roman"/>
                <w:sz w:val="26"/>
                <w:szCs w:val="26"/>
                <w:lang w:val="lv-LV" w:eastAsia="lv-LV"/>
              </w:rPr>
            </w:pPr>
            <w:r w:rsidRPr="00CF0ACA">
              <w:rPr>
                <w:rFonts w:eastAsia="Times New Roman"/>
                <w:sz w:val="26"/>
                <w:szCs w:val="26"/>
                <w:lang w:val="lv-LV" w:eastAsia="lv-LV"/>
              </w:rPr>
              <w:lastRenderedPageBreak/>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CF0ACA" w:rsidRDefault="006F4B13" w:rsidP="00370711">
            <w:pPr>
              <w:contextualSpacing/>
              <w:jc w:val="both"/>
              <w:rPr>
                <w:rFonts w:eastAsia="Times New Roman"/>
                <w:sz w:val="26"/>
                <w:szCs w:val="26"/>
                <w:lang w:val="lv-LV" w:eastAsia="lv-LV"/>
              </w:rPr>
            </w:pPr>
            <w:r w:rsidRPr="00CF0ACA">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7CE4D951" w:rsidR="006F4B13" w:rsidRPr="00CF0ACA" w:rsidRDefault="006F4B13" w:rsidP="00370711">
            <w:pPr>
              <w:contextualSpacing/>
              <w:jc w:val="both"/>
              <w:rPr>
                <w:rFonts w:eastAsia="Times New Roman"/>
                <w:sz w:val="26"/>
                <w:szCs w:val="26"/>
                <w:lang w:val="lv-LV" w:eastAsia="lv-LV"/>
              </w:rPr>
            </w:pPr>
            <w:r w:rsidRPr="00CF0ACA">
              <w:rPr>
                <w:rFonts w:eastAsia="Times New Roman"/>
                <w:sz w:val="26"/>
                <w:szCs w:val="26"/>
                <w:lang w:val="lv-LV" w:eastAsia="lv-LV"/>
              </w:rPr>
              <w:t>Projekts šo jomu neskar</w:t>
            </w:r>
          </w:p>
        </w:tc>
      </w:tr>
      <w:tr w:rsidR="006F4B13" w:rsidRPr="00AB24D0"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CF0ACA" w:rsidRDefault="006F4B13" w:rsidP="00370711">
            <w:pPr>
              <w:contextualSpacing/>
              <w:rPr>
                <w:rFonts w:eastAsia="Times New Roman"/>
                <w:sz w:val="26"/>
                <w:szCs w:val="26"/>
                <w:lang w:val="lv-LV" w:eastAsia="lv-LV"/>
              </w:rPr>
            </w:pPr>
            <w:r w:rsidRPr="00CF0ACA">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CF0ACA" w:rsidRDefault="006F4B13" w:rsidP="00370711">
            <w:pPr>
              <w:contextualSpacing/>
              <w:jc w:val="both"/>
              <w:rPr>
                <w:rFonts w:eastAsia="Times New Roman"/>
                <w:sz w:val="26"/>
                <w:szCs w:val="26"/>
                <w:lang w:val="lv-LV" w:eastAsia="lv-LV"/>
              </w:rPr>
            </w:pPr>
            <w:r w:rsidRPr="00CF0ACA">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06AE7FAD" w:rsidR="006F4B13" w:rsidRPr="005853F6" w:rsidRDefault="005853F6" w:rsidP="00370711">
            <w:pPr>
              <w:jc w:val="both"/>
              <w:rPr>
                <w:sz w:val="26"/>
                <w:szCs w:val="26"/>
                <w:lang w:val="lv-LV"/>
              </w:rPr>
            </w:pPr>
            <w:r w:rsidRPr="0013234F">
              <w:rPr>
                <w:sz w:val="26"/>
                <w:szCs w:val="26"/>
                <w:lang w:val="lv-LV"/>
              </w:rPr>
              <w:t xml:space="preserve">Noteikumu projekts paredz ieviest </w:t>
            </w:r>
            <w:r>
              <w:rPr>
                <w:sz w:val="26"/>
                <w:szCs w:val="26"/>
                <w:lang w:val="lv-LV"/>
              </w:rPr>
              <w:t xml:space="preserve">prasības </w:t>
            </w:r>
            <w:r w:rsidRPr="0013234F">
              <w:rPr>
                <w:sz w:val="26"/>
                <w:szCs w:val="26"/>
                <w:lang w:val="lv-LV"/>
              </w:rPr>
              <w:t>atbilstoši Eiropas Komisijas 2020.gada 19.marta Komisijas paziņojumu “Pagaidu regulējums valsts atbalsta pasākumiem, ar ko atbalsta ekonomiku pašreizējā Covid-19 uzliesmojuma situācijā” (2020/C 91 I/01)</w:t>
            </w:r>
            <w:r>
              <w:rPr>
                <w:sz w:val="26"/>
                <w:szCs w:val="26"/>
                <w:lang w:val="lv-LV"/>
              </w:rPr>
              <w:t>.</w:t>
            </w:r>
          </w:p>
        </w:tc>
      </w:tr>
    </w:tbl>
    <w:p w14:paraId="1F45E5ED" w14:textId="0BEAAA20" w:rsidR="00844176" w:rsidRPr="00CF0ACA" w:rsidRDefault="00844176" w:rsidP="00370711">
      <w:pPr>
        <w:contextualSpacing/>
        <w:rPr>
          <w:sz w:val="26"/>
          <w:lang w:val="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4"/>
        <w:gridCol w:w="2264"/>
        <w:gridCol w:w="1985"/>
        <w:gridCol w:w="2692"/>
      </w:tblGrid>
      <w:tr w:rsidR="008D637C" w:rsidRPr="00AB24D0" w14:paraId="2018DA3B" w14:textId="77777777" w:rsidTr="00E15250">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A6A31" w14:textId="77777777" w:rsidR="008D637C" w:rsidRPr="00CF0ACA" w:rsidRDefault="008D637C" w:rsidP="00E15250">
            <w:pPr>
              <w:spacing w:before="100" w:beforeAutospacing="1" w:after="100" w:afterAutospacing="1" w:line="293" w:lineRule="atLeast"/>
              <w:jc w:val="center"/>
              <w:rPr>
                <w:rFonts w:eastAsia="Times New Roman"/>
                <w:b/>
                <w:bCs/>
                <w:sz w:val="26"/>
                <w:szCs w:val="26"/>
                <w:lang w:val="lv-LV" w:eastAsia="lv-LV"/>
              </w:rPr>
            </w:pPr>
            <w:r w:rsidRPr="00CF0ACA">
              <w:rPr>
                <w:rFonts w:eastAsia="Times New Roman"/>
                <w:b/>
                <w:bCs/>
                <w:sz w:val="26"/>
                <w:szCs w:val="26"/>
                <w:lang w:val="lv-LV" w:eastAsia="lv-LV"/>
              </w:rPr>
              <w:t>1. tabula</w:t>
            </w:r>
            <w:r w:rsidRPr="00CF0ACA">
              <w:rPr>
                <w:rFonts w:eastAsia="Times New Roman"/>
                <w:b/>
                <w:bCs/>
                <w:sz w:val="26"/>
                <w:szCs w:val="26"/>
                <w:lang w:val="lv-LV" w:eastAsia="lv-LV"/>
              </w:rPr>
              <w:br/>
              <w:t>Tiesību akta projekta atbilstība ES tiesību aktiem</w:t>
            </w:r>
          </w:p>
        </w:tc>
      </w:tr>
      <w:tr w:rsidR="008D637C" w:rsidRPr="00CF0ACA" w14:paraId="477596C5" w14:textId="77777777" w:rsidTr="00E15250">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7478C9CB" w14:textId="77777777" w:rsidR="008D637C" w:rsidRPr="00CF0ACA" w:rsidRDefault="008D637C" w:rsidP="00E15250">
            <w:pPr>
              <w:rPr>
                <w:rFonts w:eastAsia="Times New Roman"/>
                <w:sz w:val="26"/>
                <w:szCs w:val="26"/>
                <w:lang w:val="lv-LV" w:eastAsia="lv-LV"/>
              </w:rPr>
            </w:pPr>
            <w:r w:rsidRPr="00CF0ACA">
              <w:rPr>
                <w:rFonts w:eastAsia="Times New Roman"/>
                <w:sz w:val="26"/>
                <w:szCs w:val="26"/>
                <w:lang w:val="lv-LV" w:eastAsia="lv-LV"/>
              </w:rPr>
              <w:t>Attiecīgā ES tiesību akta datums, numurs un nosaukums</w:t>
            </w:r>
          </w:p>
        </w:tc>
        <w:tc>
          <w:tcPr>
            <w:tcW w:w="377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8E27212" w14:textId="314AFE5C" w:rsidR="008D637C" w:rsidRPr="00CF0ACA" w:rsidRDefault="008D637C" w:rsidP="00E15250">
            <w:pPr>
              <w:jc w:val="both"/>
              <w:rPr>
                <w:rFonts w:eastAsia="Times New Roman"/>
                <w:sz w:val="26"/>
                <w:szCs w:val="26"/>
                <w:lang w:val="lv-LV"/>
              </w:rPr>
            </w:pPr>
            <w:r w:rsidRPr="00CF0ACA">
              <w:rPr>
                <w:rFonts w:eastAsia="Times New Roman"/>
                <w:sz w:val="26"/>
                <w:szCs w:val="26"/>
                <w:lang w:val="lv-LV"/>
              </w:rPr>
              <w:t xml:space="preserve">Ar Noteikumu projektu tiek ieviestas šādas </w:t>
            </w:r>
            <w:r w:rsidR="002278EE" w:rsidRPr="00CF0ACA">
              <w:rPr>
                <w:sz w:val="26"/>
                <w:szCs w:val="26"/>
                <w:lang w:val="lv-LV"/>
              </w:rPr>
              <w:t>Komisijas regulas  Nr.794/2004 prasības</w:t>
            </w:r>
          </w:p>
          <w:p w14:paraId="023F0A2A" w14:textId="77777777" w:rsidR="008D637C" w:rsidRPr="00CF0ACA" w:rsidRDefault="008D637C" w:rsidP="00E15250">
            <w:pPr>
              <w:jc w:val="both"/>
              <w:rPr>
                <w:rFonts w:eastAsia="Times New Roman"/>
                <w:sz w:val="26"/>
                <w:szCs w:val="26"/>
                <w:lang w:val="lv-LV"/>
              </w:rPr>
            </w:pPr>
          </w:p>
        </w:tc>
      </w:tr>
      <w:tr w:rsidR="008D637C" w:rsidRPr="00CF0ACA" w14:paraId="3A773EBF" w14:textId="77777777" w:rsidTr="00E15250">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525CF2D" w14:textId="77777777" w:rsidR="008D637C" w:rsidRPr="00CF0ACA" w:rsidRDefault="008D637C" w:rsidP="00E15250">
            <w:pPr>
              <w:spacing w:before="100" w:beforeAutospacing="1" w:after="100" w:afterAutospacing="1" w:line="293" w:lineRule="atLeast"/>
              <w:jc w:val="center"/>
              <w:rPr>
                <w:rFonts w:eastAsia="Times New Roman"/>
                <w:color w:val="414142"/>
                <w:sz w:val="26"/>
                <w:szCs w:val="26"/>
                <w:lang w:val="lv-LV" w:eastAsia="lv-LV"/>
              </w:rPr>
            </w:pPr>
            <w:r w:rsidRPr="00CF0ACA">
              <w:rPr>
                <w:rFonts w:eastAsia="Times New Roman"/>
                <w:color w:val="414142"/>
                <w:sz w:val="26"/>
                <w:szCs w:val="26"/>
                <w:lang w:val="lv-LV" w:eastAsia="lv-LV"/>
              </w:rPr>
              <w:t>A</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689A008" w14:textId="77777777" w:rsidR="008D637C" w:rsidRPr="00CF0ACA" w:rsidRDefault="008D637C" w:rsidP="00E15250">
            <w:pPr>
              <w:spacing w:before="100" w:beforeAutospacing="1" w:after="100" w:afterAutospacing="1" w:line="293" w:lineRule="atLeast"/>
              <w:jc w:val="center"/>
              <w:rPr>
                <w:rFonts w:eastAsia="Times New Roman"/>
                <w:color w:val="414142"/>
                <w:sz w:val="26"/>
                <w:szCs w:val="26"/>
                <w:lang w:val="lv-LV" w:eastAsia="lv-LV"/>
              </w:rPr>
            </w:pPr>
            <w:r w:rsidRPr="00CF0ACA">
              <w:rPr>
                <w:rFonts w:eastAsia="Times New Roman"/>
                <w:color w:val="414142"/>
                <w:sz w:val="26"/>
                <w:szCs w:val="26"/>
                <w:lang w:val="lv-LV" w:eastAsia="lv-LV"/>
              </w:rPr>
              <w:t>B</w:t>
            </w:r>
          </w:p>
        </w:tc>
        <w:tc>
          <w:tcPr>
            <w:tcW w:w="1078"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38CD0C9A" w14:textId="77777777" w:rsidR="008D637C" w:rsidRPr="00CF0ACA" w:rsidRDefault="008D637C" w:rsidP="00E15250">
            <w:pPr>
              <w:spacing w:before="100" w:beforeAutospacing="1" w:after="100" w:afterAutospacing="1" w:line="293" w:lineRule="atLeast"/>
              <w:jc w:val="center"/>
              <w:rPr>
                <w:rFonts w:eastAsia="Times New Roman"/>
                <w:color w:val="414142"/>
                <w:sz w:val="26"/>
                <w:szCs w:val="26"/>
                <w:lang w:val="lv-LV" w:eastAsia="lv-LV"/>
              </w:rPr>
            </w:pPr>
            <w:r w:rsidRPr="00CF0ACA">
              <w:rPr>
                <w:rFonts w:eastAsia="Times New Roman"/>
                <w:color w:val="414142"/>
                <w:sz w:val="26"/>
                <w:szCs w:val="26"/>
                <w:lang w:val="lv-LV" w:eastAsia="lv-LV"/>
              </w:rPr>
              <w:t>C</w:t>
            </w:r>
          </w:p>
        </w:tc>
        <w:tc>
          <w:tcPr>
            <w:tcW w:w="146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D69448A" w14:textId="77777777" w:rsidR="008D637C" w:rsidRPr="00CF0ACA" w:rsidRDefault="008D637C" w:rsidP="00E15250">
            <w:pPr>
              <w:spacing w:before="100" w:beforeAutospacing="1" w:after="100" w:afterAutospacing="1" w:line="293" w:lineRule="atLeast"/>
              <w:jc w:val="center"/>
              <w:rPr>
                <w:rFonts w:eastAsia="Times New Roman"/>
                <w:color w:val="414142"/>
                <w:sz w:val="26"/>
                <w:szCs w:val="26"/>
                <w:lang w:val="lv-LV" w:eastAsia="lv-LV"/>
              </w:rPr>
            </w:pPr>
            <w:r w:rsidRPr="00CF0ACA">
              <w:rPr>
                <w:rFonts w:eastAsia="Times New Roman"/>
                <w:color w:val="414142"/>
                <w:sz w:val="26"/>
                <w:szCs w:val="26"/>
                <w:lang w:val="lv-LV" w:eastAsia="lv-LV"/>
              </w:rPr>
              <w:t>D</w:t>
            </w:r>
          </w:p>
        </w:tc>
      </w:tr>
      <w:tr w:rsidR="008D637C" w:rsidRPr="00CF0ACA" w14:paraId="00CF0211" w14:textId="77777777" w:rsidTr="00E15250">
        <w:tc>
          <w:tcPr>
            <w:tcW w:w="1230" w:type="pct"/>
            <w:tcBorders>
              <w:top w:val="single" w:sz="4" w:space="0" w:color="auto"/>
              <w:left w:val="single" w:sz="4" w:space="0" w:color="auto"/>
              <w:bottom w:val="single" w:sz="4" w:space="0" w:color="auto"/>
              <w:right w:val="single" w:sz="4" w:space="0" w:color="auto"/>
            </w:tcBorders>
            <w:shd w:val="clear" w:color="auto" w:fill="auto"/>
          </w:tcPr>
          <w:p w14:paraId="0BAEEC59" w14:textId="0CAE525B" w:rsidR="008D637C" w:rsidRPr="00D02A83" w:rsidRDefault="008D637C" w:rsidP="008D637C">
            <w:pPr>
              <w:rPr>
                <w:i/>
                <w:iCs/>
                <w:sz w:val="24"/>
                <w:szCs w:val="24"/>
              </w:rPr>
            </w:pPr>
            <w:proofErr w:type="spellStart"/>
            <w:r w:rsidRPr="00CF0ACA">
              <w:rPr>
                <w:i/>
                <w:iCs/>
                <w:sz w:val="24"/>
                <w:szCs w:val="24"/>
              </w:rPr>
              <w:t>Komisijas</w:t>
            </w:r>
            <w:proofErr w:type="spellEnd"/>
            <w:r w:rsidRPr="00CF0ACA">
              <w:rPr>
                <w:i/>
                <w:iCs/>
                <w:sz w:val="24"/>
                <w:szCs w:val="24"/>
              </w:rPr>
              <w:t xml:space="preserve"> </w:t>
            </w:r>
            <w:proofErr w:type="spellStart"/>
            <w:r w:rsidRPr="00CF0ACA">
              <w:rPr>
                <w:i/>
                <w:iCs/>
                <w:sz w:val="24"/>
                <w:szCs w:val="24"/>
              </w:rPr>
              <w:t>regulas</w:t>
            </w:r>
            <w:proofErr w:type="spellEnd"/>
            <w:r w:rsidRPr="00CF0ACA">
              <w:rPr>
                <w:i/>
                <w:iCs/>
                <w:sz w:val="24"/>
                <w:szCs w:val="24"/>
              </w:rPr>
              <w:t xml:space="preserve"> Nr.794/2004 </w:t>
            </w:r>
            <w:proofErr w:type="gramStart"/>
            <w:r w:rsidRPr="00CF0ACA">
              <w:rPr>
                <w:i/>
                <w:iCs/>
                <w:sz w:val="24"/>
                <w:szCs w:val="24"/>
              </w:rPr>
              <w:t>10.un</w:t>
            </w:r>
            <w:proofErr w:type="gramEnd"/>
            <w:r w:rsidRPr="00CF0ACA">
              <w:rPr>
                <w:i/>
                <w:iCs/>
                <w:sz w:val="24"/>
                <w:szCs w:val="24"/>
              </w:rPr>
              <w:t xml:space="preserve"> 11.pants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0ADC655" w14:textId="52B78481" w:rsidR="008D637C" w:rsidRPr="00CF0ACA" w:rsidRDefault="008D637C" w:rsidP="008D637C">
            <w:pPr>
              <w:rPr>
                <w:iCs/>
                <w:color w:val="000000"/>
                <w:sz w:val="24"/>
                <w:szCs w:val="24"/>
              </w:rPr>
            </w:pPr>
            <w:proofErr w:type="spellStart"/>
            <w:r w:rsidRPr="00CF0ACA">
              <w:rPr>
                <w:i/>
                <w:iCs/>
                <w:sz w:val="24"/>
                <w:szCs w:val="24"/>
              </w:rPr>
              <w:t>Noteikumu</w:t>
            </w:r>
            <w:proofErr w:type="spellEnd"/>
            <w:r w:rsidRPr="00CF0ACA">
              <w:rPr>
                <w:i/>
                <w:iCs/>
                <w:sz w:val="24"/>
                <w:szCs w:val="24"/>
              </w:rPr>
              <w:t xml:space="preserve"> </w:t>
            </w:r>
            <w:proofErr w:type="spellStart"/>
            <w:r w:rsidRPr="00CF0ACA">
              <w:rPr>
                <w:i/>
                <w:iCs/>
                <w:sz w:val="24"/>
                <w:szCs w:val="24"/>
              </w:rPr>
              <w:t>projekta</w:t>
            </w:r>
            <w:proofErr w:type="spellEnd"/>
            <w:r w:rsidRPr="00CF0ACA">
              <w:rPr>
                <w:i/>
                <w:iCs/>
                <w:sz w:val="24"/>
                <w:szCs w:val="24"/>
              </w:rPr>
              <w:t xml:space="preserve"> </w:t>
            </w:r>
            <w:proofErr w:type="gramStart"/>
            <w:r w:rsidR="00614913" w:rsidRPr="00CF0ACA">
              <w:rPr>
                <w:i/>
                <w:iCs/>
                <w:sz w:val="24"/>
                <w:szCs w:val="24"/>
              </w:rPr>
              <w:t>9</w:t>
            </w:r>
            <w:r w:rsidRPr="00CF0ACA">
              <w:rPr>
                <w:i/>
                <w:iCs/>
                <w:sz w:val="24"/>
                <w:szCs w:val="24"/>
              </w:rPr>
              <w:t>.punkts</w:t>
            </w:r>
            <w:proofErr w:type="gramEnd"/>
            <w:r w:rsidRPr="00CF0ACA">
              <w:rPr>
                <w:i/>
                <w:iCs/>
                <w:sz w:val="24"/>
                <w:szCs w:val="24"/>
              </w:rPr>
              <w:t xml:space="preserve">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59E86F7" w14:textId="769A324D" w:rsidR="008D637C" w:rsidRPr="00CF0ACA" w:rsidRDefault="008D637C" w:rsidP="008D637C">
            <w:pPr>
              <w:rPr>
                <w:iCs/>
                <w:color w:val="000000"/>
                <w:sz w:val="24"/>
                <w:szCs w:val="24"/>
              </w:rPr>
            </w:pPr>
            <w:r w:rsidRPr="00CF0ACA">
              <w:rPr>
                <w:i/>
                <w:iCs/>
                <w:sz w:val="24"/>
                <w:szCs w:val="24"/>
                <w:lang w:val="lv-LV"/>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1DAC94A3" w14:textId="5C244C21" w:rsidR="008D637C" w:rsidRPr="00CF0ACA" w:rsidRDefault="008D637C" w:rsidP="008D637C">
            <w:pPr>
              <w:rPr>
                <w:iCs/>
                <w:color w:val="000000"/>
                <w:sz w:val="24"/>
                <w:szCs w:val="24"/>
              </w:rPr>
            </w:pPr>
            <w:r w:rsidRPr="00CF0ACA">
              <w:rPr>
                <w:i/>
                <w:iCs/>
                <w:sz w:val="24"/>
                <w:szCs w:val="24"/>
                <w:lang w:val="lv-LV"/>
              </w:rPr>
              <w:t>Neparedz stingrākas prasības</w:t>
            </w:r>
          </w:p>
        </w:tc>
      </w:tr>
      <w:tr w:rsidR="008D637C" w:rsidRPr="00CF0ACA" w14:paraId="539FD60B" w14:textId="77777777" w:rsidTr="00E15250">
        <w:tc>
          <w:tcPr>
            <w:tcW w:w="1230" w:type="pct"/>
            <w:tcBorders>
              <w:top w:val="single" w:sz="4" w:space="0" w:color="auto"/>
              <w:left w:val="outset" w:sz="6" w:space="0" w:color="414142"/>
              <w:bottom w:val="outset" w:sz="6" w:space="0" w:color="414142"/>
              <w:right w:val="outset" w:sz="6" w:space="0" w:color="414142"/>
            </w:tcBorders>
            <w:shd w:val="clear" w:color="auto" w:fill="FFFFFF"/>
            <w:hideMark/>
          </w:tcPr>
          <w:p w14:paraId="208EF947" w14:textId="77777777" w:rsidR="008D637C" w:rsidRPr="00CF0ACA" w:rsidRDefault="008D637C" w:rsidP="00E15250">
            <w:pPr>
              <w:rPr>
                <w:rFonts w:eastAsia="Times New Roman"/>
                <w:sz w:val="26"/>
                <w:szCs w:val="26"/>
                <w:lang w:val="lv-LV" w:eastAsia="lv-LV"/>
              </w:rPr>
            </w:pPr>
            <w:r w:rsidRPr="00CF0ACA">
              <w:rPr>
                <w:rFonts w:eastAsia="Times New Roman"/>
                <w:sz w:val="26"/>
                <w:szCs w:val="26"/>
                <w:lang w:val="lv-LV" w:eastAsia="lv-LV"/>
              </w:rPr>
              <w:t>Kā ir izmantota ES tiesību aktā paredzētā rīcības brīvība dalībvalstij pārņemt vai ieviest noteiktas ES tiesību akta normas? Kādēļ?</w:t>
            </w:r>
          </w:p>
        </w:tc>
        <w:tc>
          <w:tcPr>
            <w:tcW w:w="3770" w:type="pct"/>
            <w:gridSpan w:val="3"/>
            <w:tcBorders>
              <w:top w:val="single" w:sz="4" w:space="0" w:color="auto"/>
              <w:left w:val="single" w:sz="4" w:space="0" w:color="auto"/>
              <w:bottom w:val="single" w:sz="4" w:space="0" w:color="auto"/>
              <w:right w:val="single" w:sz="4" w:space="0" w:color="auto"/>
            </w:tcBorders>
            <w:hideMark/>
          </w:tcPr>
          <w:p w14:paraId="27FDEDFD" w14:textId="77777777" w:rsidR="008D637C" w:rsidRPr="00CF0ACA" w:rsidRDefault="008D637C" w:rsidP="00E15250">
            <w:pPr>
              <w:rPr>
                <w:rFonts w:eastAsia="Times New Roman"/>
                <w:sz w:val="26"/>
                <w:szCs w:val="26"/>
                <w:lang w:val="lv-LV" w:eastAsia="lv-LV"/>
              </w:rPr>
            </w:pPr>
            <w:r w:rsidRPr="00CF0ACA">
              <w:rPr>
                <w:rFonts w:eastAsia="Times New Roman"/>
                <w:sz w:val="26"/>
                <w:szCs w:val="26"/>
                <w:lang w:val="lv-LV"/>
              </w:rPr>
              <w:t>Projekts šo jomu neskar.</w:t>
            </w:r>
          </w:p>
        </w:tc>
      </w:tr>
      <w:tr w:rsidR="008D637C" w:rsidRPr="00CF0ACA" w14:paraId="67D5F123" w14:textId="77777777" w:rsidTr="00E15250">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35E33EFF" w14:textId="77777777" w:rsidR="008D637C" w:rsidRPr="00CF0ACA" w:rsidRDefault="008D637C" w:rsidP="00E15250">
            <w:pPr>
              <w:rPr>
                <w:rFonts w:eastAsia="Times New Roman"/>
                <w:sz w:val="26"/>
                <w:szCs w:val="26"/>
                <w:lang w:val="lv-LV" w:eastAsia="lv-LV"/>
              </w:rPr>
            </w:pPr>
            <w:r w:rsidRPr="00CF0ACA">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0" w:type="pct"/>
            <w:gridSpan w:val="3"/>
            <w:tcBorders>
              <w:top w:val="single" w:sz="4" w:space="0" w:color="auto"/>
              <w:left w:val="single" w:sz="4" w:space="0" w:color="auto"/>
              <w:bottom w:val="single" w:sz="4" w:space="0" w:color="auto"/>
              <w:right w:val="single" w:sz="4" w:space="0" w:color="auto"/>
            </w:tcBorders>
            <w:hideMark/>
          </w:tcPr>
          <w:p w14:paraId="69F49A72" w14:textId="77777777" w:rsidR="008D637C" w:rsidRPr="00CF0ACA" w:rsidRDefault="008D637C" w:rsidP="00E15250">
            <w:pPr>
              <w:rPr>
                <w:rFonts w:eastAsia="Times New Roman"/>
                <w:sz w:val="26"/>
                <w:szCs w:val="26"/>
                <w:lang w:val="lv-LV" w:eastAsia="lv-LV"/>
              </w:rPr>
            </w:pPr>
            <w:r w:rsidRPr="00CF0ACA">
              <w:rPr>
                <w:rFonts w:eastAsia="Times New Roman"/>
                <w:sz w:val="26"/>
                <w:szCs w:val="26"/>
                <w:lang w:val="lv-LV"/>
              </w:rPr>
              <w:t>Projekts šo jomu neskar.</w:t>
            </w:r>
          </w:p>
        </w:tc>
      </w:tr>
      <w:tr w:rsidR="008D637C" w:rsidRPr="00CF0ACA" w14:paraId="651AD4DB" w14:textId="77777777" w:rsidTr="00E15250">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1590B0DF" w14:textId="77777777" w:rsidR="008D637C" w:rsidRPr="00CF0ACA" w:rsidRDefault="008D637C" w:rsidP="00E15250">
            <w:pPr>
              <w:rPr>
                <w:rFonts w:eastAsia="Times New Roman"/>
                <w:sz w:val="26"/>
                <w:szCs w:val="26"/>
                <w:lang w:val="lv-LV" w:eastAsia="lv-LV"/>
              </w:rPr>
            </w:pPr>
            <w:r w:rsidRPr="00CF0ACA">
              <w:rPr>
                <w:rFonts w:eastAsia="Times New Roman"/>
                <w:sz w:val="26"/>
                <w:szCs w:val="26"/>
                <w:lang w:val="lv-LV" w:eastAsia="lv-LV"/>
              </w:rPr>
              <w:t>Cita informācija</w:t>
            </w:r>
          </w:p>
        </w:tc>
        <w:tc>
          <w:tcPr>
            <w:tcW w:w="3770" w:type="pct"/>
            <w:gridSpan w:val="3"/>
            <w:tcBorders>
              <w:top w:val="single" w:sz="4" w:space="0" w:color="auto"/>
              <w:left w:val="single" w:sz="4" w:space="0" w:color="auto"/>
              <w:bottom w:val="single" w:sz="4" w:space="0" w:color="auto"/>
              <w:right w:val="single" w:sz="4" w:space="0" w:color="auto"/>
            </w:tcBorders>
            <w:hideMark/>
          </w:tcPr>
          <w:p w14:paraId="6ADE16BA" w14:textId="77777777" w:rsidR="008D637C" w:rsidRPr="00CF0ACA" w:rsidRDefault="008D637C" w:rsidP="00E15250">
            <w:pPr>
              <w:rPr>
                <w:rFonts w:eastAsia="Times New Roman"/>
                <w:sz w:val="26"/>
                <w:szCs w:val="26"/>
                <w:lang w:val="lv-LV" w:eastAsia="lv-LV"/>
              </w:rPr>
            </w:pPr>
            <w:r w:rsidRPr="00CF0ACA">
              <w:rPr>
                <w:sz w:val="26"/>
                <w:szCs w:val="26"/>
                <w:lang w:val="lv-LV"/>
              </w:rPr>
              <w:t>Nav.</w:t>
            </w:r>
          </w:p>
        </w:tc>
      </w:tr>
    </w:tbl>
    <w:p w14:paraId="448D38A2" w14:textId="78C282BA" w:rsidR="008D637C" w:rsidRPr="00CF0ACA" w:rsidRDefault="008D637C" w:rsidP="00370711">
      <w:pPr>
        <w:contextualSpacing/>
        <w:rPr>
          <w:sz w:val="26"/>
          <w:lang w:val="lv-LV"/>
        </w:rPr>
      </w:pPr>
    </w:p>
    <w:p w14:paraId="591E1EA4" w14:textId="77777777" w:rsidR="008D637C" w:rsidRPr="00CF0ACA" w:rsidRDefault="008D637C"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AB24D0"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CF0ACA" w:rsidRDefault="006F4B13" w:rsidP="00370711">
            <w:pPr>
              <w:ind w:left="57" w:right="57"/>
              <w:contextualSpacing/>
              <w:jc w:val="center"/>
              <w:rPr>
                <w:rFonts w:eastAsia="Times New Roman"/>
                <w:sz w:val="25"/>
                <w:szCs w:val="25"/>
                <w:lang w:val="lv-LV"/>
              </w:rPr>
            </w:pPr>
            <w:r w:rsidRPr="00CF0ACA">
              <w:rPr>
                <w:rFonts w:eastAsia="Times New Roman"/>
                <w:b/>
                <w:sz w:val="25"/>
                <w:szCs w:val="25"/>
                <w:lang w:val="lv-LV"/>
              </w:rPr>
              <w:t>VI. Sabiedrības līdzdalība un komunikācijas aktivitātes</w:t>
            </w:r>
          </w:p>
        </w:tc>
      </w:tr>
      <w:tr w:rsidR="006F4B13" w:rsidRPr="00AB24D0" w14:paraId="6FEF54FD" w14:textId="77777777" w:rsidTr="00E50D80">
        <w:trPr>
          <w:trHeight w:val="553"/>
        </w:trPr>
        <w:tc>
          <w:tcPr>
            <w:tcW w:w="312" w:type="dxa"/>
          </w:tcPr>
          <w:p w14:paraId="41086138" w14:textId="77777777" w:rsidR="006F4B13" w:rsidRPr="00CF0ACA" w:rsidRDefault="006F4B13" w:rsidP="00370711">
            <w:pPr>
              <w:ind w:left="57" w:right="57"/>
              <w:contextualSpacing/>
              <w:jc w:val="both"/>
              <w:rPr>
                <w:sz w:val="25"/>
                <w:lang w:val="lv-LV"/>
              </w:rPr>
            </w:pPr>
            <w:r w:rsidRPr="00CF0ACA">
              <w:rPr>
                <w:sz w:val="25"/>
                <w:lang w:val="lv-LV"/>
              </w:rPr>
              <w:t>1.</w:t>
            </w:r>
          </w:p>
        </w:tc>
        <w:tc>
          <w:tcPr>
            <w:tcW w:w="2665" w:type="dxa"/>
          </w:tcPr>
          <w:p w14:paraId="798682AC" w14:textId="77777777" w:rsidR="006F4B13" w:rsidRPr="00CF0ACA" w:rsidRDefault="006F4B13" w:rsidP="00370711">
            <w:pPr>
              <w:tabs>
                <w:tab w:val="left" w:pos="170"/>
              </w:tabs>
              <w:ind w:left="57" w:right="57"/>
              <w:contextualSpacing/>
              <w:rPr>
                <w:rFonts w:eastAsia="PMingLiU"/>
                <w:sz w:val="26"/>
                <w:szCs w:val="26"/>
                <w:lang w:val="lv-LV" w:eastAsia="ja-JP"/>
              </w:rPr>
            </w:pPr>
            <w:r w:rsidRPr="00CF0ACA">
              <w:rPr>
                <w:rFonts w:eastAsia="PMingLiU"/>
                <w:sz w:val="26"/>
                <w:szCs w:val="26"/>
                <w:lang w:val="lv-LV" w:eastAsia="ja-JP"/>
              </w:rPr>
              <w:t xml:space="preserve">Plānotās sabiedrības līdzdalības un </w:t>
            </w:r>
            <w:r w:rsidRPr="00CF0ACA">
              <w:rPr>
                <w:rFonts w:eastAsia="PMingLiU"/>
                <w:sz w:val="26"/>
                <w:szCs w:val="26"/>
                <w:lang w:val="lv-LV" w:eastAsia="ja-JP"/>
              </w:rPr>
              <w:lastRenderedPageBreak/>
              <w:t>komunikācijas aktivitātes saistībā ar projektu</w:t>
            </w:r>
          </w:p>
        </w:tc>
        <w:tc>
          <w:tcPr>
            <w:tcW w:w="6234" w:type="dxa"/>
          </w:tcPr>
          <w:p w14:paraId="384FFED0" w14:textId="57ED5413" w:rsidR="00D27E4D" w:rsidRPr="00CF0ACA" w:rsidRDefault="005832C9" w:rsidP="0069630E">
            <w:pPr>
              <w:jc w:val="both"/>
              <w:rPr>
                <w:rFonts w:eastAsia="PMingLiU"/>
                <w:sz w:val="26"/>
                <w:szCs w:val="26"/>
                <w:lang w:val="lv-LV" w:eastAsia="ja-JP"/>
              </w:rPr>
            </w:pPr>
            <w:r w:rsidRPr="00CF0ACA">
              <w:rPr>
                <w:bCs/>
                <w:sz w:val="26"/>
                <w:szCs w:val="26"/>
                <w:lang w:val="lv-LV"/>
              </w:rPr>
              <w:lastRenderedPageBreak/>
              <w:t xml:space="preserve">Sabiedrības līdzdalība Noteikumu projekta izstrādē tiek īstenota atbilstoši Ministru kabineta 2009. gada 25. augusta </w:t>
            </w:r>
            <w:r w:rsidRPr="00CF0ACA">
              <w:rPr>
                <w:bCs/>
                <w:sz w:val="26"/>
                <w:szCs w:val="26"/>
                <w:lang w:val="lv-LV"/>
              </w:rPr>
              <w:lastRenderedPageBreak/>
              <w:t>noteikumiem Nr. 970 “Sabiedrības līdzdalības kārtība attīstības plānošanas procesā” 7.4.</w:t>
            </w:r>
            <w:r w:rsidRPr="00CF0ACA">
              <w:rPr>
                <w:sz w:val="26"/>
                <w:szCs w:val="26"/>
                <w:vertAlign w:val="superscript"/>
                <w:lang w:val="lv-LV"/>
              </w:rPr>
              <w:t>1</w:t>
            </w:r>
            <w:r w:rsidRPr="00CF0ACA">
              <w:rPr>
                <w:bCs/>
                <w:sz w:val="26"/>
                <w:szCs w:val="26"/>
                <w:lang w:val="lv-LV"/>
              </w:rPr>
              <w:t xml:space="preserve"> apakšpunktā, proti, sabiedrības pārstāvjiem tiek dota iespēja rakstiski sniegt viedokli par Noteikumu projektu tā izstrādes stadijā.</w:t>
            </w:r>
          </w:p>
        </w:tc>
      </w:tr>
      <w:tr w:rsidR="006F4B13" w:rsidRPr="00AB24D0" w14:paraId="3F5FD1CD" w14:textId="77777777" w:rsidTr="00E50D80">
        <w:trPr>
          <w:trHeight w:val="339"/>
        </w:trPr>
        <w:tc>
          <w:tcPr>
            <w:tcW w:w="312" w:type="dxa"/>
          </w:tcPr>
          <w:p w14:paraId="4B9C6F89" w14:textId="77777777" w:rsidR="006F4B13" w:rsidRPr="00CF0ACA" w:rsidRDefault="006F4B13" w:rsidP="00370711">
            <w:pPr>
              <w:ind w:left="57" w:right="57"/>
              <w:contextualSpacing/>
              <w:jc w:val="both"/>
              <w:rPr>
                <w:sz w:val="25"/>
                <w:lang w:val="lv-LV"/>
              </w:rPr>
            </w:pPr>
            <w:r w:rsidRPr="00CF0ACA">
              <w:rPr>
                <w:sz w:val="25"/>
                <w:lang w:val="lv-LV"/>
              </w:rPr>
              <w:lastRenderedPageBreak/>
              <w:t>2.</w:t>
            </w:r>
          </w:p>
        </w:tc>
        <w:tc>
          <w:tcPr>
            <w:tcW w:w="2665" w:type="dxa"/>
          </w:tcPr>
          <w:p w14:paraId="4B6FBDE6" w14:textId="77777777" w:rsidR="006F4B13" w:rsidRPr="00CF0ACA" w:rsidRDefault="006F4B13" w:rsidP="00370711">
            <w:pPr>
              <w:ind w:left="57" w:right="57"/>
              <w:contextualSpacing/>
              <w:rPr>
                <w:rFonts w:eastAsia="PMingLiU"/>
                <w:sz w:val="26"/>
                <w:szCs w:val="26"/>
                <w:lang w:val="lv-LV" w:eastAsia="ja-JP"/>
              </w:rPr>
            </w:pPr>
            <w:r w:rsidRPr="00CF0ACA">
              <w:rPr>
                <w:rFonts w:eastAsia="PMingLiU"/>
                <w:sz w:val="26"/>
                <w:szCs w:val="26"/>
                <w:lang w:val="lv-LV" w:eastAsia="ja-JP"/>
              </w:rPr>
              <w:t>Sabiedrības līdzdalība projekta izstrādē</w:t>
            </w:r>
          </w:p>
        </w:tc>
        <w:tc>
          <w:tcPr>
            <w:tcW w:w="6234" w:type="dxa"/>
          </w:tcPr>
          <w:p w14:paraId="18D5064F" w14:textId="380EF24F" w:rsidR="006F4B13" w:rsidRPr="00CF0ACA" w:rsidRDefault="00686578" w:rsidP="00686578">
            <w:pPr>
              <w:ind w:right="113"/>
              <w:contextualSpacing/>
              <w:jc w:val="both"/>
              <w:rPr>
                <w:rFonts w:eastAsia="PMingLiU"/>
                <w:sz w:val="26"/>
                <w:szCs w:val="26"/>
                <w:lang w:val="lv-LV" w:eastAsia="ja-JP"/>
              </w:rPr>
            </w:pPr>
            <w:r w:rsidRPr="00CF0ACA">
              <w:rPr>
                <w:rFonts w:eastAsia="PMingLiU"/>
                <w:sz w:val="26"/>
                <w:szCs w:val="26"/>
                <w:lang w:val="lv-LV" w:eastAsia="ja-JP"/>
              </w:rPr>
              <w:t xml:space="preserve">Sabiedrības līdzdalība tiek nodrošināta, ievietojot projektu Ekonomikas ministrijas </w:t>
            </w:r>
            <w:r w:rsidRPr="00CF0ACA">
              <w:rPr>
                <w:rFonts w:eastAsia="Times New Roman"/>
                <w:iCs/>
                <w:sz w:val="26"/>
                <w:szCs w:val="26"/>
                <w:lang w:val="lv-LV"/>
              </w:rPr>
              <w:t xml:space="preserve">un Ministru kabineta </w:t>
            </w:r>
            <w:r w:rsidR="00475237" w:rsidRPr="00CF0ACA">
              <w:rPr>
                <w:rFonts w:eastAsia="PMingLiU"/>
                <w:sz w:val="26"/>
                <w:szCs w:val="26"/>
                <w:lang w:val="lv-LV" w:eastAsia="ja-JP"/>
              </w:rPr>
              <w:t>tīmekļa vietnēs</w:t>
            </w:r>
            <w:r w:rsidRPr="00CF0ACA">
              <w:rPr>
                <w:rFonts w:eastAsia="PMingLiU"/>
                <w:sz w:val="26"/>
                <w:szCs w:val="26"/>
                <w:lang w:val="lv-LV" w:eastAsia="ja-JP"/>
              </w:rPr>
              <w:t xml:space="preserve"> sabiedriskajai apspriešanai</w:t>
            </w:r>
            <w:r w:rsidR="00281F98" w:rsidRPr="00CF0ACA">
              <w:rPr>
                <w:rFonts w:eastAsia="PMingLiU"/>
                <w:sz w:val="26"/>
                <w:szCs w:val="26"/>
                <w:lang w:val="lv-LV" w:eastAsia="ja-JP"/>
              </w:rPr>
              <w:t xml:space="preserve"> - </w:t>
            </w:r>
            <w:hyperlink r:id="rId10" w:history="1">
              <w:r w:rsidR="00281F98" w:rsidRPr="00CF0ACA">
                <w:rPr>
                  <w:rStyle w:val="Hyperlink"/>
                  <w:rFonts w:eastAsia="PMingLiU"/>
                  <w:sz w:val="26"/>
                  <w:szCs w:val="26"/>
                  <w:lang w:val="lv-LV" w:eastAsia="ja-JP"/>
                </w:rPr>
                <w:t>https://www.em.gov.lv/lv/Ministrija/sabiedribas_lidzdaliba/diskusiju_dokumenti/</w:t>
              </w:r>
            </w:hyperlink>
          </w:p>
        </w:tc>
      </w:tr>
      <w:tr w:rsidR="006F4B13" w:rsidRPr="00AB24D0" w14:paraId="0F937EA3" w14:textId="77777777" w:rsidTr="00E50D80">
        <w:trPr>
          <w:trHeight w:val="476"/>
        </w:trPr>
        <w:tc>
          <w:tcPr>
            <w:tcW w:w="312" w:type="dxa"/>
          </w:tcPr>
          <w:p w14:paraId="5A007BCA" w14:textId="77777777" w:rsidR="006F4B13" w:rsidRPr="00CF0ACA" w:rsidRDefault="006F4B13" w:rsidP="00370711">
            <w:pPr>
              <w:ind w:left="57" w:right="57"/>
              <w:contextualSpacing/>
              <w:jc w:val="both"/>
              <w:rPr>
                <w:sz w:val="25"/>
                <w:lang w:val="lv-LV"/>
              </w:rPr>
            </w:pPr>
            <w:r w:rsidRPr="00CF0ACA">
              <w:rPr>
                <w:sz w:val="25"/>
                <w:lang w:val="lv-LV"/>
              </w:rPr>
              <w:t>3.</w:t>
            </w:r>
          </w:p>
        </w:tc>
        <w:tc>
          <w:tcPr>
            <w:tcW w:w="2665" w:type="dxa"/>
          </w:tcPr>
          <w:p w14:paraId="5F99D7D0" w14:textId="77777777" w:rsidR="006F4B13" w:rsidRPr="00DC067D" w:rsidRDefault="006F4B13" w:rsidP="00370711">
            <w:pPr>
              <w:ind w:left="57" w:right="57"/>
              <w:contextualSpacing/>
              <w:rPr>
                <w:rFonts w:eastAsia="PMingLiU"/>
                <w:sz w:val="26"/>
                <w:szCs w:val="26"/>
                <w:lang w:val="lv-LV" w:eastAsia="ja-JP"/>
              </w:rPr>
            </w:pPr>
            <w:r w:rsidRPr="00DC067D">
              <w:rPr>
                <w:rFonts w:eastAsia="PMingLiU"/>
                <w:sz w:val="26"/>
                <w:szCs w:val="26"/>
                <w:lang w:val="lv-LV" w:eastAsia="ja-JP"/>
              </w:rPr>
              <w:t>Sabiedrības līdzdalības rezultāti</w:t>
            </w:r>
          </w:p>
        </w:tc>
        <w:tc>
          <w:tcPr>
            <w:tcW w:w="6234" w:type="dxa"/>
          </w:tcPr>
          <w:p w14:paraId="2BF921D4" w14:textId="1C927DAB" w:rsidR="006F4B13" w:rsidRPr="00DC067D" w:rsidRDefault="00DC067D" w:rsidP="00DC067D">
            <w:pPr>
              <w:rPr>
                <w:rFonts w:ascii="Segoe UI" w:eastAsia="Times New Roman" w:hAnsi="Segoe UI" w:cs="Segoe UI"/>
                <w:sz w:val="26"/>
                <w:szCs w:val="26"/>
                <w:lang w:val="lv-LV" w:eastAsia="lv-LV"/>
              </w:rPr>
            </w:pPr>
            <w:r w:rsidRPr="00DC067D">
              <w:rPr>
                <w:rFonts w:eastAsia="Times New Roman"/>
                <w:sz w:val="26"/>
                <w:szCs w:val="26"/>
                <w:lang w:val="lv-LV" w:eastAsia="lv-LV"/>
              </w:rPr>
              <w:t xml:space="preserve">Nav saņemti viedokļi sabiedrības līdzdalības komunikācijā. Vienlaikus Valsts sekretāru līmeņa saskaņošanas procedūras ietvaros (izsludināts 2020.gada 26.novembrī) saņemti viedokļi no Finanšu un Tieslietu ministrijām, kas ņemti vērā un iestrādāti Noteikumu projektā. Tāpat Noteikumu projektu atbalsta Latvijas Tirdzniecības un rūpniecības kamera, Latvijas Darba devēju konfederācija, </w:t>
            </w:r>
            <w:r>
              <w:rPr>
                <w:rFonts w:eastAsia="Times New Roman"/>
                <w:sz w:val="26"/>
                <w:szCs w:val="26"/>
                <w:lang w:val="lv-LV" w:eastAsia="lv-LV"/>
              </w:rPr>
              <w:t>Finanšu nozares asociācija.</w:t>
            </w:r>
          </w:p>
        </w:tc>
      </w:tr>
      <w:tr w:rsidR="006F4B13" w:rsidRPr="00CF0ACA" w14:paraId="13638F96" w14:textId="77777777" w:rsidTr="00E50D80">
        <w:trPr>
          <w:trHeight w:val="205"/>
        </w:trPr>
        <w:tc>
          <w:tcPr>
            <w:tcW w:w="312" w:type="dxa"/>
          </w:tcPr>
          <w:p w14:paraId="286DE4AB" w14:textId="77777777" w:rsidR="006F4B13" w:rsidRPr="00CF0ACA" w:rsidRDefault="006F4B13" w:rsidP="00282251">
            <w:pPr>
              <w:ind w:left="57" w:right="57"/>
              <w:contextualSpacing/>
              <w:jc w:val="both"/>
              <w:rPr>
                <w:sz w:val="25"/>
                <w:lang w:val="lv-LV"/>
              </w:rPr>
            </w:pPr>
            <w:r w:rsidRPr="00CF0ACA">
              <w:rPr>
                <w:sz w:val="25"/>
                <w:lang w:val="lv-LV"/>
              </w:rPr>
              <w:t>4.</w:t>
            </w:r>
          </w:p>
        </w:tc>
        <w:tc>
          <w:tcPr>
            <w:tcW w:w="2665" w:type="dxa"/>
          </w:tcPr>
          <w:p w14:paraId="1AEA4978" w14:textId="77777777" w:rsidR="006F4B13" w:rsidRPr="00CF0ACA" w:rsidRDefault="006F4B13" w:rsidP="00282251">
            <w:pPr>
              <w:ind w:left="57" w:right="57"/>
              <w:contextualSpacing/>
              <w:rPr>
                <w:rFonts w:eastAsia="PMingLiU"/>
                <w:sz w:val="26"/>
                <w:szCs w:val="26"/>
                <w:lang w:val="lv-LV" w:eastAsia="ja-JP"/>
              </w:rPr>
            </w:pPr>
            <w:r w:rsidRPr="00CF0ACA">
              <w:rPr>
                <w:rFonts w:eastAsia="PMingLiU"/>
                <w:sz w:val="26"/>
                <w:szCs w:val="26"/>
                <w:lang w:val="lv-LV" w:eastAsia="ja-JP"/>
              </w:rPr>
              <w:t>Cita informācija</w:t>
            </w:r>
          </w:p>
        </w:tc>
        <w:tc>
          <w:tcPr>
            <w:tcW w:w="6234" w:type="dxa"/>
          </w:tcPr>
          <w:p w14:paraId="29112FCD" w14:textId="5927F71D" w:rsidR="006F4B13" w:rsidRPr="00CF0ACA" w:rsidRDefault="006F4B13" w:rsidP="00282251">
            <w:pPr>
              <w:ind w:left="57" w:right="113"/>
              <w:contextualSpacing/>
              <w:jc w:val="both"/>
              <w:rPr>
                <w:rFonts w:eastAsia="PMingLiU"/>
                <w:sz w:val="26"/>
                <w:szCs w:val="26"/>
                <w:lang w:val="lv-LV" w:eastAsia="ja-JP"/>
              </w:rPr>
            </w:pPr>
            <w:r w:rsidRPr="00CF0ACA">
              <w:rPr>
                <w:rFonts w:eastAsia="PMingLiU"/>
                <w:sz w:val="26"/>
                <w:szCs w:val="26"/>
                <w:lang w:val="lv-LV" w:eastAsia="ja-JP"/>
              </w:rPr>
              <w:t>Nav</w:t>
            </w:r>
          </w:p>
        </w:tc>
      </w:tr>
    </w:tbl>
    <w:p w14:paraId="07B85D36" w14:textId="1E6EF1D8" w:rsidR="00844176" w:rsidRPr="00CF0ACA"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AB24D0"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F0ACA" w:rsidRDefault="00844176" w:rsidP="005A1518">
            <w:pPr>
              <w:spacing w:before="100" w:beforeAutospacing="1" w:after="100" w:afterAutospacing="1"/>
              <w:ind w:firstLine="300"/>
              <w:jc w:val="center"/>
              <w:rPr>
                <w:rFonts w:eastAsia="Times New Roman"/>
                <w:sz w:val="26"/>
                <w:szCs w:val="26"/>
                <w:lang w:val="lv-LV" w:eastAsia="lv-LV"/>
              </w:rPr>
            </w:pPr>
            <w:r w:rsidRPr="00CF0ACA">
              <w:rPr>
                <w:b/>
                <w:sz w:val="26"/>
                <w:lang w:val="lv-LV"/>
              </w:rPr>
              <w:t>VII. Tiesību akta projekta izpildes nodrošināšana un tās ietekme uz institūcijām</w:t>
            </w:r>
          </w:p>
        </w:tc>
      </w:tr>
      <w:tr w:rsidR="00844176" w:rsidRPr="00CF0ACA"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CF0ACA" w:rsidRDefault="00844176" w:rsidP="00282251">
            <w:pPr>
              <w:contextualSpacing/>
              <w:rPr>
                <w:rFonts w:eastAsia="Times New Roman"/>
                <w:sz w:val="26"/>
                <w:szCs w:val="26"/>
                <w:lang w:val="lv-LV" w:eastAsia="lv-LV"/>
              </w:rPr>
            </w:pPr>
            <w:r w:rsidRPr="00CF0ACA">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CF0ACA" w:rsidRDefault="00844176" w:rsidP="00282251">
            <w:pPr>
              <w:ind w:right="112"/>
              <w:contextualSpacing/>
              <w:jc w:val="both"/>
              <w:rPr>
                <w:sz w:val="26"/>
                <w:szCs w:val="26"/>
                <w:lang w:val="lv-LV"/>
              </w:rPr>
            </w:pPr>
            <w:r w:rsidRPr="00CF0ACA">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A1249B9" w:rsidR="00844176" w:rsidRPr="00CF0ACA" w:rsidRDefault="00844176" w:rsidP="00282251">
            <w:pPr>
              <w:ind w:left="82" w:right="161"/>
              <w:contextualSpacing/>
              <w:jc w:val="both"/>
              <w:rPr>
                <w:sz w:val="26"/>
                <w:szCs w:val="26"/>
                <w:lang w:val="lv-LV"/>
              </w:rPr>
            </w:pPr>
            <w:r w:rsidRPr="00CF0ACA">
              <w:rPr>
                <w:sz w:val="26"/>
                <w:szCs w:val="26"/>
                <w:lang w:val="lv-LV"/>
              </w:rPr>
              <w:t>E</w:t>
            </w:r>
            <w:r w:rsidR="00733C32" w:rsidRPr="00CF0ACA">
              <w:rPr>
                <w:sz w:val="26"/>
                <w:szCs w:val="26"/>
                <w:lang w:val="lv-LV"/>
              </w:rPr>
              <w:t>konomikas ministrija</w:t>
            </w:r>
            <w:r w:rsidR="0074545C" w:rsidRPr="00CF0ACA">
              <w:rPr>
                <w:sz w:val="26"/>
                <w:szCs w:val="26"/>
                <w:lang w:val="lv-LV"/>
              </w:rPr>
              <w:t xml:space="preserve">, </w:t>
            </w:r>
            <w:proofErr w:type="spellStart"/>
            <w:r w:rsidR="00733C32" w:rsidRPr="00CF0ACA">
              <w:rPr>
                <w:sz w:val="26"/>
                <w:szCs w:val="26"/>
                <w:lang w:val="lv-LV"/>
              </w:rPr>
              <w:t>Altum</w:t>
            </w:r>
            <w:proofErr w:type="spellEnd"/>
          </w:p>
        </w:tc>
      </w:tr>
      <w:tr w:rsidR="00844176" w:rsidRPr="00AB24D0"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CF0ACA" w:rsidRDefault="00844176" w:rsidP="00282251">
            <w:pPr>
              <w:contextualSpacing/>
              <w:rPr>
                <w:rFonts w:eastAsia="Times New Roman"/>
                <w:sz w:val="26"/>
                <w:szCs w:val="26"/>
                <w:lang w:val="lv-LV" w:eastAsia="lv-LV"/>
              </w:rPr>
            </w:pPr>
            <w:r w:rsidRPr="00CF0ACA">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CF0ACA" w:rsidRDefault="00844176" w:rsidP="00282251">
            <w:pPr>
              <w:ind w:right="112"/>
              <w:contextualSpacing/>
              <w:jc w:val="both"/>
              <w:rPr>
                <w:sz w:val="26"/>
                <w:szCs w:val="26"/>
                <w:lang w:val="lv-LV"/>
              </w:rPr>
            </w:pPr>
            <w:r w:rsidRPr="00CF0ACA">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026EA324" w:rsidR="00844176" w:rsidRPr="00CF0ACA" w:rsidRDefault="00D217E6" w:rsidP="00282251">
            <w:pPr>
              <w:ind w:left="82" w:right="161"/>
              <w:contextualSpacing/>
              <w:jc w:val="both"/>
              <w:rPr>
                <w:sz w:val="26"/>
                <w:szCs w:val="26"/>
                <w:lang w:val="lv-LV"/>
              </w:rPr>
            </w:pPr>
            <w:r w:rsidRPr="00CF0ACA">
              <w:rPr>
                <w:sz w:val="26"/>
                <w:szCs w:val="26"/>
                <w:lang w:val="lv-LV"/>
              </w:rPr>
              <w:t>Noteikumu p</w:t>
            </w:r>
            <w:r w:rsidR="00844176" w:rsidRPr="00CF0ACA">
              <w:rPr>
                <w:sz w:val="26"/>
                <w:szCs w:val="26"/>
                <w:lang w:val="lv-LV"/>
              </w:rPr>
              <w:t>roj</w:t>
            </w:r>
            <w:r w:rsidR="00733C32" w:rsidRPr="00CF0ACA">
              <w:rPr>
                <w:sz w:val="26"/>
                <w:szCs w:val="26"/>
                <w:lang w:val="lv-LV"/>
              </w:rPr>
              <w:t>ekta izpilde tiks nodrošināta Ekonomikas ministrijas</w:t>
            </w:r>
            <w:r w:rsidR="00844176" w:rsidRPr="00CF0ACA">
              <w:rPr>
                <w:sz w:val="26"/>
                <w:szCs w:val="26"/>
                <w:lang w:val="lv-LV"/>
              </w:rPr>
              <w:t xml:space="preserve"> un </w:t>
            </w:r>
            <w:proofErr w:type="spellStart"/>
            <w:r w:rsidR="00733C32" w:rsidRPr="00CF0ACA">
              <w:rPr>
                <w:sz w:val="26"/>
                <w:szCs w:val="26"/>
                <w:lang w:val="lv-LV"/>
              </w:rPr>
              <w:t>Altum</w:t>
            </w:r>
            <w:proofErr w:type="spellEnd"/>
            <w:r w:rsidR="00733C32" w:rsidRPr="00CF0ACA">
              <w:rPr>
                <w:sz w:val="26"/>
                <w:szCs w:val="26"/>
                <w:lang w:val="lv-LV"/>
              </w:rPr>
              <w:t xml:space="preserve"> </w:t>
            </w:r>
            <w:r w:rsidR="00844176" w:rsidRPr="00CF0ACA">
              <w:rPr>
                <w:sz w:val="26"/>
                <w:szCs w:val="26"/>
                <w:lang w:val="lv-LV"/>
              </w:rPr>
              <w:t xml:space="preserve">esošo funkciju </w:t>
            </w:r>
            <w:r w:rsidR="002B7681" w:rsidRPr="00CF0ACA">
              <w:rPr>
                <w:sz w:val="26"/>
                <w:szCs w:val="26"/>
                <w:lang w:val="lv-LV"/>
              </w:rPr>
              <w:t xml:space="preserve">un cilvēkresursu </w:t>
            </w:r>
            <w:r w:rsidR="00844176" w:rsidRPr="00CF0ACA">
              <w:rPr>
                <w:sz w:val="26"/>
                <w:szCs w:val="26"/>
                <w:lang w:val="lv-LV"/>
              </w:rPr>
              <w:t>ietvaros</w:t>
            </w:r>
            <w:r w:rsidR="00804BA0" w:rsidRPr="00CF0ACA">
              <w:rPr>
                <w:sz w:val="26"/>
                <w:szCs w:val="26"/>
                <w:lang w:val="lv-LV"/>
              </w:rPr>
              <w:t>.</w:t>
            </w:r>
          </w:p>
        </w:tc>
      </w:tr>
      <w:tr w:rsidR="00844176" w:rsidRPr="00CF0ACA"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F0ACA" w:rsidRDefault="00844176" w:rsidP="00282251">
            <w:pPr>
              <w:contextualSpacing/>
              <w:rPr>
                <w:rFonts w:eastAsia="Times New Roman"/>
                <w:sz w:val="26"/>
                <w:szCs w:val="26"/>
                <w:lang w:val="lv-LV" w:eastAsia="lv-LV"/>
              </w:rPr>
            </w:pPr>
            <w:r w:rsidRPr="00CF0ACA">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F0ACA" w:rsidRDefault="00844176" w:rsidP="00282251">
            <w:pPr>
              <w:contextualSpacing/>
              <w:jc w:val="both"/>
              <w:rPr>
                <w:rFonts w:eastAsia="Times New Roman"/>
                <w:sz w:val="26"/>
                <w:szCs w:val="26"/>
                <w:lang w:val="lv-LV" w:eastAsia="lv-LV"/>
              </w:rPr>
            </w:pPr>
            <w:r w:rsidRPr="00CF0ACA">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CF0ACA" w:rsidRDefault="00844176" w:rsidP="00282251">
            <w:pPr>
              <w:contextualSpacing/>
              <w:jc w:val="both"/>
              <w:rPr>
                <w:rFonts w:eastAsia="Times New Roman"/>
                <w:sz w:val="26"/>
                <w:szCs w:val="26"/>
                <w:lang w:val="lv-LV" w:eastAsia="lv-LV"/>
              </w:rPr>
            </w:pPr>
            <w:r w:rsidRPr="00CF0ACA">
              <w:rPr>
                <w:rFonts w:eastAsia="Times New Roman"/>
                <w:sz w:val="26"/>
                <w:szCs w:val="26"/>
                <w:lang w:val="lv-LV" w:eastAsia="lv-LV"/>
              </w:rPr>
              <w:t>Nav</w:t>
            </w:r>
          </w:p>
        </w:tc>
      </w:tr>
    </w:tbl>
    <w:p w14:paraId="03EE94B5" w14:textId="1CE65C68" w:rsidR="00862580" w:rsidRPr="00CF0ACA" w:rsidRDefault="00862580" w:rsidP="00282251">
      <w:pPr>
        <w:contextualSpacing/>
        <w:jc w:val="both"/>
        <w:rPr>
          <w:sz w:val="26"/>
          <w:lang w:val="lv-LV"/>
        </w:rPr>
      </w:pPr>
    </w:p>
    <w:p w14:paraId="37747DD5" w14:textId="77777777" w:rsidR="004354EC" w:rsidRPr="00CF0ACA" w:rsidRDefault="004354EC" w:rsidP="004354EC">
      <w:pPr>
        <w:jc w:val="both"/>
        <w:rPr>
          <w:b/>
          <w:bCs/>
          <w:sz w:val="26"/>
          <w:szCs w:val="26"/>
          <w:lang w:val="lv-LV"/>
        </w:rPr>
      </w:pPr>
      <w:r w:rsidRPr="00CF0ACA">
        <w:rPr>
          <w:b/>
          <w:bCs/>
          <w:sz w:val="26"/>
          <w:szCs w:val="26"/>
          <w:lang w:val="lv-LV"/>
        </w:rPr>
        <w:t xml:space="preserve">Ekonomikas ministrs </w:t>
      </w:r>
      <w:r w:rsidRPr="00CF0ACA">
        <w:rPr>
          <w:b/>
          <w:bCs/>
          <w:sz w:val="26"/>
          <w:szCs w:val="26"/>
          <w:lang w:val="lv-LV"/>
        </w:rPr>
        <w:tab/>
      </w:r>
      <w:r w:rsidRPr="00CF0ACA">
        <w:rPr>
          <w:b/>
          <w:bCs/>
          <w:sz w:val="26"/>
          <w:szCs w:val="26"/>
          <w:lang w:val="lv-LV"/>
        </w:rPr>
        <w:tab/>
      </w:r>
      <w:r w:rsidRPr="00CF0ACA">
        <w:rPr>
          <w:b/>
          <w:bCs/>
          <w:sz w:val="26"/>
          <w:szCs w:val="26"/>
          <w:lang w:val="lv-LV"/>
        </w:rPr>
        <w:tab/>
      </w:r>
      <w:r w:rsidRPr="00CF0ACA">
        <w:rPr>
          <w:b/>
          <w:bCs/>
          <w:sz w:val="26"/>
          <w:szCs w:val="26"/>
          <w:lang w:val="lv-LV"/>
        </w:rPr>
        <w:tab/>
      </w:r>
      <w:r w:rsidRPr="00CF0ACA">
        <w:rPr>
          <w:b/>
          <w:bCs/>
          <w:sz w:val="26"/>
          <w:szCs w:val="26"/>
          <w:lang w:val="lv-LV"/>
        </w:rPr>
        <w:tab/>
      </w:r>
      <w:r w:rsidRPr="00CF0ACA">
        <w:rPr>
          <w:b/>
          <w:bCs/>
          <w:sz w:val="26"/>
          <w:szCs w:val="26"/>
          <w:lang w:val="lv-LV"/>
        </w:rPr>
        <w:tab/>
      </w:r>
      <w:r w:rsidRPr="00CF0ACA">
        <w:rPr>
          <w:b/>
          <w:bCs/>
          <w:sz w:val="26"/>
          <w:szCs w:val="26"/>
          <w:lang w:val="lv-LV"/>
        </w:rPr>
        <w:tab/>
        <w:t xml:space="preserve">      J. </w:t>
      </w:r>
      <w:proofErr w:type="spellStart"/>
      <w:r w:rsidRPr="00CF0ACA">
        <w:rPr>
          <w:b/>
          <w:bCs/>
          <w:sz w:val="26"/>
          <w:szCs w:val="26"/>
          <w:lang w:val="lv-LV"/>
        </w:rPr>
        <w:t>Vitenbergs</w:t>
      </w:r>
      <w:proofErr w:type="spellEnd"/>
    </w:p>
    <w:p w14:paraId="0B0C3138" w14:textId="77777777" w:rsidR="004354EC" w:rsidRPr="00CF0ACA" w:rsidRDefault="004354EC" w:rsidP="004354EC">
      <w:pPr>
        <w:jc w:val="both"/>
        <w:rPr>
          <w:b/>
          <w:bCs/>
          <w:sz w:val="26"/>
          <w:szCs w:val="26"/>
          <w:lang w:val="lv-LV"/>
        </w:rPr>
      </w:pPr>
      <w:r w:rsidRPr="00CF0ACA">
        <w:rPr>
          <w:b/>
          <w:bCs/>
          <w:sz w:val="26"/>
          <w:szCs w:val="26"/>
          <w:lang w:val="lv-LV"/>
        </w:rPr>
        <w:tab/>
      </w:r>
      <w:r w:rsidRPr="00CF0ACA">
        <w:rPr>
          <w:b/>
          <w:bCs/>
          <w:sz w:val="26"/>
          <w:szCs w:val="26"/>
          <w:lang w:val="lv-LV"/>
        </w:rPr>
        <w:tab/>
      </w:r>
      <w:r w:rsidRPr="00CF0ACA">
        <w:rPr>
          <w:b/>
          <w:bCs/>
          <w:sz w:val="26"/>
          <w:szCs w:val="26"/>
          <w:lang w:val="lv-LV"/>
        </w:rPr>
        <w:tab/>
      </w:r>
      <w:r w:rsidRPr="00CF0ACA">
        <w:rPr>
          <w:b/>
          <w:bCs/>
          <w:sz w:val="26"/>
          <w:szCs w:val="26"/>
          <w:lang w:val="lv-LV"/>
        </w:rPr>
        <w:tab/>
      </w:r>
    </w:p>
    <w:p w14:paraId="68D59FCA" w14:textId="77777777" w:rsidR="00F94564" w:rsidRPr="00CF0ACA" w:rsidRDefault="00F94564" w:rsidP="00F94564">
      <w:pPr>
        <w:jc w:val="both"/>
        <w:rPr>
          <w:sz w:val="26"/>
          <w:szCs w:val="26"/>
          <w:lang w:val="lv-LV"/>
        </w:rPr>
      </w:pPr>
      <w:r w:rsidRPr="00CF0ACA">
        <w:rPr>
          <w:sz w:val="26"/>
          <w:szCs w:val="26"/>
          <w:lang w:val="lv-LV"/>
        </w:rPr>
        <w:t>Vīza:</w:t>
      </w:r>
    </w:p>
    <w:p w14:paraId="665FF2B4" w14:textId="61BEA5CC" w:rsidR="00F94564" w:rsidRPr="00CF0ACA" w:rsidRDefault="00F94564" w:rsidP="00F94564">
      <w:pPr>
        <w:jc w:val="both"/>
        <w:rPr>
          <w:b/>
          <w:bCs/>
          <w:sz w:val="26"/>
          <w:szCs w:val="26"/>
          <w:lang w:val="lv-LV"/>
        </w:rPr>
      </w:pPr>
      <w:r w:rsidRPr="00CF0ACA">
        <w:rPr>
          <w:b/>
          <w:bCs/>
          <w:sz w:val="26"/>
          <w:szCs w:val="26"/>
          <w:lang w:val="lv-LV"/>
        </w:rPr>
        <w:t>Valsts sekretāra vietā</w:t>
      </w:r>
      <w:r w:rsidR="006F057A" w:rsidRPr="00CF0ACA">
        <w:rPr>
          <w:b/>
          <w:bCs/>
          <w:sz w:val="26"/>
          <w:szCs w:val="26"/>
          <w:lang w:val="lv-LV"/>
        </w:rPr>
        <w:t xml:space="preserve"> - </w:t>
      </w:r>
    </w:p>
    <w:p w14:paraId="09EED9EE" w14:textId="14055CC8" w:rsidR="00F94564" w:rsidRPr="00CF0ACA" w:rsidRDefault="00F94564" w:rsidP="00F94564">
      <w:pPr>
        <w:jc w:val="both"/>
        <w:rPr>
          <w:b/>
          <w:bCs/>
          <w:sz w:val="26"/>
          <w:szCs w:val="26"/>
          <w:lang w:val="lv-LV"/>
        </w:rPr>
      </w:pPr>
      <w:r w:rsidRPr="00CF0ACA">
        <w:rPr>
          <w:b/>
          <w:bCs/>
          <w:sz w:val="26"/>
          <w:szCs w:val="26"/>
          <w:lang w:val="lv-LV"/>
        </w:rPr>
        <w:t>valsts sekretāra vietniece</w:t>
      </w:r>
      <w:r w:rsidRPr="00CF0ACA">
        <w:rPr>
          <w:b/>
          <w:bCs/>
          <w:sz w:val="26"/>
          <w:szCs w:val="26"/>
          <w:lang w:val="lv-LV"/>
        </w:rPr>
        <w:tab/>
      </w:r>
      <w:r w:rsidRPr="00CF0ACA">
        <w:rPr>
          <w:b/>
          <w:bCs/>
          <w:sz w:val="26"/>
          <w:szCs w:val="26"/>
          <w:lang w:val="lv-LV"/>
        </w:rPr>
        <w:tab/>
      </w:r>
      <w:r w:rsidRPr="00CF0ACA">
        <w:rPr>
          <w:b/>
          <w:bCs/>
          <w:sz w:val="26"/>
          <w:szCs w:val="26"/>
          <w:lang w:val="lv-LV"/>
        </w:rPr>
        <w:tab/>
      </w:r>
      <w:r w:rsidRPr="00CF0ACA">
        <w:rPr>
          <w:b/>
          <w:bCs/>
          <w:sz w:val="26"/>
          <w:szCs w:val="26"/>
          <w:lang w:val="lv-LV"/>
        </w:rPr>
        <w:tab/>
      </w:r>
      <w:r w:rsidRPr="00CF0ACA">
        <w:rPr>
          <w:b/>
          <w:bCs/>
          <w:sz w:val="26"/>
          <w:szCs w:val="26"/>
          <w:lang w:val="lv-LV"/>
        </w:rPr>
        <w:tab/>
      </w:r>
      <w:r w:rsidRPr="00CF0ACA">
        <w:rPr>
          <w:b/>
          <w:bCs/>
          <w:sz w:val="26"/>
          <w:szCs w:val="26"/>
          <w:lang w:val="lv-LV"/>
        </w:rPr>
        <w:tab/>
      </w:r>
      <w:r w:rsidRPr="00CF0ACA">
        <w:rPr>
          <w:b/>
          <w:bCs/>
          <w:sz w:val="26"/>
          <w:szCs w:val="26"/>
          <w:lang w:val="lv-LV"/>
        </w:rPr>
        <w:tab/>
      </w:r>
      <w:r w:rsidR="006F057A" w:rsidRPr="00CF0ACA">
        <w:rPr>
          <w:b/>
          <w:bCs/>
          <w:sz w:val="26"/>
          <w:szCs w:val="26"/>
          <w:lang w:val="lv-LV"/>
        </w:rPr>
        <w:t xml:space="preserve">Z. </w:t>
      </w:r>
      <w:r w:rsidRPr="00CF0ACA">
        <w:rPr>
          <w:b/>
          <w:bCs/>
          <w:sz w:val="26"/>
          <w:szCs w:val="26"/>
          <w:lang w:val="lv-LV"/>
        </w:rPr>
        <w:t>Liepiņa</w:t>
      </w:r>
    </w:p>
    <w:p w14:paraId="686EDB4F" w14:textId="0FC0C259" w:rsidR="00862580" w:rsidRPr="00CF0ACA" w:rsidRDefault="00862580" w:rsidP="00282251">
      <w:pPr>
        <w:tabs>
          <w:tab w:val="left" w:pos="6237"/>
        </w:tabs>
        <w:contextualSpacing/>
      </w:pPr>
    </w:p>
    <w:p w14:paraId="662E936E" w14:textId="77777777" w:rsidR="00D217E6" w:rsidRPr="00CF0ACA" w:rsidRDefault="00D217E6" w:rsidP="00282251">
      <w:pPr>
        <w:tabs>
          <w:tab w:val="left" w:pos="6840"/>
        </w:tabs>
        <w:contextualSpacing/>
        <w:jc w:val="both"/>
        <w:rPr>
          <w:lang w:val="lv-LV"/>
        </w:rPr>
      </w:pPr>
    </w:p>
    <w:p w14:paraId="1E7AABA1" w14:textId="77777777" w:rsidR="00D217E6" w:rsidRPr="00CF0ACA" w:rsidRDefault="00D217E6" w:rsidP="00282251">
      <w:pPr>
        <w:tabs>
          <w:tab w:val="left" w:pos="6840"/>
        </w:tabs>
        <w:contextualSpacing/>
        <w:jc w:val="both"/>
        <w:rPr>
          <w:lang w:val="lv-LV"/>
        </w:rPr>
      </w:pPr>
    </w:p>
    <w:p w14:paraId="7FE050EB" w14:textId="23DADDC6" w:rsidR="00862580" w:rsidRPr="00CF0ACA" w:rsidRDefault="00862580" w:rsidP="00282251">
      <w:pPr>
        <w:tabs>
          <w:tab w:val="left" w:pos="6840"/>
        </w:tabs>
        <w:contextualSpacing/>
        <w:jc w:val="both"/>
        <w:rPr>
          <w:lang w:val="lv-LV"/>
        </w:rPr>
      </w:pPr>
      <w:r w:rsidRPr="00CF0ACA">
        <w:rPr>
          <w:lang w:val="lv-LV"/>
        </w:rPr>
        <w:t>Tetere, 67013044</w:t>
      </w:r>
    </w:p>
    <w:p w14:paraId="5B8D44CD" w14:textId="335AC42F" w:rsidR="00862580" w:rsidRPr="00583CBA" w:rsidRDefault="00732917" w:rsidP="00282251">
      <w:pPr>
        <w:pStyle w:val="Header"/>
        <w:tabs>
          <w:tab w:val="clear" w:pos="4153"/>
          <w:tab w:val="clear" w:pos="8306"/>
        </w:tabs>
        <w:contextualSpacing/>
        <w:rPr>
          <w:lang w:val="lv-LV"/>
        </w:rPr>
      </w:pPr>
      <w:hyperlink r:id="rId11" w:history="1">
        <w:r w:rsidR="00862580" w:rsidRPr="00CF0ACA">
          <w:rPr>
            <w:rStyle w:val="Hyperlink"/>
            <w:color w:val="auto"/>
            <w:lang w:val="lv-LV"/>
          </w:rPr>
          <w:t>Dita.Tetere@em.gov.lv</w:t>
        </w:r>
      </w:hyperlink>
    </w:p>
    <w:sectPr w:rsidR="00862580" w:rsidRPr="00583CBA" w:rsidSect="006064F8">
      <w:headerReference w:type="default" r:id="rId12"/>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0CBA" w14:textId="77777777" w:rsidR="00066E71" w:rsidRDefault="00066E71" w:rsidP="006B2FEF">
      <w:r>
        <w:separator/>
      </w:r>
    </w:p>
  </w:endnote>
  <w:endnote w:type="continuationSeparator" w:id="0">
    <w:p w14:paraId="216445B1" w14:textId="77777777" w:rsidR="00066E71" w:rsidRDefault="00066E71" w:rsidP="006B2FEF">
      <w:r>
        <w:continuationSeparator/>
      </w:r>
    </w:p>
  </w:endnote>
  <w:endnote w:type="continuationNotice" w:id="1">
    <w:p w14:paraId="094E4F22" w14:textId="77777777" w:rsidR="00066E71" w:rsidRDefault="00066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altName w:val="Calibri"/>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E030" w14:textId="77777777" w:rsidR="00066E71" w:rsidRDefault="00066E71" w:rsidP="006B2FEF">
      <w:r>
        <w:separator/>
      </w:r>
    </w:p>
  </w:footnote>
  <w:footnote w:type="continuationSeparator" w:id="0">
    <w:p w14:paraId="5F7A589A" w14:textId="77777777" w:rsidR="00066E71" w:rsidRDefault="00066E71" w:rsidP="006B2FEF">
      <w:r>
        <w:continuationSeparator/>
      </w:r>
    </w:p>
  </w:footnote>
  <w:footnote w:type="continuationNotice" w:id="1">
    <w:p w14:paraId="40DFC580" w14:textId="77777777" w:rsidR="00066E71" w:rsidRDefault="00066E71"/>
  </w:footnote>
  <w:footnote w:id="2">
    <w:p w14:paraId="5BC6BD46" w14:textId="11E6B0EF" w:rsidR="0031165D" w:rsidRDefault="0031165D">
      <w:pPr>
        <w:pStyle w:val="FootnoteText"/>
      </w:pPr>
      <w:r>
        <w:rPr>
          <w:rStyle w:val="FootnoteReference"/>
        </w:rPr>
        <w:footnoteRef/>
      </w:r>
      <w:r>
        <w:t xml:space="preserve"> </w:t>
      </w:r>
      <w:r w:rsidR="004569E8">
        <w:t>Ministru kabineta 2020.gada 16.jūnija noteikumi Nr.</w:t>
      </w:r>
      <w:r w:rsidRPr="008A4521">
        <w:t>383 “Noteikumi par garantijām saimnieciskās darbības veicējiem konkurētspējas uzlabošanai</w:t>
      </w:r>
      <w:r>
        <w:t>”</w:t>
      </w:r>
      <w:r w:rsidR="004569E8">
        <w:t xml:space="preserve"> (turpmāk – MK noteikumi Nr.383)</w:t>
      </w:r>
    </w:p>
  </w:footnote>
  <w:footnote w:id="3">
    <w:p w14:paraId="7F008C5D" w14:textId="77777777" w:rsidR="006356D3" w:rsidRDefault="006356D3" w:rsidP="006356D3">
      <w:pPr>
        <w:pStyle w:val="FootnoteText"/>
      </w:pPr>
      <w:r>
        <w:rPr>
          <w:rStyle w:val="FootnoteReference"/>
        </w:rPr>
        <w:footnoteRef/>
      </w:r>
      <w:r>
        <w:t xml:space="preserve"> Komerclikums, 1,panta 1.punkts - </w:t>
      </w:r>
      <w:hyperlink r:id="rId1" w:history="1">
        <w:r w:rsidRPr="00B3633B">
          <w:rPr>
            <w:rStyle w:val="Hyperlink"/>
          </w:rPr>
          <w:t>https://likumi.lv/ta/id/5490-komerclikums</w:t>
        </w:r>
      </w:hyperlink>
      <w:r>
        <w:t xml:space="preserve"> </w:t>
      </w:r>
    </w:p>
  </w:footnote>
  <w:footnote w:id="4">
    <w:p w14:paraId="4EEC8A07" w14:textId="77777777" w:rsidR="00D03516" w:rsidRDefault="00D03516" w:rsidP="00D03516">
      <w:pPr>
        <w:pStyle w:val="FootnoteText"/>
      </w:pPr>
      <w:r>
        <w:rPr>
          <w:rStyle w:val="FootnoteReference"/>
        </w:rPr>
        <w:footnoteRef/>
      </w:r>
      <w:r>
        <w:t xml:space="preserve"> </w:t>
      </w:r>
      <w:r>
        <w:t>Ministru kabineta 2020.gada 19.marta noteikumi Nr.149 “</w:t>
      </w:r>
      <w:r w:rsidRPr="00C96D01">
        <w:t>Noteikumi par apgrozāmo līdzekļu aizdevumiem saimnieciskās darbības veicējiem, kuru darbību ietekmējusi Covid-19 izplatība</w:t>
      </w:r>
      <w:r>
        <w:t>”</w:t>
      </w:r>
    </w:p>
  </w:footnote>
  <w:footnote w:id="5">
    <w:p w14:paraId="48DEE5F7" w14:textId="77777777" w:rsidR="008167E5" w:rsidRDefault="008167E5" w:rsidP="008167E5">
      <w:pPr>
        <w:pStyle w:val="FootnoteText"/>
      </w:pPr>
      <w:r>
        <w:rPr>
          <w:rStyle w:val="FootnoteReference"/>
          <w:rFonts w:eastAsia="Calibri"/>
        </w:rPr>
        <w:footnoteRef/>
      </w:r>
      <w:r>
        <w:t xml:space="preserve"> Sprieduma teksts latviešu valodā ir pieejams šeit: </w:t>
      </w:r>
      <w:hyperlink r:id="rId2" w:history="1">
        <w:r w:rsidRPr="00C84D3D">
          <w:rPr>
            <w:rStyle w:val="Hyperlink"/>
          </w:rPr>
          <w:t>http://curia.europa.eu/juris/document/document.jsf;jsessionid=3FCFE9F9814714B6A5445FE9C58E7902?text=&amp;docid=211287&amp;pageIndex=0&amp;doclang=LV&amp;mode=lst&amp;dir=&amp;occ=first&amp;part=1&amp;cid=933595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05F07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91D"/>
    <w:multiLevelType w:val="multilevel"/>
    <w:tmpl w:val="3B56E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4108"/>
    <w:multiLevelType w:val="hybridMultilevel"/>
    <w:tmpl w:val="0BAACA02"/>
    <w:lvl w:ilvl="0" w:tplc="E4B49416">
      <w:start w:val="1"/>
      <w:numFmt w:val="decimal"/>
      <w:lvlText w:val="%1."/>
      <w:lvlJc w:val="left"/>
      <w:pPr>
        <w:tabs>
          <w:tab w:val="num" w:pos="720"/>
        </w:tabs>
        <w:ind w:left="720" w:hanging="360"/>
      </w:pPr>
    </w:lvl>
    <w:lvl w:ilvl="1" w:tplc="B39E44DE" w:tentative="1">
      <w:start w:val="1"/>
      <w:numFmt w:val="decimal"/>
      <w:lvlText w:val="%2."/>
      <w:lvlJc w:val="left"/>
      <w:pPr>
        <w:tabs>
          <w:tab w:val="num" w:pos="1440"/>
        </w:tabs>
        <w:ind w:left="1440" w:hanging="360"/>
      </w:pPr>
    </w:lvl>
    <w:lvl w:ilvl="2" w:tplc="8342FDB4" w:tentative="1">
      <w:start w:val="1"/>
      <w:numFmt w:val="decimal"/>
      <w:lvlText w:val="%3."/>
      <w:lvlJc w:val="left"/>
      <w:pPr>
        <w:tabs>
          <w:tab w:val="num" w:pos="2160"/>
        </w:tabs>
        <w:ind w:left="2160" w:hanging="360"/>
      </w:pPr>
    </w:lvl>
    <w:lvl w:ilvl="3" w:tplc="A266D1DC" w:tentative="1">
      <w:start w:val="1"/>
      <w:numFmt w:val="decimal"/>
      <w:lvlText w:val="%4."/>
      <w:lvlJc w:val="left"/>
      <w:pPr>
        <w:tabs>
          <w:tab w:val="num" w:pos="2880"/>
        </w:tabs>
        <w:ind w:left="2880" w:hanging="360"/>
      </w:pPr>
    </w:lvl>
    <w:lvl w:ilvl="4" w:tplc="84C617B8" w:tentative="1">
      <w:start w:val="1"/>
      <w:numFmt w:val="decimal"/>
      <w:lvlText w:val="%5."/>
      <w:lvlJc w:val="left"/>
      <w:pPr>
        <w:tabs>
          <w:tab w:val="num" w:pos="3600"/>
        </w:tabs>
        <w:ind w:left="3600" w:hanging="360"/>
      </w:pPr>
    </w:lvl>
    <w:lvl w:ilvl="5" w:tplc="6BDE9922" w:tentative="1">
      <w:start w:val="1"/>
      <w:numFmt w:val="decimal"/>
      <w:lvlText w:val="%6."/>
      <w:lvlJc w:val="left"/>
      <w:pPr>
        <w:tabs>
          <w:tab w:val="num" w:pos="4320"/>
        </w:tabs>
        <w:ind w:left="4320" w:hanging="360"/>
      </w:pPr>
    </w:lvl>
    <w:lvl w:ilvl="6" w:tplc="471C8944" w:tentative="1">
      <w:start w:val="1"/>
      <w:numFmt w:val="decimal"/>
      <w:lvlText w:val="%7."/>
      <w:lvlJc w:val="left"/>
      <w:pPr>
        <w:tabs>
          <w:tab w:val="num" w:pos="5040"/>
        </w:tabs>
        <w:ind w:left="5040" w:hanging="360"/>
      </w:pPr>
    </w:lvl>
    <w:lvl w:ilvl="7" w:tplc="8C3EA2A8" w:tentative="1">
      <w:start w:val="1"/>
      <w:numFmt w:val="decimal"/>
      <w:lvlText w:val="%8."/>
      <w:lvlJc w:val="left"/>
      <w:pPr>
        <w:tabs>
          <w:tab w:val="num" w:pos="5760"/>
        </w:tabs>
        <w:ind w:left="5760" w:hanging="360"/>
      </w:pPr>
    </w:lvl>
    <w:lvl w:ilvl="8" w:tplc="AE60418A" w:tentative="1">
      <w:start w:val="1"/>
      <w:numFmt w:val="decimal"/>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0316DF"/>
    <w:multiLevelType w:val="hybridMultilevel"/>
    <w:tmpl w:val="4DB48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605FE9"/>
    <w:multiLevelType w:val="hybridMultilevel"/>
    <w:tmpl w:val="F4669DEE"/>
    <w:lvl w:ilvl="0" w:tplc="960E13E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3A12D9"/>
    <w:multiLevelType w:val="hybridMultilevel"/>
    <w:tmpl w:val="345AECB2"/>
    <w:lvl w:ilvl="0" w:tplc="960E13E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8E5236"/>
    <w:multiLevelType w:val="hybridMultilevel"/>
    <w:tmpl w:val="4E0A5B6E"/>
    <w:lvl w:ilvl="0" w:tplc="28443DA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58065C"/>
    <w:multiLevelType w:val="hybridMultilevel"/>
    <w:tmpl w:val="D4D803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2927AB"/>
    <w:multiLevelType w:val="hybridMultilevel"/>
    <w:tmpl w:val="A75604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285F28"/>
    <w:multiLevelType w:val="hybridMultilevel"/>
    <w:tmpl w:val="210069D8"/>
    <w:lvl w:ilvl="0" w:tplc="A7948D9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7450EA"/>
    <w:multiLevelType w:val="hybridMultilevel"/>
    <w:tmpl w:val="B66C0196"/>
    <w:lvl w:ilvl="0" w:tplc="F614FF4A">
      <w:start w:val="3"/>
      <w:numFmt w:val="decimal"/>
      <w:lvlText w:val="%1."/>
      <w:lvlJc w:val="left"/>
      <w:pPr>
        <w:tabs>
          <w:tab w:val="num" w:pos="720"/>
        </w:tabs>
        <w:ind w:left="720" w:hanging="360"/>
      </w:pPr>
    </w:lvl>
    <w:lvl w:ilvl="1" w:tplc="7D4AE8A4" w:tentative="1">
      <w:start w:val="1"/>
      <w:numFmt w:val="decimal"/>
      <w:lvlText w:val="%2."/>
      <w:lvlJc w:val="left"/>
      <w:pPr>
        <w:tabs>
          <w:tab w:val="num" w:pos="1440"/>
        </w:tabs>
        <w:ind w:left="1440" w:hanging="360"/>
      </w:pPr>
    </w:lvl>
    <w:lvl w:ilvl="2" w:tplc="7CCAEF06" w:tentative="1">
      <w:start w:val="1"/>
      <w:numFmt w:val="decimal"/>
      <w:lvlText w:val="%3."/>
      <w:lvlJc w:val="left"/>
      <w:pPr>
        <w:tabs>
          <w:tab w:val="num" w:pos="2160"/>
        </w:tabs>
        <w:ind w:left="2160" w:hanging="360"/>
      </w:pPr>
    </w:lvl>
    <w:lvl w:ilvl="3" w:tplc="3D08A506" w:tentative="1">
      <w:start w:val="1"/>
      <w:numFmt w:val="decimal"/>
      <w:lvlText w:val="%4."/>
      <w:lvlJc w:val="left"/>
      <w:pPr>
        <w:tabs>
          <w:tab w:val="num" w:pos="2880"/>
        </w:tabs>
        <w:ind w:left="2880" w:hanging="360"/>
      </w:pPr>
    </w:lvl>
    <w:lvl w:ilvl="4" w:tplc="43627BDA" w:tentative="1">
      <w:start w:val="1"/>
      <w:numFmt w:val="decimal"/>
      <w:lvlText w:val="%5."/>
      <w:lvlJc w:val="left"/>
      <w:pPr>
        <w:tabs>
          <w:tab w:val="num" w:pos="3600"/>
        </w:tabs>
        <w:ind w:left="3600" w:hanging="360"/>
      </w:pPr>
    </w:lvl>
    <w:lvl w:ilvl="5" w:tplc="CDA4A38C" w:tentative="1">
      <w:start w:val="1"/>
      <w:numFmt w:val="decimal"/>
      <w:lvlText w:val="%6."/>
      <w:lvlJc w:val="left"/>
      <w:pPr>
        <w:tabs>
          <w:tab w:val="num" w:pos="4320"/>
        </w:tabs>
        <w:ind w:left="4320" w:hanging="360"/>
      </w:pPr>
    </w:lvl>
    <w:lvl w:ilvl="6" w:tplc="A4D40BFC" w:tentative="1">
      <w:start w:val="1"/>
      <w:numFmt w:val="decimal"/>
      <w:lvlText w:val="%7."/>
      <w:lvlJc w:val="left"/>
      <w:pPr>
        <w:tabs>
          <w:tab w:val="num" w:pos="5040"/>
        </w:tabs>
        <w:ind w:left="5040" w:hanging="360"/>
      </w:pPr>
    </w:lvl>
    <w:lvl w:ilvl="7" w:tplc="07F2266E" w:tentative="1">
      <w:start w:val="1"/>
      <w:numFmt w:val="decimal"/>
      <w:lvlText w:val="%8."/>
      <w:lvlJc w:val="left"/>
      <w:pPr>
        <w:tabs>
          <w:tab w:val="num" w:pos="5760"/>
        </w:tabs>
        <w:ind w:left="5760" w:hanging="360"/>
      </w:pPr>
    </w:lvl>
    <w:lvl w:ilvl="8" w:tplc="B8A04268" w:tentative="1">
      <w:start w:val="1"/>
      <w:numFmt w:val="decimal"/>
      <w:lvlText w:val="%9."/>
      <w:lvlJc w:val="left"/>
      <w:pPr>
        <w:tabs>
          <w:tab w:val="num" w:pos="6480"/>
        </w:tabs>
        <w:ind w:left="6480" w:hanging="36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A37041"/>
    <w:multiLevelType w:val="hybridMultilevel"/>
    <w:tmpl w:val="A1E685F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8B70A7"/>
    <w:multiLevelType w:val="hybridMultilevel"/>
    <w:tmpl w:val="A75604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7133C3"/>
    <w:multiLevelType w:val="hybridMultilevel"/>
    <w:tmpl w:val="F4B2D3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2"/>
  </w:num>
  <w:num w:numId="5">
    <w:abstractNumId w:val="12"/>
  </w:num>
  <w:num w:numId="6">
    <w:abstractNumId w:val="18"/>
  </w:num>
  <w:num w:numId="7">
    <w:abstractNumId w:val="3"/>
  </w:num>
  <w:num w:numId="8">
    <w:abstractNumId w:val="1"/>
  </w:num>
  <w:num w:numId="9">
    <w:abstractNumId w:val="0"/>
  </w:num>
  <w:num w:numId="10">
    <w:abstractNumId w:val="13"/>
  </w:num>
  <w:num w:numId="11">
    <w:abstractNumId w:val="17"/>
  </w:num>
  <w:num w:numId="12">
    <w:abstractNumId w:val="7"/>
  </w:num>
  <w:num w:numId="13">
    <w:abstractNumId w:val="8"/>
  </w:num>
  <w:num w:numId="14">
    <w:abstractNumId w:val="15"/>
  </w:num>
  <w:num w:numId="15">
    <w:abstractNumId w:val="9"/>
  </w:num>
  <w:num w:numId="16">
    <w:abstractNumId w:val="16"/>
  </w:num>
  <w:num w:numId="17">
    <w:abstractNumId w:val="11"/>
  </w:num>
  <w:num w:numId="18">
    <w:abstractNumId w:val="4"/>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ACB"/>
    <w:rsid w:val="00024D9D"/>
    <w:rsid w:val="0002596F"/>
    <w:rsid w:val="00026F18"/>
    <w:rsid w:val="0003012D"/>
    <w:rsid w:val="00030B7E"/>
    <w:rsid w:val="00030C7E"/>
    <w:rsid w:val="0003245D"/>
    <w:rsid w:val="00032471"/>
    <w:rsid w:val="0003265E"/>
    <w:rsid w:val="0003309D"/>
    <w:rsid w:val="00033F5A"/>
    <w:rsid w:val="00035C7B"/>
    <w:rsid w:val="000430AC"/>
    <w:rsid w:val="0004380E"/>
    <w:rsid w:val="00044683"/>
    <w:rsid w:val="00044743"/>
    <w:rsid w:val="00047095"/>
    <w:rsid w:val="00047962"/>
    <w:rsid w:val="000527A4"/>
    <w:rsid w:val="000638B5"/>
    <w:rsid w:val="00065216"/>
    <w:rsid w:val="00066E71"/>
    <w:rsid w:val="000678CD"/>
    <w:rsid w:val="00070F56"/>
    <w:rsid w:val="00071082"/>
    <w:rsid w:val="0007156D"/>
    <w:rsid w:val="00071BC9"/>
    <w:rsid w:val="00072B02"/>
    <w:rsid w:val="0007330D"/>
    <w:rsid w:val="0007405A"/>
    <w:rsid w:val="00074090"/>
    <w:rsid w:val="000773A5"/>
    <w:rsid w:val="00077D13"/>
    <w:rsid w:val="0008002B"/>
    <w:rsid w:val="00080352"/>
    <w:rsid w:val="000818FB"/>
    <w:rsid w:val="00081EC5"/>
    <w:rsid w:val="0008515E"/>
    <w:rsid w:val="00085640"/>
    <w:rsid w:val="00091668"/>
    <w:rsid w:val="00091F4F"/>
    <w:rsid w:val="0009324B"/>
    <w:rsid w:val="00094B1E"/>
    <w:rsid w:val="00094DE4"/>
    <w:rsid w:val="00095280"/>
    <w:rsid w:val="00096060"/>
    <w:rsid w:val="000964C6"/>
    <w:rsid w:val="000A0059"/>
    <w:rsid w:val="000A14E3"/>
    <w:rsid w:val="000A37C3"/>
    <w:rsid w:val="000A38DA"/>
    <w:rsid w:val="000A44CE"/>
    <w:rsid w:val="000B0748"/>
    <w:rsid w:val="000B1926"/>
    <w:rsid w:val="000B1B64"/>
    <w:rsid w:val="000B2C54"/>
    <w:rsid w:val="000B3449"/>
    <w:rsid w:val="000B3FAB"/>
    <w:rsid w:val="000B492B"/>
    <w:rsid w:val="000B71B4"/>
    <w:rsid w:val="000C090A"/>
    <w:rsid w:val="000C33C1"/>
    <w:rsid w:val="000C4418"/>
    <w:rsid w:val="000C50F5"/>
    <w:rsid w:val="000C71B9"/>
    <w:rsid w:val="000D0CAC"/>
    <w:rsid w:val="000D2474"/>
    <w:rsid w:val="000D3D56"/>
    <w:rsid w:val="000D43D9"/>
    <w:rsid w:val="000D460D"/>
    <w:rsid w:val="000D725C"/>
    <w:rsid w:val="000D74B9"/>
    <w:rsid w:val="000E257B"/>
    <w:rsid w:val="000E3267"/>
    <w:rsid w:val="000E53C3"/>
    <w:rsid w:val="000E56F8"/>
    <w:rsid w:val="000E5DD2"/>
    <w:rsid w:val="000E63F3"/>
    <w:rsid w:val="000F0A62"/>
    <w:rsid w:val="000F0E0E"/>
    <w:rsid w:val="000F25D2"/>
    <w:rsid w:val="000F2EA7"/>
    <w:rsid w:val="000F4230"/>
    <w:rsid w:val="000F785A"/>
    <w:rsid w:val="001001F5"/>
    <w:rsid w:val="00102922"/>
    <w:rsid w:val="00102B0D"/>
    <w:rsid w:val="00102B1D"/>
    <w:rsid w:val="00105D17"/>
    <w:rsid w:val="00110128"/>
    <w:rsid w:val="0011606F"/>
    <w:rsid w:val="0012353E"/>
    <w:rsid w:val="001257ED"/>
    <w:rsid w:val="0012624C"/>
    <w:rsid w:val="00130058"/>
    <w:rsid w:val="0013024B"/>
    <w:rsid w:val="00131AB3"/>
    <w:rsid w:val="00131C9F"/>
    <w:rsid w:val="00136CCC"/>
    <w:rsid w:val="00137388"/>
    <w:rsid w:val="00137F96"/>
    <w:rsid w:val="00142C3C"/>
    <w:rsid w:val="00143BB6"/>
    <w:rsid w:val="00145366"/>
    <w:rsid w:val="00146697"/>
    <w:rsid w:val="00146D17"/>
    <w:rsid w:val="0014739B"/>
    <w:rsid w:val="00150256"/>
    <w:rsid w:val="00151BBD"/>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50AC"/>
    <w:rsid w:val="0018513C"/>
    <w:rsid w:val="00186A4D"/>
    <w:rsid w:val="00187140"/>
    <w:rsid w:val="00187CC8"/>
    <w:rsid w:val="00190B3D"/>
    <w:rsid w:val="00191B63"/>
    <w:rsid w:val="001935C8"/>
    <w:rsid w:val="001946C8"/>
    <w:rsid w:val="00195D43"/>
    <w:rsid w:val="001A00DC"/>
    <w:rsid w:val="001A120C"/>
    <w:rsid w:val="001A1322"/>
    <w:rsid w:val="001A1368"/>
    <w:rsid w:val="001A1439"/>
    <w:rsid w:val="001A2748"/>
    <w:rsid w:val="001A38EA"/>
    <w:rsid w:val="001A3ED2"/>
    <w:rsid w:val="001A7C3A"/>
    <w:rsid w:val="001A7E1D"/>
    <w:rsid w:val="001B1AD3"/>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57E4"/>
    <w:rsid w:val="001D6EFA"/>
    <w:rsid w:val="001D7397"/>
    <w:rsid w:val="001D7DC1"/>
    <w:rsid w:val="001E023A"/>
    <w:rsid w:val="001E11E3"/>
    <w:rsid w:val="001E1B0F"/>
    <w:rsid w:val="001E323F"/>
    <w:rsid w:val="001E3588"/>
    <w:rsid w:val="001E4C2F"/>
    <w:rsid w:val="001E5FBC"/>
    <w:rsid w:val="001E76BE"/>
    <w:rsid w:val="001F2BA2"/>
    <w:rsid w:val="001F6DBE"/>
    <w:rsid w:val="001F7086"/>
    <w:rsid w:val="001F7AAD"/>
    <w:rsid w:val="00200E07"/>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78EE"/>
    <w:rsid w:val="00227BC3"/>
    <w:rsid w:val="00227F25"/>
    <w:rsid w:val="00232596"/>
    <w:rsid w:val="00234025"/>
    <w:rsid w:val="00234470"/>
    <w:rsid w:val="0023582E"/>
    <w:rsid w:val="00237878"/>
    <w:rsid w:val="002438ED"/>
    <w:rsid w:val="00244A9E"/>
    <w:rsid w:val="00246849"/>
    <w:rsid w:val="00250127"/>
    <w:rsid w:val="0025023B"/>
    <w:rsid w:val="00251FA5"/>
    <w:rsid w:val="00252EEF"/>
    <w:rsid w:val="00253B6C"/>
    <w:rsid w:val="00254651"/>
    <w:rsid w:val="00254901"/>
    <w:rsid w:val="0025543B"/>
    <w:rsid w:val="00255BAC"/>
    <w:rsid w:val="0025654B"/>
    <w:rsid w:val="002565F1"/>
    <w:rsid w:val="00257981"/>
    <w:rsid w:val="002601C7"/>
    <w:rsid w:val="00261B97"/>
    <w:rsid w:val="002651EA"/>
    <w:rsid w:val="0027369F"/>
    <w:rsid w:val="00273700"/>
    <w:rsid w:val="00273B21"/>
    <w:rsid w:val="0027660A"/>
    <w:rsid w:val="00277D9D"/>
    <w:rsid w:val="00281C0B"/>
    <w:rsid w:val="00281F89"/>
    <w:rsid w:val="00281F98"/>
    <w:rsid w:val="00282251"/>
    <w:rsid w:val="0028288E"/>
    <w:rsid w:val="00290EE2"/>
    <w:rsid w:val="00291C35"/>
    <w:rsid w:val="00292062"/>
    <w:rsid w:val="002932D2"/>
    <w:rsid w:val="00294DDB"/>
    <w:rsid w:val="00294DF3"/>
    <w:rsid w:val="002957B7"/>
    <w:rsid w:val="002A0435"/>
    <w:rsid w:val="002A0BC1"/>
    <w:rsid w:val="002A166A"/>
    <w:rsid w:val="002A1AA4"/>
    <w:rsid w:val="002A3287"/>
    <w:rsid w:val="002A3EC2"/>
    <w:rsid w:val="002A59B7"/>
    <w:rsid w:val="002A6400"/>
    <w:rsid w:val="002B071C"/>
    <w:rsid w:val="002B24D2"/>
    <w:rsid w:val="002B3EAE"/>
    <w:rsid w:val="002B4900"/>
    <w:rsid w:val="002B6364"/>
    <w:rsid w:val="002B69B2"/>
    <w:rsid w:val="002B7681"/>
    <w:rsid w:val="002B7F82"/>
    <w:rsid w:val="002C15A0"/>
    <w:rsid w:val="002C22CF"/>
    <w:rsid w:val="002C3E23"/>
    <w:rsid w:val="002C3E51"/>
    <w:rsid w:val="002C504B"/>
    <w:rsid w:val="002C65E0"/>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1DDB"/>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165D"/>
    <w:rsid w:val="0031259B"/>
    <w:rsid w:val="00314287"/>
    <w:rsid w:val="00314298"/>
    <w:rsid w:val="0031471E"/>
    <w:rsid w:val="003176D3"/>
    <w:rsid w:val="00320B22"/>
    <w:rsid w:val="003228DE"/>
    <w:rsid w:val="00323C8A"/>
    <w:rsid w:val="003251AC"/>
    <w:rsid w:val="00326096"/>
    <w:rsid w:val="00326AE5"/>
    <w:rsid w:val="00330421"/>
    <w:rsid w:val="0033237E"/>
    <w:rsid w:val="003334FB"/>
    <w:rsid w:val="003344E7"/>
    <w:rsid w:val="0033779C"/>
    <w:rsid w:val="00337AC6"/>
    <w:rsid w:val="00343A18"/>
    <w:rsid w:val="0034476B"/>
    <w:rsid w:val="00346913"/>
    <w:rsid w:val="003469B5"/>
    <w:rsid w:val="00346CE0"/>
    <w:rsid w:val="003513E6"/>
    <w:rsid w:val="00354ABE"/>
    <w:rsid w:val="00356492"/>
    <w:rsid w:val="00357C6C"/>
    <w:rsid w:val="00360657"/>
    <w:rsid w:val="00366AFE"/>
    <w:rsid w:val="00367B98"/>
    <w:rsid w:val="00370711"/>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81D"/>
    <w:rsid w:val="00392998"/>
    <w:rsid w:val="00392FEE"/>
    <w:rsid w:val="0039319E"/>
    <w:rsid w:val="00393E8A"/>
    <w:rsid w:val="003949F0"/>
    <w:rsid w:val="00395460"/>
    <w:rsid w:val="00396152"/>
    <w:rsid w:val="003962D9"/>
    <w:rsid w:val="00397D0E"/>
    <w:rsid w:val="003A1D77"/>
    <w:rsid w:val="003A24AD"/>
    <w:rsid w:val="003A2C91"/>
    <w:rsid w:val="003A3B51"/>
    <w:rsid w:val="003A40AD"/>
    <w:rsid w:val="003A4F11"/>
    <w:rsid w:val="003A66B2"/>
    <w:rsid w:val="003A6A32"/>
    <w:rsid w:val="003A6B7C"/>
    <w:rsid w:val="003A7D7E"/>
    <w:rsid w:val="003B1693"/>
    <w:rsid w:val="003B32EC"/>
    <w:rsid w:val="003B3488"/>
    <w:rsid w:val="003B5E55"/>
    <w:rsid w:val="003B5F6A"/>
    <w:rsid w:val="003B623A"/>
    <w:rsid w:val="003B63BE"/>
    <w:rsid w:val="003B7B62"/>
    <w:rsid w:val="003B7EE6"/>
    <w:rsid w:val="003C072B"/>
    <w:rsid w:val="003C3D3D"/>
    <w:rsid w:val="003C5836"/>
    <w:rsid w:val="003C585E"/>
    <w:rsid w:val="003C7796"/>
    <w:rsid w:val="003D0189"/>
    <w:rsid w:val="003D0448"/>
    <w:rsid w:val="003D0D82"/>
    <w:rsid w:val="003D0FB7"/>
    <w:rsid w:val="003D1A86"/>
    <w:rsid w:val="003D3252"/>
    <w:rsid w:val="003D3CA2"/>
    <w:rsid w:val="003D3E7E"/>
    <w:rsid w:val="003D7F0B"/>
    <w:rsid w:val="003E06DF"/>
    <w:rsid w:val="003E145E"/>
    <w:rsid w:val="003E171B"/>
    <w:rsid w:val="003E3100"/>
    <w:rsid w:val="003E4132"/>
    <w:rsid w:val="003E5276"/>
    <w:rsid w:val="003E5596"/>
    <w:rsid w:val="003E58C7"/>
    <w:rsid w:val="003E5A6D"/>
    <w:rsid w:val="003E5B81"/>
    <w:rsid w:val="003E5C22"/>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AE2"/>
    <w:rsid w:val="0041036A"/>
    <w:rsid w:val="00412337"/>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4EC"/>
    <w:rsid w:val="0043554A"/>
    <w:rsid w:val="0043619D"/>
    <w:rsid w:val="004362D3"/>
    <w:rsid w:val="00442A8B"/>
    <w:rsid w:val="00442D1E"/>
    <w:rsid w:val="00443016"/>
    <w:rsid w:val="00444344"/>
    <w:rsid w:val="00445945"/>
    <w:rsid w:val="00450691"/>
    <w:rsid w:val="00450D9C"/>
    <w:rsid w:val="00452140"/>
    <w:rsid w:val="00453BB3"/>
    <w:rsid w:val="004545A3"/>
    <w:rsid w:val="00454695"/>
    <w:rsid w:val="004569E8"/>
    <w:rsid w:val="00457427"/>
    <w:rsid w:val="00457C1C"/>
    <w:rsid w:val="004615AE"/>
    <w:rsid w:val="004617B1"/>
    <w:rsid w:val="004619FE"/>
    <w:rsid w:val="00462400"/>
    <w:rsid w:val="00462679"/>
    <w:rsid w:val="00463574"/>
    <w:rsid w:val="00464762"/>
    <w:rsid w:val="00466669"/>
    <w:rsid w:val="004666F3"/>
    <w:rsid w:val="00467343"/>
    <w:rsid w:val="0047031A"/>
    <w:rsid w:val="00471A6D"/>
    <w:rsid w:val="0047322E"/>
    <w:rsid w:val="004741BD"/>
    <w:rsid w:val="00475237"/>
    <w:rsid w:val="004757CE"/>
    <w:rsid w:val="00475FA3"/>
    <w:rsid w:val="00476F80"/>
    <w:rsid w:val="00480F68"/>
    <w:rsid w:val="00481C20"/>
    <w:rsid w:val="00483B86"/>
    <w:rsid w:val="00485293"/>
    <w:rsid w:val="004858C7"/>
    <w:rsid w:val="00485C40"/>
    <w:rsid w:val="00485E47"/>
    <w:rsid w:val="00490499"/>
    <w:rsid w:val="00497AB8"/>
    <w:rsid w:val="004A2EE3"/>
    <w:rsid w:val="004A4356"/>
    <w:rsid w:val="004A5EEF"/>
    <w:rsid w:val="004B0B1D"/>
    <w:rsid w:val="004B261A"/>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E1476"/>
    <w:rsid w:val="004E4946"/>
    <w:rsid w:val="004E5D38"/>
    <w:rsid w:val="004E603B"/>
    <w:rsid w:val="004E626B"/>
    <w:rsid w:val="004E6C7D"/>
    <w:rsid w:val="004F13BD"/>
    <w:rsid w:val="004F29F8"/>
    <w:rsid w:val="004F478F"/>
    <w:rsid w:val="00501246"/>
    <w:rsid w:val="0050230D"/>
    <w:rsid w:val="0050364D"/>
    <w:rsid w:val="00503D17"/>
    <w:rsid w:val="00504D6E"/>
    <w:rsid w:val="005116FB"/>
    <w:rsid w:val="0051378F"/>
    <w:rsid w:val="00514B75"/>
    <w:rsid w:val="00515D44"/>
    <w:rsid w:val="005207D9"/>
    <w:rsid w:val="005223A2"/>
    <w:rsid w:val="00531AFF"/>
    <w:rsid w:val="00532875"/>
    <w:rsid w:val="00533F84"/>
    <w:rsid w:val="00534305"/>
    <w:rsid w:val="0053691B"/>
    <w:rsid w:val="00537DC8"/>
    <w:rsid w:val="00537FF8"/>
    <w:rsid w:val="00542913"/>
    <w:rsid w:val="0054467E"/>
    <w:rsid w:val="005464E6"/>
    <w:rsid w:val="00546938"/>
    <w:rsid w:val="00547ACF"/>
    <w:rsid w:val="005519BC"/>
    <w:rsid w:val="005525C7"/>
    <w:rsid w:val="00552639"/>
    <w:rsid w:val="00555557"/>
    <w:rsid w:val="00556F8F"/>
    <w:rsid w:val="00557927"/>
    <w:rsid w:val="00557AA8"/>
    <w:rsid w:val="00557B17"/>
    <w:rsid w:val="00561126"/>
    <w:rsid w:val="00561142"/>
    <w:rsid w:val="00561296"/>
    <w:rsid w:val="00566916"/>
    <w:rsid w:val="00566B9F"/>
    <w:rsid w:val="00566F71"/>
    <w:rsid w:val="00567EBC"/>
    <w:rsid w:val="00567FC5"/>
    <w:rsid w:val="00571CCF"/>
    <w:rsid w:val="00572180"/>
    <w:rsid w:val="00572337"/>
    <w:rsid w:val="0057338A"/>
    <w:rsid w:val="00573FFE"/>
    <w:rsid w:val="00575FC3"/>
    <w:rsid w:val="00575FE5"/>
    <w:rsid w:val="0057611F"/>
    <w:rsid w:val="0057625C"/>
    <w:rsid w:val="00576743"/>
    <w:rsid w:val="005771D5"/>
    <w:rsid w:val="0058066B"/>
    <w:rsid w:val="0058099B"/>
    <w:rsid w:val="00580B98"/>
    <w:rsid w:val="00581784"/>
    <w:rsid w:val="005832C9"/>
    <w:rsid w:val="005836A3"/>
    <w:rsid w:val="00583CBA"/>
    <w:rsid w:val="00584453"/>
    <w:rsid w:val="005853F6"/>
    <w:rsid w:val="00591838"/>
    <w:rsid w:val="00592809"/>
    <w:rsid w:val="00593343"/>
    <w:rsid w:val="00594A83"/>
    <w:rsid w:val="005A0C78"/>
    <w:rsid w:val="005A1518"/>
    <w:rsid w:val="005A4807"/>
    <w:rsid w:val="005A4865"/>
    <w:rsid w:val="005A5A80"/>
    <w:rsid w:val="005A7042"/>
    <w:rsid w:val="005B0FC7"/>
    <w:rsid w:val="005B297A"/>
    <w:rsid w:val="005B29EF"/>
    <w:rsid w:val="005B2DA5"/>
    <w:rsid w:val="005B476F"/>
    <w:rsid w:val="005B5F05"/>
    <w:rsid w:val="005B6095"/>
    <w:rsid w:val="005B65B8"/>
    <w:rsid w:val="005B6A0D"/>
    <w:rsid w:val="005B6D1C"/>
    <w:rsid w:val="005B6FD2"/>
    <w:rsid w:val="005C04E5"/>
    <w:rsid w:val="005C1507"/>
    <w:rsid w:val="005C1764"/>
    <w:rsid w:val="005C3B2C"/>
    <w:rsid w:val="005C3BE8"/>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715"/>
    <w:rsid w:val="005E39B3"/>
    <w:rsid w:val="005E4164"/>
    <w:rsid w:val="005F1F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913"/>
    <w:rsid w:val="00614A2A"/>
    <w:rsid w:val="00614ECD"/>
    <w:rsid w:val="00622341"/>
    <w:rsid w:val="006231D7"/>
    <w:rsid w:val="00624A71"/>
    <w:rsid w:val="00626031"/>
    <w:rsid w:val="00630C6C"/>
    <w:rsid w:val="00630ED2"/>
    <w:rsid w:val="00631935"/>
    <w:rsid w:val="006356D3"/>
    <w:rsid w:val="00636B91"/>
    <w:rsid w:val="00636DC6"/>
    <w:rsid w:val="006373FF"/>
    <w:rsid w:val="00637833"/>
    <w:rsid w:val="00641AC4"/>
    <w:rsid w:val="00646A6F"/>
    <w:rsid w:val="0065168D"/>
    <w:rsid w:val="00653397"/>
    <w:rsid w:val="006535C3"/>
    <w:rsid w:val="006553CD"/>
    <w:rsid w:val="006559F5"/>
    <w:rsid w:val="006574D3"/>
    <w:rsid w:val="0065752A"/>
    <w:rsid w:val="00661782"/>
    <w:rsid w:val="00662C11"/>
    <w:rsid w:val="0066570F"/>
    <w:rsid w:val="00672822"/>
    <w:rsid w:val="006729D2"/>
    <w:rsid w:val="00673B07"/>
    <w:rsid w:val="00673BC6"/>
    <w:rsid w:val="00675BE6"/>
    <w:rsid w:val="00676E72"/>
    <w:rsid w:val="006775B3"/>
    <w:rsid w:val="00684808"/>
    <w:rsid w:val="0068483E"/>
    <w:rsid w:val="00686578"/>
    <w:rsid w:val="00687967"/>
    <w:rsid w:val="00690F72"/>
    <w:rsid w:val="00695FE4"/>
    <w:rsid w:val="0069630E"/>
    <w:rsid w:val="006A0A28"/>
    <w:rsid w:val="006A0F95"/>
    <w:rsid w:val="006A516C"/>
    <w:rsid w:val="006A6B80"/>
    <w:rsid w:val="006B1301"/>
    <w:rsid w:val="006B2D92"/>
    <w:rsid w:val="006B2FEF"/>
    <w:rsid w:val="006B4A7A"/>
    <w:rsid w:val="006B4B31"/>
    <w:rsid w:val="006B6581"/>
    <w:rsid w:val="006B6D6C"/>
    <w:rsid w:val="006B77B3"/>
    <w:rsid w:val="006C20C5"/>
    <w:rsid w:val="006C4918"/>
    <w:rsid w:val="006C5DED"/>
    <w:rsid w:val="006C5ECD"/>
    <w:rsid w:val="006D1520"/>
    <w:rsid w:val="006D2482"/>
    <w:rsid w:val="006D2E02"/>
    <w:rsid w:val="006D2F0C"/>
    <w:rsid w:val="006D3604"/>
    <w:rsid w:val="006D416D"/>
    <w:rsid w:val="006D536E"/>
    <w:rsid w:val="006D5EB4"/>
    <w:rsid w:val="006D6EE2"/>
    <w:rsid w:val="006E2082"/>
    <w:rsid w:val="006E3BE5"/>
    <w:rsid w:val="006E5D5B"/>
    <w:rsid w:val="006E67BA"/>
    <w:rsid w:val="006F057A"/>
    <w:rsid w:val="006F2362"/>
    <w:rsid w:val="006F47EB"/>
    <w:rsid w:val="006F4B13"/>
    <w:rsid w:val="006F4DE9"/>
    <w:rsid w:val="006F61B5"/>
    <w:rsid w:val="006F71C2"/>
    <w:rsid w:val="007008B0"/>
    <w:rsid w:val="00700AC3"/>
    <w:rsid w:val="00700AD6"/>
    <w:rsid w:val="00700E68"/>
    <w:rsid w:val="00701065"/>
    <w:rsid w:val="0070175E"/>
    <w:rsid w:val="00702366"/>
    <w:rsid w:val="00703DC5"/>
    <w:rsid w:val="007040F2"/>
    <w:rsid w:val="007049DF"/>
    <w:rsid w:val="00705DFA"/>
    <w:rsid w:val="007061B6"/>
    <w:rsid w:val="007120EE"/>
    <w:rsid w:val="0071279F"/>
    <w:rsid w:val="007153C5"/>
    <w:rsid w:val="00715955"/>
    <w:rsid w:val="007161D3"/>
    <w:rsid w:val="00717792"/>
    <w:rsid w:val="0072038E"/>
    <w:rsid w:val="00720C35"/>
    <w:rsid w:val="00720E7B"/>
    <w:rsid w:val="0072232C"/>
    <w:rsid w:val="007262F0"/>
    <w:rsid w:val="00727BE9"/>
    <w:rsid w:val="007314F1"/>
    <w:rsid w:val="00731BE9"/>
    <w:rsid w:val="00731E2B"/>
    <w:rsid w:val="00732917"/>
    <w:rsid w:val="00733C32"/>
    <w:rsid w:val="00734DAD"/>
    <w:rsid w:val="007366D2"/>
    <w:rsid w:val="007420D7"/>
    <w:rsid w:val="0074545C"/>
    <w:rsid w:val="0074742D"/>
    <w:rsid w:val="00752DBC"/>
    <w:rsid w:val="00753FF4"/>
    <w:rsid w:val="0075411D"/>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2B32"/>
    <w:rsid w:val="0077534E"/>
    <w:rsid w:val="00777133"/>
    <w:rsid w:val="0077733C"/>
    <w:rsid w:val="0078045E"/>
    <w:rsid w:val="00780B70"/>
    <w:rsid w:val="00782332"/>
    <w:rsid w:val="00782502"/>
    <w:rsid w:val="00782847"/>
    <w:rsid w:val="00783777"/>
    <w:rsid w:val="00783D20"/>
    <w:rsid w:val="00785232"/>
    <w:rsid w:val="0078549A"/>
    <w:rsid w:val="007862D0"/>
    <w:rsid w:val="00786BFC"/>
    <w:rsid w:val="0079247D"/>
    <w:rsid w:val="00794F2D"/>
    <w:rsid w:val="007954D3"/>
    <w:rsid w:val="00796159"/>
    <w:rsid w:val="00797AAD"/>
    <w:rsid w:val="007A2F02"/>
    <w:rsid w:val="007A5127"/>
    <w:rsid w:val="007A5C51"/>
    <w:rsid w:val="007B25FF"/>
    <w:rsid w:val="007B2A03"/>
    <w:rsid w:val="007B41D7"/>
    <w:rsid w:val="007B70B5"/>
    <w:rsid w:val="007C0DB7"/>
    <w:rsid w:val="007C1A7D"/>
    <w:rsid w:val="007C1F6C"/>
    <w:rsid w:val="007C4094"/>
    <w:rsid w:val="007C45C5"/>
    <w:rsid w:val="007C608D"/>
    <w:rsid w:val="007C614A"/>
    <w:rsid w:val="007D29EC"/>
    <w:rsid w:val="007D50AE"/>
    <w:rsid w:val="007D516C"/>
    <w:rsid w:val="007E1EA6"/>
    <w:rsid w:val="007E2AE1"/>
    <w:rsid w:val="007E2FDE"/>
    <w:rsid w:val="007E4C1F"/>
    <w:rsid w:val="007E50CC"/>
    <w:rsid w:val="007E6851"/>
    <w:rsid w:val="007E6943"/>
    <w:rsid w:val="007F0204"/>
    <w:rsid w:val="007F3879"/>
    <w:rsid w:val="007F4575"/>
    <w:rsid w:val="007F5C3C"/>
    <w:rsid w:val="007F5C58"/>
    <w:rsid w:val="007F6449"/>
    <w:rsid w:val="007F6674"/>
    <w:rsid w:val="00804BA0"/>
    <w:rsid w:val="0080630B"/>
    <w:rsid w:val="00806AB5"/>
    <w:rsid w:val="00807142"/>
    <w:rsid w:val="008074E3"/>
    <w:rsid w:val="00807802"/>
    <w:rsid w:val="0080799C"/>
    <w:rsid w:val="00810C18"/>
    <w:rsid w:val="00814421"/>
    <w:rsid w:val="00814596"/>
    <w:rsid w:val="00814AFC"/>
    <w:rsid w:val="00814B22"/>
    <w:rsid w:val="008167E5"/>
    <w:rsid w:val="00822862"/>
    <w:rsid w:val="0082350A"/>
    <w:rsid w:val="00823765"/>
    <w:rsid w:val="0082597B"/>
    <w:rsid w:val="0082639D"/>
    <w:rsid w:val="00830C89"/>
    <w:rsid w:val="00831A5D"/>
    <w:rsid w:val="00831DB4"/>
    <w:rsid w:val="008365EC"/>
    <w:rsid w:val="00837390"/>
    <w:rsid w:val="00840A8F"/>
    <w:rsid w:val="00844176"/>
    <w:rsid w:val="00844A32"/>
    <w:rsid w:val="00846A9D"/>
    <w:rsid w:val="008503CA"/>
    <w:rsid w:val="00852BA6"/>
    <w:rsid w:val="0085308E"/>
    <w:rsid w:val="0085318D"/>
    <w:rsid w:val="008565FB"/>
    <w:rsid w:val="008577FA"/>
    <w:rsid w:val="00862580"/>
    <w:rsid w:val="00862834"/>
    <w:rsid w:val="00870E97"/>
    <w:rsid w:val="008713B8"/>
    <w:rsid w:val="00871516"/>
    <w:rsid w:val="008717E5"/>
    <w:rsid w:val="00871E2F"/>
    <w:rsid w:val="0087272B"/>
    <w:rsid w:val="00876284"/>
    <w:rsid w:val="008764DD"/>
    <w:rsid w:val="00877499"/>
    <w:rsid w:val="00880720"/>
    <w:rsid w:val="008814E9"/>
    <w:rsid w:val="00881D71"/>
    <w:rsid w:val="00883C37"/>
    <w:rsid w:val="008841EB"/>
    <w:rsid w:val="0088688D"/>
    <w:rsid w:val="008910B2"/>
    <w:rsid w:val="00891622"/>
    <w:rsid w:val="00891C00"/>
    <w:rsid w:val="008921BE"/>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C089C"/>
    <w:rsid w:val="008C4728"/>
    <w:rsid w:val="008C7959"/>
    <w:rsid w:val="008D09FC"/>
    <w:rsid w:val="008D3653"/>
    <w:rsid w:val="008D4F09"/>
    <w:rsid w:val="008D539E"/>
    <w:rsid w:val="008D637C"/>
    <w:rsid w:val="008D65D5"/>
    <w:rsid w:val="008D75EB"/>
    <w:rsid w:val="008D7F23"/>
    <w:rsid w:val="008E12FB"/>
    <w:rsid w:val="008E1F57"/>
    <w:rsid w:val="008E350B"/>
    <w:rsid w:val="008E5D85"/>
    <w:rsid w:val="008E751B"/>
    <w:rsid w:val="008F5CF9"/>
    <w:rsid w:val="00900C33"/>
    <w:rsid w:val="0090193D"/>
    <w:rsid w:val="009034C7"/>
    <w:rsid w:val="00906ABE"/>
    <w:rsid w:val="00906D17"/>
    <w:rsid w:val="00907D1C"/>
    <w:rsid w:val="00907DD7"/>
    <w:rsid w:val="00910BBC"/>
    <w:rsid w:val="0091182D"/>
    <w:rsid w:val="00911DA2"/>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437B"/>
    <w:rsid w:val="00945065"/>
    <w:rsid w:val="009455DB"/>
    <w:rsid w:val="00945DB2"/>
    <w:rsid w:val="009511D6"/>
    <w:rsid w:val="00951ED7"/>
    <w:rsid w:val="00954428"/>
    <w:rsid w:val="00954541"/>
    <w:rsid w:val="00954C0F"/>
    <w:rsid w:val="00956218"/>
    <w:rsid w:val="00956C4B"/>
    <w:rsid w:val="00957E64"/>
    <w:rsid w:val="00961605"/>
    <w:rsid w:val="009620C5"/>
    <w:rsid w:val="00963C88"/>
    <w:rsid w:val="00965995"/>
    <w:rsid w:val="0096636E"/>
    <w:rsid w:val="00966814"/>
    <w:rsid w:val="00970D58"/>
    <w:rsid w:val="00973167"/>
    <w:rsid w:val="00974141"/>
    <w:rsid w:val="00980174"/>
    <w:rsid w:val="00981677"/>
    <w:rsid w:val="00981A42"/>
    <w:rsid w:val="00985A6C"/>
    <w:rsid w:val="009921E3"/>
    <w:rsid w:val="0099282E"/>
    <w:rsid w:val="00993596"/>
    <w:rsid w:val="00995A52"/>
    <w:rsid w:val="0099759D"/>
    <w:rsid w:val="009A00EB"/>
    <w:rsid w:val="009A6766"/>
    <w:rsid w:val="009A692C"/>
    <w:rsid w:val="009A75A0"/>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5C84"/>
    <w:rsid w:val="009F0FC9"/>
    <w:rsid w:val="009F1A7E"/>
    <w:rsid w:val="00A035A7"/>
    <w:rsid w:val="00A03E32"/>
    <w:rsid w:val="00A075B0"/>
    <w:rsid w:val="00A11259"/>
    <w:rsid w:val="00A12B76"/>
    <w:rsid w:val="00A13FC8"/>
    <w:rsid w:val="00A14369"/>
    <w:rsid w:val="00A154D5"/>
    <w:rsid w:val="00A2067E"/>
    <w:rsid w:val="00A20B99"/>
    <w:rsid w:val="00A21F19"/>
    <w:rsid w:val="00A229AC"/>
    <w:rsid w:val="00A23E8B"/>
    <w:rsid w:val="00A25225"/>
    <w:rsid w:val="00A26607"/>
    <w:rsid w:val="00A26676"/>
    <w:rsid w:val="00A267B2"/>
    <w:rsid w:val="00A27A02"/>
    <w:rsid w:val="00A30DAB"/>
    <w:rsid w:val="00A31038"/>
    <w:rsid w:val="00A3172A"/>
    <w:rsid w:val="00A32A3F"/>
    <w:rsid w:val="00A337C5"/>
    <w:rsid w:val="00A33B10"/>
    <w:rsid w:val="00A340FB"/>
    <w:rsid w:val="00A34C17"/>
    <w:rsid w:val="00A34EAB"/>
    <w:rsid w:val="00A3537A"/>
    <w:rsid w:val="00A37CD5"/>
    <w:rsid w:val="00A41FB2"/>
    <w:rsid w:val="00A43105"/>
    <w:rsid w:val="00A43A02"/>
    <w:rsid w:val="00A468F1"/>
    <w:rsid w:val="00A471D7"/>
    <w:rsid w:val="00A475CE"/>
    <w:rsid w:val="00A541ED"/>
    <w:rsid w:val="00A5551D"/>
    <w:rsid w:val="00A562DC"/>
    <w:rsid w:val="00A56657"/>
    <w:rsid w:val="00A56E9B"/>
    <w:rsid w:val="00A56F27"/>
    <w:rsid w:val="00A57518"/>
    <w:rsid w:val="00A60C80"/>
    <w:rsid w:val="00A66F1F"/>
    <w:rsid w:val="00A71824"/>
    <w:rsid w:val="00A718EE"/>
    <w:rsid w:val="00A72936"/>
    <w:rsid w:val="00A73448"/>
    <w:rsid w:val="00A76C0A"/>
    <w:rsid w:val="00A82313"/>
    <w:rsid w:val="00A86F1C"/>
    <w:rsid w:val="00A87032"/>
    <w:rsid w:val="00A9174A"/>
    <w:rsid w:val="00A92A07"/>
    <w:rsid w:val="00A93054"/>
    <w:rsid w:val="00A94B68"/>
    <w:rsid w:val="00A969CC"/>
    <w:rsid w:val="00A96C8D"/>
    <w:rsid w:val="00A9708B"/>
    <w:rsid w:val="00AA0266"/>
    <w:rsid w:val="00AA0B5A"/>
    <w:rsid w:val="00AA34A6"/>
    <w:rsid w:val="00AA3A72"/>
    <w:rsid w:val="00AA45BA"/>
    <w:rsid w:val="00AA6E88"/>
    <w:rsid w:val="00AB24D0"/>
    <w:rsid w:val="00AB30B4"/>
    <w:rsid w:val="00AB3EB4"/>
    <w:rsid w:val="00AB44B7"/>
    <w:rsid w:val="00AB4677"/>
    <w:rsid w:val="00AB6AE8"/>
    <w:rsid w:val="00AC16D2"/>
    <w:rsid w:val="00AC24BD"/>
    <w:rsid w:val="00AC5779"/>
    <w:rsid w:val="00AD0A3A"/>
    <w:rsid w:val="00AD3D79"/>
    <w:rsid w:val="00AD48AA"/>
    <w:rsid w:val="00AD5B91"/>
    <w:rsid w:val="00AD5C75"/>
    <w:rsid w:val="00AD6AEF"/>
    <w:rsid w:val="00AE0055"/>
    <w:rsid w:val="00AE091D"/>
    <w:rsid w:val="00AE3B88"/>
    <w:rsid w:val="00AE4C8F"/>
    <w:rsid w:val="00AE5675"/>
    <w:rsid w:val="00AE57EC"/>
    <w:rsid w:val="00AE64F9"/>
    <w:rsid w:val="00AF163D"/>
    <w:rsid w:val="00AF1C04"/>
    <w:rsid w:val="00AF2547"/>
    <w:rsid w:val="00AF254A"/>
    <w:rsid w:val="00AF36C9"/>
    <w:rsid w:val="00AF5DF5"/>
    <w:rsid w:val="00AF755E"/>
    <w:rsid w:val="00B02EDD"/>
    <w:rsid w:val="00B039A0"/>
    <w:rsid w:val="00B04603"/>
    <w:rsid w:val="00B0569D"/>
    <w:rsid w:val="00B1092B"/>
    <w:rsid w:val="00B10B94"/>
    <w:rsid w:val="00B111A5"/>
    <w:rsid w:val="00B117F2"/>
    <w:rsid w:val="00B13379"/>
    <w:rsid w:val="00B13C6F"/>
    <w:rsid w:val="00B14D75"/>
    <w:rsid w:val="00B15DBA"/>
    <w:rsid w:val="00B16A95"/>
    <w:rsid w:val="00B228C3"/>
    <w:rsid w:val="00B2297A"/>
    <w:rsid w:val="00B230F6"/>
    <w:rsid w:val="00B26202"/>
    <w:rsid w:val="00B300C7"/>
    <w:rsid w:val="00B30CFE"/>
    <w:rsid w:val="00B32793"/>
    <w:rsid w:val="00B33D89"/>
    <w:rsid w:val="00B34CC7"/>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700CC"/>
    <w:rsid w:val="00B72365"/>
    <w:rsid w:val="00B7453B"/>
    <w:rsid w:val="00B74890"/>
    <w:rsid w:val="00B74B38"/>
    <w:rsid w:val="00B75313"/>
    <w:rsid w:val="00B762A0"/>
    <w:rsid w:val="00B77E56"/>
    <w:rsid w:val="00B80371"/>
    <w:rsid w:val="00B8269F"/>
    <w:rsid w:val="00B837AE"/>
    <w:rsid w:val="00B83EED"/>
    <w:rsid w:val="00B85597"/>
    <w:rsid w:val="00B85A89"/>
    <w:rsid w:val="00B868AD"/>
    <w:rsid w:val="00B86DD0"/>
    <w:rsid w:val="00B8759E"/>
    <w:rsid w:val="00B91B04"/>
    <w:rsid w:val="00B9742D"/>
    <w:rsid w:val="00BA131A"/>
    <w:rsid w:val="00BA208A"/>
    <w:rsid w:val="00BA2274"/>
    <w:rsid w:val="00BA31BC"/>
    <w:rsid w:val="00BB0042"/>
    <w:rsid w:val="00BB0BAA"/>
    <w:rsid w:val="00BB1EA2"/>
    <w:rsid w:val="00BB480B"/>
    <w:rsid w:val="00BB4E62"/>
    <w:rsid w:val="00BB55EA"/>
    <w:rsid w:val="00BB6326"/>
    <w:rsid w:val="00BB7389"/>
    <w:rsid w:val="00BB7D03"/>
    <w:rsid w:val="00BC31E7"/>
    <w:rsid w:val="00BC608E"/>
    <w:rsid w:val="00BC69DC"/>
    <w:rsid w:val="00BC7045"/>
    <w:rsid w:val="00BD07F2"/>
    <w:rsid w:val="00BD20AE"/>
    <w:rsid w:val="00BD39EE"/>
    <w:rsid w:val="00BD4AE8"/>
    <w:rsid w:val="00BD746F"/>
    <w:rsid w:val="00BD7AE1"/>
    <w:rsid w:val="00BE0E6C"/>
    <w:rsid w:val="00BE15E4"/>
    <w:rsid w:val="00BE6127"/>
    <w:rsid w:val="00BE786E"/>
    <w:rsid w:val="00BF13E6"/>
    <w:rsid w:val="00BF15B9"/>
    <w:rsid w:val="00BF2AA4"/>
    <w:rsid w:val="00BF3FC2"/>
    <w:rsid w:val="00BF5793"/>
    <w:rsid w:val="00BF742F"/>
    <w:rsid w:val="00BF7A72"/>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6DED"/>
    <w:rsid w:val="00C17A3E"/>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4E17"/>
    <w:rsid w:val="00C353F8"/>
    <w:rsid w:val="00C35A54"/>
    <w:rsid w:val="00C416DB"/>
    <w:rsid w:val="00C423B7"/>
    <w:rsid w:val="00C42887"/>
    <w:rsid w:val="00C42ACD"/>
    <w:rsid w:val="00C42C49"/>
    <w:rsid w:val="00C446A5"/>
    <w:rsid w:val="00C45150"/>
    <w:rsid w:val="00C46737"/>
    <w:rsid w:val="00C51DEA"/>
    <w:rsid w:val="00C52004"/>
    <w:rsid w:val="00C56568"/>
    <w:rsid w:val="00C61AB3"/>
    <w:rsid w:val="00C62D9D"/>
    <w:rsid w:val="00C6333E"/>
    <w:rsid w:val="00C633A8"/>
    <w:rsid w:val="00C64DE5"/>
    <w:rsid w:val="00C65AAE"/>
    <w:rsid w:val="00C66A4D"/>
    <w:rsid w:val="00C7141D"/>
    <w:rsid w:val="00C72945"/>
    <w:rsid w:val="00C758F1"/>
    <w:rsid w:val="00C75E3A"/>
    <w:rsid w:val="00C77378"/>
    <w:rsid w:val="00C77C68"/>
    <w:rsid w:val="00C82E0E"/>
    <w:rsid w:val="00C85115"/>
    <w:rsid w:val="00C86896"/>
    <w:rsid w:val="00C86AE5"/>
    <w:rsid w:val="00C87BC6"/>
    <w:rsid w:val="00C90DBB"/>
    <w:rsid w:val="00C933DE"/>
    <w:rsid w:val="00C95D2F"/>
    <w:rsid w:val="00C97FEB"/>
    <w:rsid w:val="00CA082C"/>
    <w:rsid w:val="00CA0BCB"/>
    <w:rsid w:val="00CA373F"/>
    <w:rsid w:val="00CA6DEA"/>
    <w:rsid w:val="00CB0DAC"/>
    <w:rsid w:val="00CB1F66"/>
    <w:rsid w:val="00CB237D"/>
    <w:rsid w:val="00CB2A80"/>
    <w:rsid w:val="00CB2F00"/>
    <w:rsid w:val="00CB30D1"/>
    <w:rsid w:val="00CB5A26"/>
    <w:rsid w:val="00CB6AC4"/>
    <w:rsid w:val="00CB7DE8"/>
    <w:rsid w:val="00CC0BD5"/>
    <w:rsid w:val="00CC10D3"/>
    <w:rsid w:val="00CC2DAC"/>
    <w:rsid w:val="00CC4858"/>
    <w:rsid w:val="00CD1C12"/>
    <w:rsid w:val="00CD1D66"/>
    <w:rsid w:val="00CD1F7F"/>
    <w:rsid w:val="00CD2774"/>
    <w:rsid w:val="00CD3066"/>
    <w:rsid w:val="00CD57A7"/>
    <w:rsid w:val="00CD5FCA"/>
    <w:rsid w:val="00CD6F2A"/>
    <w:rsid w:val="00CD7CCA"/>
    <w:rsid w:val="00CE0AC5"/>
    <w:rsid w:val="00CE1DD6"/>
    <w:rsid w:val="00CE261F"/>
    <w:rsid w:val="00CE35E1"/>
    <w:rsid w:val="00CE5541"/>
    <w:rsid w:val="00CE5C53"/>
    <w:rsid w:val="00CF0573"/>
    <w:rsid w:val="00CF0ACA"/>
    <w:rsid w:val="00CF4607"/>
    <w:rsid w:val="00CF6767"/>
    <w:rsid w:val="00CF747C"/>
    <w:rsid w:val="00D00576"/>
    <w:rsid w:val="00D0207F"/>
    <w:rsid w:val="00D02A83"/>
    <w:rsid w:val="00D02CD4"/>
    <w:rsid w:val="00D03516"/>
    <w:rsid w:val="00D04299"/>
    <w:rsid w:val="00D0506F"/>
    <w:rsid w:val="00D052D0"/>
    <w:rsid w:val="00D05A7A"/>
    <w:rsid w:val="00D0780B"/>
    <w:rsid w:val="00D07B78"/>
    <w:rsid w:val="00D12B80"/>
    <w:rsid w:val="00D13BD0"/>
    <w:rsid w:val="00D13D6F"/>
    <w:rsid w:val="00D165F4"/>
    <w:rsid w:val="00D1668E"/>
    <w:rsid w:val="00D16C33"/>
    <w:rsid w:val="00D177EA"/>
    <w:rsid w:val="00D20CC5"/>
    <w:rsid w:val="00D217AC"/>
    <w:rsid w:val="00D217E6"/>
    <w:rsid w:val="00D27E4D"/>
    <w:rsid w:val="00D301D6"/>
    <w:rsid w:val="00D31BE1"/>
    <w:rsid w:val="00D35B96"/>
    <w:rsid w:val="00D37973"/>
    <w:rsid w:val="00D40EAC"/>
    <w:rsid w:val="00D41F46"/>
    <w:rsid w:val="00D4222D"/>
    <w:rsid w:val="00D42754"/>
    <w:rsid w:val="00D455A4"/>
    <w:rsid w:val="00D517A4"/>
    <w:rsid w:val="00D51DD0"/>
    <w:rsid w:val="00D5265D"/>
    <w:rsid w:val="00D60415"/>
    <w:rsid w:val="00D62E09"/>
    <w:rsid w:val="00D64101"/>
    <w:rsid w:val="00D64FFD"/>
    <w:rsid w:val="00D670EB"/>
    <w:rsid w:val="00D671F5"/>
    <w:rsid w:val="00D67CE9"/>
    <w:rsid w:val="00D70AAA"/>
    <w:rsid w:val="00D7105E"/>
    <w:rsid w:val="00D71684"/>
    <w:rsid w:val="00D72D32"/>
    <w:rsid w:val="00D74824"/>
    <w:rsid w:val="00D7671C"/>
    <w:rsid w:val="00D767E6"/>
    <w:rsid w:val="00D76D7C"/>
    <w:rsid w:val="00D77A0C"/>
    <w:rsid w:val="00D8131B"/>
    <w:rsid w:val="00D81D94"/>
    <w:rsid w:val="00D82825"/>
    <w:rsid w:val="00D8420C"/>
    <w:rsid w:val="00D84DE0"/>
    <w:rsid w:val="00D90CAE"/>
    <w:rsid w:val="00D96FBA"/>
    <w:rsid w:val="00D97622"/>
    <w:rsid w:val="00DA1B53"/>
    <w:rsid w:val="00DA1FCE"/>
    <w:rsid w:val="00DA239C"/>
    <w:rsid w:val="00DA433D"/>
    <w:rsid w:val="00DA58AF"/>
    <w:rsid w:val="00DA6988"/>
    <w:rsid w:val="00DA7141"/>
    <w:rsid w:val="00DA744D"/>
    <w:rsid w:val="00DB1E78"/>
    <w:rsid w:val="00DB3228"/>
    <w:rsid w:val="00DB3721"/>
    <w:rsid w:val="00DB3D04"/>
    <w:rsid w:val="00DB57B4"/>
    <w:rsid w:val="00DC067D"/>
    <w:rsid w:val="00DC07AE"/>
    <w:rsid w:val="00DC10A1"/>
    <w:rsid w:val="00DC15CB"/>
    <w:rsid w:val="00DC1AC5"/>
    <w:rsid w:val="00DC1E2F"/>
    <w:rsid w:val="00DC236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6FA5"/>
    <w:rsid w:val="00DD7872"/>
    <w:rsid w:val="00DE0724"/>
    <w:rsid w:val="00DE0896"/>
    <w:rsid w:val="00DE0AD5"/>
    <w:rsid w:val="00DE61A9"/>
    <w:rsid w:val="00DE7E62"/>
    <w:rsid w:val="00DF1C2B"/>
    <w:rsid w:val="00DF2F6B"/>
    <w:rsid w:val="00DF3993"/>
    <w:rsid w:val="00DF6E16"/>
    <w:rsid w:val="00DF77D8"/>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30352"/>
    <w:rsid w:val="00E32192"/>
    <w:rsid w:val="00E33146"/>
    <w:rsid w:val="00E33F29"/>
    <w:rsid w:val="00E36F7D"/>
    <w:rsid w:val="00E374D1"/>
    <w:rsid w:val="00E37F50"/>
    <w:rsid w:val="00E40942"/>
    <w:rsid w:val="00E455E2"/>
    <w:rsid w:val="00E50D80"/>
    <w:rsid w:val="00E50E6F"/>
    <w:rsid w:val="00E51035"/>
    <w:rsid w:val="00E53438"/>
    <w:rsid w:val="00E539B3"/>
    <w:rsid w:val="00E55EC8"/>
    <w:rsid w:val="00E56469"/>
    <w:rsid w:val="00E56D02"/>
    <w:rsid w:val="00E57209"/>
    <w:rsid w:val="00E5727D"/>
    <w:rsid w:val="00E57FAB"/>
    <w:rsid w:val="00E60EDC"/>
    <w:rsid w:val="00E670D3"/>
    <w:rsid w:val="00E713A7"/>
    <w:rsid w:val="00E72404"/>
    <w:rsid w:val="00E73990"/>
    <w:rsid w:val="00E74A15"/>
    <w:rsid w:val="00E74B1D"/>
    <w:rsid w:val="00E7567F"/>
    <w:rsid w:val="00E76D01"/>
    <w:rsid w:val="00E81F3E"/>
    <w:rsid w:val="00E85807"/>
    <w:rsid w:val="00E86211"/>
    <w:rsid w:val="00E86ACB"/>
    <w:rsid w:val="00E900E0"/>
    <w:rsid w:val="00E90628"/>
    <w:rsid w:val="00E9122B"/>
    <w:rsid w:val="00E92559"/>
    <w:rsid w:val="00E93CFE"/>
    <w:rsid w:val="00E953B9"/>
    <w:rsid w:val="00EA0D43"/>
    <w:rsid w:val="00EA0EBB"/>
    <w:rsid w:val="00EA1619"/>
    <w:rsid w:val="00EA49CE"/>
    <w:rsid w:val="00EA4CBA"/>
    <w:rsid w:val="00EA6CD3"/>
    <w:rsid w:val="00EA7EDF"/>
    <w:rsid w:val="00EB184B"/>
    <w:rsid w:val="00EB1F01"/>
    <w:rsid w:val="00EB27FB"/>
    <w:rsid w:val="00EC03E6"/>
    <w:rsid w:val="00EC218F"/>
    <w:rsid w:val="00EC5935"/>
    <w:rsid w:val="00ED053C"/>
    <w:rsid w:val="00ED0911"/>
    <w:rsid w:val="00ED0A46"/>
    <w:rsid w:val="00ED18C9"/>
    <w:rsid w:val="00ED2979"/>
    <w:rsid w:val="00ED321C"/>
    <w:rsid w:val="00ED377A"/>
    <w:rsid w:val="00ED39FF"/>
    <w:rsid w:val="00ED4255"/>
    <w:rsid w:val="00ED5CF7"/>
    <w:rsid w:val="00ED603E"/>
    <w:rsid w:val="00EE0C47"/>
    <w:rsid w:val="00EE1CB0"/>
    <w:rsid w:val="00EE44FE"/>
    <w:rsid w:val="00EE4A54"/>
    <w:rsid w:val="00EE4C51"/>
    <w:rsid w:val="00EE61BD"/>
    <w:rsid w:val="00EE7BA0"/>
    <w:rsid w:val="00EF2696"/>
    <w:rsid w:val="00EF55B6"/>
    <w:rsid w:val="00F00E88"/>
    <w:rsid w:val="00F01691"/>
    <w:rsid w:val="00F019FA"/>
    <w:rsid w:val="00F02EB7"/>
    <w:rsid w:val="00F03FAA"/>
    <w:rsid w:val="00F0482C"/>
    <w:rsid w:val="00F04A52"/>
    <w:rsid w:val="00F0662E"/>
    <w:rsid w:val="00F066C5"/>
    <w:rsid w:val="00F06F21"/>
    <w:rsid w:val="00F11383"/>
    <w:rsid w:val="00F1504D"/>
    <w:rsid w:val="00F15773"/>
    <w:rsid w:val="00F1588A"/>
    <w:rsid w:val="00F205D5"/>
    <w:rsid w:val="00F2290E"/>
    <w:rsid w:val="00F23C9C"/>
    <w:rsid w:val="00F25C34"/>
    <w:rsid w:val="00F25F7D"/>
    <w:rsid w:val="00F2652E"/>
    <w:rsid w:val="00F27363"/>
    <w:rsid w:val="00F30608"/>
    <w:rsid w:val="00F30A0A"/>
    <w:rsid w:val="00F32129"/>
    <w:rsid w:val="00F32822"/>
    <w:rsid w:val="00F32ADC"/>
    <w:rsid w:val="00F3430B"/>
    <w:rsid w:val="00F352DD"/>
    <w:rsid w:val="00F35567"/>
    <w:rsid w:val="00F373AD"/>
    <w:rsid w:val="00F40716"/>
    <w:rsid w:val="00F40762"/>
    <w:rsid w:val="00F40F20"/>
    <w:rsid w:val="00F418C2"/>
    <w:rsid w:val="00F42208"/>
    <w:rsid w:val="00F449A8"/>
    <w:rsid w:val="00F44B3E"/>
    <w:rsid w:val="00F4599D"/>
    <w:rsid w:val="00F47AB9"/>
    <w:rsid w:val="00F51164"/>
    <w:rsid w:val="00F53042"/>
    <w:rsid w:val="00F53217"/>
    <w:rsid w:val="00F53508"/>
    <w:rsid w:val="00F53B91"/>
    <w:rsid w:val="00F53D49"/>
    <w:rsid w:val="00F542FA"/>
    <w:rsid w:val="00F543D6"/>
    <w:rsid w:val="00F5586F"/>
    <w:rsid w:val="00F56EB4"/>
    <w:rsid w:val="00F63A74"/>
    <w:rsid w:val="00F64D33"/>
    <w:rsid w:val="00F652EB"/>
    <w:rsid w:val="00F669EB"/>
    <w:rsid w:val="00F66C35"/>
    <w:rsid w:val="00F70443"/>
    <w:rsid w:val="00F7097D"/>
    <w:rsid w:val="00F716EF"/>
    <w:rsid w:val="00F77D50"/>
    <w:rsid w:val="00F81A0A"/>
    <w:rsid w:val="00F838F0"/>
    <w:rsid w:val="00F858D1"/>
    <w:rsid w:val="00F85A24"/>
    <w:rsid w:val="00F9016C"/>
    <w:rsid w:val="00F929ED"/>
    <w:rsid w:val="00F9305D"/>
    <w:rsid w:val="00F94564"/>
    <w:rsid w:val="00F94D89"/>
    <w:rsid w:val="00F9522F"/>
    <w:rsid w:val="00F96902"/>
    <w:rsid w:val="00FA2346"/>
    <w:rsid w:val="00FA37DC"/>
    <w:rsid w:val="00FA3AB1"/>
    <w:rsid w:val="00FA3B62"/>
    <w:rsid w:val="00FA4EC5"/>
    <w:rsid w:val="00FA5EE1"/>
    <w:rsid w:val="00FB0E29"/>
    <w:rsid w:val="00FB1472"/>
    <w:rsid w:val="00FB3115"/>
    <w:rsid w:val="00FB392A"/>
    <w:rsid w:val="00FB5467"/>
    <w:rsid w:val="00FC0F65"/>
    <w:rsid w:val="00FC3C5A"/>
    <w:rsid w:val="00FC3C7A"/>
    <w:rsid w:val="00FC4BE9"/>
    <w:rsid w:val="00FC6839"/>
    <w:rsid w:val="00FC6FCC"/>
    <w:rsid w:val="00FD01FC"/>
    <w:rsid w:val="00FD061B"/>
    <w:rsid w:val="00FD5F34"/>
    <w:rsid w:val="00FD5FEF"/>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92698535">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18718476">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3706275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0457146">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85511215">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75697560">
      <w:bodyDiv w:val="1"/>
      <w:marLeft w:val="0"/>
      <w:marRight w:val="0"/>
      <w:marTop w:val="0"/>
      <w:marBottom w:val="0"/>
      <w:divBdr>
        <w:top w:val="none" w:sz="0" w:space="0" w:color="auto"/>
        <w:left w:val="none" w:sz="0" w:space="0" w:color="auto"/>
        <w:bottom w:val="none" w:sz="0" w:space="0" w:color="auto"/>
        <w:right w:val="none" w:sz="0" w:space="0" w:color="auto"/>
      </w:divBdr>
    </w:div>
    <w:div w:id="1457413180">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61274302">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04742458">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0220149">
      <w:bodyDiv w:val="1"/>
      <w:marLeft w:val="0"/>
      <w:marRight w:val="0"/>
      <w:marTop w:val="0"/>
      <w:marBottom w:val="0"/>
      <w:divBdr>
        <w:top w:val="none" w:sz="0" w:space="0" w:color="auto"/>
        <w:left w:val="none" w:sz="0" w:space="0" w:color="auto"/>
        <w:bottom w:val="none" w:sz="0" w:space="0" w:color="auto"/>
        <w:right w:val="none" w:sz="0" w:space="0" w:color="auto"/>
      </w:divBdr>
      <w:divsChild>
        <w:div w:id="81502534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5/1589/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ta.Tetere@em.gov.lv" TargetMode="External"/><Relationship Id="rId5" Type="http://schemas.openxmlformats.org/officeDocument/2006/relationships/webSettings" Target="webSettings.xml"/><Relationship Id="rId10" Type="http://schemas.openxmlformats.org/officeDocument/2006/relationships/hyperlink" Target="https://www.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s://likumi.lv/ta/id/31611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uria.europa.eu/juris/document/document.jsf;jsessionid=3FCFE9F9814714B6A5445FE9C58E7902?text=&amp;docid=211287&amp;pageIndex=0&amp;doclang=LV&amp;mode=lst&amp;dir=&amp;occ=first&amp;part=1&amp;cid=933595" TargetMode="External"/><Relationship Id="rId1" Type="http://schemas.openxmlformats.org/officeDocument/2006/relationships/hyperlink" Target="https://likumi.lv/ta/id/5490-komerc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80C0-D8C7-447B-ADA4-F8123D27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10780</Words>
  <Characters>6145</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33</cp:revision>
  <cp:lastPrinted>2017-07-21T07:32:00Z</cp:lastPrinted>
  <dcterms:created xsi:type="dcterms:W3CDTF">2020-11-10T07:01:00Z</dcterms:created>
  <dcterms:modified xsi:type="dcterms:W3CDTF">2020-12-09T17:18:00Z</dcterms:modified>
</cp:coreProperties>
</file>