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64A3C" w14:textId="77777777" w:rsidR="00F56B17" w:rsidRPr="00884F51" w:rsidRDefault="00F74912" w:rsidP="00F56B17">
      <w:pPr>
        <w:pStyle w:val="ListParagraph"/>
        <w:tabs>
          <w:tab w:val="left" w:pos="9072"/>
        </w:tabs>
        <w:ind w:left="0"/>
        <w:jc w:val="center"/>
        <w:rPr>
          <w:b/>
          <w:sz w:val="28"/>
          <w:szCs w:val="28"/>
        </w:rPr>
      </w:pPr>
      <w:r w:rsidRPr="00884F51">
        <w:rPr>
          <w:b/>
          <w:sz w:val="28"/>
          <w:szCs w:val="28"/>
        </w:rPr>
        <w:t>Mini</w:t>
      </w:r>
      <w:r w:rsidR="00A31820" w:rsidRPr="00884F51">
        <w:rPr>
          <w:b/>
          <w:sz w:val="28"/>
          <w:szCs w:val="28"/>
        </w:rPr>
        <w:t>stru kabineta noteikumu projekta</w:t>
      </w:r>
      <w:r w:rsidR="007756FB" w:rsidRPr="00884F51">
        <w:rPr>
          <w:b/>
          <w:sz w:val="28"/>
          <w:szCs w:val="28"/>
        </w:rPr>
        <w:t xml:space="preserve"> </w:t>
      </w:r>
      <w:r w:rsidR="00035A8E" w:rsidRPr="00884F51">
        <w:rPr>
          <w:b/>
          <w:sz w:val="28"/>
          <w:szCs w:val="28"/>
        </w:rPr>
        <w:t>“</w:t>
      </w:r>
      <w:r w:rsidR="00FB7F54" w:rsidRPr="00884F51">
        <w:rPr>
          <w:b/>
          <w:sz w:val="28"/>
          <w:szCs w:val="28"/>
        </w:rPr>
        <w:t>Grozījumi Ministru kabineta 2017.gada 4.aprīļa noteikumos Nr.199 “</w:t>
      </w:r>
      <w:r w:rsidR="008E7DC2" w:rsidRPr="00884F51">
        <w:rPr>
          <w:b/>
          <w:color w:val="000000"/>
          <w:sz w:val="28"/>
          <w:szCs w:val="28"/>
        </w:rPr>
        <w:t>Noteikumi par dabasgāzes apriti un akcīzes nodokļa piemērošanas kārtību</w:t>
      </w:r>
      <w:r w:rsidR="00072B05" w:rsidRPr="00884F51">
        <w:rPr>
          <w:b/>
          <w:sz w:val="28"/>
          <w:szCs w:val="28"/>
        </w:rPr>
        <w:t>”</w:t>
      </w:r>
      <w:r w:rsidR="00FB7F54" w:rsidRPr="00884F51">
        <w:rPr>
          <w:b/>
          <w:sz w:val="28"/>
          <w:szCs w:val="28"/>
        </w:rPr>
        <w:t>”</w:t>
      </w:r>
    </w:p>
    <w:p w14:paraId="775AD7FB" w14:textId="77777777" w:rsidR="007756FB" w:rsidRPr="00884F51" w:rsidRDefault="007756FB" w:rsidP="00F42203">
      <w:pPr>
        <w:pStyle w:val="ListParagraph"/>
        <w:tabs>
          <w:tab w:val="left" w:pos="9072"/>
        </w:tabs>
        <w:ind w:left="0"/>
        <w:jc w:val="center"/>
        <w:rPr>
          <w:b/>
          <w:sz w:val="28"/>
          <w:szCs w:val="28"/>
        </w:rPr>
      </w:pPr>
      <w:r w:rsidRPr="00884F51">
        <w:rPr>
          <w:b/>
          <w:sz w:val="28"/>
          <w:szCs w:val="28"/>
        </w:rPr>
        <w:t>sākotnējās ietekmes novērtējuma ziņojums (anotācija)</w:t>
      </w:r>
    </w:p>
    <w:p w14:paraId="731C9F82" w14:textId="77777777" w:rsidR="008961E6" w:rsidRPr="00884F51" w:rsidRDefault="008961E6" w:rsidP="00032C63">
      <w:pPr>
        <w:spacing w:line="270" w:lineRule="atLeast"/>
        <w:jc w:val="both"/>
        <w:rPr>
          <w:rStyle w:val="apple-style-span"/>
          <w:color w:val="000000"/>
          <w:sz w:val="28"/>
          <w:szCs w:val="28"/>
        </w:rPr>
      </w:pPr>
    </w:p>
    <w:tbl>
      <w:tblP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87"/>
        <w:gridCol w:w="6661"/>
      </w:tblGrid>
      <w:tr w:rsidR="00FB7F54" w:rsidRPr="00884F51" w14:paraId="6910F5D9" w14:textId="77777777" w:rsidTr="0028604F">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2C202AA6" w14:textId="77777777" w:rsidR="00FB7F54" w:rsidRPr="00884F51" w:rsidRDefault="00FB7F54" w:rsidP="0028604F">
            <w:pPr>
              <w:spacing w:before="100" w:beforeAutospacing="1" w:after="100" w:afterAutospacing="1" w:line="360" w:lineRule="auto"/>
              <w:ind w:firstLine="300"/>
              <w:jc w:val="center"/>
              <w:rPr>
                <w:b/>
                <w:bCs/>
              </w:rPr>
            </w:pPr>
            <w:r w:rsidRPr="00884F51">
              <w:rPr>
                <w:b/>
                <w:bCs/>
              </w:rPr>
              <w:t>Tiesību akta projekta anotācijas kopsavilkums</w:t>
            </w:r>
          </w:p>
        </w:tc>
      </w:tr>
      <w:tr w:rsidR="00FB7F54" w:rsidRPr="00884F51" w14:paraId="1FD89B1F" w14:textId="77777777" w:rsidTr="0028604F">
        <w:tc>
          <w:tcPr>
            <w:tcW w:w="1437" w:type="pct"/>
            <w:tcBorders>
              <w:top w:val="outset" w:sz="6" w:space="0" w:color="414142"/>
              <w:left w:val="outset" w:sz="6" w:space="0" w:color="414142"/>
              <w:bottom w:val="outset" w:sz="6" w:space="0" w:color="414142"/>
              <w:right w:val="outset" w:sz="6" w:space="0" w:color="414142"/>
            </w:tcBorders>
            <w:hideMark/>
          </w:tcPr>
          <w:p w14:paraId="4AB473FA" w14:textId="77777777" w:rsidR="00FB7F54" w:rsidRPr="00884F51" w:rsidRDefault="00FB7F54" w:rsidP="0028604F">
            <w:pPr>
              <w:jc w:val="both"/>
            </w:pPr>
            <w:r w:rsidRPr="00884F51">
              <w:t>Mērķis, risinājums un projekta spēkā stāšanās laiks (500 zīmes bez atstarpēm)</w:t>
            </w:r>
          </w:p>
        </w:tc>
        <w:tc>
          <w:tcPr>
            <w:tcW w:w="3563" w:type="pct"/>
            <w:tcBorders>
              <w:top w:val="outset" w:sz="6" w:space="0" w:color="414142"/>
              <w:left w:val="outset" w:sz="6" w:space="0" w:color="414142"/>
              <w:bottom w:val="outset" w:sz="6" w:space="0" w:color="414142"/>
              <w:right w:val="outset" w:sz="6" w:space="0" w:color="414142"/>
            </w:tcBorders>
            <w:hideMark/>
          </w:tcPr>
          <w:p w14:paraId="07D2181D" w14:textId="411AB2C0" w:rsidR="00EA3B8F" w:rsidRPr="00884F51" w:rsidRDefault="00FB7F54" w:rsidP="00FB7F54">
            <w:pPr>
              <w:ind w:firstLine="248"/>
              <w:jc w:val="both"/>
              <w:rPr>
                <w:rFonts w:eastAsia="Calibri"/>
                <w:bCs/>
              </w:rPr>
            </w:pPr>
            <w:r w:rsidRPr="00884F51">
              <w:t>Ministru kabineta noteikumu projekts “</w:t>
            </w:r>
            <w:r w:rsidRPr="00884F51">
              <w:rPr>
                <w:rFonts w:eastAsia="Calibri"/>
                <w:lang w:eastAsia="en-US"/>
              </w:rPr>
              <w:t>Grozījumi Ministru kabineta 2017.</w:t>
            </w:r>
            <w:r w:rsidR="00142794">
              <w:rPr>
                <w:rFonts w:eastAsia="Calibri"/>
                <w:lang w:eastAsia="en-US"/>
              </w:rPr>
              <w:t> </w:t>
            </w:r>
            <w:r w:rsidRPr="00884F51">
              <w:rPr>
                <w:rFonts w:eastAsia="Calibri"/>
                <w:lang w:eastAsia="en-US"/>
              </w:rPr>
              <w:t>gada 4.</w:t>
            </w:r>
            <w:r w:rsidR="00142794">
              <w:rPr>
                <w:rFonts w:eastAsia="Calibri"/>
                <w:lang w:eastAsia="en-US"/>
              </w:rPr>
              <w:t> </w:t>
            </w:r>
            <w:r w:rsidRPr="00884F51">
              <w:rPr>
                <w:rFonts w:eastAsia="Calibri"/>
                <w:lang w:eastAsia="en-US"/>
              </w:rPr>
              <w:t>aprīļa noteikumos Nr.</w:t>
            </w:r>
            <w:r w:rsidR="00142794">
              <w:rPr>
                <w:rFonts w:eastAsia="Calibri"/>
                <w:lang w:eastAsia="en-US"/>
              </w:rPr>
              <w:t> </w:t>
            </w:r>
            <w:r w:rsidRPr="00884F51">
              <w:rPr>
                <w:rFonts w:eastAsia="Calibri"/>
                <w:lang w:eastAsia="en-US"/>
              </w:rPr>
              <w:t xml:space="preserve">199 “Noteikumi par dabasgāzes apriti un akcīzes nodokļa piemērošanas kārtību”” (turpmāk – noteikumu projekts) </w:t>
            </w:r>
            <w:r w:rsidRPr="00884F51">
              <w:t xml:space="preserve"> izstrādāts atbilstoši likum</w:t>
            </w:r>
            <w:r w:rsidR="00EA3B8F" w:rsidRPr="00884F51">
              <w:t>a</w:t>
            </w:r>
            <w:r w:rsidRPr="00884F51">
              <w:t xml:space="preserve"> “Par akcīzes nodokli” (turpmāk – likums) </w:t>
            </w:r>
            <w:r w:rsidR="00EA3B8F" w:rsidRPr="00884F51">
              <w:t>6.</w:t>
            </w:r>
            <w:r w:rsidR="00EA3B8F" w:rsidRPr="00884F51">
              <w:rPr>
                <w:vertAlign w:val="superscript"/>
              </w:rPr>
              <w:t>1</w:t>
            </w:r>
            <w:r w:rsidR="00EA3B8F" w:rsidRPr="00884F51">
              <w:t xml:space="preserve"> </w:t>
            </w:r>
            <w:r w:rsidR="009B3F10">
              <w:t>un</w:t>
            </w:r>
            <w:r w:rsidR="00EA3B8F" w:rsidRPr="00884F51">
              <w:t xml:space="preserve"> 15.</w:t>
            </w:r>
            <w:r w:rsidR="00EA3B8F" w:rsidRPr="00884F51">
              <w:rPr>
                <w:vertAlign w:val="superscript"/>
              </w:rPr>
              <w:t>1</w:t>
            </w:r>
            <w:r w:rsidR="00142794">
              <w:t> </w:t>
            </w:r>
            <w:r w:rsidR="00EA3B8F" w:rsidRPr="00884F51">
              <w:t xml:space="preserve">pantā </w:t>
            </w:r>
            <w:r w:rsidR="00EA3B8F" w:rsidRPr="00884F51">
              <w:rPr>
                <w:rFonts w:eastAsia="Calibri"/>
                <w:bCs/>
              </w:rPr>
              <w:t>pieņemtajiem grozījumiem par akcīzes nodokļa piemērošanu dabasgāzei. Noteikumu projekts paredz atcelt kārtību, kādā piemēro akcīzes nodokļa atbrīvojumu dabasgāzei, kuru izmanto segto zemes platību (siltumnīcu) siltumapgādei un mājputnu novietņu un inkubatoru silt</w:t>
            </w:r>
            <w:r w:rsidR="00E3002F" w:rsidRPr="00884F51">
              <w:rPr>
                <w:rFonts w:eastAsia="Calibri"/>
                <w:bCs/>
              </w:rPr>
              <w:t>umapgādei, nosaka</w:t>
            </w:r>
            <w:r w:rsidR="00EA3B8F" w:rsidRPr="00884F51">
              <w:rPr>
                <w:rFonts w:eastAsia="Calibri"/>
                <w:bCs/>
              </w:rPr>
              <w:t xml:space="preserve"> kārtību, kādā šādiem mērķiem izmantotajai dabasgāzei piemēro minimālo nodokļa līmeni - 0,55 </w:t>
            </w:r>
            <w:proofErr w:type="spellStart"/>
            <w:r w:rsidR="00EA3B8F" w:rsidRPr="00884F51">
              <w:rPr>
                <w:rFonts w:eastAsia="Calibri"/>
                <w:bCs/>
                <w:i/>
              </w:rPr>
              <w:t>euro</w:t>
            </w:r>
            <w:proofErr w:type="spellEnd"/>
            <w:r w:rsidR="00EA3B8F" w:rsidRPr="00884F51">
              <w:rPr>
                <w:rFonts w:eastAsia="Calibri"/>
                <w:bCs/>
              </w:rPr>
              <w:t xml:space="preserve"> par 1 </w:t>
            </w:r>
            <w:proofErr w:type="spellStart"/>
            <w:r w:rsidR="00EA3B8F" w:rsidRPr="00884F51">
              <w:rPr>
                <w:rFonts w:eastAsia="Calibri"/>
                <w:bCs/>
              </w:rPr>
              <w:t>MWh</w:t>
            </w:r>
            <w:proofErr w:type="spellEnd"/>
            <w:r w:rsidR="00EA3B8F" w:rsidRPr="00884F51">
              <w:rPr>
                <w:rFonts w:eastAsia="Calibri"/>
                <w:bCs/>
              </w:rPr>
              <w:t xml:space="preserve">. </w:t>
            </w:r>
          </w:p>
          <w:p w14:paraId="1EFE60E9" w14:textId="2B5CB725" w:rsidR="00FB7F54" w:rsidRPr="00884F51" w:rsidRDefault="00EA3B8F" w:rsidP="00BA2BC3">
            <w:pPr>
              <w:ind w:firstLine="248"/>
              <w:jc w:val="both"/>
            </w:pPr>
            <w:r w:rsidRPr="00884F51">
              <w:rPr>
                <w:rFonts w:eastAsia="Calibri"/>
                <w:bCs/>
              </w:rPr>
              <w:t xml:space="preserve">Atbilstoši grozījumiem likumā paredzētajam spēkā stāšanās termiņam arī noteikumu projektam ir jāstājas spēkā </w:t>
            </w:r>
            <w:r w:rsidRPr="002C4629">
              <w:rPr>
                <w:rFonts w:eastAsia="Calibri"/>
                <w:bCs/>
              </w:rPr>
              <w:t>202</w:t>
            </w:r>
            <w:r w:rsidR="00735651">
              <w:rPr>
                <w:rFonts w:eastAsia="Calibri"/>
                <w:bCs/>
              </w:rPr>
              <w:t>1</w:t>
            </w:r>
            <w:r w:rsidRPr="002C4629">
              <w:rPr>
                <w:rFonts w:eastAsia="Calibri"/>
                <w:bCs/>
              </w:rPr>
              <w:t>.</w:t>
            </w:r>
            <w:r w:rsidR="00142794" w:rsidRPr="002C4629">
              <w:rPr>
                <w:rFonts w:eastAsia="Calibri"/>
                <w:bCs/>
              </w:rPr>
              <w:t> </w:t>
            </w:r>
            <w:r w:rsidRPr="002C4629">
              <w:rPr>
                <w:rFonts w:eastAsia="Calibri"/>
                <w:bCs/>
              </w:rPr>
              <w:t>gada 1.</w:t>
            </w:r>
            <w:r w:rsidR="00142794" w:rsidRPr="002C4629">
              <w:rPr>
                <w:rFonts w:eastAsia="Calibri"/>
                <w:bCs/>
              </w:rPr>
              <w:t> </w:t>
            </w:r>
            <w:r w:rsidR="00735651">
              <w:rPr>
                <w:rFonts w:eastAsia="Calibri"/>
                <w:bCs/>
              </w:rPr>
              <w:t>janvā</w:t>
            </w:r>
            <w:r w:rsidR="008E05E2" w:rsidRPr="002C4629">
              <w:rPr>
                <w:rFonts w:eastAsia="Calibri"/>
                <w:bCs/>
              </w:rPr>
              <w:t>rī</w:t>
            </w:r>
            <w:r w:rsidRPr="002C4629">
              <w:t>.</w:t>
            </w:r>
          </w:p>
        </w:tc>
      </w:tr>
    </w:tbl>
    <w:p w14:paraId="53C3AAE2" w14:textId="77777777" w:rsidR="00FB7F54" w:rsidRPr="00884F51" w:rsidRDefault="00FB7F54" w:rsidP="00032C63">
      <w:pPr>
        <w:spacing w:line="270" w:lineRule="atLeast"/>
        <w:jc w:val="both"/>
        <w:rPr>
          <w:rStyle w:val="apple-style-span"/>
          <w:color w:val="000000"/>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93"/>
        <w:gridCol w:w="6633"/>
      </w:tblGrid>
      <w:tr w:rsidR="00032C63" w:rsidRPr="00884F51" w14:paraId="7BDA28AC" w14:textId="77777777" w:rsidTr="00743410">
        <w:trPr>
          <w:trHeight w:val="427"/>
        </w:trPr>
        <w:tc>
          <w:tcPr>
            <w:tcW w:w="9322" w:type="dxa"/>
            <w:gridSpan w:val="3"/>
            <w:hideMark/>
          </w:tcPr>
          <w:p w14:paraId="147F89E7" w14:textId="77777777" w:rsidR="00032C63" w:rsidRPr="00884F51" w:rsidRDefault="00032C63" w:rsidP="00032C63">
            <w:pPr>
              <w:numPr>
                <w:ilvl w:val="0"/>
                <w:numId w:val="1"/>
              </w:numPr>
              <w:jc w:val="center"/>
              <w:rPr>
                <w:b/>
                <w:bCs/>
              </w:rPr>
            </w:pPr>
            <w:r w:rsidRPr="00884F51">
              <w:rPr>
                <w:b/>
                <w:bCs/>
              </w:rPr>
              <w:t>Tiesību akta projekta izstrādes nepieciešamība</w:t>
            </w:r>
          </w:p>
        </w:tc>
      </w:tr>
      <w:tr w:rsidR="009F107E" w:rsidRPr="00884F51" w14:paraId="02B1AC21" w14:textId="77777777" w:rsidTr="00EA3B8F">
        <w:tc>
          <w:tcPr>
            <w:tcW w:w="496" w:type="dxa"/>
            <w:hideMark/>
          </w:tcPr>
          <w:p w14:paraId="7B5752CE" w14:textId="77777777" w:rsidR="00032C63" w:rsidRPr="00884F51" w:rsidRDefault="00032C63" w:rsidP="00032C63">
            <w:r w:rsidRPr="00884F51">
              <w:t>1.</w:t>
            </w:r>
          </w:p>
        </w:tc>
        <w:tc>
          <w:tcPr>
            <w:tcW w:w="2193" w:type="dxa"/>
            <w:hideMark/>
          </w:tcPr>
          <w:p w14:paraId="6010A0A5" w14:textId="77777777" w:rsidR="00032C63" w:rsidRPr="00884F51" w:rsidRDefault="00032C63" w:rsidP="00032C63">
            <w:r w:rsidRPr="00884F51">
              <w:t>Pamatojums</w:t>
            </w:r>
          </w:p>
        </w:tc>
        <w:tc>
          <w:tcPr>
            <w:tcW w:w="6633" w:type="dxa"/>
            <w:hideMark/>
          </w:tcPr>
          <w:p w14:paraId="78EFC4DC" w14:textId="72E7C2CB" w:rsidR="00AD10DA" w:rsidRPr="00884F51" w:rsidRDefault="00EA3B8F" w:rsidP="00AD10DA">
            <w:pPr>
              <w:ind w:left="-108" w:firstLine="567"/>
              <w:jc w:val="both"/>
              <w:rPr>
                <w:rFonts w:eastAsia="Calibri"/>
                <w:lang w:eastAsia="en-US"/>
              </w:rPr>
            </w:pPr>
            <w:r w:rsidRPr="00884F51">
              <w:rPr>
                <w:rFonts w:eastAsia="Calibri"/>
                <w:lang w:eastAsia="en-US"/>
              </w:rPr>
              <w:t>N</w:t>
            </w:r>
            <w:r w:rsidR="00FA6E40" w:rsidRPr="00884F51">
              <w:rPr>
                <w:rFonts w:eastAsia="Calibri"/>
                <w:lang w:eastAsia="en-US"/>
              </w:rPr>
              <w:t xml:space="preserve">oteikumu projekts </w:t>
            </w:r>
            <w:r w:rsidR="008E7DC2" w:rsidRPr="00884F51">
              <w:rPr>
                <w:rFonts w:eastAsia="Calibri"/>
                <w:lang w:eastAsia="en-US"/>
              </w:rPr>
              <w:t xml:space="preserve">ir </w:t>
            </w:r>
            <w:r w:rsidR="00191BAD" w:rsidRPr="00884F51">
              <w:rPr>
                <w:rFonts w:eastAsia="Calibri"/>
                <w:lang w:eastAsia="en-US"/>
              </w:rPr>
              <w:t>izstrādāts</w:t>
            </w:r>
            <w:r w:rsidR="00AD10DA" w:rsidRPr="00884F51">
              <w:rPr>
                <w:rFonts w:eastAsia="Calibri"/>
                <w:lang w:eastAsia="en-US"/>
              </w:rPr>
              <w:t xml:space="preserve"> saskaņā ar </w:t>
            </w:r>
            <w:r w:rsidR="00FB7F54" w:rsidRPr="00884F51">
              <w:rPr>
                <w:rFonts w:eastAsia="Calibri"/>
                <w:lang w:eastAsia="en-US"/>
              </w:rPr>
              <w:t xml:space="preserve">grozījumiem </w:t>
            </w:r>
            <w:r w:rsidR="00AD10DA" w:rsidRPr="00884F51">
              <w:rPr>
                <w:rFonts w:eastAsia="Calibri"/>
                <w:lang w:eastAsia="en-US"/>
              </w:rPr>
              <w:t>likum</w:t>
            </w:r>
            <w:r w:rsidRPr="00884F51">
              <w:rPr>
                <w:rFonts w:eastAsia="Calibri"/>
                <w:lang w:eastAsia="en-US"/>
              </w:rPr>
              <w:t>a</w:t>
            </w:r>
            <w:r w:rsidR="00AD10DA" w:rsidRPr="00884F51">
              <w:rPr>
                <w:rFonts w:eastAsia="Calibri"/>
                <w:lang w:eastAsia="en-US"/>
              </w:rPr>
              <w:t xml:space="preserve"> </w:t>
            </w:r>
            <w:r w:rsidRPr="00884F51">
              <w:t>6.</w:t>
            </w:r>
            <w:r w:rsidRPr="00884F51">
              <w:rPr>
                <w:vertAlign w:val="superscript"/>
              </w:rPr>
              <w:t>1</w:t>
            </w:r>
            <w:r w:rsidRPr="00884F51">
              <w:t xml:space="preserve"> </w:t>
            </w:r>
            <w:r w:rsidR="009B3F10">
              <w:t>u</w:t>
            </w:r>
            <w:r w:rsidRPr="00884F51">
              <w:t>n 15.</w:t>
            </w:r>
            <w:r w:rsidRPr="00884F51">
              <w:rPr>
                <w:vertAlign w:val="superscript"/>
              </w:rPr>
              <w:t>1</w:t>
            </w:r>
            <w:r w:rsidR="00142794">
              <w:t> </w:t>
            </w:r>
            <w:r w:rsidRPr="00884F51">
              <w:t>pantā</w:t>
            </w:r>
            <w:r w:rsidR="00FB7F54" w:rsidRPr="00884F51">
              <w:rPr>
                <w:rFonts w:eastAsia="Calibri"/>
                <w:lang w:eastAsia="en-US"/>
              </w:rPr>
              <w:t>, kas paredz atcelt akcīzes nodokļa atbrīvojumu</w:t>
            </w:r>
            <w:r w:rsidR="00AD10DA" w:rsidRPr="00884F51">
              <w:rPr>
                <w:rFonts w:eastAsia="Calibri"/>
                <w:lang w:eastAsia="en-US"/>
              </w:rPr>
              <w:t xml:space="preserve"> </w:t>
            </w:r>
            <w:r w:rsidRPr="00884F51">
              <w:rPr>
                <w:rFonts w:eastAsia="Calibri"/>
                <w:lang w:eastAsia="en-US"/>
              </w:rPr>
              <w:t xml:space="preserve">dabasgāzei, kuru izmanto segto zemes platību (siltumnīcu) siltumapgādei un mājputnu novietņu un inkubatoru siltumapgādei, un </w:t>
            </w:r>
            <w:r w:rsidRPr="00884F51">
              <w:rPr>
                <w:rFonts w:eastAsia="Calibri"/>
                <w:bCs/>
              </w:rPr>
              <w:t xml:space="preserve">šādiem mērķiem izmantotajai dabasgāzei noteikt minimālo akcīzes nodokļa līmeni - 0,55 </w:t>
            </w:r>
            <w:proofErr w:type="spellStart"/>
            <w:r w:rsidRPr="00884F51">
              <w:rPr>
                <w:rFonts w:eastAsia="Calibri"/>
                <w:bCs/>
                <w:i/>
              </w:rPr>
              <w:t>euro</w:t>
            </w:r>
            <w:proofErr w:type="spellEnd"/>
            <w:r w:rsidRPr="00884F51">
              <w:rPr>
                <w:rFonts w:eastAsia="Calibri"/>
                <w:bCs/>
              </w:rPr>
              <w:t xml:space="preserve"> par 1 </w:t>
            </w:r>
            <w:proofErr w:type="spellStart"/>
            <w:r w:rsidRPr="00884F51">
              <w:rPr>
                <w:rFonts w:eastAsia="Calibri"/>
                <w:bCs/>
              </w:rPr>
              <w:t>MWh</w:t>
            </w:r>
            <w:proofErr w:type="spellEnd"/>
            <w:r w:rsidR="00AD10DA" w:rsidRPr="00884F51">
              <w:rPr>
                <w:rFonts w:eastAsia="Calibri"/>
                <w:lang w:eastAsia="en-US"/>
              </w:rPr>
              <w:t>.</w:t>
            </w:r>
          </w:p>
          <w:p w14:paraId="0290E9BF" w14:textId="201414FC" w:rsidR="00032C63" w:rsidRDefault="00E3002F" w:rsidP="00493B21">
            <w:pPr>
              <w:ind w:left="-108" w:firstLine="567"/>
              <w:jc w:val="both"/>
              <w:rPr>
                <w:rFonts w:eastAsia="Calibri"/>
                <w:lang w:eastAsia="en-US"/>
              </w:rPr>
            </w:pPr>
            <w:r w:rsidRPr="00884F51">
              <w:rPr>
                <w:rFonts w:eastAsia="Calibri"/>
                <w:lang w:eastAsia="en-US"/>
              </w:rPr>
              <w:t xml:space="preserve">Attiecīgie grozījumi likumā </w:t>
            </w:r>
            <w:r w:rsidR="00191BAD" w:rsidRPr="00884F51">
              <w:rPr>
                <w:rFonts w:eastAsia="Calibri"/>
                <w:lang w:eastAsia="en-US"/>
              </w:rPr>
              <w:t xml:space="preserve">Saeimā </w:t>
            </w:r>
            <w:r w:rsidRPr="00884F51">
              <w:rPr>
                <w:rFonts w:eastAsia="Calibri"/>
                <w:lang w:eastAsia="en-US"/>
              </w:rPr>
              <w:t>tika pieņemti 20</w:t>
            </w:r>
            <w:r w:rsidR="00F73AEB">
              <w:rPr>
                <w:rFonts w:eastAsia="Calibri"/>
                <w:lang w:eastAsia="en-US"/>
              </w:rPr>
              <w:t>20</w:t>
            </w:r>
            <w:r w:rsidRPr="00884F51">
              <w:rPr>
                <w:rFonts w:eastAsia="Calibri"/>
                <w:lang w:eastAsia="en-US"/>
              </w:rPr>
              <w:t>.</w:t>
            </w:r>
            <w:r w:rsidR="00142794">
              <w:rPr>
                <w:rFonts w:eastAsia="Calibri"/>
                <w:lang w:eastAsia="en-US"/>
              </w:rPr>
              <w:t> </w:t>
            </w:r>
            <w:r w:rsidRPr="00884F51">
              <w:rPr>
                <w:rFonts w:eastAsia="Calibri"/>
                <w:lang w:eastAsia="en-US"/>
              </w:rPr>
              <w:t xml:space="preserve">gada </w:t>
            </w:r>
            <w:r w:rsidR="00F73AEB">
              <w:rPr>
                <w:rFonts w:eastAsia="Calibri"/>
                <w:lang w:eastAsia="en-US"/>
              </w:rPr>
              <w:t>6</w:t>
            </w:r>
            <w:r w:rsidRPr="00884F51">
              <w:rPr>
                <w:rFonts w:eastAsia="Calibri"/>
                <w:lang w:eastAsia="en-US"/>
              </w:rPr>
              <w:t>.</w:t>
            </w:r>
            <w:r w:rsidR="00142794">
              <w:rPr>
                <w:rFonts w:eastAsia="Calibri"/>
                <w:lang w:eastAsia="en-US"/>
              </w:rPr>
              <w:t> </w:t>
            </w:r>
            <w:r w:rsidR="00F73AEB">
              <w:rPr>
                <w:rFonts w:eastAsia="Calibri"/>
                <w:lang w:eastAsia="en-US"/>
              </w:rPr>
              <w:t>februārī un stā</w:t>
            </w:r>
            <w:r w:rsidR="00CF675A">
              <w:rPr>
                <w:rFonts w:eastAsia="Calibri"/>
                <w:lang w:eastAsia="en-US"/>
              </w:rPr>
              <w:t>juš</w:t>
            </w:r>
            <w:r w:rsidR="00F73AEB">
              <w:rPr>
                <w:rFonts w:eastAsia="Calibri"/>
                <w:lang w:eastAsia="en-US"/>
              </w:rPr>
              <w:t>ies spēkā 2020.</w:t>
            </w:r>
            <w:r w:rsidR="00142794">
              <w:rPr>
                <w:rFonts w:eastAsia="Calibri"/>
                <w:lang w:eastAsia="en-US"/>
              </w:rPr>
              <w:t> </w:t>
            </w:r>
            <w:r w:rsidR="00F73AEB">
              <w:rPr>
                <w:rFonts w:eastAsia="Calibri"/>
                <w:lang w:eastAsia="en-US"/>
              </w:rPr>
              <w:t>gada 1.</w:t>
            </w:r>
            <w:r w:rsidR="00142794">
              <w:rPr>
                <w:rFonts w:eastAsia="Calibri"/>
                <w:lang w:eastAsia="en-US"/>
              </w:rPr>
              <w:t> </w:t>
            </w:r>
            <w:r w:rsidR="00F73AEB">
              <w:rPr>
                <w:rFonts w:eastAsia="Calibri"/>
                <w:lang w:eastAsia="en-US"/>
              </w:rPr>
              <w:t>maijā.</w:t>
            </w:r>
          </w:p>
          <w:p w14:paraId="216033D8" w14:textId="3B749550" w:rsidR="003D135B" w:rsidRPr="00884F51" w:rsidRDefault="003D135B" w:rsidP="00493B21">
            <w:pPr>
              <w:ind w:left="-108" w:firstLine="567"/>
              <w:jc w:val="both"/>
            </w:pPr>
          </w:p>
        </w:tc>
      </w:tr>
      <w:tr w:rsidR="009F107E" w:rsidRPr="00884F51" w14:paraId="5FCBB623" w14:textId="77777777" w:rsidTr="00EA3B8F">
        <w:tc>
          <w:tcPr>
            <w:tcW w:w="496" w:type="dxa"/>
            <w:hideMark/>
          </w:tcPr>
          <w:p w14:paraId="75252C7A" w14:textId="77777777" w:rsidR="00032C63" w:rsidRPr="00884F51" w:rsidRDefault="00032C63" w:rsidP="00032C63">
            <w:r w:rsidRPr="00884F51">
              <w:t>2.</w:t>
            </w:r>
          </w:p>
        </w:tc>
        <w:tc>
          <w:tcPr>
            <w:tcW w:w="2193" w:type="dxa"/>
            <w:hideMark/>
          </w:tcPr>
          <w:p w14:paraId="2E2830E5" w14:textId="1C34742D" w:rsidR="00A15191" w:rsidRDefault="003169F1" w:rsidP="003169F1">
            <w:pPr>
              <w:jc w:val="both"/>
            </w:pPr>
            <w:r w:rsidRPr="00884F51">
              <w:rPr>
                <w:color w:val="000000"/>
              </w:rPr>
              <w:t>Pašreizējā situācija un problēmas, kuru risināšanai tiesību akta projekts izstrādāts, tiesiskā regulējuma mērķis un būtība</w:t>
            </w:r>
          </w:p>
          <w:p w14:paraId="19BF9A8A" w14:textId="77777777" w:rsidR="00A15191" w:rsidRPr="00A15191" w:rsidRDefault="00A15191" w:rsidP="00A15191"/>
          <w:p w14:paraId="010528B9" w14:textId="77777777" w:rsidR="00A15191" w:rsidRPr="00A15191" w:rsidRDefault="00A15191" w:rsidP="00A15191"/>
          <w:p w14:paraId="6A2289E3" w14:textId="77777777" w:rsidR="00A15191" w:rsidRPr="00A15191" w:rsidRDefault="00A15191" w:rsidP="00A15191"/>
          <w:p w14:paraId="7DB9FD75" w14:textId="77777777" w:rsidR="00A15191" w:rsidRPr="00A15191" w:rsidRDefault="00A15191" w:rsidP="00A15191"/>
          <w:p w14:paraId="47DE1776" w14:textId="77777777" w:rsidR="00A15191" w:rsidRPr="00A15191" w:rsidRDefault="00A15191" w:rsidP="00A15191"/>
          <w:p w14:paraId="0D56EB12" w14:textId="77777777" w:rsidR="00A15191" w:rsidRPr="00A15191" w:rsidRDefault="00A15191" w:rsidP="00A15191"/>
          <w:p w14:paraId="35FF342A" w14:textId="77777777" w:rsidR="00A15191" w:rsidRPr="00A15191" w:rsidRDefault="00A15191" w:rsidP="00A15191"/>
          <w:p w14:paraId="62190355" w14:textId="77777777" w:rsidR="00A15191" w:rsidRPr="00A15191" w:rsidRDefault="00A15191" w:rsidP="00A15191"/>
          <w:p w14:paraId="7B1C0BCB" w14:textId="77777777" w:rsidR="00A15191" w:rsidRPr="00A15191" w:rsidRDefault="00A15191" w:rsidP="00A15191"/>
          <w:p w14:paraId="2359AD21" w14:textId="08286E19" w:rsidR="00A15191" w:rsidRDefault="00B31F5A" w:rsidP="003D5FD1">
            <w:pPr>
              <w:tabs>
                <w:tab w:val="left" w:pos="489"/>
                <w:tab w:val="left" w:pos="1125"/>
              </w:tabs>
            </w:pPr>
            <w:r>
              <w:tab/>
            </w:r>
            <w:r w:rsidR="003D5FD1">
              <w:tab/>
            </w:r>
          </w:p>
          <w:p w14:paraId="7F8F2BEA" w14:textId="220AD9DF" w:rsidR="00CF24A3" w:rsidRDefault="00CF24A3" w:rsidP="00A15191">
            <w:pPr>
              <w:ind w:firstLine="720"/>
            </w:pPr>
          </w:p>
          <w:p w14:paraId="7E347E5C" w14:textId="77777777" w:rsidR="00CF24A3" w:rsidRPr="00CF24A3" w:rsidRDefault="00CF24A3" w:rsidP="00CF24A3"/>
          <w:p w14:paraId="468E4EE8" w14:textId="77777777" w:rsidR="00CF24A3" w:rsidRPr="00CF24A3" w:rsidRDefault="00CF24A3" w:rsidP="00CF24A3"/>
          <w:p w14:paraId="36F49A79" w14:textId="77777777" w:rsidR="00CF24A3" w:rsidRPr="00CF24A3" w:rsidRDefault="00CF24A3" w:rsidP="00CF24A3"/>
          <w:p w14:paraId="3092DB1A" w14:textId="77777777" w:rsidR="00CF24A3" w:rsidRPr="00CF24A3" w:rsidRDefault="00CF24A3" w:rsidP="00CF24A3"/>
          <w:p w14:paraId="5E2B5338" w14:textId="77777777" w:rsidR="00CF24A3" w:rsidRPr="00CF24A3" w:rsidRDefault="00CF24A3" w:rsidP="00CF24A3"/>
          <w:p w14:paraId="74D150A5" w14:textId="77777777" w:rsidR="00CF24A3" w:rsidRPr="00CF24A3" w:rsidRDefault="00CF24A3" w:rsidP="00CF24A3"/>
          <w:p w14:paraId="00BF6B4B" w14:textId="77777777" w:rsidR="00CF24A3" w:rsidRPr="00CF24A3" w:rsidRDefault="00CF24A3" w:rsidP="00CF24A3"/>
          <w:p w14:paraId="3FBBC740" w14:textId="77777777" w:rsidR="00CF24A3" w:rsidRPr="00CF24A3" w:rsidRDefault="00CF24A3" w:rsidP="00CF24A3"/>
          <w:p w14:paraId="696671E9" w14:textId="77777777" w:rsidR="00CF24A3" w:rsidRPr="00CF24A3" w:rsidRDefault="00CF24A3" w:rsidP="00CF24A3"/>
          <w:p w14:paraId="4530CAED" w14:textId="77777777" w:rsidR="00CF24A3" w:rsidRPr="00CF24A3" w:rsidRDefault="00CF24A3" w:rsidP="00CF24A3"/>
          <w:p w14:paraId="362F80D0" w14:textId="77777777" w:rsidR="00CF24A3" w:rsidRPr="00CF24A3" w:rsidRDefault="00CF24A3" w:rsidP="00CF24A3"/>
          <w:p w14:paraId="1C22BA71" w14:textId="77777777" w:rsidR="00CF24A3" w:rsidRPr="00CF24A3" w:rsidRDefault="00CF24A3" w:rsidP="00CF24A3"/>
          <w:p w14:paraId="5E6C8F59" w14:textId="77777777" w:rsidR="00CF24A3" w:rsidRPr="00CF24A3" w:rsidRDefault="00CF24A3" w:rsidP="00CF24A3"/>
          <w:p w14:paraId="52188E8D" w14:textId="77777777" w:rsidR="00CF24A3" w:rsidRPr="00CF24A3" w:rsidRDefault="00CF24A3" w:rsidP="00CF24A3"/>
          <w:p w14:paraId="097C27DA" w14:textId="77777777" w:rsidR="00CF24A3" w:rsidRPr="00CF24A3" w:rsidRDefault="00CF24A3" w:rsidP="00CF24A3"/>
          <w:p w14:paraId="69996BA3" w14:textId="77777777" w:rsidR="00CF24A3" w:rsidRPr="00CF24A3" w:rsidRDefault="00CF24A3" w:rsidP="00CF24A3"/>
          <w:p w14:paraId="0879F4FF" w14:textId="77777777" w:rsidR="00CF24A3" w:rsidRPr="00CF24A3" w:rsidRDefault="00CF24A3" w:rsidP="00CF24A3"/>
          <w:p w14:paraId="46761420" w14:textId="77777777" w:rsidR="00CF24A3" w:rsidRPr="00CF24A3" w:rsidRDefault="00CF24A3" w:rsidP="00CF24A3"/>
          <w:p w14:paraId="77CD6AF0" w14:textId="77777777" w:rsidR="00CF24A3" w:rsidRPr="00CF24A3" w:rsidRDefault="00CF24A3" w:rsidP="00CF24A3"/>
          <w:p w14:paraId="0CC69257" w14:textId="77777777" w:rsidR="00CF24A3" w:rsidRPr="00CF24A3" w:rsidRDefault="00CF24A3" w:rsidP="00CF24A3"/>
          <w:p w14:paraId="54472C84" w14:textId="77777777" w:rsidR="00CF24A3" w:rsidRPr="00CF24A3" w:rsidRDefault="00CF24A3" w:rsidP="00CF24A3"/>
          <w:p w14:paraId="5C03C6FE" w14:textId="77777777" w:rsidR="00CF24A3" w:rsidRPr="00CF24A3" w:rsidRDefault="00CF24A3" w:rsidP="00CF24A3"/>
          <w:p w14:paraId="4CC709D6" w14:textId="77777777" w:rsidR="00CF24A3" w:rsidRPr="00CF24A3" w:rsidRDefault="00CF24A3" w:rsidP="00CF24A3"/>
          <w:p w14:paraId="1821A035" w14:textId="77777777" w:rsidR="00CF24A3" w:rsidRPr="00CF24A3" w:rsidRDefault="00CF24A3" w:rsidP="00CF24A3"/>
          <w:p w14:paraId="27CEE860" w14:textId="77777777" w:rsidR="00CF24A3" w:rsidRPr="00CF24A3" w:rsidRDefault="00CF24A3" w:rsidP="00CF24A3"/>
          <w:p w14:paraId="15AF0053" w14:textId="77777777" w:rsidR="00CF24A3" w:rsidRPr="00CF24A3" w:rsidRDefault="00CF24A3" w:rsidP="00CF24A3"/>
          <w:p w14:paraId="69D0F2C9" w14:textId="77777777" w:rsidR="00CF24A3" w:rsidRPr="00CF24A3" w:rsidRDefault="00CF24A3" w:rsidP="00CF24A3"/>
          <w:p w14:paraId="42A7C8B2" w14:textId="77777777" w:rsidR="00CF24A3" w:rsidRPr="00CF24A3" w:rsidRDefault="00CF24A3" w:rsidP="00CF24A3"/>
          <w:p w14:paraId="40B8B413" w14:textId="77777777" w:rsidR="00CF24A3" w:rsidRPr="00CF24A3" w:rsidRDefault="00CF24A3" w:rsidP="00CF24A3"/>
          <w:p w14:paraId="3B8BE737" w14:textId="77777777" w:rsidR="00CF24A3" w:rsidRPr="00CF24A3" w:rsidRDefault="00CF24A3" w:rsidP="00CF24A3"/>
          <w:p w14:paraId="78972D74" w14:textId="77777777" w:rsidR="00CF24A3" w:rsidRPr="00CF24A3" w:rsidRDefault="00CF24A3" w:rsidP="00CF24A3"/>
          <w:p w14:paraId="574FE899" w14:textId="77777777" w:rsidR="00CF24A3" w:rsidRPr="00CF24A3" w:rsidRDefault="00CF24A3" w:rsidP="00CF24A3"/>
          <w:p w14:paraId="699A6031" w14:textId="77777777" w:rsidR="00CF24A3" w:rsidRPr="00CF24A3" w:rsidRDefault="00CF24A3" w:rsidP="00CF24A3"/>
          <w:p w14:paraId="74F32572" w14:textId="77777777" w:rsidR="00CF24A3" w:rsidRPr="00CF24A3" w:rsidRDefault="00CF24A3" w:rsidP="00CF24A3"/>
          <w:p w14:paraId="58B1B7E0" w14:textId="77777777" w:rsidR="00CF24A3" w:rsidRPr="00CF24A3" w:rsidRDefault="00CF24A3" w:rsidP="00CF24A3"/>
          <w:p w14:paraId="42999992" w14:textId="77777777" w:rsidR="00CF24A3" w:rsidRPr="00CF24A3" w:rsidRDefault="00CF24A3" w:rsidP="00CF24A3"/>
          <w:p w14:paraId="76101B3E" w14:textId="77777777" w:rsidR="00CF24A3" w:rsidRPr="00CF24A3" w:rsidRDefault="00CF24A3" w:rsidP="00CF24A3"/>
          <w:p w14:paraId="7CF164F7" w14:textId="77777777" w:rsidR="00CF24A3" w:rsidRPr="00CF24A3" w:rsidRDefault="00CF24A3" w:rsidP="00CF24A3"/>
          <w:p w14:paraId="56235265" w14:textId="77777777" w:rsidR="00CF24A3" w:rsidRPr="00CF24A3" w:rsidRDefault="00CF24A3" w:rsidP="00CF24A3"/>
          <w:p w14:paraId="7F01C0B0" w14:textId="77777777" w:rsidR="00CF24A3" w:rsidRPr="00CF24A3" w:rsidRDefault="00CF24A3" w:rsidP="00CF24A3"/>
          <w:p w14:paraId="11D44CDE" w14:textId="77777777" w:rsidR="00CF24A3" w:rsidRPr="00CF24A3" w:rsidRDefault="00CF24A3" w:rsidP="00CF24A3"/>
          <w:p w14:paraId="3F6E7522" w14:textId="77777777" w:rsidR="00CF24A3" w:rsidRPr="00CF24A3" w:rsidRDefault="00CF24A3" w:rsidP="00CF24A3"/>
          <w:p w14:paraId="3DF7F383" w14:textId="77777777" w:rsidR="00CF24A3" w:rsidRPr="00CF24A3" w:rsidRDefault="00CF24A3" w:rsidP="00CF24A3"/>
          <w:p w14:paraId="49C558B4" w14:textId="77777777" w:rsidR="00CF24A3" w:rsidRPr="00CF24A3" w:rsidRDefault="00CF24A3" w:rsidP="00CF24A3"/>
          <w:p w14:paraId="28C65CBA" w14:textId="77777777" w:rsidR="00CF24A3" w:rsidRPr="00CF24A3" w:rsidRDefault="00CF24A3" w:rsidP="00CF24A3"/>
          <w:p w14:paraId="1B5BDD99" w14:textId="77777777" w:rsidR="00CF24A3" w:rsidRPr="00CF24A3" w:rsidRDefault="00CF24A3" w:rsidP="00CF24A3"/>
          <w:p w14:paraId="74606E64" w14:textId="77777777" w:rsidR="00CF24A3" w:rsidRPr="00CF24A3" w:rsidRDefault="00CF24A3" w:rsidP="00CF24A3"/>
          <w:p w14:paraId="3BA37F8E" w14:textId="77777777" w:rsidR="00CF24A3" w:rsidRPr="00CF24A3" w:rsidRDefault="00CF24A3" w:rsidP="00CF24A3"/>
          <w:p w14:paraId="4F124C36" w14:textId="77777777" w:rsidR="00CF24A3" w:rsidRPr="00CF24A3" w:rsidRDefault="00CF24A3" w:rsidP="00CF24A3"/>
          <w:p w14:paraId="1554F3F1" w14:textId="0A613A9D" w:rsidR="00032C63" w:rsidRPr="00CF24A3" w:rsidRDefault="00032C63" w:rsidP="00CF24A3"/>
        </w:tc>
        <w:tc>
          <w:tcPr>
            <w:tcW w:w="6633" w:type="dxa"/>
          </w:tcPr>
          <w:p w14:paraId="56E8933D" w14:textId="73BB4D80" w:rsidR="00116AA2" w:rsidRPr="00884F51" w:rsidRDefault="008715FA" w:rsidP="00EF30CC">
            <w:pPr>
              <w:pStyle w:val="NormalWeb"/>
              <w:spacing w:before="0" w:beforeAutospacing="0" w:after="0" w:afterAutospacing="0"/>
              <w:ind w:left="-108" w:firstLine="567"/>
              <w:jc w:val="both"/>
            </w:pPr>
            <w:r w:rsidRPr="00884F51">
              <w:lastRenderedPageBreak/>
              <w:t>1.</w:t>
            </w:r>
            <w:r w:rsidR="00142794">
              <w:t> </w:t>
            </w:r>
            <w:r w:rsidR="005F1FAF">
              <w:t>Līdz 2020.</w:t>
            </w:r>
            <w:r w:rsidR="00142794">
              <w:t> </w:t>
            </w:r>
            <w:r w:rsidR="005F1FAF">
              <w:t>gada 30.</w:t>
            </w:r>
            <w:r w:rsidR="00142794">
              <w:t> </w:t>
            </w:r>
            <w:r w:rsidR="005F1FAF">
              <w:t xml:space="preserve">aprīlim </w:t>
            </w:r>
            <w:r w:rsidR="000E1EDB" w:rsidRPr="00884F51">
              <w:t>atbilstoši likuma 6.</w:t>
            </w:r>
            <w:r w:rsidR="000E1EDB" w:rsidRPr="00884F51">
              <w:rPr>
                <w:vertAlign w:val="superscript"/>
              </w:rPr>
              <w:t>1</w:t>
            </w:r>
            <w:r w:rsidR="00142794">
              <w:t> </w:t>
            </w:r>
            <w:r w:rsidR="000E1EDB" w:rsidRPr="00884F51">
              <w:t xml:space="preserve">panta trešās daļas redakcijai no akcīzes nodokļa </w:t>
            </w:r>
            <w:r w:rsidR="005F1FAF">
              <w:t>bija</w:t>
            </w:r>
            <w:r w:rsidR="005F1FAF" w:rsidRPr="00884F51">
              <w:t xml:space="preserve"> </w:t>
            </w:r>
            <w:r w:rsidR="000E1EDB" w:rsidRPr="00884F51">
              <w:t>atbrīvota dabasgāze, kuru izmanto:</w:t>
            </w:r>
          </w:p>
          <w:p w14:paraId="33656107" w14:textId="00365D0A" w:rsidR="000E1EDB" w:rsidRPr="00884F51" w:rsidRDefault="000E1EDB" w:rsidP="000E1EDB">
            <w:pPr>
              <w:ind w:firstLine="390"/>
              <w:jc w:val="both"/>
            </w:pPr>
            <w:r w:rsidRPr="00884F51">
              <w:t>1)</w:t>
            </w:r>
            <w:r w:rsidR="00142794">
              <w:t> </w:t>
            </w:r>
            <w:r w:rsidRPr="00884F51">
              <w:t>lauksaimniecībā izmantojamās zemes segto platību (siltumnīcu) siltumapgādei;</w:t>
            </w:r>
          </w:p>
          <w:p w14:paraId="53482986" w14:textId="1CF20139" w:rsidR="000E1EDB" w:rsidRPr="00884F51" w:rsidRDefault="000E1EDB" w:rsidP="000E1EDB">
            <w:pPr>
              <w:pStyle w:val="NormalWeb"/>
              <w:spacing w:before="0" w:beforeAutospacing="0" w:after="0" w:afterAutospacing="0"/>
              <w:ind w:left="-108" w:firstLine="567"/>
              <w:jc w:val="both"/>
            </w:pPr>
            <w:r w:rsidRPr="00884F51">
              <w:t>2)</w:t>
            </w:r>
            <w:r w:rsidR="00142794">
              <w:t> </w:t>
            </w:r>
            <w:r w:rsidRPr="00884F51">
              <w:t>rūpniecisko mājputnu novietņu (kūts) un inkubatoru siltumapgādei.</w:t>
            </w:r>
          </w:p>
          <w:p w14:paraId="126DEDAC" w14:textId="6EB9213F" w:rsidR="000E1EDB" w:rsidRPr="00884F51" w:rsidRDefault="000E1EDB" w:rsidP="000E1EDB">
            <w:pPr>
              <w:pStyle w:val="NormalWeb"/>
              <w:spacing w:before="0" w:beforeAutospacing="0" w:after="0" w:afterAutospacing="0"/>
              <w:ind w:left="-108" w:firstLine="567"/>
              <w:jc w:val="both"/>
            </w:pPr>
            <w:r w:rsidRPr="00884F51">
              <w:t>Ievērojot Komisijas 2014.</w:t>
            </w:r>
            <w:r w:rsidR="00142794">
              <w:t> </w:t>
            </w:r>
            <w:r w:rsidRPr="00884F51">
              <w:t>gada 17.</w:t>
            </w:r>
            <w:r w:rsidR="00142794">
              <w:t> </w:t>
            </w:r>
            <w:r w:rsidRPr="00884F51">
              <w:t>jūnija Regulas (ES) Nr.</w:t>
            </w:r>
            <w:r w:rsidR="00142794">
              <w:t> </w:t>
            </w:r>
            <w:r w:rsidRPr="00884F51">
              <w:t>651/2014, ar ko noteiktas atbalsta kategorijas atzīst par saderīgām ar iekšējo tirgu, piemē</w:t>
            </w:r>
            <w:r w:rsidR="00EE4472">
              <w:t>rojot Līguma 107. un 108.</w:t>
            </w:r>
            <w:r w:rsidR="00142794">
              <w:t> </w:t>
            </w:r>
            <w:r w:rsidR="00EE4472">
              <w:t>pantu (turpmāk – Regula 651/2014),</w:t>
            </w:r>
            <w:r w:rsidRPr="00884F51">
              <w:t xml:space="preserve"> tiešu piemērošanu, ir nepieciešams dabasgāzei, kuru šobrīd ar akcīz</w:t>
            </w:r>
            <w:r w:rsidR="00142794">
              <w:t xml:space="preserve">es nodokļa atbrīvojumu izmanto </w:t>
            </w:r>
            <w:r w:rsidRPr="00884F51">
              <w:t>gan lauksaimniecībā izmantojamās zemes segto platību (siltumnīcu) siltumapgādei, gan rūpniecisko mājputnu novietņu (kūts) un inkubatoru siltumapgādei, noteikt</w:t>
            </w:r>
            <w:r w:rsidR="004D4D67" w:rsidRPr="00884F51">
              <w:t xml:space="preserve"> kārtību, kādā piemēro</w:t>
            </w:r>
            <w:r w:rsidRPr="00884F51">
              <w:t xml:space="preserve"> minimālo nodokļa likmi saskaņā ar Padomes 2003.</w:t>
            </w:r>
            <w:r w:rsidR="00142794">
              <w:t> </w:t>
            </w:r>
            <w:r w:rsidRPr="00884F51">
              <w:t>gada 27.</w:t>
            </w:r>
            <w:r w:rsidR="00142794">
              <w:t> </w:t>
            </w:r>
            <w:r w:rsidRPr="00884F51">
              <w:t xml:space="preserve">oktobra Direktīvu 2003/96/EK, kas pārkārto Kopienas noteikumus par nodokļu </w:t>
            </w:r>
            <w:r w:rsidRPr="00884F51">
              <w:lastRenderedPageBreak/>
              <w:t xml:space="preserve">uzlikšanu </w:t>
            </w:r>
            <w:proofErr w:type="spellStart"/>
            <w:r w:rsidRPr="00884F51">
              <w:t>energoproduktiem</w:t>
            </w:r>
            <w:proofErr w:type="spellEnd"/>
            <w:r w:rsidRPr="00884F51">
              <w:t xml:space="preserve"> un elektroenerģijai</w:t>
            </w:r>
            <w:r w:rsidR="007E425C" w:rsidRPr="00884F51">
              <w:t xml:space="preserve"> (turpmāk – direktīva 2003/96/EK)</w:t>
            </w:r>
            <w:r w:rsidRPr="00884F51">
              <w:t xml:space="preserve">. </w:t>
            </w:r>
          </w:p>
          <w:p w14:paraId="1E4399DB" w14:textId="3FA901FC" w:rsidR="000E1EDB" w:rsidRPr="00884F51" w:rsidRDefault="000E1EDB" w:rsidP="004D4D67">
            <w:pPr>
              <w:pStyle w:val="NormalWeb"/>
              <w:spacing w:before="0" w:beforeAutospacing="0" w:after="0" w:afterAutospacing="0"/>
              <w:ind w:left="-108" w:firstLine="567"/>
              <w:jc w:val="both"/>
            </w:pPr>
            <w:r w:rsidRPr="00884F51">
              <w:t xml:space="preserve">Līdz ar to </w:t>
            </w:r>
            <w:r w:rsidR="004D4D67" w:rsidRPr="00884F51">
              <w:t xml:space="preserve">noteikumu </w:t>
            </w:r>
            <w:r w:rsidRPr="00884F51">
              <w:t xml:space="preserve">projekts paredz </w:t>
            </w:r>
            <w:r w:rsidR="004D4D67" w:rsidRPr="00884F51">
              <w:t>noteikt kārtību, kādā</w:t>
            </w:r>
            <w:r w:rsidRPr="00884F51">
              <w:t xml:space="preserve"> </w:t>
            </w:r>
            <w:r w:rsidR="004D4D67" w:rsidRPr="00884F51">
              <w:t xml:space="preserve">dabasgāzei, ja to izmanto iepriekš </w:t>
            </w:r>
            <w:r w:rsidRPr="00884F51">
              <w:t>minētajiem izmantošanas mērķiem</w:t>
            </w:r>
            <w:r w:rsidR="004D4D67" w:rsidRPr="00884F51">
              <w:t>,</w:t>
            </w:r>
            <w:r w:rsidRPr="00884F51">
              <w:t xml:space="preserve"> </w:t>
            </w:r>
            <w:r w:rsidR="004D4D67" w:rsidRPr="00884F51">
              <w:t xml:space="preserve">piemēro </w:t>
            </w:r>
            <w:r w:rsidRPr="00884F51">
              <w:t>saskaņā ar likuma 15.</w:t>
            </w:r>
            <w:r w:rsidRPr="00884F51">
              <w:rPr>
                <w:vertAlign w:val="superscript"/>
              </w:rPr>
              <w:t>1</w:t>
            </w:r>
            <w:r w:rsidR="00142794">
              <w:t> </w:t>
            </w:r>
            <w:r w:rsidRPr="00884F51">
              <w:t>panta pirmās daļas 3.</w:t>
            </w:r>
            <w:r w:rsidR="00142794">
              <w:t> </w:t>
            </w:r>
            <w:r w:rsidRPr="00884F51">
              <w:t>punktu noteikt</w:t>
            </w:r>
            <w:r w:rsidR="004D4D67" w:rsidRPr="00884F51">
              <w:t>o</w:t>
            </w:r>
            <w:r w:rsidRPr="00884F51">
              <w:t xml:space="preserve"> minimālo akcīzes nodokļa likmi – 0,55 </w:t>
            </w:r>
            <w:proofErr w:type="spellStart"/>
            <w:r w:rsidRPr="00884F51">
              <w:rPr>
                <w:i/>
              </w:rPr>
              <w:t>euro</w:t>
            </w:r>
            <w:proofErr w:type="spellEnd"/>
            <w:r w:rsidRPr="00884F51">
              <w:t xml:space="preserve"> par 1 </w:t>
            </w:r>
            <w:proofErr w:type="spellStart"/>
            <w:r w:rsidRPr="00884F51">
              <w:t>MWh</w:t>
            </w:r>
            <w:proofErr w:type="spellEnd"/>
            <w:r w:rsidRPr="00884F51">
              <w:t>.</w:t>
            </w:r>
          </w:p>
          <w:p w14:paraId="09D3EF85" w14:textId="7E823D6E" w:rsidR="00884F51" w:rsidRPr="00884F51" w:rsidRDefault="00B319B9" w:rsidP="008715FA">
            <w:pPr>
              <w:pStyle w:val="NormalWeb"/>
              <w:spacing w:before="0" w:beforeAutospacing="0" w:after="0" w:afterAutospacing="0"/>
              <w:ind w:left="-110" w:firstLine="677"/>
              <w:jc w:val="both"/>
            </w:pPr>
            <w:r>
              <w:t>2</w:t>
            </w:r>
            <w:r w:rsidR="00142794">
              <w:t>. </w:t>
            </w:r>
            <w:r w:rsidR="00884F51" w:rsidRPr="00884F51">
              <w:t xml:space="preserve">Noteikumu projekts paredz, ka uz dabasgāzes starpnieku neattiecas nosacījumi par komercdarbības atbalstu, jo dabasgāzes starpnieks nav </w:t>
            </w:r>
            <w:r w:rsidR="00CA5D24">
              <w:t>komercdarbības</w:t>
            </w:r>
            <w:r w:rsidR="00884F51" w:rsidRPr="00884F51">
              <w:t xml:space="preserve"> atbalsta saņēmējs</w:t>
            </w:r>
            <w:r w:rsidR="00CA5D24">
              <w:t xml:space="preserve">, jo </w:t>
            </w:r>
            <w:r w:rsidR="00202C2F">
              <w:t xml:space="preserve">viss </w:t>
            </w:r>
            <w:r w:rsidR="00CA5D24">
              <w:t>labums no iegādātās dabasgāzes, piemērojot samazināto akcīzes nodokļa likmi tiek novirzīts galalietotājam</w:t>
            </w:r>
            <w:r w:rsidR="00884F51" w:rsidRPr="00884F51">
              <w:t>, veic</w:t>
            </w:r>
            <w:r w:rsidR="00CA5D24">
              <w:t>ot</w:t>
            </w:r>
            <w:r w:rsidR="00884F51" w:rsidRPr="00884F51">
              <w:t xml:space="preserve"> dabasgāzes pārveidi citā enerģijas </w:t>
            </w:r>
            <w:proofErr w:type="spellStart"/>
            <w:r w:rsidR="00884F51" w:rsidRPr="00884F51">
              <w:t>veidāizmantošanai</w:t>
            </w:r>
            <w:proofErr w:type="spellEnd"/>
            <w:r w:rsidR="00884F51" w:rsidRPr="00884F51">
              <w:t xml:space="preserve"> likuma 15.</w:t>
            </w:r>
            <w:r w:rsidR="00884F51" w:rsidRPr="00884F51">
              <w:rPr>
                <w:vertAlign w:val="superscript"/>
              </w:rPr>
              <w:t>1</w:t>
            </w:r>
            <w:r w:rsidR="00142794">
              <w:t> </w:t>
            </w:r>
            <w:r w:rsidR="00884F51" w:rsidRPr="00884F51">
              <w:t>panta pirmās daļas 3.</w:t>
            </w:r>
            <w:r w:rsidR="00142794">
              <w:t> </w:t>
            </w:r>
            <w:r w:rsidR="00884F51" w:rsidRPr="00884F51">
              <w:t>punkta “a”, “b” un “c” apakšpunktos minētajiem mērķiem</w:t>
            </w:r>
            <w:r w:rsidR="00CA5D24">
              <w:t>, tādā veidā starpnieks negūst ekonomiskās priekšrocības no samazinātās akcīzes nodokļa likmes</w:t>
            </w:r>
            <w:r w:rsidR="00884F51" w:rsidRPr="00884F51">
              <w:t>.</w:t>
            </w:r>
          </w:p>
          <w:p w14:paraId="44D22A1C" w14:textId="4EB33549" w:rsidR="003D135B" w:rsidRPr="004F0539" w:rsidRDefault="00DF214D" w:rsidP="00EE4472">
            <w:pPr>
              <w:pStyle w:val="tv213"/>
              <w:shd w:val="clear" w:color="auto" w:fill="FFFFFF"/>
              <w:spacing w:before="0" w:beforeAutospacing="0" w:after="0" w:afterAutospacing="0" w:line="293" w:lineRule="atLeast"/>
              <w:ind w:left="-110" w:firstLine="410"/>
              <w:jc w:val="both"/>
            </w:pPr>
            <w:r w:rsidRPr="004F0539">
              <w:t>3</w:t>
            </w:r>
            <w:r w:rsidR="00142794">
              <w:t>. </w:t>
            </w:r>
            <w:r w:rsidR="003D135B" w:rsidRPr="004F0539">
              <w:t xml:space="preserve">Noteikumu projekts </w:t>
            </w:r>
            <w:r w:rsidR="00EE4472" w:rsidRPr="004F0539">
              <w:t>paredz Ministru kabineta 2017.</w:t>
            </w:r>
            <w:r w:rsidR="00142794">
              <w:t xml:space="preserve"> </w:t>
            </w:r>
            <w:r w:rsidR="00EE4472" w:rsidRPr="004F0539">
              <w:t>gada 4.</w:t>
            </w:r>
            <w:r w:rsidR="00142794">
              <w:t> </w:t>
            </w:r>
            <w:r w:rsidR="00EE4472" w:rsidRPr="004F0539">
              <w:t>aprīļa noteikumus Nr.</w:t>
            </w:r>
            <w:r w:rsidR="00142794">
              <w:t> </w:t>
            </w:r>
            <w:r w:rsidR="00EE4472" w:rsidRPr="004F0539">
              <w:t>199 “Noteikumi par dabasgāzes apriti un akcīzes nodokļa piemērošanas kārtību”</w:t>
            </w:r>
            <w:r w:rsidRPr="004F0539">
              <w:t xml:space="preserve"> (turpmāk – MK noteikumi Nr.</w:t>
            </w:r>
            <w:r w:rsidR="00142794">
              <w:t> </w:t>
            </w:r>
            <w:r w:rsidRPr="004F0539">
              <w:t>199) papi</w:t>
            </w:r>
            <w:r w:rsidR="00EE4472" w:rsidRPr="004F0539">
              <w:t>l</w:t>
            </w:r>
            <w:r w:rsidRPr="004F0539">
              <w:t>d</w:t>
            </w:r>
            <w:r w:rsidR="00EE4472" w:rsidRPr="004F0539">
              <w:t xml:space="preserve">ināt ar </w:t>
            </w:r>
            <w:proofErr w:type="spellStart"/>
            <w:r w:rsidRPr="004F0539">
              <w:t>ar</w:t>
            </w:r>
            <w:proofErr w:type="spellEnd"/>
            <w:r w:rsidRPr="004F0539">
              <w:t xml:space="preserve"> </w:t>
            </w:r>
            <w:r w:rsidR="008E05E2">
              <w:t>IV</w:t>
            </w:r>
            <w:r w:rsidR="008E05E2" w:rsidRPr="004832FF">
              <w:rPr>
                <w:vertAlign w:val="superscript"/>
              </w:rPr>
              <w:t>1</w:t>
            </w:r>
            <w:r w:rsidR="008E05E2">
              <w:t xml:space="preserve"> sadaļu</w:t>
            </w:r>
            <w:r w:rsidR="00EE4472" w:rsidRPr="004F0539">
              <w:t>, ku</w:t>
            </w:r>
            <w:r w:rsidR="008E05E2">
              <w:t>rā</w:t>
            </w:r>
            <w:r w:rsidR="00EE4472" w:rsidRPr="004F0539">
              <w:t xml:space="preserve"> tiks noteikta valsts atbalsta sniegšanas kārtība atbilstoši Regulai 651/2014, piemērojot likuma 15.</w:t>
            </w:r>
            <w:r w:rsidR="00EE4472" w:rsidRPr="004F0539">
              <w:rPr>
                <w:vertAlign w:val="superscript"/>
              </w:rPr>
              <w:t>1</w:t>
            </w:r>
            <w:r w:rsidR="00142794">
              <w:t> panta pirmās daļas 3. </w:t>
            </w:r>
            <w:r w:rsidR="00EE4472" w:rsidRPr="004F0539">
              <w:t xml:space="preserve">punktā noteikto nodokļa likmi dabasgāzei izmantošanai šā punkta “a”, “b” un “c” apakšpunktos noteiktajiem mērķiem. </w:t>
            </w:r>
            <w:r w:rsidR="003307A9">
              <w:t>Minētie punkti neattieksies uz dabasgāzes starpnieku, jo tas nav tiešais valsts atbalsta saņēmējs, bet gan uz galalietotājiem, kas saņems dabasgāzi pārveidotu attiecīgajā enerģijas veidā izmantošanai šo noteikumu 61.</w:t>
            </w:r>
            <w:r w:rsidR="00142794">
              <w:t> </w:t>
            </w:r>
            <w:r w:rsidR="003307A9">
              <w:t>punktā noteiktajiem mērķiem.</w:t>
            </w:r>
          </w:p>
          <w:p w14:paraId="000AD178" w14:textId="537C4DFB" w:rsidR="00DF214D" w:rsidRDefault="00DF214D" w:rsidP="00DF214D">
            <w:pPr>
              <w:pStyle w:val="tv213"/>
              <w:shd w:val="clear" w:color="auto" w:fill="FFFFFF"/>
              <w:spacing w:before="0" w:beforeAutospacing="0" w:after="0" w:afterAutospacing="0" w:line="293" w:lineRule="atLeast"/>
              <w:ind w:left="-110" w:firstLine="410"/>
              <w:jc w:val="both"/>
            </w:pPr>
            <w:r w:rsidRPr="004F0539">
              <w:t xml:space="preserve">Līdz ar to atbilstoši </w:t>
            </w:r>
            <w:proofErr w:type="spellStart"/>
            <w:r w:rsidRPr="004F0539">
              <w:t>kompotencei</w:t>
            </w:r>
            <w:proofErr w:type="spellEnd"/>
            <w:r w:rsidRPr="004F0539">
              <w:t xml:space="preserve"> Lauku atbalsta dienestam</w:t>
            </w:r>
            <w:r w:rsidR="00A050DF">
              <w:t xml:space="preserve"> (turpmāk – LAD)</w:t>
            </w:r>
            <w:r w:rsidRPr="004F0539">
              <w:t xml:space="preserve"> būs jāveic dabasgāzes galalietotāju</w:t>
            </w:r>
            <w:r w:rsidR="00233493">
              <w:t xml:space="preserve"> iesniegumu</w:t>
            </w:r>
            <w:r w:rsidR="00281782">
              <w:t xml:space="preserve"> (5.</w:t>
            </w:r>
            <w:r w:rsidR="00142794">
              <w:t xml:space="preserve"> </w:t>
            </w:r>
            <w:r w:rsidR="00281782">
              <w:t>pie</w:t>
            </w:r>
            <w:r w:rsidR="00142794">
              <w:t>l</w:t>
            </w:r>
            <w:r w:rsidR="00281782">
              <w:t>ikums)</w:t>
            </w:r>
            <w:r w:rsidR="00233493">
              <w:t xml:space="preserve"> izvērtēšana, to</w:t>
            </w:r>
            <w:r w:rsidRPr="004F0539">
              <w:t xml:space="preserve"> </w:t>
            </w:r>
            <w:r w:rsidR="00813A06">
              <w:t xml:space="preserve">atbilstību </w:t>
            </w:r>
            <w:r w:rsidR="00813A06" w:rsidRPr="00813A06">
              <w:t>likuma 15.</w:t>
            </w:r>
            <w:r w:rsidR="00813A06" w:rsidRPr="00813A06">
              <w:rPr>
                <w:vertAlign w:val="superscript"/>
              </w:rPr>
              <w:t>1</w:t>
            </w:r>
            <w:r w:rsidR="00142794">
              <w:t> </w:t>
            </w:r>
            <w:r w:rsidR="00813A06" w:rsidRPr="00813A06">
              <w:t>panta pirmās daļas 3.</w:t>
            </w:r>
            <w:r w:rsidR="00142794">
              <w:t xml:space="preserve"> </w:t>
            </w:r>
            <w:r w:rsidR="00813A06" w:rsidRPr="00813A06">
              <w:t xml:space="preserve">punkta </w:t>
            </w:r>
            <w:r w:rsidR="00FD3A3E">
              <w:t>“</w:t>
            </w:r>
            <w:r w:rsidR="00813A06" w:rsidRPr="00813A06">
              <w:t>a</w:t>
            </w:r>
            <w:r w:rsidR="00FD3A3E">
              <w:t>”</w:t>
            </w:r>
            <w:r w:rsidR="00813A06" w:rsidRPr="00813A06">
              <w:t xml:space="preserve">, </w:t>
            </w:r>
            <w:r w:rsidR="00FD3A3E">
              <w:t>“</w:t>
            </w:r>
            <w:r w:rsidR="00813A06" w:rsidRPr="00813A06">
              <w:t>b</w:t>
            </w:r>
            <w:r w:rsidR="00FD3A3E">
              <w:t>”</w:t>
            </w:r>
            <w:r w:rsidR="00813A06" w:rsidRPr="00813A06">
              <w:t xml:space="preserve"> un </w:t>
            </w:r>
            <w:r w:rsidR="00FD3A3E">
              <w:t>“</w:t>
            </w:r>
            <w:r w:rsidR="00813A06" w:rsidRPr="00813A06">
              <w:t>c</w:t>
            </w:r>
            <w:r w:rsidR="00FD3A3E">
              <w:t>”</w:t>
            </w:r>
            <w:r w:rsidR="00813A06" w:rsidRPr="00813A06">
              <w:t xml:space="preserve"> apakšpunktos minētajiem mērķiem, </w:t>
            </w:r>
            <w:r w:rsidR="008E05E2">
              <w:t>kā arī ar grozījumiem papildināto 70.</w:t>
            </w:r>
            <w:r w:rsidR="008E05E2" w:rsidRPr="004832FF">
              <w:rPr>
                <w:vertAlign w:val="superscript"/>
              </w:rPr>
              <w:t>1</w:t>
            </w:r>
            <w:r w:rsidR="008E05E2">
              <w:t>, 70.</w:t>
            </w:r>
            <w:r w:rsidR="008E05E2" w:rsidRPr="004832FF">
              <w:rPr>
                <w:vertAlign w:val="superscript"/>
              </w:rPr>
              <w:t>2</w:t>
            </w:r>
            <w:r w:rsidR="008E05E2">
              <w:t>, 70.</w:t>
            </w:r>
            <w:r w:rsidR="008E05E2" w:rsidRPr="004832FF">
              <w:rPr>
                <w:vertAlign w:val="superscript"/>
              </w:rPr>
              <w:t>3</w:t>
            </w:r>
            <w:r w:rsidR="008E05E2">
              <w:t xml:space="preserve">, </w:t>
            </w:r>
            <w:r w:rsidR="00813A06" w:rsidRPr="00813A06">
              <w:t>7</w:t>
            </w:r>
            <w:r w:rsidR="008E05E2">
              <w:t>0</w:t>
            </w:r>
            <w:r w:rsidR="00813A06" w:rsidRPr="00813A06">
              <w:t>.</w:t>
            </w:r>
            <w:r w:rsidR="00813A06" w:rsidRPr="00813A06">
              <w:rPr>
                <w:vertAlign w:val="superscript"/>
              </w:rPr>
              <w:t>4</w:t>
            </w:r>
            <w:r w:rsidR="00813A06" w:rsidRPr="00813A06">
              <w:t xml:space="preserve"> un 7</w:t>
            </w:r>
            <w:r w:rsidR="008E05E2">
              <w:t>0</w:t>
            </w:r>
            <w:r w:rsidR="00813A06" w:rsidRPr="00813A06">
              <w:t>.</w:t>
            </w:r>
            <w:r w:rsidR="00813A06" w:rsidRPr="00813A06">
              <w:rPr>
                <w:vertAlign w:val="superscript"/>
              </w:rPr>
              <w:t xml:space="preserve">5 </w:t>
            </w:r>
            <w:r w:rsidR="00142794">
              <w:rPr>
                <w:vertAlign w:val="superscript"/>
              </w:rPr>
              <w:t> </w:t>
            </w:r>
            <w:r w:rsidR="00813A06" w:rsidRPr="00813A06">
              <w:t>punkta minētajām prasībām</w:t>
            </w:r>
            <w:r w:rsidR="008E05E2">
              <w:t>.</w:t>
            </w:r>
            <w:r w:rsidR="00A050DF">
              <w:t xml:space="preserve"> </w:t>
            </w:r>
            <w:r w:rsidR="00281782">
              <w:t xml:space="preserve">Iesniegumu dabasgāzes galalietotājs </w:t>
            </w:r>
            <w:proofErr w:type="spellStart"/>
            <w:r w:rsidR="00281782">
              <w:t>iesneidz</w:t>
            </w:r>
            <w:proofErr w:type="spellEnd"/>
            <w:r w:rsidR="00281782">
              <w:t xml:space="preserve"> LAD Elektroniskajā pieteikšanās </w:t>
            </w:r>
            <w:proofErr w:type="spellStart"/>
            <w:r w:rsidR="00281782">
              <w:t>sitēmā</w:t>
            </w:r>
            <w:proofErr w:type="spellEnd"/>
            <w:r w:rsidR="00281782">
              <w:t xml:space="preserve">. </w:t>
            </w:r>
            <w:r w:rsidR="00A050DF">
              <w:t xml:space="preserve">Pēc </w:t>
            </w:r>
            <w:proofErr w:type="spellStart"/>
            <w:r w:rsidR="00314C2B">
              <w:t>ienieguma</w:t>
            </w:r>
            <w:proofErr w:type="spellEnd"/>
            <w:r w:rsidR="00314C2B">
              <w:t xml:space="preserve"> izvērtēšanas</w:t>
            </w:r>
            <w:r w:rsidR="00A050DF">
              <w:t xml:space="preserve"> LAD </w:t>
            </w:r>
            <w:r w:rsidR="00314C2B">
              <w:t xml:space="preserve">pieņems lēmumu </w:t>
            </w:r>
            <w:r w:rsidR="00A050DF">
              <w:t>pieš</w:t>
            </w:r>
            <w:r w:rsidR="00314C2B">
              <w:t>ķirt</w:t>
            </w:r>
            <w:r w:rsidR="00A050DF">
              <w:t xml:space="preserve"> tiesības </w:t>
            </w:r>
            <w:r w:rsidR="00583D70">
              <w:t xml:space="preserve">vai </w:t>
            </w:r>
            <w:proofErr w:type="spellStart"/>
            <w:r w:rsidR="00314C2B">
              <w:t>ne</w:t>
            </w:r>
            <w:r w:rsidR="00583D70">
              <w:t>pieškirt</w:t>
            </w:r>
            <w:proofErr w:type="spellEnd"/>
            <w:r w:rsidR="00583D70">
              <w:t xml:space="preserve"> tiesības </w:t>
            </w:r>
            <w:r w:rsidR="00A050DF">
              <w:t>galalietotājiem</w:t>
            </w:r>
            <w:r w:rsidR="008E05E2">
              <w:t xml:space="preserve"> uz pieciem gadiem</w:t>
            </w:r>
            <w:r w:rsidR="00A050DF">
              <w:t xml:space="preserve"> iegād</w:t>
            </w:r>
            <w:r w:rsidR="00583D70">
              <w:t>āties</w:t>
            </w:r>
            <w:r w:rsidR="00A050DF">
              <w:t xml:space="preserve"> dabasgāzi, kurai piemēro </w:t>
            </w:r>
            <w:r w:rsidR="00A050DF" w:rsidRPr="004F0539">
              <w:t>likuma 15.</w:t>
            </w:r>
            <w:r w:rsidR="00A050DF" w:rsidRPr="004F0539">
              <w:rPr>
                <w:vertAlign w:val="superscript"/>
              </w:rPr>
              <w:t>1</w:t>
            </w:r>
            <w:r w:rsidR="00142794">
              <w:t> panta pirmās daļas 3. </w:t>
            </w:r>
            <w:r w:rsidR="00A050DF" w:rsidRPr="004F0539">
              <w:t>punktā noteikto nodokļa likmi</w:t>
            </w:r>
            <w:r w:rsidR="008E05E2">
              <w:t xml:space="preserve">, vai pieņems lēmumu </w:t>
            </w:r>
            <w:r w:rsidR="004862E9">
              <w:t>nepiešķ</w:t>
            </w:r>
            <w:r w:rsidR="008E05E2">
              <w:t xml:space="preserve">irt tiesības iegādāties dabasgāzi, </w:t>
            </w:r>
            <w:r w:rsidR="008E05E2" w:rsidRPr="008E05E2">
              <w:t>kurai piemēro likuma 15.</w:t>
            </w:r>
            <w:r w:rsidR="008E05E2" w:rsidRPr="004832FF">
              <w:rPr>
                <w:vertAlign w:val="superscript"/>
              </w:rPr>
              <w:t>1</w:t>
            </w:r>
            <w:r w:rsidR="00142794">
              <w:t> </w:t>
            </w:r>
            <w:r w:rsidR="008E05E2" w:rsidRPr="008E05E2">
              <w:t>p</w:t>
            </w:r>
            <w:r w:rsidR="008471F8">
              <w:t>anta pirmās daļas 3.</w:t>
            </w:r>
            <w:r w:rsidR="00142794">
              <w:t> </w:t>
            </w:r>
            <w:r w:rsidR="008E05E2" w:rsidRPr="008E05E2">
              <w:t>punktā noteikto nodokļa likmi</w:t>
            </w:r>
            <w:r w:rsidR="00A050DF">
              <w:t>.</w:t>
            </w:r>
          </w:p>
          <w:p w14:paraId="62C889CC" w14:textId="5688D8FE" w:rsidR="00735651" w:rsidRDefault="00735651" w:rsidP="00DF214D">
            <w:pPr>
              <w:pStyle w:val="tv213"/>
              <w:shd w:val="clear" w:color="auto" w:fill="FFFFFF"/>
              <w:spacing w:before="0" w:beforeAutospacing="0" w:after="0" w:afterAutospacing="0" w:line="293" w:lineRule="atLeast"/>
              <w:ind w:left="-110" w:firstLine="410"/>
              <w:jc w:val="both"/>
            </w:pPr>
            <w:r>
              <w:t>Ņemot vērā LAD nepieciešamo laiku informatīvās sistēmas izvei</w:t>
            </w:r>
            <w:r w:rsidR="00D200C6">
              <w:t>d</w:t>
            </w:r>
            <w:r w:rsidR="003016DE">
              <w:t>ei, noteikumu proj</w:t>
            </w:r>
            <w:r>
              <w:t>e</w:t>
            </w:r>
            <w:r w:rsidR="003016DE">
              <w:t>k</w:t>
            </w:r>
            <w:r>
              <w:t>ts paredz pārejas periodu, l</w:t>
            </w:r>
            <w:r w:rsidRPr="00735651">
              <w:t xml:space="preserve">ai </w:t>
            </w:r>
            <w:r w:rsidR="003016DE">
              <w:t xml:space="preserve">galalietotājs </w:t>
            </w:r>
            <w:r w:rsidRPr="00735651">
              <w:t>saņemtu tiesības ar 2021. gada 1. maiju iegādāties dabasgāzi, kurai piemēro likuma 15.</w:t>
            </w:r>
            <w:r w:rsidRPr="00735651">
              <w:rPr>
                <w:vertAlign w:val="superscript"/>
              </w:rPr>
              <w:t>1</w:t>
            </w:r>
            <w:r w:rsidRPr="00735651">
              <w:t xml:space="preserve"> panta pirmās daļas 3. punktā noteikto nodokļa likmi, galalietotājs Lauku atbalsta dienesta Elektroniskajā pieteikšanās sistēmā iesniedz iesniegumu (5. pielikums) no 2021.gada 1.marta līdz 31. martam.</w:t>
            </w:r>
          </w:p>
          <w:p w14:paraId="10144687" w14:textId="3B93AAC2" w:rsidR="00DF214D" w:rsidRPr="00884F51" w:rsidRDefault="00DF214D" w:rsidP="00DF214D">
            <w:pPr>
              <w:pStyle w:val="NormalWeb"/>
              <w:spacing w:before="0" w:beforeAutospacing="0" w:after="0" w:afterAutospacing="0"/>
              <w:ind w:left="-110" w:firstLine="677"/>
              <w:jc w:val="both"/>
            </w:pPr>
            <w:r>
              <w:t>4</w:t>
            </w:r>
            <w:r w:rsidR="00142794">
              <w:t>. </w:t>
            </w:r>
            <w:r w:rsidRPr="00884F51">
              <w:t xml:space="preserve">Valsts ieņēmumu dienesta (turpmāk – VID) izsniegtajā licencē norādīto ziņu aktualizēšanas gadījumā netiek grozītas </w:t>
            </w:r>
            <w:r w:rsidRPr="00884F51">
              <w:lastRenderedPageBreak/>
              <w:t xml:space="preserve">tiesiskās attiecības, kas nodibinātas ar lēmuma pieņemšanu par licences izsniegšanu. Līdz ar to tā attiecas tikai uz tādām ziņām, kas neietekmē licences izsniegšanu pēc būtības. Tādējādi, ar ziņu aktualizēšanu saprot licencē norādītā komersanta nosaukuma maiņu, licencē norādītās darbības vietas adreses maiņu (ja darbības vietai piešķirta jauna adrese), atzīmes izdarīšanu par darbību ar licencē norādīto akcīzes preču veidu vai darbības veidu pārtraukšanu, vai komercdarbības pārtraukšanu licencē norādītajā darbības vietā. </w:t>
            </w:r>
          </w:p>
          <w:p w14:paraId="74E26655" w14:textId="77777777" w:rsidR="00DF214D" w:rsidRPr="00884F51" w:rsidRDefault="00DF214D" w:rsidP="00DF214D">
            <w:pPr>
              <w:pStyle w:val="NormalWeb"/>
              <w:spacing w:before="0" w:beforeAutospacing="0" w:after="0" w:afterAutospacing="0"/>
              <w:ind w:left="-110" w:firstLine="677"/>
              <w:jc w:val="both"/>
            </w:pPr>
            <w:r w:rsidRPr="00884F51">
              <w:t>Lai aktualizētu licencē norādītās ziņas, komersantam būs jāiesniedz VID</w:t>
            </w:r>
            <w:r>
              <w:t>, izmantojot</w:t>
            </w:r>
            <w:r w:rsidRPr="00884F51">
              <w:t xml:space="preserve"> </w:t>
            </w:r>
            <w:r>
              <w:t xml:space="preserve">Elektroniskās deklarēšanas sistēmu, </w:t>
            </w:r>
            <w:r w:rsidRPr="00884F51">
              <w:t>iesniegums brīvā formā (ja mainīsies komersanta nosaukums</w:t>
            </w:r>
            <w:r>
              <w:t xml:space="preserve"> vai darbības vietai tiks piešķirta jauna adrese,</w:t>
            </w:r>
            <w:r w:rsidRPr="00884F51">
              <w:t xml:space="preserve"> iesniegums par ziņu aktualizēšanu nebūs jāiesniedz. Ziņas par komersanta nosaukuma </w:t>
            </w:r>
            <w:r>
              <w:t xml:space="preserve">un adreses </w:t>
            </w:r>
            <w:r w:rsidRPr="00884F51">
              <w:t>maiņu aktualizēs VID). Par ziņu aktualizēšanu nebūs jāmaksā valsts nodeva.</w:t>
            </w:r>
          </w:p>
          <w:p w14:paraId="2C7CBB0C" w14:textId="30B2E1C2" w:rsidR="00DF214D" w:rsidRDefault="00DF214D" w:rsidP="00DF214D">
            <w:pPr>
              <w:pStyle w:val="NormalWeb"/>
              <w:spacing w:before="0" w:beforeAutospacing="0" w:after="0" w:afterAutospacing="0"/>
              <w:ind w:left="-110" w:firstLine="677"/>
              <w:jc w:val="both"/>
            </w:pPr>
            <w:r w:rsidRPr="00884F51">
              <w:t>Līdz ar to noteikumu projekts paredz MK noteikumus Nr.</w:t>
            </w:r>
            <w:r w:rsidR="00142794">
              <w:t> </w:t>
            </w:r>
            <w:r w:rsidRPr="00884F51">
              <w:t>199 papildināt ar 27.</w:t>
            </w:r>
            <w:r w:rsidRPr="00884F51">
              <w:rPr>
                <w:vertAlign w:val="superscript"/>
              </w:rPr>
              <w:t>1</w:t>
            </w:r>
            <w:r w:rsidRPr="00884F51">
              <w:t xml:space="preserve"> un 27.</w:t>
            </w:r>
            <w:r w:rsidRPr="00884F51">
              <w:rPr>
                <w:vertAlign w:val="superscript"/>
              </w:rPr>
              <w:t>2</w:t>
            </w:r>
            <w:r w:rsidR="00142794">
              <w:t> </w:t>
            </w:r>
            <w:r w:rsidRPr="00884F51">
              <w:t xml:space="preserve">punktu (sk. noteikumu projektu), tādējādi paredzot nodalīt licences </w:t>
            </w:r>
            <w:proofErr w:type="spellStart"/>
            <w:r w:rsidRPr="00884F51">
              <w:t>pārreģistrāciju</w:t>
            </w:r>
            <w:proofErr w:type="spellEnd"/>
            <w:r w:rsidRPr="00884F51">
              <w:t xml:space="preserve"> no licencē norādīto ziņu aktualizēšanas.</w:t>
            </w:r>
          </w:p>
          <w:p w14:paraId="4820920D" w14:textId="77777777" w:rsidR="00DF214D" w:rsidRPr="00856A9F" w:rsidRDefault="00DF214D" w:rsidP="00DF214D">
            <w:pPr>
              <w:pStyle w:val="tv213"/>
              <w:shd w:val="clear" w:color="auto" w:fill="FFFFFF"/>
              <w:spacing w:before="0" w:beforeAutospacing="0" w:after="0" w:afterAutospacing="0" w:line="293" w:lineRule="atLeast"/>
              <w:ind w:firstLine="300"/>
              <w:jc w:val="both"/>
            </w:pPr>
            <w:r w:rsidRPr="00856A9F">
              <w:t xml:space="preserve">Minētās izmaiņas attiecināmas uz VID </w:t>
            </w:r>
            <w:r>
              <w:t xml:space="preserve">elektroniski </w:t>
            </w:r>
            <w:r w:rsidRPr="00856A9F">
              <w:t>sniegtajiem pakalpojumiem:</w:t>
            </w:r>
          </w:p>
          <w:p w14:paraId="248FDCA2" w14:textId="77777777" w:rsidR="00DF214D" w:rsidRPr="00856A9F" w:rsidRDefault="00DF214D" w:rsidP="00DF214D">
            <w:pPr>
              <w:pStyle w:val="tv213"/>
              <w:numPr>
                <w:ilvl w:val="0"/>
                <w:numId w:val="15"/>
              </w:numPr>
              <w:shd w:val="clear" w:color="auto" w:fill="FFFFFF"/>
              <w:spacing w:before="0" w:beforeAutospacing="0" w:after="0" w:afterAutospacing="0" w:line="293" w:lineRule="atLeast"/>
              <w:jc w:val="both"/>
            </w:pPr>
            <w:r w:rsidRPr="00856A9F">
              <w:t xml:space="preserve">speciālas atļaujas (licences) dabasgāzes kā degvielas mazumtirdzniecībai izsniegšana, </w:t>
            </w:r>
            <w:proofErr w:type="spellStart"/>
            <w:r w:rsidRPr="00856A9F">
              <w:t>pārreģistrācija</w:t>
            </w:r>
            <w:proofErr w:type="spellEnd"/>
            <w:r w:rsidRPr="00856A9F">
              <w:t>, anulēšana;</w:t>
            </w:r>
          </w:p>
          <w:p w14:paraId="3E0FF982" w14:textId="77777777" w:rsidR="00DF214D" w:rsidRDefault="00DF214D" w:rsidP="00DF214D">
            <w:pPr>
              <w:pStyle w:val="tv213"/>
              <w:numPr>
                <w:ilvl w:val="0"/>
                <w:numId w:val="15"/>
              </w:numPr>
              <w:shd w:val="clear" w:color="auto" w:fill="FFFFFF"/>
              <w:spacing w:before="0" w:beforeAutospacing="0" w:after="0" w:afterAutospacing="0" w:line="293" w:lineRule="atLeast"/>
              <w:jc w:val="both"/>
            </w:pPr>
            <w:r w:rsidRPr="00856A9F">
              <w:t xml:space="preserve">speciālas atļaujas (licences) apstiprināta noliktavas turētāja darbībām ar dabasgāzi izsniegšana, </w:t>
            </w:r>
            <w:proofErr w:type="spellStart"/>
            <w:r w:rsidRPr="00856A9F">
              <w:t>pārreģistrācija</w:t>
            </w:r>
            <w:proofErr w:type="spellEnd"/>
            <w:r w:rsidRPr="00856A9F">
              <w:t>, anulēšana.</w:t>
            </w:r>
          </w:p>
          <w:p w14:paraId="6EFA7E46" w14:textId="5C1E899F" w:rsidR="00F02531" w:rsidRDefault="00142794" w:rsidP="00B258E1">
            <w:pPr>
              <w:pStyle w:val="tv213"/>
              <w:shd w:val="clear" w:color="auto" w:fill="FFFFFF"/>
              <w:spacing w:before="0" w:beforeAutospacing="0" w:after="0" w:afterAutospacing="0" w:line="293" w:lineRule="atLeast"/>
              <w:ind w:left="-110" w:firstLine="410"/>
              <w:jc w:val="both"/>
            </w:pPr>
            <w:r>
              <w:t>5. </w:t>
            </w:r>
            <w:r w:rsidR="008A70C1">
              <w:t xml:space="preserve">Noteikumu projekts </w:t>
            </w:r>
            <w:r w:rsidR="00F00FBE">
              <w:t>paredz, ka</w:t>
            </w:r>
            <w:r w:rsidR="00F02531">
              <w:t xml:space="preserve"> LAD</w:t>
            </w:r>
            <w:r w:rsidR="00F00FBE">
              <w:t xml:space="preserve"> </w:t>
            </w:r>
            <w:r w:rsidR="005E1FC2">
              <w:t>veic kontroli un</w:t>
            </w:r>
            <w:r w:rsidR="00F00FBE">
              <w:t xml:space="preserve"> gadā pārbauda </w:t>
            </w:r>
            <w:r w:rsidR="001010AB">
              <w:t xml:space="preserve">vismaz </w:t>
            </w:r>
            <w:r w:rsidR="00F00FBE">
              <w:t>10% galalietotāju, kas saņem dabasg</w:t>
            </w:r>
            <w:r w:rsidR="00A12A7F">
              <w:t>āz</w:t>
            </w:r>
            <w:r w:rsidR="00F00FBE">
              <w:t xml:space="preserve">i ar samazinātu akcīzes nodokļa likmi, atbilstību </w:t>
            </w:r>
            <w:r w:rsidR="00813A06" w:rsidRPr="00813A06">
              <w:t>likuma 15.</w:t>
            </w:r>
            <w:r w:rsidR="00813A06" w:rsidRPr="00813A06">
              <w:rPr>
                <w:vertAlign w:val="superscript"/>
              </w:rPr>
              <w:t>1</w:t>
            </w:r>
            <w:r>
              <w:t> </w:t>
            </w:r>
            <w:r w:rsidR="00813A06" w:rsidRPr="00813A06">
              <w:t>panta pirmās daļas 3.</w:t>
            </w:r>
            <w:r>
              <w:t> </w:t>
            </w:r>
            <w:r w:rsidR="00813A06" w:rsidRPr="00813A06">
              <w:t xml:space="preserve">punkta </w:t>
            </w:r>
            <w:r w:rsidR="008E05E2">
              <w:t>“</w:t>
            </w:r>
            <w:r w:rsidR="00813A06" w:rsidRPr="00813A06">
              <w:t>a</w:t>
            </w:r>
            <w:r w:rsidR="008E05E2">
              <w:t>”</w:t>
            </w:r>
            <w:r w:rsidR="00813A06" w:rsidRPr="00813A06">
              <w:t xml:space="preserve">, </w:t>
            </w:r>
            <w:r w:rsidR="008E05E2">
              <w:t>“</w:t>
            </w:r>
            <w:r w:rsidR="00813A06" w:rsidRPr="00813A06">
              <w:t>b</w:t>
            </w:r>
            <w:r w:rsidR="008E05E2">
              <w:t>”</w:t>
            </w:r>
            <w:r w:rsidR="00813A06" w:rsidRPr="00813A06">
              <w:t xml:space="preserve"> un </w:t>
            </w:r>
            <w:r w:rsidR="008E05E2">
              <w:t>“</w:t>
            </w:r>
            <w:r w:rsidR="00813A06" w:rsidRPr="00813A06">
              <w:t>c</w:t>
            </w:r>
            <w:r w:rsidR="008E05E2">
              <w:t>”</w:t>
            </w:r>
            <w:r w:rsidR="00813A06" w:rsidRPr="00813A06">
              <w:t xml:space="preserve"> apakšpunktos minētajiem mērķiem, </w:t>
            </w:r>
            <w:r w:rsidR="0028604F">
              <w:t>ar grozījumiem papildināt</w:t>
            </w:r>
            <w:r w:rsidR="000623B5">
              <w:t>ā</w:t>
            </w:r>
            <w:r w:rsidR="00813A06" w:rsidRPr="00813A06">
              <w:t xml:space="preserve"> </w:t>
            </w:r>
            <w:r w:rsidR="0028604F">
              <w:t>70.</w:t>
            </w:r>
            <w:r w:rsidR="0028604F" w:rsidRPr="00973339">
              <w:rPr>
                <w:vertAlign w:val="superscript"/>
              </w:rPr>
              <w:t>3</w:t>
            </w:r>
            <w:r w:rsidR="0028604F">
              <w:t xml:space="preserve"> un </w:t>
            </w:r>
            <w:r w:rsidR="00813A06" w:rsidRPr="00813A06">
              <w:t>7</w:t>
            </w:r>
            <w:r w:rsidR="0028604F">
              <w:t>0</w:t>
            </w:r>
            <w:r w:rsidR="00813A06" w:rsidRPr="00813A06">
              <w:t>.</w:t>
            </w:r>
            <w:r w:rsidR="00813A06" w:rsidRPr="00813A06">
              <w:rPr>
                <w:vertAlign w:val="superscript"/>
              </w:rPr>
              <w:t>4</w:t>
            </w:r>
            <w:r>
              <w:t> </w:t>
            </w:r>
            <w:r w:rsidR="00813A06" w:rsidRPr="00813A06">
              <w:t>punkta minētajām prasībām</w:t>
            </w:r>
            <w:r w:rsidR="00813A06" w:rsidDel="00813A06">
              <w:t xml:space="preserve"> </w:t>
            </w:r>
            <w:r w:rsidR="00F02531">
              <w:t xml:space="preserve">Attiecībā uz akcīzes nodokļa un valsts atbalsta </w:t>
            </w:r>
            <w:proofErr w:type="spellStart"/>
            <w:r w:rsidR="00F02531">
              <w:t>urzraudzības</w:t>
            </w:r>
            <w:proofErr w:type="spellEnd"/>
            <w:r w:rsidR="00F02531">
              <w:t xml:space="preserve"> administrēšanu informācijas apmaiņa </w:t>
            </w:r>
            <w:r w:rsidR="009F60F1">
              <w:t xml:space="preserve">par galalietotājiem </w:t>
            </w:r>
            <w:r w:rsidR="00A12A7F">
              <w:t xml:space="preserve">notiks </w:t>
            </w:r>
            <w:r w:rsidR="00F02531">
              <w:t>starp VID un LAD</w:t>
            </w:r>
            <w:r w:rsidR="00A050DF">
              <w:t xml:space="preserve">, </w:t>
            </w:r>
            <w:r w:rsidR="00A12A7F">
              <w:t>un</w:t>
            </w:r>
            <w:r w:rsidR="00F02531">
              <w:t xml:space="preserve"> </w:t>
            </w:r>
            <w:r w:rsidR="00A050DF">
              <w:t xml:space="preserve">tā </w:t>
            </w:r>
            <w:r w:rsidR="009F60F1">
              <w:t xml:space="preserve">tiks nodrošināta reizi </w:t>
            </w:r>
            <w:r w:rsidR="00A86DF6">
              <w:t>gadā līdz kalendārā gada 1.</w:t>
            </w:r>
            <w:r w:rsidR="00D8257C">
              <w:t>februāri</w:t>
            </w:r>
            <w:r w:rsidR="00A86DF6">
              <w:t>m par iepriekšēj</w:t>
            </w:r>
            <w:r w:rsidR="00310C78">
              <w:t>ā</w:t>
            </w:r>
            <w:r w:rsidR="00A86DF6">
              <w:t xml:space="preserve"> kalendār</w:t>
            </w:r>
            <w:r w:rsidR="00310C78">
              <w:t>ajā</w:t>
            </w:r>
            <w:r w:rsidR="00A86DF6">
              <w:t xml:space="preserve"> gad</w:t>
            </w:r>
            <w:r w:rsidR="00310C78">
              <w:t xml:space="preserve">ā piešķirto atbalstu Ar piešķirto </w:t>
            </w:r>
            <w:proofErr w:type="spellStart"/>
            <w:r w:rsidR="00310C78">
              <w:t>atbasltu</w:t>
            </w:r>
            <w:proofErr w:type="spellEnd"/>
            <w:r w:rsidR="00310C78">
              <w:t xml:space="preserve"> šo noteikumu izpratnē saprot akcīzes nodokļa starpību starp likuma 15.</w:t>
            </w:r>
            <w:r w:rsidR="00310C78" w:rsidRPr="00310C78">
              <w:rPr>
                <w:vertAlign w:val="superscript"/>
              </w:rPr>
              <w:t>1</w:t>
            </w:r>
            <w:r w:rsidR="00310C78">
              <w:t xml:space="preserve"> panta </w:t>
            </w:r>
            <w:proofErr w:type="spellStart"/>
            <w:r w:rsidR="00310C78">
              <w:t>pirmas</w:t>
            </w:r>
            <w:proofErr w:type="spellEnd"/>
            <w:r w:rsidR="00310C78">
              <w:t xml:space="preserve"> daļas 1.punktā noteikto </w:t>
            </w:r>
            <w:proofErr w:type="spellStart"/>
            <w:r w:rsidR="00310C78">
              <w:t>limi</w:t>
            </w:r>
            <w:proofErr w:type="spellEnd"/>
            <w:r w:rsidR="00310C78">
              <w:t xml:space="preserve"> un </w:t>
            </w:r>
            <w:proofErr w:type="spellStart"/>
            <w:r w:rsidR="00310C78">
              <w:t>šās</w:t>
            </w:r>
            <w:proofErr w:type="spellEnd"/>
            <w:r w:rsidR="00310C78">
              <w:t xml:space="preserve"> daļas 3.punktā noteikto likmi, kas pareizināta ar dabasgāzes </w:t>
            </w:r>
            <w:proofErr w:type="spellStart"/>
            <w:r w:rsidR="00310C78">
              <w:t>dabasgāzes</w:t>
            </w:r>
            <w:proofErr w:type="spellEnd"/>
            <w:r w:rsidR="00310C78">
              <w:t xml:space="preserve"> apjomu</w:t>
            </w:r>
            <w:r w:rsidR="007A7E8D">
              <w:t>, kas galalietotājam piegādāts</w:t>
            </w:r>
            <w:r w:rsidR="00310C78">
              <w:t>, piemērojot likuma 15.</w:t>
            </w:r>
            <w:r w:rsidR="00310C78" w:rsidRPr="00310C78">
              <w:rPr>
                <w:vertAlign w:val="superscript"/>
              </w:rPr>
              <w:t>1</w:t>
            </w:r>
            <w:r w:rsidR="00310C78">
              <w:t xml:space="preserve"> panta pirmās daļas 3.punktā noteikto likmi. </w:t>
            </w:r>
          </w:p>
          <w:p w14:paraId="0F8B2FE9" w14:textId="6B6D2505" w:rsidR="00142285" w:rsidRDefault="00142794" w:rsidP="00142285">
            <w:pPr>
              <w:pStyle w:val="tv213"/>
              <w:shd w:val="clear" w:color="auto" w:fill="FFFFFF"/>
              <w:spacing w:before="0" w:beforeAutospacing="0" w:after="0" w:afterAutospacing="0" w:line="293" w:lineRule="atLeast"/>
              <w:ind w:left="-110" w:firstLine="410"/>
              <w:jc w:val="both"/>
            </w:pPr>
            <w:r>
              <w:t>6. </w:t>
            </w:r>
            <w:r w:rsidR="00547F02" w:rsidRPr="000426A5">
              <w:t>N</w:t>
            </w:r>
            <w:r w:rsidR="00CF675A" w:rsidRPr="000426A5">
              <w:t>oteikumu projekts paredz noteikt dabasgāzes galalietotāja atbi</w:t>
            </w:r>
            <w:r w:rsidR="00547F02" w:rsidRPr="000426A5">
              <w:t>l</w:t>
            </w:r>
            <w:r w:rsidR="00CF675A" w:rsidRPr="000426A5">
              <w:t>d</w:t>
            </w:r>
            <w:r w:rsidR="00547F02" w:rsidRPr="000426A5">
              <w:t xml:space="preserve">ību, ja tiek konstatēts Regulas 651/2014 noteikto prasību pārkāpums, un tiek noteikta kārtība, kā tiek </w:t>
            </w:r>
            <w:proofErr w:type="spellStart"/>
            <w:r w:rsidR="00547F02" w:rsidRPr="000426A5">
              <w:t>smaksāts</w:t>
            </w:r>
            <w:proofErr w:type="spellEnd"/>
            <w:r w:rsidR="00547F02" w:rsidRPr="000426A5">
              <w:t xml:space="preserve"> nodoklis kā saņemtais komercdarbības atbalsts, kā arī kārtība, </w:t>
            </w:r>
            <w:r w:rsidR="005E1FC2" w:rsidRPr="000426A5">
              <w:t>kā tiek atgūts nelikumīgi saņemtais komercdarbības atbalsts.</w:t>
            </w:r>
            <w:r w:rsidR="000623B5" w:rsidRPr="000426A5">
              <w:t xml:space="preserve"> Nelikumīgā komercdarbības atbalsta </w:t>
            </w:r>
            <w:proofErr w:type="spellStart"/>
            <w:r w:rsidR="000623B5" w:rsidRPr="000426A5">
              <w:t>atbalsta</w:t>
            </w:r>
            <w:proofErr w:type="spellEnd"/>
            <w:r w:rsidR="000623B5" w:rsidRPr="000426A5">
              <w:t xml:space="preserve"> apmērs kopā ar procentiem ir aprēķināms </w:t>
            </w:r>
            <w:r w:rsidR="000426A5" w:rsidRPr="000426A5">
              <w:t xml:space="preserve">periodā par trīs gadiem likumā “Par nodokļiem un </w:t>
            </w:r>
            <w:proofErr w:type="spellStart"/>
            <w:r w:rsidR="000426A5" w:rsidRPr="000426A5">
              <w:t>nodevam</w:t>
            </w:r>
            <w:proofErr w:type="spellEnd"/>
            <w:r w:rsidR="000426A5" w:rsidRPr="000426A5">
              <w:t>” noteiktajā k</w:t>
            </w:r>
            <w:r>
              <w:t>ārtībā. Savukārt periodā, kas pā</w:t>
            </w:r>
            <w:r w:rsidR="000426A5" w:rsidRPr="000426A5">
              <w:t>rsn</w:t>
            </w:r>
            <w:r>
              <w:t>i</w:t>
            </w:r>
            <w:r w:rsidR="000426A5" w:rsidRPr="000426A5">
              <w:t xml:space="preserve">edz trīs </w:t>
            </w:r>
            <w:r w:rsidR="000426A5" w:rsidRPr="000426A5">
              <w:lastRenderedPageBreak/>
              <w:t>gadus</w:t>
            </w:r>
            <w:r w:rsidR="009F79BF">
              <w:t>,</w:t>
            </w:r>
            <w:r w:rsidR="000426A5" w:rsidRPr="000426A5">
              <w:t xml:space="preserve"> </w:t>
            </w:r>
            <w:r w:rsidR="000623B5" w:rsidRPr="000426A5">
              <w:t xml:space="preserve">saskaņā ar šādu formulu: </w:t>
            </w:r>
            <w:r w:rsidR="00AB2544" w:rsidRPr="000426A5">
              <w:t xml:space="preserve">Kopējā atgūstamā </w:t>
            </w:r>
            <w:r w:rsidR="000418A9" w:rsidRPr="000426A5">
              <w:t>summa</w:t>
            </w:r>
            <w:r w:rsidR="000623B5" w:rsidRPr="000426A5">
              <w:t xml:space="preserve"> = </w:t>
            </w:r>
            <w:r w:rsidR="000418A9" w:rsidRPr="000426A5">
              <w:t>s</w:t>
            </w:r>
            <w:r w:rsidR="000623B5" w:rsidRPr="000426A5">
              <w:t>ākotnējā vērtība (</w:t>
            </w:r>
            <w:proofErr w:type="spellStart"/>
            <w:r w:rsidR="000418A9" w:rsidRPr="000426A5">
              <w:t>pieškirtā</w:t>
            </w:r>
            <w:proofErr w:type="spellEnd"/>
            <w:r w:rsidR="000418A9" w:rsidRPr="000426A5">
              <w:t xml:space="preserve"> atbalsta summa</w:t>
            </w:r>
            <w:r w:rsidR="000623B5" w:rsidRPr="000426A5">
              <w:t xml:space="preserve">) x (1 + </w:t>
            </w:r>
            <w:r w:rsidR="000418A9" w:rsidRPr="000426A5">
              <w:t>atsauces likme</w:t>
            </w:r>
            <w:r w:rsidR="000623B5" w:rsidRPr="000426A5">
              <w:t>)</w:t>
            </w:r>
            <w:r w:rsidR="000623B5" w:rsidRPr="000426A5">
              <w:rPr>
                <w:vertAlign w:val="superscript"/>
              </w:rPr>
              <w:t>gadi</w:t>
            </w:r>
            <w:r w:rsidR="000623B5" w:rsidRPr="000426A5">
              <w:t xml:space="preserve"> x (1 + </w:t>
            </w:r>
            <w:r w:rsidR="000418A9" w:rsidRPr="000426A5">
              <w:t xml:space="preserve">atsauces </w:t>
            </w:r>
            <w:r w:rsidR="000623B5" w:rsidRPr="000426A5">
              <w:t>likme)</w:t>
            </w:r>
            <w:r w:rsidR="000623B5" w:rsidRPr="000426A5">
              <w:rPr>
                <w:vertAlign w:val="superscript"/>
              </w:rPr>
              <w:t>dienu skaits/365</w:t>
            </w:r>
            <w:r w:rsidR="000623B5" w:rsidRPr="000426A5">
              <w:t>.</w:t>
            </w:r>
          </w:p>
          <w:p w14:paraId="64EF5C09" w14:textId="54F0F9A9" w:rsidR="004832FF" w:rsidRDefault="004832FF" w:rsidP="00142285">
            <w:pPr>
              <w:pStyle w:val="tv213"/>
              <w:shd w:val="clear" w:color="auto" w:fill="FFFFFF"/>
              <w:spacing w:before="0" w:beforeAutospacing="0" w:after="0" w:afterAutospacing="0" w:line="293" w:lineRule="atLeast"/>
              <w:ind w:left="-110" w:firstLine="410"/>
              <w:jc w:val="both"/>
            </w:pPr>
            <w:r>
              <w:t>Saskaņā ar Padomes 2015.</w:t>
            </w:r>
            <w:r w:rsidR="00142794">
              <w:t> </w:t>
            </w:r>
            <w:r>
              <w:t>gada 13.</w:t>
            </w:r>
            <w:r w:rsidR="00142794">
              <w:t> </w:t>
            </w:r>
            <w:r w:rsidRPr="004832FF">
              <w:t>jūlija regulas (ES) 2015/1589</w:t>
            </w:r>
            <w:r>
              <w:t>,</w:t>
            </w:r>
            <w:r w:rsidRPr="004832FF">
              <w:t xml:space="preserve"> ar ko nosaka sīki izstrādātus noteikumus Līguma par Eiropas Savienības darbību 108.</w:t>
            </w:r>
            <w:r w:rsidR="00142794">
              <w:t xml:space="preserve"> </w:t>
            </w:r>
            <w:r>
              <w:t>panta piemērošanai, 16.</w:t>
            </w:r>
            <w:r w:rsidR="00142794">
              <w:t> </w:t>
            </w:r>
            <w:proofErr w:type="spellStart"/>
            <w:r>
              <w:t>anta</w:t>
            </w:r>
            <w:proofErr w:type="spellEnd"/>
            <w:r>
              <w:t xml:space="preserve"> 2.</w:t>
            </w:r>
            <w:r w:rsidR="00142794">
              <w:t> </w:t>
            </w:r>
            <w:r w:rsidRPr="004832FF">
              <w:t>punktu procenti maksājami no dienas, kad nelikumīgais atbalsts nodots saņēmēja rīcībā, līdz tās atgūšanas dienai, līdz ar to nelikumīgais atbalsts ir uzskatāms par atgūtu dienā, kad tas ir pilnībā atmaksāts kopā ar procentiem valsts budžetā.</w:t>
            </w:r>
          </w:p>
          <w:p w14:paraId="4C543F91" w14:textId="603BD665" w:rsidR="000418A9" w:rsidRDefault="000418A9" w:rsidP="00142285">
            <w:pPr>
              <w:pStyle w:val="tv213"/>
              <w:shd w:val="clear" w:color="auto" w:fill="FFFFFF"/>
              <w:spacing w:before="0" w:beforeAutospacing="0" w:after="0" w:afterAutospacing="0" w:line="293" w:lineRule="atLeast"/>
              <w:ind w:left="-110" w:firstLine="410"/>
              <w:jc w:val="both"/>
            </w:pPr>
            <w:r>
              <w:t>Ņemot vērā, ka s</w:t>
            </w:r>
            <w:r w:rsidRPr="000418A9">
              <w:t>askaņā ar likuma “Par nodokļiem un nodevām” 23.</w:t>
            </w:r>
            <w:r w:rsidR="00142794">
              <w:t> </w:t>
            </w:r>
            <w:r w:rsidRPr="000418A9">
              <w:t>panta 5.</w:t>
            </w:r>
            <w:r w:rsidRPr="000418A9">
              <w:rPr>
                <w:vertAlign w:val="superscript"/>
              </w:rPr>
              <w:t>1</w:t>
            </w:r>
            <w:r w:rsidR="00142794">
              <w:t> d</w:t>
            </w:r>
            <w:r w:rsidRPr="000418A9">
              <w:t>aļu un likuma “Par Valsts ieņēmumu dienestu” 10.</w:t>
            </w:r>
            <w:r w:rsidR="00142794">
              <w:t> </w:t>
            </w:r>
            <w:r w:rsidRPr="000418A9">
              <w:t>panta pirmās daļas 2.</w:t>
            </w:r>
            <w:r w:rsidR="00142794">
              <w:t> </w:t>
            </w:r>
            <w:r w:rsidRPr="000418A9">
              <w:t>punktu VID kompetence piedzīt nelikumīgo komercdarbības atbalstu ir ierobežota triju gadu laikā no normatīvajos aktos noteiktā maksāšanas termiņa, tas nenodrošinātu piešķirto komercdarbības atbalstu pārbaudi un atgūšanu komercdarbības atbalsta kontroles regulējumā noteiktajā 10 gadu periodā, līdz ar to likuma “Par nodokļiem un nodevām” 23.</w:t>
            </w:r>
            <w:r w:rsidR="00142794">
              <w:t> </w:t>
            </w:r>
            <w:r w:rsidRPr="000418A9">
              <w:t>panta 5.</w:t>
            </w:r>
            <w:r w:rsidRPr="009744CF">
              <w:rPr>
                <w:vertAlign w:val="superscript"/>
              </w:rPr>
              <w:t>1</w:t>
            </w:r>
            <w:r w:rsidR="009744CF">
              <w:t xml:space="preserve"> </w:t>
            </w:r>
            <w:r w:rsidRPr="000418A9">
              <w:t>daļa un likuma “Par Valsts ieņēmumu dienestu” 10.</w:t>
            </w:r>
            <w:r w:rsidR="00142794">
              <w:t> </w:t>
            </w:r>
            <w:r w:rsidRPr="000418A9">
              <w:t>panta pirmās daļas 2.</w:t>
            </w:r>
            <w:r w:rsidR="00142794">
              <w:t> </w:t>
            </w:r>
            <w:r w:rsidRPr="000418A9">
              <w:t>punkts piemērojams tiktāl, cik tas nav pretrunā šajā noteikumu projektā noteikta</w:t>
            </w:r>
            <w:r w:rsidR="009744CF">
              <w:t>jai kārtībai. N</w:t>
            </w:r>
            <w:r w:rsidRPr="000418A9">
              <w:t>o komercdarbī</w:t>
            </w:r>
            <w:r w:rsidR="009744CF">
              <w:t>bas atbalsta kontroles viedokļa</w:t>
            </w:r>
            <w:r w:rsidRPr="000418A9">
              <w:t xml:space="preserve"> samaksas termiņa pagarināšana bez papildus nelikumīgā komercdarbības atbalsta procentu</w:t>
            </w:r>
            <w:r w:rsidR="009744CF">
              <w:t xml:space="preserve"> uzrēķināšanas nav pieļaujama, un n</w:t>
            </w:r>
            <w:r w:rsidRPr="000418A9">
              <w:t>elikumīgā komercdarbības atbalsta procenti rēķināmi visā nelikumības periodā no faktiskā labuma saņemšanas, līdz pilnai atmaksai.</w:t>
            </w:r>
          </w:p>
          <w:p w14:paraId="46ED6514" w14:textId="77777777" w:rsidR="00B258E1" w:rsidRDefault="00CF675A" w:rsidP="00142794">
            <w:pPr>
              <w:pStyle w:val="tv213"/>
              <w:shd w:val="clear" w:color="auto" w:fill="FFFFFF"/>
              <w:spacing w:before="0" w:beforeAutospacing="0" w:after="0" w:afterAutospacing="0" w:line="293" w:lineRule="atLeast"/>
              <w:ind w:left="-110" w:firstLine="410"/>
              <w:jc w:val="both"/>
            </w:pPr>
            <w:r>
              <w:t>7.</w:t>
            </w:r>
            <w:r w:rsidR="00142794">
              <w:t> </w:t>
            </w:r>
            <w:r w:rsidR="00B258E1">
              <w:t>Ņemot vērā nep</w:t>
            </w:r>
            <w:r w:rsidR="00CF24A3">
              <w:t>iec</w:t>
            </w:r>
            <w:r w:rsidR="00B258E1">
              <w:t xml:space="preserve">iešamību precizēt </w:t>
            </w:r>
            <w:r w:rsidR="00CB4BBD">
              <w:t xml:space="preserve">speciālajā atļaujā (licencē) </w:t>
            </w:r>
            <w:r w:rsidR="00B258E1">
              <w:t>apstiprināta noliktavas turētāja darbībām ar dabasgāzi</w:t>
            </w:r>
            <w:r w:rsidR="00CB4BBD">
              <w:t xml:space="preserve"> norādāmo informāciju par</w:t>
            </w:r>
            <w:r w:rsidR="00B258E1">
              <w:t xml:space="preserve"> </w:t>
            </w:r>
            <w:r w:rsidR="00CF24A3">
              <w:t xml:space="preserve">īpašumā </w:t>
            </w:r>
            <w:r w:rsidR="00CF24A3" w:rsidRPr="00CF24A3">
              <w:t>esošo dabasgāzes tehnoloģisko iekārtu atrašanās viet</w:t>
            </w:r>
            <w:r w:rsidR="00CF24A3">
              <w:t>ām</w:t>
            </w:r>
            <w:r w:rsidR="00B258E1">
              <w:t>, noteikumu projekts arī paredz izteikt MK noteikumu Nr.</w:t>
            </w:r>
            <w:r w:rsidR="00142794">
              <w:t> </w:t>
            </w:r>
            <w:r w:rsidR="00B258E1">
              <w:t xml:space="preserve">199 pielikumus jaunā redakcijā. Grozījumi pielikumos stāsies </w:t>
            </w:r>
            <w:r w:rsidR="00CF24A3">
              <w:t>s</w:t>
            </w:r>
            <w:r w:rsidR="00B258E1">
              <w:t>pēk</w:t>
            </w:r>
            <w:r w:rsidR="00CF24A3">
              <w:t>ā</w:t>
            </w:r>
            <w:r w:rsidR="00B258E1">
              <w:t xml:space="preserve"> 2021.</w:t>
            </w:r>
            <w:r w:rsidR="00142794">
              <w:t> </w:t>
            </w:r>
            <w:r w:rsidR="00B258E1">
              <w:t>gada 1.</w:t>
            </w:r>
            <w:r w:rsidR="00142794">
              <w:t> </w:t>
            </w:r>
            <w:r w:rsidR="00B258E1">
              <w:t>janvār</w:t>
            </w:r>
            <w:r w:rsidR="00CF24A3">
              <w:t>ī</w:t>
            </w:r>
            <w:r w:rsidR="00B258E1">
              <w:t>.</w:t>
            </w:r>
          </w:p>
          <w:p w14:paraId="512DA97B" w14:textId="798D9080" w:rsidR="008E0FE8" w:rsidRPr="00884F51" w:rsidRDefault="008E0FE8" w:rsidP="00142794">
            <w:pPr>
              <w:pStyle w:val="tv213"/>
              <w:shd w:val="clear" w:color="auto" w:fill="FFFFFF"/>
              <w:spacing w:before="0" w:beforeAutospacing="0" w:after="0" w:afterAutospacing="0" w:line="293" w:lineRule="atLeast"/>
              <w:ind w:left="-110" w:firstLine="410"/>
              <w:jc w:val="both"/>
            </w:pPr>
          </w:p>
        </w:tc>
      </w:tr>
      <w:tr w:rsidR="009F107E" w:rsidRPr="00884F51" w14:paraId="466EA288" w14:textId="77777777" w:rsidTr="00EA3B8F">
        <w:tc>
          <w:tcPr>
            <w:tcW w:w="496" w:type="dxa"/>
            <w:hideMark/>
          </w:tcPr>
          <w:p w14:paraId="2517507B" w14:textId="77777777" w:rsidR="00032C63" w:rsidRPr="00884F51" w:rsidRDefault="00431C1A" w:rsidP="00032C63">
            <w:r w:rsidRPr="00884F51">
              <w:lastRenderedPageBreak/>
              <w:t>3.</w:t>
            </w:r>
          </w:p>
        </w:tc>
        <w:tc>
          <w:tcPr>
            <w:tcW w:w="2193" w:type="dxa"/>
            <w:hideMark/>
          </w:tcPr>
          <w:p w14:paraId="0A774A84" w14:textId="77777777" w:rsidR="00032C63" w:rsidRPr="00884F51" w:rsidRDefault="00431C1A" w:rsidP="00032C63">
            <w:r w:rsidRPr="00884F51">
              <w:rPr>
                <w:color w:val="000000"/>
              </w:rPr>
              <w:t>Projekta izstrādē iesaistītās institūcijas</w:t>
            </w:r>
          </w:p>
        </w:tc>
        <w:tc>
          <w:tcPr>
            <w:tcW w:w="6633" w:type="dxa"/>
          </w:tcPr>
          <w:p w14:paraId="1D72568A" w14:textId="62E6FFEA" w:rsidR="00032C63" w:rsidRPr="00884F51" w:rsidRDefault="00F74912">
            <w:pPr>
              <w:ind w:left="-108"/>
              <w:jc w:val="both"/>
            </w:pPr>
            <w:r w:rsidRPr="00884F51">
              <w:t>Finanšu ministrij</w:t>
            </w:r>
            <w:r w:rsidR="00461717" w:rsidRPr="00884F51">
              <w:t>a</w:t>
            </w:r>
            <w:r w:rsidR="003B520E" w:rsidRPr="00884F51">
              <w:t xml:space="preserve">, </w:t>
            </w:r>
            <w:r w:rsidR="009B3F10">
              <w:t>VID</w:t>
            </w:r>
            <w:r w:rsidR="003B520E" w:rsidRPr="00884F51">
              <w:t xml:space="preserve"> un </w:t>
            </w:r>
            <w:r w:rsidR="004D4D67" w:rsidRPr="00884F51">
              <w:t>Zemkopības</w:t>
            </w:r>
            <w:r w:rsidR="003B520E" w:rsidRPr="00884F51">
              <w:t xml:space="preserve"> ministrija</w:t>
            </w:r>
            <w:r w:rsidR="00813A06">
              <w:t xml:space="preserve"> un Lauku atbalsta dienests</w:t>
            </w:r>
            <w:r w:rsidRPr="00884F51">
              <w:t>.</w:t>
            </w:r>
          </w:p>
        </w:tc>
      </w:tr>
      <w:tr w:rsidR="009F107E" w:rsidRPr="00884F51" w14:paraId="06DD3074" w14:textId="77777777" w:rsidTr="00EA3B8F">
        <w:tc>
          <w:tcPr>
            <w:tcW w:w="496" w:type="dxa"/>
            <w:hideMark/>
          </w:tcPr>
          <w:p w14:paraId="1D5E104D" w14:textId="77777777" w:rsidR="00032C63" w:rsidRPr="00884F51" w:rsidRDefault="00431C1A" w:rsidP="00032C63">
            <w:r w:rsidRPr="00884F51">
              <w:t>4.</w:t>
            </w:r>
          </w:p>
        </w:tc>
        <w:tc>
          <w:tcPr>
            <w:tcW w:w="2193" w:type="dxa"/>
            <w:hideMark/>
          </w:tcPr>
          <w:p w14:paraId="3CA42C18" w14:textId="77777777" w:rsidR="00032C63" w:rsidRPr="00884F51" w:rsidRDefault="00032C63" w:rsidP="00032C63">
            <w:r w:rsidRPr="00884F51">
              <w:t>Cita informācija</w:t>
            </w:r>
          </w:p>
        </w:tc>
        <w:tc>
          <w:tcPr>
            <w:tcW w:w="6633" w:type="dxa"/>
          </w:tcPr>
          <w:p w14:paraId="013C718F" w14:textId="77777777" w:rsidR="00032C63" w:rsidRPr="00884F51" w:rsidRDefault="00605094" w:rsidP="003D312A">
            <w:pPr>
              <w:ind w:left="-108"/>
              <w:jc w:val="both"/>
            </w:pPr>
            <w:r w:rsidRPr="00884F51">
              <w:t>Nav.</w:t>
            </w:r>
          </w:p>
        </w:tc>
      </w:tr>
    </w:tbl>
    <w:p w14:paraId="6E9879C7" w14:textId="77777777" w:rsidR="00032C63" w:rsidRPr="00884F51" w:rsidRDefault="00032C63" w:rsidP="00032C63">
      <w:pPr>
        <w:spacing w:line="270" w:lineRule="atLeast"/>
        <w:jc w:val="both"/>
        <w:rPr>
          <w:rStyle w:val="apple-style-span"/>
          <w:color w:val="000000"/>
        </w:rPr>
      </w:pPr>
    </w:p>
    <w:tbl>
      <w:tblPr>
        <w:tblW w:w="5067" w:type="pct"/>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61"/>
        <w:gridCol w:w="3373"/>
        <w:gridCol w:w="5342"/>
      </w:tblGrid>
      <w:tr w:rsidR="00032C63" w:rsidRPr="00884F51" w14:paraId="7F60FD63" w14:textId="77777777" w:rsidTr="00E742B4">
        <w:tc>
          <w:tcPr>
            <w:tcW w:w="5000" w:type="pct"/>
            <w:gridSpan w:val="3"/>
            <w:tcBorders>
              <w:top w:val="single" w:sz="6" w:space="0" w:color="000000"/>
              <w:left w:val="single" w:sz="6" w:space="0" w:color="000000"/>
              <w:bottom w:val="outset" w:sz="6" w:space="0" w:color="000000"/>
              <w:right w:val="single" w:sz="6" w:space="0" w:color="000000"/>
            </w:tcBorders>
            <w:vAlign w:val="center"/>
          </w:tcPr>
          <w:p w14:paraId="6A84B001" w14:textId="77777777" w:rsidR="00032C63" w:rsidRPr="00884F51" w:rsidRDefault="00032C63" w:rsidP="00032C63">
            <w:pPr>
              <w:pStyle w:val="NormalWeb"/>
              <w:jc w:val="center"/>
              <w:rPr>
                <w:b/>
                <w:bCs/>
              </w:rPr>
            </w:pPr>
            <w:r w:rsidRPr="00884F51">
              <w:rPr>
                <w:b/>
                <w:bCs/>
              </w:rPr>
              <w:t>II. Tiesību akta projekta ietekme uz sabiedrību</w:t>
            </w:r>
            <w:r w:rsidR="00431C1A" w:rsidRPr="00884F51">
              <w:rPr>
                <w:b/>
                <w:bCs/>
              </w:rPr>
              <w:t>, tautsaimniecības attīstību un administratīvo slogu</w:t>
            </w:r>
          </w:p>
        </w:tc>
      </w:tr>
      <w:tr w:rsidR="00032C63" w:rsidRPr="00884F51" w14:paraId="228B5B08" w14:textId="77777777" w:rsidTr="00E742B4">
        <w:tc>
          <w:tcPr>
            <w:tcW w:w="251" w:type="pct"/>
            <w:tcBorders>
              <w:top w:val="outset" w:sz="6" w:space="0" w:color="000000"/>
              <w:left w:val="outset" w:sz="6" w:space="0" w:color="000000"/>
              <w:bottom w:val="outset" w:sz="6" w:space="0" w:color="000000"/>
              <w:right w:val="outset" w:sz="6" w:space="0" w:color="000000"/>
            </w:tcBorders>
          </w:tcPr>
          <w:p w14:paraId="46E5B5CD" w14:textId="77777777" w:rsidR="00032C63" w:rsidRPr="00884F51" w:rsidRDefault="00032C63" w:rsidP="00032C63">
            <w:pPr>
              <w:pStyle w:val="NormalWeb"/>
            </w:pPr>
            <w:r w:rsidRPr="00884F51">
              <w:t>1.</w:t>
            </w:r>
          </w:p>
        </w:tc>
        <w:tc>
          <w:tcPr>
            <w:tcW w:w="1838" w:type="pct"/>
            <w:tcBorders>
              <w:top w:val="outset" w:sz="6" w:space="0" w:color="000000"/>
              <w:left w:val="outset" w:sz="6" w:space="0" w:color="000000"/>
              <w:bottom w:val="outset" w:sz="6" w:space="0" w:color="000000"/>
              <w:right w:val="outset" w:sz="6" w:space="0" w:color="000000"/>
            </w:tcBorders>
          </w:tcPr>
          <w:p w14:paraId="757C569B" w14:textId="77777777" w:rsidR="00032C63" w:rsidRPr="00884F51" w:rsidRDefault="00032C63" w:rsidP="00A274A7">
            <w:pPr>
              <w:pStyle w:val="NormalWeb"/>
              <w:ind w:right="113"/>
            </w:pPr>
            <w:r w:rsidRPr="00884F51">
              <w:t xml:space="preserve">Sabiedrības </w:t>
            </w:r>
            <w:proofErr w:type="spellStart"/>
            <w:r w:rsidRPr="00884F51">
              <w:t>mērķgrupa</w:t>
            </w:r>
            <w:r w:rsidR="00431C1A" w:rsidRPr="00884F51">
              <w:t>s</w:t>
            </w:r>
            <w:proofErr w:type="spellEnd"/>
            <w:r w:rsidR="00431C1A" w:rsidRPr="00884F51">
              <w:t>, kuras tiesiskais regulējums ietekmē vai varētu ietekmēt</w:t>
            </w:r>
          </w:p>
        </w:tc>
        <w:tc>
          <w:tcPr>
            <w:tcW w:w="2911" w:type="pct"/>
            <w:tcBorders>
              <w:top w:val="outset" w:sz="6" w:space="0" w:color="000000"/>
              <w:left w:val="outset" w:sz="6" w:space="0" w:color="000000"/>
              <w:bottom w:val="outset" w:sz="6" w:space="0" w:color="000000"/>
              <w:right w:val="outset" w:sz="6" w:space="0" w:color="000000"/>
            </w:tcBorders>
          </w:tcPr>
          <w:p w14:paraId="4D073DAC" w14:textId="55320F26" w:rsidR="00233493" w:rsidRDefault="00233493" w:rsidP="004862E9">
            <w:pPr>
              <w:ind w:right="113" w:firstLine="396"/>
              <w:jc w:val="both"/>
            </w:pPr>
            <w:r>
              <w:t xml:space="preserve">Noteikumu </w:t>
            </w:r>
            <w:r w:rsidR="00A050DF">
              <w:t>proj</w:t>
            </w:r>
            <w:r w:rsidR="00142794">
              <w:t>e</w:t>
            </w:r>
            <w:r w:rsidR="00A050DF">
              <w:t>kta pieņemšanas attiecas uz:</w:t>
            </w:r>
          </w:p>
          <w:p w14:paraId="14402EC4" w14:textId="0B638FB3" w:rsidR="00A050DF" w:rsidRDefault="00A050DF" w:rsidP="00A050DF">
            <w:pPr>
              <w:pStyle w:val="ListParagraph"/>
              <w:numPr>
                <w:ilvl w:val="0"/>
                <w:numId w:val="17"/>
              </w:numPr>
              <w:ind w:right="113"/>
              <w:jc w:val="both"/>
            </w:pPr>
            <w:r>
              <w:t>204 personām, kas d</w:t>
            </w:r>
            <w:r w:rsidR="00583D70">
              <w:t>abasgāzi</w:t>
            </w:r>
            <w:r>
              <w:t xml:space="preserve"> izmanto </w:t>
            </w:r>
            <w:r w:rsidRPr="00A050DF">
              <w:t>par kurināmo rūpnieciskās ražošanas un citos ar ražošanu saistītos procesos un tehnoloģiski nepieciešamā klimata nodrošināšana</w:t>
            </w:r>
            <w:r>
              <w:t>i rūpnieciskās ražošanas telpās;</w:t>
            </w:r>
          </w:p>
          <w:p w14:paraId="3E13700B" w14:textId="33943813" w:rsidR="003C5248" w:rsidRPr="00884F51" w:rsidRDefault="003C5248" w:rsidP="00A050DF">
            <w:pPr>
              <w:pStyle w:val="ListParagraph"/>
              <w:numPr>
                <w:ilvl w:val="0"/>
                <w:numId w:val="17"/>
              </w:numPr>
              <w:ind w:right="113"/>
              <w:jc w:val="both"/>
            </w:pPr>
            <w:r w:rsidRPr="00884F51">
              <w:t xml:space="preserve"> </w:t>
            </w:r>
            <w:r w:rsidR="008F78BF">
              <w:t>13</w:t>
            </w:r>
            <w:r w:rsidR="00474F48">
              <w:t xml:space="preserve"> </w:t>
            </w:r>
            <w:r w:rsidRPr="00884F51">
              <w:t xml:space="preserve">personām, kas dabasgāzi izmanto lauksaimniecībā izmantojamās zemes segto platību (siltumnīcu) siltumapgādei vai </w:t>
            </w:r>
            <w:r w:rsidRPr="00884F51">
              <w:lastRenderedPageBreak/>
              <w:t>rūpniecisko mājputnu novietņu (kūts) un inkubatoru siltumapgādei</w:t>
            </w:r>
            <w:r w:rsidR="004B1C65">
              <w:t>, kā arī 33 personām, kas dabasgāzi izmanto palīgdarbībām pēc ražas novākšanas.</w:t>
            </w:r>
          </w:p>
          <w:p w14:paraId="3EC4E4D3" w14:textId="1A3AB28D" w:rsidR="00116AA2" w:rsidRPr="00884F51" w:rsidRDefault="003C5248" w:rsidP="00735651">
            <w:pPr>
              <w:ind w:right="113" w:firstLine="396"/>
              <w:jc w:val="both"/>
            </w:pPr>
            <w:r w:rsidRPr="00884F51">
              <w:t>Noteikumu projekts attiecas uz komersantiem, kas dabasgāzi piegādā galalietotājiem, kuri dabasgāzi izmanto</w:t>
            </w:r>
            <w:r w:rsidR="00A050DF">
              <w:t>, rūpnieciskās ražošanas procesiem,</w:t>
            </w:r>
            <w:r w:rsidRPr="00884F51">
              <w:t xml:space="preserve"> lauksaimniecībā izmantojamās zemes segto platību (siltumnīcu) siltumapgādei kā arī rūpniecisko mājputnu novietņu (kūts) un inkubatoru siltumapgādei.</w:t>
            </w:r>
          </w:p>
        </w:tc>
      </w:tr>
      <w:tr w:rsidR="00032C63" w:rsidRPr="00884F51" w14:paraId="7DA10180" w14:textId="77777777" w:rsidTr="00E742B4">
        <w:tc>
          <w:tcPr>
            <w:tcW w:w="251" w:type="pct"/>
            <w:tcBorders>
              <w:top w:val="outset" w:sz="6" w:space="0" w:color="000000"/>
              <w:left w:val="outset" w:sz="6" w:space="0" w:color="000000"/>
              <w:bottom w:val="outset" w:sz="6" w:space="0" w:color="000000"/>
              <w:right w:val="outset" w:sz="6" w:space="0" w:color="000000"/>
            </w:tcBorders>
          </w:tcPr>
          <w:p w14:paraId="572FF65B" w14:textId="77777777" w:rsidR="00032C63" w:rsidRPr="00884F51" w:rsidRDefault="00032C63" w:rsidP="00032C63">
            <w:pPr>
              <w:pStyle w:val="NormalWeb"/>
            </w:pPr>
            <w:r w:rsidRPr="00884F51">
              <w:lastRenderedPageBreak/>
              <w:t>2.</w:t>
            </w:r>
          </w:p>
        </w:tc>
        <w:tc>
          <w:tcPr>
            <w:tcW w:w="1838" w:type="pct"/>
            <w:tcBorders>
              <w:top w:val="outset" w:sz="6" w:space="0" w:color="000000"/>
              <w:left w:val="outset" w:sz="6" w:space="0" w:color="000000"/>
              <w:bottom w:val="outset" w:sz="6" w:space="0" w:color="000000"/>
              <w:right w:val="outset" w:sz="6" w:space="0" w:color="000000"/>
            </w:tcBorders>
          </w:tcPr>
          <w:p w14:paraId="660AE097" w14:textId="77777777" w:rsidR="00032C63" w:rsidRPr="00884F51" w:rsidRDefault="00431C1A" w:rsidP="00A274A7">
            <w:pPr>
              <w:pStyle w:val="NormalWeb"/>
              <w:ind w:right="113"/>
              <w:jc w:val="both"/>
            </w:pPr>
            <w:r w:rsidRPr="00884F51">
              <w:t>Tiesiskā regulējuma ietekme uz tautsaimniecību un administratīvo slogu</w:t>
            </w:r>
          </w:p>
        </w:tc>
        <w:tc>
          <w:tcPr>
            <w:tcW w:w="2911" w:type="pct"/>
            <w:tcBorders>
              <w:top w:val="outset" w:sz="6" w:space="0" w:color="000000"/>
              <w:left w:val="outset" w:sz="6" w:space="0" w:color="000000"/>
              <w:bottom w:val="outset" w:sz="6" w:space="0" w:color="000000"/>
              <w:right w:val="outset" w:sz="6" w:space="0" w:color="000000"/>
            </w:tcBorders>
          </w:tcPr>
          <w:p w14:paraId="0477A927" w14:textId="5AB6E219" w:rsidR="007B6927" w:rsidRPr="00735651" w:rsidRDefault="00116AA2" w:rsidP="00735651">
            <w:pPr>
              <w:pStyle w:val="NormalWeb"/>
              <w:spacing w:before="0" w:beforeAutospacing="0" w:after="0" w:afterAutospacing="0"/>
              <w:ind w:firstLine="384"/>
              <w:jc w:val="both"/>
              <w:rPr>
                <w:kern w:val="1"/>
              </w:rPr>
            </w:pPr>
            <w:r w:rsidRPr="00884F51">
              <w:rPr>
                <w:kern w:val="1"/>
              </w:rPr>
              <w:t xml:space="preserve">Noteikumu </w:t>
            </w:r>
            <w:r w:rsidR="003C5248" w:rsidRPr="00884F51">
              <w:rPr>
                <w:kern w:val="1"/>
              </w:rPr>
              <w:t>projekts paredz noteikt kārtību, kādā piemēro minimālo nodokļa likmi dabasgāzei, kuru izmanto</w:t>
            </w:r>
            <w:r w:rsidR="008F1B3C">
              <w:rPr>
                <w:kern w:val="1"/>
              </w:rPr>
              <w:t xml:space="preserve"> rūpnieciskās ražošanas procesiem,</w:t>
            </w:r>
            <w:r w:rsidR="003C5248" w:rsidRPr="00884F51">
              <w:rPr>
                <w:kern w:val="1"/>
              </w:rPr>
              <w:t xml:space="preserve"> lauksaimniecībā izmantojamās zemes segto platību (siltumnīcu) siltumapgādei, kā arī rūpniecisko mājputnu novietņu (kūts) un inkubatoru siltumapgādei, atbilstoši likuma 15.</w:t>
            </w:r>
            <w:r w:rsidR="003C5248" w:rsidRPr="00884F51">
              <w:rPr>
                <w:kern w:val="1"/>
                <w:vertAlign w:val="superscript"/>
              </w:rPr>
              <w:t>1</w:t>
            </w:r>
            <w:r w:rsidR="00142794">
              <w:rPr>
                <w:kern w:val="1"/>
              </w:rPr>
              <w:t> </w:t>
            </w:r>
            <w:r w:rsidR="003C5248" w:rsidRPr="00884F51">
              <w:rPr>
                <w:kern w:val="1"/>
              </w:rPr>
              <w:t>panta pirmās daļas 3.</w:t>
            </w:r>
            <w:r w:rsidR="00142794">
              <w:rPr>
                <w:kern w:val="1"/>
              </w:rPr>
              <w:t> </w:t>
            </w:r>
            <w:r w:rsidR="003C5248" w:rsidRPr="00884F51">
              <w:rPr>
                <w:kern w:val="1"/>
              </w:rPr>
              <w:t>punktam.</w:t>
            </w:r>
          </w:p>
        </w:tc>
      </w:tr>
      <w:tr w:rsidR="00032C63" w:rsidRPr="00884F51" w14:paraId="124EDC79" w14:textId="77777777" w:rsidTr="00E742B4">
        <w:tc>
          <w:tcPr>
            <w:tcW w:w="251" w:type="pct"/>
            <w:tcBorders>
              <w:top w:val="outset" w:sz="6" w:space="0" w:color="000000"/>
              <w:left w:val="outset" w:sz="6" w:space="0" w:color="000000"/>
              <w:bottom w:val="outset" w:sz="6" w:space="0" w:color="000000"/>
              <w:right w:val="outset" w:sz="6" w:space="0" w:color="000000"/>
            </w:tcBorders>
          </w:tcPr>
          <w:p w14:paraId="24C37E84" w14:textId="77777777" w:rsidR="00032C63" w:rsidRPr="00884F51" w:rsidRDefault="00032C63" w:rsidP="00032C63">
            <w:pPr>
              <w:pStyle w:val="NormalWeb"/>
            </w:pPr>
            <w:r w:rsidRPr="00884F51">
              <w:t>3.</w:t>
            </w:r>
          </w:p>
        </w:tc>
        <w:tc>
          <w:tcPr>
            <w:tcW w:w="1838" w:type="pct"/>
            <w:tcBorders>
              <w:top w:val="outset" w:sz="6" w:space="0" w:color="000000"/>
              <w:left w:val="outset" w:sz="6" w:space="0" w:color="000000"/>
              <w:bottom w:val="outset" w:sz="6" w:space="0" w:color="000000"/>
              <w:right w:val="outset" w:sz="6" w:space="0" w:color="000000"/>
            </w:tcBorders>
          </w:tcPr>
          <w:p w14:paraId="7AD960E5" w14:textId="77777777" w:rsidR="00032C63" w:rsidRPr="00884F51" w:rsidRDefault="00431C1A" w:rsidP="00A274A7">
            <w:pPr>
              <w:pStyle w:val="NormalWeb"/>
              <w:ind w:right="113"/>
            </w:pPr>
            <w:r w:rsidRPr="00884F51">
              <w:t>Administratīvo izmaksu monetārs novērtējums</w:t>
            </w:r>
          </w:p>
        </w:tc>
        <w:tc>
          <w:tcPr>
            <w:tcW w:w="2911" w:type="pct"/>
            <w:tcBorders>
              <w:top w:val="outset" w:sz="6" w:space="0" w:color="000000"/>
              <w:left w:val="outset" w:sz="6" w:space="0" w:color="000000"/>
              <w:bottom w:val="outset" w:sz="6" w:space="0" w:color="000000"/>
              <w:right w:val="outset" w:sz="6" w:space="0" w:color="000000"/>
            </w:tcBorders>
          </w:tcPr>
          <w:p w14:paraId="00673452" w14:textId="77777777" w:rsidR="00032C63" w:rsidRPr="00884F51" w:rsidRDefault="00AE6FC8" w:rsidP="009D57FB">
            <w:pPr>
              <w:pStyle w:val="NormalWeb"/>
              <w:spacing w:before="0" w:beforeAutospacing="0" w:after="0" w:afterAutospacing="0"/>
              <w:jc w:val="both"/>
            </w:pPr>
            <w:r w:rsidRPr="00884F51">
              <w:t>Projekts šo jomu neskar.</w:t>
            </w:r>
          </w:p>
        </w:tc>
      </w:tr>
      <w:tr w:rsidR="00562169" w:rsidRPr="00884F51" w14:paraId="1A028278" w14:textId="77777777" w:rsidTr="00E742B4">
        <w:tc>
          <w:tcPr>
            <w:tcW w:w="251" w:type="pct"/>
            <w:tcBorders>
              <w:top w:val="outset" w:sz="6" w:space="0" w:color="000000"/>
              <w:left w:val="outset" w:sz="6" w:space="0" w:color="000000"/>
              <w:bottom w:val="outset" w:sz="6" w:space="0" w:color="000000"/>
              <w:right w:val="outset" w:sz="6" w:space="0" w:color="000000"/>
            </w:tcBorders>
          </w:tcPr>
          <w:p w14:paraId="4C4D33D6" w14:textId="136E86EA" w:rsidR="00562169" w:rsidRPr="005C7897" w:rsidRDefault="00562169" w:rsidP="00032C63">
            <w:pPr>
              <w:pStyle w:val="NormalWeb"/>
            </w:pPr>
            <w:r w:rsidRPr="005C7897">
              <w:t>4.</w:t>
            </w:r>
          </w:p>
        </w:tc>
        <w:tc>
          <w:tcPr>
            <w:tcW w:w="1838" w:type="pct"/>
            <w:tcBorders>
              <w:top w:val="outset" w:sz="6" w:space="0" w:color="000000"/>
              <w:left w:val="outset" w:sz="6" w:space="0" w:color="000000"/>
              <w:bottom w:val="outset" w:sz="6" w:space="0" w:color="000000"/>
              <w:right w:val="outset" w:sz="6" w:space="0" w:color="000000"/>
            </w:tcBorders>
          </w:tcPr>
          <w:p w14:paraId="48CA8769" w14:textId="39B5D6F4" w:rsidR="00562169" w:rsidRPr="005C7897" w:rsidRDefault="00562169" w:rsidP="00A274A7">
            <w:pPr>
              <w:pStyle w:val="NormalWeb"/>
              <w:ind w:right="113"/>
            </w:pPr>
            <w:r w:rsidRPr="005C7897">
              <w:t xml:space="preserve">Atbilstības izmaksu monetārais novērtējums </w:t>
            </w:r>
          </w:p>
        </w:tc>
        <w:tc>
          <w:tcPr>
            <w:tcW w:w="2911" w:type="pct"/>
            <w:tcBorders>
              <w:top w:val="outset" w:sz="6" w:space="0" w:color="000000"/>
              <w:left w:val="outset" w:sz="6" w:space="0" w:color="000000"/>
              <w:bottom w:val="outset" w:sz="6" w:space="0" w:color="000000"/>
              <w:right w:val="outset" w:sz="6" w:space="0" w:color="000000"/>
            </w:tcBorders>
          </w:tcPr>
          <w:p w14:paraId="1CB9ABDA" w14:textId="240BE5A5" w:rsidR="00562169" w:rsidRPr="005C7897" w:rsidRDefault="00562169" w:rsidP="009D57FB">
            <w:pPr>
              <w:pStyle w:val="NormalWeb"/>
              <w:spacing w:before="0" w:beforeAutospacing="0" w:after="0" w:afterAutospacing="0"/>
              <w:jc w:val="both"/>
            </w:pPr>
            <w:r w:rsidRPr="005C7897">
              <w:t>Projekts šo jomu neskar.</w:t>
            </w:r>
          </w:p>
        </w:tc>
      </w:tr>
      <w:tr w:rsidR="00032C63" w:rsidRPr="00884F51" w14:paraId="6AE54419" w14:textId="77777777" w:rsidTr="00E742B4">
        <w:tc>
          <w:tcPr>
            <w:tcW w:w="251" w:type="pct"/>
            <w:tcBorders>
              <w:top w:val="outset" w:sz="6" w:space="0" w:color="000000"/>
              <w:left w:val="outset" w:sz="6" w:space="0" w:color="000000"/>
              <w:bottom w:val="outset" w:sz="6" w:space="0" w:color="000000"/>
              <w:right w:val="outset" w:sz="6" w:space="0" w:color="000000"/>
            </w:tcBorders>
          </w:tcPr>
          <w:p w14:paraId="766CC7A6" w14:textId="2989118E" w:rsidR="00032C63" w:rsidRPr="00884F51" w:rsidRDefault="00562169" w:rsidP="00032C63">
            <w:pPr>
              <w:pStyle w:val="NormalWeb"/>
            </w:pPr>
            <w:r>
              <w:t>5</w:t>
            </w:r>
            <w:r w:rsidR="00032C63" w:rsidRPr="00884F51">
              <w:t>.</w:t>
            </w:r>
          </w:p>
        </w:tc>
        <w:tc>
          <w:tcPr>
            <w:tcW w:w="1838" w:type="pct"/>
            <w:tcBorders>
              <w:top w:val="outset" w:sz="6" w:space="0" w:color="000000"/>
              <w:left w:val="outset" w:sz="6" w:space="0" w:color="000000"/>
              <w:bottom w:val="outset" w:sz="6" w:space="0" w:color="000000"/>
              <w:right w:val="outset" w:sz="6" w:space="0" w:color="000000"/>
            </w:tcBorders>
          </w:tcPr>
          <w:p w14:paraId="463434A1" w14:textId="77777777" w:rsidR="00032C63" w:rsidRPr="00884F51" w:rsidRDefault="00032C63" w:rsidP="00A274A7">
            <w:pPr>
              <w:pStyle w:val="NormalWeb"/>
              <w:ind w:right="113"/>
            </w:pPr>
            <w:r w:rsidRPr="00884F51">
              <w:t>Cita informācija</w:t>
            </w:r>
          </w:p>
        </w:tc>
        <w:tc>
          <w:tcPr>
            <w:tcW w:w="2911" w:type="pct"/>
            <w:tcBorders>
              <w:top w:val="outset" w:sz="6" w:space="0" w:color="000000"/>
              <w:left w:val="outset" w:sz="6" w:space="0" w:color="000000"/>
              <w:bottom w:val="outset" w:sz="6" w:space="0" w:color="000000"/>
              <w:right w:val="outset" w:sz="6" w:space="0" w:color="000000"/>
            </w:tcBorders>
          </w:tcPr>
          <w:p w14:paraId="5BD3E42C" w14:textId="77777777" w:rsidR="00032C63" w:rsidRPr="00884F51" w:rsidRDefault="00032C63" w:rsidP="00032C63">
            <w:pPr>
              <w:pStyle w:val="NormalWeb"/>
            </w:pPr>
            <w:r w:rsidRPr="00884F51">
              <w:t>Nav</w:t>
            </w:r>
            <w:r w:rsidR="0050593E" w:rsidRPr="00884F51">
              <w:t>.</w:t>
            </w:r>
          </w:p>
        </w:tc>
      </w:tr>
    </w:tbl>
    <w:p w14:paraId="7872644C" w14:textId="77777777" w:rsidR="003C5248" w:rsidRPr="00884F51" w:rsidRDefault="003C5248" w:rsidP="003C5248"/>
    <w:tbl>
      <w:tblPr>
        <w:tblStyle w:val="TableGridLight"/>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82"/>
        <w:gridCol w:w="1097"/>
        <w:gridCol w:w="932"/>
        <w:gridCol w:w="1097"/>
        <w:gridCol w:w="933"/>
        <w:gridCol w:w="1097"/>
        <w:gridCol w:w="1295"/>
      </w:tblGrid>
      <w:tr w:rsidR="00FF5BE4" w:rsidRPr="00FF5BE4" w14:paraId="2A20E1CA" w14:textId="77777777" w:rsidTr="00D5158A">
        <w:tc>
          <w:tcPr>
            <w:tcW w:w="9242" w:type="dxa"/>
            <w:gridSpan w:val="8"/>
            <w:hideMark/>
          </w:tcPr>
          <w:p w14:paraId="5777CDD9" w14:textId="77777777" w:rsidR="00FF5BE4" w:rsidRPr="00FF5BE4" w:rsidRDefault="00FF5BE4" w:rsidP="00FF5BE4">
            <w:pPr>
              <w:jc w:val="center"/>
              <w:rPr>
                <w:b/>
                <w:bCs/>
                <w:iCs/>
              </w:rPr>
            </w:pPr>
            <w:r w:rsidRPr="00FF5BE4">
              <w:rPr>
                <w:b/>
                <w:bCs/>
                <w:iCs/>
              </w:rPr>
              <w:t>III. Tiesību akta projekta ietekme uz valsts budžetu un pašvaldību budžetiem</w:t>
            </w:r>
          </w:p>
        </w:tc>
      </w:tr>
      <w:tr w:rsidR="00FF5BE4" w:rsidRPr="00FF5BE4" w14:paraId="263C28F0" w14:textId="77777777" w:rsidTr="00D5158A">
        <w:tc>
          <w:tcPr>
            <w:tcW w:w="1809" w:type="dxa"/>
            <w:vMerge w:val="restart"/>
            <w:hideMark/>
          </w:tcPr>
          <w:p w14:paraId="4A82C1B2" w14:textId="77777777" w:rsidR="00FF5BE4" w:rsidRPr="00FF5BE4" w:rsidRDefault="00FF5BE4" w:rsidP="00FF5BE4">
            <w:pPr>
              <w:rPr>
                <w:iCs/>
              </w:rPr>
            </w:pPr>
            <w:r w:rsidRPr="00FF5BE4">
              <w:rPr>
                <w:iCs/>
              </w:rPr>
              <w:t>Rādītāji</w:t>
            </w:r>
          </w:p>
        </w:tc>
        <w:tc>
          <w:tcPr>
            <w:tcW w:w="2079" w:type="dxa"/>
            <w:gridSpan w:val="2"/>
            <w:vMerge w:val="restart"/>
            <w:hideMark/>
          </w:tcPr>
          <w:p w14:paraId="154DB62A" w14:textId="77777777" w:rsidR="00FF5BE4" w:rsidRPr="00FF5BE4" w:rsidRDefault="00FF5BE4" w:rsidP="00FF5BE4">
            <w:pPr>
              <w:jc w:val="center"/>
              <w:rPr>
                <w:iCs/>
              </w:rPr>
            </w:pPr>
            <w:r w:rsidRPr="00FF5BE4">
              <w:rPr>
                <w:iCs/>
              </w:rPr>
              <w:t>2020</w:t>
            </w:r>
          </w:p>
        </w:tc>
        <w:tc>
          <w:tcPr>
            <w:tcW w:w="5354" w:type="dxa"/>
            <w:gridSpan w:val="5"/>
            <w:hideMark/>
          </w:tcPr>
          <w:p w14:paraId="61521D55" w14:textId="77777777" w:rsidR="00FF5BE4" w:rsidRPr="00FF5BE4" w:rsidRDefault="00FF5BE4" w:rsidP="00FF5BE4">
            <w:pPr>
              <w:jc w:val="center"/>
              <w:rPr>
                <w:iCs/>
              </w:rPr>
            </w:pPr>
            <w:r w:rsidRPr="00FF5BE4">
              <w:rPr>
                <w:iCs/>
              </w:rPr>
              <w:t>Turpmākie trīs gadi (</w:t>
            </w:r>
            <w:proofErr w:type="spellStart"/>
            <w:r w:rsidRPr="00FF5BE4">
              <w:rPr>
                <w:i/>
                <w:iCs/>
              </w:rPr>
              <w:t>euro</w:t>
            </w:r>
            <w:proofErr w:type="spellEnd"/>
            <w:r w:rsidRPr="00FF5BE4">
              <w:rPr>
                <w:iCs/>
              </w:rPr>
              <w:t>)</w:t>
            </w:r>
          </w:p>
        </w:tc>
      </w:tr>
      <w:tr w:rsidR="004B1C65" w:rsidRPr="00FF5BE4" w14:paraId="6D4E5E1A" w14:textId="77777777" w:rsidTr="00D5158A">
        <w:tc>
          <w:tcPr>
            <w:tcW w:w="1809" w:type="dxa"/>
            <w:vMerge/>
            <w:hideMark/>
          </w:tcPr>
          <w:p w14:paraId="6CFB379B" w14:textId="77777777" w:rsidR="00FF5BE4" w:rsidRPr="00FF5BE4" w:rsidRDefault="00FF5BE4" w:rsidP="00FF5BE4">
            <w:pPr>
              <w:rPr>
                <w:iCs/>
              </w:rPr>
            </w:pPr>
          </w:p>
        </w:tc>
        <w:tc>
          <w:tcPr>
            <w:tcW w:w="2079" w:type="dxa"/>
            <w:gridSpan w:val="2"/>
            <w:vMerge/>
            <w:hideMark/>
          </w:tcPr>
          <w:p w14:paraId="7C912CE4" w14:textId="77777777" w:rsidR="00FF5BE4" w:rsidRPr="00FF5BE4" w:rsidRDefault="00FF5BE4" w:rsidP="00FF5BE4">
            <w:pPr>
              <w:rPr>
                <w:iCs/>
              </w:rPr>
            </w:pPr>
          </w:p>
        </w:tc>
        <w:tc>
          <w:tcPr>
            <w:tcW w:w="2029" w:type="dxa"/>
            <w:gridSpan w:val="2"/>
            <w:hideMark/>
          </w:tcPr>
          <w:p w14:paraId="68742322" w14:textId="77777777" w:rsidR="00FF5BE4" w:rsidRPr="00FF5BE4" w:rsidRDefault="00FF5BE4" w:rsidP="00FF5BE4">
            <w:pPr>
              <w:jc w:val="center"/>
              <w:rPr>
                <w:iCs/>
              </w:rPr>
            </w:pPr>
            <w:r w:rsidRPr="00FF5BE4">
              <w:rPr>
                <w:iCs/>
              </w:rPr>
              <w:t>2021</w:t>
            </w:r>
          </w:p>
        </w:tc>
        <w:tc>
          <w:tcPr>
            <w:tcW w:w="2030" w:type="dxa"/>
            <w:gridSpan w:val="2"/>
            <w:hideMark/>
          </w:tcPr>
          <w:p w14:paraId="4A74B661" w14:textId="77777777" w:rsidR="00FF5BE4" w:rsidRPr="00FF5BE4" w:rsidRDefault="00FF5BE4" w:rsidP="00FF5BE4">
            <w:pPr>
              <w:jc w:val="center"/>
              <w:rPr>
                <w:iCs/>
              </w:rPr>
            </w:pPr>
            <w:r w:rsidRPr="00FF5BE4">
              <w:rPr>
                <w:iCs/>
              </w:rPr>
              <w:t>2022</w:t>
            </w:r>
          </w:p>
        </w:tc>
        <w:tc>
          <w:tcPr>
            <w:tcW w:w="1295" w:type="dxa"/>
            <w:hideMark/>
          </w:tcPr>
          <w:p w14:paraId="7A8577B5" w14:textId="77777777" w:rsidR="00FF5BE4" w:rsidRPr="00FF5BE4" w:rsidRDefault="00FF5BE4" w:rsidP="00FF5BE4">
            <w:pPr>
              <w:jc w:val="center"/>
              <w:rPr>
                <w:iCs/>
              </w:rPr>
            </w:pPr>
            <w:r w:rsidRPr="00FF5BE4">
              <w:rPr>
                <w:iCs/>
              </w:rPr>
              <w:t>2023</w:t>
            </w:r>
          </w:p>
        </w:tc>
      </w:tr>
      <w:tr w:rsidR="004B1C65" w:rsidRPr="00FF5BE4" w14:paraId="5DC6E8ED" w14:textId="77777777" w:rsidTr="00D5158A">
        <w:tc>
          <w:tcPr>
            <w:tcW w:w="1809" w:type="dxa"/>
            <w:vMerge/>
            <w:hideMark/>
          </w:tcPr>
          <w:p w14:paraId="727CF551" w14:textId="77777777" w:rsidR="00FF5BE4" w:rsidRPr="00FF5BE4" w:rsidRDefault="00FF5BE4" w:rsidP="00FF5BE4">
            <w:pPr>
              <w:rPr>
                <w:iCs/>
              </w:rPr>
            </w:pPr>
          </w:p>
        </w:tc>
        <w:tc>
          <w:tcPr>
            <w:tcW w:w="982" w:type="dxa"/>
            <w:hideMark/>
          </w:tcPr>
          <w:p w14:paraId="3EDC1797" w14:textId="77777777" w:rsidR="00FF5BE4" w:rsidRPr="00FF5BE4" w:rsidRDefault="00FF5BE4" w:rsidP="00FF5BE4">
            <w:pPr>
              <w:rPr>
                <w:iCs/>
              </w:rPr>
            </w:pPr>
            <w:r w:rsidRPr="00FF5BE4">
              <w:rPr>
                <w:iCs/>
              </w:rPr>
              <w:t>saskaņā ar valsts budžetu kārtējam gadam</w:t>
            </w:r>
          </w:p>
        </w:tc>
        <w:tc>
          <w:tcPr>
            <w:tcW w:w="1097" w:type="dxa"/>
            <w:hideMark/>
          </w:tcPr>
          <w:p w14:paraId="1C81DCBE" w14:textId="77777777" w:rsidR="00FF5BE4" w:rsidRPr="00FF5BE4" w:rsidRDefault="00FF5BE4" w:rsidP="00FF5BE4">
            <w:pPr>
              <w:rPr>
                <w:iCs/>
              </w:rPr>
            </w:pPr>
            <w:r w:rsidRPr="00FF5BE4">
              <w:rPr>
                <w:iCs/>
              </w:rPr>
              <w:t>izmaiņas kārtējā gadā, salīdzinot ar valsts budžetu kārtējam gadam</w:t>
            </w:r>
          </w:p>
        </w:tc>
        <w:tc>
          <w:tcPr>
            <w:tcW w:w="932" w:type="dxa"/>
            <w:hideMark/>
          </w:tcPr>
          <w:p w14:paraId="3CFE132E" w14:textId="77777777" w:rsidR="00FF5BE4" w:rsidRPr="00FF5BE4" w:rsidRDefault="00FF5BE4" w:rsidP="00FF5BE4">
            <w:pPr>
              <w:rPr>
                <w:iCs/>
              </w:rPr>
            </w:pPr>
            <w:r w:rsidRPr="00FF5BE4">
              <w:rPr>
                <w:iCs/>
              </w:rPr>
              <w:t>saskaņā ar vidēja termiņa budžeta ietvaru</w:t>
            </w:r>
          </w:p>
        </w:tc>
        <w:tc>
          <w:tcPr>
            <w:tcW w:w="1097" w:type="dxa"/>
            <w:hideMark/>
          </w:tcPr>
          <w:p w14:paraId="7A32A15A" w14:textId="16EB3E9F" w:rsidR="00FF5BE4" w:rsidRPr="00FF5BE4" w:rsidRDefault="00FF5BE4" w:rsidP="005B5C9B">
            <w:pPr>
              <w:rPr>
                <w:iCs/>
              </w:rPr>
            </w:pPr>
            <w:r w:rsidRPr="00FF5BE4">
              <w:rPr>
                <w:iCs/>
              </w:rPr>
              <w:t>izmaiņas, salīdzinot ar vidēja termiņa budžeta ietvaru 202</w:t>
            </w:r>
            <w:r w:rsidR="005B5C9B">
              <w:rPr>
                <w:iCs/>
              </w:rPr>
              <w:t>1</w:t>
            </w:r>
            <w:r w:rsidRPr="00FF5BE4">
              <w:rPr>
                <w:iCs/>
              </w:rPr>
              <w:t>. gadam</w:t>
            </w:r>
          </w:p>
        </w:tc>
        <w:tc>
          <w:tcPr>
            <w:tcW w:w="933" w:type="dxa"/>
            <w:hideMark/>
          </w:tcPr>
          <w:p w14:paraId="0364EB24" w14:textId="77777777" w:rsidR="00FF5BE4" w:rsidRPr="00FF5BE4" w:rsidRDefault="00FF5BE4" w:rsidP="00FF5BE4">
            <w:pPr>
              <w:rPr>
                <w:iCs/>
              </w:rPr>
            </w:pPr>
            <w:r w:rsidRPr="00FF5BE4">
              <w:rPr>
                <w:iCs/>
              </w:rPr>
              <w:t>saskaņā ar vidēja termiņa budžeta ietvaru</w:t>
            </w:r>
          </w:p>
        </w:tc>
        <w:tc>
          <w:tcPr>
            <w:tcW w:w="1097" w:type="dxa"/>
            <w:hideMark/>
          </w:tcPr>
          <w:p w14:paraId="519D77DA" w14:textId="59CE0512" w:rsidR="00FF5BE4" w:rsidRPr="00FF5BE4" w:rsidRDefault="00FF5BE4" w:rsidP="005B5C9B">
            <w:pPr>
              <w:rPr>
                <w:iCs/>
              </w:rPr>
            </w:pPr>
            <w:r w:rsidRPr="00FF5BE4">
              <w:rPr>
                <w:iCs/>
              </w:rPr>
              <w:t>izmaiņas, salīdzinot ar vidēja termiņa budžeta ietvaru 202</w:t>
            </w:r>
            <w:r w:rsidR="005B5C9B">
              <w:rPr>
                <w:iCs/>
              </w:rPr>
              <w:t>2</w:t>
            </w:r>
            <w:r w:rsidRPr="00FF5BE4">
              <w:rPr>
                <w:iCs/>
              </w:rPr>
              <w:t>. gadam</w:t>
            </w:r>
          </w:p>
        </w:tc>
        <w:tc>
          <w:tcPr>
            <w:tcW w:w="1295" w:type="dxa"/>
            <w:hideMark/>
          </w:tcPr>
          <w:p w14:paraId="210BD3BE" w14:textId="4FA55CEE" w:rsidR="00FF5BE4" w:rsidRPr="00FF5BE4" w:rsidRDefault="00FF5BE4" w:rsidP="005B5C9B">
            <w:pPr>
              <w:rPr>
                <w:iCs/>
              </w:rPr>
            </w:pPr>
            <w:r w:rsidRPr="00FF5BE4">
              <w:rPr>
                <w:iCs/>
              </w:rPr>
              <w:t>izmaiņas, salīdzinot ar vidēja termiņa budžeta ietvaru 202</w:t>
            </w:r>
            <w:r w:rsidR="005B5C9B">
              <w:rPr>
                <w:iCs/>
              </w:rPr>
              <w:t>2</w:t>
            </w:r>
            <w:r w:rsidRPr="00FF5BE4">
              <w:rPr>
                <w:iCs/>
              </w:rPr>
              <w:t>. gadam</w:t>
            </w:r>
          </w:p>
        </w:tc>
      </w:tr>
      <w:tr w:rsidR="004B1C65" w:rsidRPr="00FF5BE4" w14:paraId="405A3865" w14:textId="77777777" w:rsidTr="00D5158A">
        <w:tc>
          <w:tcPr>
            <w:tcW w:w="1809" w:type="dxa"/>
            <w:hideMark/>
          </w:tcPr>
          <w:p w14:paraId="32E2C230" w14:textId="77777777" w:rsidR="00FF5BE4" w:rsidRPr="00FF5BE4" w:rsidRDefault="00FF5BE4" w:rsidP="00FF5BE4">
            <w:pPr>
              <w:jc w:val="center"/>
              <w:rPr>
                <w:iCs/>
              </w:rPr>
            </w:pPr>
            <w:r w:rsidRPr="00FF5BE4">
              <w:rPr>
                <w:iCs/>
              </w:rPr>
              <w:t>1</w:t>
            </w:r>
          </w:p>
        </w:tc>
        <w:tc>
          <w:tcPr>
            <w:tcW w:w="982" w:type="dxa"/>
            <w:hideMark/>
          </w:tcPr>
          <w:p w14:paraId="4040691B" w14:textId="77777777" w:rsidR="00FF5BE4" w:rsidRPr="00FF5BE4" w:rsidRDefault="00FF5BE4" w:rsidP="00FF5BE4">
            <w:pPr>
              <w:jc w:val="center"/>
              <w:rPr>
                <w:iCs/>
              </w:rPr>
            </w:pPr>
            <w:r w:rsidRPr="00FF5BE4">
              <w:rPr>
                <w:iCs/>
              </w:rPr>
              <w:t>2</w:t>
            </w:r>
          </w:p>
        </w:tc>
        <w:tc>
          <w:tcPr>
            <w:tcW w:w="1097" w:type="dxa"/>
            <w:hideMark/>
          </w:tcPr>
          <w:p w14:paraId="020CF718" w14:textId="77777777" w:rsidR="00FF5BE4" w:rsidRPr="00FF5BE4" w:rsidRDefault="00FF5BE4" w:rsidP="00FF5BE4">
            <w:pPr>
              <w:jc w:val="center"/>
              <w:rPr>
                <w:iCs/>
              </w:rPr>
            </w:pPr>
            <w:r w:rsidRPr="00FF5BE4">
              <w:rPr>
                <w:iCs/>
              </w:rPr>
              <w:t>3</w:t>
            </w:r>
          </w:p>
        </w:tc>
        <w:tc>
          <w:tcPr>
            <w:tcW w:w="932" w:type="dxa"/>
            <w:hideMark/>
          </w:tcPr>
          <w:p w14:paraId="467015BB" w14:textId="77777777" w:rsidR="00FF5BE4" w:rsidRPr="00FF5BE4" w:rsidRDefault="00FF5BE4" w:rsidP="00FF5BE4">
            <w:pPr>
              <w:jc w:val="center"/>
              <w:rPr>
                <w:iCs/>
              </w:rPr>
            </w:pPr>
            <w:r w:rsidRPr="00FF5BE4">
              <w:rPr>
                <w:iCs/>
              </w:rPr>
              <w:t>4</w:t>
            </w:r>
          </w:p>
        </w:tc>
        <w:tc>
          <w:tcPr>
            <w:tcW w:w="1097" w:type="dxa"/>
            <w:hideMark/>
          </w:tcPr>
          <w:p w14:paraId="54FE81C0" w14:textId="77777777" w:rsidR="00FF5BE4" w:rsidRPr="00FF5BE4" w:rsidRDefault="00FF5BE4" w:rsidP="00FF5BE4">
            <w:pPr>
              <w:jc w:val="center"/>
              <w:rPr>
                <w:iCs/>
              </w:rPr>
            </w:pPr>
            <w:r w:rsidRPr="00FF5BE4">
              <w:rPr>
                <w:iCs/>
              </w:rPr>
              <w:t>5</w:t>
            </w:r>
          </w:p>
        </w:tc>
        <w:tc>
          <w:tcPr>
            <w:tcW w:w="933" w:type="dxa"/>
            <w:hideMark/>
          </w:tcPr>
          <w:p w14:paraId="42C472EC" w14:textId="77777777" w:rsidR="00FF5BE4" w:rsidRPr="00FF5BE4" w:rsidRDefault="00FF5BE4" w:rsidP="00FF5BE4">
            <w:pPr>
              <w:jc w:val="center"/>
              <w:rPr>
                <w:iCs/>
              </w:rPr>
            </w:pPr>
            <w:r w:rsidRPr="00FF5BE4">
              <w:rPr>
                <w:iCs/>
              </w:rPr>
              <w:t>6</w:t>
            </w:r>
          </w:p>
        </w:tc>
        <w:tc>
          <w:tcPr>
            <w:tcW w:w="1097" w:type="dxa"/>
            <w:hideMark/>
          </w:tcPr>
          <w:p w14:paraId="0579AF37" w14:textId="77777777" w:rsidR="00FF5BE4" w:rsidRPr="00FF5BE4" w:rsidRDefault="00FF5BE4" w:rsidP="00FF5BE4">
            <w:pPr>
              <w:jc w:val="center"/>
              <w:rPr>
                <w:iCs/>
              </w:rPr>
            </w:pPr>
            <w:r w:rsidRPr="00FF5BE4">
              <w:rPr>
                <w:iCs/>
              </w:rPr>
              <w:t>7</w:t>
            </w:r>
          </w:p>
        </w:tc>
        <w:tc>
          <w:tcPr>
            <w:tcW w:w="1295" w:type="dxa"/>
            <w:hideMark/>
          </w:tcPr>
          <w:p w14:paraId="28437E8A" w14:textId="77777777" w:rsidR="00FF5BE4" w:rsidRPr="00FF5BE4" w:rsidRDefault="00FF5BE4" w:rsidP="00FF5BE4">
            <w:pPr>
              <w:jc w:val="center"/>
              <w:rPr>
                <w:iCs/>
              </w:rPr>
            </w:pPr>
            <w:r w:rsidRPr="00FF5BE4">
              <w:rPr>
                <w:iCs/>
              </w:rPr>
              <w:t>8</w:t>
            </w:r>
          </w:p>
        </w:tc>
      </w:tr>
      <w:tr w:rsidR="004B1C65" w:rsidRPr="00FF5BE4" w14:paraId="19917CA0" w14:textId="77777777" w:rsidTr="00D5158A">
        <w:tc>
          <w:tcPr>
            <w:tcW w:w="1809" w:type="dxa"/>
            <w:hideMark/>
          </w:tcPr>
          <w:p w14:paraId="60324060" w14:textId="77777777" w:rsidR="00FF5BE4" w:rsidRPr="00FF5BE4" w:rsidRDefault="00FF5BE4" w:rsidP="00FF5BE4">
            <w:pPr>
              <w:rPr>
                <w:iCs/>
              </w:rPr>
            </w:pPr>
            <w:r w:rsidRPr="00FF5BE4">
              <w:rPr>
                <w:iCs/>
              </w:rPr>
              <w:t>1. Budžeta ieņēmumi</w:t>
            </w:r>
          </w:p>
        </w:tc>
        <w:tc>
          <w:tcPr>
            <w:tcW w:w="982" w:type="dxa"/>
            <w:hideMark/>
          </w:tcPr>
          <w:p w14:paraId="02DC79DF" w14:textId="77777777" w:rsidR="00FF5BE4" w:rsidRPr="00FF5BE4" w:rsidRDefault="00FF5BE4" w:rsidP="00FF5BE4">
            <w:pPr>
              <w:jc w:val="center"/>
              <w:rPr>
                <w:color w:val="000000"/>
                <w:szCs w:val="28"/>
              </w:rPr>
            </w:pPr>
            <w:r w:rsidRPr="00FF5BE4">
              <w:rPr>
                <w:color w:val="000000"/>
                <w:szCs w:val="28"/>
              </w:rPr>
              <w:t>0</w:t>
            </w:r>
          </w:p>
        </w:tc>
        <w:tc>
          <w:tcPr>
            <w:tcW w:w="1097" w:type="dxa"/>
            <w:hideMark/>
          </w:tcPr>
          <w:p w14:paraId="5F3C0F11" w14:textId="77777777" w:rsidR="00FF5BE4" w:rsidRPr="00FF5BE4" w:rsidRDefault="00FF5BE4" w:rsidP="00FF5BE4">
            <w:pPr>
              <w:jc w:val="center"/>
              <w:rPr>
                <w:color w:val="000000"/>
                <w:szCs w:val="28"/>
              </w:rPr>
            </w:pPr>
            <w:r w:rsidRPr="00FF5BE4">
              <w:rPr>
                <w:color w:val="000000"/>
                <w:szCs w:val="28"/>
              </w:rPr>
              <w:t>0</w:t>
            </w:r>
          </w:p>
        </w:tc>
        <w:tc>
          <w:tcPr>
            <w:tcW w:w="932" w:type="dxa"/>
            <w:hideMark/>
          </w:tcPr>
          <w:p w14:paraId="1E1ADBB8" w14:textId="77777777" w:rsidR="00FF5BE4" w:rsidRPr="00FF5BE4" w:rsidRDefault="00FF5BE4" w:rsidP="00FF5BE4">
            <w:pPr>
              <w:jc w:val="center"/>
              <w:rPr>
                <w:color w:val="000000"/>
                <w:szCs w:val="28"/>
              </w:rPr>
            </w:pPr>
            <w:r w:rsidRPr="00FF5BE4">
              <w:rPr>
                <w:color w:val="000000"/>
                <w:szCs w:val="28"/>
              </w:rPr>
              <w:t>0</w:t>
            </w:r>
          </w:p>
        </w:tc>
        <w:tc>
          <w:tcPr>
            <w:tcW w:w="1097" w:type="dxa"/>
            <w:hideMark/>
          </w:tcPr>
          <w:p w14:paraId="076BD27A" w14:textId="77777777" w:rsidR="00FF5BE4" w:rsidRPr="00FF5BE4" w:rsidRDefault="00FF5BE4" w:rsidP="00FF5BE4">
            <w:pPr>
              <w:jc w:val="center"/>
              <w:rPr>
                <w:color w:val="000000"/>
                <w:szCs w:val="28"/>
              </w:rPr>
            </w:pPr>
            <w:r w:rsidRPr="00FF5BE4">
              <w:rPr>
                <w:color w:val="000000"/>
                <w:szCs w:val="28"/>
              </w:rPr>
              <w:t>0</w:t>
            </w:r>
          </w:p>
        </w:tc>
        <w:tc>
          <w:tcPr>
            <w:tcW w:w="933" w:type="dxa"/>
            <w:hideMark/>
          </w:tcPr>
          <w:p w14:paraId="4E764160" w14:textId="77777777" w:rsidR="00FF5BE4" w:rsidRPr="00FF5BE4" w:rsidRDefault="00FF5BE4" w:rsidP="00FF5BE4">
            <w:pPr>
              <w:jc w:val="center"/>
              <w:rPr>
                <w:color w:val="000000"/>
                <w:szCs w:val="28"/>
              </w:rPr>
            </w:pPr>
            <w:r w:rsidRPr="00FF5BE4">
              <w:rPr>
                <w:color w:val="000000"/>
                <w:szCs w:val="28"/>
              </w:rPr>
              <w:t>0</w:t>
            </w:r>
          </w:p>
        </w:tc>
        <w:tc>
          <w:tcPr>
            <w:tcW w:w="1097" w:type="dxa"/>
            <w:hideMark/>
          </w:tcPr>
          <w:p w14:paraId="29B6DC6A" w14:textId="77777777" w:rsidR="00FF5BE4" w:rsidRPr="00FF5BE4" w:rsidRDefault="00FF5BE4" w:rsidP="00FF5BE4">
            <w:pPr>
              <w:jc w:val="center"/>
              <w:rPr>
                <w:color w:val="000000"/>
                <w:szCs w:val="28"/>
              </w:rPr>
            </w:pPr>
            <w:r w:rsidRPr="00FF5BE4">
              <w:rPr>
                <w:color w:val="000000"/>
                <w:szCs w:val="28"/>
              </w:rPr>
              <w:t>0</w:t>
            </w:r>
          </w:p>
        </w:tc>
        <w:tc>
          <w:tcPr>
            <w:tcW w:w="1295" w:type="dxa"/>
            <w:hideMark/>
          </w:tcPr>
          <w:p w14:paraId="67328E7F" w14:textId="77777777" w:rsidR="00FF5BE4" w:rsidRPr="00FF5BE4" w:rsidRDefault="00FF5BE4" w:rsidP="00FF5BE4">
            <w:pPr>
              <w:jc w:val="center"/>
              <w:rPr>
                <w:color w:val="000000"/>
                <w:szCs w:val="28"/>
              </w:rPr>
            </w:pPr>
            <w:r w:rsidRPr="00FF5BE4">
              <w:rPr>
                <w:color w:val="000000"/>
                <w:szCs w:val="28"/>
              </w:rPr>
              <w:t>0</w:t>
            </w:r>
          </w:p>
        </w:tc>
      </w:tr>
      <w:tr w:rsidR="004B1C65" w:rsidRPr="00FF5BE4" w14:paraId="00F09F61" w14:textId="77777777" w:rsidTr="00D5158A">
        <w:tc>
          <w:tcPr>
            <w:tcW w:w="1809" w:type="dxa"/>
            <w:hideMark/>
          </w:tcPr>
          <w:p w14:paraId="7D66BB78" w14:textId="77777777" w:rsidR="00FF5BE4" w:rsidRPr="00FF5BE4" w:rsidRDefault="00FF5BE4" w:rsidP="00FF5BE4">
            <w:pPr>
              <w:rPr>
                <w:iCs/>
              </w:rPr>
            </w:pPr>
            <w:r w:rsidRPr="00FF5BE4">
              <w:rPr>
                <w:iCs/>
              </w:rPr>
              <w:t>1.1. valsts pamatbudžets, tai skaitā ieņēmumi no maksas pakalpojumiem un citi pašu ieņēmumi</w:t>
            </w:r>
          </w:p>
        </w:tc>
        <w:tc>
          <w:tcPr>
            <w:tcW w:w="982" w:type="dxa"/>
            <w:hideMark/>
          </w:tcPr>
          <w:p w14:paraId="6932F762" w14:textId="77777777" w:rsidR="00FF5BE4" w:rsidRPr="00FF5BE4" w:rsidRDefault="00FF5BE4" w:rsidP="00FF5BE4">
            <w:pPr>
              <w:jc w:val="center"/>
              <w:rPr>
                <w:color w:val="000000"/>
                <w:szCs w:val="28"/>
              </w:rPr>
            </w:pPr>
            <w:r w:rsidRPr="00FF5BE4">
              <w:rPr>
                <w:color w:val="000000"/>
                <w:szCs w:val="28"/>
              </w:rPr>
              <w:t>0</w:t>
            </w:r>
          </w:p>
        </w:tc>
        <w:tc>
          <w:tcPr>
            <w:tcW w:w="1097" w:type="dxa"/>
            <w:hideMark/>
          </w:tcPr>
          <w:p w14:paraId="63495021" w14:textId="77777777" w:rsidR="00FF5BE4" w:rsidRPr="00FF5BE4" w:rsidRDefault="00FF5BE4" w:rsidP="00FF5BE4">
            <w:pPr>
              <w:jc w:val="center"/>
              <w:rPr>
                <w:color w:val="000000"/>
                <w:szCs w:val="28"/>
              </w:rPr>
            </w:pPr>
            <w:r w:rsidRPr="00FF5BE4">
              <w:rPr>
                <w:color w:val="000000"/>
                <w:szCs w:val="28"/>
              </w:rPr>
              <w:t>0</w:t>
            </w:r>
          </w:p>
        </w:tc>
        <w:tc>
          <w:tcPr>
            <w:tcW w:w="932" w:type="dxa"/>
            <w:hideMark/>
          </w:tcPr>
          <w:p w14:paraId="0E93E08D" w14:textId="77777777" w:rsidR="00FF5BE4" w:rsidRPr="00FF5BE4" w:rsidRDefault="00FF5BE4" w:rsidP="00FF5BE4">
            <w:pPr>
              <w:jc w:val="center"/>
              <w:rPr>
                <w:color w:val="000000"/>
                <w:szCs w:val="28"/>
              </w:rPr>
            </w:pPr>
            <w:r w:rsidRPr="00FF5BE4">
              <w:rPr>
                <w:color w:val="000000"/>
                <w:szCs w:val="28"/>
              </w:rPr>
              <w:t>0</w:t>
            </w:r>
          </w:p>
        </w:tc>
        <w:tc>
          <w:tcPr>
            <w:tcW w:w="1097" w:type="dxa"/>
            <w:hideMark/>
          </w:tcPr>
          <w:p w14:paraId="5A1A3D8A" w14:textId="77777777" w:rsidR="00FF5BE4" w:rsidRPr="00FF5BE4" w:rsidRDefault="00FF5BE4" w:rsidP="00FF5BE4">
            <w:pPr>
              <w:jc w:val="center"/>
              <w:rPr>
                <w:color w:val="000000"/>
                <w:szCs w:val="28"/>
              </w:rPr>
            </w:pPr>
            <w:r w:rsidRPr="00FF5BE4">
              <w:rPr>
                <w:color w:val="000000"/>
                <w:szCs w:val="28"/>
              </w:rPr>
              <w:t>0</w:t>
            </w:r>
          </w:p>
        </w:tc>
        <w:tc>
          <w:tcPr>
            <w:tcW w:w="933" w:type="dxa"/>
            <w:hideMark/>
          </w:tcPr>
          <w:p w14:paraId="3BB7B970" w14:textId="77777777" w:rsidR="00FF5BE4" w:rsidRPr="00FF5BE4" w:rsidRDefault="00FF5BE4" w:rsidP="00FF5BE4">
            <w:pPr>
              <w:jc w:val="center"/>
              <w:rPr>
                <w:color w:val="000000"/>
                <w:szCs w:val="28"/>
              </w:rPr>
            </w:pPr>
            <w:r w:rsidRPr="00FF5BE4">
              <w:rPr>
                <w:color w:val="000000"/>
                <w:szCs w:val="28"/>
              </w:rPr>
              <w:t>0</w:t>
            </w:r>
          </w:p>
        </w:tc>
        <w:tc>
          <w:tcPr>
            <w:tcW w:w="1097" w:type="dxa"/>
            <w:hideMark/>
          </w:tcPr>
          <w:p w14:paraId="1251E385" w14:textId="77777777" w:rsidR="00FF5BE4" w:rsidRPr="00FF5BE4" w:rsidRDefault="00FF5BE4" w:rsidP="00FF5BE4">
            <w:pPr>
              <w:jc w:val="center"/>
              <w:rPr>
                <w:color w:val="000000"/>
                <w:szCs w:val="28"/>
              </w:rPr>
            </w:pPr>
            <w:r w:rsidRPr="00FF5BE4">
              <w:rPr>
                <w:color w:val="000000"/>
                <w:szCs w:val="28"/>
              </w:rPr>
              <w:t>0</w:t>
            </w:r>
          </w:p>
        </w:tc>
        <w:tc>
          <w:tcPr>
            <w:tcW w:w="1295" w:type="dxa"/>
            <w:hideMark/>
          </w:tcPr>
          <w:p w14:paraId="6A921305" w14:textId="77777777" w:rsidR="00FF5BE4" w:rsidRPr="00FF5BE4" w:rsidRDefault="00FF5BE4" w:rsidP="00FF5BE4">
            <w:pPr>
              <w:jc w:val="center"/>
              <w:rPr>
                <w:color w:val="000000"/>
                <w:szCs w:val="28"/>
              </w:rPr>
            </w:pPr>
            <w:r w:rsidRPr="00FF5BE4">
              <w:rPr>
                <w:color w:val="000000"/>
                <w:szCs w:val="28"/>
              </w:rPr>
              <w:t>0</w:t>
            </w:r>
          </w:p>
        </w:tc>
      </w:tr>
      <w:tr w:rsidR="004B1C65" w:rsidRPr="00FF5BE4" w14:paraId="255D2C98" w14:textId="77777777" w:rsidTr="00D5158A">
        <w:tc>
          <w:tcPr>
            <w:tcW w:w="1809" w:type="dxa"/>
            <w:hideMark/>
          </w:tcPr>
          <w:p w14:paraId="2A1F09AE" w14:textId="77777777" w:rsidR="00FF5BE4" w:rsidRPr="00FF5BE4" w:rsidRDefault="00FF5BE4" w:rsidP="00FF5BE4">
            <w:pPr>
              <w:rPr>
                <w:iCs/>
              </w:rPr>
            </w:pPr>
            <w:r w:rsidRPr="00FF5BE4">
              <w:rPr>
                <w:iCs/>
              </w:rPr>
              <w:lastRenderedPageBreak/>
              <w:t>1.2. valsts speciālais budžets</w:t>
            </w:r>
          </w:p>
        </w:tc>
        <w:tc>
          <w:tcPr>
            <w:tcW w:w="982" w:type="dxa"/>
            <w:hideMark/>
          </w:tcPr>
          <w:p w14:paraId="03C32FF5" w14:textId="77777777" w:rsidR="00FF5BE4" w:rsidRPr="00FF5BE4" w:rsidRDefault="00FF5BE4" w:rsidP="00FF5BE4">
            <w:pPr>
              <w:jc w:val="center"/>
              <w:rPr>
                <w:color w:val="000000"/>
                <w:szCs w:val="28"/>
              </w:rPr>
            </w:pPr>
            <w:r w:rsidRPr="00FF5BE4">
              <w:rPr>
                <w:color w:val="000000"/>
                <w:szCs w:val="28"/>
              </w:rPr>
              <w:t>0</w:t>
            </w:r>
          </w:p>
        </w:tc>
        <w:tc>
          <w:tcPr>
            <w:tcW w:w="1097" w:type="dxa"/>
            <w:hideMark/>
          </w:tcPr>
          <w:p w14:paraId="72137D84" w14:textId="77777777" w:rsidR="00FF5BE4" w:rsidRPr="00FF5BE4" w:rsidRDefault="00FF5BE4" w:rsidP="00FF5BE4">
            <w:pPr>
              <w:jc w:val="center"/>
              <w:rPr>
                <w:color w:val="000000"/>
                <w:szCs w:val="28"/>
              </w:rPr>
            </w:pPr>
            <w:r w:rsidRPr="00FF5BE4">
              <w:rPr>
                <w:color w:val="000000"/>
                <w:szCs w:val="28"/>
              </w:rPr>
              <w:t>0</w:t>
            </w:r>
          </w:p>
        </w:tc>
        <w:tc>
          <w:tcPr>
            <w:tcW w:w="932" w:type="dxa"/>
            <w:hideMark/>
          </w:tcPr>
          <w:p w14:paraId="70C3194A" w14:textId="77777777" w:rsidR="00FF5BE4" w:rsidRPr="00FF5BE4" w:rsidRDefault="00FF5BE4" w:rsidP="00FF5BE4">
            <w:pPr>
              <w:jc w:val="center"/>
              <w:rPr>
                <w:color w:val="000000"/>
                <w:szCs w:val="28"/>
              </w:rPr>
            </w:pPr>
            <w:r w:rsidRPr="00FF5BE4">
              <w:rPr>
                <w:color w:val="000000"/>
                <w:szCs w:val="28"/>
              </w:rPr>
              <w:t>0</w:t>
            </w:r>
          </w:p>
        </w:tc>
        <w:tc>
          <w:tcPr>
            <w:tcW w:w="1097" w:type="dxa"/>
            <w:hideMark/>
          </w:tcPr>
          <w:p w14:paraId="07AE1682" w14:textId="77777777" w:rsidR="00FF5BE4" w:rsidRPr="00FF5BE4" w:rsidRDefault="00FF5BE4" w:rsidP="00FF5BE4">
            <w:pPr>
              <w:jc w:val="center"/>
              <w:rPr>
                <w:color w:val="000000"/>
                <w:szCs w:val="28"/>
              </w:rPr>
            </w:pPr>
            <w:r w:rsidRPr="00FF5BE4">
              <w:rPr>
                <w:color w:val="000000"/>
                <w:szCs w:val="28"/>
              </w:rPr>
              <w:t>0</w:t>
            </w:r>
          </w:p>
        </w:tc>
        <w:tc>
          <w:tcPr>
            <w:tcW w:w="933" w:type="dxa"/>
            <w:hideMark/>
          </w:tcPr>
          <w:p w14:paraId="3CA23EFC" w14:textId="77777777" w:rsidR="00FF5BE4" w:rsidRPr="00FF5BE4" w:rsidRDefault="00FF5BE4" w:rsidP="00FF5BE4">
            <w:pPr>
              <w:jc w:val="center"/>
              <w:rPr>
                <w:color w:val="000000"/>
                <w:szCs w:val="28"/>
              </w:rPr>
            </w:pPr>
            <w:r w:rsidRPr="00FF5BE4">
              <w:rPr>
                <w:color w:val="000000"/>
                <w:szCs w:val="28"/>
              </w:rPr>
              <w:t>0</w:t>
            </w:r>
          </w:p>
        </w:tc>
        <w:tc>
          <w:tcPr>
            <w:tcW w:w="1097" w:type="dxa"/>
            <w:hideMark/>
          </w:tcPr>
          <w:p w14:paraId="37572782" w14:textId="77777777" w:rsidR="00FF5BE4" w:rsidRPr="00FF5BE4" w:rsidRDefault="00FF5BE4" w:rsidP="00FF5BE4">
            <w:pPr>
              <w:jc w:val="center"/>
              <w:rPr>
                <w:color w:val="000000"/>
                <w:szCs w:val="28"/>
              </w:rPr>
            </w:pPr>
            <w:r w:rsidRPr="00FF5BE4">
              <w:rPr>
                <w:color w:val="000000"/>
                <w:szCs w:val="28"/>
              </w:rPr>
              <w:t>0</w:t>
            </w:r>
          </w:p>
        </w:tc>
        <w:tc>
          <w:tcPr>
            <w:tcW w:w="1295" w:type="dxa"/>
            <w:hideMark/>
          </w:tcPr>
          <w:p w14:paraId="25937787" w14:textId="77777777" w:rsidR="00FF5BE4" w:rsidRPr="00FF5BE4" w:rsidRDefault="00FF5BE4" w:rsidP="00FF5BE4">
            <w:pPr>
              <w:jc w:val="center"/>
              <w:rPr>
                <w:color w:val="000000"/>
                <w:szCs w:val="28"/>
              </w:rPr>
            </w:pPr>
            <w:r w:rsidRPr="00FF5BE4">
              <w:rPr>
                <w:color w:val="000000"/>
                <w:szCs w:val="28"/>
              </w:rPr>
              <w:t>0</w:t>
            </w:r>
          </w:p>
        </w:tc>
      </w:tr>
      <w:tr w:rsidR="004B1C65" w:rsidRPr="00FF5BE4" w14:paraId="45D5F847" w14:textId="77777777" w:rsidTr="00D5158A">
        <w:tc>
          <w:tcPr>
            <w:tcW w:w="1809" w:type="dxa"/>
            <w:hideMark/>
          </w:tcPr>
          <w:p w14:paraId="02847FB1" w14:textId="77777777" w:rsidR="00FF5BE4" w:rsidRPr="00FF5BE4" w:rsidRDefault="00FF5BE4" w:rsidP="00FF5BE4">
            <w:pPr>
              <w:rPr>
                <w:iCs/>
              </w:rPr>
            </w:pPr>
            <w:r w:rsidRPr="00FF5BE4">
              <w:rPr>
                <w:iCs/>
              </w:rPr>
              <w:t>1.3. pašvaldību budžets</w:t>
            </w:r>
          </w:p>
        </w:tc>
        <w:tc>
          <w:tcPr>
            <w:tcW w:w="982" w:type="dxa"/>
            <w:hideMark/>
          </w:tcPr>
          <w:p w14:paraId="30234CD1" w14:textId="77777777" w:rsidR="00FF5BE4" w:rsidRPr="00FF5BE4" w:rsidRDefault="00FF5BE4" w:rsidP="00FF5BE4">
            <w:pPr>
              <w:jc w:val="center"/>
              <w:rPr>
                <w:color w:val="000000"/>
              </w:rPr>
            </w:pPr>
            <w:r w:rsidRPr="00FF5BE4">
              <w:rPr>
                <w:color w:val="000000"/>
              </w:rPr>
              <w:t>0</w:t>
            </w:r>
          </w:p>
        </w:tc>
        <w:tc>
          <w:tcPr>
            <w:tcW w:w="1097" w:type="dxa"/>
            <w:hideMark/>
          </w:tcPr>
          <w:p w14:paraId="5546CB83" w14:textId="77777777" w:rsidR="00FF5BE4" w:rsidRPr="00FF5BE4" w:rsidRDefault="00FF5BE4" w:rsidP="00FF5BE4">
            <w:pPr>
              <w:jc w:val="center"/>
              <w:rPr>
                <w:color w:val="000000"/>
              </w:rPr>
            </w:pPr>
            <w:r w:rsidRPr="00FF5BE4">
              <w:rPr>
                <w:color w:val="000000"/>
              </w:rPr>
              <w:t>0</w:t>
            </w:r>
          </w:p>
        </w:tc>
        <w:tc>
          <w:tcPr>
            <w:tcW w:w="932" w:type="dxa"/>
            <w:hideMark/>
          </w:tcPr>
          <w:p w14:paraId="17FA4C6A" w14:textId="77777777" w:rsidR="00FF5BE4" w:rsidRPr="00FF5BE4" w:rsidRDefault="00FF5BE4" w:rsidP="00FF5BE4">
            <w:pPr>
              <w:jc w:val="center"/>
              <w:rPr>
                <w:color w:val="000000"/>
              </w:rPr>
            </w:pPr>
            <w:r w:rsidRPr="00FF5BE4">
              <w:rPr>
                <w:color w:val="000000"/>
              </w:rPr>
              <w:t>0</w:t>
            </w:r>
          </w:p>
        </w:tc>
        <w:tc>
          <w:tcPr>
            <w:tcW w:w="1097" w:type="dxa"/>
            <w:hideMark/>
          </w:tcPr>
          <w:p w14:paraId="78524097" w14:textId="77777777" w:rsidR="00FF5BE4" w:rsidRPr="00FF5BE4" w:rsidRDefault="00FF5BE4" w:rsidP="00FF5BE4">
            <w:pPr>
              <w:jc w:val="center"/>
              <w:rPr>
                <w:color w:val="000000"/>
              </w:rPr>
            </w:pPr>
            <w:r w:rsidRPr="00FF5BE4">
              <w:rPr>
                <w:color w:val="000000"/>
              </w:rPr>
              <w:t>0</w:t>
            </w:r>
          </w:p>
        </w:tc>
        <w:tc>
          <w:tcPr>
            <w:tcW w:w="933" w:type="dxa"/>
            <w:hideMark/>
          </w:tcPr>
          <w:p w14:paraId="0684E901" w14:textId="77777777" w:rsidR="00FF5BE4" w:rsidRPr="00FF5BE4" w:rsidRDefault="00FF5BE4" w:rsidP="00FF5BE4">
            <w:pPr>
              <w:jc w:val="center"/>
              <w:rPr>
                <w:color w:val="000000"/>
              </w:rPr>
            </w:pPr>
            <w:r w:rsidRPr="00FF5BE4">
              <w:rPr>
                <w:color w:val="000000"/>
              </w:rPr>
              <w:t>0</w:t>
            </w:r>
          </w:p>
        </w:tc>
        <w:tc>
          <w:tcPr>
            <w:tcW w:w="1097" w:type="dxa"/>
            <w:hideMark/>
          </w:tcPr>
          <w:p w14:paraId="33EB807D" w14:textId="77777777" w:rsidR="00FF5BE4" w:rsidRPr="00FF5BE4" w:rsidRDefault="00FF5BE4" w:rsidP="00FF5BE4">
            <w:pPr>
              <w:jc w:val="center"/>
              <w:rPr>
                <w:color w:val="000000"/>
              </w:rPr>
            </w:pPr>
            <w:r w:rsidRPr="00FF5BE4">
              <w:rPr>
                <w:color w:val="000000"/>
              </w:rPr>
              <w:t>0</w:t>
            </w:r>
          </w:p>
        </w:tc>
        <w:tc>
          <w:tcPr>
            <w:tcW w:w="1295" w:type="dxa"/>
            <w:hideMark/>
          </w:tcPr>
          <w:p w14:paraId="6CAD0CEE" w14:textId="77777777" w:rsidR="00FF5BE4" w:rsidRPr="00FF5BE4" w:rsidRDefault="00FF5BE4" w:rsidP="00FF5BE4">
            <w:pPr>
              <w:jc w:val="center"/>
              <w:rPr>
                <w:color w:val="000000"/>
              </w:rPr>
            </w:pPr>
            <w:r w:rsidRPr="00FF5BE4">
              <w:rPr>
                <w:color w:val="000000"/>
              </w:rPr>
              <w:t>0</w:t>
            </w:r>
          </w:p>
        </w:tc>
      </w:tr>
      <w:tr w:rsidR="004B1C65" w:rsidRPr="00FF5BE4" w14:paraId="31E61034" w14:textId="77777777" w:rsidTr="00D5158A">
        <w:tc>
          <w:tcPr>
            <w:tcW w:w="1809" w:type="dxa"/>
            <w:hideMark/>
          </w:tcPr>
          <w:p w14:paraId="3CA29256" w14:textId="77777777" w:rsidR="00FF5BE4" w:rsidRPr="00FF5BE4" w:rsidRDefault="00FF5BE4" w:rsidP="00FF5BE4">
            <w:pPr>
              <w:rPr>
                <w:iCs/>
              </w:rPr>
            </w:pPr>
            <w:r w:rsidRPr="00FF5BE4">
              <w:rPr>
                <w:iCs/>
              </w:rPr>
              <w:t>2. Budžeta izdevumi</w:t>
            </w:r>
          </w:p>
        </w:tc>
        <w:tc>
          <w:tcPr>
            <w:tcW w:w="982" w:type="dxa"/>
            <w:hideMark/>
          </w:tcPr>
          <w:p w14:paraId="43D4BF37" w14:textId="77777777" w:rsidR="00FF5BE4" w:rsidRPr="00FF5BE4" w:rsidRDefault="00FF5BE4" w:rsidP="00FF5BE4">
            <w:pPr>
              <w:jc w:val="center"/>
              <w:rPr>
                <w:color w:val="000000"/>
              </w:rPr>
            </w:pPr>
            <w:r w:rsidRPr="00FF5BE4">
              <w:rPr>
                <w:color w:val="000000"/>
              </w:rPr>
              <w:t>0</w:t>
            </w:r>
          </w:p>
        </w:tc>
        <w:tc>
          <w:tcPr>
            <w:tcW w:w="1097" w:type="dxa"/>
            <w:hideMark/>
          </w:tcPr>
          <w:p w14:paraId="53B86FE1" w14:textId="6F53FFB0" w:rsidR="00FF5BE4" w:rsidRPr="00FF5BE4" w:rsidRDefault="00714D20" w:rsidP="00FF5BE4">
            <w:pPr>
              <w:jc w:val="center"/>
              <w:rPr>
                <w:color w:val="000000"/>
              </w:rPr>
            </w:pPr>
            <w:r>
              <w:rPr>
                <w:color w:val="000000"/>
              </w:rPr>
              <w:t>  45 498</w:t>
            </w:r>
          </w:p>
        </w:tc>
        <w:tc>
          <w:tcPr>
            <w:tcW w:w="932" w:type="dxa"/>
            <w:hideMark/>
          </w:tcPr>
          <w:p w14:paraId="65A8EED7" w14:textId="77777777" w:rsidR="00FF5BE4" w:rsidRPr="00FF5BE4" w:rsidRDefault="00FF5BE4" w:rsidP="00FF5BE4">
            <w:pPr>
              <w:jc w:val="center"/>
              <w:rPr>
                <w:color w:val="000000"/>
              </w:rPr>
            </w:pPr>
            <w:r w:rsidRPr="00FF5BE4">
              <w:rPr>
                <w:color w:val="000000"/>
              </w:rPr>
              <w:t>0</w:t>
            </w:r>
          </w:p>
        </w:tc>
        <w:tc>
          <w:tcPr>
            <w:tcW w:w="1097" w:type="dxa"/>
            <w:hideMark/>
          </w:tcPr>
          <w:p w14:paraId="1CDFA1B9" w14:textId="77777777" w:rsidR="00FF5BE4" w:rsidRPr="00FF5BE4" w:rsidRDefault="00FF5BE4" w:rsidP="00FF5BE4">
            <w:pPr>
              <w:jc w:val="center"/>
              <w:rPr>
                <w:color w:val="000000"/>
              </w:rPr>
            </w:pPr>
            <w:r w:rsidRPr="00FF5BE4">
              <w:rPr>
                <w:color w:val="000000"/>
              </w:rPr>
              <w:t>0</w:t>
            </w:r>
          </w:p>
        </w:tc>
        <w:tc>
          <w:tcPr>
            <w:tcW w:w="933" w:type="dxa"/>
            <w:hideMark/>
          </w:tcPr>
          <w:p w14:paraId="4A4BF419" w14:textId="77777777" w:rsidR="00FF5BE4" w:rsidRPr="00FF5BE4" w:rsidRDefault="00FF5BE4" w:rsidP="00FF5BE4">
            <w:pPr>
              <w:jc w:val="center"/>
              <w:rPr>
                <w:color w:val="000000"/>
              </w:rPr>
            </w:pPr>
            <w:r w:rsidRPr="00FF5BE4">
              <w:rPr>
                <w:color w:val="000000"/>
              </w:rPr>
              <w:t>0</w:t>
            </w:r>
          </w:p>
        </w:tc>
        <w:tc>
          <w:tcPr>
            <w:tcW w:w="1097" w:type="dxa"/>
            <w:hideMark/>
          </w:tcPr>
          <w:p w14:paraId="5EE03E45" w14:textId="77777777" w:rsidR="00FF5BE4" w:rsidRPr="00FF5BE4" w:rsidRDefault="00FF5BE4" w:rsidP="00FF5BE4">
            <w:pPr>
              <w:jc w:val="center"/>
              <w:rPr>
                <w:color w:val="000000"/>
              </w:rPr>
            </w:pPr>
            <w:r w:rsidRPr="00FF5BE4">
              <w:rPr>
                <w:color w:val="000000"/>
              </w:rPr>
              <w:t>0</w:t>
            </w:r>
          </w:p>
        </w:tc>
        <w:tc>
          <w:tcPr>
            <w:tcW w:w="1295" w:type="dxa"/>
            <w:hideMark/>
          </w:tcPr>
          <w:p w14:paraId="5BC1B914" w14:textId="77777777" w:rsidR="00FF5BE4" w:rsidRPr="00FF5BE4" w:rsidRDefault="00FF5BE4" w:rsidP="00FF5BE4">
            <w:pPr>
              <w:jc w:val="center"/>
              <w:rPr>
                <w:color w:val="000000"/>
              </w:rPr>
            </w:pPr>
            <w:r w:rsidRPr="00FF5BE4">
              <w:rPr>
                <w:color w:val="000000"/>
              </w:rPr>
              <w:t>0</w:t>
            </w:r>
          </w:p>
        </w:tc>
      </w:tr>
      <w:tr w:rsidR="004B1C65" w:rsidRPr="00FF5BE4" w14:paraId="48DF3D94" w14:textId="77777777" w:rsidTr="00D5158A">
        <w:tc>
          <w:tcPr>
            <w:tcW w:w="1809" w:type="dxa"/>
            <w:hideMark/>
          </w:tcPr>
          <w:p w14:paraId="62086FDC" w14:textId="1545F749" w:rsidR="00D91BD3" w:rsidRDefault="00FF5BE4" w:rsidP="00FF5BE4">
            <w:pPr>
              <w:rPr>
                <w:iCs/>
              </w:rPr>
            </w:pPr>
            <w:r w:rsidRPr="00FF5BE4">
              <w:rPr>
                <w:iCs/>
              </w:rPr>
              <w:t>2.1. valsts pamatbudžets</w:t>
            </w:r>
          </w:p>
          <w:p w14:paraId="382C62BE" w14:textId="77777777" w:rsidR="00FF5BE4" w:rsidRPr="00D91BD3" w:rsidRDefault="00FF5BE4" w:rsidP="00D91BD3">
            <w:pPr>
              <w:jc w:val="center"/>
            </w:pPr>
          </w:p>
        </w:tc>
        <w:tc>
          <w:tcPr>
            <w:tcW w:w="982" w:type="dxa"/>
            <w:hideMark/>
          </w:tcPr>
          <w:p w14:paraId="78B82402" w14:textId="77777777" w:rsidR="00FF5BE4" w:rsidRPr="00FF5BE4" w:rsidRDefault="00FF5BE4" w:rsidP="00FF5BE4">
            <w:pPr>
              <w:jc w:val="center"/>
              <w:rPr>
                <w:color w:val="000000"/>
              </w:rPr>
            </w:pPr>
            <w:r w:rsidRPr="00FF5BE4">
              <w:rPr>
                <w:color w:val="000000"/>
              </w:rPr>
              <w:t>0</w:t>
            </w:r>
          </w:p>
        </w:tc>
        <w:tc>
          <w:tcPr>
            <w:tcW w:w="1097" w:type="dxa"/>
            <w:hideMark/>
          </w:tcPr>
          <w:p w14:paraId="4B4A5FCE" w14:textId="7BC285D2" w:rsidR="00D91BD3" w:rsidRDefault="00714D20" w:rsidP="00FF5BE4">
            <w:pPr>
              <w:jc w:val="center"/>
              <w:rPr>
                <w:color w:val="000000"/>
              </w:rPr>
            </w:pPr>
            <w:r>
              <w:rPr>
                <w:color w:val="000000"/>
              </w:rPr>
              <w:t>  45 498</w:t>
            </w:r>
          </w:p>
          <w:p w14:paraId="3C7C6CC0" w14:textId="77777777" w:rsidR="00D91BD3" w:rsidRPr="00D91BD3" w:rsidRDefault="00D91BD3" w:rsidP="00D91BD3"/>
          <w:p w14:paraId="38CFE209" w14:textId="42E379E7" w:rsidR="00FF5BE4" w:rsidRPr="00D91BD3" w:rsidRDefault="00D91BD3" w:rsidP="00D91BD3">
            <w:pPr>
              <w:tabs>
                <w:tab w:val="left" w:pos="795"/>
              </w:tabs>
            </w:pPr>
            <w:r>
              <w:tab/>
            </w:r>
          </w:p>
        </w:tc>
        <w:tc>
          <w:tcPr>
            <w:tcW w:w="932" w:type="dxa"/>
            <w:hideMark/>
          </w:tcPr>
          <w:p w14:paraId="7F4A3E12" w14:textId="77777777" w:rsidR="00FF5BE4" w:rsidRPr="00FF5BE4" w:rsidRDefault="00FF5BE4" w:rsidP="00FF5BE4">
            <w:pPr>
              <w:jc w:val="center"/>
              <w:rPr>
                <w:color w:val="000000"/>
              </w:rPr>
            </w:pPr>
            <w:r w:rsidRPr="00FF5BE4">
              <w:rPr>
                <w:color w:val="000000"/>
              </w:rPr>
              <w:t>0</w:t>
            </w:r>
          </w:p>
        </w:tc>
        <w:tc>
          <w:tcPr>
            <w:tcW w:w="1097" w:type="dxa"/>
            <w:hideMark/>
          </w:tcPr>
          <w:p w14:paraId="5E3C2961" w14:textId="77777777" w:rsidR="00FF5BE4" w:rsidRPr="00FF5BE4" w:rsidRDefault="00FF5BE4" w:rsidP="00FF5BE4">
            <w:pPr>
              <w:jc w:val="center"/>
              <w:rPr>
                <w:color w:val="000000"/>
              </w:rPr>
            </w:pPr>
            <w:r w:rsidRPr="00FF5BE4">
              <w:rPr>
                <w:color w:val="000000"/>
              </w:rPr>
              <w:t>0</w:t>
            </w:r>
          </w:p>
        </w:tc>
        <w:tc>
          <w:tcPr>
            <w:tcW w:w="933" w:type="dxa"/>
            <w:hideMark/>
          </w:tcPr>
          <w:p w14:paraId="450C5D5B" w14:textId="77777777" w:rsidR="00FF5BE4" w:rsidRPr="00FF5BE4" w:rsidRDefault="00FF5BE4" w:rsidP="00FF5BE4">
            <w:pPr>
              <w:jc w:val="center"/>
              <w:rPr>
                <w:color w:val="000000"/>
              </w:rPr>
            </w:pPr>
            <w:r w:rsidRPr="00FF5BE4">
              <w:rPr>
                <w:color w:val="000000"/>
              </w:rPr>
              <w:t>0</w:t>
            </w:r>
          </w:p>
        </w:tc>
        <w:tc>
          <w:tcPr>
            <w:tcW w:w="1097" w:type="dxa"/>
            <w:hideMark/>
          </w:tcPr>
          <w:p w14:paraId="06665436" w14:textId="77777777" w:rsidR="00FF5BE4" w:rsidRPr="00FF5BE4" w:rsidRDefault="00FF5BE4" w:rsidP="00FF5BE4">
            <w:pPr>
              <w:jc w:val="center"/>
              <w:rPr>
                <w:color w:val="000000"/>
              </w:rPr>
            </w:pPr>
            <w:r w:rsidRPr="00FF5BE4">
              <w:rPr>
                <w:color w:val="000000"/>
              </w:rPr>
              <w:t>0</w:t>
            </w:r>
          </w:p>
        </w:tc>
        <w:tc>
          <w:tcPr>
            <w:tcW w:w="1295" w:type="dxa"/>
            <w:hideMark/>
          </w:tcPr>
          <w:p w14:paraId="1EB96187" w14:textId="77777777" w:rsidR="00FF5BE4" w:rsidRPr="00FF5BE4" w:rsidRDefault="00FF5BE4" w:rsidP="00FF5BE4">
            <w:pPr>
              <w:jc w:val="center"/>
              <w:rPr>
                <w:color w:val="000000"/>
              </w:rPr>
            </w:pPr>
            <w:r w:rsidRPr="00FF5BE4">
              <w:rPr>
                <w:color w:val="000000"/>
              </w:rPr>
              <w:t>0</w:t>
            </w:r>
          </w:p>
        </w:tc>
      </w:tr>
      <w:tr w:rsidR="004B1C65" w:rsidRPr="00FF5BE4" w14:paraId="26500B31" w14:textId="77777777" w:rsidTr="00D5158A">
        <w:tc>
          <w:tcPr>
            <w:tcW w:w="1809" w:type="dxa"/>
            <w:hideMark/>
          </w:tcPr>
          <w:p w14:paraId="374A1FD2" w14:textId="77777777" w:rsidR="00FF5BE4" w:rsidRPr="00FF5BE4" w:rsidRDefault="00FF5BE4" w:rsidP="00FF5BE4">
            <w:pPr>
              <w:rPr>
                <w:iCs/>
              </w:rPr>
            </w:pPr>
            <w:r w:rsidRPr="00FF5BE4">
              <w:rPr>
                <w:iCs/>
              </w:rPr>
              <w:t>2.2. valsts speciālais budžets</w:t>
            </w:r>
          </w:p>
        </w:tc>
        <w:tc>
          <w:tcPr>
            <w:tcW w:w="982" w:type="dxa"/>
            <w:hideMark/>
          </w:tcPr>
          <w:p w14:paraId="31B398F3" w14:textId="77777777" w:rsidR="00FF5BE4" w:rsidRPr="00FF5BE4" w:rsidRDefault="00FF5BE4" w:rsidP="00FF5BE4">
            <w:pPr>
              <w:jc w:val="center"/>
              <w:rPr>
                <w:color w:val="000000"/>
              </w:rPr>
            </w:pPr>
            <w:r w:rsidRPr="00FF5BE4">
              <w:rPr>
                <w:color w:val="000000"/>
              </w:rPr>
              <w:t>0</w:t>
            </w:r>
          </w:p>
        </w:tc>
        <w:tc>
          <w:tcPr>
            <w:tcW w:w="1097" w:type="dxa"/>
            <w:hideMark/>
          </w:tcPr>
          <w:p w14:paraId="51FF7E10" w14:textId="77777777" w:rsidR="00FF5BE4" w:rsidRPr="00FF5BE4" w:rsidRDefault="00FF5BE4" w:rsidP="00FF5BE4">
            <w:pPr>
              <w:jc w:val="center"/>
              <w:rPr>
                <w:color w:val="000000"/>
              </w:rPr>
            </w:pPr>
            <w:r w:rsidRPr="00FF5BE4">
              <w:rPr>
                <w:color w:val="000000"/>
              </w:rPr>
              <w:t>0</w:t>
            </w:r>
          </w:p>
        </w:tc>
        <w:tc>
          <w:tcPr>
            <w:tcW w:w="932" w:type="dxa"/>
            <w:hideMark/>
          </w:tcPr>
          <w:p w14:paraId="51941935" w14:textId="77777777" w:rsidR="00FF5BE4" w:rsidRPr="00FF5BE4" w:rsidRDefault="00FF5BE4" w:rsidP="00FF5BE4">
            <w:pPr>
              <w:jc w:val="center"/>
              <w:rPr>
                <w:color w:val="000000"/>
              </w:rPr>
            </w:pPr>
            <w:r w:rsidRPr="00FF5BE4">
              <w:rPr>
                <w:color w:val="000000"/>
              </w:rPr>
              <w:t>0</w:t>
            </w:r>
          </w:p>
        </w:tc>
        <w:tc>
          <w:tcPr>
            <w:tcW w:w="1097" w:type="dxa"/>
            <w:hideMark/>
          </w:tcPr>
          <w:p w14:paraId="3997E796" w14:textId="77777777" w:rsidR="00FF5BE4" w:rsidRPr="00FF5BE4" w:rsidRDefault="00FF5BE4" w:rsidP="00FF5BE4">
            <w:pPr>
              <w:jc w:val="center"/>
              <w:rPr>
                <w:color w:val="000000"/>
              </w:rPr>
            </w:pPr>
            <w:r w:rsidRPr="00FF5BE4">
              <w:rPr>
                <w:color w:val="000000"/>
              </w:rPr>
              <w:t>0</w:t>
            </w:r>
          </w:p>
        </w:tc>
        <w:tc>
          <w:tcPr>
            <w:tcW w:w="933" w:type="dxa"/>
            <w:hideMark/>
          </w:tcPr>
          <w:p w14:paraId="139C3D76" w14:textId="77777777" w:rsidR="00FF5BE4" w:rsidRPr="00FF5BE4" w:rsidRDefault="00FF5BE4" w:rsidP="00FF5BE4">
            <w:pPr>
              <w:jc w:val="center"/>
              <w:rPr>
                <w:color w:val="000000"/>
              </w:rPr>
            </w:pPr>
            <w:r w:rsidRPr="00FF5BE4">
              <w:rPr>
                <w:color w:val="000000"/>
              </w:rPr>
              <w:t>0</w:t>
            </w:r>
          </w:p>
        </w:tc>
        <w:tc>
          <w:tcPr>
            <w:tcW w:w="1097" w:type="dxa"/>
            <w:hideMark/>
          </w:tcPr>
          <w:p w14:paraId="6BEE94C8" w14:textId="77777777" w:rsidR="00FF5BE4" w:rsidRPr="00FF5BE4" w:rsidRDefault="00FF5BE4" w:rsidP="00FF5BE4">
            <w:pPr>
              <w:jc w:val="center"/>
              <w:rPr>
                <w:color w:val="000000"/>
              </w:rPr>
            </w:pPr>
            <w:r w:rsidRPr="00FF5BE4">
              <w:rPr>
                <w:color w:val="000000"/>
              </w:rPr>
              <w:t>0</w:t>
            </w:r>
          </w:p>
        </w:tc>
        <w:tc>
          <w:tcPr>
            <w:tcW w:w="1295" w:type="dxa"/>
            <w:hideMark/>
          </w:tcPr>
          <w:p w14:paraId="3ACEB059" w14:textId="77777777" w:rsidR="00FF5BE4" w:rsidRPr="00FF5BE4" w:rsidRDefault="00FF5BE4" w:rsidP="00FF5BE4">
            <w:pPr>
              <w:jc w:val="center"/>
              <w:rPr>
                <w:color w:val="000000"/>
              </w:rPr>
            </w:pPr>
            <w:r w:rsidRPr="00FF5BE4">
              <w:rPr>
                <w:color w:val="000000"/>
              </w:rPr>
              <w:t>0</w:t>
            </w:r>
          </w:p>
        </w:tc>
      </w:tr>
      <w:tr w:rsidR="004B1C65" w:rsidRPr="00FF5BE4" w14:paraId="0CD4850C" w14:textId="77777777" w:rsidTr="00D5158A">
        <w:tc>
          <w:tcPr>
            <w:tcW w:w="1809" w:type="dxa"/>
            <w:hideMark/>
          </w:tcPr>
          <w:p w14:paraId="67CA2DDE" w14:textId="77777777" w:rsidR="00FF5BE4" w:rsidRPr="00FF5BE4" w:rsidRDefault="00FF5BE4" w:rsidP="00FF5BE4">
            <w:pPr>
              <w:rPr>
                <w:iCs/>
              </w:rPr>
            </w:pPr>
            <w:r w:rsidRPr="00FF5BE4">
              <w:rPr>
                <w:iCs/>
              </w:rPr>
              <w:t>2.3. pašvaldību budžets</w:t>
            </w:r>
          </w:p>
        </w:tc>
        <w:tc>
          <w:tcPr>
            <w:tcW w:w="982" w:type="dxa"/>
            <w:hideMark/>
          </w:tcPr>
          <w:p w14:paraId="524E7A09" w14:textId="77777777" w:rsidR="00FF5BE4" w:rsidRPr="00FF5BE4" w:rsidRDefault="00FF5BE4" w:rsidP="00FF5BE4">
            <w:pPr>
              <w:jc w:val="center"/>
              <w:rPr>
                <w:color w:val="000000"/>
              </w:rPr>
            </w:pPr>
            <w:r w:rsidRPr="00FF5BE4">
              <w:rPr>
                <w:color w:val="000000"/>
              </w:rPr>
              <w:t>0</w:t>
            </w:r>
          </w:p>
        </w:tc>
        <w:tc>
          <w:tcPr>
            <w:tcW w:w="1097" w:type="dxa"/>
            <w:hideMark/>
          </w:tcPr>
          <w:p w14:paraId="27AC83B0" w14:textId="77777777" w:rsidR="00FF5BE4" w:rsidRPr="00FF5BE4" w:rsidRDefault="00FF5BE4" w:rsidP="00FF5BE4">
            <w:pPr>
              <w:jc w:val="center"/>
              <w:rPr>
                <w:color w:val="000000"/>
              </w:rPr>
            </w:pPr>
            <w:r w:rsidRPr="00FF5BE4">
              <w:rPr>
                <w:color w:val="000000"/>
              </w:rPr>
              <w:t>0</w:t>
            </w:r>
          </w:p>
        </w:tc>
        <w:tc>
          <w:tcPr>
            <w:tcW w:w="932" w:type="dxa"/>
            <w:hideMark/>
          </w:tcPr>
          <w:p w14:paraId="2044B74E" w14:textId="77777777" w:rsidR="00FF5BE4" w:rsidRPr="00FF5BE4" w:rsidRDefault="00FF5BE4" w:rsidP="00FF5BE4">
            <w:pPr>
              <w:jc w:val="center"/>
              <w:rPr>
                <w:color w:val="000000"/>
              </w:rPr>
            </w:pPr>
            <w:r w:rsidRPr="00FF5BE4">
              <w:rPr>
                <w:color w:val="000000"/>
              </w:rPr>
              <w:t>0</w:t>
            </w:r>
          </w:p>
        </w:tc>
        <w:tc>
          <w:tcPr>
            <w:tcW w:w="1097" w:type="dxa"/>
            <w:hideMark/>
          </w:tcPr>
          <w:p w14:paraId="0738DFF0" w14:textId="77777777" w:rsidR="00FF5BE4" w:rsidRPr="00FF5BE4" w:rsidRDefault="00FF5BE4" w:rsidP="00FF5BE4">
            <w:pPr>
              <w:jc w:val="center"/>
              <w:rPr>
                <w:color w:val="000000"/>
              </w:rPr>
            </w:pPr>
            <w:r w:rsidRPr="00FF5BE4">
              <w:rPr>
                <w:color w:val="000000"/>
              </w:rPr>
              <w:t>0</w:t>
            </w:r>
          </w:p>
        </w:tc>
        <w:tc>
          <w:tcPr>
            <w:tcW w:w="933" w:type="dxa"/>
            <w:hideMark/>
          </w:tcPr>
          <w:p w14:paraId="2BF3C14C" w14:textId="77777777" w:rsidR="00FF5BE4" w:rsidRPr="00FF5BE4" w:rsidRDefault="00FF5BE4" w:rsidP="00FF5BE4">
            <w:pPr>
              <w:jc w:val="center"/>
              <w:rPr>
                <w:color w:val="000000"/>
              </w:rPr>
            </w:pPr>
            <w:r w:rsidRPr="00FF5BE4">
              <w:rPr>
                <w:color w:val="000000"/>
              </w:rPr>
              <w:t>0</w:t>
            </w:r>
          </w:p>
        </w:tc>
        <w:tc>
          <w:tcPr>
            <w:tcW w:w="1097" w:type="dxa"/>
            <w:hideMark/>
          </w:tcPr>
          <w:p w14:paraId="414B428C" w14:textId="77777777" w:rsidR="00FF5BE4" w:rsidRPr="00FF5BE4" w:rsidRDefault="00FF5BE4" w:rsidP="00FF5BE4">
            <w:pPr>
              <w:jc w:val="center"/>
              <w:rPr>
                <w:color w:val="000000"/>
              </w:rPr>
            </w:pPr>
            <w:r w:rsidRPr="00FF5BE4">
              <w:rPr>
                <w:color w:val="000000"/>
              </w:rPr>
              <w:t>0</w:t>
            </w:r>
          </w:p>
        </w:tc>
        <w:tc>
          <w:tcPr>
            <w:tcW w:w="1295" w:type="dxa"/>
            <w:hideMark/>
          </w:tcPr>
          <w:p w14:paraId="7F44C8B3" w14:textId="77777777" w:rsidR="00FF5BE4" w:rsidRPr="00FF5BE4" w:rsidRDefault="00FF5BE4" w:rsidP="00FF5BE4">
            <w:pPr>
              <w:jc w:val="center"/>
              <w:rPr>
                <w:color w:val="000000"/>
              </w:rPr>
            </w:pPr>
            <w:r w:rsidRPr="00FF5BE4">
              <w:rPr>
                <w:color w:val="000000"/>
              </w:rPr>
              <w:t>0</w:t>
            </w:r>
          </w:p>
        </w:tc>
      </w:tr>
      <w:tr w:rsidR="004B1C65" w:rsidRPr="00FF5BE4" w14:paraId="0005F65D" w14:textId="77777777" w:rsidTr="00D5158A">
        <w:tc>
          <w:tcPr>
            <w:tcW w:w="1809" w:type="dxa"/>
            <w:hideMark/>
          </w:tcPr>
          <w:p w14:paraId="5000E750" w14:textId="77777777" w:rsidR="00FF5BE4" w:rsidRPr="00FF5BE4" w:rsidRDefault="00FF5BE4" w:rsidP="00FF5BE4">
            <w:pPr>
              <w:rPr>
                <w:iCs/>
              </w:rPr>
            </w:pPr>
            <w:r w:rsidRPr="00FF5BE4">
              <w:rPr>
                <w:iCs/>
              </w:rPr>
              <w:t>3. Finansiālā ietekme</w:t>
            </w:r>
          </w:p>
        </w:tc>
        <w:tc>
          <w:tcPr>
            <w:tcW w:w="982" w:type="dxa"/>
            <w:hideMark/>
          </w:tcPr>
          <w:p w14:paraId="4DB6CC9E" w14:textId="77777777" w:rsidR="00FF5BE4" w:rsidRPr="00FF5BE4" w:rsidRDefault="00FF5BE4" w:rsidP="00FF5BE4">
            <w:pPr>
              <w:jc w:val="center"/>
              <w:rPr>
                <w:color w:val="000000"/>
              </w:rPr>
            </w:pPr>
            <w:r w:rsidRPr="00FF5BE4">
              <w:rPr>
                <w:color w:val="000000"/>
              </w:rPr>
              <w:t>0</w:t>
            </w:r>
          </w:p>
        </w:tc>
        <w:tc>
          <w:tcPr>
            <w:tcW w:w="1097" w:type="dxa"/>
            <w:hideMark/>
          </w:tcPr>
          <w:p w14:paraId="78D49A18" w14:textId="184D49BA" w:rsidR="00FF5BE4" w:rsidRPr="00FF5BE4" w:rsidRDefault="00FF5BE4" w:rsidP="00714D20">
            <w:pPr>
              <w:jc w:val="center"/>
              <w:rPr>
                <w:color w:val="000000"/>
              </w:rPr>
            </w:pPr>
            <w:r w:rsidRPr="00FF5BE4">
              <w:rPr>
                <w:color w:val="000000"/>
              </w:rPr>
              <w:t xml:space="preserve">- </w:t>
            </w:r>
            <w:r w:rsidR="003551E6">
              <w:rPr>
                <w:color w:val="000000"/>
              </w:rPr>
              <w:t xml:space="preserve">  </w:t>
            </w:r>
            <w:r w:rsidR="00714D20">
              <w:rPr>
                <w:color w:val="000000"/>
              </w:rPr>
              <w:t>45</w:t>
            </w:r>
            <w:r w:rsidR="003551E6">
              <w:rPr>
                <w:color w:val="000000"/>
              </w:rPr>
              <w:t xml:space="preserve"> </w:t>
            </w:r>
            <w:r w:rsidR="00714D20">
              <w:rPr>
                <w:color w:val="000000"/>
              </w:rPr>
              <w:t>498</w:t>
            </w:r>
          </w:p>
        </w:tc>
        <w:tc>
          <w:tcPr>
            <w:tcW w:w="932" w:type="dxa"/>
            <w:hideMark/>
          </w:tcPr>
          <w:p w14:paraId="0F287C9D" w14:textId="77777777" w:rsidR="00FF5BE4" w:rsidRPr="00FF5BE4" w:rsidRDefault="00FF5BE4" w:rsidP="00FF5BE4">
            <w:pPr>
              <w:jc w:val="center"/>
              <w:rPr>
                <w:color w:val="000000"/>
              </w:rPr>
            </w:pPr>
            <w:r w:rsidRPr="00FF5BE4">
              <w:rPr>
                <w:color w:val="000000"/>
              </w:rPr>
              <w:t>0</w:t>
            </w:r>
          </w:p>
        </w:tc>
        <w:tc>
          <w:tcPr>
            <w:tcW w:w="1097" w:type="dxa"/>
            <w:hideMark/>
          </w:tcPr>
          <w:p w14:paraId="1F414A1C" w14:textId="77777777" w:rsidR="00FF5BE4" w:rsidRPr="00FF5BE4" w:rsidRDefault="00FF5BE4" w:rsidP="00FF5BE4">
            <w:pPr>
              <w:jc w:val="center"/>
              <w:rPr>
                <w:color w:val="000000"/>
              </w:rPr>
            </w:pPr>
            <w:r w:rsidRPr="00FF5BE4">
              <w:rPr>
                <w:color w:val="000000"/>
              </w:rPr>
              <w:t>0</w:t>
            </w:r>
          </w:p>
        </w:tc>
        <w:tc>
          <w:tcPr>
            <w:tcW w:w="933" w:type="dxa"/>
            <w:hideMark/>
          </w:tcPr>
          <w:p w14:paraId="26C4DB0E" w14:textId="77777777" w:rsidR="00FF5BE4" w:rsidRPr="00FF5BE4" w:rsidRDefault="00FF5BE4" w:rsidP="00FF5BE4">
            <w:pPr>
              <w:jc w:val="center"/>
              <w:rPr>
                <w:color w:val="000000"/>
              </w:rPr>
            </w:pPr>
            <w:r w:rsidRPr="00FF5BE4">
              <w:rPr>
                <w:color w:val="000000"/>
              </w:rPr>
              <w:t>0</w:t>
            </w:r>
          </w:p>
        </w:tc>
        <w:tc>
          <w:tcPr>
            <w:tcW w:w="1097" w:type="dxa"/>
            <w:hideMark/>
          </w:tcPr>
          <w:p w14:paraId="69147B7B" w14:textId="77777777" w:rsidR="00FF5BE4" w:rsidRPr="00FF5BE4" w:rsidRDefault="00FF5BE4" w:rsidP="00FF5BE4">
            <w:pPr>
              <w:jc w:val="center"/>
              <w:rPr>
                <w:color w:val="000000"/>
              </w:rPr>
            </w:pPr>
            <w:r w:rsidRPr="00FF5BE4">
              <w:rPr>
                <w:color w:val="000000"/>
              </w:rPr>
              <w:t>0</w:t>
            </w:r>
          </w:p>
        </w:tc>
        <w:tc>
          <w:tcPr>
            <w:tcW w:w="1295" w:type="dxa"/>
            <w:hideMark/>
          </w:tcPr>
          <w:p w14:paraId="51D1FDE4" w14:textId="77777777" w:rsidR="00FF5BE4" w:rsidRPr="00FF5BE4" w:rsidRDefault="00FF5BE4" w:rsidP="00FF5BE4">
            <w:pPr>
              <w:jc w:val="center"/>
              <w:rPr>
                <w:color w:val="000000"/>
              </w:rPr>
            </w:pPr>
            <w:r w:rsidRPr="00FF5BE4">
              <w:rPr>
                <w:color w:val="000000"/>
              </w:rPr>
              <w:t>0</w:t>
            </w:r>
          </w:p>
        </w:tc>
      </w:tr>
      <w:tr w:rsidR="004B1C65" w:rsidRPr="00FF5BE4" w14:paraId="71516CE4" w14:textId="77777777" w:rsidTr="00D5158A">
        <w:tc>
          <w:tcPr>
            <w:tcW w:w="1809" w:type="dxa"/>
            <w:hideMark/>
          </w:tcPr>
          <w:p w14:paraId="7FC8FBCA" w14:textId="77777777" w:rsidR="00FF5BE4" w:rsidRPr="00FF5BE4" w:rsidRDefault="00FF5BE4" w:rsidP="00FF5BE4">
            <w:pPr>
              <w:rPr>
                <w:iCs/>
              </w:rPr>
            </w:pPr>
            <w:r w:rsidRPr="00FF5BE4">
              <w:rPr>
                <w:iCs/>
              </w:rPr>
              <w:t>3.1. valsts pamatbudžets</w:t>
            </w:r>
          </w:p>
        </w:tc>
        <w:tc>
          <w:tcPr>
            <w:tcW w:w="982" w:type="dxa"/>
            <w:hideMark/>
          </w:tcPr>
          <w:p w14:paraId="5C706274" w14:textId="77777777" w:rsidR="00FF5BE4" w:rsidRPr="00FF5BE4" w:rsidRDefault="00FF5BE4" w:rsidP="00FF5BE4">
            <w:pPr>
              <w:jc w:val="center"/>
              <w:rPr>
                <w:color w:val="000000"/>
              </w:rPr>
            </w:pPr>
            <w:r w:rsidRPr="00FF5BE4">
              <w:rPr>
                <w:color w:val="000000"/>
              </w:rPr>
              <w:t>0</w:t>
            </w:r>
          </w:p>
        </w:tc>
        <w:tc>
          <w:tcPr>
            <w:tcW w:w="1097" w:type="dxa"/>
            <w:hideMark/>
          </w:tcPr>
          <w:p w14:paraId="5E7DDD52" w14:textId="19315609" w:rsidR="00FF5BE4" w:rsidRPr="00FF5BE4" w:rsidRDefault="00FF5BE4" w:rsidP="00714D20">
            <w:pPr>
              <w:jc w:val="center"/>
              <w:rPr>
                <w:color w:val="000000"/>
              </w:rPr>
            </w:pPr>
            <w:r w:rsidRPr="00FF5BE4">
              <w:rPr>
                <w:color w:val="000000"/>
              </w:rPr>
              <w:t xml:space="preserve">- </w:t>
            </w:r>
            <w:r w:rsidR="00714D20">
              <w:rPr>
                <w:color w:val="000000"/>
              </w:rPr>
              <w:t>  45 498</w:t>
            </w:r>
          </w:p>
        </w:tc>
        <w:tc>
          <w:tcPr>
            <w:tcW w:w="932" w:type="dxa"/>
            <w:hideMark/>
          </w:tcPr>
          <w:p w14:paraId="1DA0832F" w14:textId="77777777" w:rsidR="00FF5BE4" w:rsidRPr="00FF5BE4" w:rsidRDefault="00FF5BE4" w:rsidP="00FF5BE4">
            <w:pPr>
              <w:jc w:val="center"/>
              <w:rPr>
                <w:color w:val="000000"/>
              </w:rPr>
            </w:pPr>
            <w:r w:rsidRPr="00FF5BE4">
              <w:rPr>
                <w:color w:val="000000"/>
              </w:rPr>
              <w:t>0</w:t>
            </w:r>
          </w:p>
        </w:tc>
        <w:tc>
          <w:tcPr>
            <w:tcW w:w="1097" w:type="dxa"/>
            <w:hideMark/>
          </w:tcPr>
          <w:p w14:paraId="31D5673C" w14:textId="77777777" w:rsidR="00FF5BE4" w:rsidRPr="00FF5BE4" w:rsidRDefault="00FF5BE4" w:rsidP="00FF5BE4">
            <w:pPr>
              <w:jc w:val="center"/>
              <w:rPr>
                <w:color w:val="000000"/>
              </w:rPr>
            </w:pPr>
            <w:r w:rsidRPr="00FF5BE4">
              <w:rPr>
                <w:color w:val="000000"/>
              </w:rPr>
              <w:t>0</w:t>
            </w:r>
          </w:p>
        </w:tc>
        <w:tc>
          <w:tcPr>
            <w:tcW w:w="933" w:type="dxa"/>
            <w:hideMark/>
          </w:tcPr>
          <w:p w14:paraId="62E6355F" w14:textId="77777777" w:rsidR="00FF5BE4" w:rsidRPr="00FF5BE4" w:rsidRDefault="00FF5BE4" w:rsidP="00FF5BE4">
            <w:pPr>
              <w:jc w:val="center"/>
              <w:rPr>
                <w:color w:val="000000"/>
              </w:rPr>
            </w:pPr>
            <w:r w:rsidRPr="00FF5BE4">
              <w:rPr>
                <w:color w:val="000000"/>
              </w:rPr>
              <w:t>0</w:t>
            </w:r>
          </w:p>
        </w:tc>
        <w:tc>
          <w:tcPr>
            <w:tcW w:w="1097" w:type="dxa"/>
            <w:hideMark/>
          </w:tcPr>
          <w:p w14:paraId="349A6FC7" w14:textId="77777777" w:rsidR="00FF5BE4" w:rsidRPr="00FF5BE4" w:rsidRDefault="00FF5BE4" w:rsidP="00FF5BE4">
            <w:pPr>
              <w:jc w:val="center"/>
              <w:rPr>
                <w:color w:val="000000"/>
              </w:rPr>
            </w:pPr>
            <w:r w:rsidRPr="00FF5BE4">
              <w:rPr>
                <w:color w:val="000000"/>
              </w:rPr>
              <w:t>0</w:t>
            </w:r>
          </w:p>
        </w:tc>
        <w:tc>
          <w:tcPr>
            <w:tcW w:w="1295" w:type="dxa"/>
            <w:hideMark/>
          </w:tcPr>
          <w:p w14:paraId="23BEFF35" w14:textId="77777777" w:rsidR="00FF5BE4" w:rsidRPr="00FF5BE4" w:rsidRDefault="00FF5BE4" w:rsidP="00FF5BE4">
            <w:pPr>
              <w:jc w:val="center"/>
              <w:rPr>
                <w:color w:val="000000"/>
              </w:rPr>
            </w:pPr>
            <w:r w:rsidRPr="00FF5BE4">
              <w:rPr>
                <w:color w:val="000000"/>
              </w:rPr>
              <w:t>0</w:t>
            </w:r>
          </w:p>
        </w:tc>
      </w:tr>
      <w:tr w:rsidR="004B1C65" w:rsidRPr="00FF5BE4" w14:paraId="47F05286" w14:textId="77777777" w:rsidTr="00D5158A">
        <w:tc>
          <w:tcPr>
            <w:tcW w:w="1809" w:type="dxa"/>
            <w:hideMark/>
          </w:tcPr>
          <w:p w14:paraId="5BCB6275" w14:textId="77777777" w:rsidR="00FF5BE4" w:rsidRPr="00FF5BE4" w:rsidRDefault="00FF5BE4" w:rsidP="00FF5BE4">
            <w:pPr>
              <w:rPr>
                <w:iCs/>
              </w:rPr>
            </w:pPr>
            <w:r w:rsidRPr="00FF5BE4">
              <w:rPr>
                <w:iCs/>
              </w:rPr>
              <w:t>3.2. speciālais budžets</w:t>
            </w:r>
          </w:p>
        </w:tc>
        <w:tc>
          <w:tcPr>
            <w:tcW w:w="982" w:type="dxa"/>
            <w:hideMark/>
          </w:tcPr>
          <w:p w14:paraId="248D179E" w14:textId="77777777" w:rsidR="00FF5BE4" w:rsidRPr="00FF5BE4" w:rsidRDefault="00FF5BE4" w:rsidP="00FF5BE4">
            <w:pPr>
              <w:jc w:val="center"/>
              <w:rPr>
                <w:color w:val="000000"/>
              </w:rPr>
            </w:pPr>
            <w:r w:rsidRPr="00FF5BE4">
              <w:rPr>
                <w:color w:val="000000"/>
              </w:rPr>
              <w:t>0</w:t>
            </w:r>
          </w:p>
        </w:tc>
        <w:tc>
          <w:tcPr>
            <w:tcW w:w="1097" w:type="dxa"/>
            <w:hideMark/>
          </w:tcPr>
          <w:p w14:paraId="53CFDE91" w14:textId="77777777" w:rsidR="00FF5BE4" w:rsidRPr="00FF5BE4" w:rsidRDefault="00FF5BE4" w:rsidP="00FF5BE4">
            <w:pPr>
              <w:jc w:val="center"/>
              <w:rPr>
                <w:color w:val="000000"/>
              </w:rPr>
            </w:pPr>
            <w:r w:rsidRPr="00FF5BE4">
              <w:rPr>
                <w:color w:val="000000"/>
              </w:rPr>
              <w:t>0</w:t>
            </w:r>
          </w:p>
        </w:tc>
        <w:tc>
          <w:tcPr>
            <w:tcW w:w="932" w:type="dxa"/>
            <w:hideMark/>
          </w:tcPr>
          <w:p w14:paraId="689A362B" w14:textId="77777777" w:rsidR="00FF5BE4" w:rsidRPr="00FF5BE4" w:rsidRDefault="00FF5BE4" w:rsidP="00FF5BE4">
            <w:pPr>
              <w:jc w:val="center"/>
              <w:rPr>
                <w:color w:val="000000"/>
              </w:rPr>
            </w:pPr>
            <w:r w:rsidRPr="00FF5BE4">
              <w:rPr>
                <w:color w:val="000000"/>
              </w:rPr>
              <w:t>0</w:t>
            </w:r>
          </w:p>
        </w:tc>
        <w:tc>
          <w:tcPr>
            <w:tcW w:w="1097" w:type="dxa"/>
            <w:hideMark/>
          </w:tcPr>
          <w:p w14:paraId="7F1CF31F" w14:textId="77777777" w:rsidR="00FF5BE4" w:rsidRPr="00FF5BE4" w:rsidRDefault="00FF5BE4" w:rsidP="00FF5BE4">
            <w:pPr>
              <w:jc w:val="center"/>
              <w:rPr>
                <w:color w:val="000000"/>
              </w:rPr>
            </w:pPr>
            <w:r w:rsidRPr="00FF5BE4">
              <w:rPr>
                <w:color w:val="000000"/>
              </w:rPr>
              <w:t>0</w:t>
            </w:r>
          </w:p>
        </w:tc>
        <w:tc>
          <w:tcPr>
            <w:tcW w:w="933" w:type="dxa"/>
            <w:hideMark/>
          </w:tcPr>
          <w:p w14:paraId="14A7F4DC" w14:textId="77777777" w:rsidR="00FF5BE4" w:rsidRPr="00FF5BE4" w:rsidRDefault="00FF5BE4" w:rsidP="00FF5BE4">
            <w:pPr>
              <w:jc w:val="center"/>
              <w:rPr>
                <w:color w:val="000000"/>
              </w:rPr>
            </w:pPr>
            <w:r w:rsidRPr="00FF5BE4">
              <w:rPr>
                <w:color w:val="000000"/>
              </w:rPr>
              <w:t>0</w:t>
            </w:r>
          </w:p>
        </w:tc>
        <w:tc>
          <w:tcPr>
            <w:tcW w:w="1097" w:type="dxa"/>
            <w:hideMark/>
          </w:tcPr>
          <w:p w14:paraId="0A69547F" w14:textId="77777777" w:rsidR="00FF5BE4" w:rsidRPr="00FF5BE4" w:rsidRDefault="00FF5BE4" w:rsidP="00FF5BE4">
            <w:pPr>
              <w:jc w:val="center"/>
              <w:rPr>
                <w:color w:val="000000"/>
              </w:rPr>
            </w:pPr>
            <w:r w:rsidRPr="00FF5BE4">
              <w:rPr>
                <w:color w:val="000000"/>
              </w:rPr>
              <w:t>0</w:t>
            </w:r>
          </w:p>
        </w:tc>
        <w:tc>
          <w:tcPr>
            <w:tcW w:w="1295" w:type="dxa"/>
            <w:hideMark/>
          </w:tcPr>
          <w:p w14:paraId="05DB44F0" w14:textId="77777777" w:rsidR="00FF5BE4" w:rsidRPr="00FF5BE4" w:rsidRDefault="00FF5BE4" w:rsidP="00FF5BE4">
            <w:pPr>
              <w:jc w:val="center"/>
              <w:rPr>
                <w:color w:val="000000"/>
              </w:rPr>
            </w:pPr>
            <w:r w:rsidRPr="00FF5BE4">
              <w:rPr>
                <w:color w:val="000000"/>
              </w:rPr>
              <w:t>0</w:t>
            </w:r>
          </w:p>
        </w:tc>
      </w:tr>
      <w:tr w:rsidR="004B1C65" w:rsidRPr="00FF5BE4" w14:paraId="5B21C620" w14:textId="77777777" w:rsidTr="00D5158A">
        <w:tc>
          <w:tcPr>
            <w:tcW w:w="1809" w:type="dxa"/>
            <w:hideMark/>
          </w:tcPr>
          <w:p w14:paraId="699AC661" w14:textId="77777777" w:rsidR="00FF5BE4" w:rsidRPr="00FF5BE4" w:rsidRDefault="00FF5BE4" w:rsidP="00FF5BE4">
            <w:pPr>
              <w:rPr>
                <w:iCs/>
              </w:rPr>
            </w:pPr>
            <w:r w:rsidRPr="00FF5BE4">
              <w:rPr>
                <w:iCs/>
              </w:rPr>
              <w:t>3.3. pašvaldību budžets</w:t>
            </w:r>
          </w:p>
        </w:tc>
        <w:tc>
          <w:tcPr>
            <w:tcW w:w="982" w:type="dxa"/>
            <w:hideMark/>
          </w:tcPr>
          <w:p w14:paraId="71B9600F" w14:textId="77777777" w:rsidR="00FF5BE4" w:rsidRPr="00FF5BE4" w:rsidRDefault="00FF5BE4" w:rsidP="00FF5BE4">
            <w:pPr>
              <w:jc w:val="center"/>
              <w:rPr>
                <w:color w:val="000000"/>
              </w:rPr>
            </w:pPr>
            <w:r w:rsidRPr="00FF5BE4">
              <w:rPr>
                <w:color w:val="000000"/>
              </w:rPr>
              <w:t>0</w:t>
            </w:r>
          </w:p>
        </w:tc>
        <w:tc>
          <w:tcPr>
            <w:tcW w:w="1097" w:type="dxa"/>
            <w:hideMark/>
          </w:tcPr>
          <w:p w14:paraId="6FA72412" w14:textId="77777777" w:rsidR="00FF5BE4" w:rsidRPr="00FF5BE4" w:rsidRDefault="00FF5BE4" w:rsidP="00FF5BE4">
            <w:pPr>
              <w:jc w:val="center"/>
              <w:rPr>
                <w:color w:val="000000"/>
              </w:rPr>
            </w:pPr>
            <w:r w:rsidRPr="00FF5BE4">
              <w:rPr>
                <w:color w:val="000000"/>
              </w:rPr>
              <w:t>0</w:t>
            </w:r>
          </w:p>
        </w:tc>
        <w:tc>
          <w:tcPr>
            <w:tcW w:w="932" w:type="dxa"/>
            <w:hideMark/>
          </w:tcPr>
          <w:p w14:paraId="7A1FB3DB" w14:textId="77777777" w:rsidR="00FF5BE4" w:rsidRPr="00FF5BE4" w:rsidRDefault="00FF5BE4" w:rsidP="00FF5BE4">
            <w:pPr>
              <w:jc w:val="center"/>
              <w:rPr>
                <w:color w:val="000000"/>
              </w:rPr>
            </w:pPr>
            <w:r w:rsidRPr="00FF5BE4">
              <w:rPr>
                <w:color w:val="000000"/>
              </w:rPr>
              <w:t>0</w:t>
            </w:r>
          </w:p>
        </w:tc>
        <w:tc>
          <w:tcPr>
            <w:tcW w:w="1097" w:type="dxa"/>
            <w:hideMark/>
          </w:tcPr>
          <w:p w14:paraId="2D43D95D" w14:textId="77777777" w:rsidR="00FF5BE4" w:rsidRPr="00FF5BE4" w:rsidRDefault="00FF5BE4" w:rsidP="00FF5BE4">
            <w:pPr>
              <w:jc w:val="center"/>
              <w:rPr>
                <w:color w:val="000000"/>
              </w:rPr>
            </w:pPr>
            <w:r w:rsidRPr="00FF5BE4">
              <w:rPr>
                <w:color w:val="000000"/>
              </w:rPr>
              <w:t>0</w:t>
            </w:r>
          </w:p>
        </w:tc>
        <w:tc>
          <w:tcPr>
            <w:tcW w:w="933" w:type="dxa"/>
            <w:hideMark/>
          </w:tcPr>
          <w:p w14:paraId="1EF6818E" w14:textId="77777777" w:rsidR="00FF5BE4" w:rsidRPr="00FF5BE4" w:rsidRDefault="00FF5BE4" w:rsidP="00FF5BE4">
            <w:pPr>
              <w:jc w:val="center"/>
              <w:rPr>
                <w:color w:val="000000"/>
              </w:rPr>
            </w:pPr>
            <w:r w:rsidRPr="00FF5BE4">
              <w:rPr>
                <w:color w:val="000000"/>
              </w:rPr>
              <w:t>0</w:t>
            </w:r>
          </w:p>
        </w:tc>
        <w:tc>
          <w:tcPr>
            <w:tcW w:w="1097" w:type="dxa"/>
            <w:hideMark/>
          </w:tcPr>
          <w:p w14:paraId="71D4E3F9" w14:textId="77777777" w:rsidR="00FF5BE4" w:rsidRPr="00FF5BE4" w:rsidRDefault="00FF5BE4" w:rsidP="00FF5BE4">
            <w:pPr>
              <w:jc w:val="center"/>
              <w:rPr>
                <w:color w:val="000000"/>
              </w:rPr>
            </w:pPr>
            <w:r w:rsidRPr="00FF5BE4">
              <w:rPr>
                <w:color w:val="000000"/>
              </w:rPr>
              <w:t>0</w:t>
            </w:r>
          </w:p>
        </w:tc>
        <w:tc>
          <w:tcPr>
            <w:tcW w:w="1295" w:type="dxa"/>
            <w:hideMark/>
          </w:tcPr>
          <w:p w14:paraId="0F3ABAED" w14:textId="77777777" w:rsidR="00FF5BE4" w:rsidRPr="00FF5BE4" w:rsidRDefault="00FF5BE4" w:rsidP="00FF5BE4">
            <w:pPr>
              <w:jc w:val="center"/>
              <w:rPr>
                <w:color w:val="000000"/>
              </w:rPr>
            </w:pPr>
            <w:r w:rsidRPr="00FF5BE4">
              <w:rPr>
                <w:color w:val="000000"/>
              </w:rPr>
              <w:t>0</w:t>
            </w:r>
          </w:p>
        </w:tc>
      </w:tr>
      <w:tr w:rsidR="004B1C65" w:rsidRPr="00FF5BE4" w14:paraId="650022F4" w14:textId="77777777" w:rsidTr="00D5158A">
        <w:tc>
          <w:tcPr>
            <w:tcW w:w="1809" w:type="dxa"/>
            <w:hideMark/>
          </w:tcPr>
          <w:p w14:paraId="39BAA406" w14:textId="77777777" w:rsidR="00FF5BE4" w:rsidRPr="00FF5BE4" w:rsidRDefault="00FF5BE4" w:rsidP="00FF5BE4">
            <w:pPr>
              <w:rPr>
                <w:iCs/>
              </w:rPr>
            </w:pPr>
            <w:r w:rsidRPr="00FF5BE4">
              <w:rPr>
                <w:iCs/>
              </w:rPr>
              <w:t>4. Finanšu līdzekļi papildu izdevumu finansēšanai (kompensējošu izdevumu samazinājumu norāda ar "+" zīmi)</w:t>
            </w:r>
          </w:p>
        </w:tc>
        <w:tc>
          <w:tcPr>
            <w:tcW w:w="982" w:type="dxa"/>
            <w:hideMark/>
          </w:tcPr>
          <w:p w14:paraId="48335152" w14:textId="77777777" w:rsidR="00FF5BE4" w:rsidRPr="00FF5BE4" w:rsidRDefault="00FF5BE4" w:rsidP="00FF5BE4">
            <w:pPr>
              <w:jc w:val="center"/>
              <w:rPr>
                <w:color w:val="000000"/>
              </w:rPr>
            </w:pPr>
            <w:r w:rsidRPr="00FF5BE4">
              <w:rPr>
                <w:color w:val="000000"/>
              </w:rPr>
              <w:t>0</w:t>
            </w:r>
          </w:p>
        </w:tc>
        <w:tc>
          <w:tcPr>
            <w:tcW w:w="1097" w:type="dxa"/>
            <w:hideMark/>
          </w:tcPr>
          <w:p w14:paraId="73C39A24" w14:textId="633513D5" w:rsidR="00FF5BE4" w:rsidRPr="00FF5BE4" w:rsidRDefault="00714D20" w:rsidP="00FF5BE4">
            <w:pPr>
              <w:jc w:val="center"/>
              <w:rPr>
                <w:color w:val="000000"/>
              </w:rPr>
            </w:pPr>
            <w:r>
              <w:rPr>
                <w:color w:val="000000"/>
              </w:rPr>
              <w:t>  45 498</w:t>
            </w:r>
          </w:p>
        </w:tc>
        <w:tc>
          <w:tcPr>
            <w:tcW w:w="932" w:type="dxa"/>
            <w:hideMark/>
          </w:tcPr>
          <w:p w14:paraId="31FD51BD" w14:textId="77777777" w:rsidR="00FF5BE4" w:rsidRPr="00FF5BE4" w:rsidRDefault="00FF5BE4" w:rsidP="00FF5BE4">
            <w:pPr>
              <w:jc w:val="center"/>
              <w:rPr>
                <w:color w:val="000000"/>
              </w:rPr>
            </w:pPr>
            <w:r w:rsidRPr="00FF5BE4">
              <w:rPr>
                <w:color w:val="000000"/>
              </w:rPr>
              <w:t>0</w:t>
            </w:r>
          </w:p>
        </w:tc>
        <w:tc>
          <w:tcPr>
            <w:tcW w:w="1097" w:type="dxa"/>
            <w:hideMark/>
          </w:tcPr>
          <w:p w14:paraId="5E358079" w14:textId="77777777" w:rsidR="00FF5BE4" w:rsidRPr="00FF5BE4" w:rsidRDefault="00FF5BE4" w:rsidP="00FF5BE4">
            <w:pPr>
              <w:jc w:val="center"/>
              <w:rPr>
                <w:color w:val="000000"/>
              </w:rPr>
            </w:pPr>
            <w:r w:rsidRPr="00FF5BE4">
              <w:rPr>
                <w:color w:val="000000"/>
              </w:rPr>
              <w:t>0</w:t>
            </w:r>
          </w:p>
        </w:tc>
        <w:tc>
          <w:tcPr>
            <w:tcW w:w="933" w:type="dxa"/>
            <w:hideMark/>
          </w:tcPr>
          <w:p w14:paraId="458E805E" w14:textId="77777777" w:rsidR="00FF5BE4" w:rsidRPr="00FF5BE4" w:rsidRDefault="00FF5BE4" w:rsidP="00FF5BE4">
            <w:pPr>
              <w:jc w:val="center"/>
              <w:rPr>
                <w:color w:val="000000"/>
              </w:rPr>
            </w:pPr>
            <w:r w:rsidRPr="00FF5BE4">
              <w:rPr>
                <w:color w:val="000000"/>
              </w:rPr>
              <w:t>0</w:t>
            </w:r>
          </w:p>
        </w:tc>
        <w:tc>
          <w:tcPr>
            <w:tcW w:w="1097" w:type="dxa"/>
            <w:hideMark/>
          </w:tcPr>
          <w:p w14:paraId="06DF6AE5" w14:textId="77777777" w:rsidR="00FF5BE4" w:rsidRPr="00FF5BE4" w:rsidRDefault="00FF5BE4" w:rsidP="00FF5BE4">
            <w:pPr>
              <w:jc w:val="center"/>
              <w:rPr>
                <w:color w:val="000000"/>
              </w:rPr>
            </w:pPr>
            <w:r w:rsidRPr="00FF5BE4">
              <w:rPr>
                <w:color w:val="000000"/>
              </w:rPr>
              <w:t>0</w:t>
            </w:r>
          </w:p>
        </w:tc>
        <w:tc>
          <w:tcPr>
            <w:tcW w:w="1295" w:type="dxa"/>
            <w:hideMark/>
          </w:tcPr>
          <w:p w14:paraId="44149760" w14:textId="77777777" w:rsidR="00FF5BE4" w:rsidRPr="00FF5BE4" w:rsidRDefault="00FF5BE4" w:rsidP="00FF5BE4">
            <w:pPr>
              <w:jc w:val="center"/>
              <w:rPr>
                <w:color w:val="000000"/>
              </w:rPr>
            </w:pPr>
            <w:r w:rsidRPr="00FF5BE4">
              <w:rPr>
                <w:color w:val="000000"/>
              </w:rPr>
              <w:t>0</w:t>
            </w:r>
          </w:p>
        </w:tc>
      </w:tr>
      <w:tr w:rsidR="004B1C65" w:rsidRPr="00FF5BE4" w14:paraId="1558F1CF" w14:textId="77777777" w:rsidTr="00D5158A">
        <w:tc>
          <w:tcPr>
            <w:tcW w:w="1809" w:type="dxa"/>
            <w:hideMark/>
          </w:tcPr>
          <w:p w14:paraId="5149C5C1" w14:textId="77777777" w:rsidR="00FF5BE4" w:rsidRPr="00FF5BE4" w:rsidRDefault="00FF5BE4" w:rsidP="00FF5BE4">
            <w:pPr>
              <w:rPr>
                <w:iCs/>
              </w:rPr>
            </w:pPr>
            <w:r w:rsidRPr="00FF5BE4">
              <w:rPr>
                <w:iCs/>
              </w:rPr>
              <w:t>5. Precizēta finansiālā ietekme</w:t>
            </w:r>
          </w:p>
        </w:tc>
        <w:tc>
          <w:tcPr>
            <w:tcW w:w="982" w:type="dxa"/>
            <w:vMerge w:val="restart"/>
            <w:hideMark/>
          </w:tcPr>
          <w:p w14:paraId="16345229" w14:textId="77777777" w:rsidR="00FF5BE4" w:rsidRPr="00FF5BE4" w:rsidRDefault="00FF5BE4" w:rsidP="00FF5BE4">
            <w:pPr>
              <w:jc w:val="center"/>
              <w:rPr>
                <w:color w:val="000000"/>
                <w:szCs w:val="28"/>
              </w:rPr>
            </w:pPr>
            <w:r w:rsidRPr="00FF5BE4">
              <w:rPr>
                <w:color w:val="000000"/>
                <w:szCs w:val="28"/>
              </w:rPr>
              <w:t>X</w:t>
            </w:r>
          </w:p>
        </w:tc>
        <w:tc>
          <w:tcPr>
            <w:tcW w:w="1097" w:type="dxa"/>
            <w:hideMark/>
          </w:tcPr>
          <w:p w14:paraId="7040A896" w14:textId="77777777" w:rsidR="00FF5BE4" w:rsidRPr="00FF5BE4" w:rsidRDefault="00FF5BE4" w:rsidP="00FF5BE4">
            <w:pPr>
              <w:jc w:val="center"/>
              <w:rPr>
                <w:color w:val="000000"/>
                <w:szCs w:val="28"/>
              </w:rPr>
            </w:pPr>
            <w:r w:rsidRPr="00FF5BE4">
              <w:rPr>
                <w:color w:val="000000"/>
                <w:szCs w:val="28"/>
              </w:rPr>
              <w:t>0</w:t>
            </w:r>
          </w:p>
        </w:tc>
        <w:tc>
          <w:tcPr>
            <w:tcW w:w="932" w:type="dxa"/>
            <w:vMerge w:val="restart"/>
            <w:hideMark/>
          </w:tcPr>
          <w:p w14:paraId="7B907D72" w14:textId="77777777" w:rsidR="00FF5BE4" w:rsidRPr="00FF5BE4" w:rsidRDefault="00FF5BE4" w:rsidP="00FF5BE4">
            <w:pPr>
              <w:jc w:val="center"/>
              <w:rPr>
                <w:color w:val="000000"/>
                <w:szCs w:val="28"/>
              </w:rPr>
            </w:pPr>
            <w:r w:rsidRPr="00FF5BE4">
              <w:rPr>
                <w:color w:val="000000"/>
                <w:szCs w:val="28"/>
              </w:rPr>
              <w:t>X</w:t>
            </w:r>
          </w:p>
        </w:tc>
        <w:tc>
          <w:tcPr>
            <w:tcW w:w="1097" w:type="dxa"/>
            <w:hideMark/>
          </w:tcPr>
          <w:p w14:paraId="71298176" w14:textId="77777777" w:rsidR="00FF5BE4" w:rsidRPr="00FF5BE4" w:rsidRDefault="00FF5BE4" w:rsidP="00FF5BE4">
            <w:pPr>
              <w:jc w:val="center"/>
              <w:rPr>
                <w:color w:val="000000"/>
                <w:szCs w:val="28"/>
              </w:rPr>
            </w:pPr>
            <w:r w:rsidRPr="00FF5BE4">
              <w:rPr>
                <w:color w:val="000000"/>
                <w:szCs w:val="28"/>
              </w:rPr>
              <w:t>0</w:t>
            </w:r>
          </w:p>
        </w:tc>
        <w:tc>
          <w:tcPr>
            <w:tcW w:w="933" w:type="dxa"/>
            <w:vMerge w:val="restart"/>
            <w:hideMark/>
          </w:tcPr>
          <w:p w14:paraId="6058803B" w14:textId="77777777" w:rsidR="00FF5BE4" w:rsidRPr="00FF5BE4" w:rsidRDefault="00FF5BE4" w:rsidP="00FF5BE4">
            <w:pPr>
              <w:jc w:val="center"/>
              <w:rPr>
                <w:color w:val="000000"/>
                <w:szCs w:val="28"/>
              </w:rPr>
            </w:pPr>
            <w:r w:rsidRPr="00FF5BE4">
              <w:rPr>
                <w:color w:val="000000"/>
                <w:szCs w:val="28"/>
              </w:rPr>
              <w:t>X</w:t>
            </w:r>
          </w:p>
        </w:tc>
        <w:tc>
          <w:tcPr>
            <w:tcW w:w="1097" w:type="dxa"/>
            <w:hideMark/>
          </w:tcPr>
          <w:p w14:paraId="3E3C34B8" w14:textId="77777777" w:rsidR="00FF5BE4" w:rsidRPr="00FF5BE4" w:rsidRDefault="00FF5BE4" w:rsidP="00FF5BE4">
            <w:pPr>
              <w:jc w:val="center"/>
              <w:rPr>
                <w:color w:val="000000"/>
                <w:szCs w:val="28"/>
              </w:rPr>
            </w:pPr>
            <w:r w:rsidRPr="00FF5BE4">
              <w:rPr>
                <w:color w:val="000000"/>
                <w:szCs w:val="28"/>
              </w:rPr>
              <w:t>0</w:t>
            </w:r>
          </w:p>
        </w:tc>
        <w:tc>
          <w:tcPr>
            <w:tcW w:w="1295" w:type="dxa"/>
            <w:hideMark/>
          </w:tcPr>
          <w:p w14:paraId="26BF5628" w14:textId="77777777" w:rsidR="00FF5BE4" w:rsidRPr="00FF5BE4" w:rsidRDefault="00FF5BE4" w:rsidP="00FF5BE4">
            <w:pPr>
              <w:jc w:val="center"/>
              <w:rPr>
                <w:color w:val="000000"/>
                <w:szCs w:val="28"/>
              </w:rPr>
            </w:pPr>
            <w:r w:rsidRPr="00FF5BE4">
              <w:rPr>
                <w:color w:val="000000"/>
                <w:szCs w:val="28"/>
              </w:rPr>
              <w:t>0</w:t>
            </w:r>
          </w:p>
        </w:tc>
      </w:tr>
      <w:tr w:rsidR="004B1C65" w:rsidRPr="00FF5BE4" w14:paraId="0FDEB86F" w14:textId="77777777" w:rsidTr="00D5158A">
        <w:tc>
          <w:tcPr>
            <w:tcW w:w="1809" w:type="dxa"/>
            <w:hideMark/>
          </w:tcPr>
          <w:p w14:paraId="10414B4C" w14:textId="77777777" w:rsidR="00FF5BE4" w:rsidRPr="00FF5BE4" w:rsidRDefault="00FF5BE4" w:rsidP="00FF5BE4">
            <w:pPr>
              <w:rPr>
                <w:iCs/>
              </w:rPr>
            </w:pPr>
            <w:r w:rsidRPr="00FF5BE4">
              <w:rPr>
                <w:iCs/>
              </w:rPr>
              <w:t>5.1. valsts pamatbudžets</w:t>
            </w:r>
          </w:p>
        </w:tc>
        <w:tc>
          <w:tcPr>
            <w:tcW w:w="982" w:type="dxa"/>
            <w:vMerge/>
            <w:hideMark/>
          </w:tcPr>
          <w:p w14:paraId="33F265D2" w14:textId="77777777" w:rsidR="00FF5BE4" w:rsidRPr="00FF5BE4" w:rsidRDefault="00FF5BE4" w:rsidP="00FF5BE4">
            <w:pPr>
              <w:jc w:val="center"/>
              <w:rPr>
                <w:iCs/>
              </w:rPr>
            </w:pPr>
          </w:p>
        </w:tc>
        <w:tc>
          <w:tcPr>
            <w:tcW w:w="1097" w:type="dxa"/>
            <w:hideMark/>
          </w:tcPr>
          <w:p w14:paraId="75390081" w14:textId="77777777" w:rsidR="00FF5BE4" w:rsidRPr="00FF5BE4" w:rsidRDefault="00FF5BE4" w:rsidP="00FF5BE4">
            <w:pPr>
              <w:jc w:val="center"/>
              <w:rPr>
                <w:iCs/>
              </w:rPr>
            </w:pPr>
            <w:r w:rsidRPr="00FF5BE4">
              <w:rPr>
                <w:color w:val="000000"/>
                <w:szCs w:val="28"/>
              </w:rPr>
              <w:t>0</w:t>
            </w:r>
          </w:p>
        </w:tc>
        <w:tc>
          <w:tcPr>
            <w:tcW w:w="932" w:type="dxa"/>
            <w:vMerge/>
            <w:hideMark/>
          </w:tcPr>
          <w:p w14:paraId="26D53F30" w14:textId="77777777" w:rsidR="00FF5BE4" w:rsidRPr="00FF5BE4" w:rsidRDefault="00FF5BE4" w:rsidP="00FF5BE4">
            <w:pPr>
              <w:jc w:val="center"/>
              <w:rPr>
                <w:iCs/>
              </w:rPr>
            </w:pPr>
          </w:p>
        </w:tc>
        <w:tc>
          <w:tcPr>
            <w:tcW w:w="1097" w:type="dxa"/>
            <w:hideMark/>
          </w:tcPr>
          <w:p w14:paraId="5DE5E4AF" w14:textId="77777777" w:rsidR="00FF5BE4" w:rsidRPr="00FF5BE4" w:rsidRDefault="00FF5BE4" w:rsidP="00FF5BE4">
            <w:pPr>
              <w:jc w:val="center"/>
              <w:rPr>
                <w:iCs/>
              </w:rPr>
            </w:pPr>
            <w:r w:rsidRPr="00FF5BE4">
              <w:rPr>
                <w:color w:val="000000"/>
                <w:szCs w:val="28"/>
              </w:rPr>
              <w:t>0</w:t>
            </w:r>
          </w:p>
        </w:tc>
        <w:tc>
          <w:tcPr>
            <w:tcW w:w="933" w:type="dxa"/>
            <w:vMerge/>
            <w:hideMark/>
          </w:tcPr>
          <w:p w14:paraId="5782FC04" w14:textId="77777777" w:rsidR="00FF5BE4" w:rsidRPr="00FF5BE4" w:rsidRDefault="00FF5BE4" w:rsidP="00FF5BE4">
            <w:pPr>
              <w:jc w:val="center"/>
              <w:rPr>
                <w:iCs/>
              </w:rPr>
            </w:pPr>
          </w:p>
        </w:tc>
        <w:tc>
          <w:tcPr>
            <w:tcW w:w="1097" w:type="dxa"/>
            <w:hideMark/>
          </w:tcPr>
          <w:p w14:paraId="570B1B9D" w14:textId="77777777" w:rsidR="00FF5BE4" w:rsidRPr="00FF5BE4" w:rsidRDefault="00FF5BE4" w:rsidP="00FF5BE4">
            <w:pPr>
              <w:jc w:val="center"/>
              <w:rPr>
                <w:iCs/>
              </w:rPr>
            </w:pPr>
            <w:r w:rsidRPr="00FF5BE4">
              <w:rPr>
                <w:color w:val="000000"/>
                <w:szCs w:val="28"/>
              </w:rPr>
              <w:t>0</w:t>
            </w:r>
          </w:p>
        </w:tc>
        <w:tc>
          <w:tcPr>
            <w:tcW w:w="1295" w:type="dxa"/>
            <w:hideMark/>
          </w:tcPr>
          <w:p w14:paraId="602F4108" w14:textId="77777777" w:rsidR="00FF5BE4" w:rsidRPr="00FF5BE4" w:rsidRDefault="00FF5BE4" w:rsidP="00FF5BE4">
            <w:pPr>
              <w:jc w:val="center"/>
              <w:rPr>
                <w:iCs/>
              </w:rPr>
            </w:pPr>
            <w:r w:rsidRPr="00FF5BE4">
              <w:rPr>
                <w:color w:val="000000"/>
                <w:szCs w:val="28"/>
              </w:rPr>
              <w:t>0</w:t>
            </w:r>
          </w:p>
        </w:tc>
      </w:tr>
      <w:tr w:rsidR="004B1C65" w:rsidRPr="00FF5BE4" w14:paraId="027A068D" w14:textId="77777777" w:rsidTr="00D5158A">
        <w:tc>
          <w:tcPr>
            <w:tcW w:w="1809" w:type="dxa"/>
            <w:hideMark/>
          </w:tcPr>
          <w:p w14:paraId="6E563CB5" w14:textId="77777777" w:rsidR="00FF5BE4" w:rsidRPr="00FF5BE4" w:rsidRDefault="00FF5BE4" w:rsidP="00FF5BE4">
            <w:pPr>
              <w:rPr>
                <w:iCs/>
              </w:rPr>
            </w:pPr>
            <w:r w:rsidRPr="00FF5BE4">
              <w:rPr>
                <w:iCs/>
              </w:rPr>
              <w:t>5.2. speciālais budžets</w:t>
            </w:r>
          </w:p>
        </w:tc>
        <w:tc>
          <w:tcPr>
            <w:tcW w:w="982" w:type="dxa"/>
            <w:vMerge/>
            <w:hideMark/>
          </w:tcPr>
          <w:p w14:paraId="7D63E968" w14:textId="77777777" w:rsidR="00FF5BE4" w:rsidRPr="00FF5BE4" w:rsidRDefault="00FF5BE4" w:rsidP="00FF5BE4">
            <w:pPr>
              <w:jc w:val="center"/>
              <w:rPr>
                <w:iCs/>
              </w:rPr>
            </w:pPr>
          </w:p>
        </w:tc>
        <w:tc>
          <w:tcPr>
            <w:tcW w:w="1097" w:type="dxa"/>
            <w:hideMark/>
          </w:tcPr>
          <w:p w14:paraId="7CFE2C25" w14:textId="77777777" w:rsidR="00FF5BE4" w:rsidRPr="00FF5BE4" w:rsidRDefault="00FF5BE4" w:rsidP="00FF5BE4">
            <w:pPr>
              <w:jc w:val="center"/>
              <w:rPr>
                <w:iCs/>
              </w:rPr>
            </w:pPr>
            <w:r w:rsidRPr="00FF5BE4">
              <w:rPr>
                <w:color w:val="000000"/>
                <w:szCs w:val="28"/>
              </w:rPr>
              <w:t>0</w:t>
            </w:r>
          </w:p>
        </w:tc>
        <w:tc>
          <w:tcPr>
            <w:tcW w:w="932" w:type="dxa"/>
            <w:vMerge/>
            <w:hideMark/>
          </w:tcPr>
          <w:p w14:paraId="3DF080E7" w14:textId="77777777" w:rsidR="00FF5BE4" w:rsidRPr="00FF5BE4" w:rsidRDefault="00FF5BE4" w:rsidP="00FF5BE4">
            <w:pPr>
              <w:jc w:val="center"/>
              <w:rPr>
                <w:iCs/>
              </w:rPr>
            </w:pPr>
          </w:p>
        </w:tc>
        <w:tc>
          <w:tcPr>
            <w:tcW w:w="1097" w:type="dxa"/>
            <w:hideMark/>
          </w:tcPr>
          <w:p w14:paraId="4E8DE254" w14:textId="77777777" w:rsidR="00FF5BE4" w:rsidRPr="00FF5BE4" w:rsidRDefault="00FF5BE4" w:rsidP="00FF5BE4">
            <w:pPr>
              <w:jc w:val="center"/>
              <w:rPr>
                <w:iCs/>
              </w:rPr>
            </w:pPr>
            <w:r w:rsidRPr="00FF5BE4">
              <w:rPr>
                <w:color w:val="000000"/>
                <w:szCs w:val="28"/>
              </w:rPr>
              <w:t>0</w:t>
            </w:r>
          </w:p>
        </w:tc>
        <w:tc>
          <w:tcPr>
            <w:tcW w:w="933" w:type="dxa"/>
            <w:vMerge/>
            <w:hideMark/>
          </w:tcPr>
          <w:p w14:paraId="34308423" w14:textId="77777777" w:rsidR="00FF5BE4" w:rsidRPr="00FF5BE4" w:rsidRDefault="00FF5BE4" w:rsidP="00FF5BE4">
            <w:pPr>
              <w:jc w:val="center"/>
              <w:rPr>
                <w:iCs/>
              </w:rPr>
            </w:pPr>
          </w:p>
        </w:tc>
        <w:tc>
          <w:tcPr>
            <w:tcW w:w="1097" w:type="dxa"/>
            <w:hideMark/>
          </w:tcPr>
          <w:p w14:paraId="444A0177" w14:textId="77777777" w:rsidR="00FF5BE4" w:rsidRPr="00FF5BE4" w:rsidRDefault="00FF5BE4" w:rsidP="00FF5BE4">
            <w:pPr>
              <w:jc w:val="center"/>
              <w:rPr>
                <w:iCs/>
              </w:rPr>
            </w:pPr>
            <w:r w:rsidRPr="00FF5BE4">
              <w:rPr>
                <w:color w:val="000000"/>
                <w:szCs w:val="28"/>
              </w:rPr>
              <w:t>0</w:t>
            </w:r>
          </w:p>
        </w:tc>
        <w:tc>
          <w:tcPr>
            <w:tcW w:w="1295" w:type="dxa"/>
            <w:hideMark/>
          </w:tcPr>
          <w:p w14:paraId="66270865" w14:textId="77777777" w:rsidR="00FF5BE4" w:rsidRPr="00FF5BE4" w:rsidRDefault="00FF5BE4" w:rsidP="00FF5BE4">
            <w:pPr>
              <w:jc w:val="center"/>
              <w:rPr>
                <w:iCs/>
              </w:rPr>
            </w:pPr>
            <w:r w:rsidRPr="00FF5BE4">
              <w:rPr>
                <w:color w:val="000000"/>
                <w:szCs w:val="28"/>
              </w:rPr>
              <w:t>0</w:t>
            </w:r>
          </w:p>
        </w:tc>
      </w:tr>
      <w:tr w:rsidR="004B1C65" w:rsidRPr="00FF5BE4" w14:paraId="3D40FD3E" w14:textId="77777777" w:rsidTr="00D5158A">
        <w:tc>
          <w:tcPr>
            <w:tcW w:w="1809" w:type="dxa"/>
            <w:hideMark/>
          </w:tcPr>
          <w:p w14:paraId="1E5A0C5E" w14:textId="77777777" w:rsidR="00FF5BE4" w:rsidRPr="00FF5BE4" w:rsidRDefault="00FF5BE4" w:rsidP="00FF5BE4">
            <w:pPr>
              <w:rPr>
                <w:iCs/>
              </w:rPr>
            </w:pPr>
            <w:r w:rsidRPr="00FF5BE4">
              <w:rPr>
                <w:iCs/>
              </w:rPr>
              <w:t>5.3. pašvaldību budžets</w:t>
            </w:r>
          </w:p>
        </w:tc>
        <w:tc>
          <w:tcPr>
            <w:tcW w:w="982" w:type="dxa"/>
            <w:vMerge/>
            <w:hideMark/>
          </w:tcPr>
          <w:p w14:paraId="7F992E04" w14:textId="77777777" w:rsidR="00FF5BE4" w:rsidRPr="00FF5BE4" w:rsidRDefault="00FF5BE4" w:rsidP="00FF5BE4">
            <w:pPr>
              <w:jc w:val="center"/>
              <w:rPr>
                <w:iCs/>
              </w:rPr>
            </w:pPr>
          </w:p>
        </w:tc>
        <w:tc>
          <w:tcPr>
            <w:tcW w:w="1097" w:type="dxa"/>
            <w:hideMark/>
          </w:tcPr>
          <w:p w14:paraId="32874551" w14:textId="77777777" w:rsidR="00FF5BE4" w:rsidRPr="00FF5BE4" w:rsidRDefault="00FF5BE4" w:rsidP="00FF5BE4">
            <w:pPr>
              <w:jc w:val="center"/>
              <w:rPr>
                <w:iCs/>
              </w:rPr>
            </w:pPr>
            <w:r w:rsidRPr="00FF5BE4">
              <w:rPr>
                <w:color w:val="000000"/>
                <w:szCs w:val="28"/>
              </w:rPr>
              <w:t>0</w:t>
            </w:r>
          </w:p>
        </w:tc>
        <w:tc>
          <w:tcPr>
            <w:tcW w:w="932" w:type="dxa"/>
            <w:vMerge/>
            <w:hideMark/>
          </w:tcPr>
          <w:p w14:paraId="0A7B03A1" w14:textId="77777777" w:rsidR="00FF5BE4" w:rsidRPr="00FF5BE4" w:rsidRDefault="00FF5BE4" w:rsidP="00FF5BE4">
            <w:pPr>
              <w:jc w:val="center"/>
              <w:rPr>
                <w:iCs/>
              </w:rPr>
            </w:pPr>
          </w:p>
        </w:tc>
        <w:tc>
          <w:tcPr>
            <w:tcW w:w="1097" w:type="dxa"/>
            <w:hideMark/>
          </w:tcPr>
          <w:p w14:paraId="2C46EABE" w14:textId="77777777" w:rsidR="00FF5BE4" w:rsidRPr="00FF5BE4" w:rsidRDefault="00FF5BE4" w:rsidP="00FF5BE4">
            <w:pPr>
              <w:jc w:val="center"/>
              <w:rPr>
                <w:iCs/>
              </w:rPr>
            </w:pPr>
            <w:r w:rsidRPr="00FF5BE4">
              <w:rPr>
                <w:color w:val="000000"/>
                <w:szCs w:val="28"/>
              </w:rPr>
              <w:t>0</w:t>
            </w:r>
          </w:p>
        </w:tc>
        <w:tc>
          <w:tcPr>
            <w:tcW w:w="933" w:type="dxa"/>
            <w:vMerge/>
            <w:hideMark/>
          </w:tcPr>
          <w:p w14:paraId="37A837CB" w14:textId="77777777" w:rsidR="00FF5BE4" w:rsidRPr="00FF5BE4" w:rsidRDefault="00FF5BE4" w:rsidP="00FF5BE4">
            <w:pPr>
              <w:jc w:val="center"/>
              <w:rPr>
                <w:iCs/>
              </w:rPr>
            </w:pPr>
          </w:p>
        </w:tc>
        <w:tc>
          <w:tcPr>
            <w:tcW w:w="1097" w:type="dxa"/>
            <w:hideMark/>
          </w:tcPr>
          <w:p w14:paraId="4B712623" w14:textId="77777777" w:rsidR="00FF5BE4" w:rsidRPr="00FF5BE4" w:rsidRDefault="00FF5BE4" w:rsidP="00FF5BE4">
            <w:pPr>
              <w:jc w:val="center"/>
              <w:rPr>
                <w:iCs/>
              </w:rPr>
            </w:pPr>
            <w:r w:rsidRPr="00FF5BE4">
              <w:rPr>
                <w:color w:val="000000"/>
                <w:szCs w:val="28"/>
              </w:rPr>
              <w:t>0</w:t>
            </w:r>
          </w:p>
        </w:tc>
        <w:tc>
          <w:tcPr>
            <w:tcW w:w="1295" w:type="dxa"/>
            <w:hideMark/>
          </w:tcPr>
          <w:p w14:paraId="4ED0D9D1" w14:textId="77777777" w:rsidR="00FF5BE4" w:rsidRPr="00FF5BE4" w:rsidRDefault="00FF5BE4" w:rsidP="00FF5BE4">
            <w:pPr>
              <w:jc w:val="center"/>
              <w:rPr>
                <w:iCs/>
              </w:rPr>
            </w:pPr>
            <w:r w:rsidRPr="00FF5BE4">
              <w:rPr>
                <w:color w:val="000000"/>
                <w:szCs w:val="28"/>
              </w:rPr>
              <w:t>0</w:t>
            </w:r>
          </w:p>
        </w:tc>
      </w:tr>
      <w:tr w:rsidR="00FF5BE4" w:rsidRPr="00FF5BE4" w14:paraId="14089275" w14:textId="77777777" w:rsidTr="00D5158A">
        <w:tc>
          <w:tcPr>
            <w:tcW w:w="1809" w:type="dxa"/>
            <w:hideMark/>
          </w:tcPr>
          <w:p w14:paraId="014016F5" w14:textId="77777777" w:rsidR="00FF5BE4" w:rsidRPr="00FF5BE4" w:rsidRDefault="00FF5BE4" w:rsidP="00FF5BE4">
            <w:pPr>
              <w:rPr>
                <w:iCs/>
              </w:rPr>
            </w:pPr>
            <w:r w:rsidRPr="00FF5BE4">
              <w:rPr>
                <w:iCs/>
              </w:rPr>
              <w:t xml:space="preserve">6. Detalizēts ieņēmumu un izdevumu aprēķins (ja nepieciešams, detalizētu ieņēmumu un izdevumu aprēķinu var pievienot </w:t>
            </w:r>
            <w:r w:rsidRPr="00FF5BE4">
              <w:rPr>
                <w:iCs/>
              </w:rPr>
              <w:lastRenderedPageBreak/>
              <w:t>anotācijas pielikumā)</w:t>
            </w:r>
          </w:p>
        </w:tc>
        <w:tc>
          <w:tcPr>
            <w:tcW w:w="7433" w:type="dxa"/>
            <w:gridSpan w:val="7"/>
            <w:vMerge w:val="restart"/>
            <w:hideMark/>
          </w:tcPr>
          <w:p w14:paraId="12BD69E8" w14:textId="50889001" w:rsidR="00FF5BE4" w:rsidRPr="00FF5BE4" w:rsidRDefault="00FF5BE4" w:rsidP="00FF5BE4">
            <w:pPr>
              <w:jc w:val="both"/>
              <w:rPr>
                <w:color w:val="000000"/>
                <w:szCs w:val="28"/>
              </w:rPr>
            </w:pPr>
            <w:r w:rsidRPr="00FF5BE4">
              <w:rPr>
                <w:color w:val="000000"/>
                <w:szCs w:val="28"/>
              </w:rPr>
              <w:lastRenderedPageBreak/>
              <w:t>Nepieciešamo izmaiņu veikšanai Valsts ieņēmumu dienesta informācijas sistēmās 2020.</w:t>
            </w:r>
            <w:r w:rsidR="00142794">
              <w:rPr>
                <w:color w:val="000000"/>
                <w:szCs w:val="28"/>
              </w:rPr>
              <w:t> </w:t>
            </w:r>
            <w:r w:rsidRPr="00FF5BE4">
              <w:rPr>
                <w:color w:val="000000"/>
                <w:szCs w:val="28"/>
              </w:rPr>
              <w:t>gadā no Finanšu ministrijas budžeta programmas 33.00.00 “Valsts ieņēmumu un muitas politikas nodrošināšana” ir nepieciešams finansējums 15 683 EUR apmērā, tai skaitā:</w:t>
            </w:r>
          </w:p>
          <w:p w14:paraId="0794A5E7" w14:textId="77777777" w:rsidR="00FF5BE4" w:rsidRPr="00FF5BE4" w:rsidRDefault="00FF5BE4" w:rsidP="00FF5BE4">
            <w:pPr>
              <w:jc w:val="both"/>
              <w:rPr>
                <w:color w:val="000000"/>
                <w:sz w:val="8"/>
                <w:szCs w:val="28"/>
              </w:rPr>
            </w:pPr>
          </w:p>
          <w:p w14:paraId="6CAD4BDF" w14:textId="77777777" w:rsidR="00FF5BE4" w:rsidRPr="00FF5BE4" w:rsidRDefault="00FF5BE4" w:rsidP="00FF5BE4">
            <w:pPr>
              <w:numPr>
                <w:ilvl w:val="0"/>
                <w:numId w:val="16"/>
              </w:numPr>
              <w:spacing w:after="160" w:line="259" w:lineRule="auto"/>
              <w:contextualSpacing/>
              <w:jc w:val="both"/>
              <w:rPr>
                <w:color w:val="000000"/>
                <w:szCs w:val="28"/>
              </w:rPr>
            </w:pPr>
            <w:r w:rsidRPr="00FF5BE4">
              <w:rPr>
                <w:color w:val="000000"/>
                <w:szCs w:val="28"/>
              </w:rPr>
              <w:t>Elektroniskās deklarēšanas sistēmā – 6 081 EUR;</w:t>
            </w:r>
          </w:p>
          <w:p w14:paraId="060FB64D" w14:textId="77777777" w:rsidR="00FF5BE4" w:rsidRDefault="00FF5BE4" w:rsidP="00FF5BE4">
            <w:pPr>
              <w:numPr>
                <w:ilvl w:val="0"/>
                <w:numId w:val="16"/>
              </w:numPr>
              <w:spacing w:after="160" w:line="259" w:lineRule="auto"/>
              <w:contextualSpacing/>
              <w:jc w:val="both"/>
              <w:rPr>
                <w:color w:val="000000"/>
                <w:szCs w:val="28"/>
              </w:rPr>
            </w:pPr>
            <w:r w:rsidRPr="00FF5BE4">
              <w:rPr>
                <w:color w:val="000000"/>
                <w:szCs w:val="28"/>
              </w:rPr>
              <w:t>Publiskojamo datu bāzē – 9 602 EUR.</w:t>
            </w:r>
          </w:p>
          <w:p w14:paraId="0C470B88" w14:textId="77777777" w:rsidR="00524FEE" w:rsidRDefault="00524FEE" w:rsidP="00973339">
            <w:pPr>
              <w:spacing w:after="160" w:line="259" w:lineRule="auto"/>
              <w:ind w:left="360"/>
              <w:contextualSpacing/>
              <w:jc w:val="both"/>
              <w:rPr>
                <w:color w:val="000000"/>
                <w:szCs w:val="28"/>
              </w:rPr>
            </w:pPr>
          </w:p>
          <w:p w14:paraId="5CCD8691" w14:textId="074E190B" w:rsidR="00714D20" w:rsidRPr="00714D20" w:rsidRDefault="00714D20" w:rsidP="00714D20">
            <w:pPr>
              <w:spacing w:after="160" w:line="259" w:lineRule="auto"/>
              <w:contextualSpacing/>
              <w:jc w:val="both"/>
              <w:rPr>
                <w:color w:val="000000"/>
                <w:szCs w:val="28"/>
              </w:rPr>
            </w:pPr>
            <w:r w:rsidRPr="00714D20">
              <w:rPr>
                <w:color w:val="000000"/>
                <w:szCs w:val="28"/>
              </w:rPr>
              <w:t>Nepieciešamo izmaiņu veikšanai</w:t>
            </w:r>
            <w:r w:rsidR="005B5C9B">
              <w:rPr>
                <w:color w:val="000000"/>
                <w:szCs w:val="28"/>
              </w:rPr>
              <w:t xml:space="preserve"> Zemkopības ministrijai</w:t>
            </w:r>
            <w:r w:rsidRPr="00714D20">
              <w:rPr>
                <w:color w:val="000000"/>
                <w:szCs w:val="28"/>
              </w:rPr>
              <w:t xml:space="preserve"> Lauku atbalsta dienesta informācijas sistēmā (LAD IS) </w:t>
            </w:r>
            <w:r w:rsidRPr="002C4629">
              <w:rPr>
                <w:color w:val="000000"/>
                <w:szCs w:val="28"/>
              </w:rPr>
              <w:t>2020.</w:t>
            </w:r>
            <w:r w:rsidR="00142794" w:rsidRPr="002C4629">
              <w:rPr>
                <w:color w:val="000000"/>
                <w:szCs w:val="28"/>
              </w:rPr>
              <w:t> </w:t>
            </w:r>
            <w:r w:rsidRPr="002C4629">
              <w:rPr>
                <w:color w:val="000000"/>
                <w:szCs w:val="28"/>
              </w:rPr>
              <w:t>gadā</w:t>
            </w:r>
            <w:r w:rsidRPr="00714D20">
              <w:rPr>
                <w:color w:val="000000"/>
                <w:szCs w:val="28"/>
              </w:rPr>
              <w:t xml:space="preserve"> ir nepieciešams </w:t>
            </w:r>
            <w:r w:rsidRPr="00714D20">
              <w:rPr>
                <w:color w:val="000000"/>
                <w:szCs w:val="28"/>
              </w:rPr>
              <w:lastRenderedPageBreak/>
              <w:t xml:space="preserve">finansējums 29 815 EUR apmērā izdevumu klasifikācijas kodā 5100 “Nemateriālie ieguldījumi”. LAD informācijas sistēmas (LAD IS) speciālā moduļa izstrādes izmaksu summa ir aprēķināta pamatojoties uz LAD informācijas sistēmu (LAD IS) izstrādes ārpakalpojuma izmaksu līmeni. </w:t>
            </w:r>
          </w:p>
          <w:p w14:paraId="53B05BC4" w14:textId="024CC055" w:rsidR="00714D20" w:rsidRPr="00714D20" w:rsidRDefault="00714D20" w:rsidP="00714D20">
            <w:pPr>
              <w:spacing w:after="160" w:line="259" w:lineRule="auto"/>
              <w:contextualSpacing/>
              <w:jc w:val="both"/>
              <w:rPr>
                <w:color w:val="000000"/>
                <w:szCs w:val="28"/>
              </w:rPr>
            </w:pPr>
            <w:r w:rsidRPr="00714D20">
              <w:rPr>
                <w:color w:val="000000"/>
                <w:szCs w:val="28"/>
              </w:rPr>
              <w:t>Saskaņā ar līgumu Nr.</w:t>
            </w:r>
            <w:r w:rsidR="00142794">
              <w:rPr>
                <w:color w:val="000000"/>
                <w:szCs w:val="28"/>
              </w:rPr>
              <w:t> </w:t>
            </w:r>
            <w:r w:rsidRPr="00714D20">
              <w:rPr>
                <w:color w:val="000000"/>
                <w:szCs w:val="28"/>
              </w:rPr>
              <w:t xml:space="preserve">23/2018 “Par Lauku atbalsta dienesta informācijas sistēmas (LAD IS) uzturēšanu un papildinājumu izstrādi” 1 cilvēkdienas izmaksas: ir 320 </w:t>
            </w:r>
            <w:proofErr w:type="spellStart"/>
            <w:r w:rsidRPr="00714D20">
              <w:rPr>
                <w:color w:val="000000"/>
                <w:szCs w:val="28"/>
              </w:rPr>
              <w:t>euro</w:t>
            </w:r>
            <w:proofErr w:type="spellEnd"/>
            <w:r w:rsidRPr="00714D20">
              <w:rPr>
                <w:color w:val="000000"/>
                <w:szCs w:val="28"/>
              </w:rPr>
              <w:t xml:space="preserve"> bez PVN, tas ir 387,20 </w:t>
            </w:r>
            <w:proofErr w:type="spellStart"/>
            <w:r w:rsidRPr="00714D20">
              <w:rPr>
                <w:color w:val="000000"/>
                <w:szCs w:val="28"/>
              </w:rPr>
              <w:t>euro</w:t>
            </w:r>
            <w:proofErr w:type="spellEnd"/>
            <w:r w:rsidRPr="00714D20">
              <w:rPr>
                <w:color w:val="000000"/>
                <w:szCs w:val="28"/>
              </w:rPr>
              <w:t xml:space="preserve"> ar PVN. </w:t>
            </w:r>
          </w:p>
          <w:p w14:paraId="4CD4DD67" w14:textId="77777777" w:rsidR="003C23FA" w:rsidRDefault="00714D20" w:rsidP="003C23FA">
            <w:pPr>
              <w:spacing w:after="160" w:line="259" w:lineRule="auto"/>
              <w:ind w:left="66"/>
              <w:contextualSpacing/>
              <w:jc w:val="both"/>
              <w:rPr>
                <w:color w:val="000000"/>
                <w:szCs w:val="28"/>
              </w:rPr>
            </w:pPr>
            <w:r w:rsidRPr="00714D20">
              <w:rPr>
                <w:color w:val="000000"/>
                <w:szCs w:val="28"/>
              </w:rPr>
              <w:t xml:space="preserve">Informācijas sistēmu izstrādei kopā nepieciešamas 77 cilvēkdienas (c/d) * 387,20  </w:t>
            </w:r>
            <w:proofErr w:type="spellStart"/>
            <w:r w:rsidRPr="00714D20">
              <w:rPr>
                <w:color w:val="000000"/>
                <w:szCs w:val="28"/>
              </w:rPr>
              <w:t>euro</w:t>
            </w:r>
            <w:proofErr w:type="spellEnd"/>
            <w:r w:rsidRPr="00714D20">
              <w:rPr>
                <w:color w:val="000000"/>
                <w:szCs w:val="28"/>
              </w:rPr>
              <w:t xml:space="preserve"> =  29 814,40 </w:t>
            </w:r>
            <w:proofErr w:type="spellStart"/>
            <w:r w:rsidRPr="00714D20">
              <w:rPr>
                <w:color w:val="000000"/>
                <w:szCs w:val="28"/>
              </w:rPr>
              <w:t>euro</w:t>
            </w:r>
            <w:proofErr w:type="spellEnd"/>
            <w:r w:rsidRPr="00714D20">
              <w:rPr>
                <w:color w:val="000000"/>
                <w:szCs w:val="28"/>
              </w:rPr>
              <w:t>.</w:t>
            </w:r>
          </w:p>
          <w:p w14:paraId="4F448E01" w14:textId="7507F1D1" w:rsidR="008E0FE8" w:rsidRPr="00FF5BE4" w:rsidRDefault="008E0FE8" w:rsidP="003C23FA">
            <w:pPr>
              <w:spacing w:after="160" w:line="259" w:lineRule="auto"/>
              <w:ind w:left="66"/>
              <w:contextualSpacing/>
              <w:jc w:val="both"/>
              <w:rPr>
                <w:color w:val="000000"/>
                <w:szCs w:val="28"/>
              </w:rPr>
            </w:pPr>
          </w:p>
        </w:tc>
      </w:tr>
      <w:tr w:rsidR="00FF5BE4" w:rsidRPr="00FF5BE4" w14:paraId="07A5207B" w14:textId="77777777" w:rsidTr="00D5158A">
        <w:tc>
          <w:tcPr>
            <w:tcW w:w="1809" w:type="dxa"/>
            <w:hideMark/>
          </w:tcPr>
          <w:p w14:paraId="27E76108" w14:textId="77777777" w:rsidR="00FF5BE4" w:rsidRPr="00FF5BE4" w:rsidRDefault="00FF5BE4" w:rsidP="00FF5BE4">
            <w:pPr>
              <w:rPr>
                <w:iCs/>
              </w:rPr>
            </w:pPr>
            <w:r w:rsidRPr="00FF5BE4">
              <w:rPr>
                <w:iCs/>
              </w:rPr>
              <w:lastRenderedPageBreak/>
              <w:t>6.1. detalizēts ieņēmumu aprēķins</w:t>
            </w:r>
          </w:p>
        </w:tc>
        <w:tc>
          <w:tcPr>
            <w:tcW w:w="7433" w:type="dxa"/>
            <w:gridSpan w:val="7"/>
            <w:vMerge/>
            <w:hideMark/>
          </w:tcPr>
          <w:p w14:paraId="7282312B" w14:textId="77777777" w:rsidR="00FF5BE4" w:rsidRPr="00FF5BE4" w:rsidRDefault="00FF5BE4" w:rsidP="00FF5BE4">
            <w:pPr>
              <w:rPr>
                <w:iCs/>
              </w:rPr>
            </w:pPr>
          </w:p>
        </w:tc>
      </w:tr>
      <w:tr w:rsidR="00FF5BE4" w:rsidRPr="00FF5BE4" w14:paraId="66373F61" w14:textId="77777777" w:rsidTr="00D5158A">
        <w:tc>
          <w:tcPr>
            <w:tcW w:w="1809" w:type="dxa"/>
            <w:hideMark/>
          </w:tcPr>
          <w:p w14:paraId="64DBCAD9" w14:textId="77777777" w:rsidR="00FF5BE4" w:rsidRPr="00FF5BE4" w:rsidRDefault="00FF5BE4" w:rsidP="00FF5BE4">
            <w:pPr>
              <w:rPr>
                <w:iCs/>
              </w:rPr>
            </w:pPr>
            <w:r w:rsidRPr="00FF5BE4">
              <w:rPr>
                <w:iCs/>
              </w:rPr>
              <w:t>6.2. detalizēts izdevumu aprēķins</w:t>
            </w:r>
          </w:p>
        </w:tc>
        <w:tc>
          <w:tcPr>
            <w:tcW w:w="7433" w:type="dxa"/>
            <w:gridSpan w:val="7"/>
            <w:vMerge/>
            <w:hideMark/>
          </w:tcPr>
          <w:p w14:paraId="5F01E190" w14:textId="77777777" w:rsidR="00FF5BE4" w:rsidRPr="00FF5BE4" w:rsidRDefault="00FF5BE4" w:rsidP="00FF5BE4">
            <w:pPr>
              <w:rPr>
                <w:iCs/>
              </w:rPr>
            </w:pPr>
          </w:p>
        </w:tc>
      </w:tr>
      <w:tr w:rsidR="00FF5BE4" w:rsidRPr="00FF5BE4" w14:paraId="4E99222F" w14:textId="77777777" w:rsidTr="00D5158A">
        <w:tc>
          <w:tcPr>
            <w:tcW w:w="1809" w:type="dxa"/>
            <w:hideMark/>
          </w:tcPr>
          <w:p w14:paraId="708765EB" w14:textId="77777777" w:rsidR="00FF5BE4" w:rsidRPr="00FF5BE4" w:rsidRDefault="00FF5BE4" w:rsidP="00FF5BE4">
            <w:pPr>
              <w:rPr>
                <w:iCs/>
              </w:rPr>
            </w:pPr>
            <w:r w:rsidRPr="00FF5BE4">
              <w:rPr>
                <w:iCs/>
              </w:rPr>
              <w:t>7. Amata vietu skaita izmaiņas</w:t>
            </w:r>
          </w:p>
        </w:tc>
        <w:tc>
          <w:tcPr>
            <w:tcW w:w="7433" w:type="dxa"/>
            <w:gridSpan w:val="7"/>
            <w:hideMark/>
          </w:tcPr>
          <w:p w14:paraId="155DE7FA" w14:textId="77777777" w:rsidR="00FF5BE4" w:rsidRPr="00FF5BE4" w:rsidRDefault="00FF5BE4" w:rsidP="00FF5BE4">
            <w:pPr>
              <w:rPr>
                <w:iCs/>
              </w:rPr>
            </w:pPr>
            <w:r w:rsidRPr="00FF5BE4">
              <w:rPr>
                <w:color w:val="000000"/>
                <w:szCs w:val="28"/>
              </w:rPr>
              <w:t>Nav attiecināms.</w:t>
            </w:r>
          </w:p>
        </w:tc>
      </w:tr>
      <w:tr w:rsidR="00FF5BE4" w:rsidRPr="00FF5BE4" w14:paraId="4CB7E8F6" w14:textId="77777777" w:rsidTr="00D5158A">
        <w:tc>
          <w:tcPr>
            <w:tcW w:w="1809" w:type="dxa"/>
            <w:hideMark/>
          </w:tcPr>
          <w:p w14:paraId="63C14009" w14:textId="77777777" w:rsidR="00FF5BE4" w:rsidRPr="00FF5BE4" w:rsidRDefault="00FF5BE4" w:rsidP="00FF5BE4">
            <w:pPr>
              <w:rPr>
                <w:iCs/>
              </w:rPr>
            </w:pPr>
            <w:r w:rsidRPr="00FF5BE4">
              <w:rPr>
                <w:iCs/>
              </w:rPr>
              <w:t>8. Cita informācija</w:t>
            </w:r>
          </w:p>
        </w:tc>
        <w:tc>
          <w:tcPr>
            <w:tcW w:w="7433" w:type="dxa"/>
            <w:gridSpan w:val="7"/>
            <w:hideMark/>
          </w:tcPr>
          <w:p w14:paraId="7D9162BD" w14:textId="1232CE37" w:rsidR="00FF5BE4" w:rsidRDefault="00FF5BE4" w:rsidP="00FF5BE4">
            <w:pPr>
              <w:jc w:val="both"/>
              <w:rPr>
                <w:szCs w:val="28"/>
              </w:rPr>
            </w:pPr>
            <w:r w:rsidRPr="002C4629">
              <w:rPr>
                <w:szCs w:val="28"/>
              </w:rPr>
              <w:t>2020.</w:t>
            </w:r>
            <w:r w:rsidR="00142794" w:rsidRPr="002C4629">
              <w:rPr>
                <w:szCs w:val="28"/>
              </w:rPr>
              <w:t> </w:t>
            </w:r>
            <w:r w:rsidRPr="002C4629">
              <w:rPr>
                <w:szCs w:val="28"/>
              </w:rPr>
              <w:t>gadā</w:t>
            </w:r>
            <w:r w:rsidRPr="00FF5BE4">
              <w:rPr>
                <w:szCs w:val="28"/>
              </w:rPr>
              <w:t xml:space="preserve"> nepieciešamo izmaiņu veikšanai Valsts ieņēmumu dienesta informācijas sistēmās nepieciešamais finansējums </w:t>
            </w:r>
            <w:r w:rsidRPr="00FF5BE4">
              <w:rPr>
                <w:color w:val="000000"/>
                <w:szCs w:val="28"/>
              </w:rPr>
              <w:t xml:space="preserve">15 683 EUR </w:t>
            </w:r>
            <w:r w:rsidRPr="00FF5BE4">
              <w:rPr>
                <w:szCs w:val="28"/>
              </w:rPr>
              <w:t>apmērā tiks nodrošināts Finanšu ministrijas budžeta programmas 33.00.00 “Valsts ieņēmumu un muitas politikas nodrošināšana” piešķirtā finansējuma ietvaros.</w:t>
            </w:r>
          </w:p>
          <w:p w14:paraId="0A737DB4" w14:textId="3F46DD3B" w:rsidR="005B5C9B" w:rsidRDefault="005B5C9B" w:rsidP="005B5C9B">
            <w:pPr>
              <w:jc w:val="both"/>
              <w:rPr>
                <w:szCs w:val="28"/>
              </w:rPr>
            </w:pPr>
            <w:r>
              <w:rPr>
                <w:szCs w:val="28"/>
              </w:rPr>
              <w:t xml:space="preserve">Zemkopības ministrijai (Lauku atbalsta dienestam) nepieciešamo finansējumu </w:t>
            </w:r>
            <w:r w:rsidRPr="002C4629">
              <w:rPr>
                <w:szCs w:val="28"/>
              </w:rPr>
              <w:t>2020.</w:t>
            </w:r>
            <w:r w:rsidR="00142794" w:rsidRPr="002C4629">
              <w:rPr>
                <w:szCs w:val="28"/>
              </w:rPr>
              <w:t> </w:t>
            </w:r>
            <w:r w:rsidRPr="002C4629">
              <w:rPr>
                <w:szCs w:val="28"/>
              </w:rPr>
              <w:t>gadam</w:t>
            </w:r>
            <w:r>
              <w:rPr>
                <w:szCs w:val="28"/>
              </w:rPr>
              <w:t xml:space="preserve"> plānots nodrošināt no </w:t>
            </w:r>
            <w:r w:rsidRPr="00714D20">
              <w:rPr>
                <w:color w:val="000000"/>
                <w:szCs w:val="28"/>
              </w:rPr>
              <w:t>valsts budžeta programmas 02.00.00 "Līdzekļi neparedzētiem gadījumiem"</w:t>
            </w:r>
            <w:r>
              <w:rPr>
                <w:color w:val="000000"/>
                <w:szCs w:val="28"/>
              </w:rPr>
              <w:t>.</w:t>
            </w:r>
            <w:r w:rsidRPr="00714D20">
              <w:rPr>
                <w:color w:val="000000"/>
                <w:szCs w:val="28"/>
              </w:rPr>
              <w:t xml:space="preserve"> </w:t>
            </w:r>
            <w:r>
              <w:rPr>
                <w:szCs w:val="28"/>
              </w:rPr>
              <w:t xml:space="preserve"> </w:t>
            </w:r>
          </w:p>
          <w:p w14:paraId="3A8E0C28" w14:textId="77777777" w:rsidR="003C23FA" w:rsidRDefault="003C23FA" w:rsidP="000C7CF1">
            <w:pPr>
              <w:jc w:val="both"/>
              <w:rPr>
                <w:szCs w:val="28"/>
              </w:rPr>
            </w:pPr>
            <w:r>
              <w:rPr>
                <w:szCs w:val="28"/>
              </w:rPr>
              <w:t>2021.</w:t>
            </w:r>
            <w:r w:rsidR="00142794">
              <w:rPr>
                <w:szCs w:val="28"/>
              </w:rPr>
              <w:t> </w:t>
            </w:r>
            <w:r>
              <w:rPr>
                <w:szCs w:val="28"/>
              </w:rPr>
              <w:t xml:space="preserve">gadā un turpmākajos gados </w:t>
            </w:r>
            <w:r w:rsidR="000C7CF1">
              <w:rPr>
                <w:szCs w:val="28"/>
              </w:rPr>
              <w:t xml:space="preserve">informācijas </w:t>
            </w:r>
            <w:r>
              <w:rPr>
                <w:szCs w:val="28"/>
              </w:rPr>
              <w:t>sistēmu uzturēšana</w:t>
            </w:r>
            <w:r w:rsidR="000C7CF1">
              <w:rPr>
                <w:szCs w:val="28"/>
              </w:rPr>
              <w:t xml:space="preserve"> </w:t>
            </w:r>
            <w:r>
              <w:rPr>
                <w:szCs w:val="28"/>
              </w:rPr>
              <w:t>tiks nodrošināta ministrijām pieejamo finanšu resursu ietvaros.</w:t>
            </w:r>
          </w:p>
          <w:p w14:paraId="07C286BE" w14:textId="3F124280" w:rsidR="008E0FE8" w:rsidRPr="00FF5BE4" w:rsidRDefault="008E0FE8" w:rsidP="000C7CF1">
            <w:pPr>
              <w:jc w:val="both"/>
              <w:rPr>
                <w:iCs/>
              </w:rPr>
            </w:pPr>
          </w:p>
        </w:tc>
      </w:tr>
    </w:tbl>
    <w:p w14:paraId="247CB7D5" w14:textId="77777777" w:rsidR="00FF5BE4" w:rsidRPr="00884F51" w:rsidRDefault="00FF5BE4" w:rsidP="003C5248"/>
    <w:tbl>
      <w:tblPr>
        <w:tblW w:w="5088" w:type="pct"/>
        <w:tblInd w:w="-8"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426"/>
        <w:gridCol w:w="3671"/>
        <w:gridCol w:w="5117"/>
      </w:tblGrid>
      <w:tr w:rsidR="003C5248" w:rsidRPr="00884F51" w14:paraId="01A313D7" w14:textId="77777777" w:rsidTr="005F1FAF">
        <w:tc>
          <w:tcPr>
            <w:tcW w:w="5000" w:type="pct"/>
            <w:gridSpan w:val="3"/>
            <w:tcBorders>
              <w:top w:val="single" w:sz="6" w:space="0" w:color="auto"/>
              <w:left w:val="single" w:sz="6" w:space="0" w:color="auto"/>
              <w:bottom w:val="outset" w:sz="6" w:space="0" w:color="000000"/>
              <w:right w:val="single" w:sz="6" w:space="0" w:color="auto"/>
            </w:tcBorders>
            <w:vAlign w:val="center"/>
            <w:hideMark/>
          </w:tcPr>
          <w:p w14:paraId="246995C3" w14:textId="77777777" w:rsidR="003C5248" w:rsidRPr="00884F51" w:rsidRDefault="003C5248" w:rsidP="003C5248">
            <w:pPr>
              <w:spacing w:before="100" w:beforeAutospacing="1" w:after="100" w:afterAutospacing="1"/>
              <w:jc w:val="center"/>
              <w:rPr>
                <w:b/>
                <w:bCs/>
              </w:rPr>
            </w:pPr>
            <w:r w:rsidRPr="00884F51">
              <w:rPr>
                <w:rFonts w:eastAsia="Calibri"/>
                <w:b/>
                <w:bCs/>
                <w:szCs w:val="22"/>
                <w:lang w:eastAsia="en-US"/>
              </w:rPr>
              <w:t>IV. Tiesību akta projekta ietekme uz spēkā esošo tiesību normu sistēmu</w:t>
            </w:r>
          </w:p>
        </w:tc>
      </w:tr>
      <w:tr w:rsidR="00176B8A" w:rsidRPr="00884F51" w14:paraId="7E0BCAF5" w14:textId="77777777" w:rsidTr="005F1FAF">
        <w:tc>
          <w:tcPr>
            <w:tcW w:w="231" w:type="pct"/>
            <w:tcBorders>
              <w:top w:val="outset" w:sz="6" w:space="0" w:color="000000"/>
              <w:left w:val="outset" w:sz="6" w:space="0" w:color="000000"/>
              <w:bottom w:val="outset" w:sz="6" w:space="0" w:color="000000"/>
              <w:right w:val="outset" w:sz="6" w:space="0" w:color="000000"/>
            </w:tcBorders>
            <w:hideMark/>
          </w:tcPr>
          <w:p w14:paraId="6FC8DF2A" w14:textId="5770168A" w:rsidR="00176B8A" w:rsidRPr="00884F51" w:rsidRDefault="00176B8A" w:rsidP="003C5248">
            <w:pPr>
              <w:ind w:right="113"/>
              <w:jc w:val="center"/>
            </w:pPr>
            <w:r>
              <w:t>1.</w:t>
            </w:r>
          </w:p>
        </w:tc>
        <w:tc>
          <w:tcPr>
            <w:tcW w:w="1992" w:type="pct"/>
            <w:tcBorders>
              <w:top w:val="outset" w:sz="6" w:space="0" w:color="000000"/>
              <w:left w:val="outset" w:sz="6" w:space="0" w:color="000000"/>
              <w:bottom w:val="outset" w:sz="6" w:space="0" w:color="000000"/>
              <w:right w:val="outset" w:sz="6" w:space="0" w:color="000000"/>
            </w:tcBorders>
          </w:tcPr>
          <w:p w14:paraId="082637D6" w14:textId="3A0BB1B2" w:rsidR="00176B8A" w:rsidRPr="00884F51" w:rsidRDefault="00176B8A" w:rsidP="005F1FAF">
            <w:pPr>
              <w:ind w:right="113"/>
            </w:pPr>
            <w:r>
              <w:t>Saistītie tiesību aktu projekti</w:t>
            </w:r>
          </w:p>
        </w:tc>
        <w:tc>
          <w:tcPr>
            <w:tcW w:w="2777" w:type="pct"/>
            <w:tcBorders>
              <w:top w:val="outset" w:sz="6" w:space="0" w:color="000000"/>
              <w:left w:val="outset" w:sz="6" w:space="0" w:color="000000"/>
              <w:bottom w:val="outset" w:sz="6" w:space="0" w:color="000000"/>
              <w:right w:val="outset" w:sz="6" w:space="0" w:color="000000"/>
            </w:tcBorders>
          </w:tcPr>
          <w:p w14:paraId="683CC2D8" w14:textId="2FCC0166" w:rsidR="00176B8A" w:rsidRPr="00884F51" w:rsidRDefault="005F1FAF" w:rsidP="005F1FAF">
            <w:pPr>
              <w:ind w:right="113"/>
              <w:jc w:val="both"/>
            </w:pPr>
            <w:r>
              <w:t xml:space="preserve">Grozījumi </w:t>
            </w:r>
            <w:r w:rsidRPr="005F1FAF">
              <w:t>Ministru kabineta 2004.</w:t>
            </w:r>
            <w:r w:rsidR="00142794">
              <w:t> </w:t>
            </w:r>
            <w:r w:rsidRPr="005F1FAF">
              <w:t>gada 19.</w:t>
            </w:r>
            <w:r w:rsidR="00142794">
              <w:t> </w:t>
            </w:r>
            <w:r w:rsidRPr="005F1FAF">
              <w:t>oktobra noteikum</w:t>
            </w:r>
            <w:r>
              <w:t>os</w:t>
            </w:r>
            <w:r w:rsidRPr="005F1FAF">
              <w:t xml:space="preserve"> Nr.</w:t>
            </w:r>
            <w:r w:rsidR="00142794">
              <w:t> </w:t>
            </w:r>
            <w:r w:rsidRPr="005F1FAF">
              <w:t>876 “Lauku atbalsta dienesta nolikums”</w:t>
            </w:r>
          </w:p>
        </w:tc>
      </w:tr>
      <w:tr w:rsidR="00176B8A" w:rsidRPr="00884F51" w14:paraId="1DC10BB4" w14:textId="77777777" w:rsidTr="005F1FAF">
        <w:tc>
          <w:tcPr>
            <w:tcW w:w="231" w:type="pct"/>
            <w:tcBorders>
              <w:top w:val="outset" w:sz="6" w:space="0" w:color="000000"/>
              <w:left w:val="outset" w:sz="6" w:space="0" w:color="000000"/>
              <w:bottom w:val="outset" w:sz="6" w:space="0" w:color="000000"/>
              <w:right w:val="outset" w:sz="6" w:space="0" w:color="000000"/>
            </w:tcBorders>
          </w:tcPr>
          <w:p w14:paraId="0CE78C6D" w14:textId="57755A13" w:rsidR="00176B8A" w:rsidRPr="00884F51" w:rsidRDefault="00176B8A" w:rsidP="003C5248">
            <w:pPr>
              <w:ind w:right="113"/>
              <w:jc w:val="center"/>
            </w:pPr>
            <w:r>
              <w:t>2.</w:t>
            </w:r>
          </w:p>
        </w:tc>
        <w:tc>
          <w:tcPr>
            <w:tcW w:w="1992" w:type="pct"/>
            <w:tcBorders>
              <w:top w:val="outset" w:sz="6" w:space="0" w:color="000000"/>
              <w:left w:val="outset" w:sz="6" w:space="0" w:color="000000"/>
              <w:bottom w:val="outset" w:sz="6" w:space="0" w:color="000000"/>
              <w:right w:val="outset" w:sz="6" w:space="0" w:color="000000"/>
            </w:tcBorders>
          </w:tcPr>
          <w:p w14:paraId="2A02EA9F" w14:textId="6C89409B" w:rsidR="00176B8A" w:rsidRPr="00884F51" w:rsidRDefault="00176B8A" w:rsidP="005F1FAF">
            <w:pPr>
              <w:ind w:right="113"/>
            </w:pPr>
            <w:r>
              <w:t>Atbildīgā institūcija</w:t>
            </w:r>
          </w:p>
        </w:tc>
        <w:tc>
          <w:tcPr>
            <w:tcW w:w="2777" w:type="pct"/>
            <w:tcBorders>
              <w:top w:val="outset" w:sz="6" w:space="0" w:color="000000"/>
              <w:left w:val="outset" w:sz="6" w:space="0" w:color="000000"/>
              <w:bottom w:val="outset" w:sz="6" w:space="0" w:color="000000"/>
              <w:right w:val="outset" w:sz="6" w:space="0" w:color="000000"/>
            </w:tcBorders>
          </w:tcPr>
          <w:p w14:paraId="4CEF9201" w14:textId="1B080D2B" w:rsidR="00176B8A" w:rsidRPr="00884F51" w:rsidRDefault="005F1FAF" w:rsidP="005F1FAF">
            <w:pPr>
              <w:ind w:right="113"/>
            </w:pPr>
            <w:r>
              <w:t>Zemkopības ministrija</w:t>
            </w:r>
          </w:p>
        </w:tc>
      </w:tr>
      <w:tr w:rsidR="00176B8A" w:rsidRPr="00884F51" w14:paraId="0A6117CC" w14:textId="77777777" w:rsidTr="005F1FAF">
        <w:trPr>
          <w:trHeight w:val="264"/>
        </w:trPr>
        <w:tc>
          <w:tcPr>
            <w:tcW w:w="231" w:type="pct"/>
            <w:tcBorders>
              <w:top w:val="outset" w:sz="6" w:space="0" w:color="000000"/>
              <w:left w:val="outset" w:sz="6" w:space="0" w:color="000000"/>
              <w:bottom w:val="outset" w:sz="6" w:space="0" w:color="000000"/>
              <w:right w:val="outset" w:sz="6" w:space="0" w:color="000000"/>
            </w:tcBorders>
          </w:tcPr>
          <w:p w14:paraId="679B6C9B" w14:textId="1F9E0D8E" w:rsidR="00176B8A" w:rsidRPr="00884F51" w:rsidRDefault="00176B8A" w:rsidP="003C5248">
            <w:pPr>
              <w:ind w:right="113"/>
              <w:jc w:val="center"/>
            </w:pPr>
            <w:r>
              <w:t>3.</w:t>
            </w:r>
          </w:p>
        </w:tc>
        <w:tc>
          <w:tcPr>
            <w:tcW w:w="1992" w:type="pct"/>
            <w:tcBorders>
              <w:top w:val="outset" w:sz="6" w:space="0" w:color="000000"/>
              <w:left w:val="outset" w:sz="6" w:space="0" w:color="000000"/>
              <w:bottom w:val="outset" w:sz="6" w:space="0" w:color="000000"/>
              <w:right w:val="outset" w:sz="6" w:space="0" w:color="000000"/>
            </w:tcBorders>
          </w:tcPr>
          <w:p w14:paraId="50A25D1C" w14:textId="41D23B86" w:rsidR="00176B8A" w:rsidRPr="00884F51" w:rsidRDefault="00176B8A" w:rsidP="005F1FAF">
            <w:pPr>
              <w:ind w:right="113"/>
            </w:pPr>
            <w:r>
              <w:t>Cita informācija</w:t>
            </w:r>
          </w:p>
        </w:tc>
        <w:tc>
          <w:tcPr>
            <w:tcW w:w="2777" w:type="pct"/>
            <w:tcBorders>
              <w:top w:val="outset" w:sz="6" w:space="0" w:color="000000"/>
              <w:left w:val="outset" w:sz="6" w:space="0" w:color="000000"/>
              <w:bottom w:val="outset" w:sz="6" w:space="0" w:color="000000"/>
              <w:right w:val="outset" w:sz="6" w:space="0" w:color="000000"/>
            </w:tcBorders>
          </w:tcPr>
          <w:p w14:paraId="7FDADD19" w14:textId="5B17D96E" w:rsidR="00176B8A" w:rsidRPr="00884F51" w:rsidRDefault="00176B8A" w:rsidP="005F1FAF">
            <w:pPr>
              <w:ind w:right="113"/>
            </w:pPr>
            <w:r>
              <w:t>Nav</w:t>
            </w:r>
          </w:p>
        </w:tc>
      </w:tr>
    </w:tbl>
    <w:p w14:paraId="2576134A" w14:textId="77777777" w:rsidR="003C5248" w:rsidRPr="00884F51" w:rsidRDefault="003C5248" w:rsidP="00032C63"/>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3202"/>
        <w:gridCol w:w="5583"/>
      </w:tblGrid>
      <w:tr w:rsidR="00441730" w:rsidRPr="00884F51" w14:paraId="3FFACB20" w14:textId="77777777" w:rsidTr="007B6927">
        <w:tc>
          <w:tcPr>
            <w:tcW w:w="5000" w:type="pct"/>
            <w:gridSpan w:val="3"/>
            <w:shd w:val="clear" w:color="auto" w:fill="auto"/>
            <w:hideMark/>
          </w:tcPr>
          <w:p w14:paraId="3DCEC225" w14:textId="77777777" w:rsidR="00441730" w:rsidRPr="00884F51" w:rsidRDefault="00441730" w:rsidP="007B6927">
            <w:pPr>
              <w:jc w:val="center"/>
              <w:rPr>
                <w:b/>
                <w:bCs/>
              </w:rPr>
            </w:pPr>
            <w:r w:rsidRPr="00884F51">
              <w:rPr>
                <w:b/>
                <w:bCs/>
              </w:rPr>
              <w:t>V. Tiesību akta projekta atbilstība Latvijas Republikas starptautiskajām saistībām</w:t>
            </w:r>
          </w:p>
        </w:tc>
      </w:tr>
      <w:tr w:rsidR="00441730" w:rsidRPr="00884F51" w14:paraId="21F84239" w14:textId="77777777" w:rsidTr="007B6927">
        <w:tc>
          <w:tcPr>
            <w:tcW w:w="232" w:type="pct"/>
            <w:shd w:val="clear" w:color="auto" w:fill="auto"/>
            <w:hideMark/>
          </w:tcPr>
          <w:p w14:paraId="134F619F" w14:textId="77777777" w:rsidR="00441730" w:rsidRPr="00884F51" w:rsidRDefault="00441730" w:rsidP="0028604F">
            <w:r w:rsidRPr="00884F51">
              <w:t>1.</w:t>
            </w:r>
          </w:p>
        </w:tc>
        <w:tc>
          <w:tcPr>
            <w:tcW w:w="1738" w:type="pct"/>
            <w:shd w:val="clear" w:color="auto" w:fill="auto"/>
            <w:hideMark/>
          </w:tcPr>
          <w:p w14:paraId="6760BFD1" w14:textId="77777777" w:rsidR="00441730" w:rsidRPr="00884F51" w:rsidRDefault="00441730" w:rsidP="0028604F">
            <w:r w:rsidRPr="00884F51">
              <w:t>Saistības pret Eiropas Savienību</w:t>
            </w:r>
          </w:p>
        </w:tc>
        <w:tc>
          <w:tcPr>
            <w:tcW w:w="3030" w:type="pct"/>
            <w:shd w:val="clear" w:color="auto" w:fill="auto"/>
            <w:hideMark/>
          </w:tcPr>
          <w:p w14:paraId="3E4B85B6" w14:textId="68000262" w:rsidR="00441730" w:rsidRDefault="00441730" w:rsidP="00441730">
            <w:pPr>
              <w:jc w:val="both"/>
            </w:pPr>
            <w:r w:rsidRPr="00884F51">
              <w:t>Komisijas 2014.</w:t>
            </w:r>
            <w:r w:rsidR="00142794">
              <w:t> </w:t>
            </w:r>
            <w:r w:rsidRPr="00884F51">
              <w:t>gada 17.</w:t>
            </w:r>
            <w:r w:rsidR="00142794">
              <w:t> </w:t>
            </w:r>
            <w:r w:rsidRPr="00884F51">
              <w:t>jūnija Regula (ES) Nr.</w:t>
            </w:r>
            <w:r w:rsidR="00DD6A59">
              <w:t> </w:t>
            </w:r>
            <w:hyperlink r:id="rId8" w:tgtFrame="_blank" w:history="1">
              <w:r w:rsidRPr="00884F51">
                <w:t>651/2014</w:t>
              </w:r>
            </w:hyperlink>
            <w:r w:rsidRPr="00884F51">
              <w:t>, ar ko noteiktas atbalsta kategorijas atzīst par saderīgām ar iekšējo tirgu, piemērojot Līguma 107. un 108.</w:t>
            </w:r>
            <w:r w:rsidR="00DD6A59">
              <w:t> </w:t>
            </w:r>
            <w:r w:rsidRPr="00884F51">
              <w:t>pantu (Eiropas Savienības Oficiālais Vēstnesis, 2014.</w:t>
            </w:r>
            <w:r w:rsidR="00DD6A59">
              <w:t> </w:t>
            </w:r>
            <w:r w:rsidRPr="00884F51">
              <w:t>gada 26.</w:t>
            </w:r>
            <w:r w:rsidR="00DD6A59">
              <w:t> </w:t>
            </w:r>
            <w:r w:rsidRPr="00884F51">
              <w:t>jūnijs, Nr.</w:t>
            </w:r>
            <w:r w:rsidR="00DD6A59">
              <w:t> </w:t>
            </w:r>
            <w:r w:rsidRPr="00884F51">
              <w:t>L187).</w:t>
            </w:r>
          </w:p>
          <w:p w14:paraId="49698ABC" w14:textId="77777777" w:rsidR="00886E49" w:rsidRDefault="00886E49" w:rsidP="00DD6A59">
            <w:pPr>
              <w:jc w:val="both"/>
            </w:pPr>
            <w:r w:rsidRPr="00886E49">
              <w:t>Komisijas 2004.</w:t>
            </w:r>
            <w:r w:rsidR="00DD6A59">
              <w:t> </w:t>
            </w:r>
            <w:r w:rsidRPr="00886E49">
              <w:t>gada 21.</w:t>
            </w:r>
            <w:r w:rsidR="00DD6A59">
              <w:t> </w:t>
            </w:r>
            <w:r w:rsidRPr="00886E49">
              <w:t>aprīļa Regula (EK) Nr.</w:t>
            </w:r>
            <w:r w:rsidR="00DD6A59">
              <w:t> </w:t>
            </w:r>
            <w:r w:rsidRPr="00886E49">
              <w:t>794/2004, ar ko īsteno Padomes Regulu (ES) 2015/1589, ar ko nosaka sīki izstrādātus noteikumus Līguma par Eiropas Savienības darbību 108.panta piemērošanai (Eiropas Savienības Oficiālais Vēstnesis, 2004.</w:t>
            </w:r>
            <w:r w:rsidR="00DD6A59">
              <w:t> </w:t>
            </w:r>
            <w:r w:rsidRPr="00886E49">
              <w:t>gada 30.</w:t>
            </w:r>
            <w:r w:rsidR="00DD6A59">
              <w:t> </w:t>
            </w:r>
            <w:r w:rsidRPr="00886E49">
              <w:t>aprīlis, Nr.</w:t>
            </w:r>
            <w:r w:rsidR="00DD6A59">
              <w:t> </w:t>
            </w:r>
            <w:r w:rsidRPr="00886E49">
              <w:t>L140).</w:t>
            </w:r>
          </w:p>
          <w:p w14:paraId="05AB9177" w14:textId="11A6DC99" w:rsidR="008E0FE8" w:rsidRPr="00884F51" w:rsidRDefault="008E0FE8" w:rsidP="00DD6A59">
            <w:pPr>
              <w:jc w:val="both"/>
            </w:pPr>
            <w:bookmarkStart w:id="0" w:name="_GoBack"/>
            <w:bookmarkEnd w:id="0"/>
          </w:p>
        </w:tc>
      </w:tr>
      <w:tr w:rsidR="00441730" w:rsidRPr="00884F51" w14:paraId="48523EF2" w14:textId="77777777" w:rsidTr="007B6927">
        <w:tc>
          <w:tcPr>
            <w:tcW w:w="232" w:type="pct"/>
            <w:shd w:val="clear" w:color="auto" w:fill="auto"/>
            <w:hideMark/>
          </w:tcPr>
          <w:p w14:paraId="4C113CD4" w14:textId="77777777" w:rsidR="00441730" w:rsidRPr="00884F51" w:rsidRDefault="00441730" w:rsidP="0028604F">
            <w:r w:rsidRPr="00884F51">
              <w:t>2.</w:t>
            </w:r>
          </w:p>
        </w:tc>
        <w:tc>
          <w:tcPr>
            <w:tcW w:w="1738" w:type="pct"/>
            <w:shd w:val="clear" w:color="auto" w:fill="auto"/>
            <w:hideMark/>
          </w:tcPr>
          <w:p w14:paraId="4C576CBA" w14:textId="77777777" w:rsidR="00441730" w:rsidRPr="00884F51" w:rsidRDefault="00441730" w:rsidP="0028604F">
            <w:r w:rsidRPr="00884F51">
              <w:t>Citas starptautiskās saistības</w:t>
            </w:r>
          </w:p>
        </w:tc>
        <w:tc>
          <w:tcPr>
            <w:tcW w:w="3030" w:type="pct"/>
            <w:shd w:val="clear" w:color="auto" w:fill="auto"/>
            <w:hideMark/>
          </w:tcPr>
          <w:p w14:paraId="50F301FF" w14:textId="77777777" w:rsidR="00441730" w:rsidRPr="00884F51" w:rsidRDefault="00441730" w:rsidP="0028604F">
            <w:r w:rsidRPr="00884F51">
              <w:t>Projekts šo jomu neskar.</w:t>
            </w:r>
          </w:p>
          <w:p w14:paraId="15A07918" w14:textId="77777777" w:rsidR="00441730" w:rsidRPr="00884F51" w:rsidRDefault="00441730" w:rsidP="0028604F"/>
        </w:tc>
      </w:tr>
      <w:tr w:rsidR="00441730" w:rsidRPr="00884F51" w14:paraId="6C1D6972" w14:textId="77777777" w:rsidTr="007B6927">
        <w:tc>
          <w:tcPr>
            <w:tcW w:w="232" w:type="pct"/>
            <w:shd w:val="clear" w:color="auto" w:fill="auto"/>
            <w:hideMark/>
          </w:tcPr>
          <w:p w14:paraId="1645B0B8" w14:textId="77777777" w:rsidR="00441730" w:rsidRPr="00884F51" w:rsidRDefault="00441730" w:rsidP="0028604F">
            <w:r w:rsidRPr="00884F51">
              <w:t>3.</w:t>
            </w:r>
          </w:p>
        </w:tc>
        <w:tc>
          <w:tcPr>
            <w:tcW w:w="1738" w:type="pct"/>
            <w:shd w:val="clear" w:color="auto" w:fill="auto"/>
            <w:hideMark/>
          </w:tcPr>
          <w:p w14:paraId="0A993E6A" w14:textId="77777777" w:rsidR="00441730" w:rsidRPr="00884F51" w:rsidRDefault="00441730" w:rsidP="0028604F">
            <w:r w:rsidRPr="00884F51">
              <w:t>Cita informācija</w:t>
            </w:r>
          </w:p>
        </w:tc>
        <w:tc>
          <w:tcPr>
            <w:tcW w:w="3030" w:type="pct"/>
            <w:shd w:val="clear" w:color="auto" w:fill="auto"/>
            <w:hideMark/>
          </w:tcPr>
          <w:p w14:paraId="33FC2B7F" w14:textId="77777777" w:rsidR="00441730" w:rsidRPr="00884F51" w:rsidRDefault="00441730" w:rsidP="0028604F">
            <w:r w:rsidRPr="00884F51">
              <w:t>Nav.</w:t>
            </w:r>
          </w:p>
        </w:tc>
      </w:tr>
    </w:tbl>
    <w:p w14:paraId="3F63311A" w14:textId="77777777" w:rsidR="00441730" w:rsidRPr="00884F51" w:rsidRDefault="00441730" w:rsidP="00441730">
      <w:r w:rsidRPr="00884F51">
        <w:t xml:space="preserve">  </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6"/>
        <w:gridCol w:w="997"/>
        <w:gridCol w:w="1270"/>
        <w:gridCol w:w="2410"/>
      </w:tblGrid>
      <w:tr w:rsidR="00441730" w:rsidRPr="00884F51" w14:paraId="79F7B0D0" w14:textId="77777777" w:rsidTr="007B6927">
        <w:tc>
          <w:tcPr>
            <w:tcW w:w="5000" w:type="pct"/>
            <w:gridSpan w:val="5"/>
            <w:shd w:val="clear" w:color="auto" w:fill="auto"/>
            <w:hideMark/>
          </w:tcPr>
          <w:p w14:paraId="5B5F817E" w14:textId="77777777" w:rsidR="00441730" w:rsidRPr="00884F51" w:rsidRDefault="00441730" w:rsidP="007B6927">
            <w:pPr>
              <w:jc w:val="center"/>
              <w:rPr>
                <w:b/>
                <w:bCs/>
              </w:rPr>
            </w:pPr>
            <w:r w:rsidRPr="00884F51">
              <w:rPr>
                <w:b/>
                <w:bCs/>
              </w:rPr>
              <w:lastRenderedPageBreak/>
              <w:t>1. tabula</w:t>
            </w:r>
            <w:r w:rsidRPr="00884F51">
              <w:rPr>
                <w:b/>
                <w:bCs/>
              </w:rPr>
              <w:br/>
              <w:t>Tiesību akta projekta atbilstība ES tiesību aktiem</w:t>
            </w:r>
          </w:p>
        </w:tc>
      </w:tr>
      <w:tr w:rsidR="00441730" w:rsidRPr="00884F51" w14:paraId="75F0F007" w14:textId="77777777" w:rsidTr="007B6927">
        <w:tc>
          <w:tcPr>
            <w:tcW w:w="1232" w:type="pct"/>
            <w:shd w:val="clear" w:color="auto" w:fill="auto"/>
            <w:hideMark/>
          </w:tcPr>
          <w:p w14:paraId="2E4706F0" w14:textId="77777777" w:rsidR="00441730" w:rsidRPr="00884F51" w:rsidRDefault="00441730" w:rsidP="0028604F">
            <w:r w:rsidRPr="00884F51">
              <w:t>Attiecīgā ES tiesību akta datums, numurs un nosaukums</w:t>
            </w:r>
          </w:p>
        </w:tc>
        <w:tc>
          <w:tcPr>
            <w:tcW w:w="3768" w:type="pct"/>
            <w:gridSpan w:val="4"/>
            <w:shd w:val="clear" w:color="auto" w:fill="auto"/>
            <w:hideMark/>
          </w:tcPr>
          <w:p w14:paraId="519A71B0" w14:textId="607493A6" w:rsidR="00441730" w:rsidRDefault="00441730" w:rsidP="00441730">
            <w:pPr>
              <w:jc w:val="both"/>
            </w:pPr>
            <w:r w:rsidRPr="00884F51">
              <w:t>Komisijas 2014.</w:t>
            </w:r>
            <w:r w:rsidR="00DD6A59">
              <w:t> </w:t>
            </w:r>
            <w:r w:rsidRPr="00884F51">
              <w:t>gada 17.</w:t>
            </w:r>
            <w:r w:rsidR="00DD6A59">
              <w:t> </w:t>
            </w:r>
            <w:r w:rsidRPr="00884F51">
              <w:t>jūnija Regula (ES) Nr</w:t>
            </w:r>
            <w:r w:rsidR="00DD6A59">
              <w:t>. </w:t>
            </w:r>
            <w:hyperlink r:id="rId9" w:tgtFrame="_blank" w:history="1">
              <w:r w:rsidRPr="00884F51">
                <w:t>651/2014</w:t>
              </w:r>
            </w:hyperlink>
            <w:r w:rsidRPr="00884F51">
              <w:t>, ar ko noteiktas atbalsta kategorijas atzīst par saderīgām ar iekšējo tirgu, piemērojot Līguma 107. un 108.</w:t>
            </w:r>
            <w:r w:rsidR="00DD6A59">
              <w:t> </w:t>
            </w:r>
            <w:r w:rsidRPr="00884F51">
              <w:t>pantu (Eiropas Savienības Oficiālais Vēstnesis, 2014.</w:t>
            </w:r>
            <w:r w:rsidR="00DD6A59">
              <w:t> </w:t>
            </w:r>
            <w:r w:rsidRPr="00884F51">
              <w:t>gada 26.</w:t>
            </w:r>
            <w:r w:rsidR="00DD6A59">
              <w:t> </w:t>
            </w:r>
            <w:r w:rsidRPr="00884F51">
              <w:t>jūnijs, Nr.</w:t>
            </w:r>
            <w:r w:rsidR="00DD6A59">
              <w:t> </w:t>
            </w:r>
            <w:r w:rsidRPr="00884F51">
              <w:t>L187) (turpmāk – regula Nr.</w:t>
            </w:r>
            <w:r w:rsidR="00DD6A59">
              <w:t> </w:t>
            </w:r>
            <w:hyperlink r:id="rId10" w:tgtFrame="_blank" w:history="1">
              <w:r w:rsidRPr="00884F51">
                <w:t>651/2014</w:t>
              </w:r>
            </w:hyperlink>
            <w:r w:rsidRPr="00884F51">
              <w:t>).</w:t>
            </w:r>
          </w:p>
          <w:p w14:paraId="75E1E3E6" w14:textId="3A561E95" w:rsidR="00886E49" w:rsidRPr="00884F51" w:rsidRDefault="00886E49" w:rsidP="00DD6A59">
            <w:pPr>
              <w:jc w:val="both"/>
            </w:pPr>
            <w:r w:rsidRPr="00886E49">
              <w:t>Komisijas 2004.</w:t>
            </w:r>
            <w:r w:rsidR="00DD6A59">
              <w:t> </w:t>
            </w:r>
            <w:r w:rsidRPr="00886E49">
              <w:t>gada 21.</w:t>
            </w:r>
            <w:r w:rsidR="00DD6A59">
              <w:t> </w:t>
            </w:r>
            <w:r w:rsidRPr="00886E49">
              <w:t>aprīļa Regula (EK) Nr.</w:t>
            </w:r>
            <w:r w:rsidR="00DD6A59">
              <w:t> </w:t>
            </w:r>
            <w:r w:rsidRPr="00886E49">
              <w:t>794/2004, ar ko īsteno Padomes Regulu (ES) 2015/1589, ar ko nosaka sīki izstrādātus noteikumus Līguma par Eiropas Savienības darbību 108.</w:t>
            </w:r>
            <w:r w:rsidR="00DD6A59">
              <w:t> </w:t>
            </w:r>
            <w:r w:rsidRPr="00886E49">
              <w:t>panta piemērošanai (Eiropas Savienības Oficiālais Vēstnesis, 2004.</w:t>
            </w:r>
            <w:r w:rsidR="00DD6A59">
              <w:t> </w:t>
            </w:r>
            <w:r w:rsidRPr="00886E49">
              <w:t>gada 30.</w:t>
            </w:r>
            <w:r w:rsidR="00DD6A59">
              <w:t> </w:t>
            </w:r>
            <w:r w:rsidRPr="00886E49">
              <w:t>aprīlis, Nr.</w:t>
            </w:r>
            <w:r w:rsidR="00DD6A59">
              <w:t> </w:t>
            </w:r>
            <w:r w:rsidRPr="00886E49">
              <w:t>L140) (turpmāk – regula Nr.</w:t>
            </w:r>
            <w:r w:rsidR="00DD6A59">
              <w:t> </w:t>
            </w:r>
            <w:r w:rsidRPr="00886E49">
              <w:t>794/2004).</w:t>
            </w:r>
          </w:p>
        </w:tc>
      </w:tr>
      <w:tr w:rsidR="00441730" w:rsidRPr="00884F51" w14:paraId="58B2384B" w14:textId="77777777" w:rsidTr="0053749E">
        <w:tc>
          <w:tcPr>
            <w:tcW w:w="1232" w:type="pct"/>
            <w:shd w:val="clear" w:color="auto" w:fill="auto"/>
            <w:hideMark/>
          </w:tcPr>
          <w:p w14:paraId="373537F3" w14:textId="77777777" w:rsidR="00441730" w:rsidRPr="00884F51" w:rsidRDefault="00441730" w:rsidP="0028604F">
            <w:r w:rsidRPr="00884F51">
              <w:t>A</w:t>
            </w:r>
          </w:p>
        </w:tc>
        <w:tc>
          <w:tcPr>
            <w:tcW w:w="1230" w:type="pct"/>
            <w:shd w:val="clear" w:color="auto" w:fill="auto"/>
            <w:hideMark/>
          </w:tcPr>
          <w:p w14:paraId="0FB0456A" w14:textId="77777777" w:rsidR="00441730" w:rsidRPr="00884F51" w:rsidRDefault="00441730" w:rsidP="0028604F">
            <w:r w:rsidRPr="00884F51">
              <w:t>B</w:t>
            </w:r>
          </w:p>
        </w:tc>
        <w:tc>
          <w:tcPr>
            <w:tcW w:w="1230" w:type="pct"/>
            <w:gridSpan w:val="2"/>
            <w:shd w:val="clear" w:color="auto" w:fill="auto"/>
            <w:hideMark/>
          </w:tcPr>
          <w:p w14:paraId="7863A8B4" w14:textId="77777777" w:rsidR="00441730" w:rsidRPr="00884F51" w:rsidRDefault="00441730" w:rsidP="0028604F">
            <w:r w:rsidRPr="00884F51">
              <w:t>C</w:t>
            </w:r>
          </w:p>
        </w:tc>
        <w:tc>
          <w:tcPr>
            <w:tcW w:w="1308" w:type="pct"/>
            <w:shd w:val="clear" w:color="auto" w:fill="auto"/>
            <w:hideMark/>
          </w:tcPr>
          <w:p w14:paraId="224C003F" w14:textId="77777777" w:rsidR="00441730" w:rsidRPr="00884F51" w:rsidRDefault="00441730" w:rsidP="0028604F">
            <w:r w:rsidRPr="00884F51">
              <w:t>D</w:t>
            </w:r>
          </w:p>
        </w:tc>
      </w:tr>
      <w:tr w:rsidR="00441730" w:rsidRPr="00884F51" w14:paraId="76A4DC3E"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hideMark/>
          </w:tcPr>
          <w:p w14:paraId="4826730E" w14:textId="1C279B47" w:rsidR="00441730" w:rsidRPr="00884F51" w:rsidRDefault="00441730" w:rsidP="0028604F">
            <w:r w:rsidRPr="00884F51">
              <w:t>regulas Nr.</w:t>
            </w:r>
            <w:r w:rsidR="00DD6A59">
              <w:t> </w:t>
            </w:r>
            <w:r w:rsidR="00DC0D59" w:rsidRPr="00884F51">
              <w:t>651</w:t>
            </w:r>
            <w:r w:rsidRPr="00884F51">
              <w:t>/2014 4</w:t>
            </w:r>
            <w:r w:rsidR="00DC0D59" w:rsidRPr="00884F51">
              <w:t>4</w:t>
            </w:r>
            <w:r w:rsidRPr="00884F51">
              <w:t>.</w:t>
            </w:r>
            <w:r w:rsidR="00DD6A59">
              <w:t> </w:t>
            </w:r>
            <w:r w:rsidRPr="00884F51">
              <w:t>pant</w:t>
            </w:r>
            <w:r w:rsidR="00DC0D59" w:rsidRPr="00884F51">
              <w:t>a 1. un 2.</w:t>
            </w:r>
            <w:r w:rsidR="00DD6A59">
              <w:t> </w:t>
            </w:r>
            <w:r w:rsidR="00DC0D59" w:rsidRPr="00884F51">
              <w:t>punkts</w:t>
            </w:r>
          </w:p>
          <w:p w14:paraId="0618C9D0" w14:textId="77777777" w:rsidR="00441730" w:rsidRPr="00884F51" w:rsidRDefault="00441730" w:rsidP="0028604F">
            <w:pPr>
              <w:tabs>
                <w:tab w:val="left" w:pos="405"/>
              </w:tabs>
              <w:rPr>
                <w:highlight w:val="yellow"/>
              </w:rPr>
            </w:pPr>
          </w:p>
        </w:tc>
        <w:tc>
          <w:tcPr>
            <w:tcW w:w="1230" w:type="pct"/>
            <w:tcBorders>
              <w:top w:val="single" w:sz="4" w:space="0" w:color="auto"/>
              <w:left w:val="single" w:sz="4" w:space="0" w:color="auto"/>
              <w:bottom w:val="single" w:sz="4" w:space="0" w:color="auto"/>
              <w:right w:val="single" w:sz="4" w:space="0" w:color="auto"/>
            </w:tcBorders>
            <w:shd w:val="clear" w:color="auto" w:fill="auto"/>
            <w:hideMark/>
          </w:tcPr>
          <w:p w14:paraId="0002EF5B" w14:textId="745DD197" w:rsidR="00441730" w:rsidRPr="00884F51" w:rsidRDefault="00441730" w:rsidP="007E425C">
            <w:r w:rsidRPr="00884F51">
              <w:t xml:space="preserve">Noteikumu projekta </w:t>
            </w:r>
            <w:r w:rsidR="00DC0D59" w:rsidRPr="00884F51">
              <w:t>1.</w:t>
            </w:r>
            <w:r w:rsidR="0028604F">
              <w:t>1</w:t>
            </w:r>
            <w:r w:rsidR="007E425C" w:rsidRPr="00884F51">
              <w:t>5</w:t>
            </w:r>
            <w:r w:rsidRPr="00884F51">
              <w:t>.</w:t>
            </w:r>
            <w:r w:rsidR="00DD6A59">
              <w:t> </w:t>
            </w:r>
            <w:r w:rsidR="00DC0D59" w:rsidRPr="00884F51">
              <w:t>apakš</w:t>
            </w:r>
            <w:r w:rsidRPr="00884F51">
              <w:t>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hideMark/>
          </w:tcPr>
          <w:p w14:paraId="0BA531C8" w14:textId="41380088" w:rsidR="00441730" w:rsidRPr="00884F51" w:rsidRDefault="00441730" w:rsidP="00DC0D59">
            <w:r w:rsidRPr="00884F51">
              <w:t>Komisijas regulas</w:t>
            </w:r>
            <w:r w:rsidR="00DC0D59" w:rsidRPr="00884F51">
              <w:t xml:space="preserve"> Nr.</w:t>
            </w:r>
            <w:r w:rsidR="00DD6A59">
              <w:t> </w:t>
            </w:r>
            <w:r w:rsidR="00DC0D59" w:rsidRPr="00884F51">
              <w:t>651</w:t>
            </w:r>
            <w:r w:rsidRPr="00884F51">
              <w:t>/2014 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hideMark/>
          </w:tcPr>
          <w:p w14:paraId="5B737037" w14:textId="77777777" w:rsidR="00441730" w:rsidRPr="00884F51" w:rsidRDefault="00DC0D59" w:rsidP="00DC0D59">
            <w:r w:rsidRPr="00884F51">
              <w:t>Noteikumu projekt</w:t>
            </w:r>
            <w:r w:rsidR="00441730" w:rsidRPr="00884F51">
              <w:t>s neparedz stingrākas prasības kā šīs tabulas A ailē minētās ES tiesību akta vienības.</w:t>
            </w:r>
          </w:p>
        </w:tc>
      </w:tr>
      <w:tr w:rsidR="00441730" w:rsidRPr="00884F51" w14:paraId="764E6571"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2DA23DB2" w14:textId="54F83211" w:rsidR="00441730" w:rsidRPr="00884F51" w:rsidRDefault="00441730" w:rsidP="0028604F">
            <w:r w:rsidRPr="00884F51">
              <w:t>regulas Nr.</w:t>
            </w:r>
            <w:r w:rsidR="00DD6A59">
              <w:t> </w:t>
            </w:r>
            <w:r w:rsidR="00DC0D59" w:rsidRPr="00884F51">
              <w:t>651</w:t>
            </w:r>
            <w:r w:rsidRPr="00884F51">
              <w:t>/2014 8.</w:t>
            </w:r>
            <w:r w:rsidR="00DD6A59">
              <w:t> </w:t>
            </w:r>
            <w:r w:rsidRPr="00884F51">
              <w:t>pants</w:t>
            </w:r>
          </w:p>
          <w:p w14:paraId="4425A337" w14:textId="77777777" w:rsidR="00441730" w:rsidRPr="00884F51" w:rsidRDefault="00441730" w:rsidP="0028604F">
            <w:pPr>
              <w:rPr>
                <w:highlight w:val="yellow"/>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72F34EBE" w14:textId="6FF75DDF" w:rsidR="00441730" w:rsidRPr="00884F51" w:rsidRDefault="00DC0D59" w:rsidP="007E425C">
            <w:r w:rsidRPr="00884F51">
              <w:t>Noteikumu projekta 1.</w:t>
            </w:r>
            <w:r w:rsidR="0028604F">
              <w:t>1</w:t>
            </w:r>
            <w:r w:rsidR="007E425C" w:rsidRPr="00884F51">
              <w:t>5</w:t>
            </w:r>
            <w:r w:rsidRPr="00884F51">
              <w:t>.</w:t>
            </w:r>
            <w:r w:rsidR="00DD6A59">
              <w:t> </w:t>
            </w:r>
            <w:r w:rsidRPr="00884F51">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7B20C016" w14:textId="46A7D63D" w:rsidR="00441730" w:rsidRPr="00884F51" w:rsidRDefault="00441730" w:rsidP="00DC0D59">
            <w:r w:rsidRPr="00884F51">
              <w:t>Komisijas regulas</w:t>
            </w:r>
            <w:r w:rsidR="00DC0D59" w:rsidRPr="00884F51">
              <w:t xml:space="preserve"> Nr.</w:t>
            </w:r>
            <w:r w:rsidR="00DD6A59">
              <w:t> </w:t>
            </w:r>
            <w:r w:rsidR="00DC0D59" w:rsidRPr="00884F51">
              <w:t>651</w:t>
            </w:r>
            <w:r w:rsidRPr="00884F51">
              <w:t>/2014 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32760FF1" w14:textId="2EF2418D" w:rsidR="00441730" w:rsidRPr="00884F51" w:rsidRDefault="00DC0D59" w:rsidP="00EC2DA1">
            <w:r w:rsidRPr="00884F51">
              <w:t>Noteikumu projekt</w:t>
            </w:r>
            <w:r w:rsidR="00441730" w:rsidRPr="00884F51">
              <w:t>s paredz stingrākas prasības kā šīs tabulas A ailē minētās ES tiesību akta vienības.</w:t>
            </w:r>
          </w:p>
        </w:tc>
      </w:tr>
      <w:tr w:rsidR="00441730" w:rsidRPr="00884F51" w14:paraId="2A8A01C4"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38969889" w14:textId="3C813061" w:rsidR="00441730" w:rsidRPr="00884F51" w:rsidRDefault="00441730" w:rsidP="0028604F">
            <w:r w:rsidRPr="00884F51">
              <w:t>regulas Nr.</w:t>
            </w:r>
            <w:r w:rsidR="00DD6A59">
              <w:t> </w:t>
            </w:r>
            <w:r w:rsidR="00DC0D59" w:rsidRPr="00884F51">
              <w:t>651</w:t>
            </w:r>
            <w:r w:rsidRPr="00884F51">
              <w:t>/2014 1.</w:t>
            </w:r>
            <w:r w:rsidR="00DD6A59">
              <w:t> </w:t>
            </w:r>
            <w:r w:rsidRPr="00884F51">
              <w:t xml:space="preserve">panta </w:t>
            </w:r>
            <w:r w:rsidR="00DC0D59" w:rsidRPr="00884F51">
              <w:t>2.</w:t>
            </w:r>
            <w:r w:rsidR="00DD6A59">
              <w:t> </w:t>
            </w:r>
            <w:r w:rsidR="00DC0D59" w:rsidRPr="00884F51">
              <w:t xml:space="preserve">punkta </w:t>
            </w:r>
            <w:r w:rsidR="0053749E" w:rsidRPr="00884F51">
              <w:t>“</w:t>
            </w:r>
            <w:proofErr w:type="spellStart"/>
            <w:r w:rsidR="0053749E" w:rsidRPr="00884F51">
              <w:t>c”un</w:t>
            </w:r>
            <w:proofErr w:type="spellEnd"/>
            <w:r w:rsidR="0053749E" w:rsidRPr="00884F51">
              <w:t xml:space="preserve"> </w:t>
            </w:r>
            <w:r w:rsidRPr="00884F51">
              <w:t>“d” apakšpunkts</w:t>
            </w:r>
          </w:p>
          <w:p w14:paraId="04669C9C" w14:textId="77777777" w:rsidR="00441730" w:rsidRPr="00884F51" w:rsidRDefault="00441730" w:rsidP="0028604F">
            <w:pPr>
              <w:rPr>
                <w:highlight w:val="yellow"/>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F92C22B" w14:textId="7A268115" w:rsidR="00441730" w:rsidRPr="00884F51" w:rsidRDefault="00DC0D59" w:rsidP="007E425C">
            <w:r w:rsidRPr="00884F51">
              <w:t>Noteikumu projekta 1.</w:t>
            </w:r>
            <w:r w:rsidR="0028604F">
              <w:t>1</w:t>
            </w:r>
            <w:r w:rsidR="007E425C" w:rsidRPr="00884F51">
              <w:t>5</w:t>
            </w:r>
            <w:r w:rsidRPr="00884F51">
              <w:t>.</w:t>
            </w:r>
            <w:r w:rsidR="00DD6A59">
              <w:t> </w:t>
            </w:r>
            <w:r w:rsidRPr="00884F51">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6C2FDFFB" w14:textId="04F1B523" w:rsidR="00441730" w:rsidRPr="00884F51" w:rsidRDefault="00441730" w:rsidP="00DC0D59">
            <w:r w:rsidRPr="00884F51">
              <w:t>Komisijas regulas Nr.</w:t>
            </w:r>
            <w:r w:rsidR="00DD6A59">
              <w:t> </w:t>
            </w:r>
            <w:r w:rsidR="00DC0D59" w:rsidRPr="00884F51">
              <w:t>651</w:t>
            </w:r>
            <w:r w:rsidRPr="00884F51">
              <w:t>/2014 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03B0A3D6" w14:textId="77777777" w:rsidR="00441730" w:rsidRPr="00884F51" w:rsidRDefault="00DC0D59" w:rsidP="00DC0D59">
            <w:r w:rsidRPr="00884F51">
              <w:t xml:space="preserve">Noteikumu projekts </w:t>
            </w:r>
            <w:r w:rsidR="00441730" w:rsidRPr="00884F51">
              <w:t>neparedz stingrākas prasības kā šīs tabulas A ailē minētās ES tiesību akta vienības.</w:t>
            </w:r>
          </w:p>
        </w:tc>
      </w:tr>
      <w:tr w:rsidR="0053749E" w:rsidRPr="00884F51" w14:paraId="2D549504"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0B727873" w14:textId="048F05EB" w:rsidR="0053749E" w:rsidRPr="00884F51" w:rsidRDefault="0053749E" w:rsidP="0053749E">
            <w:r w:rsidRPr="00884F51">
              <w:t>regulas Nr.</w:t>
            </w:r>
            <w:r w:rsidR="00DD6A59">
              <w:t> </w:t>
            </w:r>
            <w:r w:rsidRPr="00884F51">
              <w:t>651/2014 1.</w:t>
            </w:r>
            <w:r w:rsidR="00DD6A59">
              <w:t> </w:t>
            </w:r>
            <w:r w:rsidRPr="00884F51">
              <w:t>panta 3.</w:t>
            </w:r>
            <w:r w:rsidR="00DD6A59">
              <w:t> </w:t>
            </w:r>
            <w:r w:rsidRPr="00884F51">
              <w:t>punkts</w:t>
            </w:r>
          </w:p>
          <w:p w14:paraId="418388C0" w14:textId="77777777" w:rsidR="0053749E" w:rsidRPr="00884F51" w:rsidRDefault="0053749E" w:rsidP="0053749E">
            <w:pPr>
              <w:rPr>
                <w:highlight w:val="yellow"/>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E2217B2" w14:textId="6091B720" w:rsidR="0053749E" w:rsidRPr="00884F51" w:rsidRDefault="0053749E" w:rsidP="007E425C">
            <w:r w:rsidRPr="00884F51">
              <w:t>Noteikumu projekta 1.</w:t>
            </w:r>
            <w:r w:rsidR="0028604F">
              <w:t>1</w:t>
            </w:r>
            <w:r w:rsidR="007E425C" w:rsidRPr="00884F51">
              <w:t>5</w:t>
            </w:r>
            <w:r w:rsidRPr="00884F51">
              <w:t>.</w:t>
            </w:r>
            <w:r w:rsidR="00DD6A59">
              <w:t> </w:t>
            </w:r>
            <w:r w:rsidRPr="00884F51">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2CF401B9" w14:textId="2C16B48E" w:rsidR="0053749E" w:rsidRPr="00884F51" w:rsidRDefault="0053749E" w:rsidP="0053749E">
            <w:r w:rsidRPr="00884F51">
              <w:t>Komisijas regulas Nr.</w:t>
            </w:r>
            <w:r w:rsidR="00DD6A59">
              <w:t> </w:t>
            </w:r>
            <w:r w:rsidRPr="00884F51">
              <w:t>651/2014 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27F2EC00" w14:textId="77777777" w:rsidR="0053749E" w:rsidRPr="00884F51" w:rsidRDefault="0053749E" w:rsidP="0053749E">
            <w:r w:rsidRPr="00884F51">
              <w:t>Noteikumu projekts neparedz stingrākas prasības kā šīs tabulas A ailē minētās ES tiesību akta vienības.</w:t>
            </w:r>
          </w:p>
        </w:tc>
      </w:tr>
      <w:tr w:rsidR="0053749E" w:rsidRPr="00884F51" w14:paraId="35A3188B"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20E58C34" w14:textId="1000CFAC" w:rsidR="0053749E" w:rsidRPr="00884F51" w:rsidRDefault="0053749E" w:rsidP="0053749E">
            <w:r w:rsidRPr="00884F51">
              <w:t>regulas Nr.</w:t>
            </w:r>
            <w:r w:rsidR="00DD6A59">
              <w:t> </w:t>
            </w:r>
            <w:r w:rsidRPr="00884F51">
              <w:t>651/2014 1.</w:t>
            </w:r>
            <w:r w:rsidR="00DD6A59">
              <w:t> </w:t>
            </w:r>
            <w:r w:rsidRPr="00884F51">
              <w:t>panta 4.</w:t>
            </w:r>
            <w:r w:rsidR="00DD6A59">
              <w:t> </w:t>
            </w:r>
            <w:r w:rsidRPr="00884F51">
              <w:t>punkta “</w:t>
            </w:r>
            <w:proofErr w:type="spellStart"/>
            <w:r w:rsidRPr="00884F51">
              <w:t>a”un</w:t>
            </w:r>
            <w:proofErr w:type="spellEnd"/>
            <w:r w:rsidRPr="00884F51">
              <w:t xml:space="preserve"> “c” apakšpunkts</w:t>
            </w:r>
          </w:p>
          <w:p w14:paraId="214060E3" w14:textId="77777777" w:rsidR="0053749E" w:rsidRPr="00884F51" w:rsidRDefault="0053749E" w:rsidP="0053749E">
            <w:pPr>
              <w:rPr>
                <w:highlight w:val="yellow"/>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3DD1AE92" w14:textId="03ECC640" w:rsidR="0053749E" w:rsidRPr="00884F51" w:rsidRDefault="0053749E" w:rsidP="007E425C">
            <w:r w:rsidRPr="00884F51">
              <w:t>Noteikumu projekta 1.</w:t>
            </w:r>
            <w:r w:rsidR="0028604F">
              <w:t>1</w:t>
            </w:r>
            <w:r w:rsidR="007E425C" w:rsidRPr="00884F51">
              <w:t>5</w:t>
            </w:r>
            <w:r w:rsidRPr="00884F51">
              <w:t>.</w:t>
            </w:r>
            <w:r w:rsidR="00DD6A59">
              <w:t> </w:t>
            </w:r>
            <w:r w:rsidRPr="00884F51">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3022E32B" w14:textId="71F2FF24" w:rsidR="0053749E" w:rsidRPr="00884F51" w:rsidRDefault="0053749E" w:rsidP="0053749E">
            <w:r w:rsidRPr="00884F51">
              <w:t>Komisijas regulas Nr.</w:t>
            </w:r>
            <w:r w:rsidR="00DD6A59">
              <w:t> </w:t>
            </w:r>
            <w:r w:rsidRPr="00884F51">
              <w:t>651/2014 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571B114" w14:textId="77777777" w:rsidR="0053749E" w:rsidRPr="00884F51" w:rsidRDefault="0053749E" w:rsidP="0053749E">
            <w:r w:rsidRPr="00884F51">
              <w:t>Noteikumu projekts neparedz stingrākas prasības kā šīs tabulas A ailē minētās ES tiesību akta vienības.</w:t>
            </w:r>
          </w:p>
        </w:tc>
      </w:tr>
      <w:tr w:rsidR="0053749E" w:rsidRPr="00884F51" w14:paraId="4212D4ED"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4CF162E3" w14:textId="288DAF10" w:rsidR="0053749E" w:rsidRPr="00884F51" w:rsidRDefault="0053749E" w:rsidP="0053749E">
            <w:r w:rsidRPr="00884F51">
              <w:t>regulas Nr.</w:t>
            </w:r>
            <w:r w:rsidR="00DD6A59">
              <w:t> </w:t>
            </w:r>
            <w:r w:rsidRPr="00884F51">
              <w:t>651/2014 2.</w:t>
            </w:r>
            <w:r w:rsidR="00DD6A59">
              <w:t> </w:t>
            </w:r>
            <w:r w:rsidRPr="00884F51">
              <w:t>panta 18.</w:t>
            </w:r>
            <w:r w:rsidR="00DD6A59">
              <w:t> </w:t>
            </w:r>
            <w:r w:rsidRPr="00884F51">
              <w:t>punkts</w:t>
            </w:r>
          </w:p>
          <w:p w14:paraId="636B88DC" w14:textId="77777777" w:rsidR="0053749E" w:rsidRPr="00884F51" w:rsidRDefault="0053749E" w:rsidP="0053749E">
            <w:pPr>
              <w:rPr>
                <w:highlight w:val="yellow"/>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2F6E5D6E" w14:textId="39ECB4B7" w:rsidR="0053749E" w:rsidRPr="00884F51" w:rsidRDefault="0053749E" w:rsidP="007E425C">
            <w:r w:rsidRPr="00884F51">
              <w:t>Noteikumu projekta 1.</w:t>
            </w:r>
            <w:r w:rsidR="0028604F">
              <w:t>1</w:t>
            </w:r>
            <w:r w:rsidR="007E425C" w:rsidRPr="00884F51">
              <w:t>5</w:t>
            </w:r>
            <w:r w:rsidRPr="00884F51">
              <w:t>.</w:t>
            </w:r>
            <w:r w:rsidR="00DD6A59">
              <w:t> </w:t>
            </w:r>
            <w:r w:rsidRPr="00884F51">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380301F4" w14:textId="6BD72167" w:rsidR="0053749E" w:rsidRPr="00884F51" w:rsidRDefault="0053749E" w:rsidP="0053749E">
            <w:r w:rsidRPr="00884F51">
              <w:t>Komisijas regulas Nr.</w:t>
            </w:r>
            <w:r w:rsidR="00DD6A59">
              <w:t> </w:t>
            </w:r>
            <w:r w:rsidRPr="00884F51">
              <w:t>651/2014 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666EC1EF" w14:textId="77777777" w:rsidR="0053749E" w:rsidRPr="00884F51" w:rsidRDefault="0053749E" w:rsidP="0053749E">
            <w:r w:rsidRPr="00884F51">
              <w:t>Noteikumu projekts neparedz stingrākas prasības kā šīs tabulas A ailē minētās ES tiesību akta vienības.</w:t>
            </w:r>
          </w:p>
        </w:tc>
      </w:tr>
      <w:tr w:rsidR="00200F64" w:rsidRPr="00884F51" w14:paraId="2E8D8343"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677F5F89" w14:textId="7CF93988" w:rsidR="00200F64" w:rsidRPr="00884F51" w:rsidRDefault="00200F64" w:rsidP="00200F64">
            <w:r w:rsidRPr="00884F51">
              <w:t>regulas Nr.</w:t>
            </w:r>
            <w:r w:rsidR="00DD6A59">
              <w:t> </w:t>
            </w:r>
            <w:r w:rsidRPr="00884F51">
              <w:t>651/2014 9.</w:t>
            </w:r>
            <w:r w:rsidR="00DD6A59">
              <w:t> </w:t>
            </w:r>
            <w:r w:rsidRPr="00884F51">
              <w:t>panta 1., 2. un 4.</w:t>
            </w:r>
            <w:r w:rsidR="00DD6A59">
              <w:t> </w:t>
            </w:r>
            <w:r w:rsidRPr="00884F51">
              <w:t>punkts</w:t>
            </w:r>
          </w:p>
          <w:p w14:paraId="1C810A00" w14:textId="77777777" w:rsidR="00200F64" w:rsidRPr="00884F51" w:rsidRDefault="00200F64" w:rsidP="00200F64"/>
        </w:tc>
        <w:tc>
          <w:tcPr>
            <w:tcW w:w="1230" w:type="pct"/>
            <w:tcBorders>
              <w:top w:val="single" w:sz="4" w:space="0" w:color="auto"/>
              <w:left w:val="single" w:sz="4" w:space="0" w:color="auto"/>
              <w:bottom w:val="single" w:sz="4" w:space="0" w:color="auto"/>
              <w:right w:val="single" w:sz="4" w:space="0" w:color="auto"/>
            </w:tcBorders>
            <w:shd w:val="clear" w:color="auto" w:fill="auto"/>
          </w:tcPr>
          <w:p w14:paraId="1D6965D0" w14:textId="38F8E140" w:rsidR="00200F64" w:rsidRPr="00884F51" w:rsidRDefault="00200F64" w:rsidP="00200F64">
            <w:r w:rsidRPr="00884F51">
              <w:t>Noteikumu projekta 1.</w:t>
            </w:r>
            <w:r w:rsidR="0028604F">
              <w:t>1</w:t>
            </w:r>
            <w:r w:rsidRPr="00884F51">
              <w:t>5.</w:t>
            </w:r>
            <w:r w:rsidR="00DD6A59">
              <w:t> </w:t>
            </w:r>
            <w:r w:rsidRPr="00884F51">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6F739ECC" w14:textId="16F646C3" w:rsidR="00200F64" w:rsidRPr="00884F51" w:rsidRDefault="00200F64" w:rsidP="00200F64">
            <w:r w:rsidRPr="00884F51">
              <w:t>Komisijas regulas Nr.</w:t>
            </w:r>
            <w:r w:rsidR="00DD6A59">
              <w:t> </w:t>
            </w:r>
            <w:r w:rsidRPr="00884F51">
              <w:t>651/2014 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19FE7D4" w14:textId="77777777" w:rsidR="00200F64" w:rsidRPr="00884F51" w:rsidRDefault="00200F64" w:rsidP="00200F64">
            <w:r w:rsidRPr="00884F51">
              <w:t>Noteikumu projekts neparedz stingrākas prasības kā šīs tabulas A ailē minētās ES tiesību akta vienības.</w:t>
            </w:r>
          </w:p>
        </w:tc>
      </w:tr>
      <w:tr w:rsidR="00200F64" w:rsidRPr="00884F51" w14:paraId="0B4C6132"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05F1739D" w14:textId="6D9CCF69" w:rsidR="00200F64" w:rsidRPr="00884F51" w:rsidRDefault="00200F64" w:rsidP="00200F64">
            <w:r w:rsidRPr="00884F51">
              <w:t>regulas Nr.</w:t>
            </w:r>
            <w:r w:rsidR="00DD6A59">
              <w:t> </w:t>
            </w:r>
            <w:r w:rsidRPr="00884F51">
              <w:t>651/2014 12.</w:t>
            </w:r>
            <w:r w:rsidR="00DD6A59">
              <w:t> </w:t>
            </w:r>
            <w:r w:rsidRPr="00884F51">
              <w:t>panta 2.</w:t>
            </w:r>
            <w:r w:rsidR="00DD6A59">
              <w:t> </w:t>
            </w:r>
            <w:r w:rsidRPr="00884F51">
              <w:t>punkts</w:t>
            </w:r>
          </w:p>
          <w:p w14:paraId="1AED1273" w14:textId="77777777" w:rsidR="00200F64" w:rsidRPr="00884F51" w:rsidRDefault="00200F64" w:rsidP="00200F64">
            <w:pPr>
              <w:rPr>
                <w:highlight w:val="yellow"/>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13E97309" w14:textId="33CF9A17" w:rsidR="00200F64" w:rsidRPr="00884F51" w:rsidRDefault="00200F64" w:rsidP="00200F64">
            <w:r w:rsidRPr="00884F51">
              <w:t>Noteikumu projekta 1.</w:t>
            </w:r>
            <w:r w:rsidR="0028604F">
              <w:t>1</w:t>
            </w:r>
            <w:r w:rsidRPr="00884F51">
              <w:t>5.</w:t>
            </w:r>
            <w:r w:rsidR="00DD6A59">
              <w:t> </w:t>
            </w:r>
            <w:r w:rsidRPr="00884F51">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7DEEEF04" w14:textId="42C9C42C" w:rsidR="00200F64" w:rsidRPr="00884F51" w:rsidRDefault="00200F64" w:rsidP="00200F64">
            <w:r w:rsidRPr="00884F51">
              <w:t>Komisijas regulas Nr.</w:t>
            </w:r>
            <w:r w:rsidR="00DD6A59">
              <w:t> </w:t>
            </w:r>
            <w:r w:rsidRPr="00884F51">
              <w:t xml:space="preserve">651/2014 </w:t>
            </w:r>
            <w:r w:rsidRPr="00884F51">
              <w:lastRenderedPageBreak/>
              <w:t>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525468FC" w14:textId="77777777" w:rsidR="00200F64" w:rsidRPr="00884F51" w:rsidRDefault="00200F64" w:rsidP="00200F64">
            <w:r w:rsidRPr="00884F51">
              <w:lastRenderedPageBreak/>
              <w:t xml:space="preserve">Noteikumu projekts neparedz stingrākas prasības kā šīs tabulas </w:t>
            </w:r>
            <w:r w:rsidRPr="00884F51">
              <w:lastRenderedPageBreak/>
              <w:t>A ailē minētās ES tiesību akta vienības.</w:t>
            </w:r>
          </w:p>
        </w:tc>
      </w:tr>
      <w:tr w:rsidR="00200F64" w:rsidRPr="00884F51" w14:paraId="7C8E5643"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0C395FE2" w14:textId="22AA9E7B" w:rsidR="00200F64" w:rsidRPr="00884F51" w:rsidRDefault="00200F64" w:rsidP="00200F64">
            <w:r w:rsidRPr="00884F51">
              <w:lastRenderedPageBreak/>
              <w:t>regulas Nr.</w:t>
            </w:r>
            <w:r w:rsidR="00DD6A59">
              <w:t> </w:t>
            </w:r>
            <w:r w:rsidRPr="00884F51">
              <w:t>651/2014 59.</w:t>
            </w:r>
            <w:r w:rsidR="00DD6A59">
              <w:t> </w:t>
            </w:r>
            <w:r w:rsidRPr="00884F51">
              <w:t>pants</w:t>
            </w:r>
          </w:p>
          <w:p w14:paraId="102014BB" w14:textId="77777777" w:rsidR="00200F64" w:rsidRPr="00884F51" w:rsidRDefault="00200F64" w:rsidP="00200F64">
            <w:pPr>
              <w:rPr>
                <w:highlight w:val="yellow"/>
              </w:rPr>
            </w:pP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39C8032E" w14:textId="2C300E2D" w:rsidR="00200F64" w:rsidRPr="00884F51" w:rsidRDefault="00200F64" w:rsidP="00200F64">
            <w:r w:rsidRPr="00884F51">
              <w:t>Noteikumu projekta 1.</w:t>
            </w:r>
            <w:r w:rsidR="0028604F">
              <w:t>1</w:t>
            </w:r>
            <w:r w:rsidRPr="00884F51">
              <w:t>5.</w:t>
            </w:r>
            <w:r w:rsidR="00DD6A59">
              <w:t> </w:t>
            </w:r>
            <w:r w:rsidRPr="00884F51">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492ECCDC" w14:textId="48FCAE9A" w:rsidR="00200F64" w:rsidRPr="00884F51" w:rsidRDefault="00200F64" w:rsidP="00200F64">
            <w:r w:rsidRPr="00884F51">
              <w:t>Komisijas regulas Nr.</w:t>
            </w:r>
            <w:r w:rsidR="00DD6A59">
              <w:t> </w:t>
            </w:r>
            <w:r w:rsidRPr="00884F51">
              <w:t>651/2014 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2375E2E6" w14:textId="77777777" w:rsidR="00200F64" w:rsidRPr="00884F51" w:rsidRDefault="00200F64" w:rsidP="00200F64">
            <w:r w:rsidRPr="00884F51">
              <w:t>Noteikumu projekts neparedz stingrākas prasības kā šīs tabulas A ailē minētās ES tiesību akta vienības.</w:t>
            </w:r>
          </w:p>
        </w:tc>
      </w:tr>
      <w:tr w:rsidR="00886E49" w:rsidRPr="00884F51" w14:paraId="4D467AC1" w14:textId="77777777" w:rsidTr="0053749E">
        <w:tc>
          <w:tcPr>
            <w:tcW w:w="1232" w:type="pct"/>
            <w:tcBorders>
              <w:top w:val="single" w:sz="4" w:space="0" w:color="auto"/>
              <w:left w:val="single" w:sz="4" w:space="0" w:color="auto"/>
              <w:bottom w:val="single" w:sz="4" w:space="0" w:color="auto"/>
              <w:right w:val="single" w:sz="4" w:space="0" w:color="auto"/>
            </w:tcBorders>
            <w:shd w:val="clear" w:color="auto" w:fill="auto"/>
          </w:tcPr>
          <w:p w14:paraId="369CFD68" w14:textId="32DD01C0" w:rsidR="00886E49" w:rsidRDefault="00886E49" w:rsidP="00886E49">
            <w:r>
              <w:t>regulas Nr.</w:t>
            </w:r>
            <w:r w:rsidR="00DD6A59">
              <w:t> </w:t>
            </w:r>
            <w:r>
              <w:t>794/2004</w:t>
            </w:r>
          </w:p>
          <w:p w14:paraId="2D09A0AF" w14:textId="1A0A60DC" w:rsidR="00886E49" w:rsidRPr="00884F51" w:rsidRDefault="00886E49" w:rsidP="00886E49">
            <w:r>
              <w:t>10.</w:t>
            </w:r>
            <w:r w:rsidR="00DD6A59">
              <w:t> </w:t>
            </w:r>
            <w:r>
              <w:t>pants</w:t>
            </w:r>
          </w:p>
        </w:tc>
        <w:tc>
          <w:tcPr>
            <w:tcW w:w="1230" w:type="pct"/>
            <w:tcBorders>
              <w:top w:val="single" w:sz="4" w:space="0" w:color="auto"/>
              <w:left w:val="single" w:sz="4" w:space="0" w:color="auto"/>
              <w:bottom w:val="single" w:sz="4" w:space="0" w:color="auto"/>
              <w:right w:val="single" w:sz="4" w:space="0" w:color="auto"/>
            </w:tcBorders>
            <w:shd w:val="clear" w:color="auto" w:fill="auto"/>
          </w:tcPr>
          <w:p w14:paraId="65661524" w14:textId="41FDF3C9" w:rsidR="00886E49" w:rsidRPr="00884F51" w:rsidRDefault="00886E49" w:rsidP="00886E49">
            <w:r>
              <w:t>Noteikumu projekta 1.</w:t>
            </w:r>
            <w:r w:rsidR="0028604F">
              <w:t>1</w:t>
            </w:r>
            <w:r>
              <w:t>5.</w:t>
            </w:r>
            <w:r w:rsidR="00DD6A59">
              <w:t> </w:t>
            </w:r>
            <w:r>
              <w:t>apakšpunkts</w:t>
            </w:r>
          </w:p>
        </w:tc>
        <w:tc>
          <w:tcPr>
            <w:tcW w:w="1230" w:type="pct"/>
            <w:gridSpan w:val="2"/>
            <w:tcBorders>
              <w:top w:val="single" w:sz="4" w:space="0" w:color="auto"/>
              <w:left w:val="single" w:sz="4" w:space="0" w:color="auto"/>
              <w:bottom w:val="single" w:sz="4" w:space="0" w:color="auto"/>
              <w:right w:val="single" w:sz="4" w:space="0" w:color="auto"/>
            </w:tcBorders>
            <w:shd w:val="clear" w:color="auto" w:fill="auto"/>
          </w:tcPr>
          <w:p w14:paraId="1845EF6E" w14:textId="12062A93" w:rsidR="00886E49" w:rsidRPr="00884F51" w:rsidRDefault="00886E49" w:rsidP="00886E49">
            <w:r w:rsidRPr="00884F51">
              <w:t>Komisijas regulas Nr.</w:t>
            </w:r>
            <w:r w:rsidR="00DD6A59">
              <w:t> </w:t>
            </w:r>
            <w:r>
              <w:t>794</w:t>
            </w:r>
            <w:r w:rsidRPr="00884F51">
              <w:t>/20</w:t>
            </w:r>
            <w:r>
              <w:t>0</w:t>
            </w:r>
            <w:r w:rsidRPr="00884F51">
              <w:t>4 prasības tiek ieviestas pilnībā.</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DFF1146" w14:textId="43D6372B" w:rsidR="00886E49" w:rsidRPr="00884F51" w:rsidRDefault="00886E49" w:rsidP="00886E49">
            <w:r w:rsidRPr="00884F51">
              <w:t>Noteikumu projekts neparedz stingrākas prasības kā šīs tabulas A ailē minētās ES tiesību akta vienības.</w:t>
            </w:r>
          </w:p>
        </w:tc>
      </w:tr>
      <w:tr w:rsidR="00886E49" w:rsidRPr="00884F51" w14:paraId="270AE378" w14:textId="77777777" w:rsidTr="007B6927">
        <w:tc>
          <w:tcPr>
            <w:tcW w:w="1232" w:type="pct"/>
            <w:shd w:val="clear" w:color="auto" w:fill="auto"/>
            <w:hideMark/>
          </w:tcPr>
          <w:p w14:paraId="7B9037D4" w14:textId="77777777" w:rsidR="00886E49" w:rsidRPr="00884F51" w:rsidRDefault="00886E49" w:rsidP="00886E49">
            <w:r w:rsidRPr="00884F51">
              <w:t>Kā ir izmantota ES tiesību aktā paredzētā rīcības brīvība dalībvalstij pārņemt vai ieviest noteiktas ES tiesību akta normas? Kādēļ?</w:t>
            </w:r>
          </w:p>
        </w:tc>
        <w:tc>
          <w:tcPr>
            <w:tcW w:w="3768" w:type="pct"/>
            <w:gridSpan w:val="4"/>
            <w:shd w:val="clear" w:color="auto" w:fill="auto"/>
            <w:hideMark/>
          </w:tcPr>
          <w:p w14:paraId="66BACB01" w14:textId="77777777" w:rsidR="00886E49" w:rsidRPr="00884F51" w:rsidRDefault="00886E49" w:rsidP="00886E49">
            <w:r w:rsidRPr="00884F51">
              <w:t>Projekts šo jomu neskar.</w:t>
            </w:r>
          </w:p>
        </w:tc>
      </w:tr>
      <w:tr w:rsidR="00886E49" w:rsidRPr="00884F51" w14:paraId="42E739C1" w14:textId="77777777" w:rsidTr="007B6927">
        <w:tc>
          <w:tcPr>
            <w:tcW w:w="1232" w:type="pct"/>
            <w:shd w:val="clear" w:color="auto" w:fill="auto"/>
            <w:hideMark/>
          </w:tcPr>
          <w:p w14:paraId="67C540F7" w14:textId="77777777" w:rsidR="00886E49" w:rsidRPr="00884F51" w:rsidRDefault="00886E49" w:rsidP="00886E49">
            <w:r w:rsidRPr="00884F51">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68" w:type="pct"/>
            <w:gridSpan w:val="4"/>
            <w:shd w:val="clear" w:color="auto" w:fill="auto"/>
            <w:hideMark/>
          </w:tcPr>
          <w:p w14:paraId="155A43C9" w14:textId="77777777" w:rsidR="00886E49" w:rsidRPr="00884F51" w:rsidRDefault="00886E49" w:rsidP="00886E49">
            <w:r w:rsidRPr="00884F51">
              <w:t>Projekts šo jomu neskar.</w:t>
            </w:r>
          </w:p>
        </w:tc>
      </w:tr>
      <w:tr w:rsidR="00886E49" w:rsidRPr="00884F51" w14:paraId="3675D788" w14:textId="77777777" w:rsidTr="007B6927">
        <w:tc>
          <w:tcPr>
            <w:tcW w:w="1232" w:type="pct"/>
            <w:shd w:val="clear" w:color="auto" w:fill="auto"/>
            <w:hideMark/>
          </w:tcPr>
          <w:p w14:paraId="3B9F82BF" w14:textId="77777777" w:rsidR="00886E49" w:rsidRPr="00884F51" w:rsidRDefault="00886E49" w:rsidP="00886E49">
            <w:r w:rsidRPr="00884F51">
              <w:t>Cita informācija</w:t>
            </w:r>
          </w:p>
        </w:tc>
        <w:tc>
          <w:tcPr>
            <w:tcW w:w="3768" w:type="pct"/>
            <w:gridSpan w:val="4"/>
            <w:shd w:val="clear" w:color="auto" w:fill="auto"/>
            <w:hideMark/>
          </w:tcPr>
          <w:p w14:paraId="7167A6DC" w14:textId="77777777" w:rsidR="00886E49" w:rsidRPr="00884F51" w:rsidRDefault="00886E49" w:rsidP="00886E49">
            <w:r w:rsidRPr="00884F51">
              <w:t>Nav.</w:t>
            </w:r>
          </w:p>
          <w:p w14:paraId="30793F15" w14:textId="77777777" w:rsidR="00886E49" w:rsidRPr="00884F51" w:rsidRDefault="00886E49" w:rsidP="00886E49"/>
        </w:tc>
      </w:tr>
      <w:tr w:rsidR="00886E49" w:rsidRPr="00884F51" w14:paraId="0BF5910F" w14:textId="77777777" w:rsidTr="007B6927">
        <w:tc>
          <w:tcPr>
            <w:tcW w:w="5000" w:type="pct"/>
            <w:gridSpan w:val="5"/>
            <w:shd w:val="clear" w:color="auto" w:fill="auto"/>
            <w:hideMark/>
          </w:tcPr>
          <w:p w14:paraId="61DA3A25" w14:textId="77777777" w:rsidR="00886E49" w:rsidRPr="00884F51" w:rsidRDefault="00886E49" w:rsidP="00886E49">
            <w:pPr>
              <w:jc w:val="center"/>
              <w:rPr>
                <w:b/>
                <w:bCs/>
              </w:rPr>
            </w:pPr>
            <w:r w:rsidRPr="00884F51">
              <w:rPr>
                <w:b/>
                <w:bCs/>
              </w:rPr>
              <w:t>2. tabula</w:t>
            </w:r>
            <w:r w:rsidRPr="00884F51">
              <w:rPr>
                <w:b/>
                <w:bCs/>
              </w:rPr>
              <w:br/>
              <w:t>Ar tiesību akta projektu izpildītās vai uzņemtās saistības, kas izriet no starptautiskajiem tiesību aktiem vai starptautiskas institūcijas vai organizācijas dokumentiem.</w:t>
            </w:r>
            <w:r w:rsidRPr="00884F51">
              <w:rPr>
                <w:b/>
                <w:bCs/>
              </w:rPr>
              <w:br/>
              <w:t>Pasākumi šo saistību izpildei</w:t>
            </w:r>
          </w:p>
        </w:tc>
      </w:tr>
      <w:tr w:rsidR="00886E49" w:rsidRPr="00884F51" w14:paraId="760C95C1" w14:textId="77777777" w:rsidTr="007B6927">
        <w:tc>
          <w:tcPr>
            <w:tcW w:w="1232" w:type="pct"/>
            <w:shd w:val="clear" w:color="auto" w:fill="auto"/>
            <w:hideMark/>
          </w:tcPr>
          <w:p w14:paraId="66CAAA57" w14:textId="77777777" w:rsidR="00886E49" w:rsidRPr="00884F51" w:rsidRDefault="00886E49" w:rsidP="00886E49">
            <w:r w:rsidRPr="00884F51">
              <w:t xml:space="preserve">Attiecīgā starptautiskā tiesību akta vai starptautiskas institūcijas vai organizācijas dokumenta (turpmāk – starptautiskais dokuments) datums, </w:t>
            </w:r>
            <w:r w:rsidRPr="00884F51">
              <w:lastRenderedPageBreak/>
              <w:t>numurs un nosaukums</w:t>
            </w:r>
          </w:p>
        </w:tc>
        <w:tc>
          <w:tcPr>
            <w:tcW w:w="3768" w:type="pct"/>
            <w:gridSpan w:val="4"/>
            <w:shd w:val="clear" w:color="auto" w:fill="auto"/>
            <w:hideMark/>
          </w:tcPr>
          <w:p w14:paraId="07F5A6CC" w14:textId="77777777" w:rsidR="00886E49" w:rsidRPr="00884F51" w:rsidRDefault="00886E49" w:rsidP="00886E49">
            <w:r w:rsidRPr="00884F51">
              <w:lastRenderedPageBreak/>
              <w:t>Projekts šo jomu neskar.</w:t>
            </w:r>
          </w:p>
        </w:tc>
      </w:tr>
      <w:tr w:rsidR="00886E49" w:rsidRPr="00884F51" w14:paraId="0C38F5C1" w14:textId="77777777" w:rsidTr="0053749E">
        <w:tc>
          <w:tcPr>
            <w:tcW w:w="1232" w:type="pct"/>
            <w:shd w:val="clear" w:color="auto" w:fill="auto"/>
            <w:hideMark/>
          </w:tcPr>
          <w:p w14:paraId="5BDA0F6A" w14:textId="77777777" w:rsidR="00886E49" w:rsidRPr="00884F51" w:rsidRDefault="00886E49" w:rsidP="00886E49">
            <w:r w:rsidRPr="00884F51">
              <w:t>A</w:t>
            </w:r>
          </w:p>
        </w:tc>
        <w:tc>
          <w:tcPr>
            <w:tcW w:w="1771" w:type="pct"/>
            <w:gridSpan w:val="2"/>
            <w:shd w:val="clear" w:color="auto" w:fill="auto"/>
            <w:hideMark/>
          </w:tcPr>
          <w:p w14:paraId="578E2A8D" w14:textId="77777777" w:rsidR="00886E49" w:rsidRPr="00884F51" w:rsidRDefault="00886E49" w:rsidP="00886E49">
            <w:r w:rsidRPr="00884F51">
              <w:t>B</w:t>
            </w:r>
          </w:p>
        </w:tc>
        <w:tc>
          <w:tcPr>
            <w:tcW w:w="1997" w:type="pct"/>
            <w:gridSpan w:val="2"/>
            <w:shd w:val="clear" w:color="auto" w:fill="auto"/>
            <w:hideMark/>
          </w:tcPr>
          <w:p w14:paraId="04034349" w14:textId="77777777" w:rsidR="00886E49" w:rsidRPr="00884F51" w:rsidRDefault="00886E49" w:rsidP="00886E49">
            <w:r w:rsidRPr="00884F51">
              <w:t>C</w:t>
            </w:r>
          </w:p>
        </w:tc>
      </w:tr>
      <w:tr w:rsidR="00886E49" w:rsidRPr="00884F51" w14:paraId="7F3AFC6A" w14:textId="77777777" w:rsidTr="0053749E">
        <w:tc>
          <w:tcPr>
            <w:tcW w:w="1232" w:type="pct"/>
            <w:shd w:val="clear" w:color="auto" w:fill="auto"/>
            <w:hideMark/>
          </w:tcPr>
          <w:p w14:paraId="0038A35E" w14:textId="77777777" w:rsidR="00886E49" w:rsidRPr="00884F51" w:rsidRDefault="00886E49" w:rsidP="00886E49">
            <w:r w:rsidRPr="00884F51">
              <w:t>Projekts šo jomu neskar.</w:t>
            </w:r>
          </w:p>
        </w:tc>
        <w:tc>
          <w:tcPr>
            <w:tcW w:w="1771" w:type="pct"/>
            <w:gridSpan w:val="2"/>
            <w:shd w:val="clear" w:color="auto" w:fill="auto"/>
            <w:hideMark/>
          </w:tcPr>
          <w:p w14:paraId="17DFEDBF" w14:textId="77777777" w:rsidR="00886E49" w:rsidRPr="00884F51" w:rsidRDefault="00886E49" w:rsidP="00886E49">
            <w:r w:rsidRPr="00884F51">
              <w:t>Projekts šo jomu neskar.</w:t>
            </w:r>
          </w:p>
        </w:tc>
        <w:tc>
          <w:tcPr>
            <w:tcW w:w="1997" w:type="pct"/>
            <w:gridSpan w:val="2"/>
            <w:shd w:val="clear" w:color="auto" w:fill="auto"/>
            <w:hideMark/>
          </w:tcPr>
          <w:p w14:paraId="04B06C64" w14:textId="77777777" w:rsidR="00886E49" w:rsidRPr="00884F51" w:rsidRDefault="00886E49" w:rsidP="00886E49">
            <w:r w:rsidRPr="00884F51">
              <w:t>Projekts šo jomu neskar.</w:t>
            </w:r>
          </w:p>
        </w:tc>
      </w:tr>
      <w:tr w:rsidR="00886E49" w:rsidRPr="00884F51" w14:paraId="18B1F78F" w14:textId="77777777" w:rsidTr="007B6927">
        <w:tc>
          <w:tcPr>
            <w:tcW w:w="1232" w:type="pct"/>
            <w:shd w:val="clear" w:color="auto" w:fill="auto"/>
            <w:hideMark/>
          </w:tcPr>
          <w:p w14:paraId="14F27AD5" w14:textId="77777777" w:rsidR="00886E49" w:rsidRPr="00884F51" w:rsidRDefault="00886E49" w:rsidP="00886E49">
            <w:r w:rsidRPr="00884F51">
              <w:t>Vai starptautiskajā dokumentā paredzētās saistības nav pretrunā ar jau esošajām Latvijas Republikas starptautiskajām saistībām</w:t>
            </w:r>
          </w:p>
        </w:tc>
        <w:tc>
          <w:tcPr>
            <w:tcW w:w="3768" w:type="pct"/>
            <w:gridSpan w:val="4"/>
            <w:shd w:val="clear" w:color="auto" w:fill="auto"/>
            <w:hideMark/>
          </w:tcPr>
          <w:p w14:paraId="355F00E4" w14:textId="77777777" w:rsidR="00886E49" w:rsidRPr="00884F51" w:rsidRDefault="00886E49" w:rsidP="00886E49">
            <w:r w:rsidRPr="00884F51">
              <w:t>Projekts šo jomu neskar.</w:t>
            </w:r>
          </w:p>
        </w:tc>
      </w:tr>
      <w:tr w:rsidR="00886E49" w:rsidRPr="00884F51" w14:paraId="0113179C" w14:textId="77777777" w:rsidTr="007B6927">
        <w:tc>
          <w:tcPr>
            <w:tcW w:w="1232" w:type="pct"/>
            <w:shd w:val="clear" w:color="auto" w:fill="auto"/>
            <w:hideMark/>
          </w:tcPr>
          <w:p w14:paraId="7E72DC6C" w14:textId="77777777" w:rsidR="00886E49" w:rsidRPr="00884F51" w:rsidRDefault="00886E49" w:rsidP="00886E49">
            <w:r w:rsidRPr="00884F51">
              <w:t>Cita informācija</w:t>
            </w:r>
          </w:p>
        </w:tc>
        <w:tc>
          <w:tcPr>
            <w:tcW w:w="3768" w:type="pct"/>
            <w:gridSpan w:val="4"/>
            <w:shd w:val="clear" w:color="auto" w:fill="auto"/>
            <w:hideMark/>
          </w:tcPr>
          <w:p w14:paraId="27F67C2F" w14:textId="77777777" w:rsidR="00886E49" w:rsidRDefault="00886E49" w:rsidP="00886E49">
            <w:pPr>
              <w:ind w:right="113" w:firstLine="386"/>
              <w:jc w:val="both"/>
              <w:rPr>
                <w:color w:val="000000"/>
              </w:rPr>
            </w:pPr>
            <w:r w:rsidRPr="00884F51">
              <w:rPr>
                <w:color w:val="000000"/>
              </w:rPr>
              <w:t>20 darba dienu laikā pēc Ministru kabineta noteikumu spēkā stāšanās Finanšu ministrija, izmantojot Komisijas elektroniskās paziņošanas sistēmu, sniegs kopsavilkuma informāciju Eiropas Komisijai saskaņā ar Komisijas regulas Nr.</w:t>
            </w:r>
            <w:r w:rsidR="00DD6A59">
              <w:rPr>
                <w:color w:val="000000"/>
              </w:rPr>
              <w:t> </w:t>
            </w:r>
            <w:r w:rsidRPr="00884F51">
              <w:rPr>
                <w:color w:val="000000"/>
              </w:rPr>
              <w:t>651/2014 11.pantu.</w:t>
            </w:r>
          </w:p>
          <w:p w14:paraId="177F1346" w14:textId="3D66B33A" w:rsidR="008E0FE8" w:rsidRPr="00884F51" w:rsidRDefault="008E0FE8" w:rsidP="00886E49">
            <w:pPr>
              <w:ind w:right="113" w:firstLine="386"/>
              <w:jc w:val="both"/>
              <w:rPr>
                <w:rFonts w:eastAsiaTheme="minorHAnsi"/>
                <w:sz w:val="22"/>
              </w:rPr>
            </w:pPr>
          </w:p>
        </w:tc>
      </w:tr>
    </w:tbl>
    <w:p w14:paraId="547D7178" w14:textId="77777777" w:rsidR="00441730" w:rsidRPr="00884F51" w:rsidRDefault="00441730" w:rsidP="00441730"/>
    <w:tbl>
      <w:tblPr>
        <w:tblW w:w="5067" w:type="pct"/>
        <w:tblInd w:w="-8"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461"/>
        <w:gridCol w:w="3371"/>
        <w:gridCol w:w="5344"/>
      </w:tblGrid>
      <w:tr w:rsidR="00032C63" w:rsidRPr="00884F51" w14:paraId="4D40BDC9" w14:textId="77777777" w:rsidTr="007B6927">
        <w:tc>
          <w:tcPr>
            <w:tcW w:w="5000" w:type="pct"/>
            <w:gridSpan w:val="3"/>
            <w:tcBorders>
              <w:top w:val="single" w:sz="6" w:space="0" w:color="auto"/>
              <w:left w:val="single" w:sz="6" w:space="0" w:color="auto"/>
              <w:bottom w:val="single" w:sz="6" w:space="0" w:color="auto"/>
              <w:right w:val="single" w:sz="6" w:space="0" w:color="auto"/>
            </w:tcBorders>
            <w:hideMark/>
          </w:tcPr>
          <w:p w14:paraId="6B76F277" w14:textId="77777777" w:rsidR="00032C63" w:rsidRPr="00884F51" w:rsidRDefault="00BB389E" w:rsidP="00913C1A">
            <w:pPr>
              <w:tabs>
                <w:tab w:val="center" w:pos="4648"/>
                <w:tab w:val="left" w:pos="8395"/>
              </w:tabs>
              <w:spacing w:before="100" w:beforeAutospacing="1" w:after="100" w:afterAutospacing="1"/>
              <w:rPr>
                <w:b/>
                <w:bCs/>
              </w:rPr>
            </w:pPr>
            <w:r w:rsidRPr="00884F51">
              <w:rPr>
                <w:b/>
                <w:bCs/>
              </w:rPr>
              <w:tab/>
            </w:r>
            <w:r w:rsidR="00032C63" w:rsidRPr="00884F51">
              <w:rPr>
                <w:b/>
                <w:bCs/>
              </w:rPr>
              <w:t>V</w:t>
            </w:r>
            <w:r w:rsidR="00EF06E7" w:rsidRPr="00884F51">
              <w:rPr>
                <w:b/>
                <w:bCs/>
              </w:rPr>
              <w:t>I</w:t>
            </w:r>
            <w:r w:rsidR="00032C63" w:rsidRPr="00884F51">
              <w:rPr>
                <w:b/>
                <w:bCs/>
              </w:rPr>
              <w:t xml:space="preserve">. </w:t>
            </w:r>
            <w:r w:rsidR="00EF06E7" w:rsidRPr="00884F51">
              <w:rPr>
                <w:b/>
                <w:bCs/>
              </w:rPr>
              <w:t>Sabiedrības līdzdalība un komunikācijas aktivitātes</w:t>
            </w:r>
            <w:r w:rsidRPr="00884F51">
              <w:rPr>
                <w:b/>
                <w:bCs/>
              </w:rPr>
              <w:tab/>
            </w:r>
          </w:p>
        </w:tc>
      </w:tr>
      <w:tr w:rsidR="008D06E4" w:rsidRPr="00884F51" w14:paraId="092BCA33" w14:textId="77777777" w:rsidTr="007B6927">
        <w:tc>
          <w:tcPr>
            <w:tcW w:w="251" w:type="pct"/>
            <w:tcBorders>
              <w:top w:val="single" w:sz="6" w:space="0" w:color="auto"/>
              <w:left w:val="single" w:sz="6" w:space="0" w:color="auto"/>
              <w:bottom w:val="single" w:sz="6" w:space="0" w:color="auto"/>
              <w:right w:val="single" w:sz="4" w:space="0" w:color="auto"/>
            </w:tcBorders>
          </w:tcPr>
          <w:p w14:paraId="47BD99EA" w14:textId="77777777" w:rsidR="008D06E4" w:rsidRPr="00884F51" w:rsidRDefault="008D06E4" w:rsidP="00032C63">
            <w:pPr>
              <w:spacing w:before="100" w:beforeAutospacing="1" w:after="100" w:afterAutospacing="1"/>
              <w:jc w:val="center"/>
              <w:rPr>
                <w:bCs/>
              </w:rPr>
            </w:pPr>
            <w:r w:rsidRPr="00884F51">
              <w:rPr>
                <w:bCs/>
              </w:rPr>
              <w:t>1.</w:t>
            </w:r>
          </w:p>
        </w:tc>
        <w:tc>
          <w:tcPr>
            <w:tcW w:w="1837" w:type="pct"/>
            <w:tcBorders>
              <w:top w:val="single" w:sz="6" w:space="0" w:color="auto"/>
              <w:left w:val="single" w:sz="4" w:space="0" w:color="auto"/>
              <w:bottom w:val="single" w:sz="6" w:space="0" w:color="auto"/>
              <w:right w:val="single" w:sz="4" w:space="0" w:color="auto"/>
            </w:tcBorders>
          </w:tcPr>
          <w:p w14:paraId="4FC6944D" w14:textId="77777777" w:rsidR="008D06E4" w:rsidRPr="00884F51" w:rsidRDefault="00EF06E7" w:rsidP="00A274A7">
            <w:pPr>
              <w:spacing w:before="100" w:beforeAutospacing="1" w:after="100" w:afterAutospacing="1"/>
              <w:ind w:right="-31"/>
              <w:rPr>
                <w:bCs/>
              </w:rPr>
            </w:pPr>
            <w:r w:rsidRPr="00884F51">
              <w:rPr>
                <w:bCs/>
              </w:rPr>
              <w:t>Plānotās sabiedrības līdzdalības un komunikācijas aktivitātes saistībā ar projektu</w:t>
            </w:r>
          </w:p>
        </w:tc>
        <w:tc>
          <w:tcPr>
            <w:tcW w:w="2911" w:type="pct"/>
            <w:tcBorders>
              <w:top w:val="single" w:sz="6" w:space="0" w:color="auto"/>
              <w:left w:val="single" w:sz="4" w:space="0" w:color="auto"/>
              <w:bottom w:val="single" w:sz="6" w:space="0" w:color="auto"/>
              <w:right w:val="single" w:sz="6" w:space="0" w:color="auto"/>
            </w:tcBorders>
          </w:tcPr>
          <w:p w14:paraId="10343633" w14:textId="521BFE89" w:rsidR="002716A4" w:rsidRPr="005C7897" w:rsidRDefault="00C0264C" w:rsidP="00593DD2">
            <w:pPr>
              <w:pStyle w:val="NormalWeb"/>
              <w:spacing w:before="0" w:beforeAutospacing="0" w:after="0" w:afterAutospacing="0"/>
              <w:jc w:val="both"/>
            </w:pPr>
            <w:r w:rsidRPr="005C7897">
              <w:t>Sabiedrības līdzdalība nav nepieciešama, jo noteikumu projekts ir tehniska rakstura, kas izriet no likum</w:t>
            </w:r>
            <w:r w:rsidR="009B3F10" w:rsidRPr="005C7897">
              <w:t>a</w:t>
            </w:r>
            <w:r w:rsidRPr="005C7897">
              <w:t xml:space="preserve"> "Par akcīzes nodokli</w:t>
            </w:r>
            <w:r w:rsidR="00593DD2" w:rsidRPr="005C7897">
              <w:t>”</w:t>
            </w:r>
            <w:r w:rsidR="00562169" w:rsidRPr="005C7897">
              <w:t xml:space="preserve"> (</w:t>
            </w:r>
            <w:r w:rsidR="009B3F10" w:rsidRPr="005C7897">
              <w:t xml:space="preserve">Saeimā </w:t>
            </w:r>
            <w:proofErr w:type="spellStart"/>
            <w:r w:rsidR="009B3F10" w:rsidRPr="005C7897">
              <w:t>reģ</w:t>
            </w:r>
            <w:proofErr w:type="spellEnd"/>
            <w:r w:rsidR="009B3F10" w:rsidRPr="005C7897">
              <w:t xml:space="preserve">. </w:t>
            </w:r>
            <w:r w:rsidR="00562169" w:rsidRPr="005C7897">
              <w:t>Nr.</w:t>
            </w:r>
            <w:r w:rsidR="00DD6A59">
              <w:t> </w:t>
            </w:r>
            <w:r w:rsidR="00562169" w:rsidRPr="005C7897">
              <w:t>266/Lp13)</w:t>
            </w:r>
            <w:r w:rsidRPr="005C7897">
              <w:t>, pa</w:t>
            </w:r>
            <w:r w:rsidR="00593DD2" w:rsidRPr="005C7897">
              <w:t>r</w:t>
            </w:r>
            <w:r w:rsidRPr="005C7897">
              <w:t xml:space="preserve"> kuru bija izsludināta sabiedriskā apspriešana</w:t>
            </w:r>
            <w:r w:rsidR="00562169" w:rsidRPr="005C7897">
              <w:t xml:space="preserve"> un komentāri netika saņemti</w:t>
            </w:r>
            <w:r w:rsidRPr="005C7897">
              <w:t xml:space="preserve">. </w:t>
            </w:r>
          </w:p>
          <w:p w14:paraId="3E100F67" w14:textId="2A47E4BB" w:rsidR="008E0FE8" w:rsidRPr="005C7897" w:rsidRDefault="005F54C7" w:rsidP="00593DD2">
            <w:pPr>
              <w:pStyle w:val="NormalWeb"/>
              <w:spacing w:before="0" w:beforeAutospacing="0" w:after="0" w:afterAutospacing="0"/>
              <w:jc w:val="both"/>
            </w:pPr>
            <w:r w:rsidRPr="005C7897">
              <w:t xml:space="preserve">Sabiedrības pārstāvji varēs sniegt viedokļus par projektu pēc tā </w:t>
            </w:r>
            <w:proofErr w:type="spellStart"/>
            <w:r w:rsidRPr="005C7897">
              <w:t>izsludināšnas</w:t>
            </w:r>
            <w:proofErr w:type="spellEnd"/>
            <w:r w:rsidRPr="005C7897">
              <w:t xml:space="preserve"> Valsts sekretāru sanāksmē.</w:t>
            </w:r>
          </w:p>
        </w:tc>
      </w:tr>
      <w:tr w:rsidR="008D06E4" w:rsidRPr="00884F51" w14:paraId="3888BC98" w14:textId="77777777" w:rsidTr="007B6927">
        <w:tc>
          <w:tcPr>
            <w:tcW w:w="251" w:type="pct"/>
            <w:tcBorders>
              <w:top w:val="single" w:sz="6" w:space="0" w:color="auto"/>
              <w:left w:val="single" w:sz="6" w:space="0" w:color="auto"/>
              <w:bottom w:val="single" w:sz="6" w:space="0" w:color="auto"/>
              <w:right w:val="single" w:sz="4" w:space="0" w:color="auto"/>
            </w:tcBorders>
          </w:tcPr>
          <w:p w14:paraId="6FF8A997" w14:textId="77777777" w:rsidR="008D06E4" w:rsidRPr="00884F51" w:rsidRDefault="0085794A" w:rsidP="00AA1306">
            <w:pPr>
              <w:spacing w:before="100" w:beforeAutospacing="1" w:after="100" w:afterAutospacing="1"/>
              <w:jc w:val="center"/>
              <w:rPr>
                <w:bCs/>
                <w:color w:val="000000"/>
              </w:rPr>
            </w:pPr>
            <w:r w:rsidRPr="00884F51">
              <w:rPr>
                <w:bCs/>
                <w:color w:val="000000"/>
              </w:rPr>
              <w:t>2.</w:t>
            </w:r>
          </w:p>
        </w:tc>
        <w:tc>
          <w:tcPr>
            <w:tcW w:w="1837" w:type="pct"/>
            <w:tcBorders>
              <w:top w:val="single" w:sz="6" w:space="0" w:color="auto"/>
              <w:left w:val="single" w:sz="4" w:space="0" w:color="auto"/>
              <w:bottom w:val="single" w:sz="6" w:space="0" w:color="auto"/>
              <w:right w:val="single" w:sz="4" w:space="0" w:color="auto"/>
            </w:tcBorders>
          </w:tcPr>
          <w:p w14:paraId="318F065C" w14:textId="77777777" w:rsidR="008D06E4" w:rsidRPr="00884F51" w:rsidRDefault="00EF06E7" w:rsidP="00A274A7">
            <w:pPr>
              <w:spacing w:before="100" w:beforeAutospacing="1" w:after="100" w:afterAutospacing="1"/>
              <w:ind w:right="-31"/>
              <w:rPr>
                <w:bCs/>
                <w:color w:val="000000"/>
              </w:rPr>
            </w:pPr>
            <w:r w:rsidRPr="00884F51">
              <w:rPr>
                <w:bCs/>
                <w:color w:val="000000"/>
              </w:rPr>
              <w:t>Sabiedrības līdzdalība projekta izstrādē</w:t>
            </w:r>
          </w:p>
        </w:tc>
        <w:tc>
          <w:tcPr>
            <w:tcW w:w="2911" w:type="pct"/>
            <w:tcBorders>
              <w:top w:val="single" w:sz="6" w:space="0" w:color="auto"/>
              <w:left w:val="single" w:sz="4" w:space="0" w:color="auto"/>
              <w:bottom w:val="single" w:sz="6" w:space="0" w:color="auto"/>
              <w:right w:val="single" w:sz="6" w:space="0" w:color="auto"/>
            </w:tcBorders>
          </w:tcPr>
          <w:p w14:paraId="5FE6E915" w14:textId="57C35491" w:rsidR="008E0FE8" w:rsidRPr="005C7897" w:rsidRDefault="00562169">
            <w:pPr>
              <w:spacing w:before="100" w:beforeAutospacing="1" w:after="100" w:afterAutospacing="1"/>
              <w:ind w:right="113"/>
              <w:jc w:val="both"/>
            </w:pPr>
            <w:r w:rsidRPr="005C7897">
              <w:t>Sabiedrības līdzdalība tika nodrošināta, apspriežot groz</w:t>
            </w:r>
            <w:r w:rsidR="00593DD2" w:rsidRPr="005C7897">
              <w:t>īj</w:t>
            </w:r>
            <w:r w:rsidRPr="005C7897">
              <w:t>umus likumā “Par akcīzes nodokli”</w:t>
            </w:r>
            <w:r w:rsidR="009B3F10" w:rsidRPr="005C7897">
              <w:t xml:space="preserve"> (Saeimā </w:t>
            </w:r>
            <w:proofErr w:type="spellStart"/>
            <w:r w:rsidR="009B3F10" w:rsidRPr="005C7897">
              <w:t>reģ</w:t>
            </w:r>
            <w:proofErr w:type="spellEnd"/>
            <w:r w:rsidR="009B3F10" w:rsidRPr="005C7897">
              <w:t>. Nr.</w:t>
            </w:r>
            <w:r w:rsidR="00DD6A59">
              <w:t> </w:t>
            </w:r>
            <w:r w:rsidR="009B3F10" w:rsidRPr="005C7897">
              <w:t>266/Lp13), par ko u</w:t>
            </w:r>
            <w:r w:rsidRPr="005C7897">
              <w:t xml:space="preserve">zziņa bija publicēta </w:t>
            </w:r>
            <w:r w:rsidR="009B3F10" w:rsidRPr="005C7897">
              <w:t>Fina</w:t>
            </w:r>
            <w:r w:rsidR="00DD6A59">
              <w:t>n</w:t>
            </w:r>
            <w:r w:rsidR="009B3F10" w:rsidRPr="005C7897">
              <w:t xml:space="preserve">šu ministrijas mājaslapā </w:t>
            </w:r>
            <w:r w:rsidRPr="005C7897">
              <w:t>2018.</w:t>
            </w:r>
            <w:r w:rsidR="00DD6A59">
              <w:t> </w:t>
            </w:r>
            <w:r w:rsidRPr="005C7897">
              <w:t>gada 30.</w:t>
            </w:r>
            <w:r w:rsidR="00DD6A59">
              <w:t> </w:t>
            </w:r>
            <w:r w:rsidRPr="005C7897">
              <w:t>novembrī.</w:t>
            </w:r>
            <w:r w:rsidR="00A64E0D">
              <w:t xml:space="preserve"> Atzinumus par noteikumu projektu sniedza Latvijas Pašvaldību savienība un Latvijas Brīvo arodbiedrību savienība.</w:t>
            </w:r>
          </w:p>
        </w:tc>
      </w:tr>
      <w:tr w:rsidR="00EF06E7" w:rsidRPr="00884F51" w14:paraId="2360A15B" w14:textId="77777777" w:rsidTr="007B6927">
        <w:tc>
          <w:tcPr>
            <w:tcW w:w="251" w:type="pct"/>
            <w:tcBorders>
              <w:top w:val="single" w:sz="6" w:space="0" w:color="auto"/>
              <w:left w:val="single" w:sz="6" w:space="0" w:color="auto"/>
              <w:bottom w:val="outset" w:sz="6" w:space="0" w:color="000000"/>
              <w:right w:val="single" w:sz="4" w:space="0" w:color="auto"/>
            </w:tcBorders>
          </w:tcPr>
          <w:p w14:paraId="70B7F79F" w14:textId="77777777" w:rsidR="00EF06E7" w:rsidRPr="00884F51" w:rsidRDefault="00EF06E7" w:rsidP="00AA1306">
            <w:pPr>
              <w:spacing w:before="100" w:beforeAutospacing="1" w:after="100" w:afterAutospacing="1"/>
              <w:jc w:val="center"/>
              <w:rPr>
                <w:bCs/>
                <w:color w:val="000000"/>
              </w:rPr>
            </w:pPr>
            <w:r w:rsidRPr="00884F51">
              <w:rPr>
                <w:bCs/>
                <w:color w:val="000000"/>
              </w:rPr>
              <w:t>3.</w:t>
            </w:r>
          </w:p>
        </w:tc>
        <w:tc>
          <w:tcPr>
            <w:tcW w:w="1837" w:type="pct"/>
            <w:tcBorders>
              <w:top w:val="single" w:sz="6" w:space="0" w:color="auto"/>
              <w:left w:val="single" w:sz="4" w:space="0" w:color="auto"/>
              <w:bottom w:val="outset" w:sz="6" w:space="0" w:color="000000"/>
              <w:right w:val="single" w:sz="4" w:space="0" w:color="auto"/>
            </w:tcBorders>
          </w:tcPr>
          <w:p w14:paraId="5CA377E2" w14:textId="77777777" w:rsidR="00EF06E7" w:rsidRPr="00884F51" w:rsidRDefault="00EF06E7" w:rsidP="00A274A7">
            <w:pPr>
              <w:spacing w:before="100" w:beforeAutospacing="1" w:after="100" w:afterAutospacing="1"/>
              <w:ind w:right="-31"/>
              <w:rPr>
                <w:bCs/>
                <w:color w:val="000000"/>
              </w:rPr>
            </w:pPr>
            <w:r w:rsidRPr="00884F51">
              <w:rPr>
                <w:bCs/>
                <w:color w:val="000000"/>
              </w:rPr>
              <w:t>Sabiedrības līdzdalības rezultāti</w:t>
            </w:r>
          </w:p>
        </w:tc>
        <w:tc>
          <w:tcPr>
            <w:tcW w:w="2911" w:type="pct"/>
            <w:tcBorders>
              <w:top w:val="single" w:sz="6" w:space="0" w:color="auto"/>
              <w:left w:val="single" w:sz="4" w:space="0" w:color="auto"/>
              <w:bottom w:val="outset" w:sz="6" w:space="0" w:color="000000"/>
              <w:right w:val="single" w:sz="6" w:space="0" w:color="auto"/>
            </w:tcBorders>
          </w:tcPr>
          <w:p w14:paraId="5BFA4A27" w14:textId="77777777" w:rsidR="004F0874" w:rsidRDefault="009B3F10" w:rsidP="00A64E0D">
            <w:pPr>
              <w:spacing w:before="100" w:beforeAutospacing="1"/>
              <w:ind w:right="113"/>
              <w:jc w:val="both"/>
            </w:pPr>
            <w:r w:rsidRPr="005C7897">
              <w:t xml:space="preserve">Par grozījumiem likumā “Par akcīzes nodokli” (Saeimā </w:t>
            </w:r>
            <w:proofErr w:type="spellStart"/>
            <w:r w:rsidRPr="005C7897">
              <w:t>reģ</w:t>
            </w:r>
            <w:proofErr w:type="spellEnd"/>
            <w:r w:rsidRPr="005C7897">
              <w:t>. Nr.</w:t>
            </w:r>
            <w:r w:rsidR="00DD6A59">
              <w:t> </w:t>
            </w:r>
            <w:r w:rsidRPr="005C7897">
              <w:t>266/Lp13) iebildumi un priekšlikumi netika saņemti.</w:t>
            </w:r>
          </w:p>
          <w:p w14:paraId="063B1350" w14:textId="65F5BD05" w:rsidR="008E0FE8" w:rsidRPr="005C7897" w:rsidRDefault="00A64E0D" w:rsidP="00A64E0D">
            <w:pPr>
              <w:spacing w:after="100" w:afterAutospacing="1"/>
              <w:ind w:right="113"/>
              <w:jc w:val="both"/>
            </w:pPr>
            <w:r>
              <w:t xml:space="preserve">Noteikumu projektu </w:t>
            </w:r>
            <w:r w:rsidRPr="00A64E0D">
              <w:t>Latvijas Pašvaldību savienība un Latvijas Brīvo arodbiedrību savienība</w:t>
            </w:r>
            <w:r>
              <w:t xml:space="preserve"> saskaņoja bez iebildumiem</w:t>
            </w:r>
            <w:r w:rsidRPr="00A64E0D">
              <w:t>.</w:t>
            </w:r>
          </w:p>
        </w:tc>
      </w:tr>
      <w:tr w:rsidR="00BC24BC" w:rsidRPr="00884F51" w14:paraId="69B6C1B3" w14:textId="77777777" w:rsidTr="007B6927">
        <w:tc>
          <w:tcPr>
            <w:tcW w:w="251" w:type="pct"/>
            <w:tcBorders>
              <w:top w:val="single" w:sz="6" w:space="0" w:color="auto"/>
              <w:left w:val="single" w:sz="6" w:space="0" w:color="auto"/>
              <w:bottom w:val="outset" w:sz="6" w:space="0" w:color="000000"/>
              <w:right w:val="single" w:sz="4" w:space="0" w:color="auto"/>
            </w:tcBorders>
          </w:tcPr>
          <w:p w14:paraId="4D1AE9DD" w14:textId="77777777" w:rsidR="00BC24BC" w:rsidRPr="00884F51" w:rsidRDefault="00EF06E7" w:rsidP="00AA1306">
            <w:pPr>
              <w:spacing w:before="100" w:beforeAutospacing="1" w:after="100" w:afterAutospacing="1"/>
              <w:jc w:val="center"/>
              <w:rPr>
                <w:bCs/>
                <w:color w:val="000000"/>
              </w:rPr>
            </w:pPr>
            <w:r w:rsidRPr="00884F51">
              <w:rPr>
                <w:bCs/>
                <w:color w:val="000000"/>
              </w:rPr>
              <w:t>4</w:t>
            </w:r>
            <w:r w:rsidR="00BC24BC" w:rsidRPr="00884F51">
              <w:rPr>
                <w:bCs/>
                <w:color w:val="000000"/>
              </w:rPr>
              <w:t>.</w:t>
            </w:r>
          </w:p>
        </w:tc>
        <w:tc>
          <w:tcPr>
            <w:tcW w:w="1837" w:type="pct"/>
            <w:tcBorders>
              <w:top w:val="single" w:sz="6" w:space="0" w:color="auto"/>
              <w:left w:val="single" w:sz="4" w:space="0" w:color="auto"/>
              <w:bottom w:val="outset" w:sz="6" w:space="0" w:color="000000"/>
              <w:right w:val="single" w:sz="4" w:space="0" w:color="auto"/>
            </w:tcBorders>
          </w:tcPr>
          <w:p w14:paraId="1C8A99E8" w14:textId="77777777" w:rsidR="00BC24BC" w:rsidRPr="00884F51" w:rsidRDefault="00BC24BC" w:rsidP="00EF06E7">
            <w:pPr>
              <w:spacing w:before="100" w:beforeAutospacing="1" w:after="100" w:afterAutospacing="1"/>
              <w:rPr>
                <w:bCs/>
                <w:color w:val="000000"/>
              </w:rPr>
            </w:pPr>
            <w:r w:rsidRPr="00884F51">
              <w:rPr>
                <w:bCs/>
                <w:color w:val="000000"/>
              </w:rPr>
              <w:t>Cita informācija</w:t>
            </w:r>
          </w:p>
        </w:tc>
        <w:tc>
          <w:tcPr>
            <w:tcW w:w="2911" w:type="pct"/>
            <w:tcBorders>
              <w:top w:val="single" w:sz="6" w:space="0" w:color="auto"/>
              <w:left w:val="single" w:sz="4" w:space="0" w:color="auto"/>
              <w:bottom w:val="outset" w:sz="6" w:space="0" w:color="000000"/>
              <w:right w:val="single" w:sz="6" w:space="0" w:color="auto"/>
            </w:tcBorders>
          </w:tcPr>
          <w:p w14:paraId="0C3F0BDD" w14:textId="77777777" w:rsidR="00BC24BC" w:rsidRPr="00884F51" w:rsidRDefault="00BC24BC" w:rsidP="00EF06E7">
            <w:pPr>
              <w:spacing w:before="100" w:beforeAutospacing="1" w:after="100" w:afterAutospacing="1"/>
            </w:pPr>
            <w:r w:rsidRPr="00884F51">
              <w:t>Nav</w:t>
            </w:r>
            <w:r w:rsidR="00E15B52" w:rsidRPr="00884F51">
              <w:t>.</w:t>
            </w:r>
          </w:p>
        </w:tc>
      </w:tr>
    </w:tbl>
    <w:p w14:paraId="2331D482" w14:textId="77777777" w:rsidR="00032C63" w:rsidRPr="00884F51" w:rsidRDefault="00032C63" w:rsidP="00032C63">
      <w:r w:rsidRPr="00884F51">
        <w:t> </w:t>
      </w:r>
    </w:p>
    <w:tbl>
      <w:tblPr>
        <w:tblW w:w="5140" w:type="pct"/>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9"/>
        <w:gridCol w:w="3344"/>
        <w:gridCol w:w="5476"/>
      </w:tblGrid>
      <w:tr w:rsidR="00032C63" w:rsidRPr="00884F51" w14:paraId="57A5AEA7" w14:textId="77777777" w:rsidTr="007B6927">
        <w:trPr>
          <w:trHeight w:val="288"/>
        </w:trPr>
        <w:tc>
          <w:tcPr>
            <w:tcW w:w="5000" w:type="pct"/>
            <w:gridSpan w:val="3"/>
            <w:tcBorders>
              <w:top w:val="outset" w:sz="6" w:space="0" w:color="000000"/>
              <w:left w:val="outset" w:sz="6" w:space="0" w:color="000000"/>
              <w:bottom w:val="outset" w:sz="6" w:space="0" w:color="000000"/>
              <w:right w:val="outset" w:sz="6" w:space="0" w:color="000000"/>
            </w:tcBorders>
            <w:hideMark/>
          </w:tcPr>
          <w:p w14:paraId="49B248F5" w14:textId="77777777" w:rsidR="00032C63" w:rsidRPr="00884F51" w:rsidRDefault="00032C63" w:rsidP="00032C63">
            <w:pPr>
              <w:spacing w:before="100" w:beforeAutospacing="1" w:after="100" w:afterAutospacing="1"/>
              <w:jc w:val="center"/>
              <w:rPr>
                <w:b/>
                <w:bCs/>
              </w:rPr>
            </w:pPr>
            <w:r w:rsidRPr="00884F51">
              <w:rPr>
                <w:b/>
                <w:bCs/>
              </w:rPr>
              <w:t>VII. Tiesību akta projekta izpildes nodrošināšana un tās ietekme uz institūcijām</w:t>
            </w:r>
          </w:p>
        </w:tc>
      </w:tr>
      <w:tr w:rsidR="00032C63" w:rsidRPr="00884F51" w14:paraId="1D8CB4DC" w14:textId="77777777" w:rsidTr="007B6927">
        <w:trPr>
          <w:trHeight w:val="577"/>
        </w:trPr>
        <w:tc>
          <w:tcPr>
            <w:tcW w:w="263" w:type="pct"/>
            <w:tcBorders>
              <w:top w:val="outset" w:sz="6" w:space="0" w:color="000000"/>
              <w:left w:val="outset" w:sz="6" w:space="0" w:color="000000"/>
              <w:bottom w:val="outset" w:sz="6" w:space="0" w:color="000000"/>
              <w:right w:val="single" w:sz="4" w:space="0" w:color="auto"/>
            </w:tcBorders>
          </w:tcPr>
          <w:p w14:paraId="0A2A19BC" w14:textId="77777777" w:rsidR="00032C63" w:rsidRPr="00884F51" w:rsidRDefault="00032C63" w:rsidP="00032C63">
            <w:pPr>
              <w:spacing w:before="100" w:beforeAutospacing="1" w:after="100" w:afterAutospacing="1"/>
              <w:jc w:val="center"/>
            </w:pPr>
            <w:r w:rsidRPr="00884F51">
              <w:t>1.</w:t>
            </w:r>
          </w:p>
        </w:tc>
        <w:tc>
          <w:tcPr>
            <w:tcW w:w="1796" w:type="pct"/>
            <w:tcBorders>
              <w:top w:val="outset" w:sz="6" w:space="0" w:color="000000"/>
              <w:left w:val="single" w:sz="4" w:space="0" w:color="auto"/>
              <w:bottom w:val="outset" w:sz="6" w:space="0" w:color="000000"/>
              <w:right w:val="single" w:sz="4" w:space="0" w:color="auto"/>
            </w:tcBorders>
          </w:tcPr>
          <w:p w14:paraId="0C29E557" w14:textId="77777777" w:rsidR="00032C63" w:rsidRPr="00884F51" w:rsidRDefault="00032C63" w:rsidP="00032C63">
            <w:pPr>
              <w:spacing w:before="100" w:beforeAutospacing="1" w:after="100" w:afterAutospacing="1"/>
            </w:pPr>
            <w:r w:rsidRPr="00884F51">
              <w:t>Projekta izpildē iesaistītās institūcijas</w:t>
            </w:r>
          </w:p>
        </w:tc>
        <w:tc>
          <w:tcPr>
            <w:tcW w:w="2942" w:type="pct"/>
            <w:tcBorders>
              <w:top w:val="outset" w:sz="6" w:space="0" w:color="000000"/>
              <w:left w:val="single" w:sz="4" w:space="0" w:color="auto"/>
              <w:bottom w:val="outset" w:sz="6" w:space="0" w:color="000000"/>
              <w:right w:val="outset" w:sz="6" w:space="0" w:color="000000"/>
            </w:tcBorders>
          </w:tcPr>
          <w:p w14:paraId="3E4FFC3E" w14:textId="7437D6D7" w:rsidR="00032C63" w:rsidRPr="00884F51" w:rsidRDefault="00813A06" w:rsidP="00233493">
            <w:pPr>
              <w:spacing w:before="100" w:beforeAutospacing="1" w:after="100" w:afterAutospacing="1"/>
              <w:ind w:right="138"/>
              <w:jc w:val="both"/>
            </w:pPr>
            <w:r>
              <w:t>Lauku atbalsta dienests</w:t>
            </w:r>
            <w:r w:rsidR="00FA5F01" w:rsidRPr="00884F51">
              <w:t xml:space="preserve"> </w:t>
            </w:r>
            <w:r w:rsidR="00E3002F" w:rsidRPr="00884F51">
              <w:t xml:space="preserve">un </w:t>
            </w:r>
            <w:r w:rsidR="009B3F10">
              <w:t>VID</w:t>
            </w:r>
            <w:r w:rsidR="007D62E2" w:rsidRPr="00884F51">
              <w:t>.</w:t>
            </w:r>
          </w:p>
        </w:tc>
      </w:tr>
      <w:tr w:rsidR="00032C63" w:rsidRPr="00884F51" w14:paraId="7309DA98" w14:textId="77777777" w:rsidTr="007B6927">
        <w:trPr>
          <w:trHeight w:val="2050"/>
        </w:trPr>
        <w:tc>
          <w:tcPr>
            <w:tcW w:w="263" w:type="pct"/>
            <w:tcBorders>
              <w:top w:val="outset" w:sz="6" w:space="0" w:color="000000"/>
              <w:left w:val="outset" w:sz="6" w:space="0" w:color="000000"/>
              <w:bottom w:val="outset" w:sz="6" w:space="0" w:color="000000"/>
              <w:right w:val="single" w:sz="4" w:space="0" w:color="auto"/>
            </w:tcBorders>
          </w:tcPr>
          <w:p w14:paraId="3A0329B3" w14:textId="77777777" w:rsidR="00032C63" w:rsidRPr="00884F51" w:rsidRDefault="00032C63" w:rsidP="00032C63">
            <w:pPr>
              <w:spacing w:before="100" w:beforeAutospacing="1" w:after="100" w:afterAutospacing="1"/>
              <w:jc w:val="center"/>
            </w:pPr>
            <w:r w:rsidRPr="00884F51">
              <w:lastRenderedPageBreak/>
              <w:t>2.</w:t>
            </w:r>
          </w:p>
        </w:tc>
        <w:tc>
          <w:tcPr>
            <w:tcW w:w="1796" w:type="pct"/>
            <w:tcBorders>
              <w:top w:val="outset" w:sz="6" w:space="0" w:color="000000"/>
              <w:left w:val="single" w:sz="4" w:space="0" w:color="auto"/>
              <w:bottom w:val="outset" w:sz="6" w:space="0" w:color="000000"/>
              <w:right w:val="single" w:sz="4" w:space="0" w:color="auto"/>
            </w:tcBorders>
          </w:tcPr>
          <w:p w14:paraId="26638056" w14:textId="77777777" w:rsidR="00032C63" w:rsidRPr="00884F51" w:rsidRDefault="00FF735C" w:rsidP="005425C7">
            <w:pPr>
              <w:ind w:right="109"/>
              <w:jc w:val="both"/>
            </w:pPr>
            <w:r w:rsidRPr="00884F51">
              <w:t>Projekta izpildes ietekme uz pārvaldes funkcijām un institucionālo struktūru.</w:t>
            </w:r>
            <w:r w:rsidR="000C52A7" w:rsidRPr="00884F51">
              <w:t xml:space="preserve"> </w:t>
            </w:r>
            <w:r w:rsidRPr="00884F51">
              <w:t>Jaunu institūciju izveide, esošo institūciju likvidācija vai reorganizācija, to ietekme uz institūcijas cilvēkresursiem</w:t>
            </w:r>
          </w:p>
        </w:tc>
        <w:tc>
          <w:tcPr>
            <w:tcW w:w="2942" w:type="pct"/>
            <w:tcBorders>
              <w:top w:val="outset" w:sz="6" w:space="0" w:color="000000"/>
              <w:left w:val="single" w:sz="4" w:space="0" w:color="auto"/>
              <w:bottom w:val="outset" w:sz="6" w:space="0" w:color="000000"/>
              <w:right w:val="outset" w:sz="6" w:space="0" w:color="000000"/>
            </w:tcBorders>
          </w:tcPr>
          <w:p w14:paraId="523F2195" w14:textId="77777777" w:rsidR="0001200D" w:rsidRPr="00884F51" w:rsidRDefault="0001200D" w:rsidP="0001200D">
            <w:pPr>
              <w:jc w:val="both"/>
            </w:pPr>
            <w:r w:rsidRPr="00884F51">
              <w:t>Projekta izpilde neietekmēs pārvaldes funkcijas.</w:t>
            </w:r>
          </w:p>
          <w:p w14:paraId="5AF82FC3" w14:textId="77777777" w:rsidR="0001200D" w:rsidRPr="00884F51" w:rsidRDefault="0001200D" w:rsidP="0001200D">
            <w:pPr>
              <w:jc w:val="both"/>
            </w:pPr>
            <w:r w:rsidRPr="00884F51">
              <w:t>Projekta izpildei nav nepieciešama jaunu institūciju izveide, esošo institūciju likvidācija vai reorganizācija.</w:t>
            </w:r>
          </w:p>
          <w:p w14:paraId="7E4D357C" w14:textId="77777777" w:rsidR="00032C63" w:rsidRPr="00884F51" w:rsidRDefault="0001200D" w:rsidP="0001200D">
            <w:pPr>
              <w:jc w:val="both"/>
            </w:pPr>
            <w:r w:rsidRPr="00884F51">
              <w:t>Projekta izpilde tiks nodrošināta esošo cilvēkresursu un finanšu līdzekļu ietvaros.</w:t>
            </w:r>
          </w:p>
        </w:tc>
      </w:tr>
      <w:tr w:rsidR="00032C63" w:rsidRPr="00884F51" w14:paraId="5A937E71" w14:textId="77777777" w:rsidTr="007B6927">
        <w:trPr>
          <w:trHeight w:val="288"/>
        </w:trPr>
        <w:tc>
          <w:tcPr>
            <w:tcW w:w="263" w:type="pct"/>
            <w:tcBorders>
              <w:top w:val="outset" w:sz="6" w:space="0" w:color="000000"/>
              <w:left w:val="outset" w:sz="6" w:space="0" w:color="000000"/>
              <w:bottom w:val="single" w:sz="4" w:space="0" w:color="auto"/>
              <w:right w:val="single" w:sz="4" w:space="0" w:color="auto"/>
            </w:tcBorders>
          </w:tcPr>
          <w:p w14:paraId="5C13DF7F" w14:textId="77777777" w:rsidR="00032C63" w:rsidRPr="00884F51" w:rsidRDefault="00032C63" w:rsidP="00032C63">
            <w:pPr>
              <w:spacing w:before="100" w:beforeAutospacing="1" w:after="100" w:afterAutospacing="1"/>
              <w:jc w:val="center"/>
            </w:pPr>
            <w:r w:rsidRPr="00884F51">
              <w:t>3.</w:t>
            </w:r>
          </w:p>
        </w:tc>
        <w:tc>
          <w:tcPr>
            <w:tcW w:w="1796" w:type="pct"/>
            <w:tcBorders>
              <w:top w:val="outset" w:sz="6" w:space="0" w:color="000000"/>
              <w:left w:val="single" w:sz="4" w:space="0" w:color="auto"/>
              <w:bottom w:val="single" w:sz="4" w:space="0" w:color="auto"/>
              <w:right w:val="single" w:sz="4" w:space="0" w:color="auto"/>
            </w:tcBorders>
          </w:tcPr>
          <w:p w14:paraId="0171E2BB" w14:textId="77777777" w:rsidR="00032C63" w:rsidRPr="00884F51" w:rsidRDefault="00FF735C" w:rsidP="00FF735C">
            <w:pPr>
              <w:jc w:val="both"/>
            </w:pPr>
            <w:r w:rsidRPr="00884F51">
              <w:t>Cita informācija</w:t>
            </w:r>
          </w:p>
        </w:tc>
        <w:tc>
          <w:tcPr>
            <w:tcW w:w="2942" w:type="pct"/>
            <w:tcBorders>
              <w:top w:val="outset" w:sz="6" w:space="0" w:color="000000"/>
              <w:left w:val="single" w:sz="4" w:space="0" w:color="auto"/>
              <w:bottom w:val="single" w:sz="4" w:space="0" w:color="auto"/>
              <w:right w:val="outset" w:sz="6" w:space="0" w:color="000000"/>
            </w:tcBorders>
          </w:tcPr>
          <w:p w14:paraId="0913E060" w14:textId="77777777" w:rsidR="00032C63" w:rsidRPr="00884F51" w:rsidRDefault="00FF735C" w:rsidP="00032C63">
            <w:pPr>
              <w:spacing w:before="100" w:beforeAutospacing="1" w:after="100" w:afterAutospacing="1"/>
              <w:jc w:val="both"/>
            </w:pPr>
            <w:r w:rsidRPr="00884F51">
              <w:t>Nav</w:t>
            </w:r>
            <w:r w:rsidR="00DC0F0D" w:rsidRPr="00884F51">
              <w:t>.</w:t>
            </w:r>
          </w:p>
        </w:tc>
      </w:tr>
      <w:tr w:rsidR="0082105B" w:rsidRPr="004D6833" w14:paraId="1E8FE235" w14:textId="77777777" w:rsidTr="007B692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715"/>
        </w:trPr>
        <w:tc>
          <w:tcPr>
            <w:tcW w:w="5000" w:type="pct"/>
            <w:gridSpan w:val="3"/>
            <w:tcBorders>
              <w:top w:val="single" w:sz="4" w:space="0" w:color="auto"/>
            </w:tcBorders>
          </w:tcPr>
          <w:p w14:paraId="171BBF8A" w14:textId="77777777" w:rsidR="0082105B" w:rsidRPr="005C7897" w:rsidRDefault="0082105B" w:rsidP="00032C63">
            <w:pPr>
              <w:rPr>
                <w:i/>
                <w:lang w:eastAsia="en-US"/>
              </w:rPr>
            </w:pPr>
          </w:p>
        </w:tc>
      </w:tr>
    </w:tbl>
    <w:p w14:paraId="30A8C579" w14:textId="17B7E2A3" w:rsidR="00DC0F0D" w:rsidRPr="005C7897" w:rsidRDefault="00662B49" w:rsidP="00662B49">
      <w:pPr>
        <w:jc w:val="both"/>
      </w:pPr>
      <w:r w:rsidRPr="005C7897">
        <w:t>Fi</w:t>
      </w:r>
      <w:r w:rsidR="00925150" w:rsidRPr="005C7897">
        <w:t>n</w:t>
      </w:r>
      <w:r w:rsidRPr="005C7897">
        <w:t>anšu ministr</w:t>
      </w:r>
      <w:r w:rsidR="003C5248" w:rsidRPr="005C7897">
        <w:t>s</w:t>
      </w:r>
      <w:r w:rsidR="005268C8" w:rsidRPr="005C7897">
        <w:t xml:space="preserve"> </w:t>
      </w:r>
      <w:r w:rsidRPr="005C7897">
        <w:tab/>
      </w:r>
      <w:r w:rsidRPr="005C7897">
        <w:tab/>
      </w:r>
      <w:r w:rsidRPr="005C7897">
        <w:tab/>
      </w:r>
      <w:r w:rsidRPr="005C7897">
        <w:tab/>
      </w:r>
      <w:r w:rsidRPr="005C7897">
        <w:tab/>
      </w:r>
      <w:r w:rsidRPr="005C7897">
        <w:tab/>
      </w:r>
      <w:r w:rsidRPr="005C7897">
        <w:tab/>
      </w:r>
      <w:r w:rsidR="004D6833">
        <w:tab/>
      </w:r>
      <w:proofErr w:type="spellStart"/>
      <w:r w:rsidR="003C5248" w:rsidRPr="005C7897">
        <w:t>J</w:t>
      </w:r>
      <w:r w:rsidRPr="005C7897">
        <w:t>.Rei</w:t>
      </w:r>
      <w:r w:rsidR="003C5248" w:rsidRPr="005C7897">
        <w:t>rs</w:t>
      </w:r>
      <w:proofErr w:type="spellEnd"/>
    </w:p>
    <w:p w14:paraId="55AC787D" w14:textId="5D5B0AB8" w:rsidR="00DC0F0D" w:rsidRDefault="00DC0F0D" w:rsidP="007756FB">
      <w:pPr>
        <w:rPr>
          <w:sz w:val="28"/>
          <w:szCs w:val="20"/>
        </w:rPr>
      </w:pPr>
    </w:p>
    <w:p w14:paraId="08B71641" w14:textId="4F3D6BCF" w:rsidR="008E0FE8" w:rsidRDefault="008E0FE8" w:rsidP="007756FB">
      <w:pPr>
        <w:rPr>
          <w:sz w:val="28"/>
          <w:szCs w:val="20"/>
        </w:rPr>
      </w:pPr>
    </w:p>
    <w:p w14:paraId="025DB487" w14:textId="77777777" w:rsidR="008E0FE8" w:rsidRPr="00BA2BC3" w:rsidRDefault="008E0FE8" w:rsidP="007756FB">
      <w:pPr>
        <w:rPr>
          <w:sz w:val="28"/>
          <w:szCs w:val="20"/>
        </w:rPr>
      </w:pPr>
    </w:p>
    <w:p w14:paraId="1A155840" w14:textId="77777777" w:rsidR="005268C8" w:rsidRPr="00884F51" w:rsidRDefault="0001200D" w:rsidP="007756FB">
      <w:pPr>
        <w:pStyle w:val="ListParagraph"/>
        <w:ind w:left="0"/>
        <w:jc w:val="both"/>
        <w:rPr>
          <w:sz w:val="20"/>
          <w:szCs w:val="20"/>
        </w:rPr>
      </w:pPr>
      <w:proofErr w:type="spellStart"/>
      <w:r w:rsidRPr="00884F51">
        <w:rPr>
          <w:sz w:val="20"/>
          <w:szCs w:val="20"/>
        </w:rPr>
        <w:t>J.Lukss</w:t>
      </w:r>
      <w:proofErr w:type="spellEnd"/>
      <w:r w:rsidRPr="00884F51">
        <w:rPr>
          <w:sz w:val="20"/>
          <w:szCs w:val="20"/>
        </w:rPr>
        <w:t>, 67083846</w:t>
      </w:r>
    </w:p>
    <w:p w14:paraId="130EBF74" w14:textId="6D031FAD" w:rsidR="005268C8" w:rsidRPr="00884F51" w:rsidRDefault="008E0FE8" w:rsidP="007756FB">
      <w:pPr>
        <w:pStyle w:val="ListParagraph"/>
        <w:ind w:left="0"/>
        <w:jc w:val="both"/>
        <w:rPr>
          <w:sz w:val="20"/>
          <w:szCs w:val="20"/>
        </w:rPr>
      </w:pPr>
      <w:hyperlink r:id="rId11" w:history="1">
        <w:r w:rsidR="0001200D" w:rsidRPr="00884F51">
          <w:rPr>
            <w:rStyle w:val="Hyperlink"/>
            <w:sz w:val="20"/>
            <w:szCs w:val="20"/>
          </w:rPr>
          <w:t>Juris.Lukss@fm.gov.lv</w:t>
        </w:r>
      </w:hyperlink>
    </w:p>
    <w:sectPr w:rsidR="005268C8" w:rsidRPr="00884F51" w:rsidSect="00886A57">
      <w:headerReference w:type="even" r:id="rId12"/>
      <w:headerReference w:type="default" r:id="rId13"/>
      <w:footerReference w:type="default" r:id="rId14"/>
      <w:footerReference w:type="first" r:id="rId15"/>
      <w:pgSz w:w="11906" w:h="16838" w:code="9"/>
      <w:pgMar w:top="1276" w:right="1134" w:bottom="1134" w:left="1701" w:header="709"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897E9E" w16cid:durableId="22D555A6"/>
  <w16cid:commentId w16cid:paraId="232976B0" w16cid:durableId="22D555A7"/>
  <w16cid:commentId w16cid:paraId="0001ABEF" w16cid:durableId="22D555A8"/>
  <w16cid:commentId w16cid:paraId="2E62F073" w16cid:durableId="22D557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5291" w14:textId="77777777" w:rsidR="00C35EBB" w:rsidRDefault="00C35EBB">
      <w:r>
        <w:separator/>
      </w:r>
    </w:p>
  </w:endnote>
  <w:endnote w:type="continuationSeparator" w:id="0">
    <w:p w14:paraId="05A73B2E" w14:textId="77777777" w:rsidR="00C35EBB" w:rsidRDefault="00C3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6A14" w14:textId="6CB42E2A" w:rsidR="00142794" w:rsidRPr="00F56B17" w:rsidRDefault="00142794" w:rsidP="0021135F">
    <w:pPr>
      <w:pStyle w:val="naislab"/>
      <w:jc w:val="both"/>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5F3A4B">
      <w:rPr>
        <w:noProof/>
        <w:sz w:val="20"/>
        <w:szCs w:val="20"/>
      </w:rPr>
      <w:t>FMAnot_01122020_mk_199.docx</w:t>
    </w:r>
    <w:r>
      <w:rPr>
        <w:sz w:val="20"/>
        <w:szCs w:val="20"/>
      </w:rPr>
      <w:fldChar w:fldCharType="end"/>
    </w:r>
    <w:r w:rsidRPr="00F56B17">
      <w:rPr>
        <w:sz w:val="20"/>
        <w:szCs w:val="20"/>
      </w:rPr>
      <w:t xml:space="preserve"> </w:t>
    </w:r>
  </w:p>
  <w:p w14:paraId="04FC697F" w14:textId="77777777" w:rsidR="00142794" w:rsidRPr="0021135F" w:rsidRDefault="00142794" w:rsidP="00211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6F15" w14:textId="2415ECF7" w:rsidR="00142794" w:rsidRPr="00F56B17" w:rsidRDefault="00142794" w:rsidP="003D312A">
    <w:pPr>
      <w:pStyle w:val="naislab"/>
      <w:jc w:val="both"/>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5F3A4B">
      <w:rPr>
        <w:noProof/>
        <w:sz w:val="20"/>
        <w:szCs w:val="20"/>
      </w:rPr>
      <w:t>FMAnot_01122020_mk_199.docx</w:t>
    </w:r>
    <w:r>
      <w:rPr>
        <w:sz w:val="20"/>
        <w:szCs w:val="20"/>
      </w:rPr>
      <w:fldChar w:fldCharType="end"/>
    </w:r>
    <w:r>
      <w:rPr>
        <w:sz w:val="20"/>
        <w:szCs w:val="20"/>
      </w:rPr>
      <w:t xml:space="preserve">; </w:t>
    </w:r>
  </w:p>
  <w:p w14:paraId="6AC5420E" w14:textId="77777777" w:rsidR="00142794" w:rsidRPr="00F56B17" w:rsidRDefault="00142794" w:rsidP="00C92FA7">
    <w:pPr>
      <w:pStyle w:val="naislab"/>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BE011" w14:textId="77777777" w:rsidR="00C35EBB" w:rsidRDefault="00C35EBB">
      <w:r>
        <w:separator/>
      </w:r>
    </w:p>
  </w:footnote>
  <w:footnote w:type="continuationSeparator" w:id="0">
    <w:p w14:paraId="6F40C316" w14:textId="77777777" w:rsidR="00C35EBB" w:rsidRDefault="00C3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BFA6" w14:textId="77777777" w:rsidR="00142794" w:rsidRDefault="00142794" w:rsidP="00F439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C00E3B" w14:textId="77777777" w:rsidR="00142794" w:rsidRDefault="00142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6FC2" w14:textId="0941EEBA" w:rsidR="00142794" w:rsidRDefault="00142794" w:rsidP="00F439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0FE8">
      <w:rPr>
        <w:rStyle w:val="PageNumber"/>
        <w:noProof/>
      </w:rPr>
      <w:t>2</w:t>
    </w:r>
    <w:r>
      <w:rPr>
        <w:rStyle w:val="PageNumber"/>
      </w:rPr>
      <w:fldChar w:fldCharType="end"/>
    </w:r>
  </w:p>
  <w:p w14:paraId="12E23CD9" w14:textId="77777777" w:rsidR="00142794" w:rsidRDefault="00142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000E"/>
    <w:multiLevelType w:val="hybridMultilevel"/>
    <w:tmpl w:val="9558D132"/>
    <w:lvl w:ilvl="0" w:tplc="84FE7D98">
      <w:start w:val="5"/>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F6E2396"/>
    <w:multiLevelType w:val="hybridMultilevel"/>
    <w:tmpl w:val="9500AEC0"/>
    <w:lvl w:ilvl="0" w:tplc="3EA229C4">
      <w:start w:val="1"/>
      <w:numFmt w:val="decimal"/>
      <w:lvlText w:val="%1)"/>
      <w:lvlJc w:val="left"/>
      <w:pPr>
        <w:ind w:left="720" w:hanging="42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 w15:restartNumberingAfterBreak="0">
    <w:nsid w:val="0F8A62D4"/>
    <w:multiLevelType w:val="hybridMultilevel"/>
    <w:tmpl w:val="BB9E54C8"/>
    <w:lvl w:ilvl="0" w:tplc="741A7526">
      <w:start w:val="5"/>
      <w:numFmt w:val="bullet"/>
      <w:lvlText w:val="-"/>
      <w:lvlJc w:val="left"/>
      <w:pPr>
        <w:ind w:left="756" w:hanging="360"/>
      </w:pPr>
      <w:rPr>
        <w:rFonts w:ascii="Times New Roman" w:eastAsia="Times New Roman" w:hAnsi="Times New Roman" w:cs="Times New Roman" w:hint="default"/>
      </w:rPr>
    </w:lvl>
    <w:lvl w:ilvl="1" w:tplc="04260003" w:tentative="1">
      <w:start w:val="1"/>
      <w:numFmt w:val="bullet"/>
      <w:lvlText w:val="o"/>
      <w:lvlJc w:val="left"/>
      <w:pPr>
        <w:ind w:left="1476" w:hanging="360"/>
      </w:pPr>
      <w:rPr>
        <w:rFonts w:ascii="Courier New" w:hAnsi="Courier New" w:cs="Courier New" w:hint="default"/>
      </w:rPr>
    </w:lvl>
    <w:lvl w:ilvl="2" w:tplc="04260005" w:tentative="1">
      <w:start w:val="1"/>
      <w:numFmt w:val="bullet"/>
      <w:lvlText w:val=""/>
      <w:lvlJc w:val="left"/>
      <w:pPr>
        <w:ind w:left="2196" w:hanging="360"/>
      </w:pPr>
      <w:rPr>
        <w:rFonts w:ascii="Wingdings" w:hAnsi="Wingdings" w:hint="default"/>
      </w:rPr>
    </w:lvl>
    <w:lvl w:ilvl="3" w:tplc="04260001" w:tentative="1">
      <w:start w:val="1"/>
      <w:numFmt w:val="bullet"/>
      <w:lvlText w:val=""/>
      <w:lvlJc w:val="left"/>
      <w:pPr>
        <w:ind w:left="2916" w:hanging="360"/>
      </w:pPr>
      <w:rPr>
        <w:rFonts w:ascii="Symbol" w:hAnsi="Symbol" w:hint="default"/>
      </w:rPr>
    </w:lvl>
    <w:lvl w:ilvl="4" w:tplc="04260003" w:tentative="1">
      <w:start w:val="1"/>
      <w:numFmt w:val="bullet"/>
      <w:lvlText w:val="o"/>
      <w:lvlJc w:val="left"/>
      <w:pPr>
        <w:ind w:left="3636" w:hanging="360"/>
      </w:pPr>
      <w:rPr>
        <w:rFonts w:ascii="Courier New" w:hAnsi="Courier New" w:cs="Courier New" w:hint="default"/>
      </w:rPr>
    </w:lvl>
    <w:lvl w:ilvl="5" w:tplc="04260005" w:tentative="1">
      <w:start w:val="1"/>
      <w:numFmt w:val="bullet"/>
      <w:lvlText w:val=""/>
      <w:lvlJc w:val="left"/>
      <w:pPr>
        <w:ind w:left="4356" w:hanging="360"/>
      </w:pPr>
      <w:rPr>
        <w:rFonts w:ascii="Wingdings" w:hAnsi="Wingdings" w:hint="default"/>
      </w:rPr>
    </w:lvl>
    <w:lvl w:ilvl="6" w:tplc="04260001" w:tentative="1">
      <w:start w:val="1"/>
      <w:numFmt w:val="bullet"/>
      <w:lvlText w:val=""/>
      <w:lvlJc w:val="left"/>
      <w:pPr>
        <w:ind w:left="5076" w:hanging="360"/>
      </w:pPr>
      <w:rPr>
        <w:rFonts w:ascii="Symbol" w:hAnsi="Symbol" w:hint="default"/>
      </w:rPr>
    </w:lvl>
    <w:lvl w:ilvl="7" w:tplc="04260003" w:tentative="1">
      <w:start w:val="1"/>
      <w:numFmt w:val="bullet"/>
      <w:lvlText w:val="o"/>
      <w:lvlJc w:val="left"/>
      <w:pPr>
        <w:ind w:left="5796" w:hanging="360"/>
      </w:pPr>
      <w:rPr>
        <w:rFonts w:ascii="Courier New" w:hAnsi="Courier New" w:cs="Courier New" w:hint="default"/>
      </w:rPr>
    </w:lvl>
    <w:lvl w:ilvl="8" w:tplc="04260005" w:tentative="1">
      <w:start w:val="1"/>
      <w:numFmt w:val="bullet"/>
      <w:lvlText w:val=""/>
      <w:lvlJc w:val="left"/>
      <w:pPr>
        <w:ind w:left="6516" w:hanging="360"/>
      </w:pPr>
      <w:rPr>
        <w:rFonts w:ascii="Wingdings" w:hAnsi="Wingdings" w:hint="default"/>
      </w:rPr>
    </w:lvl>
  </w:abstractNum>
  <w:abstractNum w:abstractNumId="3" w15:restartNumberingAfterBreak="0">
    <w:nsid w:val="22DC79B1"/>
    <w:multiLevelType w:val="hybridMultilevel"/>
    <w:tmpl w:val="B3D6C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1B46AC"/>
    <w:multiLevelType w:val="hybridMultilevel"/>
    <w:tmpl w:val="43EE90FC"/>
    <w:lvl w:ilvl="0" w:tplc="6B563C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23E2313"/>
    <w:multiLevelType w:val="hybridMultilevel"/>
    <w:tmpl w:val="CC42B868"/>
    <w:lvl w:ilvl="0" w:tplc="485EC5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5AD5C1C"/>
    <w:multiLevelType w:val="hybridMultilevel"/>
    <w:tmpl w:val="D3BED12E"/>
    <w:lvl w:ilvl="0" w:tplc="57A4807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6D55466"/>
    <w:multiLevelType w:val="hybridMultilevel"/>
    <w:tmpl w:val="874E5F7A"/>
    <w:lvl w:ilvl="0" w:tplc="9760C1DC">
      <w:start w:val="1"/>
      <w:numFmt w:val="decimal"/>
      <w:lvlText w:val="%1)"/>
      <w:lvlJc w:val="left"/>
      <w:pPr>
        <w:ind w:left="470" w:hanging="360"/>
      </w:pPr>
      <w:rPr>
        <w:rFonts w:hint="default"/>
        <w:color w:val="auto"/>
      </w:rPr>
    </w:lvl>
    <w:lvl w:ilvl="1" w:tplc="04260019" w:tentative="1">
      <w:start w:val="1"/>
      <w:numFmt w:val="lowerLetter"/>
      <w:lvlText w:val="%2."/>
      <w:lvlJc w:val="left"/>
      <w:pPr>
        <w:ind w:left="1190" w:hanging="360"/>
      </w:pPr>
    </w:lvl>
    <w:lvl w:ilvl="2" w:tplc="0426001B" w:tentative="1">
      <w:start w:val="1"/>
      <w:numFmt w:val="lowerRoman"/>
      <w:lvlText w:val="%3."/>
      <w:lvlJc w:val="right"/>
      <w:pPr>
        <w:ind w:left="1910" w:hanging="180"/>
      </w:pPr>
    </w:lvl>
    <w:lvl w:ilvl="3" w:tplc="0426000F" w:tentative="1">
      <w:start w:val="1"/>
      <w:numFmt w:val="decimal"/>
      <w:lvlText w:val="%4."/>
      <w:lvlJc w:val="left"/>
      <w:pPr>
        <w:ind w:left="2630" w:hanging="360"/>
      </w:pPr>
    </w:lvl>
    <w:lvl w:ilvl="4" w:tplc="04260019" w:tentative="1">
      <w:start w:val="1"/>
      <w:numFmt w:val="lowerLetter"/>
      <w:lvlText w:val="%5."/>
      <w:lvlJc w:val="left"/>
      <w:pPr>
        <w:ind w:left="3350" w:hanging="360"/>
      </w:pPr>
    </w:lvl>
    <w:lvl w:ilvl="5" w:tplc="0426001B" w:tentative="1">
      <w:start w:val="1"/>
      <w:numFmt w:val="lowerRoman"/>
      <w:lvlText w:val="%6."/>
      <w:lvlJc w:val="right"/>
      <w:pPr>
        <w:ind w:left="4070" w:hanging="180"/>
      </w:pPr>
    </w:lvl>
    <w:lvl w:ilvl="6" w:tplc="0426000F" w:tentative="1">
      <w:start w:val="1"/>
      <w:numFmt w:val="decimal"/>
      <w:lvlText w:val="%7."/>
      <w:lvlJc w:val="left"/>
      <w:pPr>
        <w:ind w:left="4790" w:hanging="360"/>
      </w:pPr>
    </w:lvl>
    <w:lvl w:ilvl="7" w:tplc="04260019" w:tentative="1">
      <w:start w:val="1"/>
      <w:numFmt w:val="lowerLetter"/>
      <w:lvlText w:val="%8."/>
      <w:lvlJc w:val="left"/>
      <w:pPr>
        <w:ind w:left="5510" w:hanging="360"/>
      </w:pPr>
    </w:lvl>
    <w:lvl w:ilvl="8" w:tplc="0426001B" w:tentative="1">
      <w:start w:val="1"/>
      <w:numFmt w:val="lowerRoman"/>
      <w:lvlText w:val="%9."/>
      <w:lvlJc w:val="right"/>
      <w:pPr>
        <w:ind w:left="6230" w:hanging="180"/>
      </w:pPr>
    </w:lvl>
  </w:abstractNum>
  <w:abstractNum w:abstractNumId="8" w15:restartNumberingAfterBreak="0">
    <w:nsid w:val="37113DA6"/>
    <w:multiLevelType w:val="hybridMultilevel"/>
    <w:tmpl w:val="4470F150"/>
    <w:lvl w:ilvl="0" w:tplc="AF68B28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B2C3A4B"/>
    <w:multiLevelType w:val="hybridMultilevel"/>
    <w:tmpl w:val="D8C21B5A"/>
    <w:lvl w:ilvl="0" w:tplc="E8DCFCF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0722D9"/>
    <w:multiLevelType w:val="hybridMultilevel"/>
    <w:tmpl w:val="0F3CC864"/>
    <w:lvl w:ilvl="0" w:tplc="56FEE7B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F832AE0"/>
    <w:multiLevelType w:val="hybridMultilevel"/>
    <w:tmpl w:val="45FA10E6"/>
    <w:lvl w:ilvl="0" w:tplc="FD1487DA">
      <w:start w:val="1"/>
      <w:numFmt w:val="decimal"/>
      <w:lvlText w:val="%1."/>
      <w:lvlJc w:val="left"/>
      <w:pPr>
        <w:ind w:left="720" w:hanging="360"/>
      </w:pPr>
      <w:rPr>
        <w:rFonts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DC3EC3"/>
    <w:multiLevelType w:val="hybridMultilevel"/>
    <w:tmpl w:val="C4B00F14"/>
    <w:lvl w:ilvl="0" w:tplc="952085D6">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abstractNum w:abstractNumId="13" w15:restartNumberingAfterBreak="0">
    <w:nsid w:val="66632543"/>
    <w:multiLevelType w:val="hybridMultilevel"/>
    <w:tmpl w:val="B3287E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48421A"/>
    <w:multiLevelType w:val="hybridMultilevel"/>
    <w:tmpl w:val="987444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DA36F4"/>
    <w:multiLevelType w:val="hybridMultilevel"/>
    <w:tmpl w:val="0F3CC864"/>
    <w:lvl w:ilvl="0" w:tplc="56FEE7B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795E656A"/>
    <w:multiLevelType w:val="hybridMultilevel"/>
    <w:tmpl w:val="641AAAF4"/>
    <w:lvl w:ilvl="0" w:tplc="51F6A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9"/>
  </w:num>
  <w:num w:numId="2">
    <w:abstractNumId w:val="6"/>
  </w:num>
  <w:num w:numId="3">
    <w:abstractNumId w:val="11"/>
  </w:num>
  <w:num w:numId="4">
    <w:abstractNumId w:val="15"/>
  </w:num>
  <w:num w:numId="5">
    <w:abstractNumId w:val="10"/>
  </w:num>
  <w:num w:numId="6">
    <w:abstractNumId w:val="16"/>
  </w:num>
  <w:num w:numId="7">
    <w:abstractNumId w:val="4"/>
  </w:num>
  <w:num w:numId="8">
    <w:abstractNumId w:val="0"/>
  </w:num>
  <w:num w:numId="9">
    <w:abstractNumId w:val="14"/>
  </w:num>
  <w:num w:numId="10">
    <w:abstractNumId w:val="5"/>
  </w:num>
  <w:num w:numId="11">
    <w:abstractNumId w:val="8"/>
  </w:num>
  <w:num w:numId="12">
    <w:abstractNumId w:val="7"/>
  </w:num>
  <w:num w:numId="13">
    <w:abstractNumId w:val="12"/>
  </w:num>
  <w:num w:numId="14">
    <w:abstractNumId w:val="13"/>
  </w:num>
  <w:num w:numId="15">
    <w:abstractNumId w:val="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4F"/>
    <w:rsid w:val="00002215"/>
    <w:rsid w:val="000073E1"/>
    <w:rsid w:val="000112BE"/>
    <w:rsid w:val="0001200D"/>
    <w:rsid w:val="000126A8"/>
    <w:rsid w:val="00013FC3"/>
    <w:rsid w:val="000165BC"/>
    <w:rsid w:val="000215DD"/>
    <w:rsid w:val="0002259A"/>
    <w:rsid w:val="00022F36"/>
    <w:rsid w:val="00024D4A"/>
    <w:rsid w:val="00031CE5"/>
    <w:rsid w:val="00032C63"/>
    <w:rsid w:val="00035A8E"/>
    <w:rsid w:val="00037560"/>
    <w:rsid w:val="000418A9"/>
    <w:rsid w:val="000426A5"/>
    <w:rsid w:val="00044C08"/>
    <w:rsid w:val="00045E7D"/>
    <w:rsid w:val="00046550"/>
    <w:rsid w:val="0004797F"/>
    <w:rsid w:val="00047D03"/>
    <w:rsid w:val="00060552"/>
    <w:rsid w:val="000623B5"/>
    <w:rsid w:val="00063D36"/>
    <w:rsid w:val="00066329"/>
    <w:rsid w:val="00070294"/>
    <w:rsid w:val="00071E5F"/>
    <w:rsid w:val="00072B05"/>
    <w:rsid w:val="00075879"/>
    <w:rsid w:val="000804CB"/>
    <w:rsid w:val="00081DAB"/>
    <w:rsid w:val="00082620"/>
    <w:rsid w:val="0008296A"/>
    <w:rsid w:val="00082C5B"/>
    <w:rsid w:val="00083F2A"/>
    <w:rsid w:val="00084990"/>
    <w:rsid w:val="00086667"/>
    <w:rsid w:val="0009087B"/>
    <w:rsid w:val="00093490"/>
    <w:rsid w:val="00096B37"/>
    <w:rsid w:val="00097625"/>
    <w:rsid w:val="00097AD2"/>
    <w:rsid w:val="000A2622"/>
    <w:rsid w:val="000A3646"/>
    <w:rsid w:val="000A3870"/>
    <w:rsid w:val="000A3930"/>
    <w:rsid w:val="000A5B5A"/>
    <w:rsid w:val="000B0183"/>
    <w:rsid w:val="000B3304"/>
    <w:rsid w:val="000B54C5"/>
    <w:rsid w:val="000B576F"/>
    <w:rsid w:val="000B6BEE"/>
    <w:rsid w:val="000C2AFE"/>
    <w:rsid w:val="000C3320"/>
    <w:rsid w:val="000C3950"/>
    <w:rsid w:val="000C52A7"/>
    <w:rsid w:val="000C7CF1"/>
    <w:rsid w:val="000D39EB"/>
    <w:rsid w:val="000D3B96"/>
    <w:rsid w:val="000D4077"/>
    <w:rsid w:val="000D4E09"/>
    <w:rsid w:val="000D5468"/>
    <w:rsid w:val="000E06A4"/>
    <w:rsid w:val="000E0F2D"/>
    <w:rsid w:val="000E1EDB"/>
    <w:rsid w:val="000E2EDA"/>
    <w:rsid w:val="000E2FBE"/>
    <w:rsid w:val="000E3625"/>
    <w:rsid w:val="000E3B72"/>
    <w:rsid w:val="000F0B5C"/>
    <w:rsid w:val="000F148C"/>
    <w:rsid w:val="000F66D3"/>
    <w:rsid w:val="000F7CD5"/>
    <w:rsid w:val="001010AB"/>
    <w:rsid w:val="001012AA"/>
    <w:rsid w:val="00101E12"/>
    <w:rsid w:val="00104B33"/>
    <w:rsid w:val="00104F4C"/>
    <w:rsid w:val="001054AA"/>
    <w:rsid w:val="00107126"/>
    <w:rsid w:val="0011196B"/>
    <w:rsid w:val="001126DB"/>
    <w:rsid w:val="001166D1"/>
    <w:rsid w:val="00116AA2"/>
    <w:rsid w:val="00116D0F"/>
    <w:rsid w:val="00121706"/>
    <w:rsid w:val="00122AB3"/>
    <w:rsid w:val="00126CB6"/>
    <w:rsid w:val="001275D5"/>
    <w:rsid w:val="0013216F"/>
    <w:rsid w:val="001321E4"/>
    <w:rsid w:val="001331D4"/>
    <w:rsid w:val="00134C95"/>
    <w:rsid w:val="00142285"/>
    <w:rsid w:val="00142794"/>
    <w:rsid w:val="00142AB7"/>
    <w:rsid w:val="001433EC"/>
    <w:rsid w:val="00145B6F"/>
    <w:rsid w:val="001478FB"/>
    <w:rsid w:val="001524FA"/>
    <w:rsid w:val="00153F36"/>
    <w:rsid w:val="00154F91"/>
    <w:rsid w:val="001568DB"/>
    <w:rsid w:val="001623C7"/>
    <w:rsid w:val="00164AB4"/>
    <w:rsid w:val="00170AC9"/>
    <w:rsid w:val="00170E3F"/>
    <w:rsid w:val="00173D2A"/>
    <w:rsid w:val="001745CE"/>
    <w:rsid w:val="00174B92"/>
    <w:rsid w:val="00176B8A"/>
    <w:rsid w:val="00180237"/>
    <w:rsid w:val="00180C78"/>
    <w:rsid w:val="00180D6E"/>
    <w:rsid w:val="0018771A"/>
    <w:rsid w:val="0018798D"/>
    <w:rsid w:val="00191BAD"/>
    <w:rsid w:val="00196892"/>
    <w:rsid w:val="001A0D5C"/>
    <w:rsid w:val="001A4001"/>
    <w:rsid w:val="001A5F1A"/>
    <w:rsid w:val="001B1F9A"/>
    <w:rsid w:val="001B4146"/>
    <w:rsid w:val="001B54D2"/>
    <w:rsid w:val="001B6E27"/>
    <w:rsid w:val="001B7188"/>
    <w:rsid w:val="001C6B25"/>
    <w:rsid w:val="001C6DAE"/>
    <w:rsid w:val="001C7060"/>
    <w:rsid w:val="001C787A"/>
    <w:rsid w:val="001D1059"/>
    <w:rsid w:val="001D5088"/>
    <w:rsid w:val="001D637E"/>
    <w:rsid w:val="001D73D4"/>
    <w:rsid w:val="001E2991"/>
    <w:rsid w:val="001E6F3B"/>
    <w:rsid w:val="001E7B85"/>
    <w:rsid w:val="001F040F"/>
    <w:rsid w:val="001F23CC"/>
    <w:rsid w:val="001F414D"/>
    <w:rsid w:val="001F65BB"/>
    <w:rsid w:val="001F74F1"/>
    <w:rsid w:val="00200F64"/>
    <w:rsid w:val="0020109C"/>
    <w:rsid w:val="00202C2F"/>
    <w:rsid w:val="00207EC0"/>
    <w:rsid w:val="0021058A"/>
    <w:rsid w:val="0021135F"/>
    <w:rsid w:val="00217AAD"/>
    <w:rsid w:val="00224AEE"/>
    <w:rsid w:val="002268EF"/>
    <w:rsid w:val="002278F3"/>
    <w:rsid w:val="00231E45"/>
    <w:rsid w:val="0023256A"/>
    <w:rsid w:val="00232C65"/>
    <w:rsid w:val="00233493"/>
    <w:rsid w:val="00244450"/>
    <w:rsid w:val="0024448B"/>
    <w:rsid w:val="002469CD"/>
    <w:rsid w:val="00246D9C"/>
    <w:rsid w:val="00253E23"/>
    <w:rsid w:val="00254730"/>
    <w:rsid w:val="00254C34"/>
    <w:rsid w:val="00256793"/>
    <w:rsid w:val="00262A3F"/>
    <w:rsid w:val="002645F5"/>
    <w:rsid w:val="00264C8E"/>
    <w:rsid w:val="00267711"/>
    <w:rsid w:val="002716A4"/>
    <w:rsid w:val="00271A80"/>
    <w:rsid w:val="0027384B"/>
    <w:rsid w:val="002766FA"/>
    <w:rsid w:val="0028039B"/>
    <w:rsid w:val="00280C85"/>
    <w:rsid w:val="00281782"/>
    <w:rsid w:val="002829BB"/>
    <w:rsid w:val="0028604F"/>
    <w:rsid w:val="002911BC"/>
    <w:rsid w:val="002913D0"/>
    <w:rsid w:val="002937A4"/>
    <w:rsid w:val="00294287"/>
    <w:rsid w:val="00294A3C"/>
    <w:rsid w:val="00296449"/>
    <w:rsid w:val="002A58D6"/>
    <w:rsid w:val="002B01EB"/>
    <w:rsid w:val="002B14BA"/>
    <w:rsid w:val="002B2CDC"/>
    <w:rsid w:val="002B3DC1"/>
    <w:rsid w:val="002B458F"/>
    <w:rsid w:val="002B7CC7"/>
    <w:rsid w:val="002C2088"/>
    <w:rsid w:val="002C2FE3"/>
    <w:rsid w:val="002C4629"/>
    <w:rsid w:val="002C4749"/>
    <w:rsid w:val="002C4D8E"/>
    <w:rsid w:val="002D45C0"/>
    <w:rsid w:val="002D7D23"/>
    <w:rsid w:val="002E1C54"/>
    <w:rsid w:val="002E32B4"/>
    <w:rsid w:val="002E77D4"/>
    <w:rsid w:val="002E7FE8"/>
    <w:rsid w:val="002F033B"/>
    <w:rsid w:val="002F16D8"/>
    <w:rsid w:val="002F2545"/>
    <w:rsid w:val="002F4C6B"/>
    <w:rsid w:val="00300176"/>
    <w:rsid w:val="003016DE"/>
    <w:rsid w:val="00302DBA"/>
    <w:rsid w:val="00303697"/>
    <w:rsid w:val="00310B26"/>
    <w:rsid w:val="00310C78"/>
    <w:rsid w:val="00311E75"/>
    <w:rsid w:val="0031278B"/>
    <w:rsid w:val="00313B2A"/>
    <w:rsid w:val="00314C2B"/>
    <w:rsid w:val="00315E5C"/>
    <w:rsid w:val="00316186"/>
    <w:rsid w:val="003169F1"/>
    <w:rsid w:val="00317E69"/>
    <w:rsid w:val="003233AA"/>
    <w:rsid w:val="00324A5D"/>
    <w:rsid w:val="003307A9"/>
    <w:rsid w:val="0033273F"/>
    <w:rsid w:val="00341D41"/>
    <w:rsid w:val="0034223F"/>
    <w:rsid w:val="00343F57"/>
    <w:rsid w:val="00344A45"/>
    <w:rsid w:val="00350F82"/>
    <w:rsid w:val="00352217"/>
    <w:rsid w:val="003522A4"/>
    <w:rsid w:val="003522C3"/>
    <w:rsid w:val="0035359B"/>
    <w:rsid w:val="003537C1"/>
    <w:rsid w:val="00353D75"/>
    <w:rsid w:val="00354DB1"/>
    <w:rsid w:val="003551E6"/>
    <w:rsid w:val="00356FAB"/>
    <w:rsid w:val="00357B1C"/>
    <w:rsid w:val="00362A1B"/>
    <w:rsid w:val="003644CA"/>
    <w:rsid w:val="00364A42"/>
    <w:rsid w:val="00365AF2"/>
    <w:rsid w:val="00370F7F"/>
    <w:rsid w:val="0037109E"/>
    <w:rsid w:val="00372B4E"/>
    <w:rsid w:val="00377E32"/>
    <w:rsid w:val="003804CD"/>
    <w:rsid w:val="00381A3F"/>
    <w:rsid w:val="00385421"/>
    <w:rsid w:val="003865B1"/>
    <w:rsid w:val="00387B30"/>
    <w:rsid w:val="00395A8D"/>
    <w:rsid w:val="003A13FC"/>
    <w:rsid w:val="003A6756"/>
    <w:rsid w:val="003B0C03"/>
    <w:rsid w:val="003B1F9B"/>
    <w:rsid w:val="003B520E"/>
    <w:rsid w:val="003C23FA"/>
    <w:rsid w:val="003C2949"/>
    <w:rsid w:val="003C29DD"/>
    <w:rsid w:val="003C370C"/>
    <w:rsid w:val="003C5248"/>
    <w:rsid w:val="003C642A"/>
    <w:rsid w:val="003D0F05"/>
    <w:rsid w:val="003D135B"/>
    <w:rsid w:val="003D3027"/>
    <w:rsid w:val="003D312A"/>
    <w:rsid w:val="003D35D3"/>
    <w:rsid w:val="003D59A1"/>
    <w:rsid w:val="003D5FD1"/>
    <w:rsid w:val="003D6415"/>
    <w:rsid w:val="003D6F11"/>
    <w:rsid w:val="003D7939"/>
    <w:rsid w:val="003E20DD"/>
    <w:rsid w:val="003E4C04"/>
    <w:rsid w:val="003E51BF"/>
    <w:rsid w:val="003E5803"/>
    <w:rsid w:val="003E5902"/>
    <w:rsid w:val="003F352F"/>
    <w:rsid w:val="003F3578"/>
    <w:rsid w:val="003F4165"/>
    <w:rsid w:val="003F689B"/>
    <w:rsid w:val="003F6A7A"/>
    <w:rsid w:val="004005ED"/>
    <w:rsid w:val="00402F38"/>
    <w:rsid w:val="004032BD"/>
    <w:rsid w:val="004039BE"/>
    <w:rsid w:val="0040534A"/>
    <w:rsid w:val="004176A4"/>
    <w:rsid w:val="004204BE"/>
    <w:rsid w:val="0042422B"/>
    <w:rsid w:val="004315A2"/>
    <w:rsid w:val="00431878"/>
    <w:rsid w:val="00431C1A"/>
    <w:rsid w:val="004324F7"/>
    <w:rsid w:val="00434021"/>
    <w:rsid w:val="0043493E"/>
    <w:rsid w:val="00436FB2"/>
    <w:rsid w:val="004402AD"/>
    <w:rsid w:val="00441730"/>
    <w:rsid w:val="0044261A"/>
    <w:rsid w:val="004439DE"/>
    <w:rsid w:val="00444671"/>
    <w:rsid w:val="00444E42"/>
    <w:rsid w:val="00445C00"/>
    <w:rsid w:val="004513BB"/>
    <w:rsid w:val="004516F7"/>
    <w:rsid w:val="004529D6"/>
    <w:rsid w:val="00460717"/>
    <w:rsid w:val="00461717"/>
    <w:rsid w:val="00463BB0"/>
    <w:rsid w:val="004675D9"/>
    <w:rsid w:val="00473899"/>
    <w:rsid w:val="00474F48"/>
    <w:rsid w:val="004768D8"/>
    <w:rsid w:val="004800A1"/>
    <w:rsid w:val="00480D75"/>
    <w:rsid w:val="004832FF"/>
    <w:rsid w:val="00483499"/>
    <w:rsid w:val="0048441E"/>
    <w:rsid w:val="00485FA2"/>
    <w:rsid w:val="004862E9"/>
    <w:rsid w:val="004933D4"/>
    <w:rsid w:val="00493932"/>
    <w:rsid w:val="00493B21"/>
    <w:rsid w:val="00495216"/>
    <w:rsid w:val="004969A9"/>
    <w:rsid w:val="004A4673"/>
    <w:rsid w:val="004B1783"/>
    <w:rsid w:val="004B1C65"/>
    <w:rsid w:val="004B365D"/>
    <w:rsid w:val="004B4386"/>
    <w:rsid w:val="004B6731"/>
    <w:rsid w:val="004C7E64"/>
    <w:rsid w:val="004D0F9A"/>
    <w:rsid w:val="004D2A03"/>
    <w:rsid w:val="004D3E54"/>
    <w:rsid w:val="004D42EC"/>
    <w:rsid w:val="004D47A4"/>
    <w:rsid w:val="004D4D67"/>
    <w:rsid w:val="004D6833"/>
    <w:rsid w:val="004E00F8"/>
    <w:rsid w:val="004E4573"/>
    <w:rsid w:val="004E4E8D"/>
    <w:rsid w:val="004E5930"/>
    <w:rsid w:val="004E683A"/>
    <w:rsid w:val="004E72CB"/>
    <w:rsid w:val="004F0539"/>
    <w:rsid w:val="004F0874"/>
    <w:rsid w:val="004F1B4F"/>
    <w:rsid w:val="004F1F73"/>
    <w:rsid w:val="004F38AA"/>
    <w:rsid w:val="004F56AF"/>
    <w:rsid w:val="004F5A89"/>
    <w:rsid w:val="004F7B81"/>
    <w:rsid w:val="0050448A"/>
    <w:rsid w:val="00505044"/>
    <w:rsid w:val="0050593E"/>
    <w:rsid w:val="005076C8"/>
    <w:rsid w:val="005103BA"/>
    <w:rsid w:val="00510E4C"/>
    <w:rsid w:val="005212CF"/>
    <w:rsid w:val="00521B58"/>
    <w:rsid w:val="00524FEE"/>
    <w:rsid w:val="005268C8"/>
    <w:rsid w:val="00532675"/>
    <w:rsid w:val="00535025"/>
    <w:rsid w:val="00537033"/>
    <w:rsid w:val="0053749E"/>
    <w:rsid w:val="00540CB2"/>
    <w:rsid w:val="005425C7"/>
    <w:rsid w:val="0054309A"/>
    <w:rsid w:val="00543451"/>
    <w:rsid w:val="00546D21"/>
    <w:rsid w:val="00547F02"/>
    <w:rsid w:val="005505DC"/>
    <w:rsid w:val="00550CA5"/>
    <w:rsid w:val="00551342"/>
    <w:rsid w:val="00551F52"/>
    <w:rsid w:val="005524C9"/>
    <w:rsid w:val="005563DA"/>
    <w:rsid w:val="00561333"/>
    <w:rsid w:val="00562169"/>
    <w:rsid w:val="005661DC"/>
    <w:rsid w:val="00572925"/>
    <w:rsid w:val="00574DC8"/>
    <w:rsid w:val="00582A5C"/>
    <w:rsid w:val="00583D70"/>
    <w:rsid w:val="00586838"/>
    <w:rsid w:val="00591160"/>
    <w:rsid w:val="00592CAE"/>
    <w:rsid w:val="00593CE9"/>
    <w:rsid w:val="00593DD2"/>
    <w:rsid w:val="005973FC"/>
    <w:rsid w:val="005A020D"/>
    <w:rsid w:val="005A4596"/>
    <w:rsid w:val="005A7972"/>
    <w:rsid w:val="005A7A3D"/>
    <w:rsid w:val="005B0766"/>
    <w:rsid w:val="005B0B7E"/>
    <w:rsid w:val="005B3362"/>
    <w:rsid w:val="005B456C"/>
    <w:rsid w:val="005B5C9B"/>
    <w:rsid w:val="005B6855"/>
    <w:rsid w:val="005C1766"/>
    <w:rsid w:val="005C7897"/>
    <w:rsid w:val="005D0D04"/>
    <w:rsid w:val="005D68E2"/>
    <w:rsid w:val="005D6DEB"/>
    <w:rsid w:val="005D7601"/>
    <w:rsid w:val="005E1FC2"/>
    <w:rsid w:val="005E4124"/>
    <w:rsid w:val="005E4B46"/>
    <w:rsid w:val="005E7979"/>
    <w:rsid w:val="005F1FAF"/>
    <w:rsid w:val="005F3A4B"/>
    <w:rsid w:val="005F449F"/>
    <w:rsid w:val="005F54C7"/>
    <w:rsid w:val="005F6915"/>
    <w:rsid w:val="005F734D"/>
    <w:rsid w:val="0060078A"/>
    <w:rsid w:val="00604115"/>
    <w:rsid w:val="00605094"/>
    <w:rsid w:val="00605425"/>
    <w:rsid w:val="00614D4C"/>
    <w:rsid w:val="00616D47"/>
    <w:rsid w:val="00621AD7"/>
    <w:rsid w:val="00621E39"/>
    <w:rsid w:val="00621E8B"/>
    <w:rsid w:val="00622102"/>
    <w:rsid w:val="006272DC"/>
    <w:rsid w:val="00634309"/>
    <w:rsid w:val="006356BF"/>
    <w:rsid w:val="00637EDA"/>
    <w:rsid w:val="00637F1D"/>
    <w:rsid w:val="006411DC"/>
    <w:rsid w:val="00643EAB"/>
    <w:rsid w:val="0064733A"/>
    <w:rsid w:val="006504C0"/>
    <w:rsid w:val="00650C10"/>
    <w:rsid w:val="0065409F"/>
    <w:rsid w:val="00655DCE"/>
    <w:rsid w:val="006578B7"/>
    <w:rsid w:val="00657AE9"/>
    <w:rsid w:val="00657D42"/>
    <w:rsid w:val="006624E8"/>
    <w:rsid w:val="00662B49"/>
    <w:rsid w:val="006642F2"/>
    <w:rsid w:val="00664F7D"/>
    <w:rsid w:val="0066723D"/>
    <w:rsid w:val="0067240C"/>
    <w:rsid w:val="00672E1E"/>
    <w:rsid w:val="00673945"/>
    <w:rsid w:val="00684766"/>
    <w:rsid w:val="006847D0"/>
    <w:rsid w:val="00690B68"/>
    <w:rsid w:val="006924F7"/>
    <w:rsid w:val="00694740"/>
    <w:rsid w:val="006A0A29"/>
    <w:rsid w:val="006A2408"/>
    <w:rsid w:val="006A5AB7"/>
    <w:rsid w:val="006B0609"/>
    <w:rsid w:val="006B1B31"/>
    <w:rsid w:val="006B2606"/>
    <w:rsid w:val="006B3695"/>
    <w:rsid w:val="006C70E7"/>
    <w:rsid w:val="006C7BE2"/>
    <w:rsid w:val="006C7F25"/>
    <w:rsid w:val="006D0FF2"/>
    <w:rsid w:val="006D6325"/>
    <w:rsid w:val="006E0AA8"/>
    <w:rsid w:val="006E5E7F"/>
    <w:rsid w:val="006E68D1"/>
    <w:rsid w:val="006E7361"/>
    <w:rsid w:val="006F02EA"/>
    <w:rsid w:val="006F3FEE"/>
    <w:rsid w:val="006F4216"/>
    <w:rsid w:val="006F5B85"/>
    <w:rsid w:val="00702067"/>
    <w:rsid w:val="0070418E"/>
    <w:rsid w:val="00705019"/>
    <w:rsid w:val="00705178"/>
    <w:rsid w:val="0070771B"/>
    <w:rsid w:val="00707786"/>
    <w:rsid w:val="00710ACD"/>
    <w:rsid w:val="007118F7"/>
    <w:rsid w:val="00712511"/>
    <w:rsid w:val="00713669"/>
    <w:rsid w:val="00714D20"/>
    <w:rsid w:val="00715755"/>
    <w:rsid w:val="00716A04"/>
    <w:rsid w:val="007246EC"/>
    <w:rsid w:val="0072701D"/>
    <w:rsid w:val="00730595"/>
    <w:rsid w:val="00733D77"/>
    <w:rsid w:val="0073486C"/>
    <w:rsid w:val="00735651"/>
    <w:rsid w:val="00735C27"/>
    <w:rsid w:val="00735EF4"/>
    <w:rsid w:val="00743410"/>
    <w:rsid w:val="007444DF"/>
    <w:rsid w:val="0074457B"/>
    <w:rsid w:val="00754EAE"/>
    <w:rsid w:val="0075561B"/>
    <w:rsid w:val="00760EA6"/>
    <w:rsid w:val="00763648"/>
    <w:rsid w:val="0076494E"/>
    <w:rsid w:val="007738B2"/>
    <w:rsid w:val="00774496"/>
    <w:rsid w:val="00774CA6"/>
    <w:rsid w:val="007756FB"/>
    <w:rsid w:val="0078381A"/>
    <w:rsid w:val="00785F87"/>
    <w:rsid w:val="00792AE4"/>
    <w:rsid w:val="0079351C"/>
    <w:rsid w:val="00795B3B"/>
    <w:rsid w:val="007961CD"/>
    <w:rsid w:val="007A230F"/>
    <w:rsid w:val="007A3750"/>
    <w:rsid w:val="007A5561"/>
    <w:rsid w:val="007A6B20"/>
    <w:rsid w:val="007A6DAC"/>
    <w:rsid w:val="007A7E8D"/>
    <w:rsid w:val="007B17D8"/>
    <w:rsid w:val="007B342F"/>
    <w:rsid w:val="007B41B4"/>
    <w:rsid w:val="007B6927"/>
    <w:rsid w:val="007C08CC"/>
    <w:rsid w:val="007C17D7"/>
    <w:rsid w:val="007C27E0"/>
    <w:rsid w:val="007C5BDE"/>
    <w:rsid w:val="007C7290"/>
    <w:rsid w:val="007D24F4"/>
    <w:rsid w:val="007D6131"/>
    <w:rsid w:val="007D62E2"/>
    <w:rsid w:val="007D738F"/>
    <w:rsid w:val="007E425C"/>
    <w:rsid w:val="007E6325"/>
    <w:rsid w:val="007E7AF1"/>
    <w:rsid w:val="007F599B"/>
    <w:rsid w:val="007F6C8B"/>
    <w:rsid w:val="008004E3"/>
    <w:rsid w:val="008017E8"/>
    <w:rsid w:val="0080364A"/>
    <w:rsid w:val="008105DE"/>
    <w:rsid w:val="0081367E"/>
    <w:rsid w:val="00813A06"/>
    <w:rsid w:val="00814F63"/>
    <w:rsid w:val="0081743A"/>
    <w:rsid w:val="008203B4"/>
    <w:rsid w:val="0082105B"/>
    <w:rsid w:val="008220A2"/>
    <w:rsid w:val="00822CC1"/>
    <w:rsid w:val="0082301E"/>
    <w:rsid w:val="0082478D"/>
    <w:rsid w:val="0082654E"/>
    <w:rsid w:val="00827512"/>
    <w:rsid w:val="00827BAC"/>
    <w:rsid w:val="00831E79"/>
    <w:rsid w:val="0083438F"/>
    <w:rsid w:val="00834B18"/>
    <w:rsid w:val="00837F94"/>
    <w:rsid w:val="008441C4"/>
    <w:rsid w:val="00845953"/>
    <w:rsid w:val="008471F8"/>
    <w:rsid w:val="00851622"/>
    <w:rsid w:val="00851C23"/>
    <w:rsid w:val="00854E39"/>
    <w:rsid w:val="00855E24"/>
    <w:rsid w:val="00856A47"/>
    <w:rsid w:val="0085794A"/>
    <w:rsid w:val="0086183C"/>
    <w:rsid w:val="00863DD7"/>
    <w:rsid w:val="00864BA4"/>
    <w:rsid w:val="008715FA"/>
    <w:rsid w:val="00875895"/>
    <w:rsid w:val="008762B3"/>
    <w:rsid w:val="00880387"/>
    <w:rsid w:val="00880CF3"/>
    <w:rsid w:val="00881FE4"/>
    <w:rsid w:val="0088407F"/>
    <w:rsid w:val="00884F51"/>
    <w:rsid w:val="00886A57"/>
    <w:rsid w:val="00886E49"/>
    <w:rsid w:val="00886ECA"/>
    <w:rsid w:val="008909C6"/>
    <w:rsid w:val="008923F1"/>
    <w:rsid w:val="00893A1B"/>
    <w:rsid w:val="008961E6"/>
    <w:rsid w:val="008970F4"/>
    <w:rsid w:val="008A0DC5"/>
    <w:rsid w:val="008A70C1"/>
    <w:rsid w:val="008B234A"/>
    <w:rsid w:val="008B2749"/>
    <w:rsid w:val="008B451C"/>
    <w:rsid w:val="008C28A7"/>
    <w:rsid w:val="008D06E4"/>
    <w:rsid w:val="008D1989"/>
    <w:rsid w:val="008D4CB3"/>
    <w:rsid w:val="008D4E00"/>
    <w:rsid w:val="008D58FE"/>
    <w:rsid w:val="008E05E2"/>
    <w:rsid w:val="008E0F2A"/>
    <w:rsid w:val="008E0FE8"/>
    <w:rsid w:val="008E1F12"/>
    <w:rsid w:val="008E2D18"/>
    <w:rsid w:val="008E33EC"/>
    <w:rsid w:val="008E4246"/>
    <w:rsid w:val="008E7DC2"/>
    <w:rsid w:val="008F040F"/>
    <w:rsid w:val="008F0CCE"/>
    <w:rsid w:val="008F1B3C"/>
    <w:rsid w:val="008F5185"/>
    <w:rsid w:val="008F78BF"/>
    <w:rsid w:val="008F7DF2"/>
    <w:rsid w:val="00901320"/>
    <w:rsid w:val="00901ACB"/>
    <w:rsid w:val="00905F7B"/>
    <w:rsid w:val="00906784"/>
    <w:rsid w:val="00906DD8"/>
    <w:rsid w:val="00910384"/>
    <w:rsid w:val="00911610"/>
    <w:rsid w:val="0091278B"/>
    <w:rsid w:val="00913A8A"/>
    <w:rsid w:val="00913C1A"/>
    <w:rsid w:val="00915144"/>
    <w:rsid w:val="009166A9"/>
    <w:rsid w:val="0091792B"/>
    <w:rsid w:val="0092340B"/>
    <w:rsid w:val="009245FE"/>
    <w:rsid w:val="00925150"/>
    <w:rsid w:val="00925BC2"/>
    <w:rsid w:val="00925F42"/>
    <w:rsid w:val="009327FD"/>
    <w:rsid w:val="009332FA"/>
    <w:rsid w:val="00934026"/>
    <w:rsid w:val="00937E4E"/>
    <w:rsid w:val="0094385F"/>
    <w:rsid w:val="00946FA5"/>
    <w:rsid w:val="00947FB3"/>
    <w:rsid w:val="00950320"/>
    <w:rsid w:val="009518E6"/>
    <w:rsid w:val="009525A0"/>
    <w:rsid w:val="00952DDD"/>
    <w:rsid w:val="00954AE0"/>
    <w:rsid w:val="00954D03"/>
    <w:rsid w:val="009553B5"/>
    <w:rsid w:val="0095551A"/>
    <w:rsid w:val="00956C90"/>
    <w:rsid w:val="00956F17"/>
    <w:rsid w:val="0095714B"/>
    <w:rsid w:val="00957F74"/>
    <w:rsid w:val="0096081E"/>
    <w:rsid w:val="009628B0"/>
    <w:rsid w:val="00963204"/>
    <w:rsid w:val="00964AE8"/>
    <w:rsid w:val="00966AA9"/>
    <w:rsid w:val="009674B6"/>
    <w:rsid w:val="0097153F"/>
    <w:rsid w:val="00972E0E"/>
    <w:rsid w:val="00973339"/>
    <w:rsid w:val="009744CF"/>
    <w:rsid w:val="00976EF6"/>
    <w:rsid w:val="00977898"/>
    <w:rsid w:val="00977C98"/>
    <w:rsid w:val="00977DD4"/>
    <w:rsid w:val="00981B9B"/>
    <w:rsid w:val="00990ED9"/>
    <w:rsid w:val="009920E0"/>
    <w:rsid w:val="00994A1A"/>
    <w:rsid w:val="00996307"/>
    <w:rsid w:val="009967DF"/>
    <w:rsid w:val="009A1F3D"/>
    <w:rsid w:val="009A5034"/>
    <w:rsid w:val="009A549F"/>
    <w:rsid w:val="009B3027"/>
    <w:rsid w:val="009B3F10"/>
    <w:rsid w:val="009C3DFD"/>
    <w:rsid w:val="009D3186"/>
    <w:rsid w:val="009D57FB"/>
    <w:rsid w:val="009D5827"/>
    <w:rsid w:val="009D6330"/>
    <w:rsid w:val="009F107E"/>
    <w:rsid w:val="009F1159"/>
    <w:rsid w:val="009F2EC3"/>
    <w:rsid w:val="009F30F5"/>
    <w:rsid w:val="009F3CE6"/>
    <w:rsid w:val="009F4626"/>
    <w:rsid w:val="009F60F1"/>
    <w:rsid w:val="009F79BF"/>
    <w:rsid w:val="00A00266"/>
    <w:rsid w:val="00A03163"/>
    <w:rsid w:val="00A050DF"/>
    <w:rsid w:val="00A1123B"/>
    <w:rsid w:val="00A112E0"/>
    <w:rsid w:val="00A112ED"/>
    <w:rsid w:val="00A119B1"/>
    <w:rsid w:val="00A12A7F"/>
    <w:rsid w:val="00A14624"/>
    <w:rsid w:val="00A15191"/>
    <w:rsid w:val="00A17519"/>
    <w:rsid w:val="00A2668A"/>
    <w:rsid w:val="00A274A7"/>
    <w:rsid w:val="00A31820"/>
    <w:rsid w:val="00A3208E"/>
    <w:rsid w:val="00A33D97"/>
    <w:rsid w:val="00A36353"/>
    <w:rsid w:val="00A421FA"/>
    <w:rsid w:val="00A44C40"/>
    <w:rsid w:val="00A54408"/>
    <w:rsid w:val="00A60324"/>
    <w:rsid w:val="00A643E2"/>
    <w:rsid w:val="00A64E0D"/>
    <w:rsid w:val="00A65E39"/>
    <w:rsid w:val="00A67DCC"/>
    <w:rsid w:val="00A70A89"/>
    <w:rsid w:val="00A7372C"/>
    <w:rsid w:val="00A8168B"/>
    <w:rsid w:val="00A866B7"/>
    <w:rsid w:val="00A86DF6"/>
    <w:rsid w:val="00A871AB"/>
    <w:rsid w:val="00A95C1E"/>
    <w:rsid w:val="00AA0540"/>
    <w:rsid w:val="00AA06B8"/>
    <w:rsid w:val="00AA0BFA"/>
    <w:rsid w:val="00AA1306"/>
    <w:rsid w:val="00AA24CF"/>
    <w:rsid w:val="00AA2FB9"/>
    <w:rsid w:val="00AA6CCC"/>
    <w:rsid w:val="00AB01EB"/>
    <w:rsid w:val="00AB062A"/>
    <w:rsid w:val="00AB2544"/>
    <w:rsid w:val="00AB25B1"/>
    <w:rsid w:val="00AB4549"/>
    <w:rsid w:val="00AB57C7"/>
    <w:rsid w:val="00AB6789"/>
    <w:rsid w:val="00AC10EE"/>
    <w:rsid w:val="00AC2D30"/>
    <w:rsid w:val="00AC3A50"/>
    <w:rsid w:val="00AD0074"/>
    <w:rsid w:val="00AD10DA"/>
    <w:rsid w:val="00AD1C9F"/>
    <w:rsid w:val="00AD1EAE"/>
    <w:rsid w:val="00AD457D"/>
    <w:rsid w:val="00AD45E2"/>
    <w:rsid w:val="00AD5974"/>
    <w:rsid w:val="00AD769C"/>
    <w:rsid w:val="00AE27B2"/>
    <w:rsid w:val="00AE3F15"/>
    <w:rsid w:val="00AE4E30"/>
    <w:rsid w:val="00AE6FC8"/>
    <w:rsid w:val="00AF202D"/>
    <w:rsid w:val="00AF4308"/>
    <w:rsid w:val="00B003FF"/>
    <w:rsid w:val="00B00DC0"/>
    <w:rsid w:val="00B01232"/>
    <w:rsid w:val="00B014B5"/>
    <w:rsid w:val="00B06465"/>
    <w:rsid w:val="00B10012"/>
    <w:rsid w:val="00B102E6"/>
    <w:rsid w:val="00B11710"/>
    <w:rsid w:val="00B15AC2"/>
    <w:rsid w:val="00B17E3D"/>
    <w:rsid w:val="00B258E1"/>
    <w:rsid w:val="00B30032"/>
    <w:rsid w:val="00B303D2"/>
    <w:rsid w:val="00B31059"/>
    <w:rsid w:val="00B31952"/>
    <w:rsid w:val="00B319B9"/>
    <w:rsid w:val="00B31F5A"/>
    <w:rsid w:val="00B32A50"/>
    <w:rsid w:val="00B32A57"/>
    <w:rsid w:val="00B347FF"/>
    <w:rsid w:val="00B37458"/>
    <w:rsid w:val="00B41BA5"/>
    <w:rsid w:val="00B42F15"/>
    <w:rsid w:val="00B47C90"/>
    <w:rsid w:val="00B50153"/>
    <w:rsid w:val="00B5141F"/>
    <w:rsid w:val="00B51F10"/>
    <w:rsid w:val="00B52EEC"/>
    <w:rsid w:val="00B61681"/>
    <w:rsid w:val="00B61B3E"/>
    <w:rsid w:val="00B66F81"/>
    <w:rsid w:val="00B701BB"/>
    <w:rsid w:val="00B71218"/>
    <w:rsid w:val="00B76453"/>
    <w:rsid w:val="00B77EC5"/>
    <w:rsid w:val="00B80745"/>
    <w:rsid w:val="00B83B96"/>
    <w:rsid w:val="00B83D96"/>
    <w:rsid w:val="00B86095"/>
    <w:rsid w:val="00B86A28"/>
    <w:rsid w:val="00B86DA6"/>
    <w:rsid w:val="00B93680"/>
    <w:rsid w:val="00B94BFC"/>
    <w:rsid w:val="00BA079A"/>
    <w:rsid w:val="00BA1299"/>
    <w:rsid w:val="00BA2BC3"/>
    <w:rsid w:val="00BA34A3"/>
    <w:rsid w:val="00BA7295"/>
    <w:rsid w:val="00BA79D6"/>
    <w:rsid w:val="00BB060F"/>
    <w:rsid w:val="00BB2B35"/>
    <w:rsid w:val="00BB389E"/>
    <w:rsid w:val="00BB4655"/>
    <w:rsid w:val="00BC24BC"/>
    <w:rsid w:val="00BC32A1"/>
    <w:rsid w:val="00BC4218"/>
    <w:rsid w:val="00BC5876"/>
    <w:rsid w:val="00BC5A5C"/>
    <w:rsid w:val="00BC6C72"/>
    <w:rsid w:val="00BD2ABC"/>
    <w:rsid w:val="00BD568B"/>
    <w:rsid w:val="00BE6B32"/>
    <w:rsid w:val="00BF2451"/>
    <w:rsid w:val="00BF2B67"/>
    <w:rsid w:val="00BF4D40"/>
    <w:rsid w:val="00BF7E8F"/>
    <w:rsid w:val="00C01672"/>
    <w:rsid w:val="00C0264C"/>
    <w:rsid w:val="00C03A87"/>
    <w:rsid w:val="00C03C7B"/>
    <w:rsid w:val="00C119BF"/>
    <w:rsid w:val="00C14259"/>
    <w:rsid w:val="00C1653F"/>
    <w:rsid w:val="00C20A48"/>
    <w:rsid w:val="00C21036"/>
    <w:rsid w:val="00C21E38"/>
    <w:rsid w:val="00C2458E"/>
    <w:rsid w:val="00C247C7"/>
    <w:rsid w:val="00C248C3"/>
    <w:rsid w:val="00C24946"/>
    <w:rsid w:val="00C35EBB"/>
    <w:rsid w:val="00C36BFE"/>
    <w:rsid w:val="00C372FF"/>
    <w:rsid w:val="00C41059"/>
    <w:rsid w:val="00C4361B"/>
    <w:rsid w:val="00C453A0"/>
    <w:rsid w:val="00C4577B"/>
    <w:rsid w:val="00C45B94"/>
    <w:rsid w:val="00C47067"/>
    <w:rsid w:val="00C57691"/>
    <w:rsid w:val="00C60CA1"/>
    <w:rsid w:val="00C70D26"/>
    <w:rsid w:val="00C733FB"/>
    <w:rsid w:val="00C74583"/>
    <w:rsid w:val="00C80266"/>
    <w:rsid w:val="00C837B1"/>
    <w:rsid w:val="00C84851"/>
    <w:rsid w:val="00C8599E"/>
    <w:rsid w:val="00C86AC2"/>
    <w:rsid w:val="00C8776D"/>
    <w:rsid w:val="00C87E1E"/>
    <w:rsid w:val="00C92FA7"/>
    <w:rsid w:val="00C93D4E"/>
    <w:rsid w:val="00C95215"/>
    <w:rsid w:val="00CA0B60"/>
    <w:rsid w:val="00CA0EFC"/>
    <w:rsid w:val="00CA23A1"/>
    <w:rsid w:val="00CA3FFA"/>
    <w:rsid w:val="00CA5D24"/>
    <w:rsid w:val="00CA6027"/>
    <w:rsid w:val="00CB3C74"/>
    <w:rsid w:val="00CB4BBD"/>
    <w:rsid w:val="00CC1F8B"/>
    <w:rsid w:val="00CC2DFB"/>
    <w:rsid w:val="00CC6C3B"/>
    <w:rsid w:val="00CD136A"/>
    <w:rsid w:val="00CD1A98"/>
    <w:rsid w:val="00CD3B2E"/>
    <w:rsid w:val="00CE34C4"/>
    <w:rsid w:val="00CF0646"/>
    <w:rsid w:val="00CF1EE8"/>
    <w:rsid w:val="00CF24A3"/>
    <w:rsid w:val="00CF49E6"/>
    <w:rsid w:val="00CF675A"/>
    <w:rsid w:val="00CF7A66"/>
    <w:rsid w:val="00D02168"/>
    <w:rsid w:val="00D0228D"/>
    <w:rsid w:val="00D065CD"/>
    <w:rsid w:val="00D06610"/>
    <w:rsid w:val="00D11204"/>
    <w:rsid w:val="00D121CD"/>
    <w:rsid w:val="00D14FA6"/>
    <w:rsid w:val="00D15196"/>
    <w:rsid w:val="00D200C6"/>
    <w:rsid w:val="00D206CA"/>
    <w:rsid w:val="00D22A95"/>
    <w:rsid w:val="00D24DB6"/>
    <w:rsid w:val="00D2637D"/>
    <w:rsid w:val="00D26D28"/>
    <w:rsid w:val="00D3032B"/>
    <w:rsid w:val="00D322EE"/>
    <w:rsid w:val="00D33103"/>
    <w:rsid w:val="00D33476"/>
    <w:rsid w:val="00D338CE"/>
    <w:rsid w:val="00D36D69"/>
    <w:rsid w:val="00D46934"/>
    <w:rsid w:val="00D47457"/>
    <w:rsid w:val="00D5158A"/>
    <w:rsid w:val="00D55D45"/>
    <w:rsid w:val="00D617C3"/>
    <w:rsid w:val="00D62E82"/>
    <w:rsid w:val="00D62F75"/>
    <w:rsid w:val="00D71F63"/>
    <w:rsid w:val="00D722A3"/>
    <w:rsid w:val="00D74CB9"/>
    <w:rsid w:val="00D80861"/>
    <w:rsid w:val="00D80B33"/>
    <w:rsid w:val="00D8257C"/>
    <w:rsid w:val="00D85252"/>
    <w:rsid w:val="00D874C6"/>
    <w:rsid w:val="00D90902"/>
    <w:rsid w:val="00D91BD3"/>
    <w:rsid w:val="00DA236D"/>
    <w:rsid w:val="00DA3CD8"/>
    <w:rsid w:val="00DA4E30"/>
    <w:rsid w:val="00DB2728"/>
    <w:rsid w:val="00DB2F0D"/>
    <w:rsid w:val="00DB3D37"/>
    <w:rsid w:val="00DC0D59"/>
    <w:rsid w:val="00DC0F0D"/>
    <w:rsid w:val="00DC4987"/>
    <w:rsid w:val="00DC4CB6"/>
    <w:rsid w:val="00DC5524"/>
    <w:rsid w:val="00DD6798"/>
    <w:rsid w:val="00DD6A07"/>
    <w:rsid w:val="00DD6A59"/>
    <w:rsid w:val="00DD7DD5"/>
    <w:rsid w:val="00DE0521"/>
    <w:rsid w:val="00DE0625"/>
    <w:rsid w:val="00DE2E56"/>
    <w:rsid w:val="00DE2ECC"/>
    <w:rsid w:val="00DE3D90"/>
    <w:rsid w:val="00DE43F0"/>
    <w:rsid w:val="00DE773A"/>
    <w:rsid w:val="00DF214D"/>
    <w:rsid w:val="00DF2D9F"/>
    <w:rsid w:val="00DF626B"/>
    <w:rsid w:val="00E066A7"/>
    <w:rsid w:val="00E11D6B"/>
    <w:rsid w:val="00E158EC"/>
    <w:rsid w:val="00E15A58"/>
    <w:rsid w:val="00E15B52"/>
    <w:rsid w:val="00E2064E"/>
    <w:rsid w:val="00E20C1A"/>
    <w:rsid w:val="00E23302"/>
    <w:rsid w:val="00E23B93"/>
    <w:rsid w:val="00E3002F"/>
    <w:rsid w:val="00E316DA"/>
    <w:rsid w:val="00E31C53"/>
    <w:rsid w:val="00E33008"/>
    <w:rsid w:val="00E341B5"/>
    <w:rsid w:val="00E41624"/>
    <w:rsid w:val="00E44A3C"/>
    <w:rsid w:val="00E51604"/>
    <w:rsid w:val="00E516D0"/>
    <w:rsid w:val="00E51879"/>
    <w:rsid w:val="00E55A14"/>
    <w:rsid w:val="00E56650"/>
    <w:rsid w:val="00E60D8F"/>
    <w:rsid w:val="00E627AD"/>
    <w:rsid w:val="00E62C49"/>
    <w:rsid w:val="00E63872"/>
    <w:rsid w:val="00E6688C"/>
    <w:rsid w:val="00E67414"/>
    <w:rsid w:val="00E742B4"/>
    <w:rsid w:val="00E74D8B"/>
    <w:rsid w:val="00E76A80"/>
    <w:rsid w:val="00E80500"/>
    <w:rsid w:val="00E814DC"/>
    <w:rsid w:val="00E94902"/>
    <w:rsid w:val="00EA0699"/>
    <w:rsid w:val="00EA1287"/>
    <w:rsid w:val="00EA3B8F"/>
    <w:rsid w:val="00EA545A"/>
    <w:rsid w:val="00EA5FA1"/>
    <w:rsid w:val="00EA7488"/>
    <w:rsid w:val="00EA7F8E"/>
    <w:rsid w:val="00EB1818"/>
    <w:rsid w:val="00EB56E4"/>
    <w:rsid w:val="00EC2DA1"/>
    <w:rsid w:val="00EC3155"/>
    <w:rsid w:val="00EC41FC"/>
    <w:rsid w:val="00EC433B"/>
    <w:rsid w:val="00EC49BB"/>
    <w:rsid w:val="00EC5D32"/>
    <w:rsid w:val="00EC7CDB"/>
    <w:rsid w:val="00EE12D0"/>
    <w:rsid w:val="00EE189E"/>
    <w:rsid w:val="00EE439C"/>
    <w:rsid w:val="00EE4472"/>
    <w:rsid w:val="00EF06E7"/>
    <w:rsid w:val="00EF0B31"/>
    <w:rsid w:val="00EF26C4"/>
    <w:rsid w:val="00EF30CC"/>
    <w:rsid w:val="00EF64F1"/>
    <w:rsid w:val="00F00FBE"/>
    <w:rsid w:val="00F02531"/>
    <w:rsid w:val="00F02BE8"/>
    <w:rsid w:val="00F0480D"/>
    <w:rsid w:val="00F06673"/>
    <w:rsid w:val="00F0773C"/>
    <w:rsid w:val="00F114FB"/>
    <w:rsid w:val="00F12373"/>
    <w:rsid w:val="00F1733F"/>
    <w:rsid w:val="00F2425A"/>
    <w:rsid w:val="00F324B9"/>
    <w:rsid w:val="00F42203"/>
    <w:rsid w:val="00F43911"/>
    <w:rsid w:val="00F44E52"/>
    <w:rsid w:val="00F50E37"/>
    <w:rsid w:val="00F56B17"/>
    <w:rsid w:val="00F62C17"/>
    <w:rsid w:val="00F64CE6"/>
    <w:rsid w:val="00F65706"/>
    <w:rsid w:val="00F65A41"/>
    <w:rsid w:val="00F67A98"/>
    <w:rsid w:val="00F73AEB"/>
    <w:rsid w:val="00F74912"/>
    <w:rsid w:val="00F74B9D"/>
    <w:rsid w:val="00F779A3"/>
    <w:rsid w:val="00F803C4"/>
    <w:rsid w:val="00F811A1"/>
    <w:rsid w:val="00F85A03"/>
    <w:rsid w:val="00F86842"/>
    <w:rsid w:val="00F876D8"/>
    <w:rsid w:val="00F90B5F"/>
    <w:rsid w:val="00F9585D"/>
    <w:rsid w:val="00F95EFC"/>
    <w:rsid w:val="00F97F4A"/>
    <w:rsid w:val="00FA1AAC"/>
    <w:rsid w:val="00FA1ADB"/>
    <w:rsid w:val="00FA4363"/>
    <w:rsid w:val="00FA5F01"/>
    <w:rsid w:val="00FA6191"/>
    <w:rsid w:val="00FA6E40"/>
    <w:rsid w:val="00FA728C"/>
    <w:rsid w:val="00FB003B"/>
    <w:rsid w:val="00FB2E46"/>
    <w:rsid w:val="00FB6438"/>
    <w:rsid w:val="00FB7F54"/>
    <w:rsid w:val="00FC735C"/>
    <w:rsid w:val="00FD0B0A"/>
    <w:rsid w:val="00FD13B6"/>
    <w:rsid w:val="00FD3A3E"/>
    <w:rsid w:val="00FD3CD8"/>
    <w:rsid w:val="00FD6F89"/>
    <w:rsid w:val="00FE11F0"/>
    <w:rsid w:val="00FE396F"/>
    <w:rsid w:val="00FE6664"/>
    <w:rsid w:val="00FE779F"/>
    <w:rsid w:val="00FF2D35"/>
    <w:rsid w:val="00FF4BC3"/>
    <w:rsid w:val="00FF593A"/>
    <w:rsid w:val="00FF5BE4"/>
    <w:rsid w:val="00FF67C4"/>
    <w:rsid w:val="00FF6FF2"/>
    <w:rsid w:val="00FF735C"/>
    <w:rsid w:val="00FF746E"/>
    <w:rsid w:val="00FF79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4916BF"/>
  <w15:chartTrackingRefBased/>
  <w15:docId w15:val="{E42D5743-ECCB-4707-9708-6A3A9DE8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B4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1B4F"/>
    <w:pPr>
      <w:tabs>
        <w:tab w:val="center" w:pos="4153"/>
        <w:tab w:val="right" w:pos="8306"/>
      </w:tabs>
    </w:pPr>
  </w:style>
  <w:style w:type="character" w:customStyle="1" w:styleId="HeaderChar">
    <w:name w:val="Header Char"/>
    <w:link w:val="Header"/>
    <w:rsid w:val="004F1B4F"/>
    <w:rPr>
      <w:rFonts w:eastAsia="Times New Roman" w:cs="Times New Roman"/>
      <w:sz w:val="24"/>
      <w:szCs w:val="24"/>
      <w:lang w:eastAsia="lv-LV"/>
    </w:rPr>
  </w:style>
  <w:style w:type="character" w:styleId="PageNumber">
    <w:name w:val="page number"/>
    <w:basedOn w:val="DefaultParagraphFont"/>
    <w:rsid w:val="004F1B4F"/>
  </w:style>
  <w:style w:type="paragraph" w:customStyle="1" w:styleId="naisf">
    <w:name w:val="naisf"/>
    <w:basedOn w:val="Normal"/>
    <w:rsid w:val="004F1B4F"/>
    <w:pPr>
      <w:spacing w:before="75" w:after="75"/>
      <w:ind w:firstLine="375"/>
      <w:jc w:val="both"/>
    </w:pPr>
  </w:style>
  <w:style w:type="paragraph" w:customStyle="1" w:styleId="naisnod">
    <w:name w:val="naisnod"/>
    <w:basedOn w:val="Normal"/>
    <w:rsid w:val="004F1B4F"/>
    <w:pPr>
      <w:spacing w:before="150" w:after="150"/>
      <w:jc w:val="center"/>
    </w:pPr>
    <w:rPr>
      <w:b/>
      <w:bCs/>
    </w:rPr>
  </w:style>
  <w:style w:type="paragraph" w:customStyle="1" w:styleId="naislab">
    <w:name w:val="naislab"/>
    <w:basedOn w:val="Normal"/>
    <w:rsid w:val="004F1B4F"/>
    <w:pPr>
      <w:spacing w:before="75" w:after="75"/>
      <w:jc w:val="right"/>
    </w:pPr>
  </w:style>
  <w:style w:type="paragraph" w:customStyle="1" w:styleId="naiskr">
    <w:name w:val="naiskr"/>
    <w:basedOn w:val="Normal"/>
    <w:rsid w:val="004F1B4F"/>
    <w:pPr>
      <w:spacing w:before="75" w:after="75"/>
    </w:pPr>
  </w:style>
  <w:style w:type="paragraph" w:customStyle="1" w:styleId="naisc">
    <w:name w:val="naisc"/>
    <w:basedOn w:val="Normal"/>
    <w:uiPriority w:val="99"/>
    <w:rsid w:val="004F1B4F"/>
    <w:pPr>
      <w:spacing w:before="75" w:after="75"/>
      <w:jc w:val="center"/>
    </w:pPr>
  </w:style>
  <w:style w:type="character" w:customStyle="1" w:styleId="apple-style-span">
    <w:name w:val="apple-style-span"/>
    <w:basedOn w:val="DefaultParagraphFont"/>
    <w:rsid w:val="004F1B4F"/>
  </w:style>
  <w:style w:type="paragraph" w:styleId="NormalWeb">
    <w:name w:val="Normal (Web)"/>
    <w:basedOn w:val="Normal"/>
    <w:uiPriority w:val="99"/>
    <w:rsid w:val="004F1B4F"/>
    <w:pPr>
      <w:spacing w:before="100" w:beforeAutospacing="1" w:after="100" w:afterAutospacing="1"/>
    </w:pPr>
  </w:style>
  <w:style w:type="paragraph" w:styleId="BalloonText">
    <w:name w:val="Balloon Text"/>
    <w:basedOn w:val="Normal"/>
    <w:link w:val="BalloonTextChar"/>
    <w:uiPriority w:val="99"/>
    <w:semiHidden/>
    <w:unhideWhenUsed/>
    <w:rsid w:val="004F1B4F"/>
    <w:rPr>
      <w:rFonts w:ascii="Tahoma" w:hAnsi="Tahoma" w:cs="Tahoma"/>
      <w:sz w:val="16"/>
      <w:szCs w:val="16"/>
    </w:rPr>
  </w:style>
  <w:style w:type="character" w:customStyle="1" w:styleId="BalloonTextChar">
    <w:name w:val="Balloon Text Char"/>
    <w:link w:val="BalloonText"/>
    <w:uiPriority w:val="99"/>
    <w:semiHidden/>
    <w:rsid w:val="004F1B4F"/>
    <w:rPr>
      <w:rFonts w:ascii="Tahoma" w:eastAsia="Times New Roman" w:hAnsi="Tahoma" w:cs="Tahoma"/>
      <w:sz w:val="16"/>
      <w:szCs w:val="16"/>
      <w:lang w:eastAsia="lv-LV"/>
    </w:rPr>
  </w:style>
  <w:style w:type="paragraph" w:styleId="Footer">
    <w:name w:val="footer"/>
    <w:basedOn w:val="Normal"/>
    <w:link w:val="FooterChar"/>
    <w:uiPriority w:val="99"/>
    <w:unhideWhenUsed/>
    <w:rsid w:val="00994A1A"/>
    <w:pPr>
      <w:tabs>
        <w:tab w:val="center" w:pos="4153"/>
        <w:tab w:val="right" w:pos="8306"/>
      </w:tabs>
    </w:pPr>
  </w:style>
  <w:style w:type="character" w:customStyle="1" w:styleId="FooterChar">
    <w:name w:val="Footer Char"/>
    <w:link w:val="Footer"/>
    <w:uiPriority w:val="99"/>
    <w:rsid w:val="00994A1A"/>
    <w:rPr>
      <w:rFonts w:eastAsia="Times New Roman" w:cs="Times New Roman"/>
      <w:sz w:val="24"/>
      <w:szCs w:val="24"/>
      <w:lang w:eastAsia="lv-LV"/>
    </w:rPr>
  </w:style>
  <w:style w:type="character" w:styleId="Hyperlink">
    <w:name w:val="Hyperlink"/>
    <w:rsid w:val="007756FB"/>
    <w:rPr>
      <w:color w:val="0000FF"/>
      <w:u w:val="single"/>
    </w:rPr>
  </w:style>
  <w:style w:type="paragraph" w:styleId="ListParagraph">
    <w:name w:val="List Paragraph"/>
    <w:basedOn w:val="Normal"/>
    <w:uiPriority w:val="34"/>
    <w:qFormat/>
    <w:rsid w:val="007756FB"/>
    <w:pPr>
      <w:ind w:left="720"/>
      <w:contextualSpacing/>
    </w:pPr>
  </w:style>
  <w:style w:type="character" w:styleId="CommentReference">
    <w:name w:val="annotation reference"/>
    <w:uiPriority w:val="99"/>
    <w:semiHidden/>
    <w:unhideWhenUsed/>
    <w:rsid w:val="00075879"/>
    <w:rPr>
      <w:sz w:val="16"/>
      <w:szCs w:val="16"/>
    </w:rPr>
  </w:style>
  <w:style w:type="paragraph" w:styleId="CommentText">
    <w:name w:val="annotation text"/>
    <w:basedOn w:val="Normal"/>
    <w:link w:val="CommentTextChar"/>
    <w:uiPriority w:val="99"/>
    <w:semiHidden/>
    <w:unhideWhenUsed/>
    <w:rsid w:val="00075879"/>
    <w:rPr>
      <w:sz w:val="20"/>
      <w:szCs w:val="20"/>
    </w:rPr>
  </w:style>
  <w:style w:type="character" w:customStyle="1" w:styleId="CommentTextChar">
    <w:name w:val="Comment Text Char"/>
    <w:link w:val="CommentText"/>
    <w:uiPriority w:val="99"/>
    <w:semiHidden/>
    <w:rsid w:val="00075879"/>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B4146"/>
    <w:rPr>
      <w:b/>
      <w:bCs/>
    </w:rPr>
  </w:style>
  <w:style w:type="character" w:customStyle="1" w:styleId="CommentSubjectChar">
    <w:name w:val="Comment Subject Char"/>
    <w:link w:val="CommentSubject"/>
    <w:uiPriority w:val="99"/>
    <w:semiHidden/>
    <w:rsid w:val="001B4146"/>
    <w:rPr>
      <w:rFonts w:eastAsia="Times New Roman" w:cs="Times New Roman"/>
      <w:b/>
      <w:bCs/>
      <w:sz w:val="20"/>
      <w:szCs w:val="20"/>
      <w:lang w:eastAsia="lv-LV"/>
    </w:rPr>
  </w:style>
  <w:style w:type="paragraph" w:styleId="FootnoteText">
    <w:name w:val="footnote text"/>
    <w:basedOn w:val="Normal"/>
    <w:link w:val="FootnoteTextChar"/>
    <w:uiPriority w:val="99"/>
    <w:unhideWhenUsed/>
    <w:rsid w:val="007444DF"/>
    <w:rPr>
      <w:rFonts w:eastAsia="Calibri"/>
      <w:sz w:val="20"/>
      <w:szCs w:val="20"/>
      <w:lang w:eastAsia="en-US"/>
    </w:rPr>
  </w:style>
  <w:style w:type="character" w:customStyle="1" w:styleId="FootnoteTextChar">
    <w:name w:val="Footnote Text Char"/>
    <w:link w:val="FootnoteText"/>
    <w:uiPriority w:val="99"/>
    <w:rsid w:val="007444DF"/>
    <w:rPr>
      <w:rFonts w:eastAsia="Calibri" w:cs="Times New Roman"/>
      <w:sz w:val="20"/>
      <w:szCs w:val="20"/>
    </w:rPr>
  </w:style>
  <w:style w:type="character" w:styleId="FootnoteReference">
    <w:name w:val="footnote reference"/>
    <w:unhideWhenUsed/>
    <w:rsid w:val="007444DF"/>
    <w:rPr>
      <w:vertAlign w:val="superscript"/>
    </w:rPr>
  </w:style>
  <w:style w:type="character" w:styleId="Emphasis">
    <w:name w:val="Emphasis"/>
    <w:uiPriority w:val="20"/>
    <w:qFormat/>
    <w:rsid w:val="007444DF"/>
    <w:rPr>
      <w:i/>
      <w:iCs/>
    </w:rPr>
  </w:style>
  <w:style w:type="character" w:customStyle="1" w:styleId="BodyText1">
    <w:name w:val="Body Text1"/>
    <w:rsid w:val="006F421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style>
  <w:style w:type="paragraph" w:styleId="Revision">
    <w:name w:val="Revision"/>
    <w:hidden/>
    <w:uiPriority w:val="99"/>
    <w:semiHidden/>
    <w:rsid w:val="00E814DC"/>
    <w:rPr>
      <w:rFonts w:eastAsia="Times New Roman"/>
      <w:sz w:val="24"/>
      <w:szCs w:val="24"/>
    </w:rPr>
  </w:style>
  <w:style w:type="character" w:customStyle="1" w:styleId="apple-converted-space">
    <w:name w:val="apple-converted-space"/>
    <w:rsid w:val="00B66F81"/>
  </w:style>
  <w:style w:type="paragraph" w:customStyle="1" w:styleId="considrant">
    <w:name w:val="considrant"/>
    <w:basedOn w:val="Normal"/>
    <w:uiPriority w:val="99"/>
    <w:rsid w:val="00256793"/>
    <w:pPr>
      <w:spacing w:before="120" w:after="120"/>
      <w:jc w:val="both"/>
    </w:pPr>
    <w:rPr>
      <w:rFonts w:eastAsia="Calibri"/>
    </w:rPr>
  </w:style>
  <w:style w:type="paragraph" w:customStyle="1" w:styleId="tv213">
    <w:name w:val="tv213"/>
    <w:basedOn w:val="Normal"/>
    <w:rsid w:val="00493B21"/>
    <w:pPr>
      <w:spacing w:before="100" w:beforeAutospacing="1" w:after="100" w:afterAutospacing="1"/>
    </w:pPr>
  </w:style>
  <w:style w:type="table" w:styleId="TableGridLight">
    <w:name w:val="Grid Table Light"/>
    <w:basedOn w:val="TableNormal"/>
    <w:uiPriority w:val="40"/>
    <w:rsid w:val="00FF5B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9698">
      <w:bodyDiv w:val="1"/>
      <w:marLeft w:val="0"/>
      <w:marRight w:val="0"/>
      <w:marTop w:val="0"/>
      <w:marBottom w:val="0"/>
      <w:divBdr>
        <w:top w:val="none" w:sz="0" w:space="0" w:color="auto"/>
        <w:left w:val="none" w:sz="0" w:space="0" w:color="auto"/>
        <w:bottom w:val="none" w:sz="0" w:space="0" w:color="auto"/>
        <w:right w:val="none" w:sz="0" w:space="0" w:color="auto"/>
      </w:divBdr>
    </w:div>
    <w:div w:id="277102717">
      <w:bodyDiv w:val="1"/>
      <w:marLeft w:val="0"/>
      <w:marRight w:val="0"/>
      <w:marTop w:val="0"/>
      <w:marBottom w:val="0"/>
      <w:divBdr>
        <w:top w:val="none" w:sz="0" w:space="0" w:color="auto"/>
        <w:left w:val="none" w:sz="0" w:space="0" w:color="auto"/>
        <w:bottom w:val="none" w:sz="0" w:space="0" w:color="auto"/>
        <w:right w:val="none" w:sz="0" w:space="0" w:color="auto"/>
      </w:divBdr>
    </w:div>
    <w:div w:id="301735299">
      <w:bodyDiv w:val="1"/>
      <w:marLeft w:val="0"/>
      <w:marRight w:val="0"/>
      <w:marTop w:val="0"/>
      <w:marBottom w:val="0"/>
      <w:divBdr>
        <w:top w:val="none" w:sz="0" w:space="0" w:color="auto"/>
        <w:left w:val="none" w:sz="0" w:space="0" w:color="auto"/>
        <w:bottom w:val="none" w:sz="0" w:space="0" w:color="auto"/>
        <w:right w:val="none" w:sz="0" w:space="0" w:color="auto"/>
      </w:divBdr>
      <w:divsChild>
        <w:div w:id="1999531793">
          <w:marLeft w:val="0"/>
          <w:marRight w:val="0"/>
          <w:marTop w:val="0"/>
          <w:marBottom w:val="0"/>
          <w:divBdr>
            <w:top w:val="none" w:sz="0" w:space="0" w:color="auto"/>
            <w:left w:val="none" w:sz="0" w:space="0" w:color="auto"/>
            <w:bottom w:val="none" w:sz="0" w:space="0" w:color="auto"/>
            <w:right w:val="none" w:sz="0" w:space="0" w:color="auto"/>
          </w:divBdr>
          <w:divsChild>
            <w:div w:id="496073459">
              <w:marLeft w:val="3225"/>
              <w:marRight w:val="0"/>
              <w:marTop w:val="0"/>
              <w:marBottom w:val="0"/>
              <w:divBdr>
                <w:top w:val="none" w:sz="0" w:space="0" w:color="auto"/>
                <w:left w:val="none" w:sz="0" w:space="0" w:color="auto"/>
                <w:bottom w:val="none" w:sz="0" w:space="0" w:color="auto"/>
                <w:right w:val="none" w:sz="0" w:space="0" w:color="auto"/>
              </w:divBdr>
              <w:divsChild>
                <w:div w:id="1620994343">
                  <w:marLeft w:val="90"/>
                  <w:marRight w:val="0"/>
                  <w:marTop w:val="0"/>
                  <w:marBottom w:val="0"/>
                  <w:divBdr>
                    <w:top w:val="single" w:sz="6" w:space="0" w:color="EEEEEE"/>
                    <w:left w:val="none" w:sz="0" w:space="0" w:color="auto"/>
                    <w:bottom w:val="none" w:sz="0" w:space="0" w:color="auto"/>
                    <w:right w:val="none" w:sz="0" w:space="0" w:color="auto"/>
                  </w:divBdr>
                  <w:divsChild>
                    <w:div w:id="1620599564">
                      <w:marLeft w:val="0"/>
                      <w:marRight w:val="0"/>
                      <w:marTop w:val="0"/>
                      <w:marBottom w:val="0"/>
                      <w:divBdr>
                        <w:top w:val="none" w:sz="0" w:space="0" w:color="auto"/>
                        <w:left w:val="none" w:sz="0" w:space="0" w:color="auto"/>
                        <w:bottom w:val="none" w:sz="0" w:space="0" w:color="auto"/>
                        <w:right w:val="none" w:sz="0" w:space="0" w:color="auto"/>
                      </w:divBdr>
                      <w:divsChild>
                        <w:div w:id="18280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355007">
      <w:bodyDiv w:val="1"/>
      <w:marLeft w:val="0"/>
      <w:marRight w:val="0"/>
      <w:marTop w:val="0"/>
      <w:marBottom w:val="0"/>
      <w:divBdr>
        <w:top w:val="none" w:sz="0" w:space="0" w:color="auto"/>
        <w:left w:val="none" w:sz="0" w:space="0" w:color="auto"/>
        <w:bottom w:val="none" w:sz="0" w:space="0" w:color="auto"/>
        <w:right w:val="none" w:sz="0" w:space="0" w:color="auto"/>
      </w:divBdr>
    </w:div>
    <w:div w:id="542981941">
      <w:bodyDiv w:val="1"/>
      <w:marLeft w:val="0"/>
      <w:marRight w:val="0"/>
      <w:marTop w:val="0"/>
      <w:marBottom w:val="0"/>
      <w:divBdr>
        <w:top w:val="none" w:sz="0" w:space="0" w:color="auto"/>
        <w:left w:val="none" w:sz="0" w:space="0" w:color="auto"/>
        <w:bottom w:val="none" w:sz="0" w:space="0" w:color="auto"/>
        <w:right w:val="none" w:sz="0" w:space="0" w:color="auto"/>
      </w:divBdr>
      <w:divsChild>
        <w:div w:id="566453266">
          <w:marLeft w:val="0"/>
          <w:marRight w:val="0"/>
          <w:marTop w:val="0"/>
          <w:marBottom w:val="0"/>
          <w:divBdr>
            <w:top w:val="none" w:sz="0" w:space="0" w:color="auto"/>
            <w:left w:val="none" w:sz="0" w:space="0" w:color="auto"/>
            <w:bottom w:val="none" w:sz="0" w:space="0" w:color="auto"/>
            <w:right w:val="none" w:sz="0" w:space="0" w:color="auto"/>
          </w:divBdr>
          <w:divsChild>
            <w:div w:id="1693531608">
              <w:marLeft w:val="0"/>
              <w:marRight w:val="0"/>
              <w:marTop w:val="0"/>
              <w:marBottom w:val="0"/>
              <w:divBdr>
                <w:top w:val="none" w:sz="0" w:space="0" w:color="auto"/>
                <w:left w:val="none" w:sz="0" w:space="0" w:color="auto"/>
                <w:bottom w:val="none" w:sz="0" w:space="0" w:color="auto"/>
                <w:right w:val="none" w:sz="0" w:space="0" w:color="auto"/>
              </w:divBdr>
              <w:divsChild>
                <w:div w:id="1578051529">
                  <w:marLeft w:val="0"/>
                  <w:marRight w:val="0"/>
                  <w:marTop w:val="0"/>
                  <w:marBottom w:val="0"/>
                  <w:divBdr>
                    <w:top w:val="none" w:sz="0" w:space="0" w:color="auto"/>
                    <w:left w:val="none" w:sz="0" w:space="0" w:color="auto"/>
                    <w:bottom w:val="none" w:sz="0" w:space="0" w:color="auto"/>
                    <w:right w:val="none" w:sz="0" w:space="0" w:color="auto"/>
                  </w:divBdr>
                  <w:divsChild>
                    <w:div w:id="539778717">
                      <w:marLeft w:val="0"/>
                      <w:marRight w:val="0"/>
                      <w:marTop w:val="0"/>
                      <w:marBottom w:val="0"/>
                      <w:divBdr>
                        <w:top w:val="none" w:sz="0" w:space="0" w:color="auto"/>
                        <w:left w:val="none" w:sz="0" w:space="0" w:color="auto"/>
                        <w:bottom w:val="none" w:sz="0" w:space="0" w:color="auto"/>
                        <w:right w:val="none" w:sz="0" w:space="0" w:color="auto"/>
                      </w:divBdr>
                      <w:divsChild>
                        <w:div w:id="679086599">
                          <w:marLeft w:val="0"/>
                          <w:marRight w:val="0"/>
                          <w:marTop w:val="0"/>
                          <w:marBottom w:val="0"/>
                          <w:divBdr>
                            <w:top w:val="none" w:sz="0" w:space="0" w:color="auto"/>
                            <w:left w:val="none" w:sz="0" w:space="0" w:color="auto"/>
                            <w:bottom w:val="none" w:sz="0" w:space="0" w:color="auto"/>
                            <w:right w:val="none" w:sz="0" w:space="0" w:color="auto"/>
                          </w:divBdr>
                          <w:divsChild>
                            <w:div w:id="1656376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369157">
      <w:bodyDiv w:val="1"/>
      <w:marLeft w:val="0"/>
      <w:marRight w:val="0"/>
      <w:marTop w:val="0"/>
      <w:marBottom w:val="0"/>
      <w:divBdr>
        <w:top w:val="none" w:sz="0" w:space="0" w:color="auto"/>
        <w:left w:val="none" w:sz="0" w:space="0" w:color="auto"/>
        <w:bottom w:val="none" w:sz="0" w:space="0" w:color="auto"/>
        <w:right w:val="none" w:sz="0" w:space="0" w:color="auto"/>
      </w:divBdr>
    </w:div>
    <w:div w:id="584148781">
      <w:bodyDiv w:val="1"/>
      <w:marLeft w:val="0"/>
      <w:marRight w:val="0"/>
      <w:marTop w:val="0"/>
      <w:marBottom w:val="0"/>
      <w:divBdr>
        <w:top w:val="none" w:sz="0" w:space="0" w:color="auto"/>
        <w:left w:val="none" w:sz="0" w:space="0" w:color="auto"/>
        <w:bottom w:val="none" w:sz="0" w:space="0" w:color="auto"/>
        <w:right w:val="none" w:sz="0" w:space="0" w:color="auto"/>
      </w:divBdr>
    </w:div>
    <w:div w:id="625626401">
      <w:bodyDiv w:val="1"/>
      <w:marLeft w:val="0"/>
      <w:marRight w:val="0"/>
      <w:marTop w:val="0"/>
      <w:marBottom w:val="0"/>
      <w:divBdr>
        <w:top w:val="none" w:sz="0" w:space="0" w:color="auto"/>
        <w:left w:val="none" w:sz="0" w:space="0" w:color="auto"/>
        <w:bottom w:val="none" w:sz="0" w:space="0" w:color="auto"/>
        <w:right w:val="none" w:sz="0" w:space="0" w:color="auto"/>
      </w:divBdr>
      <w:divsChild>
        <w:div w:id="473066624">
          <w:marLeft w:val="0"/>
          <w:marRight w:val="0"/>
          <w:marTop w:val="0"/>
          <w:marBottom w:val="0"/>
          <w:divBdr>
            <w:top w:val="none" w:sz="0" w:space="0" w:color="auto"/>
            <w:left w:val="none" w:sz="0" w:space="0" w:color="auto"/>
            <w:bottom w:val="none" w:sz="0" w:space="0" w:color="auto"/>
            <w:right w:val="none" w:sz="0" w:space="0" w:color="auto"/>
          </w:divBdr>
          <w:divsChild>
            <w:div w:id="576282641">
              <w:marLeft w:val="0"/>
              <w:marRight w:val="0"/>
              <w:marTop w:val="0"/>
              <w:marBottom w:val="0"/>
              <w:divBdr>
                <w:top w:val="none" w:sz="0" w:space="0" w:color="auto"/>
                <w:left w:val="none" w:sz="0" w:space="0" w:color="auto"/>
                <w:bottom w:val="none" w:sz="0" w:space="0" w:color="auto"/>
                <w:right w:val="none" w:sz="0" w:space="0" w:color="auto"/>
              </w:divBdr>
              <w:divsChild>
                <w:div w:id="43022532">
                  <w:marLeft w:val="0"/>
                  <w:marRight w:val="0"/>
                  <w:marTop w:val="0"/>
                  <w:marBottom w:val="0"/>
                  <w:divBdr>
                    <w:top w:val="none" w:sz="0" w:space="0" w:color="auto"/>
                    <w:left w:val="none" w:sz="0" w:space="0" w:color="auto"/>
                    <w:bottom w:val="none" w:sz="0" w:space="0" w:color="auto"/>
                    <w:right w:val="none" w:sz="0" w:space="0" w:color="auto"/>
                  </w:divBdr>
                  <w:divsChild>
                    <w:div w:id="813451005">
                      <w:marLeft w:val="0"/>
                      <w:marRight w:val="0"/>
                      <w:marTop w:val="0"/>
                      <w:marBottom w:val="0"/>
                      <w:divBdr>
                        <w:top w:val="none" w:sz="0" w:space="0" w:color="auto"/>
                        <w:left w:val="none" w:sz="0" w:space="0" w:color="auto"/>
                        <w:bottom w:val="none" w:sz="0" w:space="0" w:color="auto"/>
                        <w:right w:val="none" w:sz="0" w:space="0" w:color="auto"/>
                      </w:divBdr>
                      <w:divsChild>
                        <w:div w:id="1356882407">
                          <w:marLeft w:val="0"/>
                          <w:marRight w:val="0"/>
                          <w:marTop w:val="0"/>
                          <w:marBottom w:val="0"/>
                          <w:divBdr>
                            <w:top w:val="none" w:sz="0" w:space="0" w:color="auto"/>
                            <w:left w:val="none" w:sz="0" w:space="0" w:color="auto"/>
                            <w:bottom w:val="none" w:sz="0" w:space="0" w:color="auto"/>
                            <w:right w:val="none" w:sz="0" w:space="0" w:color="auto"/>
                          </w:divBdr>
                          <w:divsChild>
                            <w:div w:id="204054176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325686">
      <w:bodyDiv w:val="1"/>
      <w:marLeft w:val="0"/>
      <w:marRight w:val="0"/>
      <w:marTop w:val="0"/>
      <w:marBottom w:val="0"/>
      <w:divBdr>
        <w:top w:val="none" w:sz="0" w:space="0" w:color="auto"/>
        <w:left w:val="none" w:sz="0" w:space="0" w:color="auto"/>
        <w:bottom w:val="none" w:sz="0" w:space="0" w:color="auto"/>
        <w:right w:val="none" w:sz="0" w:space="0" w:color="auto"/>
      </w:divBdr>
    </w:div>
    <w:div w:id="884681965">
      <w:bodyDiv w:val="1"/>
      <w:marLeft w:val="0"/>
      <w:marRight w:val="0"/>
      <w:marTop w:val="0"/>
      <w:marBottom w:val="0"/>
      <w:divBdr>
        <w:top w:val="none" w:sz="0" w:space="0" w:color="auto"/>
        <w:left w:val="none" w:sz="0" w:space="0" w:color="auto"/>
        <w:bottom w:val="none" w:sz="0" w:space="0" w:color="auto"/>
        <w:right w:val="none" w:sz="0" w:space="0" w:color="auto"/>
      </w:divBdr>
      <w:divsChild>
        <w:div w:id="1647393771">
          <w:marLeft w:val="0"/>
          <w:marRight w:val="0"/>
          <w:marTop w:val="0"/>
          <w:marBottom w:val="0"/>
          <w:divBdr>
            <w:top w:val="none" w:sz="0" w:space="0" w:color="auto"/>
            <w:left w:val="none" w:sz="0" w:space="0" w:color="auto"/>
            <w:bottom w:val="none" w:sz="0" w:space="0" w:color="auto"/>
            <w:right w:val="none" w:sz="0" w:space="0" w:color="auto"/>
          </w:divBdr>
          <w:divsChild>
            <w:div w:id="17543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29388">
      <w:bodyDiv w:val="1"/>
      <w:marLeft w:val="0"/>
      <w:marRight w:val="0"/>
      <w:marTop w:val="0"/>
      <w:marBottom w:val="0"/>
      <w:divBdr>
        <w:top w:val="none" w:sz="0" w:space="0" w:color="auto"/>
        <w:left w:val="none" w:sz="0" w:space="0" w:color="auto"/>
        <w:bottom w:val="none" w:sz="0" w:space="0" w:color="auto"/>
        <w:right w:val="none" w:sz="0" w:space="0" w:color="auto"/>
      </w:divBdr>
      <w:divsChild>
        <w:div w:id="1582789078">
          <w:marLeft w:val="0"/>
          <w:marRight w:val="0"/>
          <w:marTop w:val="0"/>
          <w:marBottom w:val="0"/>
          <w:divBdr>
            <w:top w:val="none" w:sz="0" w:space="0" w:color="auto"/>
            <w:left w:val="none" w:sz="0" w:space="0" w:color="auto"/>
            <w:bottom w:val="none" w:sz="0" w:space="0" w:color="auto"/>
            <w:right w:val="none" w:sz="0" w:space="0" w:color="auto"/>
          </w:divBdr>
          <w:divsChild>
            <w:div w:id="1664621479">
              <w:marLeft w:val="0"/>
              <w:marRight w:val="0"/>
              <w:marTop w:val="0"/>
              <w:marBottom w:val="0"/>
              <w:divBdr>
                <w:top w:val="none" w:sz="0" w:space="0" w:color="auto"/>
                <w:left w:val="none" w:sz="0" w:space="0" w:color="auto"/>
                <w:bottom w:val="none" w:sz="0" w:space="0" w:color="auto"/>
                <w:right w:val="none" w:sz="0" w:space="0" w:color="auto"/>
              </w:divBdr>
              <w:divsChild>
                <w:div w:id="1899122696">
                  <w:marLeft w:val="0"/>
                  <w:marRight w:val="0"/>
                  <w:marTop w:val="0"/>
                  <w:marBottom w:val="0"/>
                  <w:divBdr>
                    <w:top w:val="none" w:sz="0" w:space="0" w:color="auto"/>
                    <w:left w:val="none" w:sz="0" w:space="0" w:color="auto"/>
                    <w:bottom w:val="none" w:sz="0" w:space="0" w:color="auto"/>
                    <w:right w:val="none" w:sz="0" w:space="0" w:color="auto"/>
                  </w:divBdr>
                  <w:divsChild>
                    <w:div w:id="1073160727">
                      <w:marLeft w:val="0"/>
                      <w:marRight w:val="0"/>
                      <w:marTop w:val="0"/>
                      <w:marBottom w:val="0"/>
                      <w:divBdr>
                        <w:top w:val="none" w:sz="0" w:space="0" w:color="auto"/>
                        <w:left w:val="none" w:sz="0" w:space="0" w:color="auto"/>
                        <w:bottom w:val="none" w:sz="0" w:space="0" w:color="auto"/>
                        <w:right w:val="none" w:sz="0" w:space="0" w:color="auto"/>
                      </w:divBdr>
                      <w:divsChild>
                        <w:div w:id="1948348204">
                          <w:marLeft w:val="0"/>
                          <w:marRight w:val="0"/>
                          <w:marTop w:val="0"/>
                          <w:marBottom w:val="0"/>
                          <w:divBdr>
                            <w:top w:val="none" w:sz="0" w:space="0" w:color="auto"/>
                            <w:left w:val="none" w:sz="0" w:space="0" w:color="auto"/>
                            <w:bottom w:val="none" w:sz="0" w:space="0" w:color="auto"/>
                            <w:right w:val="none" w:sz="0" w:space="0" w:color="auto"/>
                          </w:divBdr>
                          <w:divsChild>
                            <w:div w:id="15204371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937610">
      <w:bodyDiv w:val="1"/>
      <w:marLeft w:val="0"/>
      <w:marRight w:val="0"/>
      <w:marTop w:val="0"/>
      <w:marBottom w:val="0"/>
      <w:divBdr>
        <w:top w:val="none" w:sz="0" w:space="0" w:color="auto"/>
        <w:left w:val="none" w:sz="0" w:space="0" w:color="auto"/>
        <w:bottom w:val="none" w:sz="0" w:space="0" w:color="auto"/>
        <w:right w:val="none" w:sz="0" w:space="0" w:color="auto"/>
      </w:divBdr>
    </w:div>
    <w:div w:id="1476412215">
      <w:bodyDiv w:val="1"/>
      <w:marLeft w:val="0"/>
      <w:marRight w:val="0"/>
      <w:marTop w:val="0"/>
      <w:marBottom w:val="0"/>
      <w:divBdr>
        <w:top w:val="none" w:sz="0" w:space="0" w:color="auto"/>
        <w:left w:val="none" w:sz="0" w:space="0" w:color="auto"/>
        <w:bottom w:val="none" w:sz="0" w:space="0" w:color="auto"/>
        <w:right w:val="none" w:sz="0" w:space="0" w:color="auto"/>
      </w:divBdr>
    </w:div>
    <w:div w:id="1489010132">
      <w:bodyDiv w:val="1"/>
      <w:marLeft w:val="0"/>
      <w:marRight w:val="0"/>
      <w:marTop w:val="0"/>
      <w:marBottom w:val="0"/>
      <w:divBdr>
        <w:top w:val="none" w:sz="0" w:space="0" w:color="auto"/>
        <w:left w:val="none" w:sz="0" w:space="0" w:color="auto"/>
        <w:bottom w:val="none" w:sz="0" w:space="0" w:color="auto"/>
        <w:right w:val="none" w:sz="0" w:space="0" w:color="auto"/>
      </w:divBdr>
      <w:divsChild>
        <w:div w:id="717701077">
          <w:marLeft w:val="0"/>
          <w:marRight w:val="0"/>
          <w:marTop w:val="480"/>
          <w:marBottom w:val="240"/>
          <w:divBdr>
            <w:top w:val="none" w:sz="0" w:space="0" w:color="auto"/>
            <w:left w:val="none" w:sz="0" w:space="0" w:color="auto"/>
            <w:bottom w:val="none" w:sz="0" w:space="0" w:color="auto"/>
            <w:right w:val="none" w:sz="0" w:space="0" w:color="auto"/>
          </w:divBdr>
        </w:div>
        <w:div w:id="2018843572">
          <w:marLeft w:val="0"/>
          <w:marRight w:val="0"/>
          <w:marTop w:val="0"/>
          <w:marBottom w:val="567"/>
          <w:divBdr>
            <w:top w:val="none" w:sz="0" w:space="0" w:color="auto"/>
            <w:left w:val="none" w:sz="0" w:space="0" w:color="auto"/>
            <w:bottom w:val="none" w:sz="0" w:space="0" w:color="auto"/>
            <w:right w:val="none" w:sz="0" w:space="0" w:color="auto"/>
          </w:divBdr>
        </w:div>
      </w:divsChild>
    </w:div>
    <w:div w:id="1667170408">
      <w:bodyDiv w:val="1"/>
      <w:marLeft w:val="0"/>
      <w:marRight w:val="0"/>
      <w:marTop w:val="0"/>
      <w:marBottom w:val="0"/>
      <w:divBdr>
        <w:top w:val="none" w:sz="0" w:space="0" w:color="auto"/>
        <w:left w:val="none" w:sz="0" w:space="0" w:color="auto"/>
        <w:bottom w:val="none" w:sz="0" w:space="0" w:color="auto"/>
        <w:right w:val="none" w:sz="0" w:space="0" w:color="auto"/>
      </w:divBdr>
    </w:div>
    <w:div w:id="1696810860">
      <w:bodyDiv w:val="1"/>
      <w:marLeft w:val="0"/>
      <w:marRight w:val="0"/>
      <w:marTop w:val="0"/>
      <w:marBottom w:val="0"/>
      <w:divBdr>
        <w:top w:val="none" w:sz="0" w:space="0" w:color="auto"/>
        <w:left w:val="none" w:sz="0" w:space="0" w:color="auto"/>
        <w:bottom w:val="none" w:sz="0" w:space="0" w:color="auto"/>
        <w:right w:val="none" w:sz="0" w:space="0" w:color="auto"/>
      </w:divBdr>
    </w:div>
    <w:div w:id="1910571795">
      <w:bodyDiv w:val="1"/>
      <w:marLeft w:val="0"/>
      <w:marRight w:val="0"/>
      <w:marTop w:val="0"/>
      <w:marBottom w:val="0"/>
      <w:divBdr>
        <w:top w:val="none" w:sz="0" w:space="0" w:color="auto"/>
        <w:left w:val="none" w:sz="0" w:space="0" w:color="auto"/>
        <w:bottom w:val="none" w:sz="0" w:space="0" w:color="auto"/>
        <w:right w:val="none" w:sz="0" w:space="0" w:color="auto"/>
      </w:divBdr>
    </w:div>
    <w:div w:id="20341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1388/oj/?locale=LV"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is.Lukss@f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eli/reg/2014/1388/oj/?locale=LV" TargetMode="External"/><Relationship Id="rId4" Type="http://schemas.openxmlformats.org/officeDocument/2006/relationships/settings" Target="settings.xml"/><Relationship Id="rId9" Type="http://schemas.openxmlformats.org/officeDocument/2006/relationships/hyperlink" Target="http://eur-lex.europa.eu/eli/reg/2014/1388/oj/?local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A71F-5C0E-493E-B707-C7B02DEA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14843</Words>
  <Characters>8462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2017.gada 4.aprīļa noteikumos Nr.199 “Noteikumi par dabasgāzes apriti un akcīzes nodokļa piemērošanas kārtību”” sākotnējās ietekmes novērtējuma ziņojums (anotācija)</vt:lpstr>
    </vt:vector>
  </TitlesOfParts>
  <Manager>G.Pužule</Manager>
  <Company>Finanšu ministrija</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2017.gada 4.aprīļa noteikumos Nr.199 “Noteikumi par dabasgāzes apriti un akcīzes nodokļa piemērošanas kārtību”” sākotnējās ietekmes novērtējuma ziņojums (anotācija)</dc:title>
  <dc:subject>anotācija</dc:subject>
  <dc:creator>juris.lukss@fm.gov.lv</dc:creator>
  <cp:keywords/>
  <dc:description>Juris Luksss, e-pasts:
Juris.Lukss@fm.gov.lv
T:67083846, fakss: 67095421</dc:description>
  <cp:lastModifiedBy>Juris Lukss</cp:lastModifiedBy>
  <cp:revision>9</cp:revision>
  <cp:lastPrinted>2020-10-22T10:25:00Z</cp:lastPrinted>
  <dcterms:created xsi:type="dcterms:W3CDTF">2020-12-01T08:19:00Z</dcterms:created>
  <dcterms:modified xsi:type="dcterms:W3CDTF">2020-12-03T14:48:00Z</dcterms:modified>
</cp:coreProperties>
</file>