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DFAF" w14:textId="77777777" w:rsidR="00B87B5F" w:rsidRDefault="00B87B5F" w:rsidP="00B87B5F">
      <w:pPr>
        <w:shd w:val="clear" w:color="auto" w:fill="FFFFFF"/>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spacing w:val="-2"/>
          <w:sz w:val="28"/>
          <w:szCs w:val="28"/>
          <w:lang w:eastAsia="lv-LV"/>
        </w:rPr>
        <w:t xml:space="preserve">Likumprojekta "Grozījumi </w:t>
      </w:r>
      <w:r>
        <w:rPr>
          <w:rFonts w:ascii="Times New Roman" w:hAnsi="Times New Roman" w:cs="Times New Roman"/>
          <w:b/>
          <w:sz w:val="28"/>
          <w:szCs w:val="28"/>
          <w:shd w:val="clear" w:color="auto" w:fill="FFFFFF"/>
        </w:rPr>
        <w:t>Kredītu reģistra</w:t>
      </w:r>
      <w:r>
        <w:rPr>
          <w:rFonts w:ascii="Times New Roman" w:eastAsia="Times New Roman" w:hAnsi="Times New Roman" w:cs="Times New Roman"/>
          <w:b/>
          <w:bCs/>
          <w:color w:val="000000"/>
          <w:spacing w:val="-2"/>
          <w:sz w:val="28"/>
          <w:szCs w:val="28"/>
          <w:lang w:eastAsia="lv-LV"/>
        </w:rPr>
        <w:t xml:space="preserve"> likumā" sākotnējās ietekmes novērtējuma ziņojums (anotācija)</w:t>
      </w:r>
    </w:p>
    <w:p w14:paraId="643C19DC" w14:textId="77777777" w:rsidR="00B87B5F" w:rsidRDefault="00B87B5F" w:rsidP="00B87B5F">
      <w:pPr>
        <w:shd w:val="clear" w:color="auto" w:fill="FFFFFF"/>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B87B5F" w14:paraId="014B6F13" w14:textId="77777777" w:rsidTr="00B87B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0B8EC3A"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Tiesību akta projekta anotācijas kopsavilkums</w:t>
            </w:r>
          </w:p>
        </w:tc>
      </w:tr>
      <w:tr w:rsidR="00B87B5F" w14:paraId="7273E02F" w14:textId="77777777" w:rsidTr="00B87B5F">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5F0E51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14:paraId="4590D415" w14:textId="77777777" w:rsidR="00B87B5F" w:rsidRDefault="00B87B5F">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z w:val="24"/>
                <w:szCs w:val="24"/>
                <w:shd w:val="clear" w:color="auto" w:fill="FFFFFF"/>
              </w:rPr>
              <w:t xml:space="preserve">Likumprojekts "Grozījumi Kredītu reģistra likumā" (turpmāk – Likumprojekts) </w:t>
            </w:r>
            <w:r>
              <w:rPr>
                <w:rFonts w:ascii="Times New Roman" w:hAnsi="Times New Roman" w:cs="Times New Roman"/>
                <w:spacing w:val="-2"/>
                <w:sz w:val="24"/>
                <w:szCs w:val="24"/>
                <w:shd w:val="clear" w:color="auto" w:fill="FFFFFF"/>
              </w:rPr>
              <w:t xml:space="preserve">tiek virzīts izskatīšanai vienlaicīgi ar likumprojektu "Grozījumi likumā "Par Latvijas Banku"" un likumprojektu </w:t>
            </w:r>
            <w:r>
              <w:rPr>
                <w:rFonts w:ascii="Times New Roman" w:hAnsi="Times New Roman" w:cs="Times New Roman"/>
                <w:sz w:val="24"/>
                <w:szCs w:val="24"/>
                <w:shd w:val="clear" w:color="auto" w:fill="FFFFFF"/>
              </w:rPr>
              <w:t>"</w:t>
            </w:r>
            <w:r>
              <w:rPr>
                <w:rFonts w:ascii="Times New Roman" w:hAnsi="Times New Roman" w:cs="Times New Roman"/>
                <w:spacing w:val="-2"/>
                <w:sz w:val="24"/>
                <w:szCs w:val="24"/>
                <w:shd w:val="clear" w:color="auto" w:fill="FFFFFF"/>
              </w:rPr>
              <w:t>Latvijas Bankas likums</w:t>
            </w:r>
            <w:r>
              <w:rPr>
                <w:rFonts w:ascii="Times New Roman" w:hAnsi="Times New Roman" w:cs="Times New Roman"/>
                <w:sz w:val="24"/>
                <w:szCs w:val="24"/>
                <w:shd w:val="clear" w:color="auto" w:fill="FFFFFF"/>
              </w:rPr>
              <w:t>"</w:t>
            </w:r>
            <w:r>
              <w:rPr>
                <w:rFonts w:ascii="Times New Roman" w:hAnsi="Times New Roman" w:cs="Times New Roman"/>
                <w:spacing w:val="-2"/>
                <w:sz w:val="24"/>
                <w:szCs w:val="24"/>
                <w:shd w:val="clear" w:color="auto" w:fill="FFFFFF"/>
              </w:rPr>
              <w:t>.</w:t>
            </w:r>
          </w:p>
          <w:p w14:paraId="60250830" w14:textId="77777777" w:rsidR="00B87B5F" w:rsidRDefault="00B87B5F">
            <w:pPr>
              <w:spacing w:after="0" w:line="240" w:lineRule="auto"/>
              <w:jc w:val="both"/>
              <w:rPr>
                <w:rFonts w:ascii="Times New Roman" w:hAnsi="Times New Roman" w:cs="Times New Roman"/>
                <w:spacing w:val="-2"/>
                <w:sz w:val="24"/>
                <w:szCs w:val="24"/>
                <w:shd w:val="clear" w:color="auto" w:fill="FFFFFF"/>
              </w:rPr>
            </w:pPr>
          </w:p>
          <w:p w14:paraId="07B7FC1F" w14:textId="77777777" w:rsidR="00B87B5F" w:rsidRDefault="00B87B5F">
            <w:pPr>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Likumprojekta mērķis ir nodrošināt:</w:t>
            </w:r>
          </w:p>
          <w:p w14:paraId="384FED35" w14:textId="77777777" w:rsidR="00B87B5F" w:rsidRDefault="00B87B5F" w:rsidP="00B87B5F">
            <w:pPr>
              <w:pStyle w:val="ListParagraph"/>
              <w:numPr>
                <w:ilvl w:val="0"/>
                <w:numId w:val="6"/>
              </w:numPr>
              <w:spacing w:after="0" w:line="240" w:lineRule="auto"/>
              <w:jc w:val="both"/>
              <w:rPr>
                <w:rFonts w:ascii="Times New Roman" w:eastAsiaTheme="minorEastAsia" w:hAnsi="Times New Roman" w:cs="Times New Roman"/>
                <w:spacing w:val="-2"/>
                <w:sz w:val="24"/>
                <w:szCs w:val="24"/>
                <w:lang w:eastAsia="lv-LV"/>
              </w:rPr>
            </w:pPr>
            <w:r>
              <w:rPr>
                <w:rFonts w:ascii="Times New Roman" w:hAnsi="Times New Roman" w:cs="Times New Roman"/>
                <w:sz w:val="24"/>
                <w:szCs w:val="24"/>
              </w:rPr>
              <w:t>ka Finanšu un kapitāla tirgus komisijas (turpmāk – FKTK) pievienošanas rezultātā Latvijas Banka turpmāk pildīs Kredītu reģistra likumā un tam pakārtotajos tiesību aktos FKTK noteiktos uzdevumus. Šie g</w:t>
            </w:r>
            <w:r>
              <w:rPr>
                <w:rFonts w:ascii="Times New Roman" w:eastAsia="Times New Roman" w:hAnsi="Times New Roman" w:cs="Times New Roman"/>
                <w:sz w:val="24"/>
                <w:szCs w:val="24"/>
                <w:lang w:eastAsia="lv-LV"/>
              </w:rPr>
              <w:t>rozījumi stāsies spēkā vienlaicīgi ar Latvijas Bankas likumu;</w:t>
            </w:r>
          </w:p>
          <w:p w14:paraId="6D4BC9B7" w14:textId="77777777" w:rsidR="00B87B5F" w:rsidRDefault="00B87B5F" w:rsidP="00B87B5F">
            <w:pPr>
              <w:pStyle w:val="ListParagraph"/>
              <w:numPr>
                <w:ilvl w:val="0"/>
                <w:numId w:val="6"/>
              </w:numPr>
              <w:spacing w:after="0" w:line="240" w:lineRule="auto"/>
              <w:jc w:val="both"/>
              <w:rPr>
                <w:rFonts w:ascii="Times New Roman" w:hAnsi="Times New Roman" w:cs="Times New Roman"/>
                <w:spacing w:val="-2"/>
                <w:sz w:val="24"/>
                <w:szCs w:val="24"/>
                <w:lang w:eastAsia="lv-LV"/>
              </w:rPr>
            </w:pPr>
            <w:r>
              <w:rPr>
                <w:rFonts w:ascii="Times New Roman" w:hAnsi="Times New Roman" w:cs="Times New Roman"/>
                <w:spacing w:val="-2"/>
                <w:sz w:val="24"/>
                <w:szCs w:val="24"/>
                <w:shd w:val="clear" w:color="auto" w:fill="FFFFFF"/>
              </w:rPr>
              <w:t>Kredītu reģistra likumā noteiktā administratīvā procesa īstenošanu pēc pārvaldības modeļa maiņas Latvijas Bankā;</w:t>
            </w:r>
          </w:p>
          <w:p w14:paraId="0F866BEB" w14:textId="77777777" w:rsidR="00B87B5F" w:rsidRDefault="00B87B5F" w:rsidP="00B87B5F">
            <w:pPr>
              <w:pStyle w:val="ListParagraph"/>
              <w:numPr>
                <w:ilvl w:val="0"/>
                <w:numId w:val="6"/>
              </w:numPr>
              <w:spacing w:after="0" w:line="240" w:lineRule="auto"/>
              <w:jc w:val="both"/>
              <w:rPr>
                <w:rFonts w:ascii="Times New Roman" w:eastAsiaTheme="minorEastAsia" w:hAnsi="Times New Roman" w:cs="Times New Roman"/>
                <w:sz w:val="24"/>
                <w:szCs w:val="24"/>
                <w:lang w:eastAsia="lv-LV"/>
              </w:rPr>
            </w:pPr>
            <w:r>
              <w:rPr>
                <w:rFonts w:ascii="Times New Roman" w:hAnsi="Times New Roman" w:cs="Times New Roman"/>
                <w:spacing w:val="-2"/>
                <w:sz w:val="24"/>
                <w:szCs w:val="24"/>
                <w:shd w:val="clear" w:color="auto" w:fill="FFFFFF"/>
              </w:rPr>
              <w:t xml:space="preserve">paplašināt Kredītu reģistrā iekļauto ziņu izmantošanas iespējas un paredzēt </w:t>
            </w:r>
            <w:r>
              <w:rPr>
                <w:rFonts w:ascii="Times New Roman" w:hAnsi="Times New Roman" w:cs="Times New Roman"/>
                <w:sz w:val="24"/>
                <w:szCs w:val="24"/>
              </w:rPr>
              <w:t>Kredītu reģistra dalībniekiem iespēju saņemt citu valstu kredītu datu sniedzēju sniegos kredītu datus.</w:t>
            </w:r>
          </w:p>
          <w:p w14:paraId="32E6C25B" w14:textId="77777777" w:rsidR="00B87B5F" w:rsidRDefault="00B87B5F">
            <w:pPr>
              <w:spacing w:after="0" w:line="240" w:lineRule="auto"/>
              <w:jc w:val="both"/>
              <w:rPr>
                <w:rFonts w:ascii="Times New Roman" w:eastAsiaTheme="minorEastAsia" w:hAnsi="Times New Roman" w:cs="Times New Roman"/>
                <w:sz w:val="24"/>
                <w:szCs w:val="24"/>
                <w:lang w:eastAsia="lv-LV"/>
              </w:rPr>
            </w:pPr>
          </w:p>
          <w:p w14:paraId="59BAE86F" w14:textId="77777777" w:rsidR="00B87B5F" w:rsidRDefault="00B87B5F">
            <w:pPr>
              <w:spacing w:after="0" w:line="240" w:lineRule="auto"/>
              <w:jc w:val="both"/>
              <w:rPr>
                <w:rFonts w:ascii="Times New Roman" w:eastAsiaTheme="minorEastAsia" w:hAnsi="Times New Roman" w:cs="Times New Roman"/>
                <w:sz w:val="24"/>
                <w:szCs w:val="24"/>
                <w:lang w:eastAsia="lv-LV"/>
              </w:rPr>
            </w:pPr>
            <w:r>
              <w:rPr>
                <w:rFonts w:ascii="Times New Roman" w:eastAsia="Times New Roman" w:hAnsi="Times New Roman" w:cs="Times New Roman"/>
                <w:iCs/>
                <w:sz w:val="24"/>
                <w:szCs w:val="24"/>
                <w:lang w:eastAsia="lv-LV"/>
              </w:rPr>
              <w:t>Paredzēts, ka tie grozījumi, kas attiecas uz Latvijas Bankas jaunajiem uzdevumiem, stāsies spēkā vienlaicīgi ar Latvijas Bankas likumu 2023. gada 1. janvārī, savukārt pārējā daļā Likumprojekts stāsies spēkā vispārējā kārtībā pēc tā pieņemšanas.</w:t>
            </w:r>
          </w:p>
        </w:tc>
      </w:tr>
    </w:tbl>
    <w:p w14:paraId="626C608F"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B87B5F" w14:paraId="7BCC0C40" w14:textId="77777777" w:rsidTr="00B87B5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2C146F5"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I. Tiesību akta projekta izstrādes nepieciešamība</w:t>
            </w:r>
          </w:p>
        </w:tc>
      </w:tr>
      <w:tr w:rsidR="00B87B5F" w14:paraId="249A6010"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FEFF24"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14:paraId="1A8EE6B7" w14:textId="77777777" w:rsidR="00B87B5F" w:rsidRDefault="00B87B5F">
            <w:p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Pamatojums</w:t>
            </w:r>
          </w:p>
          <w:p w14:paraId="7735BDC3" w14:textId="77777777" w:rsidR="00B87B5F" w:rsidRDefault="00B87B5F">
            <w:pPr>
              <w:rPr>
                <w:rFonts w:ascii="Times New Roman" w:eastAsia="Times New Roman" w:hAnsi="Times New Roman" w:cs="Times New Roman"/>
                <w:lang w:eastAsia="lv-LV"/>
              </w:rPr>
            </w:pPr>
          </w:p>
          <w:p w14:paraId="63BDE663" w14:textId="77777777" w:rsidR="00B87B5F" w:rsidRDefault="00B87B5F">
            <w:pPr>
              <w:rPr>
                <w:rFonts w:ascii="Times New Roman" w:eastAsia="Times New Roman" w:hAnsi="Times New Roman" w:cs="Times New Roman"/>
                <w:lang w:eastAsia="lv-LV"/>
              </w:rPr>
            </w:pPr>
          </w:p>
          <w:p w14:paraId="073C4A3F" w14:textId="77777777" w:rsidR="00B87B5F" w:rsidRDefault="00B87B5F">
            <w:pPr>
              <w:rPr>
                <w:rFonts w:ascii="Times New Roman" w:eastAsia="Times New Roman" w:hAnsi="Times New Roman" w:cs="Times New Roman"/>
                <w:lang w:eastAsia="lv-LV"/>
              </w:rPr>
            </w:pPr>
          </w:p>
          <w:p w14:paraId="2EF9040B" w14:textId="77777777" w:rsidR="00B87B5F" w:rsidRDefault="00B87B5F">
            <w:pPr>
              <w:rPr>
                <w:rFonts w:ascii="Times New Roman" w:eastAsia="Times New Roman" w:hAnsi="Times New Roman" w:cs="Times New Roman"/>
                <w:lang w:eastAsia="lv-LV"/>
              </w:rPr>
            </w:pPr>
          </w:p>
          <w:p w14:paraId="221CD378" w14:textId="77777777" w:rsidR="00B87B5F" w:rsidRDefault="00B87B5F">
            <w:pPr>
              <w:rPr>
                <w:rFonts w:ascii="Times New Roman" w:eastAsia="Times New Roman" w:hAnsi="Times New Roman" w:cs="Times New Roman"/>
                <w:lang w:eastAsia="lv-LV"/>
              </w:rPr>
            </w:pPr>
          </w:p>
          <w:p w14:paraId="46E96248" w14:textId="77777777" w:rsidR="00B87B5F" w:rsidRDefault="00B87B5F">
            <w:pPr>
              <w:rPr>
                <w:rFonts w:ascii="Times New Roman" w:eastAsia="Times New Roman" w:hAnsi="Times New Roman" w:cs="Times New Roman"/>
                <w:lang w:eastAsia="lv-LV"/>
              </w:rPr>
            </w:pPr>
          </w:p>
          <w:p w14:paraId="026C4D23" w14:textId="77777777" w:rsidR="00B87B5F" w:rsidRDefault="00B87B5F">
            <w:pPr>
              <w:rPr>
                <w:rFonts w:ascii="Times New Roman" w:eastAsia="Times New Roman" w:hAnsi="Times New Roman" w:cs="Times New Roman"/>
                <w:lang w:eastAsia="lv-LV"/>
              </w:rPr>
            </w:pPr>
          </w:p>
          <w:p w14:paraId="0FD7D730" w14:textId="77777777" w:rsidR="00B87B5F" w:rsidRDefault="00B87B5F">
            <w:pPr>
              <w:rPr>
                <w:rFonts w:ascii="Times New Roman" w:eastAsia="Times New Roman" w:hAnsi="Times New Roman" w:cs="Times New Roman"/>
                <w:lang w:eastAsia="lv-LV"/>
              </w:rPr>
            </w:pPr>
          </w:p>
          <w:p w14:paraId="66670B01" w14:textId="77777777" w:rsidR="00B87B5F" w:rsidRDefault="00B87B5F">
            <w:pPr>
              <w:rPr>
                <w:rFonts w:ascii="Times New Roman" w:eastAsia="Times New Roman" w:hAnsi="Times New Roman" w:cs="Times New Roman"/>
                <w:lang w:eastAsia="lv-LV"/>
              </w:rPr>
            </w:pPr>
          </w:p>
          <w:p w14:paraId="1A1E098C" w14:textId="77777777" w:rsidR="00B87B5F" w:rsidRDefault="00B87B5F">
            <w:pPr>
              <w:rPr>
                <w:rFonts w:ascii="Times New Roman" w:eastAsia="Times New Roman" w:hAnsi="Times New Roman" w:cs="Times New Roman"/>
                <w:lang w:eastAsia="lv-LV"/>
              </w:rPr>
            </w:pPr>
          </w:p>
          <w:p w14:paraId="0D60EDB8" w14:textId="77777777" w:rsidR="00B87B5F" w:rsidRDefault="00B87B5F">
            <w:pPr>
              <w:rPr>
                <w:rFonts w:ascii="Times New Roman" w:eastAsia="Times New Roman" w:hAnsi="Times New Roman" w:cs="Times New Roman"/>
                <w:lang w:eastAsia="lv-LV"/>
              </w:rPr>
            </w:pP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14:paraId="5A8C659D" w14:textId="77777777" w:rsidR="00B87B5F" w:rsidRDefault="00B87B5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w:t>
            </w:r>
            <w:r>
              <w:rPr>
                <w:rFonts w:ascii="Times New Roman" w:hAnsi="Times New Roman" w:cs="Times New Roman"/>
                <w:sz w:val="24"/>
                <w:szCs w:val="24"/>
              </w:rPr>
              <w:t>as likums</w:t>
            </w:r>
            <w:r>
              <w:rPr>
                <w:rFonts w:ascii="Times New Roman" w:hAnsi="Times New Roman" w:cs="Times New Roman"/>
                <w:sz w:val="24"/>
                <w:szCs w:val="24"/>
                <w:shd w:val="clear" w:color="auto" w:fill="FFFFFF"/>
              </w:rPr>
              <w:t xml:space="preserve">", kurš </w:t>
            </w:r>
            <w:r>
              <w:rPr>
                <w:rFonts w:ascii="Times New Roman" w:eastAsia="Times New Roman" w:hAnsi="Times New Roman" w:cs="Times New Roman"/>
                <w:sz w:val="24"/>
                <w:szCs w:val="24"/>
                <w:lang w:eastAsia="lv-LV"/>
              </w:rPr>
              <w:t xml:space="preserve">paredz, ka turpmāk Latvijas Banka </w:t>
            </w:r>
            <w:r>
              <w:rPr>
                <w:rFonts w:ascii="Times New Roman" w:hAnsi="Times New Roman" w:cs="Times New Roman"/>
                <w:sz w:val="24"/>
                <w:szCs w:val="24"/>
              </w:rPr>
              <w:t xml:space="preserve">veiks FKTK noteiktos uzdevumus. </w:t>
            </w:r>
            <w:r>
              <w:rPr>
                <w:rFonts w:ascii="Times New Roman" w:hAnsi="Times New Roman" w:cs="Times New Roman"/>
                <w:sz w:val="24"/>
                <w:szCs w:val="24"/>
                <w:shd w:val="clear" w:color="auto" w:fill="FFFFFF"/>
              </w:rPr>
              <w:t xml:space="preserve">Ņemot vērā minēto, ir nepieciešami arī atbilstoši grozījumi tajos likumos, kur noteikta FKTK kompetence. </w:t>
            </w:r>
          </w:p>
          <w:p w14:paraId="57231399" w14:textId="77777777" w:rsidR="00B87B5F" w:rsidRDefault="00B87B5F">
            <w:pPr>
              <w:spacing w:after="0" w:line="240" w:lineRule="auto"/>
              <w:jc w:val="both"/>
              <w:rPr>
                <w:rFonts w:ascii="Times New Roman" w:eastAsia="Times New Roman" w:hAnsi="Times New Roman" w:cs="Times New Roman"/>
                <w:sz w:val="24"/>
                <w:szCs w:val="24"/>
                <w:shd w:val="clear" w:color="auto" w:fill="FFFFFF"/>
              </w:rPr>
            </w:pPr>
          </w:p>
          <w:p w14:paraId="77B3AD12" w14:textId="77777777" w:rsidR="00B87B5F" w:rsidRDefault="00B87B5F">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Papildus minētajam l</w:t>
            </w:r>
            <w:r>
              <w:rPr>
                <w:rFonts w:ascii="Times New Roman" w:hAnsi="Times New Roman" w:cs="Times New Roman"/>
                <w:sz w:val="24"/>
                <w:szCs w:val="24"/>
                <w:shd w:val="clear" w:color="auto" w:fill="FFFFFF"/>
              </w:rPr>
              <w:t xml:space="preserve">ikumprojekts "Grozījumi likumā "Par Latvijas Banku"" paredz pārmaiņas Latvijas Bankas pārvaldības modelī, izslēdzot Latvijas Bankas valdi, kā rezultātā nepieciešama Kredītu reģistra likumā paredzēto administratīvā procesa noteikumu precizēšana. </w:t>
            </w:r>
          </w:p>
          <w:p w14:paraId="4303793C" w14:textId="77777777" w:rsidR="00B87B5F" w:rsidRDefault="00B87B5F">
            <w:pPr>
              <w:spacing w:after="0" w:line="240" w:lineRule="auto"/>
              <w:jc w:val="both"/>
              <w:rPr>
                <w:rFonts w:ascii="Times New Roman" w:eastAsia="Times New Roman" w:hAnsi="Times New Roman" w:cs="Times New Roman"/>
                <w:sz w:val="24"/>
                <w:szCs w:val="24"/>
                <w:lang w:eastAsia="lv-LV"/>
              </w:rPr>
            </w:pPr>
          </w:p>
          <w:p w14:paraId="774EC9A3" w14:textId="77777777" w:rsidR="00B87B5F" w:rsidRDefault="00B87B5F">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z w:val="24"/>
                <w:szCs w:val="24"/>
                <w:lang w:eastAsia="lv-LV"/>
              </w:rPr>
              <w:t xml:space="preserve">Kredītu reģistra darbības laikā identificēta nepieciešamība </w:t>
            </w:r>
            <w:r>
              <w:rPr>
                <w:rFonts w:ascii="Times New Roman" w:hAnsi="Times New Roman" w:cs="Times New Roman"/>
                <w:spacing w:val="-2"/>
                <w:sz w:val="24"/>
                <w:szCs w:val="24"/>
                <w:shd w:val="clear" w:color="auto" w:fill="FFFFFF"/>
              </w:rPr>
              <w:t xml:space="preserve">paplašināt Kredītu reģistrā iekļauto ziņu izmantošanas iespējas – gan nacionālā līmenī – zvērinātiem notāriem, bāriņtiesām un zvērinātiem tiesu izpildītājiem, tā pārrobežu līmenī, izpildot Latvijas Republikas </w:t>
            </w:r>
            <w:r>
              <w:rPr>
                <w:rFonts w:ascii="Times New Roman" w:hAnsi="Times New Roman" w:cs="Times New Roman"/>
                <w:spacing w:val="-2"/>
                <w:sz w:val="24"/>
                <w:szCs w:val="24"/>
                <w:shd w:val="clear" w:color="auto" w:fill="FFFFFF"/>
              </w:rPr>
              <w:lastRenderedPageBreak/>
              <w:t xml:space="preserve">starptautiskās saistības, tostarp tās, kas izriet no tieši piemērojamiem Eiropas Savienības normatīvajiem aktiem. </w:t>
            </w:r>
          </w:p>
        </w:tc>
      </w:tr>
      <w:tr w:rsidR="00B87B5F" w14:paraId="78895135" w14:textId="77777777" w:rsidTr="00B87B5F">
        <w:trPr>
          <w:trHeight w:val="649"/>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164046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lastRenderedPageBreak/>
              <w:t>2.</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508CA6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3D4A21C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5FFF480E"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5F7C1CB9"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3766C4A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7C939754"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45216F1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2EAFD60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2AB3342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37E53D19"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7065BC0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p w14:paraId="09EA36A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14:paraId="793E5DE1" w14:textId="77777777" w:rsidR="00B87B5F" w:rsidRDefault="00B87B5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Kredītu reģistra likumā</w:t>
            </w:r>
            <w:r>
              <w:rPr>
                <w:rFonts w:ascii="Times New Roman" w:hAnsi="Times New Roman" w:cs="Times New Roman"/>
                <w:sz w:val="24"/>
                <w:szCs w:val="24"/>
              </w:rPr>
              <w:t xml:space="preserve"> noteikti konkrēti FKTK uzdevumi un tiesības, </w:t>
            </w:r>
            <w:r>
              <w:rPr>
                <w:rFonts w:ascii="Times New Roman" w:hAnsi="Times New Roman" w:cs="Times New Roman"/>
                <w:sz w:val="24"/>
                <w:szCs w:val="24"/>
                <w:shd w:val="clear" w:color="auto" w:fill="FFFFFF"/>
              </w:rPr>
              <w:t xml:space="preserve">tādējādi atbilstoši likumprojektam </w:t>
            </w:r>
            <w:r>
              <w:rPr>
                <w:rFonts w:ascii="Times New Roman" w:hAnsi="Times New Roman" w:cs="Times New Roman"/>
                <w:sz w:val="24"/>
                <w:szCs w:val="24"/>
              </w:rPr>
              <w:t>"</w:t>
            </w:r>
            <w:r>
              <w:rPr>
                <w:rFonts w:ascii="Times New Roman" w:eastAsia="Times New Roman" w:hAnsi="Times New Roman" w:cs="Times New Roman"/>
                <w:sz w:val="24"/>
                <w:szCs w:val="24"/>
                <w:lang w:eastAsia="lv-LV"/>
              </w:rPr>
              <w:t>Latvijas Bankas likums</w:t>
            </w:r>
            <w:r>
              <w:rPr>
                <w:rFonts w:ascii="Times New Roman" w:hAnsi="Times New Roman" w:cs="Times New Roman"/>
                <w:sz w:val="24"/>
                <w:szCs w:val="24"/>
              </w:rPr>
              <w:t xml:space="preserve">" nepieciešams </w:t>
            </w:r>
            <w:r>
              <w:rPr>
                <w:rFonts w:ascii="Times New Roman" w:hAnsi="Times New Roman" w:cs="Times New Roman"/>
                <w:sz w:val="24"/>
                <w:szCs w:val="24"/>
                <w:shd w:val="clear" w:color="auto" w:fill="FFFFFF"/>
              </w:rPr>
              <w:t>precizēt tās normas, kas turpmāk attieksies uz Latvijas Banku.</w:t>
            </w:r>
          </w:p>
          <w:p w14:paraId="68A4850F" w14:textId="77777777" w:rsidR="00B87B5F" w:rsidRDefault="00B87B5F">
            <w:pPr>
              <w:spacing w:after="0" w:line="240" w:lineRule="auto"/>
              <w:jc w:val="both"/>
              <w:rPr>
                <w:rFonts w:ascii="Times New Roman" w:hAnsi="Times New Roman" w:cs="Times New Roman"/>
                <w:sz w:val="24"/>
                <w:szCs w:val="24"/>
                <w:shd w:val="clear" w:color="auto" w:fill="FFFFFF"/>
              </w:rPr>
            </w:pPr>
          </w:p>
          <w:p w14:paraId="0A918843" w14:textId="77777777" w:rsidR="00B87B5F" w:rsidRDefault="00B87B5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Likumprojekts pamatā regulē šādus jautājumus:</w:t>
            </w:r>
          </w:p>
          <w:p w14:paraId="0C2536D4" w14:textId="77777777" w:rsidR="00B87B5F" w:rsidRDefault="00B87B5F">
            <w:pPr>
              <w:spacing w:after="0" w:line="240" w:lineRule="auto"/>
              <w:jc w:val="both"/>
              <w:rPr>
                <w:rFonts w:ascii="Times New Roman" w:hAnsi="Times New Roman" w:cs="Times New Roman"/>
                <w:sz w:val="24"/>
                <w:szCs w:val="24"/>
                <w:shd w:val="clear" w:color="auto" w:fill="FFFFFF"/>
              </w:rPr>
            </w:pPr>
          </w:p>
          <w:p w14:paraId="0AB5173F" w14:textId="77777777" w:rsidR="00B87B5F" w:rsidRDefault="00B87B5F" w:rsidP="00B87B5F">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un kapitāla tirgus komisijas funkcijas līdz ar likumprojekta "Latvijas Bankas likums" spēkā stāšanos pārņem Latvijas Banka.</w:t>
            </w:r>
          </w:p>
          <w:p w14:paraId="60497026" w14:textId="77777777" w:rsidR="00B87B5F" w:rsidRDefault="00B87B5F">
            <w:pPr>
              <w:pStyle w:val="ListParagraph"/>
              <w:spacing w:after="0" w:line="240" w:lineRule="auto"/>
              <w:ind w:left="360"/>
              <w:jc w:val="both"/>
              <w:rPr>
                <w:rFonts w:ascii="Times New Roman" w:eastAsia="Times New Roman" w:hAnsi="Times New Roman" w:cs="Times New Roman"/>
                <w:iCs/>
                <w:sz w:val="24"/>
                <w:szCs w:val="24"/>
                <w:lang w:eastAsia="lv-LV"/>
              </w:rPr>
            </w:pPr>
          </w:p>
          <w:p w14:paraId="7C605EB5" w14:textId="77777777" w:rsidR="00B87B5F" w:rsidRDefault="00B87B5F" w:rsidP="00B87B5F">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Bankā atbilstoši likumprojektam "Grozījumi likumā "Par Latvijas Banku"" tiek veiktas pārmaiņas pārvaldības modelī, izslēdzot Latvijas Bankas valdi. Līdz ar to Latvijas Bankas valdes funkcijas un tās locekļu tiesības un pienākumi, kas paredzēti Kredītu reģistra likumā, no likumprojekta "Grozījumi likumā "Par Latvijas Banku"" spēkā stāšanās brīža aizstājami atbilstīgi izmaiņām Latvijas Bankas pārvaldības modelī. </w:t>
            </w:r>
          </w:p>
          <w:p w14:paraId="181E3E17" w14:textId="77777777" w:rsidR="00B87B5F" w:rsidRDefault="00B87B5F">
            <w:pPr>
              <w:spacing w:after="0" w:line="240" w:lineRule="auto"/>
              <w:jc w:val="both"/>
              <w:rPr>
                <w:rFonts w:ascii="Times New Roman" w:eastAsia="Times New Roman" w:hAnsi="Times New Roman" w:cs="Times New Roman"/>
                <w:iCs/>
                <w:sz w:val="24"/>
                <w:szCs w:val="24"/>
                <w:lang w:eastAsia="lv-LV"/>
              </w:rPr>
            </w:pPr>
          </w:p>
          <w:p w14:paraId="5B40C767" w14:textId="77777777" w:rsidR="00B87B5F" w:rsidRDefault="00B87B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2.1. Esošais Kredītu reģistra likuma regulējums paredz Latvijas Bankas valdes izdoto administratīvo aktu apstrīdēšanu Latvijas Bankas padomē, savukārt Latvijas Bankas padomes izdoto administratīvo aktu pārsūdzēšanu – administratīvajā tiesā vispārējā Administratīvā procesa likumā noteiktajā kārtībā. Saskaņā ar likumprojektā "Grozījumi likumā "Par Latvijas Banku"" paredzētajām izmaiņām Latvijas Bankas pārvaldības modelī, Latvijas Bankas īstenotās valdes funkcijas pārņems Latvijas Bankas padome kā Latvijas Bankas augstākā pārvaldes institūcija, tostarp, izdodot administratīvos aktus. Vienlaikus likumprojektā paredzētas Latvijas Bankas padomes tiesības veidot īpašu komiteju, kura tiktu pilnvarota pieņemt lēmumus saistībā ar Kredītu reģistra darbību. Arī likumprojektā "Latvijas Bankas likums" ir paredzēta līdzīgu komiteju izveide lēmumu pieņemšanai noteiktās Latvijas Bankas darbības jomās. </w:t>
            </w:r>
          </w:p>
          <w:p w14:paraId="5F2EAC75" w14:textId="77777777" w:rsidR="00B87B5F" w:rsidRDefault="00B87B5F">
            <w:pPr>
              <w:spacing w:after="0" w:line="240" w:lineRule="auto"/>
              <w:jc w:val="both"/>
              <w:rPr>
                <w:rFonts w:ascii="Times New Roman" w:eastAsia="Times New Roman" w:hAnsi="Times New Roman" w:cs="Times New Roman"/>
                <w:iCs/>
                <w:sz w:val="24"/>
                <w:szCs w:val="24"/>
                <w:lang w:eastAsia="lv-LV"/>
              </w:rPr>
            </w:pPr>
          </w:p>
          <w:p w14:paraId="1C9AEFE1" w14:textId="77777777" w:rsidR="00B87B5F" w:rsidRDefault="00B87B5F">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Ņemot vērā to, ka līdz ar Administratīvās atbildības likuma spēkā stāšanos 2020. gada 1. jūlijā valstī ir mainījusies administratīvās atbildības sistēma, likumprojekta izstrādes gaitā izvērtēts, vai administratīvo piespiedu ietekmēšanas līdzekļu piemērošanu, kuru šobrīd īsteno Latvijas Banka (un arī Finanšu un kapitāla tirgus komisija), turpmāk varētu iekļaut vispārīgajā administratīvās atbildības sistēmā un tos piemērot Administratīvās atbildības likumā noteiktajā kārtībā. </w:t>
            </w:r>
            <w:proofErr w:type="spellStart"/>
            <w:r>
              <w:rPr>
                <w:rFonts w:ascii="Times New Roman" w:eastAsia="Times New Roman" w:hAnsi="Times New Roman" w:cs="Times New Roman"/>
                <w:sz w:val="24"/>
                <w:szCs w:val="24"/>
                <w:lang w:eastAsia="lv-LV"/>
              </w:rPr>
              <w:t>Izvērtējuma</w:t>
            </w:r>
            <w:proofErr w:type="spellEnd"/>
            <w:r>
              <w:rPr>
                <w:rFonts w:ascii="Times New Roman" w:eastAsia="Times New Roman" w:hAnsi="Times New Roman" w:cs="Times New Roman"/>
                <w:sz w:val="24"/>
                <w:szCs w:val="24"/>
                <w:lang w:eastAsia="lv-LV"/>
              </w:rPr>
              <w:t xml:space="preserve"> rezultātā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Kredītu reģistra likumā paredzēto administratīvajai atbildībai līdzīgo piespiedu </w:t>
            </w:r>
            <w:r>
              <w:rPr>
                <w:rFonts w:ascii="Times New Roman" w:eastAsia="Times New Roman" w:hAnsi="Times New Roman" w:cs="Times New Roman"/>
                <w:sz w:val="24"/>
                <w:szCs w:val="24"/>
                <w:lang w:eastAsia="lv-LV"/>
              </w:rPr>
              <w:lastRenderedPageBreak/>
              <w:t>ietekmēšanas līdzekļu (brīdinājuma un soda naudas) piemērošanas procesuālo kārtību, ņemot vērā šādus apsvērumus.</w:t>
            </w:r>
          </w:p>
          <w:p w14:paraId="7EF14960" w14:textId="77777777" w:rsidR="00B87B5F" w:rsidRDefault="00B87B5F">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2.2.1. Latvijas Banka (un arī Finanšu un kapitāla tirgus komisija)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Finanšu un kapitāla tirgus komisijas amatpersonu tiesības izskatīt administratīvo pārkāpumu lietas. </w:t>
            </w:r>
          </w:p>
          <w:p w14:paraId="0998E263" w14:textId="77777777" w:rsidR="00B87B5F" w:rsidRDefault="00B87B5F">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4931A2D7" w14:textId="77777777" w:rsidR="00B87B5F" w:rsidRDefault="00B87B5F">
            <w:pPr>
              <w:pStyle w:val="Teksts1"/>
              <w:shd w:val="clear" w:color="auto" w:fill="FFFFFF"/>
              <w:spacing w:after="0" w:line="276" w:lineRule="auto"/>
              <w:rPr>
                <w:szCs w:val="24"/>
              </w:rPr>
            </w:pPr>
            <w:r>
              <w:rPr>
                <w:szCs w:val="24"/>
                <w:lang w:eastAsia="lv-LV"/>
              </w:rPr>
              <w:t>2.2.3. F</w:t>
            </w:r>
            <w:r>
              <w:rPr>
                <w:szCs w:val="24"/>
              </w:rPr>
              <w:t xml:space="preserve">inanšu tirgus dalībnieku uzraudzības jomā būtiska nozīme ir arī kvalitatīvai lietu izskatīšanai tiesā un judikatūras stabilitātei, ko veicina šajā jomā ilgstoši specializējušies administratīvās tiesas tiesneši. </w:t>
            </w:r>
          </w:p>
          <w:p w14:paraId="1040F8C3" w14:textId="77777777" w:rsidR="00B87B5F" w:rsidRDefault="00B87B5F">
            <w:pPr>
              <w:pStyle w:val="Teksts1"/>
              <w:shd w:val="clear" w:color="auto" w:fill="FFFFFF"/>
              <w:spacing w:after="0" w:line="276" w:lineRule="auto"/>
              <w:rPr>
                <w:szCs w:val="24"/>
              </w:rPr>
            </w:pPr>
            <w:r>
              <w:rPr>
                <w:szCs w:val="24"/>
              </w:rPr>
              <w:t>2.2.4.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w:t>
            </w:r>
            <w:r>
              <w:rPr>
                <w:rStyle w:val="FootnoteReference"/>
                <w:szCs w:val="24"/>
              </w:rPr>
              <w:footnoteReference w:id="2"/>
            </w:r>
            <w:r>
              <w:rPr>
                <w:szCs w:val="24"/>
              </w:rPr>
              <w:t xml:space="preserve"> Ņemot vērā, ka arī pēc Finanšu un kapitāla tirgus komisijas pievienošanas Latvijas Bankai plānots saglabāt koleģiāli pieņemtu lēmumu izvērtēšanu vairākos līmeņos, iepriekš minētā pārsūdzības kārtība būtu saglabājama. </w:t>
            </w:r>
          </w:p>
          <w:p w14:paraId="2793FE79" w14:textId="77777777" w:rsidR="00B87B5F" w:rsidRDefault="00B87B5F">
            <w:pPr>
              <w:shd w:val="clear" w:color="auto" w:fill="FFFFFF" w:themeFill="background1"/>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2.2.5. Ievērojot to, ka finanšu tirgus dalībniekiem piemērojamie naudas sodi ir atzīstami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w:t>
            </w:r>
            <w:proofErr w:type="spellStart"/>
            <w:r>
              <w:rPr>
                <w:rFonts w:ascii="Times New Roman" w:eastAsia="Times New Roman" w:hAnsi="Times New Roman" w:cs="Times New Roman"/>
                <w:sz w:val="24"/>
                <w:szCs w:val="24"/>
                <w:lang w:eastAsia="lv-LV"/>
              </w:rPr>
              <w:t>pamattiesību</w:t>
            </w:r>
            <w:proofErr w:type="spellEnd"/>
            <w:r>
              <w:rPr>
                <w:rFonts w:ascii="Times New Roman" w:eastAsia="Times New Roman" w:hAnsi="Times New Roman" w:cs="Times New Roman"/>
                <w:sz w:val="24"/>
                <w:szCs w:val="24"/>
                <w:lang w:eastAsia="lv-LV"/>
              </w:rPr>
              <w:t xml:space="preserve"> pilnvērtīgu aizsardzību.</w:t>
            </w:r>
          </w:p>
          <w:p w14:paraId="7396332F" w14:textId="77777777" w:rsidR="00B87B5F" w:rsidRDefault="00B87B5F">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lastRenderedPageBreak/>
              <w:t>2.3.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Pr>
                <w:rFonts w:ascii="Times New Roman" w:eastAsia="Times New Roman" w:hAnsi="Times New Roman" w:cs="Times New Roman"/>
                <w:sz w:val="24"/>
                <w:szCs w:val="24"/>
                <w:lang w:eastAsia="lv-LV"/>
              </w:rPr>
              <w:t>aizvietotājizpilde</w:t>
            </w:r>
            <w:proofErr w:type="spellEnd"/>
            <w:r>
              <w:rPr>
                <w:rFonts w:ascii="Times New Roman" w:eastAsia="Times New Roman" w:hAnsi="Times New Roman" w:cs="Times New Roman"/>
                <w:sz w:val="24"/>
                <w:szCs w:val="24"/>
                <w:lang w:eastAsia="lv-LV"/>
              </w:rPr>
              <w:t xml:space="preserve">, piespiedu nauda, tiešais spēks). Tā kā Latvijas Banka nav institūcija, kurai būtu tiesības veikt administratīvā pārkāpuma procesu, nav iespējama arī situācija, ka par administratīvā akta nepildīšanu varētu tikt ierosināta administratīvā pārkāpuma lieta, kas nodrošina </w:t>
            </w:r>
            <w:r>
              <w:rPr>
                <w:rFonts w:ascii="Times New Roman" w:eastAsia="Times New Roman" w:hAnsi="Times New Roman" w:cs="Times New Roman"/>
                <w:i/>
                <w:iCs/>
                <w:sz w:val="24"/>
                <w:szCs w:val="24"/>
                <w:lang w:eastAsia="lv-LV"/>
              </w:rPr>
              <w:t xml:space="preserve">ne </w:t>
            </w:r>
            <w:proofErr w:type="spellStart"/>
            <w:r>
              <w:rPr>
                <w:rFonts w:ascii="Times New Roman" w:eastAsia="Times New Roman" w:hAnsi="Times New Roman" w:cs="Times New Roman"/>
                <w:i/>
                <w:iCs/>
                <w:sz w:val="24"/>
                <w:szCs w:val="24"/>
                <w:lang w:eastAsia="lv-LV"/>
              </w:rPr>
              <w:t>bis</w:t>
            </w:r>
            <w:proofErr w:type="spellEnd"/>
            <w:r>
              <w:rPr>
                <w:rFonts w:ascii="Times New Roman" w:eastAsia="Times New Roman" w:hAnsi="Times New Roman" w:cs="Times New Roman"/>
                <w:i/>
                <w:iCs/>
                <w:sz w:val="24"/>
                <w:szCs w:val="24"/>
                <w:lang w:eastAsia="lv-LV"/>
              </w:rPr>
              <w:t xml:space="preserve"> </w:t>
            </w:r>
            <w:proofErr w:type="spellStart"/>
            <w:r>
              <w:rPr>
                <w:rFonts w:ascii="Times New Roman" w:eastAsia="Times New Roman" w:hAnsi="Times New Roman" w:cs="Times New Roman"/>
                <w:i/>
                <w:iCs/>
                <w:sz w:val="24"/>
                <w:szCs w:val="24"/>
                <w:lang w:eastAsia="lv-LV"/>
              </w:rPr>
              <w:t>in</w:t>
            </w:r>
            <w:proofErr w:type="spellEnd"/>
            <w:r>
              <w:rPr>
                <w:rFonts w:ascii="Times New Roman" w:eastAsia="Times New Roman" w:hAnsi="Times New Roman" w:cs="Times New Roman"/>
                <w:i/>
                <w:iCs/>
                <w:sz w:val="24"/>
                <w:szCs w:val="24"/>
                <w:lang w:eastAsia="lv-LV"/>
              </w:rPr>
              <w:t xml:space="preserve"> </w:t>
            </w:r>
            <w:proofErr w:type="spellStart"/>
            <w:r>
              <w:rPr>
                <w:rFonts w:ascii="Times New Roman" w:eastAsia="Times New Roman" w:hAnsi="Times New Roman" w:cs="Times New Roman"/>
                <w:i/>
                <w:iCs/>
                <w:sz w:val="24"/>
                <w:szCs w:val="24"/>
                <w:lang w:eastAsia="lv-LV"/>
              </w:rPr>
              <w:t>idem</w:t>
            </w:r>
            <w:proofErr w:type="spellEnd"/>
            <w:r>
              <w:rPr>
                <w:rFonts w:ascii="Times New Roman" w:eastAsia="Times New Roman" w:hAnsi="Times New Roman" w:cs="Times New Roman"/>
                <w:sz w:val="24"/>
                <w:szCs w:val="24"/>
                <w:lang w:eastAsia="lv-LV"/>
              </w:rPr>
              <w:t xml:space="preserve"> principa ievērošanu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Latvijas Bankas prasībām; 4) tiek novērsta divkārša tiesvedība divās dažādas tiesās par vienu un to pašu pārkāpumu.</w:t>
            </w:r>
          </w:p>
          <w:p w14:paraId="643679FF"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Ministru kabineta 2007. gada 5. decembra rīkojuma Nr. 775 "Par Administratīvā procesa </w:t>
            </w:r>
            <w:proofErr w:type="spellStart"/>
            <w:r>
              <w:rPr>
                <w:rFonts w:ascii="Times New Roman" w:hAnsi="Times New Roman" w:cs="Times New Roman"/>
                <w:sz w:val="24"/>
                <w:szCs w:val="24"/>
                <w:lang w:eastAsia="lv-LV"/>
              </w:rPr>
              <w:t>efektivizēšanas</w:t>
            </w:r>
            <w:proofErr w:type="spellEnd"/>
            <w:r>
              <w:rPr>
                <w:rFonts w:ascii="Times New Roman" w:hAnsi="Times New Roman" w:cs="Times New Roman"/>
                <w:sz w:val="24"/>
                <w:szCs w:val="24"/>
                <w:lang w:eastAsia="lv-LV"/>
              </w:rPr>
              <w:t xml:space="preserve">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 (skat. Ministru kabineta 2008. gada 4. augusta sēdes protokola Nr. 55 17. līdz 21. §: Likumprojekts "Grozījums Ieguldījumu pārvaldes sabiedrību likumā" (VSS-1068, TA-2127), likumprojekts "Grozījums Apdrošināšanas sabiedrību un to uzraudzības likumā" (VSS-1066, TA-2131), likumprojekts "Grozījums Finanšu instrumentu tirgus likumā" (VSS-1065, TA-2132), likumprojekts "Grozījums likumā "Par privātajiem pensiju fondiem"" (VSS-1069, TA-2133) un likumprojekts "Grozījums Kredītiestāžu likumā" (VSS-1067, TA-2134), kuri 2008. gada 23. oktobrī tika pieņemti  un ir spēkā kopš 2009. gada 1. janvāra.</w:t>
            </w:r>
            <w:r>
              <w:t xml:space="preserve"> </w:t>
            </w:r>
            <w:r>
              <w:rPr>
                <w:rFonts w:ascii="Times New Roman" w:hAnsi="Times New Roman" w:cs="Times New Roman"/>
                <w:sz w:val="24"/>
                <w:szCs w:val="24"/>
                <w:lang w:eastAsia="lv-LV"/>
              </w:rPr>
              <w:t>Likums “Par privātajiem pensiju fondiem” zaudēja spēku  2020. gada 13. janvārī ar “Privāto pensiju fonda likumu”, kas tika pieņemts 2019. gada 19. decembrī.</w:t>
            </w:r>
          </w:p>
          <w:p w14:paraId="18F32972" w14:textId="77777777" w:rsidR="00B87B5F" w:rsidRDefault="00B87B5F">
            <w:pPr>
              <w:spacing w:after="0" w:line="240" w:lineRule="auto"/>
              <w:jc w:val="both"/>
              <w:rPr>
                <w:rFonts w:ascii="Times New Roman" w:hAnsi="Times New Roman" w:cs="Times New Roman"/>
                <w:sz w:val="24"/>
                <w:szCs w:val="24"/>
                <w:lang w:eastAsia="lv-LV"/>
              </w:rPr>
            </w:pPr>
          </w:p>
          <w:p w14:paraId="4389ACEA"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Tādējādi praksē ieviestas ar tieslietu ministra rīkojumu izveidotās darba grupas izstrādātās un Tieslietu ministrijas virzītās Administratīvā procesa </w:t>
            </w:r>
            <w:proofErr w:type="spellStart"/>
            <w:r>
              <w:rPr>
                <w:rFonts w:ascii="Times New Roman" w:hAnsi="Times New Roman" w:cs="Times New Roman"/>
                <w:sz w:val="24"/>
                <w:szCs w:val="24"/>
                <w:lang w:eastAsia="lv-LV"/>
              </w:rPr>
              <w:t>efektivizēšanas</w:t>
            </w:r>
            <w:proofErr w:type="spellEnd"/>
            <w:r>
              <w:rPr>
                <w:rFonts w:ascii="Times New Roman" w:hAnsi="Times New Roman" w:cs="Times New Roman"/>
                <w:sz w:val="24"/>
                <w:szCs w:val="24"/>
                <w:lang w:eastAsia="lv-LV"/>
              </w:rPr>
              <w:t xml:space="preserve"> koncepcijas nostādnes, ka Finanšu un kapitāla tirgus komisijas lēmumus pārsūdz Administratīvajā apgabaltiesā. Pēc FKTK pievienošanas Latvijas Bankai minētā administratīvi procesuālā kārtība tiks attiecināta uz visiem administratīvajiem aktiem, kurus finanšu tirgus dalībnieku uzraudzības jomā izdos Latvijas Bankas padome. Ņemot vērā to, ka Latvijas Bankas padome šāda veida administratīvos aktus izdos arī par finanšu tirgus dalībnieku, kas ir Kredītu reģistra dalībnieki, izdarītajiem Kredītu reģistra likuma prasību pārkāpumiem, Likumprojektā ietverts regulējums par minētās Latvijas Bankas padomes izdoto administratīvo aktu pārsūdzēšanas procesuālo kārtību. </w:t>
            </w:r>
          </w:p>
          <w:p w14:paraId="13BB772F" w14:textId="77777777" w:rsidR="00B87B5F" w:rsidRDefault="00B87B5F">
            <w:pPr>
              <w:spacing w:after="0" w:line="240" w:lineRule="auto"/>
              <w:jc w:val="both"/>
              <w:rPr>
                <w:rFonts w:ascii="Times New Roman" w:eastAsia="Times New Roman" w:hAnsi="Times New Roman" w:cs="Times New Roman"/>
                <w:iCs/>
                <w:sz w:val="24"/>
                <w:szCs w:val="24"/>
                <w:lang w:eastAsia="lv-LV"/>
              </w:rPr>
            </w:pPr>
          </w:p>
          <w:p w14:paraId="19D80850" w14:textId="77777777" w:rsidR="00B87B5F" w:rsidRDefault="00B87B5F" w:rsidP="00B87B5F">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shd w:val="clear" w:color="auto" w:fill="FFFFFF"/>
              </w:rPr>
              <w:t>paplašina Kredītu reģistrā iekļauto ziņu izmantošanas iespējas un paredz Kredītu reģistra dalībniekiem iespējas saņemt citu valstu kredītu datu sniedzēju sniegos kredītu datus atbilstoši Eiropas Centrālās bankas nosacījumiem.</w:t>
            </w:r>
          </w:p>
          <w:p w14:paraId="0FC3AE6C" w14:textId="77777777" w:rsidR="00B87B5F" w:rsidRDefault="00B87B5F">
            <w:pPr>
              <w:spacing w:after="0" w:line="240" w:lineRule="auto"/>
              <w:jc w:val="both"/>
              <w:rPr>
                <w:rFonts w:ascii="Times New Roman" w:hAnsi="Times New Roman" w:cs="Times New Roman"/>
                <w:sz w:val="24"/>
                <w:szCs w:val="24"/>
                <w:lang w:eastAsia="lv-LV"/>
              </w:rPr>
            </w:pPr>
          </w:p>
          <w:p w14:paraId="6107120A"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3.1. Saskaņā ar Kredītu reģistra likuma 20. pantu noteiktam valsts institūciju un amatpersonu lokam ir tiesības normatīvajos aktos noteikto uzdevumu īstenošanai saņemt Kredītu reģistrā iekļautās ziņas ierobežotā apjomā, proti, likumā noteiktās valsts institūcijas un amatpersonas var saņemt no Kredītu reģistra informāciju, kurš Kredītu reģistra dalībnieks  iekļāvis Kredītu reģistrā ziņas par klientu un klienta galvinieku, un attiecīgā klienta un klienta galvinieka saistību sākuma datumu un beigu datumu.</w:t>
            </w:r>
          </w:p>
          <w:p w14:paraId="674BFB4C" w14:textId="77777777" w:rsidR="00B87B5F" w:rsidRDefault="00B87B5F">
            <w:pPr>
              <w:spacing w:after="0" w:line="240" w:lineRule="auto"/>
              <w:jc w:val="both"/>
              <w:rPr>
                <w:rFonts w:ascii="Times New Roman" w:hAnsi="Times New Roman" w:cs="Times New Roman"/>
                <w:sz w:val="24"/>
                <w:szCs w:val="24"/>
                <w:lang w:eastAsia="lv-LV"/>
              </w:rPr>
            </w:pPr>
          </w:p>
          <w:p w14:paraId="68F48180"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Šāda ierobežota apjoma Kredītu reģistrā iekļauto ziņu izsniegšanas kārtība atvieglo attiecīgo valsts institūciju un amatpersonu darbu, jo tām ir iespēja ziņas par to, kurš Kredītu reģistra dalībnieks par konkrētu personu ir iekļāvis ziņas Kredītu reģistrā, un par šīs personas saistību sākuma un beigu datumu saņemt atvieglotā kārtībā. Savukārt, lai saņemtu turpmākas nepieciešamās ziņas par personu, t.sk. precīzu informāciju par personas saistībām, šai valsts institūcijai vai amatpersonai jāvēršas pie attiecīgā Kredītu reģistra dalībnieka, t.sk. izpildot speciālajos likumos noteiktās procedūras informācijas saņemšanai.</w:t>
            </w:r>
          </w:p>
          <w:p w14:paraId="0719051D" w14:textId="77777777" w:rsidR="00B87B5F" w:rsidRDefault="00B87B5F">
            <w:pPr>
              <w:spacing w:after="0" w:line="240" w:lineRule="auto"/>
              <w:jc w:val="both"/>
              <w:rPr>
                <w:rFonts w:ascii="Times New Roman" w:hAnsi="Times New Roman" w:cs="Times New Roman"/>
                <w:sz w:val="24"/>
                <w:szCs w:val="24"/>
                <w:lang w:eastAsia="lv-LV"/>
              </w:rPr>
            </w:pPr>
          </w:p>
          <w:p w14:paraId="65E5D571"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Kredītu reģistra likums neparedz zvērinātu notāru un bāriņtiesu tiesības saņemt Kredītu reģistrā iekļautās ziņas. Vienlaikus šobrīd vairāki normatīvie akti nosaka, ka bāriņtiesām un zvērinātiem notāriem ir tiesības saņemt Kredītu reģistrā esošajām ziņām līdzvērtīgu informāciju no attiecīgajiem tiesību subjektiem:</w:t>
            </w:r>
          </w:p>
          <w:p w14:paraId="3D3A3AD3"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Kredītiestāžu likumā zvērinātiem notāriem un bāriņtiesām ir noteiktas tiesības saņemt kredītiestāžu neizpaužamās ziņas:</w:t>
            </w:r>
          </w:p>
          <w:p w14:paraId="7DEF8445"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 Kredītiestāžu likuma 63. panta pirmās daļas 13. punktā noteiktas tiesības zvērinātiem notāriem, vedot mantojuma lietas, saņemt no kredītiestādēm ziņas, kas nepieciešamas mantojuma atstājēja (fiziskās personas) mantojuma masas, t.sk. saistību, apzināšanai;</w:t>
            </w:r>
          </w:p>
          <w:p w14:paraId="68B2402D"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b) Kredītiestāžu likuma 63. panta pirmās daļas 14. punkta a) apakšpunktā noteiktas tiesības bāriņtiesām saņemt no kredītiestādēm ziņas par mantojuma masas, bērna vai citas rīcībnespējīgas personas vārdā veiktajiem darījumiem un kontu atlikumiem, ja vecāks, aizbildnis vai aizgādnis bāriņtiesai nesniedz pieprasīto informāciju par bērna vai citas rīcībnespējīgas personas mantas pārvaldību vai ir pamatotas aizdomas, ka vecāka, aizbildņa vai aizgādņa sniegtā informācija nav patiesa;</w:t>
            </w:r>
          </w:p>
          <w:p w14:paraId="1954FAF5"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proofErr w:type="spellStart"/>
            <w:r>
              <w:rPr>
                <w:rFonts w:ascii="Times New Roman" w:hAnsi="Times New Roman" w:cs="Times New Roman"/>
                <w:sz w:val="24"/>
                <w:szCs w:val="24"/>
                <w:lang w:eastAsia="lv-LV"/>
              </w:rPr>
              <w:t>Krājaizdevu</w:t>
            </w:r>
            <w:proofErr w:type="spellEnd"/>
            <w:r>
              <w:rPr>
                <w:rFonts w:ascii="Times New Roman" w:hAnsi="Times New Roman" w:cs="Times New Roman"/>
                <w:sz w:val="24"/>
                <w:szCs w:val="24"/>
                <w:lang w:eastAsia="lv-LV"/>
              </w:rPr>
              <w:t xml:space="preserve"> sabiedrību likumā noteikts, ka </w:t>
            </w:r>
            <w:proofErr w:type="spellStart"/>
            <w:r>
              <w:rPr>
                <w:rFonts w:ascii="Times New Roman" w:hAnsi="Times New Roman" w:cs="Times New Roman"/>
                <w:sz w:val="24"/>
                <w:szCs w:val="24"/>
                <w:lang w:eastAsia="lv-LV"/>
              </w:rPr>
              <w:t>krājaizdevu</w:t>
            </w:r>
            <w:proofErr w:type="spellEnd"/>
            <w:r>
              <w:rPr>
                <w:rFonts w:ascii="Times New Roman" w:hAnsi="Times New Roman" w:cs="Times New Roman"/>
                <w:sz w:val="24"/>
                <w:szCs w:val="24"/>
                <w:lang w:eastAsia="lv-LV"/>
              </w:rPr>
              <w:t xml:space="preserve"> sabiedrības rīcībā esošās neizpaužamās ziņas tiek sniegtas Kredītiestāžu likumā noteiktajos gadījumos un kārtībā.</w:t>
            </w:r>
          </w:p>
          <w:p w14:paraId="6C2C3F1A" w14:textId="77777777" w:rsidR="00B87B5F" w:rsidRDefault="00B87B5F">
            <w:pPr>
              <w:spacing w:after="0" w:line="240" w:lineRule="auto"/>
              <w:jc w:val="both"/>
              <w:rPr>
                <w:rFonts w:ascii="Times New Roman" w:hAnsi="Times New Roman" w:cs="Times New Roman"/>
                <w:sz w:val="24"/>
                <w:szCs w:val="24"/>
                <w:lang w:eastAsia="lv-LV"/>
              </w:rPr>
            </w:pPr>
          </w:p>
          <w:p w14:paraId="787DA7D3"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Tiesu izpildītāju likuma 41. pantā noteikts, ka, veicot amata darbības, zvērināts tiesu izpildītājs ir tiesīgs ar amata pienākumu pildīšanu saistīto nepieciešamo informāciju motivēti pieprasīt no valsts un pašvaldību iestādēm un institūcijām, kā arī no visām fiziskajām un juridiskajām personām, ciktāl to neierobežo speciālās tiesību normas.</w:t>
            </w:r>
          </w:p>
          <w:p w14:paraId="079C52B3"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Kredītiestāžu likuma 63 panta pirmās daļas 8. punktam kredītiestādes rīcībā esošās neizpaužamās ziņas tiesu izpildītājiem ir sniedzamas pamatojoties uz pieprasījumu, kam pievienota tā tiesas vai citas institūcijas, vai amatpersonas nolēmuma kopija, kura izpildei tiek veiktas amata darbības, vai pamatojoties tikai uz pieprasījumu – gadījumos, kad ziņas nepieciešamas inventāra saraksta sastādīšanai, kā arī mantas aprakstes veikšanai kopīgas mantas dalīšanas nolūkā vai mantojuma lietā. </w:t>
            </w:r>
          </w:p>
          <w:p w14:paraId="131D590C" w14:textId="77777777" w:rsidR="00B87B5F" w:rsidRDefault="00B87B5F">
            <w:pPr>
              <w:spacing w:after="0" w:line="240" w:lineRule="auto"/>
              <w:jc w:val="both"/>
              <w:rPr>
                <w:rFonts w:ascii="Times New Roman" w:hAnsi="Times New Roman" w:cs="Times New Roman"/>
                <w:sz w:val="24"/>
                <w:szCs w:val="24"/>
                <w:lang w:eastAsia="lv-LV"/>
              </w:rPr>
            </w:pPr>
          </w:p>
          <w:p w14:paraId="67EDE7CA"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Kredītu reģistra likums neparedz zvērinātu tiesu izpildītāju tiesības saņemt Kredītu reģistrā iekļautās ziņas. Tomēr zvērinātiem tiesu izpildītājiem amata pienākumu veikšanai, tajā skaitā, mantojuma inventāra saraksta sastādīšanai, kā arī izpildu lietās, lai noskaidrotu, piemēram, vai parādniekam ir kredītsaistības, vai parādnieks ir sniedzis galvojumu u.tml. šāda veida ziņas būtu ļoti noderīgas.</w:t>
            </w:r>
          </w:p>
          <w:p w14:paraId="2CE226B2" w14:textId="77777777" w:rsidR="00B87B5F" w:rsidRDefault="00B87B5F">
            <w:pPr>
              <w:spacing w:after="0" w:line="240" w:lineRule="auto"/>
              <w:jc w:val="both"/>
              <w:rPr>
                <w:rFonts w:ascii="Times New Roman" w:hAnsi="Times New Roman" w:cs="Times New Roman"/>
                <w:sz w:val="24"/>
                <w:szCs w:val="24"/>
                <w:lang w:eastAsia="lv-LV"/>
              </w:rPr>
            </w:pPr>
          </w:p>
          <w:p w14:paraId="7AF34D3B"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Kontu reģistra likuma 6. panta pirmās daļas 10. punkts bāriņtiesām un zvērinātiem notāriem paredz tiesības saņemt kontu reģistrā iekļauto informāciju mantojuma apsardzībai un mantojuma saraksta sastādīšanai. Vienlaikus minētā likuma 6. panta pirmās daļas 9. punkts zvērinātiem tiesu izpildītājiem paredz tiesības saņemt kontu reģistrā iekļauto informāciju normatīvajos aktos noteikto pienākumu izpildei izpildu lietas ietvaros, kā arī mantojuma apsardzībai un mantojuma saraksta sastādīšanai, mantas aprakstes veikšanai mantas dalīšanas nolūkā. Kredītu reģistrā iekļautās ziņas saturiski atšķiras no kontu reģistrā esošās informācijas (piem., juridisko personu, kas iekļauj ziņas Kredītu reģistrā, loks ir plašāks; kontu reģistrā var nebūt informācijas saistībā ar klienta galvinieku, jo nav normatīvas prasības klienta galviniekam atvērt attiecīgajā kredītiestādē kontu). </w:t>
            </w:r>
          </w:p>
          <w:p w14:paraId="62E6D714" w14:textId="77777777" w:rsidR="00B87B5F" w:rsidRDefault="00B87B5F">
            <w:pPr>
              <w:spacing w:after="0" w:line="240" w:lineRule="auto"/>
              <w:jc w:val="both"/>
              <w:rPr>
                <w:rFonts w:ascii="Times New Roman" w:hAnsi="Times New Roman" w:cs="Times New Roman"/>
                <w:sz w:val="24"/>
                <w:szCs w:val="24"/>
                <w:lang w:eastAsia="lv-LV"/>
              </w:rPr>
            </w:pPr>
          </w:p>
          <w:p w14:paraId="4CD603D7"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mērķi zvērinātiem notāriem, bāriņtiesām un zvērinātiem tiesu izpildītājiem sekmīgāk īstenot tiem normatīvajos aktos noteiktos uzdevumus, ar Likumprojektu Kredītu reģistra likuma 20. pantā tiek </w:t>
            </w:r>
            <w:r>
              <w:rPr>
                <w:rFonts w:ascii="Times New Roman" w:hAnsi="Times New Roman" w:cs="Times New Roman"/>
                <w:sz w:val="24"/>
                <w:szCs w:val="24"/>
                <w:lang w:eastAsia="lv-LV"/>
              </w:rPr>
              <w:lastRenderedPageBreak/>
              <w:t>paredzētas tiesības arī zvērinātiem notāriem, bāriņtiesām un zvērinātiem tiesu izpildītājiem saņemt Kredītu reģistrā iekļautās ziņas ierobežotā apjomā, proti:</w:t>
            </w:r>
          </w:p>
          <w:p w14:paraId="495E2652"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Pr>
                <w:rFonts w:ascii="Times New Roman" w:hAnsi="Times New Roman" w:cs="Times New Roman"/>
                <w:sz w:val="24"/>
                <w:szCs w:val="24"/>
                <w:lang w:eastAsia="lv-LV"/>
              </w:rPr>
              <w:tab/>
              <w:t xml:space="preserve">ziņas par to, kurš Kredītu reģistra dalībnieks iekļāvis Kredītu reģistrā ziņas par klientu un klienta galvinieku, un </w:t>
            </w:r>
          </w:p>
          <w:p w14:paraId="3BF1021D"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Pr>
                <w:rFonts w:ascii="Times New Roman" w:hAnsi="Times New Roman" w:cs="Times New Roman"/>
                <w:sz w:val="24"/>
                <w:szCs w:val="24"/>
                <w:lang w:eastAsia="lv-LV"/>
              </w:rPr>
              <w:tab/>
              <w:t>attiecīgā klienta un klienta galvinieka saistību sākuma datumu un beigu datumu.</w:t>
            </w:r>
          </w:p>
          <w:p w14:paraId="27EAE2B6" w14:textId="77777777" w:rsidR="00B87B5F" w:rsidRDefault="00B87B5F">
            <w:pPr>
              <w:spacing w:after="0" w:line="240" w:lineRule="auto"/>
              <w:jc w:val="both"/>
              <w:rPr>
                <w:rFonts w:ascii="Times New Roman" w:hAnsi="Times New Roman" w:cs="Times New Roman"/>
                <w:sz w:val="24"/>
                <w:szCs w:val="24"/>
                <w:lang w:eastAsia="lv-LV"/>
              </w:rPr>
            </w:pPr>
          </w:p>
          <w:p w14:paraId="7908213A"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Tādējādi zvērināti notāri, bāriņtiesas un zvērināti tiesu izpildītāji no vienas informācijas sistēmas (Kredītu reģistra) varēs uzreiz saņemt ziņas par to, kuri Kredītu reģistra dalībnieki ir iekļāvuši Kredītu reģistrā informāciju par konkrētās personas saistībām un to, vai šīs saistības joprojām ir spēkā esošas. Savukārt, lai saņemtu turpmākas nepieciešamās ziņas, t.sk. precīzu informāciju par personas saistību apmēru, zvērinātiem notāriem, bāriņtiesām un zvērinātiem tiesu izpildītājiem, tāpat kā citām valsts institūcijām un amatpersonām, būtu jāvēršas pie attiecīgā Kredītu reģistra dalībnieka atbilstoši speciālajos likumos noteiktajām procedūrām.</w:t>
            </w:r>
          </w:p>
          <w:p w14:paraId="47EFA85A" w14:textId="77777777" w:rsidR="00B87B5F" w:rsidRDefault="00B87B5F">
            <w:pPr>
              <w:spacing w:after="0" w:line="240" w:lineRule="auto"/>
              <w:jc w:val="both"/>
              <w:rPr>
                <w:rFonts w:ascii="Times New Roman" w:hAnsi="Times New Roman" w:cs="Times New Roman"/>
                <w:sz w:val="24"/>
                <w:szCs w:val="24"/>
                <w:lang w:eastAsia="lv-LV"/>
              </w:rPr>
            </w:pPr>
          </w:p>
          <w:p w14:paraId="501A6F51"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3.2. Kredītu reģistra likums paredz, ka, izmantojot Kredītu reģistrā iekļautās ziņas Kredītu reģistra likumā paredzētajam mērķim, Latvijas Bankai un Finanšu un kapitāla tirgus komisijai ir tiesības sniegt šīs ziņas Latvijas, kā arī citu valstu un Eiropas Savienības institūcijām. Vienlaikus Kredītu reģistrā iekļautās ziņas ir nozīmīgas kreditēšanas tendenču analīzē un šāda veida informāciju Latvijas Bankai un Finanšu un kapitāla tirgus komisijai var pieprasīt Starptautiskais Valūtas fonds un Pasaules Banka finanšu sektora novērtēšanas programmai paredzētajiem </w:t>
            </w:r>
            <w:proofErr w:type="spellStart"/>
            <w:r>
              <w:rPr>
                <w:rFonts w:ascii="Times New Roman" w:hAnsi="Times New Roman" w:cs="Times New Roman"/>
                <w:sz w:val="24"/>
                <w:szCs w:val="24"/>
                <w:lang w:eastAsia="lv-LV"/>
              </w:rPr>
              <w:t>izvērtējumiem</w:t>
            </w:r>
            <w:proofErr w:type="spellEnd"/>
            <w:r>
              <w:rPr>
                <w:rFonts w:ascii="Times New Roman" w:hAnsi="Times New Roman" w:cs="Times New Roman"/>
                <w:sz w:val="24"/>
                <w:szCs w:val="24"/>
                <w:lang w:eastAsia="lv-LV"/>
              </w:rPr>
              <w:t xml:space="preserve">. Ņemot vērā to, ka Kredītu reģistra likums šādas Kredītu reģistrā iekļauto ziņu izpaušanas tiesības neparedz, attiecīgās informācijas iegūšana no kreditēšanas tirgus dalībniekiem finanšu sektora novērtēšanas programmai paredzētajiem </w:t>
            </w:r>
            <w:proofErr w:type="spellStart"/>
            <w:r>
              <w:rPr>
                <w:rFonts w:ascii="Times New Roman" w:hAnsi="Times New Roman" w:cs="Times New Roman"/>
                <w:sz w:val="24"/>
                <w:szCs w:val="24"/>
                <w:lang w:eastAsia="lv-LV"/>
              </w:rPr>
              <w:t>izvērtējumiem</w:t>
            </w:r>
            <w:proofErr w:type="spellEnd"/>
            <w:r>
              <w:rPr>
                <w:rFonts w:ascii="Times New Roman" w:hAnsi="Times New Roman" w:cs="Times New Roman"/>
                <w:sz w:val="24"/>
                <w:szCs w:val="24"/>
                <w:lang w:eastAsia="lv-LV"/>
              </w:rPr>
              <w:t xml:space="preserve"> var tiem radīt papildu administratīvo slogu, neraugoties uz to, ka attiecīgā veida informācija jau ir iekļauta Kredītu reģistrā un attiecīgajos gadījumos to būtu iespējams apkopot no konkrētās datubāzes. Ņemot vērā minēto, likumprojekts paredz Kredītu reģistra likuma 4. panta sesto daļu papildināt ar Latvijas Bankas un Finanšu un kapitāla tirgus komisijas (līdz tās pievienošanai Latvijas Bankai) tiesībām Kredītu reģistrā iekļautās ziņas izsniegt arī starptautiskajām organizācijām.</w:t>
            </w:r>
          </w:p>
          <w:p w14:paraId="212D6279" w14:textId="77777777" w:rsidR="00B87B5F" w:rsidRDefault="00B87B5F">
            <w:pPr>
              <w:spacing w:after="0" w:line="240" w:lineRule="auto"/>
              <w:jc w:val="both"/>
              <w:rPr>
                <w:rFonts w:ascii="Times New Roman" w:hAnsi="Times New Roman" w:cs="Times New Roman"/>
                <w:sz w:val="24"/>
                <w:szCs w:val="24"/>
                <w:lang w:eastAsia="lv-LV"/>
              </w:rPr>
            </w:pPr>
          </w:p>
          <w:p w14:paraId="652792F2"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3.3. Nesenā finanšu krīze pasaulē akcentēja nepieciešamību vākt atbilstošākus un detalizētākus finanšu statistikas datus. Tādējādi centrālo banku statistika vairs neaprobežojas ar apkopotajiem datiem, bet aptver arī </w:t>
            </w:r>
            <w:proofErr w:type="spellStart"/>
            <w:r>
              <w:rPr>
                <w:rFonts w:ascii="Times New Roman" w:hAnsi="Times New Roman" w:cs="Times New Roman"/>
                <w:sz w:val="24"/>
                <w:szCs w:val="24"/>
                <w:lang w:eastAsia="lv-LV"/>
              </w:rPr>
              <w:t>mikrodatus</w:t>
            </w:r>
            <w:proofErr w:type="spellEnd"/>
            <w:r>
              <w:rPr>
                <w:rFonts w:ascii="Times New Roman" w:hAnsi="Times New Roman" w:cs="Times New Roman"/>
                <w:sz w:val="24"/>
                <w:szCs w:val="24"/>
                <w:lang w:eastAsia="lv-LV"/>
              </w:rPr>
              <w:t xml:space="preserve"> (detalizētākus datus), piemēram, atsevišķu darījumu (kredītu) un finanšu tirgus dalībnieku līmenī. </w:t>
            </w:r>
            <w:proofErr w:type="spellStart"/>
            <w:r>
              <w:rPr>
                <w:rFonts w:ascii="Times New Roman" w:hAnsi="Times New Roman" w:cs="Times New Roman"/>
                <w:sz w:val="24"/>
                <w:szCs w:val="24"/>
                <w:lang w:eastAsia="lv-LV"/>
              </w:rPr>
              <w:t>Mikrodati</w:t>
            </w:r>
            <w:proofErr w:type="spellEnd"/>
            <w:r>
              <w:rPr>
                <w:rFonts w:ascii="Times New Roman" w:hAnsi="Times New Roman" w:cs="Times New Roman"/>
                <w:sz w:val="24"/>
                <w:szCs w:val="24"/>
                <w:lang w:eastAsia="lv-LV"/>
              </w:rPr>
              <w:t xml:space="preserve"> var veicināt labāku izpratni par to, kā notiek monetārās politikas transmisija uz dažādām ekonomikas jomām, tie var palīdzēt uzlabot nākotnes politikas pasākumus, un izņēmumu (datu noviržu) vai maz iespējamu risku (tādu norišu vai iznākumu, kuriem ir maza rašanās iespējamība, bet liela ietekme) gadījumā tie var nodrošināt </w:t>
            </w:r>
            <w:r>
              <w:rPr>
                <w:rFonts w:ascii="Times New Roman" w:hAnsi="Times New Roman" w:cs="Times New Roman"/>
                <w:sz w:val="24"/>
                <w:szCs w:val="24"/>
                <w:lang w:eastAsia="lv-LV"/>
              </w:rPr>
              <w:lastRenderedPageBreak/>
              <w:t xml:space="preserve">savlaicīgāku politikas reakciju. Ņemot vērā minēto, Eiropas Centrālā banka 2016. gada 18. maijā pieņēma Regulu (ES) Nr. 2016/867 par kredītu un kredītriska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vākšanu (turpmāk –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 paredzot noteikta veida detalizētu datu kopu vākšanu par atsevišķiem </w:t>
            </w:r>
            <w:proofErr w:type="spellStart"/>
            <w:r>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zonas kredītiestāžu kredītiem.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projekts tiek veidots pakāpeniski, pirmajā posmā apkopojot kredītiestāžu izsniegtos tādus kredītus juridiskajām personām, kuru summa vienam kredītņēmējam pārsniedz 25 000 </w:t>
            </w:r>
            <w:proofErr w:type="spellStart"/>
            <w:r>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10. panta 1. punktā noteikts, ka Eiropas Centrālā banka un valstu centrālās bankas izmanto 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regulu sniegtos kredītu datus tādā apjomā un tādiem mērķiem, kas noteikti Padomes 1998. gada 23. novembra Regulā Nr. 2533/98 par statistikas informācijas vākšanu, ko veic Eiropas Centrālā banka, paredzot, ka šos datus var jo īpaši izmantot atgriezeniskās saites izveidošanai un uzturēšanai 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pantu. </w:t>
            </w:r>
          </w:p>
          <w:p w14:paraId="3A3D49B2" w14:textId="77777777" w:rsidR="00B87B5F" w:rsidRDefault="00B87B5F">
            <w:pPr>
              <w:spacing w:after="0" w:line="240" w:lineRule="auto"/>
              <w:jc w:val="both"/>
              <w:rPr>
                <w:rFonts w:ascii="Times New Roman" w:hAnsi="Times New Roman" w:cs="Times New Roman"/>
                <w:sz w:val="24"/>
                <w:szCs w:val="24"/>
                <w:lang w:eastAsia="lv-LV"/>
              </w:rPr>
            </w:pPr>
          </w:p>
          <w:p w14:paraId="5C410E33" w14:textId="77777777" w:rsidR="00B87B5F" w:rsidRDefault="00B87B5F">
            <w:pPr>
              <w:spacing w:after="0" w:line="240" w:lineRule="auto"/>
              <w:jc w:val="both"/>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11.pants nosaka, ka valstu centrālajām bankām ir tiesības sniegt kredītu datus, t. sk. citas valsts centrālās bankas savāktos datus, datu sniedzējiem, izveidojot vai uzlabojot atgriezeniskās saites vai citus informācijas pakalpojumus, ko centrālie kredītu reģistri nodrošina datu sniedzējiem. Tās var sniegt 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regulu savākto kredītu datu apakškopu, ņemot vērā labāko praksi un to, ciktāl to pieļauj piemērojamais juridiskās konfidencialitātes regulējums. Datu sniedzēji šos datus drīkst izmantot vienīgi kredītriska pārvaldībai un tiem pieejamās kredītu kvalitātes informācijas uzlabošanai attiecībā uz pastāvošajiem vai iespējamiem instrumentiem. Tie nedrīkst datus darīt pieejamus citām personām, ja vien datu sniegšana pakalpojumu sniedzējiem šiem mērķiem ir noteikti vajadzīga un dati tiek izmantoti vienīgi attiecībā uz datu sniedzēju, un datu sniedzējs nodrošina vajadzīgo konfidencialitātes aizsardzību saskaņā ar līgumisku vienošanos, ar kuru ir izslēgta datu izmantošana jebkādā citā veidā un kurā ir noteikta datu </w:t>
            </w:r>
            <w:proofErr w:type="spellStart"/>
            <w:r>
              <w:rPr>
                <w:rFonts w:ascii="Times New Roman" w:hAnsi="Times New Roman" w:cs="Times New Roman"/>
                <w:sz w:val="24"/>
                <w:szCs w:val="24"/>
                <w:lang w:eastAsia="lv-LV"/>
              </w:rPr>
              <w:t>anonimizācija</w:t>
            </w:r>
            <w:proofErr w:type="spellEnd"/>
            <w:r>
              <w:rPr>
                <w:rFonts w:ascii="Times New Roman" w:hAnsi="Times New Roman" w:cs="Times New Roman"/>
                <w:sz w:val="24"/>
                <w:szCs w:val="24"/>
                <w:lang w:eastAsia="lv-LV"/>
              </w:rPr>
              <w:t xml:space="preserve"> visos gadījumos, kad tas ir iespējams, un datu dzēšana, tiklīdz sasniegts datu sniegšanas mērķis, kuram dati tika sniegti.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paredzētās atgriezeniskās saites darbības pamatprincips ir </w:t>
            </w:r>
            <w:proofErr w:type="spellStart"/>
            <w:r>
              <w:rPr>
                <w:rFonts w:ascii="Times New Roman" w:hAnsi="Times New Roman" w:cs="Times New Roman"/>
                <w:sz w:val="24"/>
                <w:szCs w:val="24"/>
                <w:lang w:eastAsia="lv-LV"/>
              </w:rPr>
              <w:t>savstarpējīgums</w:t>
            </w:r>
            <w:proofErr w:type="spellEnd"/>
            <w:r>
              <w:rPr>
                <w:rFonts w:ascii="Times New Roman" w:hAnsi="Times New Roman" w:cs="Times New Roman"/>
                <w:sz w:val="24"/>
                <w:szCs w:val="24"/>
                <w:lang w:eastAsia="lv-LV"/>
              </w:rPr>
              <w:t xml:space="preserve"> – kredītu datu sniedzējs var izmantot iespēju saņemt citu valstu kredītu datu sniedzēju sniegtos kredītu datus tikai tad, ja kredītu datu sniedzēja valsts tiesiskais regulējums ļauj apmainīties ar tā sniegtajiem kredītu datiem.  </w:t>
            </w:r>
          </w:p>
          <w:p w14:paraId="46CAA0E1" w14:textId="77777777" w:rsidR="00B87B5F" w:rsidRDefault="00B87B5F">
            <w:pPr>
              <w:spacing w:after="0" w:line="240" w:lineRule="auto"/>
              <w:jc w:val="both"/>
              <w:rPr>
                <w:rFonts w:ascii="Times New Roman" w:hAnsi="Times New Roman" w:cs="Times New Roman"/>
                <w:sz w:val="24"/>
                <w:szCs w:val="24"/>
                <w:lang w:eastAsia="lv-LV"/>
              </w:rPr>
            </w:pPr>
          </w:p>
          <w:p w14:paraId="668AB639"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panta 3. punktu kredītu datu sniedzējiem netiek piešķirtas tiesības uz atgriezenisko saiti vai uz konkrētas informācijas saņemšanu no atgriezeniskās saites, vai citiem informācijas pakalpojumiem, ko centrālie kredītu reģistri nodrošina kredītu datu sniedzējiem. Turklāt centrālās bankas var uz laiku liegt datu sniedzēja piekļuvi konkrētiem pa atgriezenisko saiti saņemamajiem kredītu datiem, ja kredītu datu sniedzējs nav izpildījis savus kredītu datu sniegšanas pienākumus, jo īpaši attiecībā uz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vajadzībām sniedzamo datu kvalitāti un precizitāti, un ja kredītu datu sniedzējs nav izpildījis savus pienākumus saistībā ar atgriezeniskajā saitē saņemto datu izmantošanu. 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lastRenderedPageBreak/>
              <w:t xml:space="preserve">regulas 11. panta 5. punktu centrālajam bankām ir tiesības liegt citu valstu centrālo banku piekļuvi kredītu </w:t>
            </w:r>
            <w:proofErr w:type="spellStart"/>
            <w:r>
              <w:rPr>
                <w:rFonts w:ascii="Times New Roman" w:hAnsi="Times New Roman" w:cs="Times New Roman"/>
                <w:sz w:val="24"/>
                <w:szCs w:val="24"/>
                <w:lang w:eastAsia="lv-LV"/>
              </w:rPr>
              <w:t>mikrodatiem</w:t>
            </w:r>
            <w:proofErr w:type="spellEnd"/>
            <w:r>
              <w:rPr>
                <w:rFonts w:ascii="Times New Roman" w:hAnsi="Times New Roman" w:cs="Times New Roman"/>
                <w:sz w:val="24"/>
                <w:szCs w:val="24"/>
                <w:lang w:eastAsia="lv-LV"/>
              </w:rPr>
              <w:t xml:space="preserve">, ko tās vāc atgriezeniskās saites mērķiem. Centrālajām bankām ir tiesības pieprasīt savstarpīgumu attiecībā uz kredītu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sniegšanu no jebkuras centrālās bankas, kas pieprasa datus no citas valsts centrālās bankas, atgriezeniskās saites mērķiem. Tomēr attiecīgā datu sniedzēja centrālā banka vienmēr var izmantot informāciju par statistisko datu sniedzējā dalībvalstī reģistrētā datu sniedzēja institucionālo vienību (t.i., filiāli) atgriezeniskās saites mērķiem neatkarīgi no tā, kuras valsts </w:t>
            </w:r>
            <w:proofErr w:type="spellStart"/>
            <w:r>
              <w:rPr>
                <w:rFonts w:ascii="Times New Roman" w:hAnsi="Times New Roman" w:cs="Times New Roman"/>
                <w:sz w:val="24"/>
                <w:szCs w:val="24"/>
                <w:lang w:eastAsia="lv-LV"/>
              </w:rPr>
              <w:t>rezidente</w:t>
            </w:r>
            <w:proofErr w:type="spellEnd"/>
            <w:r>
              <w:rPr>
                <w:rFonts w:ascii="Times New Roman" w:hAnsi="Times New Roman" w:cs="Times New Roman"/>
                <w:sz w:val="24"/>
                <w:szCs w:val="24"/>
                <w:lang w:eastAsia="lv-LV"/>
              </w:rPr>
              <w:t xml:space="preserve"> ir institucionālā vienība.  </w:t>
            </w:r>
          </w:p>
          <w:p w14:paraId="727D846B" w14:textId="77777777" w:rsidR="00B87B5F" w:rsidRDefault="00B87B5F">
            <w:pPr>
              <w:spacing w:after="0" w:line="240" w:lineRule="auto"/>
              <w:jc w:val="both"/>
              <w:rPr>
                <w:rFonts w:ascii="Times New Roman" w:hAnsi="Times New Roman" w:cs="Times New Roman"/>
                <w:sz w:val="24"/>
                <w:szCs w:val="24"/>
                <w:lang w:eastAsia="lv-LV"/>
              </w:rPr>
            </w:pPr>
          </w:p>
          <w:p w14:paraId="544DE34C"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Latvijas Bankai ir pienākums piedalīties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projektā, nosūtot Eiropas Centrālajai bankai no Kredītu reģistra dalībniekiem savāktos kredītu </w:t>
            </w:r>
            <w:proofErr w:type="spellStart"/>
            <w:r>
              <w:rPr>
                <w:rFonts w:ascii="Times New Roman" w:hAnsi="Times New Roman" w:cs="Times New Roman"/>
                <w:sz w:val="24"/>
                <w:szCs w:val="24"/>
                <w:lang w:eastAsia="lv-LV"/>
              </w:rPr>
              <w:t>mikrodatus</w:t>
            </w:r>
            <w:proofErr w:type="spellEnd"/>
            <w:r>
              <w:rPr>
                <w:rFonts w:ascii="Times New Roman" w:hAnsi="Times New Roman" w:cs="Times New Roman"/>
                <w:sz w:val="24"/>
                <w:szCs w:val="24"/>
                <w:lang w:eastAsia="lv-LV"/>
              </w:rPr>
              <w:t xml:space="preserve"> (Kredītu reģistrā iekļautās ziņas)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noteiktajā apjomā. Vienlaikus lēmums par dalību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atgriezeniskās saites nodrošināšanā ir katras dalībvalsts centrālās bankas kompetencē. Pašlaik Latvijas nacionālais tiesiskais regulējums nepieļauj Latvijas kredītiestādēm, kuras sniedz Latvijas Bankai attiecīgos kredītu </w:t>
            </w:r>
            <w:proofErr w:type="spellStart"/>
            <w:r>
              <w:rPr>
                <w:rFonts w:ascii="Times New Roman" w:hAnsi="Times New Roman" w:cs="Times New Roman"/>
                <w:sz w:val="24"/>
                <w:szCs w:val="24"/>
                <w:lang w:eastAsia="lv-LV"/>
              </w:rPr>
              <w:t>mikrodatus</w:t>
            </w:r>
            <w:proofErr w:type="spellEnd"/>
            <w:r>
              <w:rPr>
                <w:rFonts w:ascii="Times New Roman" w:hAnsi="Times New Roman" w:cs="Times New Roman"/>
                <w:sz w:val="24"/>
                <w:szCs w:val="24"/>
                <w:lang w:eastAsia="lv-LV"/>
              </w:rPr>
              <w:t xml:space="preserve">, tiesības baudīt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paredzēto priekšrocību atgriezeniskās saites ietvaros saņemt citu valstu kredītu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sniedzēju sniegtos datus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projekta vajadzībām. Kredītu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apmaiņu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atgriezeniskās saites ietvaros no 2021. gada 1. jūlija uzsāks sešas valstis.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atgriezeniskā saite ļautu datu sniedzējiem iegūt pilnīgāku pārskatu par debitora vai iespējamā debitora parādsaistībām, jo attiecīgā veida kredītu datus vāc ne tikai attiecīgā valsts centrālā banka, bet arī citu valstu centrālās bankas. Ar Likumprojektā ietverto regulējumu, kas papildina Kredītu reģistra likuma 5. panta otro daļu un Kredītu reģistra likumu ar 15.</w:t>
            </w:r>
            <w:r>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 pantu, noteikts, ka Latvijas Banka, ievērojot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un citu Eiropas Savienības tiesību aktu prasības, ir tiesīga apmainīties ar tām Kredītu reģistrā iekļautajām ziņām, kas vāktas arī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prasību izpildes nolūkam,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noteiktajiem kredītu datu sniedzējiem, izveidojot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paredzēto atgriezenisko saiti, kas tādējādi ļaus uzsākt Latvijā iedzīvināt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panta regulējumu. Šāda kredītu datu pieejamība sniegs plašāku pamatu Kredītu reģistra dalībnieku veiktajam kredītspējas novērtējumam, jo īpaši attiecībā uz pārrobežu debitoriem, kā arī uzlabos kredītriska pārvaldību. Vienlaikus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12. panta 1. punkts paredz, ka juridiskās personas vai juridisko personu daļas, par kurām sniegti kredītu dati, ir tiesīgas piekļūt šiem datiem attiecīgajā centrālajā bankā. Turklāt juridiskās personas var lūgt datu sniedzējiem labot nepatiesus datus, kas attiecas uz tām kā arī sniegs iespēju juridiskās personām par sevi saņemt ziņas, kuras snieguši citu valstu datu sniedzēji, ja attiecīgā juridiskā persona ir aizņēmusies citā valstī.</w:t>
            </w:r>
          </w:p>
          <w:p w14:paraId="4B15C023" w14:textId="77777777" w:rsidR="00B87B5F" w:rsidRDefault="00B87B5F">
            <w:pPr>
              <w:spacing w:after="0" w:line="240" w:lineRule="auto"/>
              <w:jc w:val="both"/>
              <w:rPr>
                <w:rFonts w:ascii="Times New Roman" w:hAnsi="Times New Roman" w:cs="Times New Roman"/>
                <w:sz w:val="24"/>
                <w:szCs w:val="24"/>
                <w:lang w:eastAsia="lv-LV"/>
              </w:rPr>
            </w:pPr>
          </w:p>
          <w:p w14:paraId="1C78DD47"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panta 2. punktā noteikto, ka valstu centrālajām bankām ir jānosaka atgriezeniskajā saitē sniedzamo datu tvērums, datu piekļuves piešķiršanas kārtība un jebkādi papildu ierobežojumi datu izmantošanai, Eiropas Centrālā banka 2020. gada </w:t>
            </w:r>
            <w:r>
              <w:rPr>
                <w:rFonts w:ascii="Times New Roman" w:hAnsi="Times New Roman" w:cs="Times New Roman"/>
                <w:sz w:val="24"/>
                <w:szCs w:val="24"/>
                <w:lang w:eastAsia="lv-LV"/>
              </w:rPr>
              <w:lastRenderedPageBreak/>
              <w:t xml:space="preserve">21. februāra Pamatnostādnē (ES) 2020/381 ar ko groza Pamatnostādni (ES) 2017/2335 par kredītu un kredītriska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vākšanas procedūrām (ECB/2020/11) ir noteikusi minimālo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atgriezeniskajā saitē iekļaujamo datu kopumu, kā arī Eiropas Centrālās bankas un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atgriezeniskās saites nodrošināšanā iesaistīto valstu centrālo banku pienākumus atgriezeniskās saites nodrošināšanas procesā. Likumprojektā paredzētā Kredītu reģistra likuma papildināšana ar 15.</w:t>
            </w:r>
            <w:r>
              <w:rPr>
                <w:rFonts w:ascii="Times New Roman" w:hAnsi="Times New Roman" w:cs="Times New Roman"/>
                <w:sz w:val="24"/>
                <w:szCs w:val="24"/>
                <w:vertAlign w:val="superscript"/>
                <w:lang w:eastAsia="lv-LV"/>
              </w:rPr>
              <w:t>1</w:t>
            </w:r>
            <w:r>
              <w:rPr>
                <w:rFonts w:ascii="Times New Roman" w:hAnsi="Times New Roman" w:cs="Times New Roman"/>
                <w:sz w:val="24"/>
                <w:szCs w:val="24"/>
                <w:lang w:eastAsia="lv-LV"/>
              </w:rPr>
              <w:t xml:space="preserve"> panta otro daļu deleģē Latvijas Bankai tiesības noteikt prasības un kārtību, kādā Latvijas Banka īstenos apmaiņu ar Kredītu reģistra dalībniekiem un citu valstu kredītu datu sniedzējiem par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atgriezeniskajā saitē pieejamajiem kredītu </w:t>
            </w:r>
            <w:proofErr w:type="spellStart"/>
            <w:r>
              <w:rPr>
                <w:rFonts w:ascii="Times New Roman" w:hAnsi="Times New Roman" w:cs="Times New Roman"/>
                <w:sz w:val="24"/>
                <w:szCs w:val="24"/>
                <w:lang w:eastAsia="lv-LV"/>
              </w:rPr>
              <w:t>mikrodatiem</w:t>
            </w:r>
            <w:proofErr w:type="spellEnd"/>
            <w:r>
              <w:rPr>
                <w:rFonts w:ascii="Times New Roman" w:hAnsi="Times New Roman" w:cs="Times New Roman"/>
                <w:sz w:val="24"/>
                <w:szCs w:val="24"/>
                <w:lang w:eastAsia="lv-LV"/>
              </w:rPr>
              <w:t xml:space="preserve">. Ņemot vērā to, ka Eiropas Centrālās bankas pamatnostādnes ir saistošas Latvijas Bankai, attiecīgajai Latvijas Bankas noteiktajai kredītu datu apmaiņas kārtībai būs jābūt atbilstošai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atgriezeniskās saites nodrošināšanu regulējošās pamatnostādnes prasībām. </w:t>
            </w:r>
          </w:p>
          <w:p w14:paraId="63CDA91C" w14:textId="77777777" w:rsidR="00B87B5F" w:rsidRDefault="00B87B5F">
            <w:pPr>
              <w:spacing w:after="0" w:line="240" w:lineRule="auto"/>
              <w:jc w:val="both"/>
              <w:rPr>
                <w:rFonts w:ascii="Times New Roman" w:hAnsi="Times New Roman" w:cs="Times New Roman"/>
                <w:sz w:val="24"/>
                <w:szCs w:val="24"/>
                <w:lang w:eastAsia="lv-LV"/>
              </w:rPr>
            </w:pPr>
          </w:p>
          <w:p w14:paraId="63DD797A"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Visas Latvijā darbojošās kredītiestādes ir Kredītu reģistra dalībnieki un izmanto Kredītu reģistra nodrošināto atgriezeniskās saites iespēju, kas attiecas uz Kredītu reģistrā iekļauto ziņu saņemšanu. Šī nacionālā līmeņa atgriezeniskā saite ir paredzēta Kredītu reģistra likuma 15. pantā.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paredzētās atgriezeniskās saites apjoms saskaņā ar Eiropas Centrālās bankas 2017. gada 23. novembra Pamatnostādni (ES) 2017/2335 par kredītu un kredītriska </w:t>
            </w:r>
            <w:proofErr w:type="spellStart"/>
            <w:r>
              <w:rPr>
                <w:rFonts w:ascii="Times New Roman" w:hAnsi="Times New Roman" w:cs="Times New Roman"/>
                <w:sz w:val="24"/>
                <w:szCs w:val="24"/>
                <w:lang w:eastAsia="lv-LV"/>
              </w:rPr>
              <w:t>mikrodatu</w:t>
            </w:r>
            <w:proofErr w:type="spellEnd"/>
            <w:r>
              <w:rPr>
                <w:rFonts w:ascii="Times New Roman" w:hAnsi="Times New Roman" w:cs="Times New Roman"/>
                <w:sz w:val="24"/>
                <w:szCs w:val="24"/>
                <w:lang w:eastAsia="lv-LV"/>
              </w:rPr>
              <w:t xml:space="preserve"> vākšanas procedūrām (ECB/2017/38) ir paredzēts atšķirīgs no Kredītu reģistra likumā noteiktās, jo tas aptver arī tādu informāciju, kāda Latvijā Kredītu reģistrā netiek iekļauta, bet tiek vākta kā statistiskie dati tikai ar mērķi izpildīt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prasības.  </w:t>
            </w:r>
          </w:p>
          <w:p w14:paraId="428A2326" w14:textId="77777777" w:rsidR="00B87B5F" w:rsidRDefault="00B87B5F">
            <w:pPr>
              <w:spacing w:after="0" w:line="240" w:lineRule="auto"/>
              <w:jc w:val="both"/>
              <w:rPr>
                <w:rFonts w:ascii="Times New Roman" w:hAnsi="Times New Roman" w:cs="Times New Roman"/>
                <w:sz w:val="24"/>
                <w:szCs w:val="24"/>
                <w:lang w:eastAsia="lv-LV"/>
              </w:rPr>
            </w:pPr>
          </w:p>
          <w:p w14:paraId="48733CE0"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Tādēļ, lai Latvijas Banka varētu pievienoties saskaņā ar Eiropas Centrālās bankas Pamatnostādni 2020/381 regulētajā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pantā paredzētās atgriezeniskās saites nodrošināšanas projektā, papildus likumprojektā ietvertajam regulējumam arī  likumprojektā "Latvijas Bankas likums" paredzētas atbilstošas Latvijas Bankas tiesības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regulā paredzētajā atgriezeniskajā saitē apmainīties arī ar tiem statistiskajiem datiem, kas Latvijā tiek vākti tikai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prasību izpildei, bet netiek iekļauti kā kredītus raksturojošas ziņas Kredītu reģistrā. </w:t>
            </w:r>
          </w:p>
          <w:p w14:paraId="07F32F93" w14:textId="77777777" w:rsidR="00B87B5F" w:rsidRDefault="00B87B5F">
            <w:pPr>
              <w:spacing w:after="0" w:line="240" w:lineRule="auto"/>
              <w:jc w:val="both"/>
              <w:rPr>
                <w:rFonts w:ascii="Times New Roman" w:hAnsi="Times New Roman" w:cs="Times New Roman"/>
                <w:sz w:val="24"/>
                <w:szCs w:val="24"/>
                <w:lang w:eastAsia="lv-LV"/>
              </w:rPr>
            </w:pPr>
          </w:p>
          <w:p w14:paraId="1774D7D9" w14:textId="77777777" w:rsidR="00B87B5F" w:rsidRDefault="00B87B5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Pamatprincips, ka atgriezeniskajā saitē netiek izpausta kredītu datu sniedzēju (vai statistisko datu sniedzēju) identificējošā informācija, tiek nodrošināts gan Kredītu reģistra atgriezeniskajā saitē, gan arī tiks nodrošināts saskaņā ar </w:t>
            </w:r>
            <w:proofErr w:type="spellStart"/>
            <w:r>
              <w:rPr>
                <w:rFonts w:ascii="Times New Roman" w:hAnsi="Times New Roman" w:cs="Times New Roman"/>
                <w:sz w:val="24"/>
                <w:szCs w:val="24"/>
                <w:lang w:eastAsia="lv-LV"/>
              </w:rPr>
              <w:t>AnaCredit</w:t>
            </w:r>
            <w:proofErr w:type="spellEnd"/>
            <w:r>
              <w:rPr>
                <w:rFonts w:ascii="Times New Roman" w:hAnsi="Times New Roman" w:cs="Times New Roman"/>
                <w:sz w:val="24"/>
                <w:szCs w:val="24"/>
                <w:lang w:eastAsia="lv-LV"/>
              </w:rPr>
              <w:t xml:space="preserve"> regulas 11. pantu izveidotajā atgriezeniskajā saitē. Saskaņā ar Kredītu reģistra likuma 15. panta otrās daļas 2. punktu Kredītu reģistra dalībnieks nav tiesīgs saņemt Kredītu reģistrā iekļautās ziņas, kas ļauj identificēt citu Kredītu reģistra dalībnieku vai citu Kredītu reģistra dalībnieku ar ierobežotu statusu, kurš Kredītu reģistrā iekļāvis ziņas. Saskaņā ar Eiropas Centrālās bankas Pamatnostādnes 2017/2335 16. e pantu kredītu datu saņēmēja centrālā banka kredītu datu sniedzējam nesniedz kredītu datus vai </w:t>
            </w:r>
            <w:r>
              <w:rPr>
                <w:rFonts w:ascii="Times New Roman" w:hAnsi="Times New Roman" w:cs="Times New Roman"/>
                <w:sz w:val="24"/>
                <w:szCs w:val="24"/>
                <w:lang w:eastAsia="lv-LV"/>
              </w:rPr>
              <w:lastRenderedPageBreak/>
              <w:t>darījuma partneru atsauces datus, kas neietilpst tās saņemtās Eiropas Centrālās bankas atgriezeniskās saites datu kopas tvērumā, un saviem kredītu datu sniedzējiem rezidentiem tās nesniedz arī operatīvos atribūtus (4. punkts); datus, no kuriem iespējams identificēt datu subjektus, datu sniedzējus, kreditorus, apkalpotājus un iniciatorus, darījumu un līgumu identificējošos datus, par kuriem Eiropas Centrālā banka ir nosūtījusi informāciju saņēmējām centrālajām bankām (8. punkts)) un saņēmējas centrālās bankas apstrādā no Eiropas Centrālās bankas saņemto informāciju saskaņā ar nacionālo tiesisko regulējumu par datu konfidencialitāti, kā arī Padomes 1998. gada 23. novembra Regulas Nr. 2533/98 par statistikas informācijas vākšanu, ko veic Eiropas Centrālā banka, 8.–8.c pantu (9. punkts).</w:t>
            </w:r>
          </w:p>
        </w:tc>
      </w:tr>
      <w:tr w:rsidR="00B87B5F" w14:paraId="654B60CB"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6FD52FE"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65B41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BBB8E34" w14:textId="77777777" w:rsidR="00B87B5F" w:rsidRDefault="00B87B5F">
            <w:pPr>
              <w:spacing w:after="0" w:line="240" w:lineRule="auto"/>
              <w:jc w:val="both"/>
              <w:rPr>
                <w:rFonts w:ascii="Times New Roman" w:eastAsia="Times New Roman" w:hAnsi="Times New Roman" w:cs="Times New Roman"/>
                <w:color w:val="A6A6A6" w:themeColor="background1" w:themeShade="A6"/>
                <w:sz w:val="24"/>
                <w:szCs w:val="24"/>
                <w:lang w:eastAsia="lv-LV"/>
              </w:rPr>
            </w:pPr>
            <w:r>
              <w:rPr>
                <w:rFonts w:ascii="Times New Roman" w:eastAsia="Times New Roman" w:hAnsi="Times New Roman" w:cs="Times New Roman"/>
                <w:iCs/>
                <w:sz w:val="24"/>
                <w:szCs w:val="24"/>
                <w:lang w:eastAsia="lv-LV"/>
              </w:rPr>
              <w:t>Finanšu ministrija, Latvijas Banka un FKTK</w:t>
            </w:r>
          </w:p>
        </w:tc>
      </w:tr>
      <w:tr w:rsidR="00B87B5F" w14:paraId="7EB82E04"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7CD27F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483B90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C5E0A26"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bl>
    <w:p w14:paraId="7ACA43F7"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B87B5F" w14:paraId="1EEE78C9" w14:textId="77777777" w:rsidTr="00B87B5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3C9E45F4"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B87B5F" w14:paraId="1D0B313F"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D9C740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61B6B6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Sabiedrības </w:t>
            </w:r>
            <w:proofErr w:type="spellStart"/>
            <w:r>
              <w:rPr>
                <w:rFonts w:ascii="Times New Roman" w:eastAsia="Times New Roman" w:hAnsi="Times New Roman" w:cs="Times New Roman"/>
                <w:spacing w:val="-2"/>
                <w:sz w:val="24"/>
                <w:szCs w:val="24"/>
                <w:lang w:eastAsia="lv-LV"/>
              </w:rPr>
              <w:t>mērķgrupas</w:t>
            </w:r>
            <w:proofErr w:type="spellEnd"/>
            <w:r>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4F375B4" w14:textId="77777777" w:rsidR="00B87B5F" w:rsidRDefault="00B87B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Kredītu reģistra dalībnieki, no kuriem lielākā mērā likumprojekts skar tos Kredītu reģistra dalībniekus, kuru Kredītu reģistrā iekļautās ziņas tiek sniegtas Eiropas Centrālajai Bankai saskaņā ar </w:t>
            </w:r>
            <w:proofErr w:type="spellStart"/>
            <w:r>
              <w:rPr>
                <w:rFonts w:ascii="Times New Roman" w:eastAsia="Times New Roman" w:hAnsi="Times New Roman" w:cs="Times New Roman"/>
                <w:sz w:val="24"/>
                <w:szCs w:val="24"/>
                <w:lang w:eastAsia="lv-LV"/>
              </w:rPr>
              <w:t>AnaCredit</w:t>
            </w:r>
            <w:proofErr w:type="spellEnd"/>
            <w:r>
              <w:rPr>
                <w:rFonts w:ascii="Times New Roman" w:eastAsia="Times New Roman" w:hAnsi="Times New Roman" w:cs="Times New Roman"/>
                <w:sz w:val="24"/>
                <w:szCs w:val="24"/>
                <w:lang w:eastAsia="lv-LV"/>
              </w:rPr>
              <w:t xml:space="preserve"> regulas prasībām.</w:t>
            </w:r>
          </w:p>
          <w:p w14:paraId="1AF751D6"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t>Latvijas Bankas un FKTK amatpersonas un darbinieki.</w:t>
            </w:r>
          </w:p>
        </w:tc>
      </w:tr>
      <w:tr w:rsidR="00B87B5F" w14:paraId="2481E69F"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16D01B2"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E6F24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E8E40E" w14:textId="77777777" w:rsidR="00B87B5F" w:rsidRDefault="00B87B5F">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Pr>
                <w:rFonts w:ascii="Times New Roman" w:hAnsi="Times New Roman" w:cs="Times New Roman"/>
                <w:sz w:val="24"/>
                <w:szCs w:val="24"/>
                <w:shd w:val="clear" w:color="auto" w:fill="FFFFFF"/>
              </w:rPr>
              <w:t>Administr</w:t>
            </w:r>
            <w:r>
              <w:rPr>
                <w:rFonts w:ascii="Times New Roman" w:hAnsi="Times New Roman" w:cs="Times New Roman"/>
                <w:bCs/>
                <w:sz w:val="24"/>
                <w:szCs w:val="24"/>
                <w:shd w:val="clear" w:color="auto" w:fill="FFFFFF"/>
              </w:rPr>
              <w:t>a</w:t>
            </w:r>
            <w:r>
              <w:rPr>
                <w:rFonts w:ascii="Times New Roman" w:hAnsi="Times New Roman" w:cs="Times New Roman"/>
                <w:sz w:val="24"/>
                <w:szCs w:val="24"/>
                <w:shd w:val="clear" w:color="auto" w:fill="FFFFFF"/>
              </w:rPr>
              <w:t>tīvais slogs nemainās, jo likumprojekts "Kredītu reģistra likumā" pēc būtības nemaina Kredītu reģistra dalībnieku tiesības un pienākumus.</w:t>
            </w:r>
          </w:p>
        </w:tc>
      </w:tr>
      <w:tr w:rsidR="00B87B5F" w14:paraId="2BCD8EAE"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6792D3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1C86D7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11B9FC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 attiecināms.</w:t>
            </w:r>
          </w:p>
        </w:tc>
      </w:tr>
      <w:tr w:rsidR="00B87B5F" w14:paraId="1684E5CE"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7E76695"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3570C8A"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D88DCA1"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 attiecināms.</w:t>
            </w:r>
          </w:p>
        </w:tc>
      </w:tr>
      <w:tr w:rsidR="00B87B5F" w14:paraId="219A41B2" w14:textId="77777777" w:rsidTr="00B87B5F">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370D719"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AF8839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ADD29D2"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bl>
    <w:p w14:paraId="35D70C6D"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B87B5F" w14:paraId="467D43D6" w14:textId="77777777" w:rsidTr="00B87B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04855F"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B87B5F" w14:paraId="735E145C" w14:textId="77777777" w:rsidTr="00B87B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A036AB"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Likumprojekts šo jomu neskar.</w:t>
            </w:r>
          </w:p>
        </w:tc>
      </w:tr>
    </w:tbl>
    <w:p w14:paraId="7B40103E"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B87B5F" w14:paraId="4334997D" w14:textId="77777777" w:rsidTr="00B87B5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63BC206B"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B87B5F" w14:paraId="4B987AE3" w14:textId="77777777" w:rsidTr="00B87B5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3F12A79"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5F74A8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tcPr>
          <w:p w14:paraId="5AF336CB" w14:textId="77777777" w:rsidR="00B87B5F" w:rsidRDefault="00B87B5F">
            <w:pPr>
              <w:spacing w:after="0" w:line="240" w:lineRule="auto"/>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Likumprojekts virzāms vienlaicīgi ar:</w:t>
            </w:r>
          </w:p>
          <w:p w14:paraId="3F89FF75" w14:textId="77777777" w:rsidR="00B87B5F" w:rsidRDefault="00B87B5F" w:rsidP="00B87B5F">
            <w:pPr>
              <w:pStyle w:val="Teksts1"/>
              <w:numPr>
                <w:ilvl w:val="0"/>
                <w:numId w:val="8"/>
              </w:numPr>
              <w:spacing w:after="0" w:line="276" w:lineRule="auto"/>
              <w:rPr>
                <w:szCs w:val="24"/>
              </w:rPr>
            </w:pPr>
            <w:r>
              <w:rPr>
                <w:szCs w:val="24"/>
              </w:rPr>
              <w:t>likumprojektu "Latvijas Bankas likums";</w:t>
            </w:r>
          </w:p>
          <w:p w14:paraId="2C1A130E" w14:textId="77777777" w:rsidR="00B87B5F" w:rsidRDefault="00B87B5F" w:rsidP="00B87B5F">
            <w:pPr>
              <w:pStyle w:val="Teksts1"/>
              <w:numPr>
                <w:ilvl w:val="0"/>
                <w:numId w:val="8"/>
              </w:numPr>
              <w:spacing w:after="0" w:line="276" w:lineRule="auto"/>
              <w:rPr>
                <w:szCs w:val="24"/>
              </w:rPr>
            </w:pPr>
            <w:r>
              <w:rPr>
                <w:szCs w:val="24"/>
              </w:rPr>
              <w:t>likumprojektu "Grozījumi likumā "Par Latvijas Banku";</w:t>
            </w:r>
          </w:p>
          <w:p w14:paraId="7F59DAF8" w14:textId="77777777" w:rsidR="00B87B5F" w:rsidRDefault="00B87B5F" w:rsidP="00B87B5F">
            <w:pPr>
              <w:pStyle w:val="Teksts1"/>
              <w:numPr>
                <w:ilvl w:val="0"/>
                <w:numId w:val="8"/>
              </w:numPr>
              <w:spacing w:after="0" w:line="276" w:lineRule="auto"/>
              <w:rPr>
                <w:szCs w:val="24"/>
              </w:rPr>
            </w:pPr>
            <w:r>
              <w:rPr>
                <w:szCs w:val="24"/>
              </w:rPr>
              <w:lastRenderedPageBreak/>
              <w:t>likumprojektu "Grozījumi Finanšu un kapitāla tirgus komisijas likumā";</w:t>
            </w:r>
          </w:p>
          <w:p w14:paraId="353268F6" w14:textId="77777777" w:rsidR="00B87B5F" w:rsidRDefault="00B87B5F" w:rsidP="00B87B5F">
            <w:pPr>
              <w:pStyle w:val="Teksts1"/>
              <w:numPr>
                <w:ilvl w:val="0"/>
                <w:numId w:val="8"/>
              </w:numPr>
              <w:spacing w:after="0" w:line="276" w:lineRule="auto"/>
              <w:rPr>
                <w:szCs w:val="24"/>
              </w:rPr>
            </w:pPr>
            <w:r>
              <w:rPr>
                <w:szCs w:val="24"/>
              </w:rPr>
              <w:t xml:space="preserve">likumprojektu "Grozījumi Alternatīvo ieguldījumu fondu un to pārvaldnieku likumā"; </w:t>
            </w:r>
          </w:p>
          <w:p w14:paraId="69F16B6C" w14:textId="77777777" w:rsidR="00B87B5F" w:rsidRDefault="00B87B5F" w:rsidP="00B87B5F">
            <w:pPr>
              <w:pStyle w:val="Teksts1"/>
              <w:numPr>
                <w:ilvl w:val="0"/>
                <w:numId w:val="8"/>
              </w:numPr>
              <w:spacing w:after="0" w:line="276" w:lineRule="auto"/>
              <w:rPr>
                <w:szCs w:val="24"/>
              </w:rPr>
            </w:pPr>
            <w:r>
              <w:rPr>
                <w:szCs w:val="24"/>
              </w:rPr>
              <w:t>likumprojektu "Grozījumi Apdrošināšanas un pārapdrošināšanas izplatīšanas likumā";</w:t>
            </w:r>
          </w:p>
          <w:p w14:paraId="6DB30811" w14:textId="77777777" w:rsidR="00B87B5F" w:rsidRDefault="00B87B5F" w:rsidP="00B87B5F">
            <w:pPr>
              <w:pStyle w:val="Teksts1"/>
              <w:numPr>
                <w:ilvl w:val="0"/>
                <w:numId w:val="8"/>
              </w:numPr>
              <w:spacing w:after="0" w:line="276" w:lineRule="auto"/>
              <w:rPr>
                <w:szCs w:val="24"/>
              </w:rPr>
            </w:pPr>
            <w:r>
              <w:rPr>
                <w:szCs w:val="24"/>
              </w:rPr>
              <w:t xml:space="preserve">likumprojektu "Grozījumi Apdrošināšanas un pārapdrošināšanas likumā"; </w:t>
            </w:r>
          </w:p>
          <w:p w14:paraId="08495B5B" w14:textId="77777777" w:rsidR="00B87B5F" w:rsidRDefault="00B87B5F" w:rsidP="00B87B5F">
            <w:pPr>
              <w:pStyle w:val="Teksts1"/>
              <w:numPr>
                <w:ilvl w:val="0"/>
                <w:numId w:val="8"/>
              </w:numPr>
              <w:spacing w:after="0" w:line="276" w:lineRule="auto"/>
              <w:rPr>
                <w:szCs w:val="24"/>
              </w:rPr>
            </w:pPr>
            <w:r>
              <w:rPr>
                <w:szCs w:val="24"/>
              </w:rPr>
              <w:t xml:space="preserve">likumprojektu "Grozījums Apsardzes darbības likumā"; </w:t>
            </w:r>
          </w:p>
          <w:p w14:paraId="01426A2F" w14:textId="77777777" w:rsidR="00B87B5F" w:rsidRDefault="00B87B5F" w:rsidP="00B87B5F">
            <w:pPr>
              <w:pStyle w:val="Teksts1"/>
              <w:numPr>
                <w:ilvl w:val="0"/>
                <w:numId w:val="8"/>
              </w:numPr>
              <w:spacing w:after="0" w:line="276" w:lineRule="auto"/>
              <w:rPr>
                <w:szCs w:val="24"/>
              </w:rPr>
            </w:pPr>
            <w:r>
              <w:rPr>
                <w:szCs w:val="24"/>
              </w:rPr>
              <w:t>likumprojektu "Grozījumi Finanšu instrumentu tirgus likumā";</w:t>
            </w:r>
          </w:p>
          <w:p w14:paraId="6BF0426C" w14:textId="77777777" w:rsidR="00B87B5F" w:rsidRDefault="00B87B5F" w:rsidP="00B87B5F">
            <w:pPr>
              <w:pStyle w:val="Teksts1"/>
              <w:numPr>
                <w:ilvl w:val="0"/>
                <w:numId w:val="8"/>
              </w:numPr>
              <w:spacing w:after="0" w:line="276" w:lineRule="auto"/>
              <w:rPr>
                <w:szCs w:val="24"/>
              </w:rPr>
            </w:pPr>
            <w:r>
              <w:rPr>
                <w:szCs w:val="24"/>
              </w:rPr>
              <w:t>likumprojektu "Grozījumi Ieguldījumu pārvaldes sabiedrību likumā";</w:t>
            </w:r>
          </w:p>
          <w:p w14:paraId="7B310FA9" w14:textId="77777777" w:rsidR="00B87B5F" w:rsidRDefault="00B87B5F" w:rsidP="00B87B5F">
            <w:pPr>
              <w:pStyle w:val="Teksts1"/>
              <w:numPr>
                <w:ilvl w:val="0"/>
                <w:numId w:val="8"/>
              </w:numPr>
              <w:spacing w:after="0" w:line="276" w:lineRule="auto"/>
              <w:rPr>
                <w:szCs w:val="24"/>
              </w:rPr>
            </w:pPr>
            <w:r>
              <w:rPr>
                <w:szCs w:val="24"/>
              </w:rPr>
              <w:t>likumprojektu "Grozījumi Ieguldītāju aizsardzības likumā";</w:t>
            </w:r>
          </w:p>
          <w:p w14:paraId="2432B777" w14:textId="77777777" w:rsidR="00B87B5F" w:rsidRDefault="00B87B5F" w:rsidP="00B87B5F">
            <w:pPr>
              <w:pStyle w:val="Teksts1"/>
              <w:numPr>
                <w:ilvl w:val="0"/>
                <w:numId w:val="8"/>
              </w:numPr>
              <w:spacing w:after="0" w:line="276" w:lineRule="auto"/>
              <w:rPr>
                <w:szCs w:val="24"/>
              </w:rPr>
            </w:pPr>
            <w:r>
              <w:rPr>
                <w:szCs w:val="24"/>
              </w:rPr>
              <w:t>likumprojektu "Grozījums Ieroču aprites likumā";</w:t>
            </w:r>
          </w:p>
          <w:p w14:paraId="48B50774" w14:textId="77777777" w:rsidR="00B87B5F" w:rsidRDefault="00B87B5F" w:rsidP="00B87B5F">
            <w:pPr>
              <w:pStyle w:val="Teksts1"/>
              <w:numPr>
                <w:ilvl w:val="0"/>
                <w:numId w:val="8"/>
              </w:numPr>
              <w:spacing w:after="0" w:line="276" w:lineRule="auto"/>
              <w:rPr>
                <w:szCs w:val="24"/>
              </w:rPr>
            </w:pPr>
            <w:r>
              <w:rPr>
                <w:szCs w:val="24"/>
              </w:rPr>
              <w:t xml:space="preserve">likumprojektu "Grozījumi </w:t>
            </w:r>
            <w:proofErr w:type="spellStart"/>
            <w:r>
              <w:rPr>
                <w:szCs w:val="24"/>
              </w:rPr>
              <w:t>Krājaizdevu</w:t>
            </w:r>
            <w:proofErr w:type="spellEnd"/>
            <w:r>
              <w:rPr>
                <w:szCs w:val="24"/>
              </w:rPr>
              <w:t xml:space="preserve"> sabiedrību likumā";</w:t>
            </w:r>
          </w:p>
          <w:p w14:paraId="63EBC1F5" w14:textId="77777777" w:rsidR="00B87B5F" w:rsidRDefault="00B87B5F" w:rsidP="00B87B5F">
            <w:pPr>
              <w:pStyle w:val="Teksts1"/>
              <w:numPr>
                <w:ilvl w:val="0"/>
                <w:numId w:val="8"/>
              </w:numPr>
              <w:spacing w:after="0" w:line="276" w:lineRule="auto"/>
              <w:rPr>
                <w:szCs w:val="24"/>
              </w:rPr>
            </w:pPr>
            <w:r>
              <w:rPr>
                <w:szCs w:val="24"/>
              </w:rPr>
              <w:t>likumprojektu "Grozījumi Kredītiestāžu likumā";</w:t>
            </w:r>
          </w:p>
          <w:p w14:paraId="667CC585" w14:textId="77777777" w:rsidR="00B87B5F" w:rsidRDefault="00B87B5F" w:rsidP="00B87B5F">
            <w:pPr>
              <w:pStyle w:val="Teksts1"/>
              <w:numPr>
                <w:ilvl w:val="0"/>
                <w:numId w:val="8"/>
              </w:numPr>
              <w:spacing w:after="0" w:line="276" w:lineRule="auto"/>
              <w:rPr>
                <w:szCs w:val="24"/>
              </w:rPr>
            </w:pPr>
            <w:r>
              <w:rPr>
                <w:szCs w:val="24"/>
              </w:rPr>
              <w:t>likumprojektu "Grozījumi Kredītiestāžu un ieguldījumu brokeru sabiedrību darbības atjaunošanas un noregulējuma likumā";</w:t>
            </w:r>
          </w:p>
          <w:p w14:paraId="5BB26046" w14:textId="77777777" w:rsidR="00B87B5F" w:rsidRDefault="00B87B5F" w:rsidP="00B87B5F">
            <w:pPr>
              <w:pStyle w:val="Teksts1"/>
              <w:numPr>
                <w:ilvl w:val="0"/>
                <w:numId w:val="8"/>
              </w:numPr>
              <w:spacing w:after="0" w:line="276" w:lineRule="auto"/>
              <w:rPr>
                <w:szCs w:val="24"/>
              </w:rPr>
            </w:pPr>
            <w:r>
              <w:rPr>
                <w:szCs w:val="24"/>
              </w:rPr>
              <w:t>likumprojektu "Grozījumi Latvijas Republikas Zemessardzes likumā";</w:t>
            </w:r>
          </w:p>
          <w:p w14:paraId="652438EA" w14:textId="77777777" w:rsidR="00B87B5F" w:rsidRDefault="00B87B5F" w:rsidP="00B87B5F">
            <w:pPr>
              <w:pStyle w:val="Teksts1"/>
              <w:numPr>
                <w:ilvl w:val="0"/>
                <w:numId w:val="8"/>
              </w:numPr>
              <w:spacing w:after="0" w:line="276" w:lineRule="auto"/>
              <w:rPr>
                <w:szCs w:val="24"/>
              </w:rPr>
            </w:pPr>
            <w:r>
              <w:rPr>
                <w:szCs w:val="24"/>
              </w:rPr>
              <w:t>likumprojektu "Grozījumi likumā "Par norēķinu galīgumu maksājumu un finanšu instrumentu norēķinu sistēmās"";</w:t>
            </w:r>
          </w:p>
          <w:p w14:paraId="39A860E5" w14:textId="77777777" w:rsidR="00B87B5F" w:rsidRDefault="00B87B5F" w:rsidP="00B87B5F">
            <w:pPr>
              <w:pStyle w:val="Teksts1"/>
              <w:numPr>
                <w:ilvl w:val="0"/>
                <w:numId w:val="8"/>
              </w:numPr>
              <w:spacing w:after="0" w:line="276" w:lineRule="auto"/>
              <w:rPr>
                <w:szCs w:val="24"/>
              </w:rPr>
            </w:pPr>
            <w:r>
              <w:rPr>
                <w:szCs w:val="24"/>
              </w:rPr>
              <w:t>likumprojektu "Grozījumi Maksājumu pakalpojumu un elektroniskās naudas likumā";</w:t>
            </w:r>
          </w:p>
          <w:p w14:paraId="0B99FCA6" w14:textId="77777777" w:rsidR="00B87B5F" w:rsidRDefault="00B87B5F" w:rsidP="00B87B5F">
            <w:pPr>
              <w:pStyle w:val="Teksts1"/>
              <w:numPr>
                <w:ilvl w:val="0"/>
                <w:numId w:val="8"/>
              </w:numPr>
              <w:spacing w:after="0" w:line="276" w:lineRule="auto"/>
              <w:rPr>
                <w:szCs w:val="24"/>
              </w:rPr>
            </w:pPr>
            <w:r>
              <w:rPr>
                <w:szCs w:val="24"/>
              </w:rPr>
              <w:t>likumprojektu "Grozījumi Noguldījumu garantiju likumā";</w:t>
            </w:r>
          </w:p>
          <w:p w14:paraId="2D7E1C69" w14:textId="77777777" w:rsidR="00B87B5F" w:rsidRDefault="00B87B5F" w:rsidP="00B87B5F">
            <w:pPr>
              <w:pStyle w:val="Teksts1"/>
              <w:numPr>
                <w:ilvl w:val="0"/>
                <w:numId w:val="8"/>
              </w:numPr>
              <w:spacing w:after="0" w:line="276" w:lineRule="auto"/>
              <w:rPr>
                <w:szCs w:val="24"/>
              </w:rPr>
            </w:pPr>
            <w:r>
              <w:rPr>
                <w:szCs w:val="24"/>
              </w:rPr>
              <w:t xml:space="preserve">likumprojektu "Grozījumi Noziedzīgi iegūtu līdzekļu legalizācijas un terorisma un </w:t>
            </w:r>
            <w:proofErr w:type="spellStart"/>
            <w:r>
              <w:rPr>
                <w:szCs w:val="24"/>
              </w:rPr>
              <w:t>proliferācijas</w:t>
            </w:r>
            <w:proofErr w:type="spellEnd"/>
            <w:r>
              <w:rPr>
                <w:szCs w:val="24"/>
              </w:rPr>
              <w:t xml:space="preserve"> finansēšanas novēršanas likumā";</w:t>
            </w:r>
          </w:p>
          <w:p w14:paraId="5A14B326" w14:textId="77777777" w:rsidR="00B87B5F" w:rsidRDefault="00B87B5F" w:rsidP="00B87B5F">
            <w:pPr>
              <w:pStyle w:val="Teksts1"/>
              <w:numPr>
                <w:ilvl w:val="0"/>
                <w:numId w:val="8"/>
              </w:numPr>
              <w:spacing w:after="0" w:line="276" w:lineRule="auto"/>
              <w:rPr>
                <w:szCs w:val="24"/>
              </w:rPr>
            </w:pPr>
            <w:r>
              <w:rPr>
                <w:szCs w:val="24"/>
              </w:rPr>
              <w:t>likumprojektu "Grozījumi Privāto pensiju fondu likumā";</w:t>
            </w:r>
          </w:p>
          <w:p w14:paraId="67298BD3" w14:textId="77777777" w:rsidR="00B87B5F" w:rsidRDefault="00B87B5F" w:rsidP="00B87B5F">
            <w:pPr>
              <w:pStyle w:val="Teksts1"/>
              <w:numPr>
                <w:ilvl w:val="0"/>
                <w:numId w:val="8"/>
              </w:numPr>
              <w:spacing w:after="0" w:line="276" w:lineRule="auto"/>
              <w:rPr>
                <w:szCs w:val="24"/>
              </w:rPr>
            </w:pPr>
            <w:r>
              <w:rPr>
                <w:szCs w:val="24"/>
              </w:rPr>
              <w:t>likumprojektu "Grozījumi Starptautisko un Latvijas Republikas nacionālo sankciju likumā";</w:t>
            </w:r>
          </w:p>
          <w:p w14:paraId="3FE60162" w14:textId="77777777" w:rsidR="00B87B5F" w:rsidRDefault="00B87B5F" w:rsidP="00B87B5F">
            <w:pPr>
              <w:pStyle w:val="Teksts1"/>
              <w:numPr>
                <w:ilvl w:val="0"/>
                <w:numId w:val="8"/>
              </w:numPr>
              <w:spacing w:after="0" w:line="276" w:lineRule="auto"/>
              <w:rPr>
                <w:szCs w:val="24"/>
              </w:rPr>
            </w:pPr>
            <w:r>
              <w:rPr>
                <w:szCs w:val="24"/>
              </w:rPr>
              <w:t>likumprojektu "Grozījumi Stratēģiskas nozīmes preču aprites likumā";</w:t>
            </w:r>
          </w:p>
          <w:p w14:paraId="75CFDD5F" w14:textId="77777777" w:rsidR="00B87B5F" w:rsidRDefault="00B87B5F" w:rsidP="00B87B5F">
            <w:pPr>
              <w:pStyle w:val="Teksts1"/>
              <w:numPr>
                <w:ilvl w:val="0"/>
                <w:numId w:val="8"/>
              </w:numPr>
              <w:spacing w:after="0" w:line="276" w:lineRule="auto"/>
              <w:rPr>
                <w:szCs w:val="24"/>
              </w:rPr>
            </w:pPr>
            <w:r>
              <w:rPr>
                <w:szCs w:val="24"/>
              </w:rPr>
              <w:t>likumprojektu "Grozījumi Uzņēmumu ienākuma nodokļa likumā";</w:t>
            </w:r>
          </w:p>
          <w:p w14:paraId="426C7E5F" w14:textId="77777777" w:rsidR="00B87B5F" w:rsidRDefault="00B87B5F" w:rsidP="00B87B5F">
            <w:pPr>
              <w:pStyle w:val="Teksts1"/>
              <w:numPr>
                <w:ilvl w:val="0"/>
                <w:numId w:val="8"/>
              </w:numPr>
              <w:spacing w:after="0" w:line="276" w:lineRule="auto"/>
              <w:rPr>
                <w:szCs w:val="24"/>
              </w:rPr>
            </w:pPr>
            <w:r>
              <w:rPr>
                <w:szCs w:val="24"/>
              </w:rPr>
              <w:t xml:space="preserve">likumprojektu "Grozījumi Valsts </w:t>
            </w:r>
            <w:proofErr w:type="spellStart"/>
            <w:r>
              <w:rPr>
                <w:szCs w:val="24"/>
              </w:rPr>
              <w:t>fondēto</w:t>
            </w:r>
            <w:proofErr w:type="spellEnd"/>
            <w:r>
              <w:rPr>
                <w:szCs w:val="24"/>
              </w:rPr>
              <w:t xml:space="preserve"> pensiju likumā";</w:t>
            </w:r>
          </w:p>
          <w:p w14:paraId="5738DBE6" w14:textId="77777777" w:rsidR="00B87B5F" w:rsidRDefault="00B87B5F" w:rsidP="00B87B5F">
            <w:pPr>
              <w:pStyle w:val="Teksts1"/>
              <w:numPr>
                <w:ilvl w:val="0"/>
                <w:numId w:val="8"/>
              </w:numPr>
              <w:spacing w:after="0" w:line="276" w:lineRule="auto"/>
              <w:rPr>
                <w:szCs w:val="24"/>
              </w:rPr>
            </w:pPr>
            <w:r>
              <w:rPr>
                <w:szCs w:val="24"/>
              </w:rPr>
              <w:t>likumprojektu "Grozījumi Valsts un pašvaldību institūciju amatpersonu un darbinieku atlīdzības likumā";</w:t>
            </w:r>
          </w:p>
          <w:p w14:paraId="3B58FB25" w14:textId="77777777" w:rsidR="00B87B5F" w:rsidRDefault="00B87B5F" w:rsidP="00B87B5F">
            <w:pPr>
              <w:pStyle w:val="Teksts1"/>
              <w:numPr>
                <w:ilvl w:val="0"/>
                <w:numId w:val="8"/>
              </w:numPr>
              <w:spacing w:after="0" w:line="276" w:lineRule="auto"/>
              <w:rPr>
                <w:szCs w:val="24"/>
              </w:rPr>
            </w:pPr>
            <w:r>
              <w:rPr>
                <w:spacing w:val="-2"/>
                <w:szCs w:val="24"/>
                <w:lang w:eastAsia="lv-LV"/>
              </w:rPr>
              <w:t>likumprojektu "Grozījumi Diplomātiskā un konsulārā dienesta likumā"</w:t>
            </w:r>
            <w:r>
              <w:rPr>
                <w:szCs w:val="24"/>
              </w:rPr>
              <w:t>.</w:t>
            </w:r>
          </w:p>
          <w:p w14:paraId="5FA78631" w14:textId="77777777" w:rsidR="00B87B5F" w:rsidRDefault="00B87B5F">
            <w:pPr>
              <w:pStyle w:val="Teksts1"/>
              <w:spacing w:after="0" w:line="276" w:lineRule="auto"/>
              <w:rPr>
                <w:szCs w:val="24"/>
              </w:rPr>
            </w:pPr>
          </w:p>
          <w:p w14:paraId="38D3F824" w14:textId="77777777" w:rsidR="00B87B5F" w:rsidRDefault="00B87B5F">
            <w:pPr>
              <w:pStyle w:val="Teksts1"/>
              <w:spacing w:after="0" w:line="276" w:lineRule="auto"/>
              <w:rPr>
                <w:szCs w:val="24"/>
              </w:rPr>
            </w:pPr>
            <w:r>
              <w:rPr>
                <w:szCs w:val="24"/>
              </w:rPr>
              <w:t xml:space="preserve">Saistībā ar FKTK pievienošanu Latvijas Bankai ir izstrādāts attiecīgs likumprojekts "Latvijas Bankas likums", kurš cita starpā paredz, ka turpmāk Latvijas Banka veiks FKTK noteiktos uzdevumus. Ņemot vērā minēto, ir nepieciešami atbilstoši grozījumi gan finanšu tirgus un tā </w:t>
            </w:r>
            <w:r>
              <w:rPr>
                <w:szCs w:val="24"/>
              </w:rPr>
              <w:lastRenderedPageBreak/>
              <w:t xml:space="preserve">dalībnieku darbības reglamentējošajos likumos, kur noteikta FKTK kompetence un regulēti tās darbības aspekti (4.-6., 8.-10., 12.-14., 16.-21., 23.-26. punktā uzskaitītie likumprojekti), gan arī tajos likumos, kuros nostiprināta Latvijas Bankas struktūra tās pārvalžu līmenī (7., 11., 15. un 22. punktā uzskaitītie likumprojekti), kā arī, lai nodrošinātu FKTK veiksmīgu pievienošanu Latvijas Bankai, paredzēti pārejas noteikumi attiecībā uz FKTK pievienošanu Latvijas Bankai (2. un 3. punktā uzskaitītie likumprojekti). </w:t>
            </w:r>
          </w:p>
          <w:p w14:paraId="36E35DF6" w14:textId="77777777" w:rsidR="00B87B5F" w:rsidRDefault="00B87B5F">
            <w:pPr>
              <w:pStyle w:val="Teksts1"/>
              <w:spacing w:after="0" w:line="276" w:lineRule="auto"/>
              <w:rPr>
                <w:szCs w:val="24"/>
              </w:rPr>
            </w:pPr>
            <w:r>
              <w:rPr>
                <w:szCs w:val="24"/>
              </w:rPr>
              <w:t>Likumprojekts un pārējie šajā sadaļā iekļautie likumprojekti vienkopus ir apkopoti un norādīti kā tie ar likumprojektu "Latvijas Bankas likums" saistītie normatīvie akti, kuros nepieciešams veikt attiecīgās izmaiņas.</w:t>
            </w:r>
          </w:p>
        </w:tc>
      </w:tr>
      <w:tr w:rsidR="00B87B5F" w14:paraId="75EE91C4" w14:textId="77777777" w:rsidTr="00B87B5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3AF2C1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lastRenderedPageBreak/>
              <w:t>2.</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23BF94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1D5E63D"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Finanšu ministrija, Latvijas Banka </w:t>
            </w:r>
          </w:p>
        </w:tc>
      </w:tr>
      <w:tr w:rsidR="00B87B5F" w14:paraId="4F0FCC00" w14:textId="77777777" w:rsidTr="00B87B5F">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C5B03B6"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AAA528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32CF715"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bl>
    <w:p w14:paraId="2C120101"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184"/>
      </w:tblGrid>
      <w:tr w:rsidR="00B87B5F" w14:paraId="7FD2EF63" w14:textId="77777777" w:rsidTr="00B87B5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BD5782"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B87B5F" w14:paraId="2F5FFB26" w14:textId="77777777" w:rsidTr="00B87B5F">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36AF0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E4DE4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Saistības pret Eiropas Savienību</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3041FB" w14:textId="77777777" w:rsidR="00B87B5F" w:rsidRDefault="00B87B5F">
            <w:pPr>
              <w:spacing w:after="0" w:line="240" w:lineRule="auto"/>
              <w:jc w:val="both"/>
              <w:rPr>
                <w:rFonts w:ascii="Times New Roman" w:eastAsia="Times New Roman" w:hAnsi="Times New Roman" w:cs="Times New Roman"/>
                <w:spacing w:val="-2"/>
                <w:sz w:val="24"/>
                <w:szCs w:val="24"/>
                <w:lang w:eastAsia="lv-LV"/>
              </w:rPr>
            </w:pPr>
            <w:proofErr w:type="spellStart"/>
            <w:r>
              <w:rPr>
                <w:rFonts w:ascii="Times New Roman" w:eastAsia="Times New Roman" w:hAnsi="Times New Roman" w:cs="Times New Roman"/>
                <w:spacing w:val="-2"/>
                <w:sz w:val="24"/>
                <w:szCs w:val="24"/>
                <w:lang w:eastAsia="lv-LV"/>
              </w:rPr>
              <w:t>AnaCredit</w:t>
            </w:r>
            <w:proofErr w:type="spellEnd"/>
            <w:r>
              <w:rPr>
                <w:rFonts w:ascii="Times New Roman" w:eastAsia="Times New Roman" w:hAnsi="Times New Roman" w:cs="Times New Roman"/>
                <w:spacing w:val="-2"/>
                <w:sz w:val="24"/>
                <w:szCs w:val="24"/>
                <w:lang w:eastAsia="lv-LV"/>
              </w:rPr>
              <w:t xml:space="preserve"> regula;</w:t>
            </w:r>
          </w:p>
        </w:tc>
      </w:tr>
      <w:tr w:rsidR="00B87B5F" w14:paraId="70FBC317" w14:textId="77777777" w:rsidTr="00B87B5F">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32A6CA"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2.</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355FE4"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Citas starptautiskās saistības</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AC4C66"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r w:rsidR="00B87B5F" w14:paraId="44C2FF75" w14:textId="77777777" w:rsidTr="00B87B5F">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7838A1"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3.</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2121E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1F45BB"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iCs/>
                <w:sz w:val="24"/>
                <w:szCs w:val="24"/>
                <w:lang w:eastAsia="lv-LV"/>
              </w:rPr>
              <w:t>Saskaņā ar Līguma par Eiropas Savienības darbību 127. panta 4. punktu, 282. panta 5. punktu un tā 4. protokola "Par Eiropas Centrālo banku sistēmas un Eiropas Centrālās bankas Statūtiem"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07CF1442"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1"/>
        <w:gridCol w:w="1780"/>
        <w:gridCol w:w="2225"/>
        <w:gridCol w:w="3074"/>
      </w:tblGrid>
      <w:tr w:rsidR="00B87B5F" w14:paraId="3BB60736" w14:textId="77777777" w:rsidTr="00B87B5F">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48D8E8"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1. tabula</w:t>
            </w:r>
            <w:r>
              <w:rPr>
                <w:rFonts w:ascii="Times New Roman" w:eastAsia="Times New Roman" w:hAnsi="Times New Roman" w:cs="Times New Roman"/>
                <w:b/>
                <w:bCs/>
                <w:spacing w:val="-2"/>
                <w:sz w:val="24"/>
                <w:szCs w:val="24"/>
                <w:lang w:eastAsia="lv-LV"/>
              </w:rPr>
              <w:br/>
              <w:t>Tiesību akta projekta atbilstība ES tiesību aktiem</w:t>
            </w:r>
          </w:p>
        </w:tc>
      </w:tr>
      <w:tr w:rsidR="00B87B5F" w14:paraId="613E89DA"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3F6EA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Attiecīgā ES tiesību akta datums, numurs un nosaukums</w:t>
            </w:r>
          </w:p>
        </w:tc>
        <w:tc>
          <w:tcPr>
            <w:tcW w:w="3753"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857DFA" w14:textId="77777777" w:rsidR="00B87B5F" w:rsidRDefault="00B87B5F">
            <w:pPr>
              <w:pStyle w:val="naiskr"/>
              <w:keepNext/>
              <w:keepLines/>
              <w:spacing w:before="0" w:after="0" w:line="276" w:lineRule="auto"/>
              <w:jc w:val="both"/>
              <w:rPr>
                <w:lang w:eastAsia="en-US"/>
              </w:rPr>
            </w:pPr>
            <w:r>
              <w:rPr>
                <w:lang w:eastAsia="en-US"/>
              </w:rPr>
              <w:t xml:space="preserve">Eiropas Centrālās bankas 2016. gada 18. maija Regula (ES) Nr. 2016/867 par kredītu un kredītriska </w:t>
            </w:r>
            <w:proofErr w:type="spellStart"/>
            <w:r>
              <w:rPr>
                <w:lang w:eastAsia="en-US"/>
              </w:rPr>
              <w:t>mikrodatu</w:t>
            </w:r>
            <w:proofErr w:type="spellEnd"/>
            <w:r>
              <w:rPr>
                <w:lang w:eastAsia="en-US"/>
              </w:rPr>
              <w:t xml:space="preserve"> vākšanu (</w:t>
            </w:r>
            <w:proofErr w:type="spellStart"/>
            <w:r>
              <w:rPr>
                <w:lang w:eastAsia="en-US"/>
              </w:rPr>
              <w:t>AnaCredit</w:t>
            </w:r>
            <w:proofErr w:type="spellEnd"/>
            <w:r>
              <w:rPr>
                <w:lang w:eastAsia="en-US"/>
              </w:rPr>
              <w:t xml:space="preserve"> regula).</w:t>
            </w:r>
          </w:p>
        </w:tc>
      </w:tr>
      <w:tr w:rsidR="00B87B5F" w14:paraId="1FCEF3F9"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B6C94"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A</w:t>
            </w:r>
          </w:p>
        </w:tc>
        <w:tc>
          <w:tcPr>
            <w:tcW w:w="94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13152"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B</w:t>
            </w:r>
          </w:p>
        </w:tc>
        <w:tc>
          <w:tcPr>
            <w:tcW w:w="118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8E028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w:t>
            </w:r>
          </w:p>
        </w:tc>
        <w:tc>
          <w:tcPr>
            <w:tcW w:w="159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04236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D</w:t>
            </w:r>
          </w:p>
        </w:tc>
      </w:tr>
      <w:tr w:rsidR="00B87B5F" w14:paraId="6188CD73"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724AD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4"/>
                <w:sz w:val="24"/>
                <w:szCs w:val="24"/>
                <w:lang w:eastAsia="lv-LV"/>
              </w:rPr>
              <w:t>Attiecīgā ES tiesību akta panta numurs (uzskaitot katru tiesību akta vienību – pantu, daļu, punktu, apakšpunktu)</w:t>
            </w:r>
          </w:p>
        </w:tc>
        <w:tc>
          <w:tcPr>
            <w:tcW w:w="94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AEA49F"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4"/>
                <w:sz w:val="24"/>
                <w:szCs w:val="24"/>
                <w:lang w:eastAsia="lv-LV"/>
              </w:rPr>
              <w:t xml:space="preserve">Projekta vienība, kas pārņem vai ievieš katru šīs tabulas A ailē minēto ES tiesību akta vienību, vai tiesību akts, kur attiecīgā ES </w:t>
            </w:r>
            <w:r>
              <w:rPr>
                <w:rFonts w:ascii="Times New Roman" w:eastAsia="Times New Roman" w:hAnsi="Times New Roman" w:cs="Times New Roman"/>
                <w:spacing w:val="-4"/>
                <w:sz w:val="24"/>
                <w:szCs w:val="24"/>
                <w:lang w:eastAsia="lv-LV"/>
              </w:rPr>
              <w:lastRenderedPageBreak/>
              <w:t>tiesību akta vienība pārņemta vai ieviesta</w:t>
            </w:r>
          </w:p>
        </w:tc>
        <w:tc>
          <w:tcPr>
            <w:tcW w:w="118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EE6BA2"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4"/>
                <w:sz w:val="24"/>
                <w:szCs w:val="24"/>
                <w:lang w:eastAsia="lv-LV"/>
              </w:rPr>
              <w:lastRenderedPageBreak/>
              <w:t>Informācija par to, vai šīs tabulas A ailē minētās ES tiesību akta vienības tiek pārņemtas vai ieviestas pilnībā vai daļēji.</w:t>
            </w:r>
            <w:r>
              <w:rPr>
                <w:rFonts w:ascii="Times New Roman" w:eastAsia="Times New Roman" w:hAnsi="Times New Roman" w:cs="Times New Roman"/>
                <w:spacing w:val="-4"/>
                <w:sz w:val="24"/>
                <w:szCs w:val="24"/>
                <w:lang w:eastAsia="lv-LV"/>
              </w:rPr>
              <w:br/>
              <w:t xml:space="preserve">Ja attiecīgā ES tiesību </w:t>
            </w:r>
            <w:r>
              <w:rPr>
                <w:rFonts w:ascii="Times New Roman" w:eastAsia="Times New Roman" w:hAnsi="Times New Roman" w:cs="Times New Roman"/>
                <w:spacing w:val="-4"/>
                <w:sz w:val="24"/>
                <w:szCs w:val="24"/>
                <w:lang w:eastAsia="lv-LV"/>
              </w:rPr>
              <w:lastRenderedPageBreak/>
              <w:t>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spacing w:val="-4"/>
                <w:sz w:val="24"/>
                <w:szCs w:val="24"/>
                <w:lang w:eastAsia="lv-LV"/>
              </w:rPr>
              <w:br/>
              <w:t>Norāda institūciju, kas ir atbildīga par šo saistību izpildi pilnībā</w:t>
            </w:r>
          </w:p>
        </w:tc>
        <w:tc>
          <w:tcPr>
            <w:tcW w:w="159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A41A1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4"/>
                <w:sz w:val="24"/>
                <w:szCs w:val="24"/>
                <w:lang w:eastAsia="lv-LV"/>
              </w:rPr>
              <w:lastRenderedPageBreak/>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spacing w:val="-4"/>
                <w:sz w:val="24"/>
                <w:szCs w:val="24"/>
                <w:lang w:eastAsia="lv-LV"/>
              </w:rPr>
              <w:br/>
              <w:t xml:space="preserve">Ja projekts satur stingrākas prasības nekā attiecīgais ES </w:t>
            </w:r>
            <w:r>
              <w:rPr>
                <w:rFonts w:ascii="Times New Roman" w:eastAsia="Times New Roman" w:hAnsi="Times New Roman" w:cs="Times New Roman"/>
                <w:spacing w:val="-4"/>
                <w:sz w:val="24"/>
                <w:szCs w:val="24"/>
                <w:lang w:eastAsia="lv-LV"/>
              </w:rPr>
              <w:lastRenderedPageBreak/>
              <w:t>tiesību akts, norāda pamatojumu un samērīgumu.</w:t>
            </w:r>
            <w:r>
              <w:rPr>
                <w:rFonts w:ascii="Times New Roman" w:eastAsia="Times New Roman" w:hAnsi="Times New Roman" w:cs="Times New Roman"/>
                <w:spacing w:val="-4"/>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87B5F" w14:paraId="2B589596"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3E9582" w14:textId="77777777" w:rsidR="00B87B5F" w:rsidRDefault="00B87B5F">
            <w:pPr>
              <w:spacing w:after="0" w:line="240" w:lineRule="auto"/>
              <w:rPr>
                <w:rFonts w:ascii="Times New Roman" w:eastAsia="Times New Roman" w:hAnsi="Times New Roman" w:cs="Times New Roman"/>
                <w:spacing w:val="-4"/>
                <w:sz w:val="24"/>
                <w:szCs w:val="24"/>
                <w:lang w:eastAsia="lv-LV"/>
              </w:rPr>
            </w:pPr>
            <w:proofErr w:type="spellStart"/>
            <w:r>
              <w:rPr>
                <w:rFonts w:ascii="Times New Roman" w:eastAsia="Times New Roman" w:hAnsi="Times New Roman" w:cs="Times New Roman"/>
                <w:spacing w:val="-4"/>
                <w:sz w:val="24"/>
                <w:szCs w:val="24"/>
                <w:lang w:eastAsia="lv-LV"/>
              </w:rPr>
              <w:lastRenderedPageBreak/>
              <w:t>AnaCredit</w:t>
            </w:r>
            <w:proofErr w:type="spellEnd"/>
            <w:r>
              <w:rPr>
                <w:rFonts w:ascii="Times New Roman" w:eastAsia="Times New Roman" w:hAnsi="Times New Roman" w:cs="Times New Roman"/>
                <w:spacing w:val="-4"/>
                <w:sz w:val="24"/>
                <w:szCs w:val="24"/>
                <w:lang w:eastAsia="lv-LV"/>
              </w:rPr>
              <w:t xml:space="preserve"> regulas 10. panta 1. punkta otrais teikums </w:t>
            </w:r>
          </w:p>
        </w:tc>
        <w:tc>
          <w:tcPr>
            <w:tcW w:w="94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FA892B"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Likumprojekta 4. panta otrā daļa un 5. pants</w:t>
            </w:r>
          </w:p>
        </w:tc>
        <w:tc>
          <w:tcPr>
            <w:tcW w:w="118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6D3ADE"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Vienība tiek ieviesta pilnībā</w:t>
            </w:r>
          </w:p>
        </w:tc>
        <w:tc>
          <w:tcPr>
            <w:tcW w:w="159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78476B"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Netiek paredzētas stingrākas prasības</w:t>
            </w:r>
          </w:p>
        </w:tc>
      </w:tr>
      <w:tr w:rsidR="00B87B5F" w14:paraId="56D212D6"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6F5A70" w14:textId="77777777" w:rsidR="00B87B5F" w:rsidRDefault="00B87B5F">
            <w:pPr>
              <w:spacing w:after="0" w:line="240" w:lineRule="auto"/>
              <w:rPr>
                <w:rFonts w:ascii="Times New Roman" w:eastAsia="Times New Roman" w:hAnsi="Times New Roman" w:cs="Times New Roman"/>
                <w:spacing w:val="-4"/>
                <w:sz w:val="24"/>
                <w:szCs w:val="24"/>
                <w:lang w:eastAsia="lv-LV"/>
              </w:rPr>
            </w:pPr>
            <w:proofErr w:type="spellStart"/>
            <w:r>
              <w:rPr>
                <w:rFonts w:ascii="Times New Roman" w:eastAsia="Times New Roman" w:hAnsi="Times New Roman" w:cs="Times New Roman"/>
                <w:spacing w:val="-4"/>
                <w:sz w:val="24"/>
                <w:szCs w:val="24"/>
                <w:lang w:eastAsia="lv-LV"/>
              </w:rPr>
              <w:t>AnaCredit</w:t>
            </w:r>
            <w:proofErr w:type="spellEnd"/>
            <w:r>
              <w:rPr>
                <w:rFonts w:ascii="Times New Roman" w:eastAsia="Times New Roman" w:hAnsi="Times New Roman" w:cs="Times New Roman"/>
                <w:spacing w:val="-4"/>
                <w:sz w:val="24"/>
                <w:szCs w:val="24"/>
                <w:lang w:eastAsia="lv-LV"/>
              </w:rPr>
              <w:t xml:space="preserve"> regulas 11. pants</w:t>
            </w:r>
          </w:p>
        </w:tc>
        <w:tc>
          <w:tcPr>
            <w:tcW w:w="94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AED1DFA"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Likumprojekta 5. pants</w:t>
            </w:r>
          </w:p>
        </w:tc>
        <w:tc>
          <w:tcPr>
            <w:tcW w:w="118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A3EEDE"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Vienība tiek ieviesta pilnībā.</w:t>
            </w:r>
          </w:p>
        </w:tc>
        <w:tc>
          <w:tcPr>
            <w:tcW w:w="159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0F80EE" w14:textId="77777777" w:rsidR="00B87B5F" w:rsidRDefault="00B87B5F">
            <w:pPr>
              <w:spacing w:after="0" w:line="240" w:lineRule="auto"/>
              <w:rPr>
                <w:rFonts w:ascii="Times New Roman" w:eastAsia="Times New Roman" w:hAnsi="Times New Roman" w:cs="Times New Roman"/>
                <w:spacing w:val="-4"/>
                <w:sz w:val="24"/>
                <w:szCs w:val="24"/>
                <w:lang w:eastAsia="lv-LV"/>
              </w:rPr>
            </w:pPr>
            <w:r>
              <w:rPr>
                <w:rFonts w:ascii="Times New Roman" w:eastAsia="Times New Roman" w:hAnsi="Times New Roman" w:cs="Times New Roman"/>
                <w:spacing w:val="-4"/>
                <w:sz w:val="24"/>
                <w:szCs w:val="24"/>
                <w:lang w:eastAsia="lv-LV"/>
              </w:rPr>
              <w:t>Netiek paredzētas stingrākas prasības</w:t>
            </w:r>
          </w:p>
        </w:tc>
      </w:tr>
      <w:tr w:rsidR="00B87B5F" w14:paraId="3135AA55"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2976A1"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Kā ir izmantota ES tiesību aktā paredzētā rīcības brīvība dalībvalstij pārņemt vai ieviest noteiktas ES tiesību akta normas? Kādēļ?</w:t>
            </w:r>
          </w:p>
        </w:tc>
        <w:tc>
          <w:tcPr>
            <w:tcW w:w="3753"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B8E4FD"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Rīcības brīvība ieviest </w:t>
            </w:r>
            <w:proofErr w:type="spellStart"/>
            <w:r>
              <w:rPr>
                <w:rFonts w:ascii="Times New Roman" w:eastAsia="Times New Roman" w:hAnsi="Times New Roman" w:cs="Times New Roman"/>
                <w:spacing w:val="-2"/>
                <w:sz w:val="24"/>
                <w:szCs w:val="24"/>
                <w:lang w:eastAsia="lv-LV"/>
              </w:rPr>
              <w:t>AnaCredit</w:t>
            </w:r>
            <w:proofErr w:type="spellEnd"/>
            <w:r>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4"/>
                <w:sz w:val="24"/>
                <w:szCs w:val="24"/>
                <w:lang w:eastAsia="lv-LV"/>
              </w:rPr>
              <w:t xml:space="preserve">regulas 10. panta 1. punkta otrajā teikumā un 11. pantā paredzēto tiesisko regulējumu Latvijas nacionālajā tiesību sistēmā izmatota ar mērķi nodrošināt Kredītu reģistra dalībniekiem un Kredītu reģistra dalībniekiem ar ierobežotu statusu plašāku informācijas apmēru klientu vai klienta galvinieku, kas ir juridiskās personas, kredītspējas izvērtēšanai. </w:t>
            </w:r>
          </w:p>
        </w:tc>
      </w:tr>
      <w:tr w:rsidR="00B87B5F" w14:paraId="6FF4E4B5"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D45259"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3"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680782"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 attiecināms</w:t>
            </w:r>
          </w:p>
        </w:tc>
      </w:tr>
      <w:tr w:rsidR="00B87B5F" w14:paraId="1B815082" w14:textId="77777777" w:rsidTr="00B87B5F">
        <w:trPr>
          <w:tblCellSpacing w:w="15" w:type="dxa"/>
        </w:trPr>
        <w:tc>
          <w:tcPr>
            <w:tcW w:w="119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F6F5D5"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3753"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41AC71"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bl>
    <w:p w14:paraId="4AFA3C74"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spacing w:val="-2"/>
          <w:sz w:val="24"/>
          <w:szCs w:val="24"/>
          <w:lang w:eastAsia="lv-LV"/>
        </w:rPr>
        <w:t> </w:t>
      </w:r>
    </w:p>
    <w:tbl>
      <w:tblPr>
        <w:tblW w:w="9345"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3"/>
        <w:gridCol w:w="7003"/>
      </w:tblGrid>
      <w:tr w:rsidR="00B87B5F" w14:paraId="54A6437B" w14:textId="77777777" w:rsidTr="00B87B5F">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EE14F0"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VI. Sabiedrības līdzdalība un komunikācijas aktivitātes</w:t>
            </w:r>
          </w:p>
        </w:tc>
      </w:tr>
      <w:tr w:rsidR="00B87B5F" w14:paraId="229B71D9" w14:textId="77777777" w:rsidTr="00B87B5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77AF1D"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858E7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Plānotās sabiedrības līdzdalības un komunikācijas </w:t>
            </w:r>
            <w:r>
              <w:rPr>
                <w:rFonts w:ascii="Times New Roman" w:eastAsia="Times New Roman" w:hAnsi="Times New Roman" w:cs="Times New Roman"/>
                <w:spacing w:val="-2"/>
                <w:sz w:val="24"/>
                <w:szCs w:val="24"/>
                <w:lang w:eastAsia="lv-LV"/>
              </w:rPr>
              <w:lastRenderedPageBreak/>
              <w:t>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B6C458" w14:textId="77777777" w:rsidR="00B87B5F" w:rsidRDefault="00B87B5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lastRenderedPageBreak/>
              <w:t xml:space="preserve">Likumprojekts ir saistīts ar likumprojektu "Latvijas Bankas likums", pirms kura izstrādes uzsākšanas, </w:t>
            </w:r>
            <w:r>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Pr>
                <w:rFonts w:ascii="Times New Roman" w:eastAsia="Times New Roman" w:hAnsi="Times New Roman" w:cs="Times New Roman"/>
                <w:iCs/>
                <w:sz w:val="24"/>
                <w:szCs w:val="24"/>
                <w:lang w:eastAsia="lv-LV"/>
              </w:rPr>
              <w:t xml:space="preserve">saskaņā ar Saeimas </w:t>
            </w:r>
            <w:r>
              <w:rPr>
                <w:rFonts w:ascii="Times New Roman" w:eastAsia="Times New Roman" w:hAnsi="Times New Roman" w:cs="Times New Roman"/>
                <w:bCs/>
                <w:iCs/>
                <w:sz w:val="24"/>
                <w:szCs w:val="24"/>
                <w:lang w:eastAsia="lv-LV"/>
              </w:rPr>
              <w:t xml:space="preserve">Budžeta un finanšu (nodokļu) komisijas 2019. gada </w:t>
            </w:r>
            <w:r>
              <w:rPr>
                <w:rFonts w:ascii="Times New Roman" w:eastAsia="Times New Roman" w:hAnsi="Times New Roman" w:cs="Times New Roman"/>
                <w:bCs/>
                <w:iCs/>
                <w:sz w:val="24"/>
                <w:szCs w:val="24"/>
                <w:lang w:eastAsia="lv-LV"/>
              </w:rPr>
              <w:lastRenderedPageBreak/>
              <w:t>11. septembra sēdes protokola Nr. 76</w:t>
            </w:r>
            <w:r>
              <w:rPr>
                <w:rStyle w:val="FootnoteReference"/>
                <w:bCs/>
                <w:iCs/>
                <w:szCs w:val="24"/>
                <w:lang w:eastAsia="lv-LV"/>
              </w:rPr>
              <w:footnoteReference w:id="3"/>
            </w:r>
            <w:r>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w:t>
            </w:r>
            <w:proofErr w:type="spellStart"/>
            <w:r>
              <w:rPr>
                <w:rFonts w:ascii="Times New Roman" w:eastAsia="Times New Roman" w:hAnsi="Times New Roman" w:cs="Times New Roman"/>
                <w:bCs/>
                <w:iCs/>
                <w:sz w:val="24"/>
                <w:szCs w:val="24"/>
                <w:lang w:eastAsia="lv-LV"/>
              </w:rPr>
              <w:t>izvērtējumu</w:t>
            </w:r>
            <w:proofErr w:type="spellEnd"/>
            <w:r>
              <w:rPr>
                <w:rFonts w:ascii="Times New Roman" w:eastAsia="Times New Roman" w:hAnsi="Times New Roman" w:cs="Times New Roman"/>
                <w:bCs/>
                <w:iCs/>
                <w:sz w:val="24"/>
                <w:szCs w:val="24"/>
                <w:lang w:eastAsia="lv-LV"/>
              </w:rPr>
              <w:t xml:space="preserve"> par paredzēto FKTK pievienošanu Latvijas Bankai, un kuru pēc tam iesniegt Ministru kabinetā, kas savukārt to iesniegtu Saeimas Budžeta un finanšu (nodokļu) komisijai.</w:t>
            </w:r>
          </w:p>
          <w:p w14:paraId="6B973364" w14:textId="77777777" w:rsidR="00B87B5F" w:rsidRDefault="00B87B5F">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B87B5F" w14:paraId="06369612" w14:textId="77777777" w:rsidTr="00B87B5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6B68AD"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lastRenderedPageBreak/>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9B7C54"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FD874C" w14:textId="77777777" w:rsidR="00B87B5F" w:rsidRDefault="00B87B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sadarbībā ar Latvijas Banku un FKTK 2020. gada maijā izstrādāja "</w:t>
            </w:r>
            <w:proofErr w:type="spellStart"/>
            <w:r>
              <w:rPr>
                <w:rFonts w:ascii="Times New Roman" w:eastAsia="Times New Roman" w:hAnsi="Times New Roman" w:cs="Times New Roman"/>
                <w:iCs/>
                <w:sz w:val="24"/>
                <w:szCs w:val="24"/>
                <w:lang w:eastAsia="lv-LV"/>
              </w:rPr>
              <w:t>Izvērtējumu</w:t>
            </w:r>
            <w:proofErr w:type="spellEnd"/>
            <w:r>
              <w:rPr>
                <w:rFonts w:ascii="Times New Roman" w:eastAsia="Times New Roman" w:hAnsi="Times New Roman" w:cs="Times New Roman"/>
                <w:iCs/>
                <w:sz w:val="24"/>
                <w:szCs w:val="24"/>
                <w:lang w:eastAsia="lv-LV"/>
              </w:rPr>
              <w:t xml:space="preserve"> par Finanšu un kapitāla tirgus komisijas pievienošanu Latvijas Bankai" (turpmāk – </w:t>
            </w:r>
            <w:proofErr w:type="spellStart"/>
            <w:r>
              <w:rPr>
                <w:rFonts w:ascii="Times New Roman" w:eastAsia="Times New Roman" w:hAnsi="Times New Roman" w:cs="Times New Roman"/>
                <w:iCs/>
                <w:sz w:val="24"/>
                <w:szCs w:val="24"/>
                <w:lang w:eastAsia="lv-LV"/>
              </w:rPr>
              <w:t>Izvērtējums</w:t>
            </w:r>
            <w:proofErr w:type="spellEnd"/>
            <w:r>
              <w:rPr>
                <w:rFonts w:ascii="Times New Roman" w:eastAsia="Times New Roman" w:hAnsi="Times New Roman" w:cs="Times New Roman"/>
                <w:iCs/>
                <w:sz w:val="24"/>
                <w:szCs w:val="24"/>
                <w:lang w:eastAsia="lv-LV"/>
              </w:rPr>
              <w:t>).</w:t>
            </w:r>
          </w:p>
          <w:p w14:paraId="4F3C2DEC" w14:textId="77777777" w:rsidR="00B87B5F" w:rsidRDefault="00B87B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kabinets 2020. gada 26. maijā izskatīja un konceptuāli atbalstīja </w:t>
            </w:r>
            <w:proofErr w:type="spellStart"/>
            <w:r>
              <w:rPr>
                <w:rFonts w:ascii="Times New Roman" w:eastAsia="Times New Roman" w:hAnsi="Times New Roman" w:cs="Times New Roman"/>
                <w:iCs/>
                <w:sz w:val="24"/>
                <w:szCs w:val="24"/>
                <w:lang w:eastAsia="lv-LV"/>
              </w:rPr>
              <w:t>Izvērtējumu</w:t>
            </w:r>
            <w:proofErr w:type="spellEnd"/>
            <w:r>
              <w:rPr>
                <w:rFonts w:ascii="Times New Roman" w:eastAsia="Times New Roman" w:hAnsi="Times New Roman" w:cs="Times New Roman"/>
                <w:iCs/>
                <w:sz w:val="24"/>
                <w:szCs w:val="24"/>
                <w:lang w:eastAsia="lv-LV"/>
              </w:rPr>
              <w:t xml:space="preserve"> (Ministru kabineta 2020. gada 26. maija sēdes protokols Nr. 36 27. §), un nosūtīja to atbildīgajai Saeimas komisijai.</w:t>
            </w:r>
          </w:p>
          <w:p w14:paraId="52BAA33B" w14:textId="77777777" w:rsidR="00B87B5F" w:rsidRDefault="00B87B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Saeimas Budžeta un finanšu (nodokļu) komisija  2020. gada 2. jūnijā uzklausīja atbildīgo institūciju pārstāvjus par </w:t>
            </w:r>
            <w:proofErr w:type="spellStart"/>
            <w:r>
              <w:rPr>
                <w:rFonts w:ascii="Times New Roman" w:eastAsia="Times New Roman" w:hAnsi="Times New Roman" w:cs="Times New Roman"/>
                <w:iCs/>
                <w:sz w:val="24"/>
                <w:szCs w:val="24"/>
                <w:lang w:eastAsia="lv-LV"/>
              </w:rPr>
              <w:t>Izvērtējumu</w:t>
            </w:r>
            <w:proofErr w:type="spellEnd"/>
            <w:r>
              <w:rPr>
                <w:rFonts w:ascii="Times New Roman" w:eastAsia="Times New Roman" w:hAnsi="Times New Roman" w:cs="Times New Roman"/>
                <w:iCs/>
                <w:sz w:val="24"/>
                <w:szCs w:val="24"/>
                <w:lang w:eastAsia="lv-LV"/>
              </w:rPr>
              <w:t xml:space="preserve"> un nolēma pieņemt zināšanai, ka tās dotais uzdevums ir izpildīts un turpinās darbs pie likumprojekta izstrādes (Saeimas Budžeta un finanšu (nodokļu) komisijas 2020. gada 2. jūnija sēdes protokols Nr. 165 1. punkts).</w:t>
            </w:r>
          </w:p>
          <w:p w14:paraId="5D14E8DF"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Pirms likumprojekta "Latvijas Bankas likums" un ar to saistīto likumprojektu (t.sk. Likumprojekta) iesniegšanas Ministru kabinetā tie </w:t>
            </w:r>
            <w:r>
              <w:rPr>
                <w:rFonts w:ascii="Times New Roman" w:eastAsia="Times New Roman" w:hAnsi="Times New Roman" w:cs="Times New Roman"/>
                <w:sz w:val="24"/>
                <w:szCs w:val="24"/>
                <w:shd w:val="clear" w:color="auto" w:fill="FFFFFF"/>
                <w:lang w:eastAsia="lv-LV"/>
              </w:rPr>
              <w:t>2020. gada 11. novembrī</w:t>
            </w:r>
            <w:r>
              <w:rPr>
                <w:rFonts w:ascii="Times New Roman" w:eastAsia="Times New Roman" w:hAnsi="Times New Roman" w:cs="Times New Roman"/>
                <w:spacing w:val="-2"/>
                <w:sz w:val="24"/>
                <w:szCs w:val="24"/>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B87B5F" w14:paraId="4D107D0F" w14:textId="77777777" w:rsidTr="00B87B5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727E8F5"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20F69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A0D4CC"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Likumprojektu pēc prezentācijas un tikšanās ar FKTK konsultatīvo finanšu un kapitāla tirgus padomi nebija nepieciešams precizēt, ņemot vērā sabiedrības līdzdalības rezultātus.</w:t>
            </w:r>
          </w:p>
        </w:tc>
      </w:tr>
      <w:tr w:rsidR="00B87B5F" w14:paraId="76365310" w14:textId="77777777" w:rsidTr="00B87B5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9A9878"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D7FC47"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F5EA9C"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Nav</w:t>
            </w:r>
          </w:p>
        </w:tc>
      </w:tr>
    </w:tbl>
    <w:p w14:paraId="1D1D7856" w14:textId="77777777" w:rsidR="00B87B5F" w:rsidRDefault="00B87B5F" w:rsidP="00B87B5F">
      <w:pPr>
        <w:shd w:val="clear" w:color="auto" w:fill="FFFFFF"/>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B87B5F" w14:paraId="6938EF0F" w14:textId="77777777" w:rsidTr="00B87B5F">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E47E6" w14:textId="77777777" w:rsidR="00B87B5F" w:rsidRDefault="00B87B5F">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B87B5F" w14:paraId="0F6425EA" w14:textId="77777777" w:rsidTr="00B87B5F">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380E9B"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1.</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952953"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5F26E6"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 xml:space="preserve">Latvijas Banka </w:t>
            </w:r>
          </w:p>
        </w:tc>
      </w:tr>
      <w:tr w:rsidR="00B87B5F" w14:paraId="3A81EE5F" w14:textId="77777777" w:rsidTr="00B87B5F">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0F4C1D"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2.</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5E7C0AA"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Projekta izpildes ietekme uz pārvaldes funkcijām un institucionālo struktūru.</w:t>
            </w:r>
            <w:r>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6D70237" w14:textId="77777777" w:rsidR="00B87B5F" w:rsidRDefault="00B87B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17CC442"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iCs/>
                <w:sz w:val="24"/>
                <w:szCs w:val="24"/>
                <w:lang w:eastAsia="lv-LV"/>
              </w:rPr>
              <w:t xml:space="preserve">Taču jāņem vērā to, ka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w:t>
            </w:r>
            <w:r>
              <w:rPr>
                <w:rFonts w:ascii="Times New Roman" w:eastAsia="Times New Roman" w:hAnsi="Times New Roman" w:cs="Times New Roman"/>
                <w:iCs/>
                <w:sz w:val="24"/>
                <w:szCs w:val="24"/>
                <w:lang w:eastAsia="lv-LV"/>
              </w:rPr>
              <w:lastRenderedPageBreak/>
              <w:t xml:space="preserve">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p>
        </w:tc>
      </w:tr>
      <w:tr w:rsidR="00B87B5F" w14:paraId="366F1E5B" w14:textId="77777777" w:rsidTr="00B87B5F">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A2768C"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lastRenderedPageBreak/>
              <w:t>3.</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AAB000" w14:textId="77777777" w:rsidR="00B87B5F" w:rsidRDefault="00B87B5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pacing w:val="-2"/>
                <w:sz w:val="24"/>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2ED35C" w14:textId="77777777" w:rsidR="00B87B5F" w:rsidRDefault="00B87B5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Nav </w:t>
            </w:r>
          </w:p>
        </w:tc>
      </w:tr>
    </w:tbl>
    <w:p w14:paraId="5FEC49CC" w14:textId="77777777" w:rsidR="00B87B5F" w:rsidRDefault="00B87B5F" w:rsidP="00B87B5F">
      <w:pPr>
        <w:pStyle w:val="Body"/>
        <w:spacing w:after="0" w:line="240" w:lineRule="auto"/>
        <w:jc w:val="both"/>
        <w:rPr>
          <w:rFonts w:ascii="Times New Roman" w:hAnsi="Times New Roman"/>
          <w:color w:val="auto"/>
          <w:sz w:val="28"/>
          <w:lang w:val="de-DE"/>
        </w:rPr>
      </w:pPr>
    </w:p>
    <w:p w14:paraId="06D8058F" w14:textId="77777777" w:rsidR="00B87B5F" w:rsidRDefault="00B87B5F" w:rsidP="00B87B5F">
      <w:pPr>
        <w:pStyle w:val="Body"/>
        <w:tabs>
          <w:tab w:val="left" w:pos="6521"/>
        </w:tabs>
        <w:spacing w:after="0" w:line="240" w:lineRule="auto"/>
        <w:ind w:firstLine="709"/>
        <w:jc w:val="both"/>
        <w:rPr>
          <w:rFonts w:ascii="Times New Roman" w:hAnsi="Times New Roman"/>
          <w:color w:val="auto"/>
          <w:sz w:val="28"/>
          <w:lang w:val="de-DE"/>
        </w:rPr>
      </w:pPr>
    </w:p>
    <w:p w14:paraId="2859E863" w14:textId="77777777" w:rsidR="00B87B5F" w:rsidRDefault="00B87B5F" w:rsidP="00B87B5F">
      <w:pPr>
        <w:pStyle w:val="Body"/>
        <w:tabs>
          <w:tab w:val="left" w:pos="6521"/>
        </w:tabs>
        <w:spacing w:after="0" w:line="240" w:lineRule="auto"/>
        <w:ind w:firstLine="709"/>
        <w:jc w:val="both"/>
        <w:rPr>
          <w:rFonts w:ascii="Times New Roman" w:hAnsi="Times New Roman"/>
          <w:color w:val="auto"/>
          <w:sz w:val="28"/>
          <w:lang w:val="de-DE"/>
        </w:rPr>
      </w:pPr>
    </w:p>
    <w:p w14:paraId="1C34E29A" w14:textId="77777777" w:rsidR="00B87B5F" w:rsidRDefault="00B87B5F" w:rsidP="00B87B5F">
      <w:pPr>
        <w:pStyle w:val="Body"/>
        <w:tabs>
          <w:tab w:val="left" w:pos="6521"/>
        </w:tabs>
        <w:spacing w:after="0" w:line="240" w:lineRule="auto"/>
        <w:ind w:firstLine="709"/>
        <w:jc w:val="both"/>
        <w:rPr>
          <w:rFonts w:ascii="Times New Roman" w:hAnsi="Times New Roman"/>
          <w:color w:val="auto"/>
          <w:sz w:val="28"/>
          <w:lang w:val="de-DE"/>
        </w:rPr>
      </w:pPr>
      <w:proofErr w:type="spellStart"/>
      <w:r>
        <w:rPr>
          <w:rFonts w:ascii="Times New Roman" w:hAnsi="Times New Roman"/>
          <w:color w:val="auto"/>
          <w:sz w:val="28"/>
          <w:lang w:val="de-DE"/>
        </w:rPr>
        <w:t>Finanšu</w:t>
      </w:r>
      <w:proofErr w:type="spellEnd"/>
      <w:r>
        <w:rPr>
          <w:rFonts w:ascii="Times New Roman" w:hAnsi="Times New Roman"/>
          <w:color w:val="auto"/>
          <w:sz w:val="28"/>
          <w:lang w:val="de-DE"/>
        </w:rPr>
        <w:t xml:space="preserve"> </w:t>
      </w:r>
      <w:proofErr w:type="spellStart"/>
      <w:r>
        <w:rPr>
          <w:rFonts w:ascii="Times New Roman" w:hAnsi="Times New Roman"/>
          <w:color w:val="auto"/>
          <w:sz w:val="28"/>
          <w:lang w:val="de-DE"/>
        </w:rPr>
        <w:t>ministrs</w:t>
      </w:r>
      <w:proofErr w:type="spellEnd"/>
      <w:r>
        <w:rPr>
          <w:rFonts w:ascii="Times New Roman" w:hAnsi="Times New Roman"/>
          <w:color w:val="auto"/>
          <w:sz w:val="28"/>
          <w:lang w:val="de-DE"/>
        </w:rPr>
        <w:tab/>
        <w:t>J. </w:t>
      </w:r>
      <w:proofErr w:type="spellStart"/>
      <w:r>
        <w:rPr>
          <w:rFonts w:ascii="Times New Roman" w:hAnsi="Times New Roman"/>
          <w:color w:val="auto"/>
          <w:sz w:val="28"/>
          <w:lang w:val="de-DE"/>
        </w:rPr>
        <w:t>Reirs</w:t>
      </w:r>
      <w:proofErr w:type="spellEnd"/>
    </w:p>
    <w:p w14:paraId="33E5F01C" w14:textId="77777777" w:rsidR="00B87B5F" w:rsidRDefault="00B87B5F" w:rsidP="00B87B5F">
      <w:pPr>
        <w:rPr>
          <w:rFonts w:ascii="Times New Roman" w:hAnsi="Times New Roman" w:cs="Times New Roman"/>
          <w:sz w:val="20"/>
          <w:szCs w:val="20"/>
        </w:rPr>
      </w:pPr>
    </w:p>
    <w:p w14:paraId="17392490" w14:textId="77777777" w:rsidR="00B87B5F" w:rsidRDefault="00B87B5F" w:rsidP="00B87B5F">
      <w:pPr>
        <w:rPr>
          <w:rFonts w:ascii="Times New Roman" w:hAnsi="Times New Roman" w:cs="Times New Roman"/>
          <w:sz w:val="20"/>
          <w:szCs w:val="20"/>
        </w:rPr>
      </w:pPr>
    </w:p>
    <w:p w14:paraId="063C593F" w14:textId="77777777" w:rsidR="00B87B5F" w:rsidRDefault="00B87B5F" w:rsidP="00B87B5F">
      <w:pPr>
        <w:rPr>
          <w:rFonts w:ascii="Times New Roman" w:hAnsi="Times New Roman" w:cs="Times New Roman"/>
          <w:sz w:val="20"/>
          <w:szCs w:val="20"/>
        </w:rPr>
      </w:pPr>
    </w:p>
    <w:p w14:paraId="54386A73" w14:textId="6131F695" w:rsidR="00B87B5F" w:rsidRDefault="00B87B5F" w:rsidP="00B87B5F">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w:t>
      </w:r>
      <w:r>
        <w:rPr>
          <w:rFonts w:ascii="Times New Roman" w:hAnsi="Times New Roman" w:cs="Times New Roman"/>
          <w:sz w:val="20"/>
          <w:szCs w:val="20"/>
        </w:rPr>
        <w:t>5151</w:t>
      </w:r>
    </w:p>
    <w:p w14:paraId="595BB432" w14:textId="3D471E78" w:rsidR="003C2AAC" w:rsidRPr="00B87B5F" w:rsidRDefault="003C2AAC" w:rsidP="00B87B5F"/>
    <w:sectPr w:rsidR="003C2AAC" w:rsidRPr="00B87B5F" w:rsidSect="00D600D3">
      <w:headerReference w:type="default" r:id="rId10"/>
      <w:footerReference w:type="default" r:id="rId11"/>
      <w:footerReference w:type="firs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4958" w14:textId="77777777" w:rsidR="00D70547" w:rsidRDefault="00D70547" w:rsidP="00122468">
      <w:pPr>
        <w:spacing w:after="0" w:line="240" w:lineRule="auto"/>
      </w:pPr>
      <w:r>
        <w:separator/>
      </w:r>
    </w:p>
  </w:endnote>
  <w:endnote w:type="continuationSeparator" w:id="0">
    <w:p w14:paraId="3ED75F6C" w14:textId="77777777" w:rsidR="00D70547" w:rsidRDefault="00D70547" w:rsidP="00122468">
      <w:pPr>
        <w:spacing w:after="0" w:line="240" w:lineRule="auto"/>
      </w:pPr>
      <w:r>
        <w:continuationSeparator/>
      </w:r>
    </w:p>
  </w:endnote>
  <w:endnote w:type="continuationNotice" w:id="1">
    <w:p w14:paraId="7C2052BA" w14:textId="77777777" w:rsidR="00D70547" w:rsidRDefault="00D70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7A13" w14:textId="467CF030" w:rsidR="00122468" w:rsidRDefault="008114CE">
    <w:pPr>
      <w:pStyle w:val="Footer"/>
    </w:pPr>
    <w:r w:rsidRPr="008114CE">
      <w:rPr>
        <w:rFonts w:ascii="Times New Roman" w:hAnsi="Times New Roman" w:cs="Times New Roman"/>
        <w:sz w:val="20"/>
        <w:szCs w:val="20"/>
      </w:rPr>
      <w:t>FMAnot_</w:t>
    </w:r>
    <w:r w:rsidR="0048465E">
      <w:rPr>
        <w:rFonts w:ascii="Times New Roman" w:hAnsi="Times New Roman" w:cs="Times New Roman"/>
        <w:sz w:val="20"/>
        <w:szCs w:val="20"/>
      </w:rPr>
      <w:t>110221</w:t>
    </w:r>
    <w:r w:rsidRPr="008114CE">
      <w:rPr>
        <w:rFonts w:ascii="Times New Roman" w:hAnsi="Times New Roman" w:cs="Times New Roman"/>
        <w:sz w:val="20"/>
        <w:szCs w:val="20"/>
      </w:rPr>
      <w:t>_KRL_groz</w:t>
    </w:r>
    <w:r w:rsidR="003C2AAC">
      <w:rPr>
        <w:rFonts w:ascii="Times New Roman" w:hAnsi="Times New Roman" w:cs="Times New Roman"/>
        <w:sz w:val="20"/>
        <w:szCs w:val="20"/>
      </w:rPr>
      <w:t xml:space="preserve"> (TA-361)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2C9E" w14:textId="662C31D8" w:rsidR="00D600D3" w:rsidRPr="00D600D3" w:rsidRDefault="00D600D3">
    <w:pPr>
      <w:pStyle w:val="Footer"/>
      <w:rPr>
        <w:rFonts w:ascii="Times New Roman" w:hAnsi="Times New Roman" w:cs="Times New Roman"/>
        <w:sz w:val="20"/>
        <w:szCs w:val="20"/>
      </w:rPr>
    </w:pPr>
    <w:r w:rsidRPr="00122468">
      <w:rPr>
        <w:rFonts w:ascii="Times New Roman" w:hAnsi="Times New Roman" w:cs="Times New Roman"/>
        <w:sz w:val="20"/>
        <w:szCs w:val="20"/>
      </w:rPr>
      <w:t>FM</w:t>
    </w:r>
    <w:r w:rsidR="008114CE">
      <w:rPr>
        <w:rFonts w:ascii="Times New Roman" w:hAnsi="Times New Roman" w:cs="Times New Roman"/>
        <w:sz w:val="20"/>
        <w:szCs w:val="20"/>
      </w:rPr>
      <w:t>A</w:t>
    </w:r>
    <w:r w:rsidRPr="00122468">
      <w:rPr>
        <w:rFonts w:ascii="Times New Roman" w:hAnsi="Times New Roman" w:cs="Times New Roman"/>
        <w:sz w:val="20"/>
        <w:szCs w:val="20"/>
      </w:rPr>
      <w:t>not_</w:t>
    </w:r>
    <w:r w:rsidR="0048465E">
      <w:rPr>
        <w:rFonts w:ascii="Times New Roman" w:hAnsi="Times New Roman" w:cs="Times New Roman"/>
        <w:sz w:val="20"/>
        <w:szCs w:val="20"/>
      </w:rPr>
      <w:t>110221</w:t>
    </w:r>
    <w:r>
      <w:rPr>
        <w:rFonts w:ascii="Times New Roman" w:hAnsi="Times New Roman" w:cs="Times New Roman"/>
        <w:sz w:val="20"/>
        <w:szCs w:val="20"/>
      </w:rPr>
      <w:t>_</w:t>
    </w:r>
    <w:r w:rsidR="008114CE">
      <w:rPr>
        <w:rFonts w:ascii="Times New Roman" w:hAnsi="Times New Roman" w:cs="Times New Roman"/>
        <w:sz w:val="20"/>
        <w:szCs w:val="20"/>
      </w:rPr>
      <w:t>KRL_groz</w:t>
    </w:r>
    <w:r w:rsidR="003C2AAC">
      <w:rPr>
        <w:rFonts w:ascii="Times New Roman" w:hAnsi="Times New Roman" w:cs="Times New Roman"/>
        <w:sz w:val="20"/>
        <w:szCs w:val="20"/>
      </w:rPr>
      <w:t xml:space="preserve"> (TA-361)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6973" w14:textId="77777777" w:rsidR="00D70547" w:rsidRDefault="00D70547" w:rsidP="00122468">
      <w:pPr>
        <w:spacing w:after="0" w:line="240" w:lineRule="auto"/>
      </w:pPr>
      <w:r>
        <w:separator/>
      </w:r>
    </w:p>
  </w:footnote>
  <w:footnote w:type="continuationSeparator" w:id="0">
    <w:p w14:paraId="0F698DEA" w14:textId="77777777" w:rsidR="00D70547" w:rsidRDefault="00D70547" w:rsidP="00122468">
      <w:pPr>
        <w:spacing w:after="0" w:line="240" w:lineRule="auto"/>
      </w:pPr>
      <w:r>
        <w:continuationSeparator/>
      </w:r>
    </w:p>
  </w:footnote>
  <w:footnote w:type="continuationNotice" w:id="1">
    <w:p w14:paraId="4C39D357" w14:textId="77777777" w:rsidR="00D70547" w:rsidRDefault="00D70547">
      <w:pPr>
        <w:spacing w:after="0" w:line="240" w:lineRule="auto"/>
      </w:pPr>
    </w:p>
  </w:footnote>
  <w:footnote w:id="2">
    <w:p w14:paraId="1358B032" w14:textId="77777777" w:rsidR="00B87B5F" w:rsidRDefault="00B87B5F" w:rsidP="00B87B5F">
      <w:pPr>
        <w:pStyle w:val="FootnoteText"/>
        <w:rPr>
          <w:rFonts w:ascii="Times New Roman" w:hAnsi="Times New Roman" w:cs="Times New Roman"/>
        </w:rPr>
      </w:pPr>
      <w:r>
        <w:rPr>
          <w:rStyle w:val="FootnoteReference"/>
          <w:sz w:val="18"/>
          <w:szCs w:val="18"/>
        </w:rPr>
        <w:footnoteRef/>
      </w:r>
      <w:r>
        <w:rPr>
          <w:rFonts w:ascii="Times New Roman" w:hAnsi="Times New Roman" w:cs="Times New Roman"/>
          <w:sz w:val="18"/>
          <w:szCs w:val="18"/>
        </w:rPr>
        <w:t xml:space="preserve"> skat. Ministru kabineta 2020. gada 31. marta sēdes protokola Nr. 20 30. paragrāfa 2. punktu</w:t>
      </w:r>
    </w:p>
  </w:footnote>
  <w:footnote w:id="3">
    <w:p w14:paraId="4C6C2FA7" w14:textId="77777777" w:rsidR="00B87B5F" w:rsidRDefault="00B87B5F" w:rsidP="00B87B5F">
      <w:pPr>
        <w:pStyle w:val="FootnoteText"/>
      </w:pPr>
      <w:r>
        <w:rPr>
          <w:rStyle w:val="FootnoteReference"/>
        </w:rPr>
        <w:footnoteRef/>
      </w:r>
      <w:r>
        <w:t xml:space="preserve"> </w:t>
      </w:r>
      <w:r>
        <w:rPr>
          <w:rFonts w:ascii="Times New Roman" w:hAnsi="Times New Roman" w:cs="Times New Roman"/>
          <w:iCs/>
        </w:rPr>
        <w:t xml:space="preserve">Saeimas </w:t>
      </w:r>
      <w:r>
        <w:rPr>
          <w:rFonts w:ascii="Times New Roman" w:hAnsi="Times New Roman" w:cs="Times New Roman"/>
          <w:bCs/>
          <w:iCs/>
        </w:rPr>
        <w:t>Budžeta un finanšu (nodokļu) komisijas 2019. gada 11. septembra sēdes protokols Nr. 76 (Pieejams:</w:t>
      </w:r>
      <w:hyperlink r:id="rId1" w:history="1">
        <w:r>
          <w:rPr>
            <w:rStyle w:val="Hyperlink"/>
            <w:rFonts w:ascii="Times New Roman" w:hAnsi="Times New Roman" w:cs="Times New Roman"/>
          </w:rPr>
          <w:t>http://titania.saeima.lv/livs/saeimasnotikumi.nsf/0/9C20CA1B3F315AFBC225846D00248CFD?OpenDocument&amp;prevCat=13|Bud%C5%BEeta%20un%20finan%C5%A1u%20(nodok%C4%BCu)%20komisija</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896958"/>
      <w:docPartObj>
        <w:docPartGallery w:val="Page Numbers (Top of Page)"/>
        <w:docPartUnique/>
      </w:docPartObj>
    </w:sdtPr>
    <w:sdtEndPr>
      <w:rPr>
        <w:rFonts w:ascii="Times New Roman" w:hAnsi="Times New Roman" w:cs="Times New Roman"/>
        <w:sz w:val="24"/>
        <w:szCs w:val="24"/>
      </w:rPr>
    </w:sdtEndPr>
    <w:sdtContent>
      <w:p w14:paraId="0EE4EDFC" w14:textId="38C140E9" w:rsidR="00892536" w:rsidRPr="00C25CEC" w:rsidRDefault="00892536">
        <w:pPr>
          <w:pStyle w:val="Header"/>
          <w:jc w:val="center"/>
          <w:rPr>
            <w:rFonts w:ascii="Times New Roman" w:hAnsi="Times New Roman" w:cs="Times New Roman"/>
            <w:sz w:val="24"/>
            <w:szCs w:val="24"/>
          </w:rPr>
        </w:pPr>
        <w:r w:rsidRPr="00C25CEC">
          <w:rPr>
            <w:rFonts w:ascii="Times New Roman" w:hAnsi="Times New Roman" w:cs="Times New Roman"/>
            <w:sz w:val="24"/>
            <w:szCs w:val="24"/>
          </w:rPr>
          <w:fldChar w:fldCharType="begin"/>
        </w:r>
        <w:r w:rsidRPr="00C25CEC">
          <w:rPr>
            <w:rFonts w:ascii="Times New Roman" w:hAnsi="Times New Roman" w:cs="Times New Roman"/>
            <w:sz w:val="24"/>
            <w:szCs w:val="24"/>
          </w:rPr>
          <w:instrText>PAGE   \* MERGEFORMAT</w:instrText>
        </w:r>
        <w:r w:rsidRPr="00C25CEC">
          <w:rPr>
            <w:rFonts w:ascii="Times New Roman" w:hAnsi="Times New Roman" w:cs="Times New Roman"/>
            <w:sz w:val="24"/>
            <w:szCs w:val="24"/>
          </w:rPr>
          <w:fldChar w:fldCharType="separate"/>
        </w:r>
        <w:r w:rsidR="005A177D">
          <w:rPr>
            <w:rFonts w:ascii="Times New Roman" w:hAnsi="Times New Roman" w:cs="Times New Roman"/>
            <w:noProof/>
            <w:sz w:val="24"/>
            <w:szCs w:val="24"/>
          </w:rPr>
          <w:t>13</w:t>
        </w:r>
        <w:r w:rsidRPr="00C25CEC">
          <w:rPr>
            <w:rFonts w:ascii="Times New Roman" w:hAnsi="Times New Roman" w:cs="Times New Roman"/>
            <w:sz w:val="24"/>
            <w:szCs w:val="24"/>
          </w:rPr>
          <w:fldChar w:fldCharType="end"/>
        </w:r>
      </w:p>
    </w:sdtContent>
  </w:sdt>
  <w:p w14:paraId="4C555050" w14:textId="77777777" w:rsidR="00892536" w:rsidRDefault="0089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F35A9"/>
    <w:multiLevelType w:val="hybridMultilevel"/>
    <w:tmpl w:val="0A907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multilevel"/>
    <w:tmpl w:val="12CEABFC"/>
    <w:lvl w:ilvl="0">
      <w:start w:val="1"/>
      <w:numFmt w:val="decimal"/>
      <w:lvlText w:val="%1."/>
      <w:lvlJc w:val="left"/>
      <w:pPr>
        <w:ind w:left="360" w:hanging="360"/>
      </w:pPr>
      <w:rPr>
        <w:rFonts w:eastAsiaTheme="minorHAns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71F5A51"/>
    <w:multiLevelType w:val="hybridMultilevel"/>
    <w:tmpl w:val="673846D2"/>
    <w:lvl w:ilvl="0" w:tplc="97CA8BB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C0387D"/>
    <w:multiLevelType w:val="hybridMultilevel"/>
    <w:tmpl w:val="86F4E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9D364F0"/>
    <w:multiLevelType w:val="hybridMultilevel"/>
    <w:tmpl w:val="673846D2"/>
    <w:lvl w:ilvl="0" w:tplc="97CA8BB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AB"/>
    <w:rsid w:val="0000162E"/>
    <w:rsid w:val="00010647"/>
    <w:rsid w:val="000368E6"/>
    <w:rsid w:val="000766AF"/>
    <w:rsid w:val="00095946"/>
    <w:rsid w:val="00096273"/>
    <w:rsid w:val="000A5056"/>
    <w:rsid w:val="000D1DEA"/>
    <w:rsid w:val="000D77F9"/>
    <w:rsid w:val="000E3F0A"/>
    <w:rsid w:val="000F0404"/>
    <w:rsid w:val="000F765D"/>
    <w:rsid w:val="00121C90"/>
    <w:rsid w:val="00122468"/>
    <w:rsid w:val="001239B6"/>
    <w:rsid w:val="00126114"/>
    <w:rsid w:val="00154CB3"/>
    <w:rsid w:val="001701EF"/>
    <w:rsid w:val="001726A0"/>
    <w:rsid w:val="001847A1"/>
    <w:rsid w:val="001A2B9C"/>
    <w:rsid w:val="001A4887"/>
    <w:rsid w:val="001B05C7"/>
    <w:rsid w:val="001B266B"/>
    <w:rsid w:val="001B3E4B"/>
    <w:rsid w:val="001D1A1D"/>
    <w:rsid w:val="001E687E"/>
    <w:rsid w:val="001F6AF8"/>
    <w:rsid w:val="002001DD"/>
    <w:rsid w:val="0021669A"/>
    <w:rsid w:val="002316AE"/>
    <w:rsid w:val="0026605C"/>
    <w:rsid w:val="00292AB6"/>
    <w:rsid w:val="00295BAB"/>
    <w:rsid w:val="002A0622"/>
    <w:rsid w:val="002C7095"/>
    <w:rsid w:val="002E222D"/>
    <w:rsid w:val="002E612C"/>
    <w:rsid w:val="002F4B61"/>
    <w:rsid w:val="0030608F"/>
    <w:rsid w:val="0033570B"/>
    <w:rsid w:val="00362C89"/>
    <w:rsid w:val="00365068"/>
    <w:rsid w:val="003C2AAC"/>
    <w:rsid w:val="003C5E66"/>
    <w:rsid w:val="003C7772"/>
    <w:rsid w:val="003D64B0"/>
    <w:rsid w:val="003E3E79"/>
    <w:rsid w:val="004015CC"/>
    <w:rsid w:val="004017D8"/>
    <w:rsid w:val="0040678A"/>
    <w:rsid w:val="0043216A"/>
    <w:rsid w:val="004323A0"/>
    <w:rsid w:val="004437AB"/>
    <w:rsid w:val="004550D2"/>
    <w:rsid w:val="00460590"/>
    <w:rsid w:val="00475A54"/>
    <w:rsid w:val="0048465E"/>
    <w:rsid w:val="004AAC4A"/>
    <w:rsid w:val="004B2A82"/>
    <w:rsid w:val="004C0967"/>
    <w:rsid w:val="004D41E3"/>
    <w:rsid w:val="004E002D"/>
    <w:rsid w:val="004E0131"/>
    <w:rsid w:val="00513452"/>
    <w:rsid w:val="005255BF"/>
    <w:rsid w:val="00537E92"/>
    <w:rsid w:val="00537F99"/>
    <w:rsid w:val="00540C93"/>
    <w:rsid w:val="0055392D"/>
    <w:rsid w:val="005544FB"/>
    <w:rsid w:val="005545AB"/>
    <w:rsid w:val="00565CE0"/>
    <w:rsid w:val="00597CBB"/>
    <w:rsid w:val="005A177D"/>
    <w:rsid w:val="00620DFD"/>
    <w:rsid w:val="006301C4"/>
    <w:rsid w:val="006344A5"/>
    <w:rsid w:val="00636192"/>
    <w:rsid w:val="006476BA"/>
    <w:rsid w:val="006518DF"/>
    <w:rsid w:val="0066448E"/>
    <w:rsid w:val="00672CF9"/>
    <w:rsid w:val="00677C58"/>
    <w:rsid w:val="00680512"/>
    <w:rsid w:val="006A7503"/>
    <w:rsid w:val="006C42B0"/>
    <w:rsid w:val="006D584A"/>
    <w:rsid w:val="006D62DE"/>
    <w:rsid w:val="006F3E53"/>
    <w:rsid w:val="006F7501"/>
    <w:rsid w:val="00700C61"/>
    <w:rsid w:val="00703023"/>
    <w:rsid w:val="007131B6"/>
    <w:rsid w:val="00731529"/>
    <w:rsid w:val="00735241"/>
    <w:rsid w:val="00762DFE"/>
    <w:rsid w:val="00793147"/>
    <w:rsid w:val="00794408"/>
    <w:rsid w:val="00797523"/>
    <w:rsid w:val="00797E17"/>
    <w:rsid w:val="007A5286"/>
    <w:rsid w:val="007D4D4E"/>
    <w:rsid w:val="007D74B7"/>
    <w:rsid w:val="00807909"/>
    <w:rsid w:val="00811483"/>
    <w:rsid w:val="008114CE"/>
    <w:rsid w:val="008216B8"/>
    <w:rsid w:val="00823108"/>
    <w:rsid w:val="008369E9"/>
    <w:rsid w:val="00852A68"/>
    <w:rsid w:val="00852FEE"/>
    <w:rsid w:val="008668AD"/>
    <w:rsid w:val="00892536"/>
    <w:rsid w:val="008A1FC0"/>
    <w:rsid w:val="008F194A"/>
    <w:rsid w:val="00901584"/>
    <w:rsid w:val="00906783"/>
    <w:rsid w:val="00940E35"/>
    <w:rsid w:val="00943077"/>
    <w:rsid w:val="0095032D"/>
    <w:rsid w:val="009807EA"/>
    <w:rsid w:val="009B0FC0"/>
    <w:rsid w:val="009B1AFA"/>
    <w:rsid w:val="009B4851"/>
    <w:rsid w:val="009C6426"/>
    <w:rsid w:val="009C7277"/>
    <w:rsid w:val="009E61B1"/>
    <w:rsid w:val="00A02071"/>
    <w:rsid w:val="00A1676E"/>
    <w:rsid w:val="00A31760"/>
    <w:rsid w:val="00A4441D"/>
    <w:rsid w:val="00A4587C"/>
    <w:rsid w:val="00A50680"/>
    <w:rsid w:val="00A625B5"/>
    <w:rsid w:val="00A7370D"/>
    <w:rsid w:val="00A82429"/>
    <w:rsid w:val="00AA07DE"/>
    <w:rsid w:val="00AA0FE7"/>
    <w:rsid w:val="00AB4BCF"/>
    <w:rsid w:val="00AC324D"/>
    <w:rsid w:val="00AC7BA0"/>
    <w:rsid w:val="00AD05B4"/>
    <w:rsid w:val="00AD20B4"/>
    <w:rsid w:val="00AD5B23"/>
    <w:rsid w:val="00AD7C40"/>
    <w:rsid w:val="00AF1103"/>
    <w:rsid w:val="00AF278C"/>
    <w:rsid w:val="00AF453A"/>
    <w:rsid w:val="00B037E2"/>
    <w:rsid w:val="00B059E6"/>
    <w:rsid w:val="00B21C4C"/>
    <w:rsid w:val="00B3397A"/>
    <w:rsid w:val="00B62DAB"/>
    <w:rsid w:val="00B64DAB"/>
    <w:rsid w:val="00B72DE0"/>
    <w:rsid w:val="00B740FE"/>
    <w:rsid w:val="00B77495"/>
    <w:rsid w:val="00B77C97"/>
    <w:rsid w:val="00B83F2C"/>
    <w:rsid w:val="00B857EF"/>
    <w:rsid w:val="00B87B5F"/>
    <w:rsid w:val="00B972DD"/>
    <w:rsid w:val="00BB0A33"/>
    <w:rsid w:val="00BB7C59"/>
    <w:rsid w:val="00BE641A"/>
    <w:rsid w:val="00BE6E30"/>
    <w:rsid w:val="00BF79B0"/>
    <w:rsid w:val="00C01D2B"/>
    <w:rsid w:val="00C1688B"/>
    <w:rsid w:val="00C25CEC"/>
    <w:rsid w:val="00C33CF1"/>
    <w:rsid w:val="00C33E4E"/>
    <w:rsid w:val="00C37049"/>
    <w:rsid w:val="00C55717"/>
    <w:rsid w:val="00C74F69"/>
    <w:rsid w:val="00C754C0"/>
    <w:rsid w:val="00C91FA5"/>
    <w:rsid w:val="00C94BF3"/>
    <w:rsid w:val="00CD0188"/>
    <w:rsid w:val="00CD1A23"/>
    <w:rsid w:val="00CF68C7"/>
    <w:rsid w:val="00CF6BE8"/>
    <w:rsid w:val="00D520F2"/>
    <w:rsid w:val="00D600D3"/>
    <w:rsid w:val="00D70547"/>
    <w:rsid w:val="00D72F8E"/>
    <w:rsid w:val="00D736F0"/>
    <w:rsid w:val="00D81548"/>
    <w:rsid w:val="00D93E52"/>
    <w:rsid w:val="00D940E9"/>
    <w:rsid w:val="00DB6211"/>
    <w:rsid w:val="00DC13C4"/>
    <w:rsid w:val="00DD04C2"/>
    <w:rsid w:val="00DD14F6"/>
    <w:rsid w:val="00DD2D7C"/>
    <w:rsid w:val="00DE249C"/>
    <w:rsid w:val="00E134BC"/>
    <w:rsid w:val="00E14966"/>
    <w:rsid w:val="00E17EAB"/>
    <w:rsid w:val="00E36508"/>
    <w:rsid w:val="00E413F2"/>
    <w:rsid w:val="00E51671"/>
    <w:rsid w:val="00E73320"/>
    <w:rsid w:val="00E73A7A"/>
    <w:rsid w:val="00EA32DD"/>
    <w:rsid w:val="00ED6AFE"/>
    <w:rsid w:val="00F025DF"/>
    <w:rsid w:val="00F050E9"/>
    <w:rsid w:val="00F11260"/>
    <w:rsid w:val="00F2257A"/>
    <w:rsid w:val="00F45F99"/>
    <w:rsid w:val="00F52095"/>
    <w:rsid w:val="00F633FD"/>
    <w:rsid w:val="00F704A8"/>
    <w:rsid w:val="00F90343"/>
    <w:rsid w:val="00F94F72"/>
    <w:rsid w:val="00FB0A55"/>
    <w:rsid w:val="00FB1A09"/>
    <w:rsid w:val="00FB2B85"/>
    <w:rsid w:val="00FD4D0A"/>
    <w:rsid w:val="00FE1F04"/>
    <w:rsid w:val="00FF4067"/>
    <w:rsid w:val="024CEC52"/>
    <w:rsid w:val="02DFC0BF"/>
    <w:rsid w:val="04EA922A"/>
    <w:rsid w:val="0523009B"/>
    <w:rsid w:val="062CE0C4"/>
    <w:rsid w:val="079DC0F4"/>
    <w:rsid w:val="07DAC34B"/>
    <w:rsid w:val="0ABB3AB2"/>
    <w:rsid w:val="0AC61C5B"/>
    <w:rsid w:val="0B130985"/>
    <w:rsid w:val="0BB0FEAE"/>
    <w:rsid w:val="0EB74C00"/>
    <w:rsid w:val="0ED07C3B"/>
    <w:rsid w:val="0EF6FDF7"/>
    <w:rsid w:val="0FE97EC0"/>
    <w:rsid w:val="10212380"/>
    <w:rsid w:val="102C4C03"/>
    <w:rsid w:val="10399C10"/>
    <w:rsid w:val="1061E47C"/>
    <w:rsid w:val="107DC40F"/>
    <w:rsid w:val="10F6D450"/>
    <w:rsid w:val="112A1CDE"/>
    <w:rsid w:val="1174DAE7"/>
    <w:rsid w:val="11E14ADA"/>
    <w:rsid w:val="11EC3A7F"/>
    <w:rsid w:val="128E8394"/>
    <w:rsid w:val="13295A03"/>
    <w:rsid w:val="13EB3A74"/>
    <w:rsid w:val="1439AD68"/>
    <w:rsid w:val="1616D28E"/>
    <w:rsid w:val="161BF458"/>
    <w:rsid w:val="17AD07A2"/>
    <w:rsid w:val="1819B8E7"/>
    <w:rsid w:val="18310253"/>
    <w:rsid w:val="194690BE"/>
    <w:rsid w:val="1A6C7A6E"/>
    <w:rsid w:val="1C3DE0A4"/>
    <w:rsid w:val="1C9FD43B"/>
    <w:rsid w:val="1D26C1FF"/>
    <w:rsid w:val="1DBEE99F"/>
    <w:rsid w:val="1E15F425"/>
    <w:rsid w:val="1E870933"/>
    <w:rsid w:val="1EA1D787"/>
    <w:rsid w:val="1F57C2BA"/>
    <w:rsid w:val="201D736E"/>
    <w:rsid w:val="2026ECA6"/>
    <w:rsid w:val="2054A27C"/>
    <w:rsid w:val="2370EFD2"/>
    <w:rsid w:val="245DB04B"/>
    <w:rsid w:val="2481298E"/>
    <w:rsid w:val="248EB7B4"/>
    <w:rsid w:val="2584164B"/>
    <w:rsid w:val="26661976"/>
    <w:rsid w:val="282DF4D5"/>
    <w:rsid w:val="29FA9AA1"/>
    <w:rsid w:val="2B5E56AC"/>
    <w:rsid w:val="2BC19E25"/>
    <w:rsid w:val="2C81C34F"/>
    <w:rsid w:val="2D88FF78"/>
    <w:rsid w:val="2E08005C"/>
    <w:rsid w:val="2E11E14C"/>
    <w:rsid w:val="2EE8E532"/>
    <w:rsid w:val="2FE80FAA"/>
    <w:rsid w:val="310D95E3"/>
    <w:rsid w:val="3185F2B0"/>
    <w:rsid w:val="3295EC91"/>
    <w:rsid w:val="32EE0378"/>
    <w:rsid w:val="34125DFE"/>
    <w:rsid w:val="37C28E6F"/>
    <w:rsid w:val="37FA0D60"/>
    <w:rsid w:val="399B8C3C"/>
    <w:rsid w:val="39B2B095"/>
    <w:rsid w:val="39D96716"/>
    <w:rsid w:val="3A750807"/>
    <w:rsid w:val="3C1CECE3"/>
    <w:rsid w:val="3DF9B622"/>
    <w:rsid w:val="3E0F25F8"/>
    <w:rsid w:val="3E320D5C"/>
    <w:rsid w:val="3F5915B2"/>
    <w:rsid w:val="4020074C"/>
    <w:rsid w:val="40C19F60"/>
    <w:rsid w:val="40FE3310"/>
    <w:rsid w:val="41612A34"/>
    <w:rsid w:val="419915EC"/>
    <w:rsid w:val="41E94B67"/>
    <w:rsid w:val="42C31587"/>
    <w:rsid w:val="436C72B0"/>
    <w:rsid w:val="4419416F"/>
    <w:rsid w:val="4428AB89"/>
    <w:rsid w:val="44E84742"/>
    <w:rsid w:val="45B3F58D"/>
    <w:rsid w:val="4746FB35"/>
    <w:rsid w:val="47614D05"/>
    <w:rsid w:val="47AD7F52"/>
    <w:rsid w:val="48F3866A"/>
    <w:rsid w:val="49350D97"/>
    <w:rsid w:val="49EB534B"/>
    <w:rsid w:val="4A9580ED"/>
    <w:rsid w:val="4A99E47E"/>
    <w:rsid w:val="4AB5E02B"/>
    <w:rsid w:val="4B310778"/>
    <w:rsid w:val="4BA0510B"/>
    <w:rsid w:val="4CEB00C1"/>
    <w:rsid w:val="4E512E52"/>
    <w:rsid w:val="4FA026FC"/>
    <w:rsid w:val="5059B240"/>
    <w:rsid w:val="524EFA56"/>
    <w:rsid w:val="524F5EB6"/>
    <w:rsid w:val="52CB882C"/>
    <w:rsid w:val="540BBF28"/>
    <w:rsid w:val="55660644"/>
    <w:rsid w:val="563B3BDF"/>
    <w:rsid w:val="57651CC7"/>
    <w:rsid w:val="583E9D66"/>
    <w:rsid w:val="5886918F"/>
    <w:rsid w:val="5AB9192F"/>
    <w:rsid w:val="5AEF163E"/>
    <w:rsid w:val="5B8156F9"/>
    <w:rsid w:val="5D08C2B4"/>
    <w:rsid w:val="5EA175A1"/>
    <w:rsid w:val="608F9677"/>
    <w:rsid w:val="60921F94"/>
    <w:rsid w:val="6158EEEA"/>
    <w:rsid w:val="62531C7E"/>
    <w:rsid w:val="63CB545C"/>
    <w:rsid w:val="646A7C8B"/>
    <w:rsid w:val="6560B7A2"/>
    <w:rsid w:val="66255379"/>
    <w:rsid w:val="66E8823D"/>
    <w:rsid w:val="66F37DE2"/>
    <w:rsid w:val="68B0F96C"/>
    <w:rsid w:val="69C3A617"/>
    <w:rsid w:val="6C3B0568"/>
    <w:rsid w:val="6E94404D"/>
    <w:rsid w:val="6FF14066"/>
    <w:rsid w:val="70D6177C"/>
    <w:rsid w:val="715C0F30"/>
    <w:rsid w:val="7165588B"/>
    <w:rsid w:val="71CDBD89"/>
    <w:rsid w:val="729A99E2"/>
    <w:rsid w:val="734DA81E"/>
    <w:rsid w:val="74C9ABED"/>
    <w:rsid w:val="7534D22C"/>
    <w:rsid w:val="759890EF"/>
    <w:rsid w:val="75B8D2A6"/>
    <w:rsid w:val="76A82F91"/>
    <w:rsid w:val="7837A084"/>
    <w:rsid w:val="78D11C2C"/>
    <w:rsid w:val="79F4E8FF"/>
    <w:rsid w:val="7C2C3B2F"/>
    <w:rsid w:val="7D590439"/>
    <w:rsid w:val="7E01E69E"/>
    <w:rsid w:val="7E10494C"/>
    <w:rsid w:val="7EA70D7D"/>
    <w:rsid w:val="7EDE1958"/>
    <w:rsid w:val="7F260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B7ABB3"/>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customStyle="1" w:styleId="naiskr">
    <w:name w:val="naiskr"/>
    <w:basedOn w:val="Normal"/>
    <w:rsid w:val="004017D8"/>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22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468"/>
  </w:style>
  <w:style w:type="paragraph" w:styleId="Footer">
    <w:name w:val="footer"/>
    <w:basedOn w:val="Normal"/>
    <w:link w:val="FooterChar"/>
    <w:uiPriority w:val="99"/>
    <w:unhideWhenUsed/>
    <w:rsid w:val="00122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468"/>
  </w:style>
  <w:style w:type="character" w:customStyle="1" w:styleId="normaltextrun">
    <w:name w:val="normaltextrun"/>
    <w:basedOn w:val="DefaultParagraphFont"/>
    <w:rsid w:val="007A5286"/>
  </w:style>
  <w:style w:type="paragraph" w:customStyle="1" w:styleId="Teksts1">
    <w:name w:val="Teksts1"/>
    <w:basedOn w:val="Normal"/>
    <w:link w:val="Teksts1Char"/>
    <w:rsid w:val="00E413F2"/>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link w:val="Teksts1"/>
    <w:rsid w:val="00E413F2"/>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11260"/>
    <w:pPr>
      <w:spacing w:after="0" w:line="240" w:lineRule="auto"/>
    </w:pPr>
    <w:rPr>
      <w:sz w:val="20"/>
      <w:szCs w:val="20"/>
    </w:rPr>
  </w:style>
  <w:style w:type="character" w:customStyle="1" w:styleId="FootnoteTextChar">
    <w:name w:val="Footnote Text Char"/>
    <w:basedOn w:val="DefaultParagraphFont"/>
    <w:link w:val="FootnoteText"/>
    <w:uiPriority w:val="99"/>
    <w:rsid w:val="00F11260"/>
    <w:rPr>
      <w:sz w:val="20"/>
      <w:szCs w:val="20"/>
    </w:rPr>
  </w:style>
  <w:style w:type="character" w:styleId="FootnoteReference">
    <w:name w:val="footnote reference"/>
    <w:basedOn w:val="DefaultParagraphFont"/>
    <w:uiPriority w:val="99"/>
    <w:semiHidden/>
    <w:unhideWhenUsed/>
    <w:rsid w:val="00F11260"/>
    <w:rPr>
      <w:vertAlign w:val="superscript"/>
    </w:rPr>
  </w:style>
  <w:style w:type="character" w:styleId="UnresolvedMention">
    <w:name w:val="Unresolved Mention"/>
    <w:basedOn w:val="DefaultParagraphFont"/>
    <w:uiPriority w:val="99"/>
    <w:semiHidden/>
    <w:unhideWhenUsed/>
    <w:rsid w:val="00A50680"/>
    <w:rPr>
      <w:color w:val="605E5C"/>
      <w:shd w:val="clear" w:color="auto" w:fill="E1DFDD"/>
    </w:rPr>
  </w:style>
  <w:style w:type="paragraph" w:customStyle="1" w:styleId="Body">
    <w:name w:val="Body"/>
    <w:rsid w:val="003C2AAC"/>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570516">
      <w:bodyDiv w:val="1"/>
      <w:marLeft w:val="0"/>
      <w:marRight w:val="0"/>
      <w:marTop w:val="0"/>
      <w:marBottom w:val="0"/>
      <w:divBdr>
        <w:top w:val="none" w:sz="0" w:space="0" w:color="auto"/>
        <w:left w:val="none" w:sz="0" w:space="0" w:color="auto"/>
        <w:bottom w:val="none" w:sz="0" w:space="0" w:color="auto"/>
        <w:right w:val="none" w:sz="0" w:space="0" w:color="auto"/>
      </w:divBdr>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498161345">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600643245">
      <w:bodyDiv w:val="1"/>
      <w:marLeft w:val="0"/>
      <w:marRight w:val="0"/>
      <w:marTop w:val="0"/>
      <w:marBottom w:val="0"/>
      <w:divBdr>
        <w:top w:val="none" w:sz="0" w:space="0" w:color="auto"/>
        <w:left w:val="none" w:sz="0" w:space="0" w:color="auto"/>
        <w:bottom w:val="none" w:sz="0" w:space="0" w:color="auto"/>
        <w:right w:val="none" w:sz="0" w:space="0" w:color="auto"/>
      </w:divBdr>
      <w:divsChild>
        <w:div w:id="1706561494">
          <w:marLeft w:val="0"/>
          <w:marRight w:val="0"/>
          <w:marTop w:val="0"/>
          <w:marBottom w:val="0"/>
          <w:divBdr>
            <w:top w:val="none" w:sz="0" w:space="0" w:color="auto"/>
            <w:left w:val="none" w:sz="0" w:space="0" w:color="auto"/>
            <w:bottom w:val="none" w:sz="0" w:space="0" w:color="auto"/>
            <w:right w:val="none" w:sz="0" w:space="0" w:color="auto"/>
          </w:divBdr>
        </w:div>
        <w:div w:id="210463867">
          <w:marLeft w:val="0"/>
          <w:marRight w:val="0"/>
          <w:marTop w:val="0"/>
          <w:marBottom w:val="0"/>
          <w:divBdr>
            <w:top w:val="none" w:sz="0" w:space="0" w:color="auto"/>
            <w:left w:val="none" w:sz="0" w:space="0" w:color="auto"/>
            <w:bottom w:val="none" w:sz="0" w:space="0" w:color="auto"/>
            <w:right w:val="none" w:sz="0" w:space="0" w:color="auto"/>
          </w:divBdr>
        </w:div>
        <w:div w:id="1386179162">
          <w:marLeft w:val="0"/>
          <w:marRight w:val="0"/>
          <w:marTop w:val="0"/>
          <w:marBottom w:val="0"/>
          <w:divBdr>
            <w:top w:val="none" w:sz="0" w:space="0" w:color="auto"/>
            <w:left w:val="none" w:sz="0" w:space="0" w:color="auto"/>
            <w:bottom w:val="none" w:sz="0" w:space="0" w:color="auto"/>
            <w:right w:val="none" w:sz="0" w:space="0" w:color="auto"/>
          </w:divBdr>
        </w:div>
        <w:div w:id="802432207">
          <w:marLeft w:val="0"/>
          <w:marRight w:val="0"/>
          <w:marTop w:val="0"/>
          <w:marBottom w:val="0"/>
          <w:divBdr>
            <w:top w:val="none" w:sz="0" w:space="0" w:color="auto"/>
            <w:left w:val="none" w:sz="0" w:space="0" w:color="auto"/>
            <w:bottom w:val="none" w:sz="0" w:space="0" w:color="auto"/>
            <w:right w:val="none" w:sz="0" w:space="0" w:color="auto"/>
          </w:divBdr>
        </w:div>
        <w:div w:id="682513740">
          <w:marLeft w:val="0"/>
          <w:marRight w:val="0"/>
          <w:marTop w:val="0"/>
          <w:marBottom w:val="0"/>
          <w:divBdr>
            <w:top w:val="none" w:sz="0" w:space="0" w:color="auto"/>
            <w:left w:val="none" w:sz="0" w:space="0" w:color="auto"/>
            <w:bottom w:val="none" w:sz="0" w:space="0" w:color="auto"/>
            <w:right w:val="none" w:sz="0" w:space="0" w:color="auto"/>
          </w:divBdr>
        </w:div>
        <w:div w:id="1437365148">
          <w:marLeft w:val="0"/>
          <w:marRight w:val="0"/>
          <w:marTop w:val="0"/>
          <w:marBottom w:val="0"/>
          <w:divBdr>
            <w:top w:val="none" w:sz="0" w:space="0" w:color="auto"/>
            <w:left w:val="none" w:sz="0" w:space="0" w:color="auto"/>
            <w:bottom w:val="none" w:sz="0" w:space="0" w:color="auto"/>
            <w:right w:val="none" w:sz="0" w:space="0" w:color="auto"/>
          </w:divBdr>
        </w:div>
        <w:div w:id="1537691614">
          <w:marLeft w:val="0"/>
          <w:marRight w:val="0"/>
          <w:marTop w:val="0"/>
          <w:marBottom w:val="0"/>
          <w:divBdr>
            <w:top w:val="none" w:sz="0" w:space="0" w:color="auto"/>
            <w:left w:val="none" w:sz="0" w:space="0" w:color="auto"/>
            <w:bottom w:val="none" w:sz="0" w:space="0" w:color="auto"/>
            <w:right w:val="none" w:sz="0" w:space="0" w:color="auto"/>
          </w:divBdr>
        </w:div>
        <w:div w:id="657927769">
          <w:marLeft w:val="0"/>
          <w:marRight w:val="0"/>
          <w:marTop w:val="0"/>
          <w:marBottom w:val="0"/>
          <w:divBdr>
            <w:top w:val="none" w:sz="0" w:space="0" w:color="auto"/>
            <w:left w:val="none" w:sz="0" w:space="0" w:color="auto"/>
            <w:bottom w:val="none" w:sz="0" w:space="0" w:color="auto"/>
            <w:right w:val="none" w:sz="0" w:space="0" w:color="auto"/>
          </w:divBdr>
        </w:div>
      </w:divsChild>
    </w:div>
    <w:div w:id="1222014885">
      <w:bodyDiv w:val="1"/>
      <w:marLeft w:val="0"/>
      <w:marRight w:val="0"/>
      <w:marTop w:val="0"/>
      <w:marBottom w:val="0"/>
      <w:divBdr>
        <w:top w:val="none" w:sz="0" w:space="0" w:color="auto"/>
        <w:left w:val="none" w:sz="0" w:space="0" w:color="auto"/>
        <w:bottom w:val="none" w:sz="0" w:space="0" w:color="auto"/>
        <w:right w:val="none" w:sz="0" w:space="0" w:color="auto"/>
      </w:divBdr>
    </w:div>
    <w:div w:id="16648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08E48-E211-48CE-AE23-20B26768E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5CBD-FCA6-4B94-8D08-4C4601D15005}">
  <ds:schemaRefs>
    <ds:schemaRef ds:uri="http://schemas.microsoft.com/sharepoint/v3/contenttype/forms"/>
  </ds:schemaRefs>
</ds:datastoreItem>
</file>

<file path=customXml/itemProps3.xml><?xml version="1.0" encoding="utf-8"?>
<ds:datastoreItem xmlns:ds="http://schemas.openxmlformats.org/officeDocument/2006/customXml" ds:itemID="{B1AFF89F-9DA6-4322-9C1A-03AC304D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26260</Words>
  <Characters>14969</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Kredītu reģistra likumā" sākotnējās ietekmesnovērtējuma ziņojums (anotācija)</vt:lpstr>
      <vt:lpstr>Likumprojekta "Grozījumi Kredītu reģistra likumā" sākotnējās ietekmesnovērtējuma ziņojums (anotācija)</vt:lpstr>
    </vt:vector>
  </TitlesOfParts>
  <Company>Latvijas Banka</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Kredītu reģistra likumā" sākotnējās ietekmesnovērtējuma ziņojums (anotācija)</dc:title>
  <dc:subject>anotācija</dc:subject>
  <dc:creator>Viktors.Veips@bank.lv</dc:creator>
  <cp:keywords>Anotācija</cp:keywords>
  <dc:description>Veips, 67022306, viktors.veips@bank.lv</dc:description>
  <cp:lastModifiedBy>Sandra Rocēna</cp:lastModifiedBy>
  <cp:revision>6</cp:revision>
  <dcterms:created xsi:type="dcterms:W3CDTF">2021-02-11T12:22:00Z</dcterms:created>
  <dcterms:modified xsi:type="dcterms:W3CDTF">2021-03-10T10:29:00Z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