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A4BFD" w14:textId="65C82988" w:rsidR="0084558D" w:rsidRPr="00C21CD0" w:rsidRDefault="00EE1BB5" w:rsidP="0084558D">
      <w:pPr>
        <w:tabs>
          <w:tab w:val="left" w:pos="7371"/>
        </w:tabs>
        <w:jc w:val="center"/>
        <w:rPr>
          <w:b/>
        </w:rPr>
      </w:pPr>
      <w:r>
        <w:rPr>
          <w:b/>
          <w:sz w:val="28"/>
          <w:szCs w:val="28"/>
        </w:rPr>
        <w:t xml:space="preserve">Ministru kabineta noteikumu projekta </w:t>
      </w:r>
      <w:r w:rsidR="0084558D">
        <w:rPr>
          <w:b/>
          <w:sz w:val="28"/>
          <w:szCs w:val="28"/>
        </w:rPr>
        <w:t>“</w:t>
      </w:r>
      <w:r w:rsidR="00F73619" w:rsidRPr="00F73619">
        <w:rPr>
          <w:b/>
          <w:sz w:val="28"/>
          <w:szCs w:val="28"/>
        </w:rPr>
        <w:t>Grozījum</w:t>
      </w:r>
      <w:r w:rsidR="00DC475C">
        <w:rPr>
          <w:b/>
          <w:sz w:val="28"/>
          <w:szCs w:val="28"/>
        </w:rPr>
        <w:t>s</w:t>
      </w:r>
      <w:r w:rsidR="00F73619" w:rsidRPr="00F73619">
        <w:rPr>
          <w:b/>
          <w:sz w:val="28"/>
          <w:szCs w:val="28"/>
        </w:rPr>
        <w:t xml:space="preserve"> Ministru kabineta 2014.gada 16.septembra noteikumos Nr.549 “Ēnu ekonomikas apkarošanas padomes nolikums”</w:t>
      </w:r>
      <w:r w:rsidR="0084558D" w:rsidRPr="00C21CD0">
        <w:rPr>
          <w:b/>
          <w:sz w:val="28"/>
          <w:szCs w:val="28"/>
        </w:rPr>
        <w:t>” sākotnējās ietekmes novērtējuma ziņojums (anotācija)</w:t>
      </w:r>
    </w:p>
    <w:p w14:paraId="01B21051" w14:textId="77777777" w:rsidR="00BD5588" w:rsidRPr="00AA34A8" w:rsidRDefault="00BD5588" w:rsidP="00BD5588">
      <w:pPr>
        <w:pStyle w:val="Title"/>
        <w:spacing w:before="130" w:line="260" w:lineRule="exact"/>
        <w:ind w:firstLine="539"/>
        <w:jc w:val="both"/>
        <w:rPr>
          <w:sz w:val="22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2"/>
        <w:gridCol w:w="5809"/>
      </w:tblGrid>
      <w:tr w:rsidR="00BD5588" w:rsidRPr="0084558D" w14:paraId="5BA953D6" w14:textId="77777777" w:rsidTr="009E0502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27289A04" w14:textId="77777777" w:rsidR="00BD5588" w:rsidRPr="0084558D" w:rsidRDefault="00BD5588" w:rsidP="009E0502">
            <w:pPr>
              <w:jc w:val="center"/>
              <w:rPr>
                <w:b/>
                <w:iCs/>
                <w:lang w:eastAsia="en-US"/>
              </w:rPr>
            </w:pPr>
            <w:r w:rsidRPr="0084558D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7141B5" w:rsidRPr="0084558D" w14:paraId="60615733" w14:textId="77777777" w:rsidTr="009E0502">
        <w:trPr>
          <w:cantSplit/>
        </w:trPr>
        <w:tc>
          <w:tcPr>
            <w:tcW w:w="3430" w:type="dxa"/>
            <w:shd w:val="clear" w:color="auto" w:fill="FFFFFF"/>
            <w:hideMark/>
          </w:tcPr>
          <w:p w14:paraId="0A02150F" w14:textId="77777777" w:rsidR="00BD5588" w:rsidRPr="0084558D" w:rsidRDefault="00BD5588" w:rsidP="009E0502">
            <w:pPr>
              <w:rPr>
                <w:iCs/>
                <w:lang w:eastAsia="en-US"/>
              </w:rPr>
            </w:pPr>
            <w:r w:rsidRPr="0084558D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14:paraId="499B9482" w14:textId="77777777" w:rsidR="00711DB4" w:rsidRPr="00711DB4" w:rsidRDefault="00711DB4" w:rsidP="00711DB4">
            <w:pPr>
              <w:ind w:right="110"/>
              <w:jc w:val="both"/>
              <w:rPr>
                <w:iCs/>
                <w:lang w:eastAsia="en-US"/>
              </w:rPr>
            </w:pPr>
            <w:r w:rsidRPr="00711DB4">
              <w:rPr>
                <w:iCs/>
                <w:lang w:eastAsia="en-US"/>
              </w:rPr>
              <w:t xml:space="preserve">Ministru kabineta noteikumu projekta “Grozījums Ministru kabineta 2014.gada 16.septembra noteikumos Nr.549 “Ēnu ekonomikas apkarošanas padomes nolikums”” (turpmāk – noteikumu projekts) mērķis ir pagarināt Ēnu ekonomikas apkarošanas padomes (turpmāk – padome) darbību, lai turpinātu institūciju darbību koordināciju un uzraudzību ēnu ekonomikas apkarošanas jomā. </w:t>
            </w:r>
          </w:p>
          <w:p w14:paraId="709D1C23" w14:textId="77777777" w:rsidR="00711DB4" w:rsidRPr="00711DB4" w:rsidRDefault="00711DB4" w:rsidP="00711DB4">
            <w:pPr>
              <w:ind w:right="110"/>
              <w:jc w:val="both"/>
              <w:rPr>
                <w:iCs/>
                <w:lang w:eastAsia="en-US"/>
              </w:rPr>
            </w:pPr>
            <w:r w:rsidRPr="00711DB4">
              <w:rPr>
                <w:iCs/>
                <w:lang w:eastAsia="en-US"/>
              </w:rPr>
              <w:t>Lai nodrošinātu noteikumu spēkā esamību un padomes darbības nepārtrauktību, tiem jāstājas spēkā līdz 2020.gada 30.decembrim.</w:t>
            </w:r>
          </w:p>
          <w:p w14:paraId="366BCB41" w14:textId="564D4D8B" w:rsidR="007141B5" w:rsidRPr="0084558D" w:rsidRDefault="00711DB4" w:rsidP="00711DB4">
            <w:pPr>
              <w:ind w:right="110"/>
              <w:jc w:val="both"/>
              <w:rPr>
                <w:iCs/>
                <w:lang w:eastAsia="en-US"/>
              </w:rPr>
            </w:pPr>
            <w:r w:rsidRPr="00711DB4">
              <w:rPr>
                <w:iCs/>
                <w:lang w:eastAsia="en-US"/>
              </w:rPr>
              <w:t>Noteikumu projekts stājas spēkā nākamajā dienā pēc to izsludināšanas – publicēšanas.</w:t>
            </w:r>
          </w:p>
        </w:tc>
      </w:tr>
    </w:tbl>
    <w:p w14:paraId="5CA058F2" w14:textId="77777777" w:rsidR="00BF74EB" w:rsidRPr="00AA34A8" w:rsidRDefault="00BF74EB" w:rsidP="00BD5588">
      <w:pPr>
        <w:pStyle w:val="Title"/>
        <w:spacing w:before="130" w:line="260" w:lineRule="exact"/>
        <w:ind w:firstLine="539"/>
        <w:jc w:val="both"/>
        <w:rPr>
          <w:sz w:val="22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BD5588" w:rsidRPr="0084558D" w14:paraId="1635ADE5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428FD2BF" w14:textId="3B185EB3" w:rsidR="00BD5588" w:rsidRPr="00F03076" w:rsidRDefault="00BD5588" w:rsidP="00E5262D">
            <w:pPr>
              <w:jc w:val="center"/>
            </w:pPr>
            <w:r w:rsidRPr="0084558D">
              <w:rPr>
                <w:b/>
                <w:bCs/>
              </w:rPr>
              <w:t>I. Tiesību akta projekta izstrādes nepieciešamība</w:t>
            </w:r>
          </w:p>
        </w:tc>
      </w:tr>
      <w:tr w:rsidR="00BD5588" w:rsidRPr="0084558D" w14:paraId="0ECF7290" w14:textId="77777777" w:rsidTr="00BF74EB">
        <w:trPr>
          <w:cantSplit/>
        </w:trPr>
        <w:tc>
          <w:tcPr>
            <w:tcW w:w="311" w:type="pct"/>
            <w:hideMark/>
          </w:tcPr>
          <w:p w14:paraId="1656FF94" w14:textId="7EA15A67" w:rsidR="00BD5588" w:rsidRPr="00146CCB" w:rsidRDefault="00BD5588" w:rsidP="00BF74EB">
            <w:pPr>
              <w:jc w:val="center"/>
            </w:pPr>
            <w:r w:rsidRPr="0084558D">
              <w:t>1.</w:t>
            </w:r>
          </w:p>
        </w:tc>
        <w:tc>
          <w:tcPr>
            <w:tcW w:w="1479" w:type="pct"/>
            <w:hideMark/>
          </w:tcPr>
          <w:p w14:paraId="3A8C7AD8" w14:textId="30BD99A4" w:rsidR="00BD5588" w:rsidRPr="00F03076" w:rsidRDefault="00BD5588" w:rsidP="00E5262D">
            <w:r w:rsidRPr="0084558D">
              <w:t>Pamatojums</w:t>
            </w:r>
          </w:p>
        </w:tc>
        <w:tc>
          <w:tcPr>
            <w:tcW w:w="3210" w:type="pct"/>
          </w:tcPr>
          <w:p w14:paraId="31330EE7" w14:textId="7D9BECF6" w:rsidR="009855CF" w:rsidRPr="0084558D" w:rsidRDefault="00955C90" w:rsidP="00DC475C">
            <w:pPr>
              <w:ind w:right="110"/>
              <w:jc w:val="both"/>
            </w:pPr>
            <w:r>
              <w:t>Ministru kabineta 2019.gada 7.maija rīkojuma Nr.210 “Par Valdības rīcības plānu Deklarācijas par Artura Krišjāņa Kariņa vadītā Ministru kabineta iecerēto darbību īstenošanai” 12.2.</w:t>
            </w:r>
            <w:r w:rsidR="00DC475C">
              <w:t>apakš</w:t>
            </w:r>
            <w:r>
              <w:t>punkts paredz t</w:t>
            </w:r>
            <w:r w:rsidRPr="00A02350">
              <w:t>urpinā</w:t>
            </w:r>
            <w:r>
              <w:t>t</w:t>
            </w:r>
            <w:r w:rsidRPr="00A02350">
              <w:t xml:space="preserve"> īstenot pasākumus ēnu ekonomikas ierobežošanai, prioritāri īstenojot pasākumus nodokļu samaksas uzlabošanai un godīgas konkurences veicināšanai tautsaimniecības nozarēs ar augstāko ēnu ekonomikas risku, lai sekmētu ekonomisko izaugsmi tautsaimniecībā kopumā.</w:t>
            </w:r>
            <w:r>
              <w:t xml:space="preserve"> </w:t>
            </w:r>
            <w:r w:rsidR="006B0DEB">
              <w:t xml:space="preserve">Lai īstenotu pasākumu, ir nepieciešama </w:t>
            </w:r>
            <w:r w:rsidR="006B0DEB" w:rsidRPr="006B0DEB">
              <w:t xml:space="preserve">Valsts iestāžu darba plāna ēnu ekonomikas ierobežošanai 2016.-2020. gadam </w:t>
            </w:r>
            <w:r w:rsidR="006B0DEB">
              <w:t>(turpmāk – plāns) uzdevumu</w:t>
            </w:r>
            <w:r w:rsidR="006B0DEB" w:rsidRPr="006B0DEB">
              <w:t xml:space="preserve"> izpildē iesaistīt</w:t>
            </w:r>
            <w:r w:rsidR="006B0DEB">
              <w:t xml:space="preserve">o institūciju savstarpējā sadarbība, it īpaši ņemot vērā Finanšu ministrijas vīziju </w:t>
            </w:r>
            <w:r w:rsidR="00DC475C">
              <w:t>p</w:t>
            </w:r>
            <w:r w:rsidR="006B0DEB" w:rsidRPr="00CA012A">
              <w:t>lāna</w:t>
            </w:r>
            <w:r w:rsidR="006B0DEB">
              <w:t xml:space="preserve"> izstrādei </w:t>
            </w:r>
            <w:r w:rsidR="006B0DEB" w:rsidRPr="00CA012A">
              <w:t>nākamajam periodam</w:t>
            </w:r>
            <w:r w:rsidR="006B0DEB">
              <w:t xml:space="preserve"> – 2</w:t>
            </w:r>
            <w:r w:rsidR="006B0DEB" w:rsidRPr="00CA012A">
              <w:t>021</w:t>
            </w:r>
            <w:r w:rsidR="006B0DEB">
              <w:t>.</w:t>
            </w:r>
            <w:r w:rsidR="006B0DEB" w:rsidRPr="00CA012A">
              <w:t> – 2025.</w:t>
            </w:r>
            <w:r w:rsidR="006B0DEB">
              <w:t> gadam, kas izklāstīta Finanšu ministrijas informatīvajā ziņojumā “</w:t>
            </w:r>
            <w:r w:rsidR="006B0DEB" w:rsidRPr="006B0DEB">
              <w:t>Par ēnu ekonomikas ierobežošanas pasākumu efektivitāti un ēnu ekonomikas ierobežošanas plānu 2021.-2025. gadam</w:t>
            </w:r>
            <w:r w:rsidR="006B0DEB">
              <w:t xml:space="preserve">”. </w:t>
            </w:r>
            <w:r>
              <w:t xml:space="preserve"> </w:t>
            </w:r>
          </w:p>
        </w:tc>
      </w:tr>
      <w:tr w:rsidR="00BF74EB" w:rsidRPr="0084558D" w14:paraId="217B7963" w14:textId="77777777" w:rsidTr="00BF74EB">
        <w:trPr>
          <w:cantSplit/>
        </w:trPr>
        <w:tc>
          <w:tcPr>
            <w:tcW w:w="311" w:type="pct"/>
            <w:hideMark/>
          </w:tcPr>
          <w:p w14:paraId="476AAC18" w14:textId="77777777" w:rsidR="00BF74EB" w:rsidRPr="0084558D" w:rsidRDefault="00BF74EB" w:rsidP="00BF74EB">
            <w:pPr>
              <w:jc w:val="center"/>
            </w:pPr>
            <w:r w:rsidRPr="0084558D">
              <w:lastRenderedPageBreak/>
              <w:t>2.</w:t>
            </w:r>
          </w:p>
        </w:tc>
        <w:tc>
          <w:tcPr>
            <w:tcW w:w="1479" w:type="pct"/>
            <w:hideMark/>
          </w:tcPr>
          <w:p w14:paraId="6258EDE2" w14:textId="77777777" w:rsidR="00BF74EB" w:rsidRPr="0084558D" w:rsidRDefault="00BF74EB" w:rsidP="00BF74EB">
            <w:r w:rsidRPr="0084558D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</w:tcPr>
          <w:p w14:paraId="2F712CA7" w14:textId="77777777" w:rsidR="00361EF3" w:rsidRPr="004B6C12" w:rsidRDefault="00361EF3" w:rsidP="00361EF3">
            <w:pPr>
              <w:ind w:right="142" w:firstLine="570"/>
              <w:jc w:val="both"/>
              <w:rPr>
                <w:rFonts w:eastAsia="Calibri"/>
              </w:rPr>
            </w:pPr>
            <w:r w:rsidRPr="004B6C12">
              <w:t>Ēnu ekonomikas īpatsvara samazināšana ir prioritārs uzdevums, kas ir svarīgs, lai nodrošinātu sabiedrības labklājības aizsardzību un tautsaimniecības dinamisku ekonomisko attīstību.</w:t>
            </w:r>
            <w:r w:rsidRPr="004B6C12">
              <w:rPr>
                <w:rFonts w:eastAsia="Calibri"/>
              </w:rPr>
              <w:t xml:space="preserve"> </w:t>
            </w:r>
          </w:p>
          <w:p w14:paraId="2FBE8A8D" w14:textId="492B8846" w:rsidR="009A2154" w:rsidRPr="004B6C12" w:rsidRDefault="006B0DEB" w:rsidP="009A2154">
            <w:pPr>
              <w:ind w:right="142" w:firstLine="570"/>
              <w:jc w:val="both"/>
            </w:pPr>
            <w:r w:rsidRPr="004B6C12">
              <w:t xml:space="preserve">Īstenojot valsts politiku ēnu ekonomikas ierobežošanā, tai skaitā veicinot iestāžu sadarbību un nostiprinot to </w:t>
            </w:r>
            <w:r w:rsidR="008814E1">
              <w:t>p</w:t>
            </w:r>
            <w:r w:rsidR="009A2154" w:rsidRPr="004B6C12">
              <w:t>lānā,</w:t>
            </w:r>
            <w:r w:rsidRPr="004B6C12">
              <w:t xml:space="preserve"> ēnu ekonomikas īpatsvars Latvijā pakāpeniski, bet konsekventi mazinās, un </w:t>
            </w:r>
            <w:r w:rsidR="009A2154" w:rsidRPr="004B6C12">
              <w:t>atbilstoši Lincas universitātes profesora Dr. F. Šneidera pētījuma datiem ēnu ekonomikas īpatsvars Latvijā 201</w:t>
            </w:r>
            <w:r w:rsidR="00900FA9">
              <w:t>9</w:t>
            </w:r>
            <w:r w:rsidR="00ED1C3C">
              <w:t>.</w:t>
            </w:r>
            <w:r w:rsidR="009A2154" w:rsidRPr="004B6C12">
              <w:t xml:space="preserve">gadā ir bijis </w:t>
            </w:r>
            <w:r w:rsidR="00900FA9">
              <w:t>19</w:t>
            </w:r>
            <w:r w:rsidR="009A2154" w:rsidRPr="004B6C12">
              <w:t>,</w:t>
            </w:r>
            <w:r w:rsidR="00900FA9">
              <w:t>9</w:t>
            </w:r>
            <w:r w:rsidR="009A2154" w:rsidRPr="004B6C12">
              <w:t>% no IKP, savukārt pēc Latvijas pētnieku</w:t>
            </w:r>
            <w:r w:rsidR="00FE1561" w:rsidRPr="004B6C12">
              <w:t xml:space="preserve"> Dr. </w:t>
            </w:r>
            <w:r w:rsidR="009A2154" w:rsidRPr="004B6C12">
              <w:t>A. Sauka</w:t>
            </w:r>
            <w:r w:rsidR="00EC5534">
              <w:t>s</w:t>
            </w:r>
            <w:r w:rsidR="009A2154" w:rsidRPr="004B6C12">
              <w:t xml:space="preserve"> un Dr. T. Putniņ</w:t>
            </w:r>
            <w:r w:rsidR="00EC5534">
              <w:t xml:space="preserve">a </w:t>
            </w:r>
            <w:r w:rsidR="009A2154" w:rsidRPr="004B6C12">
              <w:t xml:space="preserve"> pētījuma datiem par ēnu ekonomikas indeksu Baltijas valstīs</w:t>
            </w:r>
            <w:r w:rsidR="00ED1C3C">
              <w:t xml:space="preserve"> ēnu ekonomikas īpatsvars 2019.</w:t>
            </w:r>
            <w:r w:rsidR="009A2154" w:rsidRPr="004B6C12">
              <w:t xml:space="preserve">gadā Latvijā ir bijis </w:t>
            </w:r>
            <w:r w:rsidR="009A2154" w:rsidRPr="004B6C12">
              <w:rPr>
                <w:bCs/>
              </w:rPr>
              <w:t>23,9% no IKP.</w:t>
            </w:r>
            <w:r w:rsidR="00EC5534">
              <w:rPr>
                <w:bCs/>
              </w:rPr>
              <w:t xml:space="preserve"> </w:t>
            </w:r>
          </w:p>
          <w:p w14:paraId="77371425" w14:textId="77777777" w:rsidR="008A0324" w:rsidRDefault="008A0324" w:rsidP="008A0324">
            <w:pPr>
              <w:ind w:right="142" w:firstLine="570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Ir jāatzīmē, ka nozaru ministrijās ir nepieciešams vairot  </w:t>
            </w:r>
            <w:r w:rsidRPr="00B91E27">
              <w:rPr>
                <w:iCs/>
                <w:color w:val="000000" w:themeColor="text1"/>
              </w:rPr>
              <w:t>iniciatīv</w:t>
            </w:r>
            <w:r>
              <w:rPr>
                <w:iCs/>
                <w:color w:val="000000" w:themeColor="text1"/>
              </w:rPr>
              <w:t xml:space="preserve">u </w:t>
            </w:r>
            <w:r w:rsidRPr="00B91E27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sadarboties ar</w:t>
            </w:r>
            <w:r w:rsidRPr="00B91E27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 xml:space="preserve">noteiktu tautsaimniecības </w:t>
            </w:r>
            <w:r w:rsidRPr="00B91E27">
              <w:rPr>
                <w:iCs/>
                <w:color w:val="000000" w:themeColor="text1"/>
              </w:rPr>
              <w:t>nozaru organizācijām</w:t>
            </w:r>
            <w:r>
              <w:rPr>
                <w:iCs/>
                <w:color w:val="000000" w:themeColor="text1"/>
              </w:rPr>
              <w:t>, lai identificētu ēnu ekonomiku veicinošus faktorus un rastu risinājumus to ietekmes mazināšanai, sadarbojoties vairākām nozaru ministrijām un iestādēm. Vienlaikus secināms</w:t>
            </w:r>
            <w:r w:rsidRPr="00FB68E1">
              <w:rPr>
                <w:iCs/>
                <w:color w:val="000000" w:themeColor="text1"/>
              </w:rPr>
              <w:t xml:space="preserve">, ka nozaru ministrijām ir jāpaplašina savs redzējums par ēnu ekonomikas izpausmēm, faktoriem un nozares problēmām, ņemot vērā, </w:t>
            </w:r>
            <w:r>
              <w:rPr>
                <w:iCs/>
                <w:color w:val="000000" w:themeColor="text1"/>
              </w:rPr>
              <w:t xml:space="preserve">uzņēmēju organizāciju sniegto informāciju un aprēķinus par ēnu ekonomikas īpatsvaru. </w:t>
            </w:r>
          </w:p>
          <w:p w14:paraId="78A3081F" w14:textId="267EEFC4" w:rsidR="00B91E27" w:rsidRPr="00EB714D" w:rsidRDefault="00361EF3" w:rsidP="00BC46F2">
            <w:pPr>
              <w:ind w:right="142" w:firstLine="570"/>
              <w:jc w:val="both"/>
              <w:rPr>
                <w:iCs/>
                <w:color w:val="000000" w:themeColor="text1"/>
              </w:rPr>
            </w:pPr>
            <w:r>
              <w:rPr>
                <w:rFonts w:eastAsia="Calibri"/>
              </w:rPr>
              <w:t>Ņemot vērā, ka ēnu ekonomikas ierobežošana ir ilgtermiņ</w:t>
            </w:r>
            <w:r w:rsidR="00EC5534">
              <w:rPr>
                <w:rFonts w:eastAsia="Calibri"/>
              </w:rPr>
              <w:t xml:space="preserve">ā koordinēti veicami kompleksi vairāku iestāžu </w:t>
            </w:r>
            <w:r>
              <w:rPr>
                <w:rFonts w:eastAsia="Calibri"/>
              </w:rPr>
              <w:t xml:space="preserve"> pasākum</w:t>
            </w:r>
            <w:r w:rsidR="00EC5534">
              <w:rPr>
                <w:rFonts w:eastAsia="Calibri"/>
              </w:rPr>
              <w:t>i</w:t>
            </w:r>
            <w:r>
              <w:rPr>
                <w:rFonts w:eastAsia="Calibri"/>
              </w:rPr>
              <w:t xml:space="preserve">, </w:t>
            </w:r>
            <w:r w:rsidR="00EC5534">
              <w:rPr>
                <w:rFonts w:eastAsia="Calibri"/>
              </w:rPr>
              <w:t xml:space="preserve">plāns </w:t>
            </w:r>
            <w:r w:rsidR="004B6C12">
              <w:rPr>
                <w:rFonts w:eastAsia="Calibri"/>
              </w:rPr>
              <w:t>būtu turpināms, un e</w:t>
            </w:r>
            <w:r w:rsidR="006B0DEB">
              <w:t>fektīvākai pasākum</w:t>
            </w:r>
            <w:r w:rsidR="00EC5534">
              <w:t>u</w:t>
            </w:r>
            <w:r w:rsidR="006B0DEB">
              <w:t xml:space="preserve"> īstenošanai ir nepieciešams pagarināt padomes darbības termiņu </w:t>
            </w:r>
            <w:r w:rsidR="004B6C12">
              <w:t>līdz 202</w:t>
            </w:r>
            <w:r w:rsidR="000B7F6D">
              <w:t>2</w:t>
            </w:r>
            <w:r w:rsidR="004B6C12">
              <w:t xml:space="preserve">.gada </w:t>
            </w:r>
            <w:r w:rsidR="0031572D">
              <w:t>31</w:t>
            </w:r>
            <w:r w:rsidR="004B6C12">
              <w:t>.decembrim,</w:t>
            </w:r>
            <w:r w:rsidR="00BF74EB">
              <w:t xml:space="preserve"> lai </w:t>
            </w:r>
            <w:r w:rsidR="00BF74EB">
              <w:rPr>
                <w:iCs/>
                <w:color w:val="000000" w:themeColor="text1"/>
              </w:rPr>
              <w:t xml:space="preserve">turpinātu institūciju darbības </w:t>
            </w:r>
            <w:r w:rsidR="00BF74EB" w:rsidRPr="00F73619">
              <w:rPr>
                <w:iCs/>
                <w:color w:val="000000" w:themeColor="text1"/>
              </w:rPr>
              <w:t>koordin</w:t>
            </w:r>
            <w:r w:rsidR="00BF74EB">
              <w:rPr>
                <w:iCs/>
                <w:color w:val="000000" w:themeColor="text1"/>
              </w:rPr>
              <w:t>āciju un uzraudzību</w:t>
            </w:r>
            <w:r w:rsidR="00BF74EB" w:rsidRPr="00F73619">
              <w:rPr>
                <w:iCs/>
                <w:color w:val="000000" w:themeColor="text1"/>
              </w:rPr>
              <w:t xml:space="preserve"> ēnu ekonomikas apkarošanas jomā</w:t>
            </w:r>
            <w:r w:rsidR="00BF74EB" w:rsidRPr="009408A8">
              <w:rPr>
                <w:iCs/>
                <w:color w:val="000000" w:themeColor="text1"/>
              </w:rPr>
              <w:t>.</w:t>
            </w:r>
          </w:p>
        </w:tc>
      </w:tr>
      <w:tr w:rsidR="00BF74EB" w:rsidRPr="0084558D" w14:paraId="51688729" w14:textId="77777777" w:rsidTr="009E0502">
        <w:trPr>
          <w:cantSplit/>
        </w:trPr>
        <w:tc>
          <w:tcPr>
            <w:tcW w:w="311" w:type="pct"/>
            <w:hideMark/>
          </w:tcPr>
          <w:p w14:paraId="18EC82A4" w14:textId="77777777" w:rsidR="00BF74EB" w:rsidRPr="0084558D" w:rsidRDefault="00BF74EB" w:rsidP="00BF74EB">
            <w:pPr>
              <w:jc w:val="center"/>
            </w:pPr>
            <w:r w:rsidRPr="0084558D">
              <w:t>3.</w:t>
            </w:r>
          </w:p>
        </w:tc>
        <w:tc>
          <w:tcPr>
            <w:tcW w:w="1479" w:type="pct"/>
            <w:hideMark/>
          </w:tcPr>
          <w:p w14:paraId="445C7F7B" w14:textId="77777777" w:rsidR="00BF74EB" w:rsidRPr="0084558D" w:rsidRDefault="00BF74EB" w:rsidP="00BF74EB">
            <w:r w:rsidRPr="0084558D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14:paraId="2B936A7A" w14:textId="2EB40071" w:rsidR="00BF74EB" w:rsidRPr="0084558D" w:rsidRDefault="00BF74EB" w:rsidP="00BF74EB">
            <w:r w:rsidRPr="00C21CD0">
              <w:t>Finanšu ministrija</w:t>
            </w:r>
          </w:p>
        </w:tc>
      </w:tr>
      <w:tr w:rsidR="00BF74EB" w:rsidRPr="0084558D" w14:paraId="1D493F5F" w14:textId="77777777" w:rsidTr="009E0502">
        <w:trPr>
          <w:cantSplit/>
        </w:trPr>
        <w:tc>
          <w:tcPr>
            <w:tcW w:w="311" w:type="pct"/>
            <w:hideMark/>
          </w:tcPr>
          <w:p w14:paraId="32161C9E" w14:textId="77777777" w:rsidR="00BF74EB" w:rsidRPr="0084558D" w:rsidRDefault="00BF74EB" w:rsidP="00BF74EB">
            <w:pPr>
              <w:jc w:val="center"/>
            </w:pPr>
            <w:r w:rsidRPr="0084558D">
              <w:t>4.</w:t>
            </w:r>
          </w:p>
        </w:tc>
        <w:tc>
          <w:tcPr>
            <w:tcW w:w="1479" w:type="pct"/>
            <w:hideMark/>
          </w:tcPr>
          <w:p w14:paraId="1554A262" w14:textId="77777777" w:rsidR="00BF74EB" w:rsidRPr="0084558D" w:rsidRDefault="00BF74EB" w:rsidP="00BF74EB">
            <w:r w:rsidRPr="0084558D">
              <w:t>Cita informācija</w:t>
            </w:r>
          </w:p>
        </w:tc>
        <w:tc>
          <w:tcPr>
            <w:tcW w:w="3210" w:type="pct"/>
            <w:hideMark/>
          </w:tcPr>
          <w:p w14:paraId="6AE639EE" w14:textId="77777777" w:rsidR="00BF74EB" w:rsidRPr="0084558D" w:rsidRDefault="00BF74EB" w:rsidP="00BF74EB">
            <w:r>
              <w:t>Nav</w:t>
            </w:r>
          </w:p>
        </w:tc>
      </w:tr>
    </w:tbl>
    <w:p w14:paraId="1E10E62C" w14:textId="77777777" w:rsidR="00BD5588" w:rsidRPr="0084558D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680"/>
        <w:gridCol w:w="5822"/>
      </w:tblGrid>
      <w:tr w:rsidR="00BD5588" w:rsidRPr="0084558D" w14:paraId="7EFBE286" w14:textId="77777777" w:rsidTr="0006325F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26C8D793" w14:textId="33CCB9CC" w:rsidR="00BD5588" w:rsidRPr="009D221A" w:rsidRDefault="00BD5588" w:rsidP="009D221A">
            <w:pPr>
              <w:jc w:val="center"/>
              <w:rPr>
                <w:b/>
                <w:bCs/>
              </w:rPr>
            </w:pPr>
            <w:r w:rsidRPr="0084558D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BD5588" w:rsidRPr="0084558D" w14:paraId="627FB9C8" w14:textId="77777777" w:rsidTr="0006325F">
        <w:trPr>
          <w:cantSplit/>
        </w:trPr>
        <w:tc>
          <w:tcPr>
            <w:tcW w:w="311" w:type="pct"/>
            <w:hideMark/>
          </w:tcPr>
          <w:p w14:paraId="202E3674" w14:textId="77777777" w:rsidR="00BD5588" w:rsidRPr="0084558D" w:rsidRDefault="00BD5588" w:rsidP="009E0502">
            <w:pPr>
              <w:jc w:val="center"/>
            </w:pPr>
            <w:r w:rsidRPr="0084558D">
              <w:t>1.</w:t>
            </w:r>
          </w:p>
        </w:tc>
        <w:tc>
          <w:tcPr>
            <w:tcW w:w="1478" w:type="pct"/>
            <w:hideMark/>
          </w:tcPr>
          <w:p w14:paraId="4AE63FDF" w14:textId="433C9B2C" w:rsidR="00BD5588" w:rsidRPr="00DC475C" w:rsidRDefault="00BD5588" w:rsidP="00DC475C">
            <w:r w:rsidRPr="0084558D">
              <w:t>Sabiedrības mērķgrupas, kuras tiesiskais regulējums ietekmē vai varētu ietekmēt</w:t>
            </w:r>
          </w:p>
        </w:tc>
        <w:tc>
          <w:tcPr>
            <w:tcW w:w="3211" w:type="pct"/>
            <w:hideMark/>
          </w:tcPr>
          <w:p w14:paraId="628A94EB" w14:textId="1DF4BE02" w:rsidR="006D4B2F" w:rsidRPr="0006325F" w:rsidRDefault="006D4B2F" w:rsidP="00DE0420">
            <w:pPr>
              <w:ind w:right="142"/>
              <w:jc w:val="both"/>
            </w:pPr>
            <w:r w:rsidRPr="0006325F">
              <w:t>Regulējums ir attiecināms uz padomi,</w:t>
            </w:r>
            <w:r w:rsidR="00DE0420" w:rsidRPr="0006325F">
              <w:t xml:space="preserve"> padomes sastāvā ietilpstošajām valsts pārvaldes </w:t>
            </w:r>
            <w:r w:rsidRPr="0006325F">
              <w:t xml:space="preserve">institūcijām un amatpersonām. </w:t>
            </w:r>
          </w:p>
          <w:p w14:paraId="159A7B7A" w14:textId="203635A8" w:rsidR="00BD5588" w:rsidRPr="00707114" w:rsidRDefault="00BE7913" w:rsidP="005B58EE">
            <w:pPr>
              <w:ind w:right="142"/>
              <w:jc w:val="both"/>
            </w:pPr>
            <w:r w:rsidRPr="0006325F">
              <w:t>Tāpat n</w:t>
            </w:r>
            <w:r w:rsidR="006D4B2F" w:rsidRPr="0006325F">
              <w:t>oteikumu regulējums attiecas uz privāto sektoru</w:t>
            </w:r>
            <w:r w:rsidR="005B58EE" w:rsidRPr="0006325F">
              <w:t xml:space="preserve">, nevalstiskajām </w:t>
            </w:r>
            <w:r w:rsidR="002A7165" w:rsidRPr="0006325F">
              <w:t>organizācijām un sociālo partneru pārstāvjiem,</w:t>
            </w:r>
            <w:r w:rsidR="006D4B2F" w:rsidRPr="0006325F">
              <w:t xml:space="preserve"> kuri sniedz informāciju, kas nepieciešama padomes darbības mērķa īstenošanai un uzdevumu izpildei, lai sekmētu ēnu ekonomiku ierobežošanu</w:t>
            </w:r>
            <w:r w:rsidRPr="0006325F">
              <w:t>.</w:t>
            </w:r>
          </w:p>
        </w:tc>
      </w:tr>
      <w:tr w:rsidR="00BD5588" w:rsidRPr="0084558D" w14:paraId="0A62FC81" w14:textId="77777777" w:rsidTr="0006325F">
        <w:trPr>
          <w:cantSplit/>
        </w:trPr>
        <w:tc>
          <w:tcPr>
            <w:tcW w:w="311" w:type="pct"/>
            <w:hideMark/>
          </w:tcPr>
          <w:p w14:paraId="59070BEA" w14:textId="6968CEB6" w:rsidR="00BD5588" w:rsidRPr="0084558D" w:rsidRDefault="00BE7913" w:rsidP="009E0502">
            <w:pPr>
              <w:jc w:val="center"/>
            </w:pPr>
            <w:r>
              <w:lastRenderedPageBreak/>
              <w:t xml:space="preserve"> </w:t>
            </w:r>
            <w:r w:rsidR="00BD5588" w:rsidRPr="0084558D">
              <w:t>2.</w:t>
            </w:r>
          </w:p>
        </w:tc>
        <w:tc>
          <w:tcPr>
            <w:tcW w:w="1478" w:type="pct"/>
            <w:hideMark/>
          </w:tcPr>
          <w:p w14:paraId="7268546A" w14:textId="2EB2FB69" w:rsidR="00BD5588" w:rsidRPr="00DC475C" w:rsidRDefault="00BD5588" w:rsidP="009D221A">
            <w:r w:rsidRPr="0084558D">
              <w:t>Tiesiskā regulējuma ietekme uz tautsaimniecību un administratīvo slogu</w:t>
            </w:r>
          </w:p>
        </w:tc>
        <w:tc>
          <w:tcPr>
            <w:tcW w:w="3211" w:type="pct"/>
            <w:hideMark/>
          </w:tcPr>
          <w:p w14:paraId="79429535" w14:textId="4020E6BD" w:rsidR="00BD5588" w:rsidRPr="0084558D" w:rsidRDefault="00ED6207" w:rsidP="00ED6207">
            <w:pPr>
              <w:tabs>
                <w:tab w:val="left" w:pos="562"/>
              </w:tabs>
              <w:ind w:right="142"/>
              <w:jc w:val="both"/>
            </w:pPr>
            <w:r w:rsidRPr="0006325F">
              <w:t>Tiesiskajam regulējumam nav ietekmes uz tautsaimniecību. Padome būs lemttiesīga arī padomes locekļa prombūtnes gadījumos.</w:t>
            </w:r>
          </w:p>
        </w:tc>
      </w:tr>
      <w:tr w:rsidR="00BD5588" w:rsidRPr="0084558D" w14:paraId="5E064675" w14:textId="77777777" w:rsidTr="0006325F">
        <w:trPr>
          <w:cantSplit/>
        </w:trPr>
        <w:tc>
          <w:tcPr>
            <w:tcW w:w="311" w:type="pct"/>
            <w:hideMark/>
          </w:tcPr>
          <w:p w14:paraId="127DAA39" w14:textId="77777777" w:rsidR="00BD5588" w:rsidRPr="0084558D" w:rsidRDefault="00BD5588" w:rsidP="009E0502">
            <w:pPr>
              <w:jc w:val="center"/>
            </w:pPr>
            <w:r w:rsidRPr="0084558D">
              <w:t>3.</w:t>
            </w:r>
          </w:p>
        </w:tc>
        <w:tc>
          <w:tcPr>
            <w:tcW w:w="1478" w:type="pct"/>
            <w:hideMark/>
          </w:tcPr>
          <w:p w14:paraId="2D182563" w14:textId="42866BE1" w:rsidR="00BD5588" w:rsidRPr="00DC475C" w:rsidRDefault="00BD5588" w:rsidP="009D221A">
            <w:r w:rsidRPr="0084558D">
              <w:t>Administratīvo izmaksu monetārs novērtējums</w:t>
            </w:r>
          </w:p>
        </w:tc>
        <w:tc>
          <w:tcPr>
            <w:tcW w:w="3211" w:type="pct"/>
            <w:hideMark/>
          </w:tcPr>
          <w:p w14:paraId="4EC7B20C" w14:textId="7AC9481B" w:rsidR="00BD5588" w:rsidRPr="00A16F5E" w:rsidRDefault="002F4307" w:rsidP="00406D2A">
            <w:pPr>
              <w:ind w:right="113"/>
              <w:jc w:val="both"/>
              <w:rPr>
                <w:szCs w:val="20"/>
              </w:rPr>
            </w:pPr>
            <w:r>
              <w:t>Noteikumu p</w:t>
            </w:r>
            <w:r w:rsidR="00406D2A" w:rsidRPr="00585B2C">
              <w:t>rojekts šo jomu neskar.</w:t>
            </w:r>
          </w:p>
        </w:tc>
      </w:tr>
      <w:tr w:rsidR="00BD5588" w:rsidRPr="0084558D" w14:paraId="77F2EF5D" w14:textId="77777777" w:rsidTr="0006325F">
        <w:trPr>
          <w:cantSplit/>
        </w:trPr>
        <w:tc>
          <w:tcPr>
            <w:tcW w:w="311" w:type="pct"/>
            <w:hideMark/>
          </w:tcPr>
          <w:p w14:paraId="31C9D703" w14:textId="77777777" w:rsidR="00BD5588" w:rsidRPr="0084558D" w:rsidRDefault="00BD5588" w:rsidP="009E0502">
            <w:pPr>
              <w:jc w:val="center"/>
            </w:pPr>
            <w:r w:rsidRPr="0084558D">
              <w:t>4.</w:t>
            </w:r>
          </w:p>
        </w:tc>
        <w:tc>
          <w:tcPr>
            <w:tcW w:w="1478" w:type="pct"/>
            <w:hideMark/>
          </w:tcPr>
          <w:p w14:paraId="274A6622" w14:textId="77777777" w:rsidR="00BD5588" w:rsidRPr="0084558D" w:rsidRDefault="00BD5588" w:rsidP="009E0502">
            <w:r w:rsidRPr="0084558D">
              <w:t>Atbilstības izmaksu monetārs novērtējums</w:t>
            </w:r>
          </w:p>
        </w:tc>
        <w:tc>
          <w:tcPr>
            <w:tcW w:w="3211" w:type="pct"/>
            <w:hideMark/>
          </w:tcPr>
          <w:p w14:paraId="6C3CEA3C" w14:textId="77777777" w:rsidR="00BD5588" w:rsidRPr="0084558D" w:rsidRDefault="00FD77AA" w:rsidP="009E0502">
            <w:r>
              <w:t>Nav</w:t>
            </w:r>
          </w:p>
        </w:tc>
      </w:tr>
      <w:tr w:rsidR="00BD5588" w:rsidRPr="0084558D" w14:paraId="04CF44E1" w14:textId="77777777" w:rsidTr="0006325F">
        <w:trPr>
          <w:cantSplit/>
        </w:trPr>
        <w:tc>
          <w:tcPr>
            <w:tcW w:w="311" w:type="pct"/>
            <w:hideMark/>
          </w:tcPr>
          <w:p w14:paraId="3DD5AE75" w14:textId="77777777" w:rsidR="00BD5588" w:rsidRPr="0084558D" w:rsidRDefault="00BD5588" w:rsidP="009E0502">
            <w:pPr>
              <w:jc w:val="center"/>
            </w:pPr>
            <w:r w:rsidRPr="0084558D">
              <w:t>5.</w:t>
            </w:r>
          </w:p>
        </w:tc>
        <w:tc>
          <w:tcPr>
            <w:tcW w:w="1478" w:type="pct"/>
            <w:hideMark/>
          </w:tcPr>
          <w:p w14:paraId="49929918" w14:textId="77777777" w:rsidR="00BD5588" w:rsidRPr="0084558D" w:rsidRDefault="00BD5588" w:rsidP="009E0502">
            <w:r w:rsidRPr="0084558D">
              <w:t>Cita informācija</w:t>
            </w:r>
          </w:p>
        </w:tc>
        <w:tc>
          <w:tcPr>
            <w:tcW w:w="3211" w:type="pct"/>
            <w:hideMark/>
          </w:tcPr>
          <w:p w14:paraId="1807F85A" w14:textId="77777777" w:rsidR="00BD5588" w:rsidRPr="0084558D" w:rsidRDefault="00FD77AA" w:rsidP="009E0502">
            <w:r>
              <w:t>Nav</w:t>
            </w:r>
          </w:p>
        </w:tc>
      </w:tr>
    </w:tbl>
    <w:p w14:paraId="35533C53" w14:textId="77777777" w:rsidR="002F4307" w:rsidRDefault="002F4307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5"/>
      </w:tblGrid>
      <w:tr w:rsidR="00BD5588" w:rsidRPr="0084558D" w14:paraId="75FFCDBE" w14:textId="77777777" w:rsidTr="00CA2258">
        <w:trPr>
          <w:cantSplit/>
        </w:trPr>
        <w:tc>
          <w:tcPr>
            <w:tcW w:w="5000" w:type="pct"/>
            <w:shd w:val="clear" w:color="auto" w:fill="auto"/>
            <w:vAlign w:val="center"/>
            <w:hideMark/>
          </w:tcPr>
          <w:p w14:paraId="529695DB" w14:textId="77777777" w:rsidR="00BD5588" w:rsidRPr="0084558D" w:rsidRDefault="00BD5588" w:rsidP="009E0502">
            <w:pPr>
              <w:jc w:val="center"/>
              <w:rPr>
                <w:b/>
                <w:bCs/>
                <w:lang w:eastAsia="en-US"/>
              </w:rPr>
            </w:pPr>
            <w:r w:rsidRPr="0084558D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406D2A" w:rsidRPr="0084558D" w14:paraId="42A03371" w14:textId="77777777" w:rsidTr="00CA2258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5A95DF31" w14:textId="16E02D1F" w:rsidR="00406D2A" w:rsidRPr="00406D2A" w:rsidRDefault="002F4307" w:rsidP="009E050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Noteikumu p</w:t>
            </w:r>
            <w:r w:rsidR="00406D2A" w:rsidRPr="00406D2A">
              <w:rPr>
                <w:bCs/>
                <w:lang w:eastAsia="en-US"/>
              </w:rPr>
              <w:t>rojekts šo jomu neskar</w:t>
            </w:r>
            <w:r w:rsidR="00406D2A">
              <w:rPr>
                <w:bCs/>
                <w:lang w:eastAsia="en-US"/>
              </w:rPr>
              <w:t>.</w:t>
            </w:r>
          </w:p>
        </w:tc>
      </w:tr>
    </w:tbl>
    <w:p w14:paraId="7F8B456C" w14:textId="77777777" w:rsidR="00C06CAA" w:rsidRDefault="00C06CAA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FE00CC" w:rsidRPr="0084558D" w14:paraId="3AAB5E0E" w14:textId="77777777" w:rsidTr="00FE00CC">
        <w:trPr>
          <w:cantSplit/>
        </w:trPr>
        <w:tc>
          <w:tcPr>
            <w:tcW w:w="9065" w:type="dxa"/>
            <w:vAlign w:val="center"/>
            <w:hideMark/>
          </w:tcPr>
          <w:p w14:paraId="1CF33E57" w14:textId="77777777" w:rsidR="00FE00CC" w:rsidRPr="0084558D" w:rsidRDefault="00FE00CC" w:rsidP="00FE00CC">
            <w:pPr>
              <w:jc w:val="center"/>
              <w:rPr>
                <w:b/>
                <w:bCs/>
              </w:rPr>
            </w:pPr>
            <w:r w:rsidRPr="0084558D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406D2A" w:rsidRPr="0084558D" w14:paraId="63F889F0" w14:textId="77777777" w:rsidTr="00FE00CC">
        <w:trPr>
          <w:cantSplit/>
        </w:trPr>
        <w:tc>
          <w:tcPr>
            <w:tcW w:w="9065" w:type="dxa"/>
            <w:vAlign w:val="center"/>
          </w:tcPr>
          <w:p w14:paraId="4F900ABB" w14:textId="312FB4BC" w:rsidR="00406D2A" w:rsidRPr="0084558D" w:rsidRDefault="002F4307" w:rsidP="00FE00C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Noteikumu p</w:t>
            </w:r>
            <w:r w:rsidR="00406D2A" w:rsidRPr="00406D2A">
              <w:rPr>
                <w:bCs/>
              </w:rPr>
              <w:t>rojekts šo jomu neskar</w:t>
            </w:r>
            <w:r w:rsidR="00406D2A">
              <w:rPr>
                <w:b/>
                <w:bCs/>
              </w:rPr>
              <w:t>.</w:t>
            </w:r>
          </w:p>
        </w:tc>
      </w:tr>
    </w:tbl>
    <w:p w14:paraId="64EEF000" w14:textId="77777777" w:rsidR="00BD5588" w:rsidRPr="0084558D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BD5588" w:rsidRPr="0084558D" w14:paraId="11C66184" w14:textId="77777777" w:rsidTr="009E0502">
        <w:trPr>
          <w:cantSplit/>
        </w:trPr>
        <w:tc>
          <w:tcPr>
            <w:tcW w:w="5000" w:type="pct"/>
            <w:vAlign w:val="center"/>
            <w:hideMark/>
          </w:tcPr>
          <w:p w14:paraId="3D7A2410" w14:textId="77777777" w:rsidR="00BD5588" w:rsidRPr="0084558D" w:rsidRDefault="00BD5588" w:rsidP="009E0502">
            <w:pPr>
              <w:jc w:val="center"/>
              <w:rPr>
                <w:b/>
                <w:bCs/>
              </w:rPr>
            </w:pPr>
            <w:r w:rsidRPr="0084558D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F65A5F" w:rsidRPr="0084558D" w14:paraId="2982854E" w14:textId="77777777" w:rsidTr="00F65A5F">
        <w:trPr>
          <w:cantSplit/>
          <w:trHeight w:val="142"/>
        </w:trPr>
        <w:tc>
          <w:tcPr>
            <w:tcW w:w="5000" w:type="pct"/>
          </w:tcPr>
          <w:p w14:paraId="49324B60" w14:textId="0E356C2A" w:rsidR="00F65A5F" w:rsidRPr="00406D2A" w:rsidRDefault="002F4307" w:rsidP="00F65A5F">
            <w:pPr>
              <w:jc w:val="center"/>
            </w:pPr>
            <w:r>
              <w:rPr>
                <w:bCs/>
              </w:rPr>
              <w:t>Noteikumu p</w:t>
            </w:r>
            <w:r w:rsidR="00F65A5F" w:rsidRPr="00406D2A">
              <w:rPr>
                <w:bCs/>
              </w:rPr>
              <w:t>rojekts šo jomu neskar.</w:t>
            </w:r>
          </w:p>
        </w:tc>
      </w:tr>
    </w:tbl>
    <w:p w14:paraId="334CA1E3" w14:textId="77777777" w:rsidR="00BD5588" w:rsidRPr="0084558D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2695"/>
        <w:gridCol w:w="5804"/>
      </w:tblGrid>
      <w:tr w:rsidR="00BD5588" w:rsidRPr="0084558D" w14:paraId="17C80C7D" w14:textId="77777777" w:rsidTr="0098027D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2069D974" w14:textId="77777777" w:rsidR="00BD5588" w:rsidRPr="0084558D" w:rsidRDefault="00BD5588" w:rsidP="009E0502">
            <w:pPr>
              <w:jc w:val="center"/>
              <w:rPr>
                <w:b/>
                <w:bCs/>
              </w:rPr>
            </w:pPr>
            <w:r w:rsidRPr="0084558D">
              <w:rPr>
                <w:b/>
                <w:bCs/>
              </w:rPr>
              <w:t>VI. Sabiedrības līdzdalība un komunikācijas aktivitātes</w:t>
            </w:r>
          </w:p>
        </w:tc>
      </w:tr>
      <w:tr w:rsidR="00BD5588" w:rsidRPr="0084558D" w14:paraId="20AF8E6D" w14:textId="77777777" w:rsidTr="0098027D">
        <w:trPr>
          <w:cantSplit/>
        </w:trPr>
        <w:tc>
          <w:tcPr>
            <w:tcW w:w="310" w:type="pct"/>
            <w:hideMark/>
          </w:tcPr>
          <w:p w14:paraId="7093C69D" w14:textId="77777777" w:rsidR="00BD5588" w:rsidRPr="0084558D" w:rsidRDefault="00BD5588" w:rsidP="009E0502">
            <w:pPr>
              <w:jc w:val="center"/>
            </w:pPr>
            <w:r w:rsidRPr="0084558D">
              <w:t>1.</w:t>
            </w:r>
          </w:p>
        </w:tc>
        <w:tc>
          <w:tcPr>
            <w:tcW w:w="1487" w:type="pct"/>
            <w:hideMark/>
          </w:tcPr>
          <w:p w14:paraId="70375F81" w14:textId="77777777" w:rsidR="00BD5588" w:rsidRPr="0084558D" w:rsidRDefault="00BD5588" w:rsidP="009E0502">
            <w:r w:rsidRPr="0084558D">
              <w:t>Plānotās sabiedrības līdzdalības un komunikācijas aktivitātes saistībā ar projektu</w:t>
            </w:r>
          </w:p>
        </w:tc>
        <w:tc>
          <w:tcPr>
            <w:tcW w:w="3203" w:type="pct"/>
            <w:hideMark/>
          </w:tcPr>
          <w:p w14:paraId="1757DC6A" w14:textId="681A0432" w:rsidR="00AC0E1D" w:rsidRPr="00195BD4" w:rsidRDefault="00AC0E1D" w:rsidP="003F59CD">
            <w:pPr>
              <w:jc w:val="both"/>
              <w:rPr>
                <w:sz w:val="20"/>
                <w:highlight w:val="yellow"/>
              </w:rPr>
            </w:pPr>
            <w:commentRangeStart w:id="0"/>
            <w:r w:rsidRPr="00B959B9">
              <w:t xml:space="preserve">Atbilstoši </w:t>
            </w:r>
            <w:hyperlink r:id="rId8" w:history="1">
              <w:r w:rsidRPr="00B959B9">
                <w:t>Ministru kabineta 2009. gada 25. augusta noteikumiem Nr. 970 "Sabiedrības līdzdalības kārtība attīstības plānošanas procesā"</w:t>
              </w:r>
            </w:hyperlink>
            <w:r w:rsidRPr="00B959B9">
              <w:t>, l</w:t>
            </w:r>
            <w:r w:rsidRPr="00B959B9">
              <w:rPr>
                <w:rFonts w:eastAsia="Calibri"/>
              </w:rPr>
              <w:t>ai informētu sabiedrību par noteikumu projektu un dotu iespēju izteikt viedokli</w:t>
            </w:r>
            <w:bookmarkStart w:id="1" w:name="_Hlk50712903"/>
            <w:r w:rsidRPr="00B959B9">
              <w:rPr>
                <w:rFonts w:eastAsia="Calibri"/>
              </w:rPr>
              <w:t xml:space="preserve">, </w:t>
            </w:r>
            <w:r w:rsidR="002F4307">
              <w:rPr>
                <w:rFonts w:eastAsia="Calibri"/>
              </w:rPr>
              <w:t xml:space="preserve">noteikumu </w:t>
            </w:r>
            <w:r w:rsidRPr="00B959B9">
              <w:rPr>
                <w:rFonts w:eastAsia="Calibri"/>
              </w:rPr>
              <w:t>projekt</w:t>
            </w:r>
            <w:r w:rsidR="003F59CD">
              <w:rPr>
                <w:rFonts w:eastAsia="Calibri"/>
              </w:rPr>
              <w:t>s</w:t>
            </w:r>
            <w:r w:rsidRPr="00B959B9">
              <w:rPr>
                <w:rFonts w:eastAsia="Calibri"/>
              </w:rPr>
              <w:t xml:space="preserve"> </w:t>
            </w:r>
            <w:r w:rsidR="003F59CD" w:rsidRPr="003F59CD">
              <w:rPr>
                <w:rFonts w:eastAsia="Calibri"/>
              </w:rPr>
              <w:t>2020.gada 28.septembrī publicēts Finanšu ministrijas tīmekļvietnē sadaļā “Sabiedrības līdzdalība” – “Tiesību aktu projekti” – “Valsts budžeta politika”</w:t>
            </w:r>
            <w:bookmarkEnd w:id="1"/>
            <w:commentRangeEnd w:id="0"/>
            <w:r w:rsidR="003F59CD">
              <w:t>.</w:t>
            </w:r>
            <w:bookmarkStart w:id="2" w:name="_GoBack"/>
            <w:bookmarkEnd w:id="2"/>
          </w:p>
        </w:tc>
      </w:tr>
      <w:tr w:rsidR="00BD5588" w:rsidRPr="0084558D" w14:paraId="16B578D7" w14:textId="77777777" w:rsidTr="0098027D">
        <w:trPr>
          <w:cantSplit/>
        </w:trPr>
        <w:tc>
          <w:tcPr>
            <w:tcW w:w="310" w:type="pct"/>
            <w:hideMark/>
          </w:tcPr>
          <w:p w14:paraId="09F79CC1" w14:textId="77777777" w:rsidR="00BD5588" w:rsidRPr="0084558D" w:rsidRDefault="00BD5588" w:rsidP="009E0502">
            <w:pPr>
              <w:jc w:val="center"/>
            </w:pPr>
            <w:r w:rsidRPr="0084558D">
              <w:t>2.</w:t>
            </w:r>
          </w:p>
        </w:tc>
        <w:tc>
          <w:tcPr>
            <w:tcW w:w="1487" w:type="pct"/>
            <w:hideMark/>
          </w:tcPr>
          <w:p w14:paraId="7B455194" w14:textId="77777777" w:rsidR="00BD5588" w:rsidRPr="0084558D" w:rsidRDefault="00BD5588" w:rsidP="009E0502">
            <w:r w:rsidRPr="0084558D">
              <w:t>Sabiedrības līdzdalība projekta izstrādē</w:t>
            </w:r>
          </w:p>
        </w:tc>
        <w:tc>
          <w:tcPr>
            <w:tcW w:w="3203" w:type="pct"/>
            <w:hideMark/>
          </w:tcPr>
          <w:p w14:paraId="36BF2D64" w14:textId="570D7E40" w:rsidR="00A83EA3" w:rsidRPr="0006325F" w:rsidRDefault="00A83EA3" w:rsidP="00A83EA3">
            <w:pPr>
              <w:jc w:val="both"/>
            </w:pPr>
            <w:r w:rsidRPr="0006325F">
              <w:t>Sabiedrības pārstāvji tika aicināti</w:t>
            </w:r>
            <w:r w:rsidR="0055557A">
              <w:t xml:space="preserve"> no 28.septembra</w:t>
            </w:r>
            <w:r w:rsidRPr="0006325F">
              <w:t xml:space="preserve"> līdz </w:t>
            </w:r>
            <w:r w:rsidR="003B0DD0">
              <w:t>12</w:t>
            </w:r>
            <w:r w:rsidR="0055557A">
              <w:t>.oktobrim</w:t>
            </w:r>
            <w:r w:rsidRPr="0006325F">
              <w:t xml:space="preserve"> līdzdarboties noteikumu projekta izstrādē, rakstiski sniedzot viedokļus par projektu, kas 2020.gada 28.septembrī publicēts Finanšu ministrijas tīmekļvietnē sadaļā “Sabiedrības līdzdalība” – “Tiesību aktu projekti” – “Valsts budžeta politika”, adrese:</w:t>
            </w:r>
          </w:p>
          <w:p w14:paraId="5F3D29FF" w14:textId="77777777" w:rsidR="00A83EA3" w:rsidRPr="0006325F" w:rsidRDefault="003F59CD" w:rsidP="00A83EA3">
            <w:pPr>
              <w:jc w:val="both"/>
            </w:pPr>
            <w:hyperlink r:id="rId9" w:anchor="project670" w:history="1">
              <w:r w:rsidR="00A83EA3" w:rsidRPr="0006325F">
                <w:rPr>
                  <w:rStyle w:val="Hyperlink"/>
                </w:rPr>
                <w:t>https://www.fm.gov.lv/lv/sabiedribas_lidzdaliba/tiesibu_aktu_projekti/valsts_budzeta_politika#project670</w:t>
              </w:r>
            </w:hyperlink>
            <w:r w:rsidR="00A83EA3" w:rsidRPr="0006325F">
              <w:t xml:space="preserve"> </w:t>
            </w:r>
          </w:p>
          <w:p w14:paraId="39F4ADEF" w14:textId="7D55CCD7" w:rsidR="00A83EA3" w:rsidRPr="0006325F" w:rsidRDefault="00A83EA3" w:rsidP="00A83EA3">
            <w:pPr>
              <w:jc w:val="both"/>
            </w:pPr>
            <w:r w:rsidRPr="0006325F">
              <w:lastRenderedPageBreak/>
              <w:t>Minētais paziņojums 2020.gada 28.septembrī publicēts arī Ministru kabineta tīmekļvietnē sadaļā “Valsts kanceleja”– “Sabiedrības līdzdalība”.</w:t>
            </w:r>
          </w:p>
          <w:p w14:paraId="2D57A72F" w14:textId="3A401ED2" w:rsidR="00BD5588" w:rsidRPr="009B6104" w:rsidRDefault="00A83EA3" w:rsidP="00A83EA3">
            <w:pPr>
              <w:jc w:val="both"/>
            </w:pPr>
            <w:r w:rsidRPr="0006325F">
              <w:rPr>
                <w:szCs w:val="28"/>
              </w:rPr>
              <w:t xml:space="preserve">Finanšu ministrija 2020. gada 28. oktobrī nosūtīja </w:t>
            </w:r>
            <w:r w:rsidRPr="0006325F">
              <w:t>Latvijas Tirdzniecības un rūpniecības kamerai elektroniskā pasta vēstuli ar lūgumu sniegt viedokli par noteikumu projektu.</w:t>
            </w:r>
          </w:p>
        </w:tc>
      </w:tr>
      <w:tr w:rsidR="00BD5588" w:rsidRPr="0084558D" w14:paraId="2032D517" w14:textId="77777777" w:rsidTr="0098027D">
        <w:trPr>
          <w:cantSplit/>
        </w:trPr>
        <w:tc>
          <w:tcPr>
            <w:tcW w:w="310" w:type="pct"/>
            <w:hideMark/>
          </w:tcPr>
          <w:p w14:paraId="4AE97D83" w14:textId="77777777" w:rsidR="00BD5588" w:rsidRPr="0084558D" w:rsidRDefault="00BD5588" w:rsidP="009E0502">
            <w:pPr>
              <w:jc w:val="center"/>
            </w:pPr>
            <w:r w:rsidRPr="0084558D">
              <w:lastRenderedPageBreak/>
              <w:t>3.</w:t>
            </w:r>
          </w:p>
        </w:tc>
        <w:tc>
          <w:tcPr>
            <w:tcW w:w="1487" w:type="pct"/>
            <w:hideMark/>
          </w:tcPr>
          <w:p w14:paraId="7A80E746" w14:textId="77777777" w:rsidR="00BD5588" w:rsidRPr="0084558D" w:rsidRDefault="00BD5588" w:rsidP="009E0502">
            <w:r w:rsidRPr="0084558D">
              <w:t>Sabiedrības līdzdalības rezultāti</w:t>
            </w:r>
          </w:p>
        </w:tc>
        <w:tc>
          <w:tcPr>
            <w:tcW w:w="3203" w:type="pct"/>
            <w:hideMark/>
          </w:tcPr>
          <w:p w14:paraId="3E355CB8" w14:textId="41202773" w:rsidR="00BD5588" w:rsidRPr="0084558D" w:rsidRDefault="003677E9" w:rsidP="009E0502">
            <w:r w:rsidRPr="003677E9">
              <w:t>Iebildumi vai priekšlikumi no sabiedrības pārstāvjiem nav saņemti.</w:t>
            </w:r>
          </w:p>
        </w:tc>
      </w:tr>
      <w:tr w:rsidR="00BD5588" w:rsidRPr="0084558D" w14:paraId="763D3CDB" w14:textId="77777777" w:rsidTr="0098027D">
        <w:trPr>
          <w:cantSplit/>
        </w:trPr>
        <w:tc>
          <w:tcPr>
            <w:tcW w:w="310" w:type="pct"/>
            <w:hideMark/>
          </w:tcPr>
          <w:p w14:paraId="59258974" w14:textId="77777777" w:rsidR="00BD5588" w:rsidRPr="0084558D" w:rsidRDefault="00BD5588" w:rsidP="009E0502">
            <w:pPr>
              <w:jc w:val="center"/>
            </w:pPr>
            <w:r w:rsidRPr="0084558D">
              <w:t>4.</w:t>
            </w:r>
          </w:p>
        </w:tc>
        <w:tc>
          <w:tcPr>
            <w:tcW w:w="1487" w:type="pct"/>
            <w:hideMark/>
          </w:tcPr>
          <w:p w14:paraId="10170687" w14:textId="77777777" w:rsidR="00BD5588" w:rsidRPr="0084558D" w:rsidRDefault="00BD5588" w:rsidP="009E0502">
            <w:r w:rsidRPr="0084558D">
              <w:t>Cita informācija</w:t>
            </w:r>
          </w:p>
        </w:tc>
        <w:tc>
          <w:tcPr>
            <w:tcW w:w="3203" w:type="pct"/>
            <w:hideMark/>
          </w:tcPr>
          <w:p w14:paraId="5E622549" w14:textId="251CB882" w:rsidR="00BD5588" w:rsidRPr="0084558D" w:rsidRDefault="00AC0E1D" w:rsidP="009E0502">
            <w:r>
              <w:t>Ministru kabineta noteikumus pēc to pieņemšanas Ministru kabinetā izsludina, publicējot oficiālajā izdevumā "Latvijas Vēstnesis" (</w:t>
            </w:r>
            <w:hyperlink r:id="rId10" w:history="1">
              <w:r w:rsidRPr="00D00022">
                <w:rPr>
                  <w:rStyle w:val="Hyperlink"/>
                </w:rPr>
                <w:t>www.vestnesis.lv</w:t>
              </w:r>
            </w:hyperlink>
            <w:r>
              <w:t>), kā arī tie ir pieejami sistematizēti vortālā Likumi.lv (</w:t>
            </w:r>
            <w:hyperlink r:id="rId11" w:history="1">
              <w:r w:rsidRPr="00D00022">
                <w:rPr>
                  <w:rStyle w:val="Hyperlink"/>
                </w:rPr>
                <w:t>www.likumi.lv</w:t>
              </w:r>
            </w:hyperlink>
            <w:r>
              <w:t xml:space="preserve"> ).</w:t>
            </w:r>
          </w:p>
        </w:tc>
      </w:tr>
    </w:tbl>
    <w:p w14:paraId="26548782" w14:textId="77777777" w:rsidR="00BD5588" w:rsidRPr="0084558D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BD5588" w:rsidRPr="0084558D" w14:paraId="7A8F4831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21EF74DA" w14:textId="55A7AA85" w:rsidR="00BD5588" w:rsidRPr="0072164F" w:rsidRDefault="00BD5588" w:rsidP="0072164F">
            <w:pPr>
              <w:jc w:val="center"/>
              <w:rPr>
                <w:b/>
                <w:bCs/>
              </w:rPr>
            </w:pPr>
            <w:r w:rsidRPr="0084558D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BD5588" w:rsidRPr="0084558D" w14:paraId="3893E21E" w14:textId="77777777" w:rsidTr="009E0502">
        <w:trPr>
          <w:cantSplit/>
        </w:trPr>
        <w:tc>
          <w:tcPr>
            <w:tcW w:w="311" w:type="pct"/>
            <w:hideMark/>
          </w:tcPr>
          <w:p w14:paraId="65D16FF7" w14:textId="77777777" w:rsidR="00BD5588" w:rsidRPr="0084558D" w:rsidRDefault="00BD5588" w:rsidP="009E0502">
            <w:pPr>
              <w:jc w:val="center"/>
            </w:pPr>
            <w:r w:rsidRPr="0084558D">
              <w:t>1.</w:t>
            </w:r>
          </w:p>
        </w:tc>
        <w:tc>
          <w:tcPr>
            <w:tcW w:w="1479" w:type="pct"/>
            <w:hideMark/>
          </w:tcPr>
          <w:p w14:paraId="097AF16C" w14:textId="780429A5" w:rsidR="00BD5588" w:rsidRPr="00CE46E7" w:rsidRDefault="00BD5588" w:rsidP="0099330E">
            <w:r w:rsidRPr="0084558D">
              <w:t>Projekta izpildē iesaistītās institūcijas</w:t>
            </w:r>
          </w:p>
        </w:tc>
        <w:tc>
          <w:tcPr>
            <w:tcW w:w="3210" w:type="pct"/>
            <w:hideMark/>
          </w:tcPr>
          <w:p w14:paraId="49B825ED" w14:textId="35F38913" w:rsidR="00BD5588" w:rsidRPr="0084558D" w:rsidRDefault="00406D2A" w:rsidP="007E69D6">
            <w:pPr>
              <w:jc w:val="both"/>
            </w:pPr>
            <w:r w:rsidRPr="0006325F">
              <w:rPr>
                <w:rFonts w:eastAsia="Arial Unicode MS"/>
              </w:rPr>
              <w:t>Finanšu ministrija</w:t>
            </w:r>
            <w:r w:rsidR="000A7065" w:rsidRPr="0006325F">
              <w:rPr>
                <w:rFonts w:eastAsia="Arial Unicode MS"/>
              </w:rPr>
              <w:t xml:space="preserve">, </w:t>
            </w:r>
            <w:r w:rsidR="00AC0E1D" w:rsidRPr="0006325F">
              <w:rPr>
                <w:rFonts w:eastAsia="Arial Unicode MS"/>
              </w:rPr>
              <w:t xml:space="preserve">padomes locekļi, </w:t>
            </w:r>
            <w:r w:rsidR="000A7065" w:rsidRPr="0006325F">
              <w:rPr>
                <w:rFonts w:eastAsia="Arial Unicode MS"/>
              </w:rPr>
              <w:t>citas valsts pārvaldes iestādes un nevalstiskās organizācijas.</w:t>
            </w:r>
          </w:p>
        </w:tc>
      </w:tr>
      <w:tr w:rsidR="00BD5588" w:rsidRPr="0084558D" w14:paraId="401A2F19" w14:textId="77777777" w:rsidTr="009E0502">
        <w:trPr>
          <w:cantSplit/>
        </w:trPr>
        <w:tc>
          <w:tcPr>
            <w:tcW w:w="311" w:type="pct"/>
            <w:hideMark/>
          </w:tcPr>
          <w:p w14:paraId="1C567DC1" w14:textId="77777777" w:rsidR="00BD5588" w:rsidRPr="0084558D" w:rsidRDefault="00BD5588" w:rsidP="009E0502">
            <w:pPr>
              <w:jc w:val="center"/>
            </w:pPr>
            <w:r w:rsidRPr="0084558D">
              <w:t>2.</w:t>
            </w:r>
          </w:p>
        </w:tc>
        <w:tc>
          <w:tcPr>
            <w:tcW w:w="1479" w:type="pct"/>
            <w:hideMark/>
          </w:tcPr>
          <w:p w14:paraId="3D231B52" w14:textId="77777777" w:rsidR="00BD5588" w:rsidRPr="0084558D" w:rsidRDefault="00BD5588" w:rsidP="009E0502">
            <w:r w:rsidRPr="0084558D">
              <w:t>Projekta izpildes ietekme uz pārvaldes funkcijām un institucionālo struktūru.</w:t>
            </w:r>
            <w:r w:rsidRPr="0084558D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06DBFA33" w14:textId="78988900" w:rsidR="00BD5588" w:rsidRPr="0084558D" w:rsidRDefault="00406D2A" w:rsidP="00406D2A">
            <w:pPr>
              <w:jc w:val="both"/>
            </w:pPr>
            <w:r>
              <w:t>Noteikumu p</w:t>
            </w:r>
            <w:r w:rsidRPr="00585B2C">
              <w:t>rojekts neietekmē pārvaldes funkcijas un uzdevumus, ne arī institucionālo struktūru.</w:t>
            </w:r>
          </w:p>
        </w:tc>
      </w:tr>
      <w:tr w:rsidR="00BD5588" w:rsidRPr="0084558D" w14:paraId="17F0359C" w14:textId="77777777" w:rsidTr="009E0502">
        <w:trPr>
          <w:cantSplit/>
        </w:trPr>
        <w:tc>
          <w:tcPr>
            <w:tcW w:w="311" w:type="pct"/>
            <w:hideMark/>
          </w:tcPr>
          <w:p w14:paraId="478DB13E" w14:textId="77777777" w:rsidR="00BD5588" w:rsidRPr="0084558D" w:rsidRDefault="00BD5588" w:rsidP="009E0502">
            <w:pPr>
              <w:jc w:val="center"/>
            </w:pPr>
            <w:r w:rsidRPr="0084558D">
              <w:t>3.</w:t>
            </w:r>
          </w:p>
        </w:tc>
        <w:tc>
          <w:tcPr>
            <w:tcW w:w="1479" w:type="pct"/>
            <w:hideMark/>
          </w:tcPr>
          <w:p w14:paraId="21D5653A" w14:textId="77777777" w:rsidR="00BD5588" w:rsidRPr="0084558D" w:rsidRDefault="00BD5588" w:rsidP="009E0502">
            <w:r w:rsidRPr="0084558D">
              <w:t>Cita informācija</w:t>
            </w:r>
          </w:p>
        </w:tc>
        <w:tc>
          <w:tcPr>
            <w:tcW w:w="3210" w:type="pct"/>
            <w:hideMark/>
          </w:tcPr>
          <w:p w14:paraId="12992369" w14:textId="3B28E1C2" w:rsidR="00BD5588" w:rsidRPr="0084558D" w:rsidRDefault="00214809" w:rsidP="009E0502">
            <w:r>
              <w:t>Nav</w:t>
            </w:r>
          </w:p>
        </w:tc>
      </w:tr>
    </w:tbl>
    <w:p w14:paraId="75455991" w14:textId="491CC329" w:rsidR="00E44472" w:rsidRDefault="00E44472">
      <w:pPr>
        <w:rPr>
          <w:sz w:val="32"/>
        </w:rPr>
      </w:pPr>
    </w:p>
    <w:p w14:paraId="6F77DC79" w14:textId="64521354" w:rsidR="00214809" w:rsidRDefault="00214809">
      <w:pPr>
        <w:rPr>
          <w:sz w:val="32"/>
        </w:rPr>
      </w:pPr>
    </w:p>
    <w:p w14:paraId="45477A85" w14:textId="33E1374D" w:rsidR="00214809" w:rsidRPr="00D711C2" w:rsidRDefault="00214809" w:rsidP="0021480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Finanšu ministr</w:t>
      </w:r>
      <w:r>
        <w:rPr>
          <w:sz w:val="28"/>
          <w:szCs w:val="28"/>
        </w:rPr>
        <w:t>s</w:t>
      </w:r>
      <w:r w:rsidRPr="00D711C2">
        <w:rPr>
          <w:sz w:val="28"/>
          <w:szCs w:val="28"/>
        </w:rPr>
        <w:tab/>
      </w:r>
      <w:r>
        <w:rPr>
          <w:sz w:val="28"/>
          <w:szCs w:val="28"/>
        </w:rPr>
        <w:t>J</w:t>
      </w:r>
      <w:r w:rsidR="004E7B85">
        <w:rPr>
          <w:sz w:val="28"/>
          <w:szCs w:val="28"/>
        </w:rPr>
        <w:t>.</w:t>
      </w:r>
      <w:r w:rsidR="005B58EE">
        <w:rPr>
          <w:sz w:val="28"/>
          <w:szCs w:val="28"/>
        </w:rPr>
        <w:t xml:space="preserve"> </w:t>
      </w:r>
      <w:r>
        <w:rPr>
          <w:sz w:val="28"/>
          <w:szCs w:val="28"/>
        </w:rPr>
        <w:t>Reirs</w:t>
      </w:r>
    </w:p>
    <w:p w14:paraId="5085D280" w14:textId="77777777" w:rsidR="009D221A" w:rsidRDefault="009D221A" w:rsidP="00B42331"/>
    <w:p w14:paraId="6D66FE7A" w14:textId="5862753E" w:rsidR="009D221A" w:rsidRDefault="009D221A" w:rsidP="00B42331"/>
    <w:p w14:paraId="5438B46C" w14:textId="1E6E7877" w:rsidR="001B2966" w:rsidRDefault="001B2966" w:rsidP="00B42331"/>
    <w:p w14:paraId="0F102FEC" w14:textId="7B0B172B" w:rsidR="001B2966" w:rsidRDefault="001B2966" w:rsidP="00B42331"/>
    <w:p w14:paraId="7384D3CA" w14:textId="49BDE04C" w:rsidR="001B2966" w:rsidRDefault="001B2966" w:rsidP="00B42331"/>
    <w:p w14:paraId="14529D74" w14:textId="406F1673" w:rsidR="001B2966" w:rsidRDefault="001B2966" w:rsidP="00B42331"/>
    <w:p w14:paraId="00BD132C" w14:textId="709526D8" w:rsidR="001B2966" w:rsidRDefault="001B2966" w:rsidP="00B42331"/>
    <w:p w14:paraId="25001E96" w14:textId="10A23816" w:rsidR="001B2966" w:rsidRDefault="001B2966" w:rsidP="00B42331"/>
    <w:p w14:paraId="3A4E646E" w14:textId="77777777" w:rsidR="001B2966" w:rsidRDefault="001B2966" w:rsidP="00B42331"/>
    <w:p w14:paraId="0A32CC35" w14:textId="77777777" w:rsidR="009D221A" w:rsidRDefault="009D221A" w:rsidP="00B42331"/>
    <w:p w14:paraId="35E33443" w14:textId="6B5A0E44" w:rsidR="00214809" w:rsidRPr="009D221A" w:rsidRDefault="006C5B36" w:rsidP="00B42331">
      <w:pPr>
        <w:rPr>
          <w:sz w:val="20"/>
        </w:rPr>
      </w:pPr>
      <w:r>
        <w:rPr>
          <w:sz w:val="20"/>
        </w:rPr>
        <w:t>Gulbe</w:t>
      </w:r>
      <w:r w:rsidR="0024574E">
        <w:rPr>
          <w:sz w:val="20"/>
        </w:rPr>
        <w:t>,</w:t>
      </w:r>
      <w:r w:rsidR="00214809" w:rsidRPr="009D221A">
        <w:rPr>
          <w:sz w:val="20"/>
        </w:rPr>
        <w:t xml:space="preserve"> 670955</w:t>
      </w:r>
      <w:r>
        <w:rPr>
          <w:sz w:val="20"/>
        </w:rPr>
        <w:t>55</w:t>
      </w:r>
    </w:p>
    <w:p w14:paraId="3BBC63A5" w14:textId="4F83BB98" w:rsidR="00214809" w:rsidRPr="009D221A" w:rsidRDefault="003F59CD">
      <w:hyperlink r:id="rId12" w:history="1">
        <w:r w:rsidR="0024574E" w:rsidRPr="003F6DF9">
          <w:rPr>
            <w:rStyle w:val="Hyperlink"/>
            <w:sz w:val="20"/>
          </w:rPr>
          <w:t>Daiga.Gulbe@fm.gov.lv</w:t>
        </w:r>
      </w:hyperlink>
    </w:p>
    <w:sectPr w:rsidR="00214809" w:rsidRPr="009D221A" w:rsidSect="00955DE4">
      <w:footerReference w:type="defaul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F50DEE" w16cid:durableId="2357B549"/>
  <w16cid:commentId w16cid:paraId="53C838A8" w16cid:durableId="2357BC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523EF" w14:textId="77777777" w:rsidR="00372375" w:rsidRDefault="00372375" w:rsidP="00150F90">
      <w:r>
        <w:separator/>
      </w:r>
    </w:p>
  </w:endnote>
  <w:endnote w:type="continuationSeparator" w:id="0">
    <w:p w14:paraId="6038C146" w14:textId="77777777" w:rsidR="00372375" w:rsidRDefault="00372375" w:rsidP="0015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E041D" w14:textId="383BAB9F" w:rsidR="00214809" w:rsidRPr="00DC475C" w:rsidRDefault="008C3A20">
    <w:pPr>
      <w:pStyle w:val="Footer"/>
      <w:rPr>
        <w:sz w:val="20"/>
      </w:rPr>
    </w:pPr>
    <w:r w:rsidRPr="00DC475C">
      <w:rPr>
        <w:sz w:val="20"/>
      </w:rPr>
      <w:t>FManot_</w:t>
    </w:r>
    <w:r w:rsidR="00B91E27" w:rsidRPr="00DC475C">
      <w:rPr>
        <w:sz w:val="20"/>
      </w:rPr>
      <w:t>1</w:t>
    </w:r>
    <w:r w:rsidR="009B6104">
      <w:rPr>
        <w:sz w:val="20"/>
      </w:rPr>
      <w:t>2</w:t>
    </w:r>
    <w:r w:rsidR="00A52F70">
      <w:rPr>
        <w:sz w:val="20"/>
      </w:rPr>
      <w:t>11</w:t>
    </w:r>
    <w:r w:rsidRPr="00DC475C">
      <w:rPr>
        <w:sz w:val="20"/>
      </w:rPr>
      <w:t>20_Groz_EEAP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C9AF1" w14:textId="77777777" w:rsidR="00372375" w:rsidRDefault="00372375" w:rsidP="00150F90">
      <w:r>
        <w:separator/>
      </w:r>
    </w:p>
  </w:footnote>
  <w:footnote w:type="continuationSeparator" w:id="0">
    <w:p w14:paraId="24DD4062" w14:textId="77777777" w:rsidR="00372375" w:rsidRDefault="00372375" w:rsidP="0015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1245"/>
    <w:multiLevelType w:val="hybridMultilevel"/>
    <w:tmpl w:val="41FE0EB0"/>
    <w:lvl w:ilvl="0" w:tplc="0426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" w15:restartNumberingAfterBreak="0">
    <w:nsid w:val="444F3CC5"/>
    <w:multiLevelType w:val="hybridMultilevel"/>
    <w:tmpl w:val="5C92B54C"/>
    <w:lvl w:ilvl="0" w:tplc="A6BE7008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519166F2"/>
    <w:multiLevelType w:val="hybridMultilevel"/>
    <w:tmpl w:val="19F8A9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52B28"/>
    <w:multiLevelType w:val="hybridMultilevel"/>
    <w:tmpl w:val="D026DE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A11C6"/>
    <w:multiLevelType w:val="hybridMultilevel"/>
    <w:tmpl w:val="7EA4B790"/>
    <w:lvl w:ilvl="0" w:tplc="042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88"/>
    <w:rsid w:val="000050CF"/>
    <w:rsid w:val="00006C46"/>
    <w:rsid w:val="00012F8E"/>
    <w:rsid w:val="00021E04"/>
    <w:rsid w:val="000254AC"/>
    <w:rsid w:val="0003417B"/>
    <w:rsid w:val="000372B3"/>
    <w:rsid w:val="0004134C"/>
    <w:rsid w:val="00047996"/>
    <w:rsid w:val="000504F5"/>
    <w:rsid w:val="0006325F"/>
    <w:rsid w:val="00066A3A"/>
    <w:rsid w:val="000760C5"/>
    <w:rsid w:val="000833CA"/>
    <w:rsid w:val="000945C2"/>
    <w:rsid w:val="000A28A5"/>
    <w:rsid w:val="000A47D2"/>
    <w:rsid w:val="000A7065"/>
    <w:rsid w:val="000B7F6D"/>
    <w:rsid w:val="000C2262"/>
    <w:rsid w:val="000C7FD8"/>
    <w:rsid w:val="000D28B8"/>
    <w:rsid w:val="000D3B3A"/>
    <w:rsid w:val="000E5A31"/>
    <w:rsid w:val="000F3406"/>
    <w:rsid w:val="00105CDE"/>
    <w:rsid w:val="00113157"/>
    <w:rsid w:val="00114322"/>
    <w:rsid w:val="00137EBD"/>
    <w:rsid w:val="0014271D"/>
    <w:rsid w:val="00146CCB"/>
    <w:rsid w:val="00150F90"/>
    <w:rsid w:val="00160B0C"/>
    <w:rsid w:val="001706FA"/>
    <w:rsid w:val="001840AB"/>
    <w:rsid w:val="00186EA1"/>
    <w:rsid w:val="001936B4"/>
    <w:rsid w:val="00194DC2"/>
    <w:rsid w:val="00195BD4"/>
    <w:rsid w:val="001A4D42"/>
    <w:rsid w:val="001B2966"/>
    <w:rsid w:val="001B4CD1"/>
    <w:rsid w:val="001C4C95"/>
    <w:rsid w:val="001C7088"/>
    <w:rsid w:val="001D59CB"/>
    <w:rsid w:val="001D622E"/>
    <w:rsid w:val="001E0CE1"/>
    <w:rsid w:val="00205CDD"/>
    <w:rsid w:val="00214809"/>
    <w:rsid w:val="00236641"/>
    <w:rsid w:val="00240D8F"/>
    <w:rsid w:val="002428F8"/>
    <w:rsid w:val="0024574E"/>
    <w:rsid w:val="00246B08"/>
    <w:rsid w:val="002701A8"/>
    <w:rsid w:val="00271007"/>
    <w:rsid w:val="00293F32"/>
    <w:rsid w:val="00294A6F"/>
    <w:rsid w:val="002A44DE"/>
    <w:rsid w:val="002A7165"/>
    <w:rsid w:val="002B2A41"/>
    <w:rsid w:val="002C3AB7"/>
    <w:rsid w:val="002D3494"/>
    <w:rsid w:val="002D35B2"/>
    <w:rsid w:val="002D7F9A"/>
    <w:rsid w:val="002E7CE8"/>
    <w:rsid w:val="002F4307"/>
    <w:rsid w:val="00300471"/>
    <w:rsid w:val="0030351E"/>
    <w:rsid w:val="00307031"/>
    <w:rsid w:val="0031572D"/>
    <w:rsid w:val="0032109B"/>
    <w:rsid w:val="00326DAD"/>
    <w:rsid w:val="00337A2A"/>
    <w:rsid w:val="00342B13"/>
    <w:rsid w:val="00351408"/>
    <w:rsid w:val="00360B93"/>
    <w:rsid w:val="00361EF3"/>
    <w:rsid w:val="003677E9"/>
    <w:rsid w:val="00370139"/>
    <w:rsid w:val="00370AE3"/>
    <w:rsid w:val="00372375"/>
    <w:rsid w:val="0037251F"/>
    <w:rsid w:val="00376B1E"/>
    <w:rsid w:val="00384DBA"/>
    <w:rsid w:val="00391B7E"/>
    <w:rsid w:val="00393A2F"/>
    <w:rsid w:val="0039621D"/>
    <w:rsid w:val="003B0DD0"/>
    <w:rsid w:val="003B22C8"/>
    <w:rsid w:val="003B64DC"/>
    <w:rsid w:val="003C34A8"/>
    <w:rsid w:val="003C5758"/>
    <w:rsid w:val="003D0843"/>
    <w:rsid w:val="003E752D"/>
    <w:rsid w:val="003E771D"/>
    <w:rsid w:val="003F1733"/>
    <w:rsid w:val="003F59CD"/>
    <w:rsid w:val="00401053"/>
    <w:rsid w:val="004031B1"/>
    <w:rsid w:val="00406D2A"/>
    <w:rsid w:val="0040700C"/>
    <w:rsid w:val="004138D5"/>
    <w:rsid w:val="004215CA"/>
    <w:rsid w:val="00422F4A"/>
    <w:rsid w:val="00425325"/>
    <w:rsid w:val="00425F4E"/>
    <w:rsid w:val="004274F2"/>
    <w:rsid w:val="00443C5D"/>
    <w:rsid w:val="00443DED"/>
    <w:rsid w:val="00446E00"/>
    <w:rsid w:val="004556EE"/>
    <w:rsid w:val="00455D02"/>
    <w:rsid w:val="00457264"/>
    <w:rsid w:val="00466D60"/>
    <w:rsid w:val="00470D1F"/>
    <w:rsid w:val="00476666"/>
    <w:rsid w:val="00480826"/>
    <w:rsid w:val="0048768D"/>
    <w:rsid w:val="00493214"/>
    <w:rsid w:val="004A3EE1"/>
    <w:rsid w:val="004B0747"/>
    <w:rsid w:val="004B6C12"/>
    <w:rsid w:val="004D3E12"/>
    <w:rsid w:val="004D6ACE"/>
    <w:rsid w:val="004E6673"/>
    <w:rsid w:val="004E7B85"/>
    <w:rsid w:val="004F0FD1"/>
    <w:rsid w:val="004F2D16"/>
    <w:rsid w:val="004F5CDE"/>
    <w:rsid w:val="005070A0"/>
    <w:rsid w:val="00537D66"/>
    <w:rsid w:val="0055557A"/>
    <w:rsid w:val="00564092"/>
    <w:rsid w:val="005666F0"/>
    <w:rsid w:val="0057111B"/>
    <w:rsid w:val="00574DEE"/>
    <w:rsid w:val="00593E1C"/>
    <w:rsid w:val="005A203C"/>
    <w:rsid w:val="005A7848"/>
    <w:rsid w:val="005B1854"/>
    <w:rsid w:val="005B58EE"/>
    <w:rsid w:val="005B5F40"/>
    <w:rsid w:val="005C43B1"/>
    <w:rsid w:val="005C7272"/>
    <w:rsid w:val="005D3AF5"/>
    <w:rsid w:val="005D5BB7"/>
    <w:rsid w:val="005D6DC2"/>
    <w:rsid w:val="005E6EA9"/>
    <w:rsid w:val="00604668"/>
    <w:rsid w:val="006137A0"/>
    <w:rsid w:val="006173A1"/>
    <w:rsid w:val="00625B41"/>
    <w:rsid w:val="00626089"/>
    <w:rsid w:val="006400A5"/>
    <w:rsid w:val="00650EA4"/>
    <w:rsid w:val="00653C0C"/>
    <w:rsid w:val="00663587"/>
    <w:rsid w:val="006652A6"/>
    <w:rsid w:val="006764F4"/>
    <w:rsid w:val="00677C76"/>
    <w:rsid w:val="00682051"/>
    <w:rsid w:val="006820AB"/>
    <w:rsid w:val="00692B9F"/>
    <w:rsid w:val="006962FD"/>
    <w:rsid w:val="00696BCB"/>
    <w:rsid w:val="006A3658"/>
    <w:rsid w:val="006A47D0"/>
    <w:rsid w:val="006B0DEB"/>
    <w:rsid w:val="006B310A"/>
    <w:rsid w:val="006C5B36"/>
    <w:rsid w:val="006D4B2F"/>
    <w:rsid w:val="006D5390"/>
    <w:rsid w:val="006E21FB"/>
    <w:rsid w:val="006F7D57"/>
    <w:rsid w:val="007023EA"/>
    <w:rsid w:val="00703E05"/>
    <w:rsid w:val="00705D2E"/>
    <w:rsid w:val="00706EEE"/>
    <w:rsid w:val="00707114"/>
    <w:rsid w:val="00707ABF"/>
    <w:rsid w:val="00711DB4"/>
    <w:rsid w:val="007141B5"/>
    <w:rsid w:val="007144BE"/>
    <w:rsid w:val="0072164F"/>
    <w:rsid w:val="007220AC"/>
    <w:rsid w:val="00731547"/>
    <w:rsid w:val="00731AA3"/>
    <w:rsid w:val="00731D2F"/>
    <w:rsid w:val="00744F54"/>
    <w:rsid w:val="00745A67"/>
    <w:rsid w:val="00745AA7"/>
    <w:rsid w:val="00755051"/>
    <w:rsid w:val="00784044"/>
    <w:rsid w:val="007841AA"/>
    <w:rsid w:val="007929CC"/>
    <w:rsid w:val="007A34C7"/>
    <w:rsid w:val="007B329F"/>
    <w:rsid w:val="007B617A"/>
    <w:rsid w:val="007C3737"/>
    <w:rsid w:val="007C5109"/>
    <w:rsid w:val="007E2FA8"/>
    <w:rsid w:val="007E69D6"/>
    <w:rsid w:val="007E76F9"/>
    <w:rsid w:val="007F12D2"/>
    <w:rsid w:val="007F4EC8"/>
    <w:rsid w:val="00806B1E"/>
    <w:rsid w:val="00807B7A"/>
    <w:rsid w:val="0081106B"/>
    <w:rsid w:val="00830826"/>
    <w:rsid w:val="0083271C"/>
    <w:rsid w:val="00835E21"/>
    <w:rsid w:val="008363AE"/>
    <w:rsid w:val="0084558D"/>
    <w:rsid w:val="00846495"/>
    <w:rsid w:val="008572BC"/>
    <w:rsid w:val="0086350F"/>
    <w:rsid w:val="00876F7F"/>
    <w:rsid w:val="008814E1"/>
    <w:rsid w:val="0088428B"/>
    <w:rsid w:val="008864BD"/>
    <w:rsid w:val="00886917"/>
    <w:rsid w:val="008952F5"/>
    <w:rsid w:val="008A0324"/>
    <w:rsid w:val="008B04AF"/>
    <w:rsid w:val="008B73FC"/>
    <w:rsid w:val="008B7F6E"/>
    <w:rsid w:val="008C24B3"/>
    <w:rsid w:val="008C36BE"/>
    <w:rsid w:val="008C3A20"/>
    <w:rsid w:val="008C4DF7"/>
    <w:rsid w:val="008C6434"/>
    <w:rsid w:val="008D0661"/>
    <w:rsid w:val="008D5E0C"/>
    <w:rsid w:val="008E7E2F"/>
    <w:rsid w:val="00900FA9"/>
    <w:rsid w:val="009136E7"/>
    <w:rsid w:val="00916694"/>
    <w:rsid w:val="00932865"/>
    <w:rsid w:val="009345B0"/>
    <w:rsid w:val="00936B50"/>
    <w:rsid w:val="0093769D"/>
    <w:rsid w:val="009408A8"/>
    <w:rsid w:val="00955C90"/>
    <w:rsid w:val="00955DE4"/>
    <w:rsid w:val="009645C5"/>
    <w:rsid w:val="0096551F"/>
    <w:rsid w:val="00975F43"/>
    <w:rsid w:val="00976E3C"/>
    <w:rsid w:val="0098027D"/>
    <w:rsid w:val="009855CF"/>
    <w:rsid w:val="00987040"/>
    <w:rsid w:val="00992292"/>
    <w:rsid w:val="0099330E"/>
    <w:rsid w:val="00995A4E"/>
    <w:rsid w:val="009A2154"/>
    <w:rsid w:val="009A4191"/>
    <w:rsid w:val="009A605F"/>
    <w:rsid w:val="009B1BA0"/>
    <w:rsid w:val="009B248A"/>
    <w:rsid w:val="009B27F2"/>
    <w:rsid w:val="009B598A"/>
    <w:rsid w:val="009B6104"/>
    <w:rsid w:val="009C237A"/>
    <w:rsid w:val="009D04BD"/>
    <w:rsid w:val="009D221A"/>
    <w:rsid w:val="009E50E1"/>
    <w:rsid w:val="009F5C4B"/>
    <w:rsid w:val="009F7A59"/>
    <w:rsid w:val="00A01F6A"/>
    <w:rsid w:val="00A02350"/>
    <w:rsid w:val="00A15970"/>
    <w:rsid w:val="00A16C39"/>
    <w:rsid w:val="00A16F5E"/>
    <w:rsid w:val="00A2132B"/>
    <w:rsid w:val="00A32CF8"/>
    <w:rsid w:val="00A444D2"/>
    <w:rsid w:val="00A46AC3"/>
    <w:rsid w:val="00A51790"/>
    <w:rsid w:val="00A52F70"/>
    <w:rsid w:val="00A54CAA"/>
    <w:rsid w:val="00A5552A"/>
    <w:rsid w:val="00A62BD7"/>
    <w:rsid w:val="00A62C4A"/>
    <w:rsid w:val="00A678F5"/>
    <w:rsid w:val="00A80504"/>
    <w:rsid w:val="00A836D2"/>
    <w:rsid w:val="00A83EA3"/>
    <w:rsid w:val="00AA34A8"/>
    <w:rsid w:val="00AA75EF"/>
    <w:rsid w:val="00AB3FDF"/>
    <w:rsid w:val="00AB591D"/>
    <w:rsid w:val="00AC0E1D"/>
    <w:rsid w:val="00AE6861"/>
    <w:rsid w:val="00AE737A"/>
    <w:rsid w:val="00AF36AA"/>
    <w:rsid w:val="00AF3862"/>
    <w:rsid w:val="00AF58F4"/>
    <w:rsid w:val="00B015F7"/>
    <w:rsid w:val="00B062C6"/>
    <w:rsid w:val="00B200E4"/>
    <w:rsid w:val="00B206EF"/>
    <w:rsid w:val="00B254DB"/>
    <w:rsid w:val="00B36939"/>
    <w:rsid w:val="00B42331"/>
    <w:rsid w:val="00B53516"/>
    <w:rsid w:val="00B546EC"/>
    <w:rsid w:val="00B56FEC"/>
    <w:rsid w:val="00B71062"/>
    <w:rsid w:val="00B73D38"/>
    <w:rsid w:val="00B76E2E"/>
    <w:rsid w:val="00B86922"/>
    <w:rsid w:val="00B91E27"/>
    <w:rsid w:val="00B94112"/>
    <w:rsid w:val="00BA11B6"/>
    <w:rsid w:val="00BA3377"/>
    <w:rsid w:val="00BB1B0A"/>
    <w:rsid w:val="00BB3C6B"/>
    <w:rsid w:val="00BC193C"/>
    <w:rsid w:val="00BC3705"/>
    <w:rsid w:val="00BC46F2"/>
    <w:rsid w:val="00BC77D2"/>
    <w:rsid w:val="00BD341A"/>
    <w:rsid w:val="00BD5588"/>
    <w:rsid w:val="00BE7913"/>
    <w:rsid w:val="00BF0A8A"/>
    <w:rsid w:val="00BF26A4"/>
    <w:rsid w:val="00BF36B5"/>
    <w:rsid w:val="00BF6560"/>
    <w:rsid w:val="00BF74EB"/>
    <w:rsid w:val="00C06BB5"/>
    <w:rsid w:val="00C06CAA"/>
    <w:rsid w:val="00C13C10"/>
    <w:rsid w:val="00C16583"/>
    <w:rsid w:val="00C2133D"/>
    <w:rsid w:val="00C305B4"/>
    <w:rsid w:val="00C32A52"/>
    <w:rsid w:val="00C72A2B"/>
    <w:rsid w:val="00C86E71"/>
    <w:rsid w:val="00CA2258"/>
    <w:rsid w:val="00CA2DAC"/>
    <w:rsid w:val="00CA63DB"/>
    <w:rsid w:val="00CA78AF"/>
    <w:rsid w:val="00CC1F40"/>
    <w:rsid w:val="00CC2AD8"/>
    <w:rsid w:val="00CE46E7"/>
    <w:rsid w:val="00CE5223"/>
    <w:rsid w:val="00CF1437"/>
    <w:rsid w:val="00CF5F38"/>
    <w:rsid w:val="00D14FC9"/>
    <w:rsid w:val="00D21195"/>
    <w:rsid w:val="00D3751B"/>
    <w:rsid w:val="00D41425"/>
    <w:rsid w:val="00D423C0"/>
    <w:rsid w:val="00D516D1"/>
    <w:rsid w:val="00D5249F"/>
    <w:rsid w:val="00D552E2"/>
    <w:rsid w:val="00D67B21"/>
    <w:rsid w:val="00D737B1"/>
    <w:rsid w:val="00D7387A"/>
    <w:rsid w:val="00D74951"/>
    <w:rsid w:val="00DA716A"/>
    <w:rsid w:val="00DC0492"/>
    <w:rsid w:val="00DC475C"/>
    <w:rsid w:val="00DD256C"/>
    <w:rsid w:val="00DD34E9"/>
    <w:rsid w:val="00DE0420"/>
    <w:rsid w:val="00E30252"/>
    <w:rsid w:val="00E37299"/>
    <w:rsid w:val="00E44472"/>
    <w:rsid w:val="00E46457"/>
    <w:rsid w:val="00E5262D"/>
    <w:rsid w:val="00E556EB"/>
    <w:rsid w:val="00E601AC"/>
    <w:rsid w:val="00E65781"/>
    <w:rsid w:val="00E77E2F"/>
    <w:rsid w:val="00E94A9F"/>
    <w:rsid w:val="00E96D25"/>
    <w:rsid w:val="00EB714D"/>
    <w:rsid w:val="00EC2799"/>
    <w:rsid w:val="00EC34FD"/>
    <w:rsid w:val="00EC522A"/>
    <w:rsid w:val="00EC5534"/>
    <w:rsid w:val="00ED1C3C"/>
    <w:rsid w:val="00ED6207"/>
    <w:rsid w:val="00EE1BB5"/>
    <w:rsid w:val="00EE7AB1"/>
    <w:rsid w:val="00EF0F8A"/>
    <w:rsid w:val="00EF49EB"/>
    <w:rsid w:val="00F01ED2"/>
    <w:rsid w:val="00F020FB"/>
    <w:rsid w:val="00F03076"/>
    <w:rsid w:val="00F1449D"/>
    <w:rsid w:val="00F14A1D"/>
    <w:rsid w:val="00F22D02"/>
    <w:rsid w:val="00F25787"/>
    <w:rsid w:val="00F40DD2"/>
    <w:rsid w:val="00F426B1"/>
    <w:rsid w:val="00F50396"/>
    <w:rsid w:val="00F566B1"/>
    <w:rsid w:val="00F64086"/>
    <w:rsid w:val="00F64C87"/>
    <w:rsid w:val="00F65A5F"/>
    <w:rsid w:val="00F73619"/>
    <w:rsid w:val="00F77DA4"/>
    <w:rsid w:val="00F864E0"/>
    <w:rsid w:val="00FA22F0"/>
    <w:rsid w:val="00FB68E1"/>
    <w:rsid w:val="00FC410B"/>
    <w:rsid w:val="00FC6F2A"/>
    <w:rsid w:val="00FD0C19"/>
    <w:rsid w:val="00FD77AA"/>
    <w:rsid w:val="00FD7FCC"/>
    <w:rsid w:val="00FE00CC"/>
    <w:rsid w:val="00FE1561"/>
    <w:rsid w:val="00FE5D6B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819D3C"/>
  <w15:docId w15:val="{F8B261C2-1A1D-4DBA-AA5F-7F5B1429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F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9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50F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9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65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2A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2A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A6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214809"/>
    <w:pPr>
      <w:spacing w:before="75" w:after="75"/>
      <w:ind w:firstLine="375"/>
      <w:jc w:val="both"/>
    </w:pPr>
  </w:style>
  <w:style w:type="paragraph" w:customStyle="1" w:styleId="Default">
    <w:name w:val="Default"/>
    <w:rsid w:val="000479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DC2"/>
    <w:pPr>
      <w:ind w:left="720"/>
      <w:contextualSpacing/>
    </w:pPr>
  </w:style>
  <w:style w:type="paragraph" w:styleId="Revision">
    <w:name w:val="Revision"/>
    <w:hidden/>
    <w:uiPriority w:val="99"/>
    <w:semiHidden/>
    <w:rsid w:val="008E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E6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2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9703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iga.Gulbe@fm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kumi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stnesis.lv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fm.gov.lv/lv/sabiedribas_lidzdaliba/tiesibu_aktu_projekti/valsts_budzeta_politi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49E42-3A28-4FB6-8545-19074123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4840</Words>
  <Characters>2760</Characters>
  <Application>Microsoft Office Word</Application>
  <DocSecurity>4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“Grozījums Ministru kabineta 2014.gada 16.septembra noteikumos Nr.549 “Ēnu ekonomikas apkarošanas padomes nolikums”” anotācija</vt:lpstr>
      <vt:lpstr>Ministru kabineta noteikumu projekta “Grozījums Ministru kabineta 2014.gada 16.septembra noteikumos Nr.549 “Ēnu ekonomikas apkarošanas padomes nolikums”” anotācija</vt:lpstr>
    </vt:vector>
  </TitlesOfParts>
  <Company>Finanšu ministrija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“Grozījums Ministru kabineta 2014.gada 16.septembra noteikumos Nr.549 “Ēnu ekonomikas apkarošanas padomes nolikums”” anotācija</dc:title>
  <dc:subject>Anotācija</dc:subject>
  <dc:creator>daiga.gulbe@fm.gov.lv</dc:creator>
  <dc:description>6709555, daiga.gulbe@fm.gov.lv</dc:description>
  <cp:lastModifiedBy>Daiga Gulbe</cp:lastModifiedBy>
  <cp:revision>2</cp:revision>
  <cp:lastPrinted>2020-08-25T11:19:00Z</cp:lastPrinted>
  <dcterms:created xsi:type="dcterms:W3CDTF">2020-11-27T13:35:00Z</dcterms:created>
  <dcterms:modified xsi:type="dcterms:W3CDTF">2020-11-27T13:35:00Z</dcterms:modified>
</cp:coreProperties>
</file>