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37E29" w14:textId="4F418795" w:rsidR="00B86BD1" w:rsidRPr="005739DF" w:rsidRDefault="00B86BD1" w:rsidP="00BC4B95">
      <w:pPr>
        <w:shd w:val="clear" w:color="auto" w:fill="FFFFFF"/>
        <w:spacing w:after="0" w:line="240" w:lineRule="auto"/>
        <w:jc w:val="center"/>
        <w:rPr>
          <w:rFonts w:ascii="Times New Roman" w:eastAsia="Times New Roman" w:hAnsi="Times New Roman" w:cs="Times New Roman"/>
          <w:b/>
          <w:bCs/>
          <w:sz w:val="28"/>
          <w:szCs w:val="28"/>
          <w:lang w:eastAsia="lv-LV"/>
        </w:rPr>
      </w:pPr>
      <w:r w:rsidRPr="005739DF">
        <w:rPr>
          <w:rFonts w:ascii="Times New Roman" w:eastAsia="Times New Roman" w:hAnsi="Times New Roman" w:cs="Times New Roman"/>
          <w:b/>
          <w:bCs/>
          <w:sz w:val="28"/>
          <w:szCs w:val="28"/>
          <w:lang w:eastAsia="lv-LV"/>
        </w:rPr>
        <w:t>Likumprojekta</w:t>
      </w:r>
      <w:r w:rsidR="00BC4B95" w:rsidRPr="005739DF">
        <w:rPr>
          <w:rFonts w:ascii="Times New Roman" w:eastAsia="Times New Roman" w:hAnsi="Times New Roman" w:cs="Times New Roman"/>
          <w:b/>
          <w:bCs/>
          <w:sz w:val="28"/>
          <w:szCs w:val="28"/>
          <w:lang w:eastAsia="lv-LV"/>
        </w:rPr>
        <w:t xml:space="preserve"> </w:t>
      </w:r>
      <w:r w:rsidR="003E7B85" w:rsidRPr="005739DF">
        <w:rPr>
          <w:rFonts w:ascii="Times New Roman" w:eastAsia="Times New Roman" w:hAnsi="Times New Roman" w:cs="Times New Roman"/>
          <w:b/>
          <w:bCs/>
          <w:sz w:val="28"/>
          <w:szCs w:val="28"/>
          <w:lang w:eastAsia="lv-LV"/>
        </w:rPr>
        <w:t>"</w:t>
      </w:r>
      <w:r w:rsidRPr="005739DF">
        <w:rPr>
          <w:rFonts w:ascii="Times New Roman" w:eastAsia="Times New Roman" w:hAnsi="Times New Roman" w:cs="Times New Roman"/>
          <w:b/>
          <w:bCs/>
          <w:sz w:val="28"/>
          <w:szCs w:val="28"/>
          <w:lang w:eastAsia="lv-LV"/>
        </w:rPr>
        <w:t xml:space="preserve">Grozījumi </w:t>
      </w:r>
      <w:r w:rsidR="00B20EE7" w:rsidRPr="005739DF">
        <w:rPr>
          <w:rFonts w:ascii="Times New Roman" w:eastAsia="Times New Roman" w:hAnsi="Times New Roman" w:cs="Times New Roman"/>
          <w:b/>
          <w:bCs/>
          <w:sz w:val="28"/>
          <w:szCs w:val="28"/>
          <w:lang w:eastAsia="lv-LV"/>
        </w:rPr>
        <w:t>Finanšu un kapitāla tirgus komisijas</w:t>
      </w:r>
      <w:r w:rsidRPr="005739DF">
        <w:rPr>
          <w:rFonts w:ascii="Times New Roman" w:eastAsia="Times New Roman" w:hAnsi="Times New Roman" w:cs="Times New Roman"/>
          <w:b/>
          <w:bCs/>
          <w:sz w:val="28"/>
          <w:szCs w:val="28"/>
          <w:lang w:eastAsia="lv-LV"/>
        </w:rPr>
        <w:t xml:space="preserve"> likumā</w:t>
      </w:r>
      <w:r w:rsidR="003E7B85" w:rsidRPr="005739DF">
        <w:rPr>
          <w:rFonts w:ascii="Times New Roman" w:eastAsia="Times New Roman" w:hAnsi="Times New Roman" w:cs="Times New Roman"/>
          <w:b/>
          <w:bCs/>
          <w:sz w:val="28"/>
          <w:szCs w:val="28"/>
          <w:lang w:eastAsia="lv-LV"/>
        </w:rPr>
        <w:t xml:space="preserve">" </w:t>
      </w:r>
      <w:r w:rsidRPr="005739DF">
        <w:rPr>
          <w:rFonts w:ascii="Times New Roman" w:eastAsia="Times New Roman" w:hAnsi="Times New Roman" w:cs="Times New Roman"/>
          <w:b/>
          <w:bCs/>
          <w:sz w:val="28"/>
          <w:szCs w:val="28"/>
          <w:lang w:eastAsia="lv-LV"/>
        </w:rPr>
        <w:t>sākotnējās ietekmes novērtējuma ziņojums (anotācija)</w:t>
      </w:r>
    </w:p>
    <w:p w14:paraId="3A7B99CD" w14:textId="77777777" w:rsidR="008C4817" w:rsidRPr="00404CF1" w:rsidRDefault="008C4817" w:rsidP="00B86BD1">
      <w:pPr>
        <w:shd w:val="clear" w:color="auto" w:fill="FFFFFF"/>
        <w:spacing w:after="60" w:line="240" w:lineRule="auto"/>
        <w:jc w:val="center"/>
        <w:rPr>
          <w:rFonts w:ascii="Times New Roman" w:eastAsia="Times New Roman" w:hAnsi="Times New Roman" w:cs="Times New Roman"/>
          <w:sz w:val="24"/>
          <w:szCs w:val="24"/>
          <w:lang w:eastAsia="lv-LV"/>
        </w:rPr>
      </w:pPr>
    </w:p>
    <w:tbl>
      <w:tblPr>
        <w:tblW w:w="8296" w:type="dxa"/>
        <w:tblInd w:w="-10" w:type="dxa"/>
        <w:shd w:val="clear" w:color="auto" w:fill="FFFFFF"/>
        <w:tblCellMar>
          <w:left w:w="0" w:type="dxa"/>
          <w:right w:w="0" w:type="dxa"/>
        </w:tblCellMar>
        <w:tblLook w:val="04A0" w:firstRow="1" w:lastRow="0" w:firstColumn="1" w:lastColumn="0" w:noHBand="0" w:noVBand="1"/>
      </w:tblPr>
      <w:tblGrid>
        <w:gridCol w:w="1934"/>
        <w:gridCol w:w="6362"/>
      </w:tblGrid>
      <w:tr w:rsidR="00816422" w:rsidRPr="00404CF1" w14:paraId="41E9CD22" w14:textId="77777777" w:rsidTr="00600204">
        <w:tc>
          <w:tcPr>
            <w:tcW w:w="82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81C13" w14:textId="77777777" w:rsidR="008C4817" w:rsidRPr="00404CF1" w:rsidRDefault="008C4817" w:rsidP="008C4817">
            <w:pPr>
              <w:spacing w:after="0" w:line="240" w:lineRule="auto"/>
              <w:ind w:left="1080"/>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Tiesību akta projekta anotācijas kopsavilkums</w:t>
            </w:r>
          </w:p>
        </w:tc>
      </w:tr>
      <w:tr w:rsidR="00816422" w:rsidRPr="00404CF1" w14:paraId="4FBA27C2" w14:textId="77777777" w:rsidTr="00600204">
        <w:tc>
          <w:tcPr>
            <w:tcW w:w="1934"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416F6F16" w14:textId="77777777" w:rsidR="008C4817" w:rsidRPr="00404CF1" w:rsidRDefault="008C4817" w:rsidP="008C4817">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Mērķis, risinājums un projekta spēkā stāšanās laiks (500 zīmes bez atstarpēm)</w:t>
            </w:r>
          </w:p>
        </w:tc>
        <w:tc>
          <w:tcPr>
            <w:tcW w:w="6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581BF" w14:textId="22D9F2D4" w:rsidR="008C4817" w:rsidRPr="00404CF1" w:rsidRDefault="008C4817" w:rsidP="008C4817">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Likumprojekts "Grozījumi </w:t>
            </w:r>
            <w:r w:rsidR="00B20EE7" w:rsidRPr="00404CF1">
              <w:rPr>
                <w:rFonts w:ascii="Times New Roman" w:eastAsia="Times New Roman" w:hAnsi="Times New Roman" w:cs="Times New Roman"/>
                <w:sz w:val="24"/>
                <w:szCs w:val="24"/>
                <w:lang w:eastAsia="lv-LV"/>
              </w:rPr>
              <w:t>Finanšu un kapitāla tirgus komisijas</w:t>
            </w:r>
            <w:r w:rsidRPr="00404CF1">
              <w:rPr>
                <w:rFonts w:ascii="Times New Roman" w:eastAsia="Times New Roman" w:hAnsi="Times New Roman" w:cs="Times New Roman"/>
                <w:sz w:val="24"/>
                <w:szCs w:val="24"/>
                <w:lang w:eastAsia="lv-LV"/>
              </w:rPr>
              <w:t xml:space="preserve"> likumā" (turpmāk – Likumprojekts) tiek virzīts izskatīšanai</w:t>
            </w:r>
            <w:r w:rsidR="00B20EE7" w:rsidRPr="00404CF1">
              <w:rPr>
                <w:rFonts w:ascii="Times New Roman" w:eastAsia="Times New Roman" w:hAnsi="Times New Roman" w:cs="Times New Roman"/>
                <w:sz w:val="24"/>
                <w:szCs w:val="24"/>
                <w:lang w:eastAsia="lv-LV"/>
              </w:rPr>
              <w:t xml:space="preserve"> vienlaicīgi ar </w:t>
            </w:r>
            <w:r w:rsidR="005B72F1" w:rsidRPr="00404CF1">
              <w:rPr>
                <w:rFonts w:ascii="Times New Roman" w:eastAsia="Times New Roman" w:hAnsi="Times New Roman" w:cs="Times New Roman"/>
                <w:sz w:val="24"/>
                <w:szCs w:val="24"/>
                <w:lang w:eastAsia="lv-LV"/>
              </w:rPr>
              <w:t>likumprojektu</w:t>
            </w:r>
            <w:r w:rsidR="00B20EE7" w:rsidRPr="00404CF1">
              <w:rPr>
                <w:rFonts w:ascii="Times New Roman" w:eastAsia="Times New Roman" w:hAnsi="Times New Roman" w:cs="Times New Roman"/>
                <w:sz w:val="24"/>
                <w:szCs w:val="24"/>
                <w:lang w:eastAsia="lv-LV"/>
              </w:rPr>
              <w:t xml:space="preserve"> </w:t>
            </w:r>
            <w:r w:rsidR="00B57FDB" w:rsidRPr="00600D86">
              <w:rPr>
                <w:rFonts w:ascii="Times New Roman" w:eastAsia="Times New Roman" w:hAnsi="Times New Roman" w:cs="Times New Roman"/>
                <w:sz w:val="24"/>
                <w:szCs w:val="24"/>
                <w:shd w:val="clear" w:color="auto" w:fill="FFFFFF"/>
                <w:lang w:eastAsia="lv-LV"/>
              </w:rPr>
              <w:t>"</w:t>
            </w:r>
            <w:r w:rsidR="00B20EE7" w:rsidRPr="00404CF1">
              <w:rPr>
                <w:rFonts w:ascii="Times New Roman" w:eastAsia="Times New Roman" w:hAnsi="Times New Roman" w:cs="Times New Roman"/>
                <w:sz w:val="24"/>
                <w:szCs w:val="24"/>
                <w:lang w:eastAsia="lv-LV"/>
              </w:rPr>
              <w:t>Latvijas B</w:t>
            </w:r>
            <w:r w:rsidR="005B72F1" w:rsidRPr="00404CF1">
              <w:rPr>
                <w:rFonts w:ascii="Times New Roman" w:eastAsia="Times New Roman" w:hAnsi="Times New Roman" w:cs="Times New Roman"/>
                <w:sz w:val="24"/>
                <w:szCs w:val="24"/>
                <w:lang w:eastAsia="lv-LV"/>
              </w:rPr>
              <w:t>ankas likums</w:t>
            </w:r>
            <w:r w:rsidR="00B57FDB"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sz w:val="24"/>
                <w:szCs w:val="24"/>
                <w:lang w:eastAsia="lv-LV"/>
              </w:rPr>
              <w:t>.</w:t>
            </w:r>
          </w:p>
          <w:p w14:paraId="1B491261" w14:textId="6E11B1AC" w:rsidR="005B72F1" w:rsidRPr="00404CF1" w:rsidRDefault="008C4817" w:rsidP="009D239F">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Likumprojekta mērķis ir </w:t>
            </w:r>
            <w:r w:rsidR="00816422" w:rsidRPr="00404CF1">
              <w:rPr>
                <w:rFonts w:ascii="Times New Roman" w:eastAsia="Times New Roman" w:hAnsi="Times New Roman" w:cs="Times New Roman"/>
                <w:sz w:val="24"/>
                <w:szCs w:val="24"/>
                <w:lang w:eastAsia="lv-LV"/>
              </w:rPr>
              <w:t xml:space="preserve">noteikt </w:t>
            </w:r>
            <w:r w:rsidR="005B72F1" w:rsidRPr="00404CF1">
              <w:rPr>
                <w:rFonts w:ascii="Times New Roman" w:eastAsia="Times New Roman" w:hAnsi="Times New Roman" w:cs="Times New Roman"/>
                <w:sz w:val="24"/>
                <w:szCs w:val="24"/>
                <w:lang w:eastAsia="lv-LV"/>
              </w:rPr>
              <w:t>nosacījumus</w:t>
            </w:r>
            <w:r w:rsidR="00D31DF8" w:rsidRPr="00404CF1">
              <w:rPr>
                <w:rFonts w:ascii="Times New Roman" w:eastAsia="Times New Roman" w:hAnsi="Times New Roman" w:cs="Times New Roman"/>
                <w:sz w:val="24"/>
                <w:szCs w:val="24"/>
                <w:lang w:eastAsia="lv-LV"/>
              </w:rPr>
              <w:t xml:space="preserve">, kas saistīti </w:t>
            </w:r>
            <w:proofErr w:type="gramStart"/>
            <w:r w:rsidR="00D31DF8" w:rsidRPr="00404CF1">
              <w:rPr>
                <w:rFonts w:ascii="Times New Roman" w:eastAsia="Times New Roman" w:hAnsi="Times New Roman" w:cs="Times New Roman"/>
                <w:sz w:val="24"/>
                <w:szCs w:val="24"/>
                <w:lang w:eastAsia="lv-LV"/>
              </w:rPr>
              <w:t xml:space="preserve">ar </w:t>
            </w:r>
            <w:r w:rsidR="00816422" w:rsidRPr="00404CF1">
              <w:rPr>
                <w:rFonts w:ascii="Times New Roman" w:eastAsia="Times New Roman" w:hAnsi="Times New Roman" w:cs="Times New Roman"/>
                <w:sz w:val="24"/>
                <w:szCs w:val="24"/>
                <w:lang w:eastAsia="lv-LV"/>
              </w:rPr>
              <w:t xml:space="preserve">pārejas </w:t>
            </w:r>
            <w:r w:rsidR="002F15F6" w:rsidRPr="00404CF1">
              <w:rPr>
                <w:rFonts w:ascii="Times New Roman" w:eastAsia="Times New Roman" w:hAnsi="Times New Roman" w:cs="Times New Roman"/>
                <w:sz w:val="24"/>
                <w:szCs w:val="24"/>
                <w:lang w:eastAsia="lv-LV"/>
              </w:rPr>
              <w:t>posma regulējumu Finanšu un kapitāla tirgus</w:t>
            </w:r>
            <w:proofErr w:type="gramEnd"/>
            <w:r w:rsidR="002F15F6" w:rsidRPr="00404CF1">
              <w:rPr>
                <w:rFonts w:ascii="Times New Roman" w:eastAsia="Times New Roman" w:hAnsi="Times New Roman" w:cs="Times New Roman"/>
                <w:sz w:val="24"/>
                <w:szCs w:val="24"/>
                <w:lang w:eastAsia="lv-LV"/>
              </w:rPr>
              <w:t xml:space="preserve"> komisijas (turpmāk – FKTK) pievienošanai Latvijas Bankai</w:t>
            </w:r>
            <w:r w:rsidR="00B20EE7" w:rsidRPr="00404CF1">
              <w:rPr>
                <w:rFonts w:ascii="Times New Roman" w:eastAsia="Times New Roman" w:hAnsi="Times New Roman" w:cs="Times New Roman"/>
                <w:sz w:val="24"/>
                <w:szCs w:val="24"/>
                <w:lang w:eastAsia="lv-LV"/>
              </w:rPr>
              <w:t>.</w:t>
            </w:r>
            <w:r w:rsidR="00FF4A6B" w:rsidRPr="00404CF1">
              <w:rPr>
                <w:rFonts w:ascii="Times New Roman" w:eastAsia="Times New Roman" w:hAnsi="Times New Roman" w:cs="Times New Roman"/>
                <w:sz w:val="24"/>
                <w:szCs w:val="24"/>
                <w:lang w:eastAsia="lv-LV"/>
              </w:rPr>
              <w:t xml:space="preserve"> </w:t>
            </w:r>
          </w:p>
          <w:p w14:paraId="79FBE62C" w14:textId="63B1F3B5" w:rsidR="008C4817" w:rsidRPr="00404CF1" w:rsidRDefault="005B72F1" w:rsidP="004171A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iCs/>
                <w:sz w:val="24"/>
                <w:szCs w:val="24"/>
                <w:lang w:eastAsia="lv-LV"/>
              </w:rPr>
              <w:t xml:space="preserve">Likums stājas spēkā </w:t>
            </w:r>
            <w:r w:rsidR="004171A2" w:rsidRPr="00404CF1">
              <w:rPr>
                <w:rFonts w:ascii="Times New Roman" w:eastAsia="Times New Roman" w:hAnsi="Times New Roman" w:cs="Times New Roman"/>
                <w:iCs/>
                <w:sz w:val="24"/>
                <w:szCs w:val="24"/>
                <w:lang w:eastAsia="lv-LV"/>
              </w:rPr>
              <w:t>vispārējā kārtībā</w:t>
            </w:r>
            <w:r w:rsidRPr="00404CF1">
              <w:rPr>
                <w:rFonts w:ascii="Times New Roman" w:eastAsia="Times New Roman" w:hAnsi="Times New Roman" w:cs="Times New Roman"/>
                <w:iCs/>
                <w:sz w:val="24"/>
                <w:szCs w:val="24"/>
                <w:lang w:eastAsia="lv-LV"/>
              </w:rPr>
              <w:t>.</w:t>
            </w:r>
          </w:p>
        </w:tc>
      </w:tr>
    </w:tbl>
    <w:p w14:paraId="33942E65" w14:textId="77777777" w:rsidR="00B86BD1" w:rsidRPr="00404CF1" w:rsidRDefault="00B86BD1" w:rsidP="00B86BD1">
      <w:pPr>
        <w:shd w:val="clear" w:color="auto" w:fill="FFFFFF"/>
        <w:spacing w:after="60" w:line="240" w:lineRule="auto"/>
        <w:jc w:val="center"/>
        <w:rPr>
          <w:rFonts w:ascii="Times New Roman" w:eastAsia="Times New Roman" w:hAnsi="Times New Roman" w:cs="Times New Roman"/>
          <w:sz w:val="24"/>
          <w:szCs w:val="24"/>
          <w:lang w:eastAsia="lv-LV"/>
        </w:rPr>
      </w:pPr>
    </w:p>
    <w:tbl>
      <w:tblPr>
        <w:tblW w:w="8286" w:type="dxa"/>
        <w:shd w:val="clear" w:color="auto" w:fill="FFFFFF"/>
        <w:tblCellMar>
          <w:left w:w="0" w:type="dxa"/>
          <w:right w:w="0" w:type="dxa"/>
        </w:tblCellMar>
        <w:tblLook w:val="04A0" w:firstRow="1" w:lastRow="0" w:firstColumn="1" w:lastColumn="0" w:noHBand="0" w:noVBand="1"/>
      </w:tblPr>
      <w:tblGrid>
        <w:gridCol w:w="416"/>
        <w:gridCol w:w="1559"/>
        <w:gridCol w:w="6311"/>
      </w:tblGrid>
      <w:tr w:rsidR="00816422" w:rsidRPr="00404CF1" w14:paraId="51780ECC" w14:textId="77777777" w:rsidTr="008B644F">
        <w:tc>
          <w:tcPr>
            <w:tcW w:w="82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C4A844" w14:textId="77777777" w:rsidR="00B86BD1" w:rsidRPr="00404CF1" w:rsidRDefault="00B86BD1" w:rsidP="00B86BD1">
            <w:pPr>
              <w:spacing w:after="0" w:line="240" w:lineRule="auto"/>
              <w:ind w:left="1080"/>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I. Tiesību akta projekta izstrādes nepieciešamība</w:t>
            </w:r>
          </w:p>
        </w:tc>
      </w:tr>
      <w:tr w:rsidR="00816422" w:rsidRPr="00404CF1" w14:paraId="685413E0" w14:textId="77777777" w:rsidTr="008B644F">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C76A3"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C00C79"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Pamatojums</w:t>
            </w:r>
          </w:p>
        </w:tc>
        <w:tc>
          <w:tcPr>
            <w:tcW w:w="63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AE9DDB" w14:textId="50F11F76" w:rsidR="005B72F1" w:rsidRPr="00404CF1" w:rsidRDefault="00B86BD1" w:rsidP="003E7B85">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Likuma "Par Latvijas Banku" pārejas noteikumu 3.</w:t>
            </w:r>
            <w:r w:rsidR="00A52E62" w:rsidRPr="00404CF1">
              <w:rPr>
                <w:rFonts w:ascii="Times New Roman" w:eastAsia="Times New Roman" w:hAnsi="Times New Roman" w:cs="Times New Roman"/>
                <w:sz w:val="24"/>
                <w:szCs w:val="24"/>
                <w:lang w:eastAsia="lv-LV"/>
              </w:rPr>
              <w:t> </w:t>
            </w:r>
            <w:r w:rsidRPr="00404CF1">
              <w:rPr>
                <w:rFonts w:ascii="Times New Roman" w:eastAsia="Times New Roman" w:hAnsi="Times New Roman" w:cs="Times New Roman"/>
                <w:sz w:val="24"/>
                <w:szCs w:val="24"/>
                <w:lang w:eastAsia="lv-LV"/>
              </w:rPr>
              <w:t xml:space="preserve">punkts nosaka, </w:t>
            </w:r>
            <w:r w:rsidR="005B72F1" w:rsidRPr="00404CF1">
              <w:rPr>
                <w:rFonts w:ascii="Times New Roman" w:eastAsia="Times New Roman" w:hAnsi="Times New Roman" w:cs="Times New Roman"/>
                <w:sz w:val="24"/>
                <w:szCs w:val="24"/>
                <w:lang w:eastAsia="lv-LV"/>
              </w:rPr>
              <w:t>ka Ministru kabinets līdz 2020. gada 31. oktobrim iesniedz Saeimai likumprojektu par Latvijas Banku, kurā nosaka tās pārvaldes struktūru un darbību un paredz FKTK pievienošanu Latvijas Bankai, ievērojot monetārās politikas, kā arī finanšu un kapitāla tirgus dalībnieku uzraudzības un noregulējuma iestādes funkciju neatkarību.</w:t>
            </w:r>
          </w:p>
          <w:p w14:paraId="38A9E21C" w14:textId="091EBC2F" w:rsidR="004F48CC" w:rsidRPr="00404CF1" w:rsidRDefault="00B86BD1" w:rsidP="004171A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Ievērojot likumdevēja noteikto uzdevumu, izstrādāts likumprojekts "Latvijas Bank</w:t>
            </w:r>
            <w:r w:rsidR="003E7B85" w:rsidRPr="00404CF1">
              <w:rPr>
                <w:rFonts w:ascii="Times New Roman" w:eastAsia="Times New Roman" w:hAnsi="Times New Roman" w:cs="Times New Roman"/>
                <w:sz w:val="24"/>
                <w:szCs w:val="24"/>
                <w:lang w:eastAsia="lv-LV"/>
              </w:rPr>
              <w:t>as likums</w:t>
            </w:r>
            <w:r w:rsidRPr="00404CF1">
              <w:rPr>
                <w:rFonts w:ascii="Times New Roman" w:eastAsia="Times New Roman" w:hAnsi="Times New Roman" w:cs="Times New Roman"/>
                <w:sz w:val="24"/>
                <w:szCs w:val="24"/>
                <w:lang w:eastAsia="lv-LV"/>
              </w:rPr>
              <w:t>", kurš paredz FKTK pievienošanu Latvijas Bankai</w:t>
            </w:r>
            <w:r w:rsidR="003E7B85" w:rsidRPr="00404CF1">
              <w:rPr>
                <w:rFonts w:ascii="Times New Roman" w:eastAsia="Times New Roman" w:hAnsi="Times New Roman" w:cs="Times New Roman"/>
                <w:sz w:val="24"/>
                <w:szCs w:val="24"/>
                <w:lang w:eastAsia="lv-LV"/>
              </w:rPr>
              <w:t>.</w:t>
            </w:r>
            <w:r w:rsidRPr="00404CF1">
              <w:rPr>
                <w:rFonts w:ascii="Times New Roman" w:eastAsia="Times New Roman" w:hAnsi="Times New Roman" w:cs="Times New Roman"/>
                <w:sz w:val="24"/>
                <w:szCs w:val="24"/>
                <w:lang w:eastAsia="lv-LV"/>
              </w:rPr>
              <w:t xml:space="preserve"> Ņemot vērā minēto, ir nepieciešami atbilstoši </w:t>
            </w:r>
            <w:r w:rsidR="00B071B1" w:rsidRPr="00404CF1">
              <w:rPr>
                <w:rFonts w:ascii="Times New Roman" w:eastAsia="Times New Roman" w:hAnsi="Times New Roman" w:cs="Times New Roman"/>
                <w:sz w:val="24"/>
                <w:szCs w:val="24"/>
                <w:lang w:eastAsia="lv-LV"/>
              </w:rPr>
              <w:t xml:space="preserve">pārejas noteikumi </w:t>
            </w:r>
            <w:r w:rsidR="005B72F1" w:rsidRPr="00404CF1">
              <w:rPr>
                <w:rFonts w:ascii="Times New Roman" w:eastAsia="Times New Roman" w:hAnsi="Times New Roman" w:cs="Times New Roman"/>
                <w:sz w:val="24"/>
                <w:szCs w:val="24"/>
                <w:lang w:eastAsia="lv-LV"/>
              </w:rPr>
              <w:t xml:space="preserve">arī </w:t>
            </w:r>
            <w:r w:rsidR="00151C93" w:rsidRPr="00404CF1">
              <w:rPr>
                <w:rFonts w:ascii="Times New Roman" w:eastAsia="Times New Roman" w:hAnsi="Times New Roman" w:cs="Times New Roman"/>
                <w:sz w:val="24"/>
                <w:szCs w:val="24"/>
                <w:lang w:eastAsia="lv-LV"/>
              </w:rPr>
              <w:t>Finanšu un kapitāla tirgus komisijas likumā</w:t>
            </w:r>
            <w:r w:rsidRPr="00404CF1">
              <w:rPr>
                <w:rFonts w:ascii="Times New Roman" w:eastAsia="Times New Roman" w:hAnsi="Times New Roman" w:cs="Times New Roman"/>
                <w:sz w:val="24"/>
                <w:szCs w:val="24"/>
                <w:lang w:eastAsia="lv-LV"/>
              </w:rPr>
              <w:t>.</w:t>
            </w:r>
          </w:p>
        </w:tc>
      </w:tr>
      <w:tr w:rsidR="00816422" w:rsidRPr="00404CF1" w14:paraId="5D965E8F" w14:textId="77777777" w:rsidTr="008B644F">
        <w:trPr>
          <w:trHeight w:val="557"/>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8B720E"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A382B1"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7D980A9"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c>
        <w:tc>
          <w:tcPr>
            <w:tcW w:w="63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1E01BA" w14:textId="0F45EDE3" w:rsidR="004A326C" w:rsidRPr="00404CF1" w:rsidRDefault="005C4DE2" w:rsidP="004A326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404CF1">
              <w:rPr>
                <w:rStyle w:val="normaltextrun"/>
                <w:rFonts w:ascii="Times New Roman" w:hAnsi="Times New Roman" w:cs="Times New Roman"/>
                <w:sz w:val="24"/>
                <w:szCs w:val="24"/>
              </w:rPr>
              <w:t>Likumprojekt</w:t>
            </w:r>
            <w:r w:rsidR="00055AD5" w:rsidRPr="00404CF1">
              <w:rPr>
                <w:rStyle w:val="normaltextrun"/>
                <w:rFonts w:ascii="Times New Roman" w:hAnsi="Times New Roman" w:cs="Times New Roman"/>
                <w:sz w:val="24"/>
                <w:szCs w:val="24"/>
              </w:rPr>
              <w:t>s</w:t>
            </w:r>
            <w:r w:rsidRPr="00404CF1">
              <w:rPr>
                <w:rStyle w:val="normaltextrun"/>
                <w:rFonts w:ascii="Times New Roman" w:hAnsi="Times New Roman" w:cs="Times New Roman"/>
                <w:sz w:val="24"/>
                <w:szCs w:val="24"/>
              </w:rPr>
              <w:t xml:space="preserve"> </w:t>
            </w:r>
            <w:r w:rsidR="00055AD5" w:rsidRPr="00404CF1">
              <w:rPr>
                <w:rStyle w:val="normaltextrun"/>
                <w:rFonts w:ascii="Times New Roman" w:hAnsi="Times New Roman" w:cs="Times New Roman"/>
                <w:sz w:val="24"/>
                <w:szCs w:val="24"/>
              </w:rPr>
              <w:t xml:space="preserve">paredz papildināt Finanšu un kapitāla tirgus komisijas likuma 20. pantu ar trešo daļu, kas </w:t>
            </w:r>
            <w:r w:rsidRPr="00404CF1">
              <w:rPr>
                <w:rStyle w:val="normaltextrun"/>
                <w:rFonts w:ascii="Times New Roman" w:hAnsi="Times New Roman" w:cs="Times New Roman"/>
                <w:sz w:val="24"/>
                <w:szCs w:val="24"/>
              </w:rPr>
              <w:t xml:space="preserve">nosaka, ka FKTK atbildība par FKTK amatpersonas, darbinieka vai pilnvarnieka rīcību, pildot savus amata pienākumus, iestājas tikai FKTK amatpersonas, darbinieka vai pilnvarnieka tīšas prettiesiskas rīcības vai rupjas neuzmanības gadījumā. Minētā norma likumprojektā ir pārņemta no Kredītiestāžu likuma 111. panta septītās daļas, kas attiecīgā veidā ierobežo FKTK un tās amatpersonu (darbinieku) atbildību. Ar pilnvarnieku konkrētajā gadījumā tiek saprasta persona, kas iecelta ar FKTK lēmumu saskaņā ar Kredītiestāžu likuma 113. panta pirmās daļas 6. punktu un kura ir saņēmusi Kredītiestāžu likuma 117.panta pirmās daļas 3.punktā minētās pilnvaras. </w:t>
            </w:r>
            <w:r w:rsidR="004A326C" w:rsidRPr="00404CF1">
              <w:rPr>
                <w:rFonts w:ascii="Times New Roman" w:eastAsia="Times New Roman" w:hAnsi="Times New Roman" w:cs="Times New Roman"/>
                <w:sz w:val="24"/>
                <w:szCs w:val="24"/>
                <w:lang w:eastAsia="lv-LV"/>
              </w:rPr>
              <w:t xml:space="preserve">Vienlaikus atzīmējams, ka šī Kredītiestāžu likuma norma skatāma sistēmiskā kontekstā arī ar citām normām. Izpratnes par atbildības limitu tiesiskumu novērtējumam īpaši nozīmīgs ir Kredītiestāžu un ieguldījumu brokeru sabiedrību darbības atjaunošanas un noregulējuma likuma 50. panta trīspadsmitajā daļā un 52. panta astotajā daļā noteiktais. Šīs normas noteic, ja noregulējumam izmanto pagaidu iestādes (angliski – </w:t>
            </w:r>
            <w:proofErr w:type="spellStart"/>
            <w:r w:rsidR="004A326C" w:rsidRPr="00404CF1">
              <w:rPr>
                <w:rFonts w:ascii="Times New Roman" w:eastAsia="Times New Roman" w:hAnsi="Times New Roman" w:cs="Times New Roman"/>
                <w:i/>
                <w:iCs/>
                <w:sz w:val="24"/>
                <w:szCs w:val="24"/>
                <w:lang w:eastAsia="lv-LV"/>
              </w:rPr>
              <w:t>bridge</w:t>
            </w:r>
            <w:proofErr w:type="spellEnd"/>
            <w:r w:rsidR="004A326C" w:rsidRPr="00404CF1">
              <w:rPr>
                <w:rFonts w:ascii="Times New Roman" w:eastAsia="Times New Roman" w:hAnsi="Times New Roman" w:cs="Times New Roman"/>
                <w:i/>
                <w:iCs/>
                <w:sz w:val="24"/>
                <w:szCs w:val="24"/>
                <w:lang w:eastAsia="lv-LV"/>
              </w:rPr>
              <w:t xml:space="preserve"> </w:t>
            </w:r>
            <w:proofErr w:type="spellStart"/>
            <w:r w:rsidR="004A326C" w:rsidRPr="00404CF1">
              <w:rPr>
                <w:rFonts w:ascii="Times New Roman" w:eastAsia="Times New Roman" w:hAnsi="Times New Roman" w:cs="Times New Roman"/>
                <w:i/>
                <w:iCs/>
                <w:sz w:val="24"/>
                <w:szCs w:val="24"/>
                <w:lang w:eastAsia="lv-LV"/>
              </w:rPr>
              <w:t>institution</w:t>
            </w:r>
            <w:proofErr w:type="spellEnd"/>
            <w:r w:rsidR="004A326C" w:rsidRPr="00404CF1">
              <w:rPr>
                <w:rFonts w:ascii="Times New Roman" w:eastAsia="Times New Roman" w:hAnsi="Times New Roman" w:cs="Times New Roman"/>
                <w:sz w:val="24"/>
                <w:szCs w:val="24"/>
                <w:lang w:eastAsia="lv-LV"/>
              </w:rPr>
              <w:t xml:space="preserve">) vai aktīvu nodalīšanas instrumentu, attiecīgi </w:t>
            </w:r>
            <w:r w:rsidR="004A326C" w:rsidRPr="00404CF1">
              <w:rPr>
                <w:rFonts w:ascii="Times New Roman" w:eastAsia="Times New Roman" w:hAnsi="Times New Roman" w:cs="Times New Roman"/>
                <w:sz w:val="24"/>
                <w:szCs w:val="24"/>
                <w:lang w:eastAsia="lv-LV"/>
              </w:rPr>
              <w:lastRenderedPageBreak/>
              <w:t xml:space="preserve">izveidotā pagaidu iestāde un tās valde, padome vai augstākā vadība vai attiecīgi aktīvu pārvaldes sabiedrība un tās valde, padome vai augstākā vadība nav atbildīga par darbību vai bezdarbību, veicot savus pienākumus, izņemot rupju neuzmanību. Minētie likuma panti transponē </w:t>
            </w:r>
            <w:r w:rsidR="00482CDD" w:rsidRPr="00482CDD">
              <w:rPr>
                <w:rFonts w:ascii="Times New Roman" w:eastAsia="Times New Roman" w:hAnsi="Times New Roman" w:cs="Times New Roman"/>
                <w:sz w:val="24"/>
                <w:szCs w:val="24"/>
                <w:lang w:eastAsia="lv-LV"/>
              </w:rPr>
              <w:t xml:space="preserve">Eiropas Parlamenta un Padomes 2014. gada </w:t>
            </w:r>
            <w:r w:rsidR="00482CDD" w:rsidRPr="00482CDD">
              <w:rPr>
                <w:rFonts w:ascii="Times New Roman" w:eastAsia="Times New Roman" w:hAnsi="Times New Roman" w:cs="Times New Roman"/>
                <w:bCs/>
                <w:sz w:val="24"/>
                <w:szCs w:val="24"/>
                <w:lang w:eastAsia="lv-LV"/>
              </w:rPr>
              <w:t>15. maija</w:t>
            </w:r>
            <w:r w:rsidR="00482CDD" w:rsidRPr="00482CDD">
              <w:rPr>
                <w:rFonts w:ascii="Times New Roman" w:eastAsia="Times New Roman" w:hAnsi="Times New Roman" w:cs="Times New Roman"/>
                <w:sz w:val="24"/>
                <w:szCs w:val="24"/>
                <w:lang w:eastAsia="lv-LV"/>
              </w:rPr>
              <w:t xml:space="preserve"> direktīvas 2014/</w:t>
            </w:r>
            <w:r w:rsidR="00482CDD" w:rsidRPr="00482CDD">
              <w:rPr>
                <w:rFonts w:ascii="Times New Roman" w:eastAsia="Times New Roman" w:hAnsi="Times New Roman" w:cs="Times New Roman"/>
                <w:bCs/>
                <w:sz w:val="24"/>
                <w:szCs w:val="24"/>
                <w:lang w:eastAsia="lv-LV"/>
              </w:rPr>
              <w:t>59</w:t>
            </w:r>
            <w:r w:rsidR="00482CDD" w:rsidRPr="00482CDD">
              <w:rPr>
                <w:rFonts w:ascii="Times New Roman" w:eastAsia="Times New Roman" w:hAnsi="Times New Roman" w:cs="Times New Roman"/>
                <w:sz w:val="24"/>
                <w:szCs w:val="24"/>
                <w:lang w:eastAsia="lv-LV"/>
              </w:rPr>
              <w:t xml:space="preserve">/ES, </w:t>
            </w:r>
            <w:r w:rsidR="00482CDD" w:rsidRPr="00482CDD">
              <w:rPr>
                <w:rFonts w:ascii="Times New Roman" w:eastAsia="Times New Roman" w:hAnsi="Times New Roman" w:cs="Times New Roman"/>
                <w:bCs/>
                <w:sz w:val="24"/>
                <w:szCs w:val="24"/>
                <w:lang w:eastAsia="lv-LV"/>
              </w:rPr>
              <w:t xml:space="preserve">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w:t>
            </w:r>
            <w:r w:rsidR="004A326C" w:rsidRPr="00482CDD">
              <w:rPr>
                <w:rFonts w:ascii="Times New Roman" w:eastAsia="Times New Roman" w:hAnsi="Times New Roman" w:cs="Times New Roman"/>
                <w:sz w:val="24"/>
                <w:szCs w:val="24"/>
                <w:lang w:eastAsia="lv-LV"/>
              </w:rPr>
              <w:t>normas</w:t>
            </w:r>
            <w:r w:rsidR="004A326C" w:rsidRPr="00404CF1">
              <w:rPr>
                <w:rFonts w:ascii="Times New Roman" w:eastAsia="Times New Roman" w:hAnsi="Times New Roman" w:cs="Times New Roman"/>
                <w:sz w:val="24"/>
                <w:szCs w:val="24"/>
                <w:lang w:eastAsia="lv-LV"/>
              </w:rPr>
              <w:t>, konkrēti 40. panta 12. punktu un 42. panta 13. punktu. Eiropas Centrālā banka jau agrāk, sniedzot atzinumu par citas valsts likumu, kas noteiktu valsts centrālās bankas un tās amatpersonu atbildības nosacījumus, vērsusi uzmanību, ka nav saskatāmi pietiekami pamati atšķirīgai pieejai attiecībā uz atbildību, ko likums noteiktu šādām noregulējumu īstenojošām iestādēm un to vadībai, un atbildību, ko likums vispārīgā kārtībā bez izņēmuma noteiktu valsts centrālajai bankai un tās amatpersonām, kuras arī piedalās noregulējuma īstenošanā.</w:t>
            </w:r>
            <w:r w:rsidR="004A326C" w:rsidRPr="00404CF1">
              <w:rPr>
                <w:rStyle w:val="FootnoteReference"/>
                <w:rFonts w:ascii="Times New Roman" w:eastAsia="Times New Roman" w:hAnsi="Times New Roman" w:cs="Times New Roman"/>
                <w:sz w:val="24"/>
                <w:szCs w:val="24"/>
                <w:lang w:eastAsia="lv-LV"/>
              </w:rPr>
              <w:footnoteReference w:id="1"/>
            </w:r>
          </w:p>
          <w:p w14:paraId="6924060C" w14:textId="77777777" w:rsidR="00061CAD" w:rsidRPr="00404CF1" w:rsidRDefault="004A326C" w:rsidP="00061CAD">
            <w:pPr>
              <w:shd w:val="clear" w:color="auto" w:fill="FFFFFF" w:themeFill="background1"/>
              <w:spacing w:after="0" w:line="240" w:lineRule="auto"/>
              <w:jc w:val="both"/>
              <w:rPr>
                <w:rStyle w:val="normaltextrun"/>
                <w:rFonts w:ascii="Times New Roman" w:hAnsi="Times New Roman" w:cs="Times New Roman"/>
                <w:sz w:val="24"/>
                <w:szCs w:val="24"/>
              </w:rPr>
            </w:pPr>
            <w:r w:rsidRPr="00404CF1">
              <w:rPr>
                <w:rFonts w:ascii="Times New Roman" w:eastAsia="Times New Roman" w:hAnsi="Times New Roman" w:cs="Times New Roman"/>
                <w:sz w:val="24"/>
                <w:szCs w:val="24"/>
                <w:lang w:eastAsia="lv-LV"/>
              </w:rPr>
              <w:t>Līdz ar to u</w:t>
            </w:r>
            <w:r w:rsidR="005C4DE2" w:rsidRPr="00404CF1">
              <w:rPr>
                <w:rStyle w:val="normaltextrun"/>
                <w:rFonts w:ascii="Times New Roman" w:hAnsi="Times New Roman" w:cs="Times New Roman"/>
                <w:sz w:val="24"/>
                <w:szCs w:val="24"/>
              </w:rPr>
              <w:t xml:space="preserve">z zaudējumu atlīdzināšanu attiecināms Valsts pārvaldes iestāžu nodarīto zaudējumu atlīdzināšanas likuma tiesiskais regulējums kā vispārīgais zaudējumu atlīdzināšanas ietvars, ievērojot šo speciālo normu par </w:t>
            </w:r>
            <w:r w:rsidRPr="00404CF1">
              <w:rPr>
                <w:rStyle w:val="normaltextrun"/>
                <w:rFonts w:ascii="Times New Roman" w:hAnsi="Times New Roman" w:cs="Times New Roman"/>
                <w:sz w:val="24"/>
                <w:szCs w:val="24"/>
              </w:rPr>
              <w:t xml:space="preserve">FKTK </w:t>
            </w:r>
            <w:r w:rsidR="005C4DE2" w:rsidRPr="00404CF1">
              <w:rPr>
                <w:rStyle w:val="normaltextrun"/>
                <w:rFonts w:ascii="Times New Roman" w:hAnsi="Times New Roman" w:cs="Times New Roman"/>
                <w:sz w:val="24"/>
                <w:szCs w:val="24"/>
              </w:rPr>
              <w:t>atbildības ierobežojumu.</w:t>
            </w:r>
            <w:r w:rsidR="00485C52" w:rsidRPr="00404CF1">
              <w:rPr>
                <w:rStyle w:val="normaltextrun"/>
                <w:rFonts w:ascii="Times New Roman" w:hAnsi="Times New Roman" w:cs="Times New Roman"/>
                <w:sz w:val="24"/>
                <w:szCs w:val="24"/>
              </w:rPr>
              <w:t xml:space="preserve"> </w:t>
            </w:r>
          </w:p>
          <w:p w14:paraId="4146AF5A" w14:textId="3B2A8458" w:rsidR="005C4DE2" w:rsidRPr="00404CF1" w:rsidRDefault="005C4DE2" w:rsidP="00061CAD">
            <w:pPr>
              <w:shd w:val="clear" w:color="auto" w:fill="FFFFFF" w:themeFill="background1"/>
              <w:spacing w:after="0" w:line="240" w:lineRule="auto"/>
              <w:jc w:val="both"/>
              <w:rPr>
                <w:rStyle w:val="normaltextrun"/>
                <w:rFonts w:ascii="Times New Roman" w:eastAsia="Times New Roman" w:hAnsi="Times New Roman" w:cs="Times New Roman"/>
                <w:sz w:val="24"/>
                <w:szCs w:val="24"/>
                <w:lang w:eastAsia="lv-LV"/>
              </w:rPr>
            </w:pPr>
            <w:r w:rsidRPr="00404CF1">
              <w:rPr>
                <w:rStyle w:val="normaltextrun"/>
                <w:rFonts w:ascii="Times New Roman" w:hAnsi="Times New Roman" w:cs="Times New Roman"/>
                <w:sz w:val="24"/>
                <w:szCs w:val="24"/>
              </w:rPr>
              <w:t xml:space="preserve">Latvijas Republikas Satversmes 92. panta trešais teikums noteic, ka nepamatota tiesību aizskāruma gadījumā ikvienam ir tiesības uz atbilstīgu atlīdzinājumu. Satversmes tiesa atzinusi, ka likumdevējam ir pienākums noteikt tādu regulējumu, kas personas tiesību pārkāpuma gadījumā ļautu īstenot efektīvu tiesisko aizsardzību. (Satversmes tiesas 2012. gada 6. jūnija sprieduma lietā Nr. 2011-21-01 7. punkts.) Tiesas kontrole pār izpildvaras lēmumiem ir viens no tiesiskas valsts pamatprincipiem, kas izriet no valsts varas dalīšanas idejas, savukārt atbilstīga atlīdzinājuma ierobežojumu noteikšanā likumdevējs ir saistīts ar pienākumu ievērot Latvijas Republikas Satversmē noteiktās pamattiesības un vispārējos tiesību principus. (Salīdzinājumam skat. Satversmes tiesas 2012. gada 6. jūnija sprieduma lietā Nr. 2011-21-01 11.3. punktu.) Eiropas Padomes 1984. gada 18. septembra rekomendācija Nr. R(84) 15 par valsts atbildību  ietver principu, ka tieši valstij ir tiesības savos normatīvajos aktos noteikt atlīdzības limitus, veidu un kārtību (V princips). </w:t>
            </w:r>
          </w:p>
          <w:p w14:paraId="5F56A55A" w14:textId="7EF26B90" w:rsidR="005C4DE2" w:rsidRPr="00404CF1" w:rsidRDefault="005C4DE2" w:rsidP="005C4DE2">
            <w:pPr>
              <w:pStyle w:val="paragraph"/>
              <w:spacing w:before="0" w:beforeAutospacing="0" w:after="0" w:afterAutospacing="0"/>
              <w:jc w:val="both"/>
              <w:textAlignment w:val="baseline"/>
              <w:rPr>
                <w:rStyle w:val="normaltextrun"/>
              </w:rPr>
            </w:pPr>
            <w:r w:rsidRPr="00404CF1">
              <w:rPr>
                <w:rStyle w:val="normaltextrun"/>
              </w:rPr>
              <w:t>Tiesību uz atbilstīgu atlīdzinājumu īstenošanā jāsamēro sabiedrības un individuālās intereses, un šīs atlīdzinājuma tiesības nevar būt absolūtas. Demokrātiskajās iekārtās atzīts, ka gadījumi, kas saistīti ar finanšu tirgus un tā dalībnieku uzrauga vieglas neuzmanības rezultātā nodarītajiem zaudējumiem, nebūtu jāaptver ar atlīdzības pienākumu, jo jānodrošina saprātīga un samērīga robeža starp institūcijas darbības un rīcības brīvību un sabiedrības interesēm un tiesībām šo rīcību kontrolēt</w:t>
            </w:r>
            <w:proofErr w:type="gramStart"/>
            <w:r w:rsidRPr="00404CF1">
              <w:rPr>
                <w:rStyle w:val="normaltextrun"/>
              </w:rPr>
              <w:t xml:space="preserve"> .</w:t>
            </w:r>
            <w:proofErr w:type="gramEnd"/>
            <w:r w:rsidRPr="00404CF1">
              <w:rPr>
                <w:rStyle w:val="normaltextrun"/>
              </w:rPr>
              <w:t xml:space="preserve"> Turklāt, ja uzrauga atbildība nav aprobežota, tas var apdraudēt uzrauga rīcībspēju, kā arī potenciāli atturēt to no operatīvu un reizēm arī riskantu lēmumu pieņemšanas, kas nepieciešami, lai savlaicīgi pasargātu finanšu tirgu. </w:t>
            </w:r>
            <w:proofErr w:type="gramStart"/>
            <w:r w:rsidRPr="00404CF1">
              <w:rPr>
                <w:rStyle w:val="normaltextrun"/>
              </w:rPr>
              <w:t>Papildus,</w:t>
            </w:r>
            <w:proofErr w:type="gramEnd"/>
            <w:r w:rsidRPr="00404CF1">
              <w:rPr>
                <w:rStyle w:val="normaltextrun"/>
              </w:rPr>
              <w:t xml:space="preserve"> ir svarīgi apzināties, ka uzrauga neierobežota atbildība veicinātu tikai vienas sabiedrības grupas (finanšu tirgus dalībnieku akcionāru un to ieguldītāju) mantiskās intereses, jo tieši šī personu grupa ir visvairāk motivēta vērsties pret uzraugošo iestādi ar prasībām par zaudējumu atlīdzību saistībā ar finanšu tirgus dalībniekiem adresētajiem lēmumiem. Tādēļ finanšu tirgus uzraudzība, ierobežojot atbildību ar tīšu prettiesisku rīcību vai rupju neuzmanību, sniegtu augstāku guvumu sabiedrībai kopumā un būtu </w:t>
            </w:r>
            <w:proofErr w:type="spellStart"/>
            <w:r w:rsidRPr="00404CF1">
              <w:rPr>
                <w:rStyle w:val="normaltextrun"/>
              </w:rPr>
              <w:t>prioritizējama</w:t>
            </w:r>
            <w:proofErr w:type="spellEnd"/>
            <w:r w:rsidRPr="00404CF1">
              <w:rPr>
                <w:rStyle w:val="normaltextrun"/>
              </w:rPr>
              <w:t xml:space="preserve"> salīdzinājumā ar individuālas sabiedrības grupas interesēm. Šādās situācijās vispārīgais regulējums, kas paredzēts Valsts pārvaldes iestāžu nodarīto zaudējumu atlīdzināšanas likumā, nav pietiekams.</w:t>
            </w:r>
          </w:p>
          <w:p w14:paraId="35156FC5" w14:textId="481C74A7" w:rsidR="003846A6" w:rsidRPr="00404CF1" w:rsidRDefault="003846A6" w:rsidP="005C4DE2">
            <w:pPr>
              <w:pStyle w:val="paragraph"/>
              <w:spacing w:before="0" w:beforeAutospacing="0" w:after="0" w:afterAutospacing="0"/>
              <w:jc w:val="both"/>
              <w:textAlignment w:val="baseline"/>
              <w:rPr>
                <w:rStyle w:val="normaltextrun"/>
              </w:rPr>
            </w:pPr>
            <w:r w:rsidRPr="00404CF1">
              <w:t xml:space="preserve">Atbildības ierobežojums </w:t>
            </w:r>
            <w:r w:rsidR="00061CAD" w:rsidRPr="00404CF1">
              <w:t xml:space="preserve">kompetentajām uzraudzības iestādēm, t.sk. </w:t>
            </w:r>
            <w:r w:rsidRPr="00404CF1">
              <w:t>centrālajām bankām, kas īsteno uzraudzību</w:t>
            </w:r>
            <w:r w:rsidRPr="00404CF1">
              <w:rPr>
                <w:rStyle w:val="FootnoteReference"/>
              </w:rPr>
              <w:footnoteReference w:id="2"/>
            </w:r>
            <w:r w:rsidRPr="00404CF1">
              <w:rPr>
                <w:vertAlign w:val="superscript"/>
              </w:rPr>
              <w:t>,</w:t>
            </w:r>
            <w:r w:rsidRPr="00404CF1">
              <w:rPr>
                <w:rStyle w:val="FootnoteReference"/>
              </w:rPr>
              <w:footnoteReference w:id="3"/>
            </w:r>
            <w:r w:rsidR="00061CAD" w:rsidRPr="00404CF1">
              <w:rPr>
                <w:vertAlign w:val="superscript"/>
              </w:rPr>
              <w:t>,</w:t>
            </w:r>
            <w:r w:rsidRPr="00404CF1">
              <w:rPr>
                <w:rStyle w:val="FootnoteReference"/>
              </w:rPr>
              <w:footnoteReference w:id="4"/>
            </w:r>
            <w:r w:rsidR="00061CAD" w:rsidRPr="00404CF1">
              <w:t>,</w:t>
            </w:r>
            <w:r w:rsidRPr="00404CF1">
              <w:t xml:space="preserve"> ir nostiprināts arī vairākos Eiropas Savienības dalībvalstu tiesību aktos un Bāzeles Banku uzraudzības komitejas (</w:t>
            </w:r>
            <w:proofErr w:type="spellStart"/>
            <w:r w:rsidRPr="00404CF1">
              <w:rPr>
                <w:i/>
                <w:iCs/>
              </w:rPr>
              <w:t>Basel</w:t>
            </w:r>
            <w:proofErr w:type="spellEnd"/>
            <w:r w:rsidRPr="00404CF1">
              <w:rPr>
                <w:i/>
                <w:iCs/>
              </w:rPr>
              <w:t xml:space="preserve"> </w:t>
            </w:r>
            <w:proofErr w:type="spellStart"/>
            <w:r w:rsidRPr="00404CF1">
              <w:rPr>
                <w:i/>
                <w:iCs/>
              </w:rPr>
              <w:t>Committee</w:t>
            </w:r>
            <w:proofErr w:type="spellEnd"/>
            <w:r w:rsidRPr="00404CF1">
              <w:rPr>
                <w:i/>
                <w:iCs/>
              </w:rPr>
              <w:t xml:space="preserve"> </w:t>
            </w:r>
            <w:proofErr w:type="spellStart"/>
            <w:r w:rsidRPr="00404CF1">
              <w:rPr>
                <w:i/>
                <w:iCs/>
              </w:rPr>
              <w:t>on</w:t>
            </w:r>
            <w:proofErr w:type="spellEnd"/>
            <w:r w:rsidRPr="00404CF1">
              <w:rPr>
                <w:i/>
                <w:iCs/>
              </w:rPr>
              <w:t xml:space="preserve"> </w:t>
            </w:r>
            <w:proofErr w:type="spellStart"/>
            <w:r w:rsidRPr="00404CF1">
              <w:rPr>
                <w:i/>
                <w:iCs/>
              </w:rPr>
              <w:t>Banking</w:t>
            </w:r>
            <w:proofErr w:type="spellEnd"/>
            <w:r w:rsidRPr="00404CF1">
              <w:rPr>
                <w:i/>
                <w:iCs/>
              </w:rPr>
              <w:t xml:space="preserve"> </w:t>
            </w:r>
            <w:proofErr w:type="spellStart"/>
            <w:r w:rsidRPr="00404CF1">
              <w:rPr>
                <w:i/>
                <w:iCs/>
              </w:rPr>
              <w:t>Supervision</w:t>
            </w:r>
            <w:proofErr w:type="spellEnd"/>
            <w:r w:rsidRPr="00404CF1">
              <w:t xml:space="preserve"> – angļu val.) Efektīvas banku uzraudzības pamatprincipos </w:t>
            </w:r>
            <w:proofErr w:type="gramStart"/>
            <w:r w:rsidRPr="00404CF1">
              <w:t>(</w:t>
            </w:r>
            <w:proofErr w:type="spellStart"/>
            <w:proofErr w:type="gramEnd"/>
            <w:r w:rsidRPr="00404CF1">
              <w:rPr>
                <w:i/>
                <w:iCs/>
              </w:rPr>
              <w:t>Core</w:t>
            </w:r>
            <w:proofErr w:type="spellEnd"/>
            <w:r w:rsidRPr="00404CF1">
              <w:rPr>
                <w:i/>
                <w:iCs/>
              </w:rPr>
              <w:t xml:space="preserve"> </w:t>
            </w:r>
            <w:proofErr w:type="spellStart"/>
            <w:r w:rsidRPr="00404CF1">
              <w:rPr>
                <w:i/>
                <w:iCs/>
              </w:rPr>
              <w:t>Principles</w:t>
            </w:r>
            <w:proofErr w:type="spellEnd"/>
            <w:r w:rsidRPr="00404CF1">
              <w:rPr>
                <w:i/>
                <w:iCs/>
              </w:rPr>
              <w:t xml:space="preserve"> </w:t>
            </w:r>
            <w:proofErr w:type="spellStart"/>
            <w:r w:rsidRPr="00404CF1">
              <w:rPr>
                <w:i/>
                <w:iCs/>
              </w:rPr>
              <w:t>for</w:t>
            </w:r>
            <w:proofErr w:type="spellEnd"/>
            <w:r w:rsidRPr="00404CF1">
              <w:rPr>
                <w:i/>
                <w:iCs/>
              </w:rPr>
              <w:t xml:space="preserve"> </w:t>
            </w:r>
            <w:proofErr w:type="spellStart"/>
            <w:r w:rsidRPr="00404CF1">
              <w:rPr>
                <w:i/>
                <w:iCs/>
              </w:rPr>
              <w:t>Effective</w:t>
            </w:r>
            <w:proofErr w:type="spellEnd"/>
            <w:r w:rsidRPr="00404CF1">
              <w:rPr>
                <w:i/>
                <w:iCs/>
              </w:rPr>
              <w:t xml:space="preserve"> </w:t>
            </w:r>
            <w:proofErr w:type="spellStart"/>
            <w:r w:rsidRPr="00404CF1">
              <w:rPr>
                <w:i/>
                <w:iCs/>
              </w:rPr>
              <w:t>Banking</w:t>
            </w:r>
            <w:proofErr w:type="spellEnd"/>
            <w:r w:rsidRPr="00404CF1">
              <w:rPr>
                <w:i/>
                <w:iCs/>
              </w:rPr>
              <w:t xml:space="preserve"> </w:t>
            </w:r>
            <w:proofErr w:type="spellStart"/>
            <w:r w:rsidRPr="00404CF1">
              <w:rPr>
                <w:i/>
                <w:iCs/>
              </w:rPr>
              <w:t>Supervision</w:t>
            </w:r>
            <w:proofErr w:type="spellEnd"/>
            <w:r w:rsidRPr="00404CF1">
              <w:t xml:space="preserve"> – angļu val.),</w:t>
            </w:r>
            <w:r w:rsidRPr="00404CF1">
              <w:rPr>
                <w:rStyle w:val="FootnoteReference"/>
              </w:rPr>
              <w:footnoteReference w:id="5"/>
            </w:r>
            <w:r w:rsidRPr="00404CF1">
              <w:t xml:space="preserve"> kas, pirmkārt, nosaka kredītiestāžu uzraudzības iestādes darbības autonomijas principu un, otrkārt, paredz prasību ietvert tiesiskajā regulējumā uzraudzības iestādei un tās darbiniekiem aizsardzību pret tiesvedībām par darbībām un/ vai bezdarbību, kas izdarīta, godprātīgi veicot savus pienākumus. Turklāt, Eiropas Centrālā banka savā viedoklī</w:t>
            </w:r>
            <w:r w:rsidRPr="00404CF1">
              <w:rPr>
                <w:rStyle w:val="FootnoteReference"/>
              </w:rPr>
              <w:footnoteReference w:id="6"/>
            </w:r>
            <w:r w:rsidRPr="00404CF1">
              <w:t xml:space="preserve"> par atbildības noteikšanu centrālās bankas valdes locekļiem un tās darbiniekiem ir paudusi uzskatu, ka atbildības ierobežošana iepriekšminētajām personām korekti inkorporē minētos Bāzeles pamatprincipus, tādējādi veicinot juridisko noteiktību un stabilitāti.</w:t>
            </w:r>
          </w:p>
          <w:p w14:paraId="4355AFB3" w14:textId="77777777" w:rsidR="005C4DE2" w:rsidRPr="00404CF1" w:rsidRDefault="005C4DE2" w:rsidP="00CC045B">
            <w:pPr>
              <w:pStyle w:val="paragraph"/>
              <w:spacing w:before="0" w:beforeAutospacing="0" w:after="0" w:afterAutospacing="0"/>
              <w:jc w:val="both"/>
              <w:textAlignment w:val="baseline"/>
              <w:rPr>
                <w:rStyle w:val="normaltextrun"/>
              </w:rPr>
            </w:pPr>
          </w:p>
          <w:p w14:paraId="2B06CDD7" w14:textId="7627D3AA" w:rsidR="006857C3" w:rsidRPr="00404CF1" w:rsidRDefault="00CC045B" w:rsidP="00CC045B">
            <w:pPr>
              <w:pStyle w:val="paragraph"/>
              <w:spacing w:before="0" w:beforeAutospacing="0" w:after="0" w:afterAutospacing="0"/>
              <w:jc w:val="both"/>
              <w:textAlignment w:val="baseline"/>
              <w:rPr>
                <w:rStyle w:val="eop"/>
              </w:rPr>
            </w:pPr>
            <w:r w:rsidRPr="00404CF1">
              <w:rPr>
                <w:rStyle w:val="normaltextrun"/>
              </w:rPr>
              <w:t xml:space="preserve">Likumprojekts paredz </w:t>
            </w:r>
            <w:r w:rsidR="005C4DE2" w:rsidRPr="00404CF1">
              <w:rPr>
                <w:rStyle w:val="normaltextrun"/>
              </w:rPr>
              <w:t xml:space="preserve">arī </w:t>
            </w:r>
            <w:r w:rsidR="001E061E" w:rsidRPr="00404CF1">
              <w:rPr>
                <w:rStyle w:val="normaltextrun"/>
              </w:rPr>
              <w:t xml:space="preserve">papildināt </w:t>
            </w:r>
            <w:r w:rsidR="001E061E" w:rsidRPr="00404CF1">
              <w:t xml:space="preserve">Finanšu un kapitāla tirgus komisijas likuma (turpmāk – Likums) </w:t>
            </w:r>
            <w:r w:rsidRPr="00404CF1">
              <w:rPr>
                <w:rStyle w:val="eop"/>
              </w:rPr>
              <w:t>pārejas regulējum</w:t>
            </w:r>
            <w:r w:rsidR="008E52A9" w:rsidRPr="00404CF1">
              <w:rPr>
                <w:rStyle w:val="eop"/>
              </w:rPr>
              <w:t>u</w:t>
            </w:r>
            <w:r w:rsidRPr="00404CF1">
              <w:rPr>
                <w:rStyle w:val="eop"/>
              </w:rPr>
              <w:t xml:space="preserve"> saistībā ar FKTK pievienošanu Latvijas Bankai</w:t>
            </w:r>
            <w:r w:rsidR="006857C3" w:rsidRPr="00404CF1">
              <w:rPr>
                <w:rStyle w:val="eop"/>
              </w:rPr>
              <w:t xml:space="preserve">: </w:t>
            </w:r>
          </w:p>
          <w:p w14:paraId="2570C5C6" w14:textId="69A8335A" w:rsidR="00BC192C" w:rsidRPr="00404CF1" w:rsidRDefault="005C4DE2" w:rsidP="00BC192C">
            <w:pPr>
              <w:pStyle w:val="paragraph"/>
              <w:numPr>
                <w:ilvl w:val="0"/>
                <w:numId w:val="4"/>
              </w:numPr>
              <w:spacing w:before="0" w:beforeAutospacing="0" w:after="0" w:afterAutospacing="0"/>
              <w:jc w:val="both"/>
              <w:textAlignment w:val="baseline"/>
              <w:rPr>
                <w:rStyle w:val="eop"/>
              </w:rPr>
            </w:pPr>
            <w:r w:rsidRPr="00404CF1">
              <w:rPr>
                <w:rStyle w:val="eop"/>
              </w:rPr>
              <w:t xml:space="preserve">Likumu plānots papildināt ar pārejas noteikumu </w:t>
            </w:r>
            <w:r w:rsidR="004A326C" w:rsidRPr="00404CF1">
              <w:rPr>
                <w:rStyle w:val="eop"/>
              </w:rPr>
              <w:br/>
            </w:r>
            <w:r w:rsidRPr="00404CF1">
              <w:rPr>
                <w:rStyle w:val="eop"/>
              </w:rPr>
              <w:t xml:space="preserve">27. punktu, nosakot, ka </w:t>
            </w:r>
            <w:r w:rsidR="00BC192C" w:rsidRPr="00404CF1">
              <w:rPr>
                <w:rStyle w:val="eop"/>
              </w:rPr>
              <w:t xml:space="preserve">FKTK padome </w:t>
            </w:r>
            <w:r w:rsidR="00024BEA">
              <w:rPr>
                <w:rStyle w:val="eop"/>
              </w:rPr>
              <w:t xml:space="preserve">būs </w:t>
            </w:r>
            <w:r w:rsidR="00BC192C" w:rsidRPr="00404CF1">
              <w:rPr>
                <w:rStyle w:val="eop"/>
              </w:rPr>
              <w:t>atbildī</w:t>
            </w:r>
            <w:r w:rsidR="00024BEA">
              <w:rPr>
                <w:rStyle w:val="eop"/>
              </w:rPr>
              <w:t>g</w:t>
            </w:r>
            <w:r w:rsidR="00BC192C" w:rsidRPr="00404CF1">
              <w:rPr>
                <w:rStyle w:val="eop"/>
              </w:rPr>
              <w:t>a par tādas iekšējās kontroles sistēmas uzturēšanu, kāda nepieciešama, lai nodrošinātu FKTK 2022.</w:t>
            </w:r>
            <w:r w:rsidR="00024BEA">
              <w:rPr>
                <w:rStyle w:val="eop"/>
              </w:rPr>
              <w:t xml:space="preserve"> </w:t>
            </w:r>
            <w:r w:rsidR="00BC192C" w:rsidRPr="00404CF1">
              <w:rPr>
                <w:rStyle w:val="eop"/>
              </w:rPr>
              <w:t>gada finanšu pārskatu, kas sniedz patiesu un skaidru priekšstatu un nesatur ne krāpšanas risku, ne kļūdas dēļ izraisītas būtiskas neatbilstības, sagatavošanu</w:t>
            </w:r>
            <w:r w:rsidR="00024BEA">
              <w:rPr>
                <w:rStyle w:val="eop"/>
              </w:rPr>
              <w:t>. Tas nepieciešams, lai no</w:t>
            </w:r>
            <w:r w:rsidR="004E080B">
              <w:rPr>
                <w:rStyle w:val="eop"/>
              </w:rPr>
              <w:t>teiktu</w:t>
            </w:r>
            <w:r w:rsidR="00024BEA">
              <w:rPr>
                <w:rStyle w:val="eop"/>
              </w:rPr>
              <w:t xml:space="preserve"> FKTK padomes atbildību </w:t>
            </w:r>
            <w:r w:rsidR="004E080B">
              <w:rPr>
                <w:rStyle w:val="eop"/>
              </w:rPr>
              <w:t xml:space="preserve">par pienācīgas kontroles sistēmas uzturēšanu (šī atbildība paliek FKTK padomei). Tas ir īpaši svarīgi, jo saskaņā ar Latvijas Bankas likumprojektu, kas tiek virzīts vienlaikus ar šo likumprojektu, </w:t>
            </w:r>
            <w:r w:rsidR="004E080B" w:rsidRPr="00404CF1">
              <w:rPr>
                <w:rStyle w:val="eop"/>
              </w:rPr>
              <w:t>FKTK 2022. gada finanšu un gada pārskatus apstiprin</w:t>
            </w:r>
            <w:r w:rsidR="004E080B">
              <w:rPr>
                <w:rStyle w:val="eop"/>
              </w:rPr>
              <w:t>ās</w:t>
            </w:r>
            <w:r w:rsidR="004E080B" w:rsidRPr="00404CF1">
              <w:rPr>
                <w:rStyle w:val="eop"/>
              </w:rPr>
              <w:t xml:space="preserve"> Latvijas Bankas padome</w:t>
            </w:r>
            <w:r w:rsidR="00BC192C" w:rsidRPr="00404CF1">
              <w:rPr>
                <w:rStyle w:val="eop"/>
              </w:rPr>
              <w:t>;</w:t>
            </w:r>
          </w:p>
          <w:p w14:paraId="62A135B5" w14:textId="4305FAC2" w:rsidR="00F55A51" w:rsidRPr="00404CF1" w:rsidRDefault="001E061E" w:rsidP="001E061E">
            <w:pPr>
              <w:pStyle w:val="paragraph"/>
              <w:numPr>
                <w:ilvl w:val="0"/>
                <w:numId w:val="4"/>
              </w:numPr>
              <w:spacing w:before="0" w:beforeAutospacing="0" w:after="0" w:afterAutospacing="0"/>
              <w:jc w:val="both"/>
              <w:textAlignment w:val="baseline"/>
            </w:pPr>
            <w:r w:rsidRPr="00404CF1">
              <w:t>Likumu plānots papildināt ar pārejas noteikumu 28. punktu, kas</w:t>
            </w:r>
            <w:r w:rsidR="005C4DE2" w:rsidRPr="00404CF1">
              <w:t xml:space="preserve"> </w:t>
            </w:r>
            <w:r w:rsidR="00F91FA8" w:rsidRPr="00404CF1">
              <w:t>paredz</w:t>
            </w:r>
            <w:r w:rsidR="00D80324" w:rsidRPr="00404CF1">
              <w:t xml:space="preserve">, ka FKTK līdz 31.12.2022. sadarbībā ar Latvijas Nacionālo arhīvu nodrošina līdz </w:t>
            </w:r>
            <w:proofErr w:type="gramStart"/>
            <w:r w:rsidR="00D80324" w:rsidRPr="00404CF1">
              <w:t>2019.gadam</w:t>
            </w:r>
            <w:proofErr w:type="gramEnd"/>
            <w:r w:rsidR="00D80324" w:rsidRPr="00404CF1">
              <w:t xml:space="preserve"> radīto un uzkrāto pastāvīgi glabājamo dokumentu aprakstīšanu un nodošanu glabāšanā Latvijas Nacionālajā arhīvā</w:t>
            </w:r>
            <w:r w:rsidR="008D6EF8" w:rsidRPr="00404CF1">
              <w:t>.</w:t>
            </w:r>
          </w:p>
        </w:tc>
      </w:tr>
      <w:tr w:rsidR="00816422" w:rsidRPr="00404CF1" w14:paraId="4623FDC8" w14:textId="77777777" w:rsidTr="008B644F">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B66CD0"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lastRenderedPageBreak/>
              <w:t>3.</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7951BD"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Projekta izstrādē iesaistītās institūcijas</w:t>
            </w:r>
          </w:p>
        </w:tc>
        <w:tc>
          <w:tcPr>
            <w:tcW w:w="63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4181F9" w14:textId="77777777" w:rsidR="00B86BD1" w:rsidRPr="00404CF1" w:rsidRDefault="000F7F92" w:rsidP="009136C2">
            <w:pPr>
              <w:spacing w:after="12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Latvijas Banka</w:t>
            </w:r>
            <w:r w:rsidR="009136C2" w:rsidRPr="00404CF1">
              <w:rPr>
                <w:rFonts w:ascii="Times New Roman" w:eastAsia="Times New Roman" w:hAnsi="Times New Roman" w:cs="Times New Roman"/>
                <w:sz w:val="24"/>
                <w:szCs w:val="24"/>
                <w:lang w:eastAsia="lv-LV"/>
              </w:rPr>
              <w:t>, FKTK</w:t>
            </w:r>
            <w:r w:rsidR="008C4817" w:rsidRPr="00404CF1">
              <w:rPr>
                <w:rFonts w:ascii="Times New Roman" w:eastAsia="Times New Roman" w:hAnsi="Times New Roman" w:cs="Times New Roman"/>
                <w:sz w:val="24"/>
                <w:szCs w:val="24"/>
                <w:lang w:eastAsia="lv-LV"/>
              </w:rPr>
              <w:t>, Finanšu ministrija</w:t>
            </w:r>
          </w:p>
        </w:tc>
      </w:tr>
      <w:tr w:rsidR="00816422" w:rsidRPr="00404CF1" w14:paraId="4868BFA0" w14:textId="77777777" w:rsidTr="008B644F">
        <w:trPr>
          <w:trHeight w:val="57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CBB0B4"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46DB6F"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63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5CF67C" w14:textId="77777777" w:rsidR="00B86BD1" w:rsidRPr="00404CF1" w:rsidRDefault="000F7F92" w:rsidP="000F7F92">
            <w:pPr>
              <w:spacing w:after="20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758C2906" w14:textId="77777777" w:rsidR="00B86BD1" w:rsidRPr="00404CF1" w:rsidRDefault="00B86BD1" w:rsidP="00B86BD1">
      <w:pPr>
        <w:shd w:val="clear" w:color="auto" w:fill="FFFFFF"/>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286" w:type="dxa"/>
        <w:shd w:val="clear" w:color="auto" w:fill="FFFFFF"/>
        <w:tblLayout w:type="fixed"/>
        <w:tblCellMar>
          <w:left w:w="0" w:type="dxa"/>
          <w:right w:w="0" w:type="dxa"/>
        </w:tblCellMar>
        <w:tblLook w:val="04A0" w:firstRow="1" w:lastRow="0" w:firstColumn="1" w:lastColumn="0" w:noHBand="0" w:noVBand="1"/>
      </w:tblPr>
      <w:tblGrid>
        <w:gridCol w:w="416"/>
        <w:gridCol w:w="2976"/>
        <w:gridCol w:w="4894"/>
      </w:tblGrid>
      <w:tr w:rsidR="00816422" w:rsidRPr="00404CF1" w14:paraId="5BA02025" w14:textId="77777777" w:rsidTr="008973DB">
        <w:tc>
          <w:tcPr>
            <w:tcW w:w="82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ECB76" w14:textId="77777777" w:rsidR="00B86BD1" w:rsidRPr="00404CF1" w:rsidRDefault="00B86BD1" w:rsidP="00B86BD1">
            <w:pPr>
              <w:spacing w:after="0" w:line="240" w:lineRule="auto"/>
              <w:ind w:left="1080"/>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r w:rsidRPr="00404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16422" w:rsidRPr="00404CF1" w14:paraId="448344F8" w14:textId="77777777" w:rsidTr="00BC4B95">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E00B6"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6E14B8"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Sabiedrības mērķgrupas, kuras tiesiskais regulējums ietekmē</w:t>
            </w:r>
            <w:proofErr w:type="gramStart"/>
            <w:r w:rsidRPr="00404CF1">
              <w:rPr>
                <w:rFonts w:ascii="Times New Roman" w:eastAsia="Times New Roman" w:hAnsi="Times New Roman" w:cs="Times New Roman"/>
                <w:sz w:val="24"/>
                <w:szCs w:val="24"/>
                <w:lang w:eastAsia="lv-LV"/>
              </w:rPr>
              <w:t xml:space="preserve"> vai varētu ietekmēt</w:t>
            </w:r>
            <w:proofErr w:type="gramEnd"/>
          </w:p>
        </w:tc>
        <w:tc>
          <w:tcPr>
            <w:tcW w:w="4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6C79A4" w14:textId="5C587B79" w:rsidR="00B86BD1" w:rsidRPr="00404CF1" w:rsidRDefault="005217D7" w:rsidP="00A676B1">
            <w:pPr>
              <w:spacing w:before="60" w:after="60" w:line="240" w:lineRule="auto"/>
              <w:ind w:left="34"/>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Finanšu tirgus dalībnieki,</w:t>
            </w:r>
            <w:r w:rsidR="00366484" w:rsidRPr="00404CF1">
              <w:rPr>
                <w:rFonts w:ascii="Times New Roman" w:eastAsia="Times New Roman" w:hAnsi="Times New Roman" w:cs="Times New Roman"/>
                <w:sz w:val="24"/>
                <w:szCs w:val="24"/>
                <w:lang w:eastAsia="lv-LV"/>
              </w:rPr>
              <w:t xml:space="preserve"> </w:t>
            </w:r>
            <w:r w:rsidR="00A676B1" w:rsidRPr="00404CF1">
              <w:rPr>
                <w:rFonts w:ascii="Times New Roman" w:eastAsia="Times New Roman" w:hAnsi="Times New Roman" w:cs="Times New Roman"/>
                <w:sz w:val="24"/>
                <w:szCs w:val="24"/>
                <w:lang w:eastAsia="lv-LV"/>
              </w:rPr>
              <w:t>FKTK</w:t>
            </w:r>
            <w:r w:rsidR="00D5108D" w:rsidRPr="00404CF1">
              <w:rPr>
                <w:rFonts w:ascii="Times New Roman" w:eastAsia="Times New Roman" w:hAnsi="Times New Roman" w:cs="Times New Roman"/>
                <w:sz w:val="24"/>
                <w:szCs w:val="24"/>
                <w:lang w:eastAsia="lv-LV"/>
              </w:rPr>
              <w:t>, FKTK padomes locekļi</w:t>
            </w:r>
            <w:r w:rsidR="00A676B1" w:rsidRPr="00404CF1">
              <w:rPr>
                <w:rFonts w:ascii="Times New Roman" w:eastAsia="Times New Roman" w:hAnsi="Times New Roman" w:cs="Times New Roman"/>
                <w:sz w:val="24"/>
                <w:szCs w:val="24"/>
                <w:lang w:eastAsia="lv-LV"/>
              </w:rPr>
              <w:t>.</w:t>
            </w:r>
          </w:p>
        </w:tc>
      </w:tr>
      <w:tr w:rsidR="00816422" w:rsidRPr="00404CF1" w14:paraId="4A26150A" w14:textId="77777777" w:rsidTr="00BC4B95">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F9C75D"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6242DB"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Tiesiskā regulējuma ietekme uz tautsaimniecību un administratīvo slogu</w:t>
            </w:r>
          </w:p>
        </w:tc>
        <w:tc>
          <w:tcPr>
            <w:tcW w:w="4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ABA000" w14:textId="17A2D1C8" w:rsidR="00B86BD1" w:rsidRPr="00404CF1" w:rsidRDefault="00F22BC4" w:rsidP="00366484">
            <w:pPr>
              <w:spacing w:before="60" w:after="60" w:line="240" w:lineRule="auto"/>
              <w:ind w:left="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mērķgrupām a</w:t>
            </w:r>
            <w:r w:rsidR="009638E3" w:rsidRPr="00404CF1">
              <w:rPr>
                <w:rFonts w:ascii="Times New Roman" w:eastAsia="Times New Roman" w:hAnsi="Times New Roman" w:cs="Times New Roman"/>
                <w:sz w:val="24"/>
                <w:szCs w:val="24"/>
                <w:lang w:eastAsia="lv-LV"/>
              </w:rPr>
              <w:t>dministr</w:t>
            </w:r>
            <w:r w:rsidR="009638E3" w:rsidRPr="00404CF1">
              <w:rPr>
                <w:rFonts w:ascii="Times New Roman" w:eastAsia="Times New Roman" w:hAnsi="Times New Roman" w:cs="Times New Roman"/>
                <w:bCs/>
                <w:sz w:val="24"/>
                <w:szCs w:val="24"/>
                <w:lang w:eastAsia="lv-LV"/>
              </w:rPr>
              <w:t>a</w:t>
            </w:r>
            <w:r w:rsidR="009638E3" w:rsidRPr="00404CF1">
              <w:rPr>
                <w:rFonts w:ascii="Times New Roman" w:eastAsia="Times New Roman" w:hAnsi="Times New Roman" w:cs="Times New Roman"/>
                <w:sz w:val="24"/>
                <w:szCs w:val="24"/>
                <w:lang w:eastAsia="lv-LV"/>
              </w:rPr>
              <w:t>tīvais slogs nemainās.</w:t>
            </w:r>
          </w:p>
        </w:tc>
      </w:tr>
      <w:tr w:rsidR="00816422" w:rsidRPr="00404CF1" w14:paraId="254C2B2C" w14:textId="77777777" w:rsidTr="00BC4B95">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01EFD5"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5A97FF"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Administratīvo izmaksu monetārs novērtējums</w:t>
            </w:r>
          </w:p>
        </w:tc>
        <w:tc>
          <w:tcPr>
            <w:tcW w:w="4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85CE68" w14:textId="77777777" w:rsidR="00B86BD1" w:rsidRPr="00404CF1" w:rsidRDefault="009638E3" w:rsidP="00B86BD1">
            <w:pPr>
              <w:spacing w:before="60" w:after="6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 attiecināmas.</w:t>
            </w:r>
          </w:p>
        </w:tc>
      </w:tr>
      <w:tr w:rsidR="00816422" w:rsidRPr="00404CF1" w14:paraId="0B332554" w14:textId="77777777" w:rsidTr="00BC4B95">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210415" w14:textId="77777777" w:rsidR="009638E3" w:rsidRPr="00404CF1" w:rsidRDefault="009638E3"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4.</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BA6964F" w14:textId="77777777" w:rsidR="009638E3" w:rsidRPr="00404CF1" w:rsidRDefault="009638E3"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Atbilstības izmaksu monetārs novērtējums</w:t>
            </w:r>
          </w:p>
        </w:tc>
        <w:tc>
          <w:tcPr>
            <w:tcW w:w="4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0E13820" w14:textId="77777777" w:rsidR="009638E3" w:rsidRPr="00404CF1" w:rsidRDefault="009638E3" w:rsidP="00B86BD1">
            <w:pPr>
              <w:spacing w:before="60" w:after="6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Nav attiecināmas. </w:t>
            </w:r>
          </w:p>
        </w:tc>
      </w:tr>
      <w:tr w:rsidR="00816422" w:rsidRPr="00404CF1" w14:paraId="24DBFE5C" w14:textId="77777777" w:rsidTr="00BC4B95">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BCB2D" w14:textId="77777777" w:rsidR="00B86BD1" w:rsidRPr="00404CF1" w:rsidRDefault="009638E3"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5</w:t>
            </w:r>
            <w:r w:rsidR="00B86BD1" w:rsidRPr="00404CF1">
              <w:rPr>
                <w:rFonts w:ascii="Times New Roman" w:eastAsia="Times New Roman" w:hAnsi="Times New Roman" w:cs="Times New Roman"/>
                <w:sz w:val="24"/>
                <w:szCs w:val="24"/>
                <w:lang w:eastAsia="lv-LV"/>
              </w:rPr>
              <w:t>.</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1E5802"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4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233CB0" w14:textId="77777777" w:rsidR="00B86BD1" w:rsidRPr="00404CF1" w:rsidRDefault="00B86BD1" w:rsidP="00B86BD1">
            <w:pPr>
              <w:spacing w:before="60" w:after="60" w:line="240" w:lineRule="auto"/>
              <w:ind w:left="34"/>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26B9E1C5" w14:textId="77777777"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354" w:type="dxa"/>
        <w:shd w:val="clear" w:color="auto" w:fill="FFFFFF"/>
        <w:tblCellMar>
          <w:left w:w="0" w:type="dxa"/>
          <w:right w:w="0" w:type="dxa"/>
        </w:tblCellMar>
        <w:tblLook w:val="04A0" w:firstRow="1" w:lastRow="0" w:firstColumn="1" w:lastColumn="0" w:noHBand="0" w:noVBand="1"/>
      </w:tblPr>
      <w:tblGrid>
        <w:gridCol w:w="8354"/>
      </w:tblGrid>
      <w:tr w:rsidR="00816422" w:rsidRPr="00404CF1" w14:paraId="437ECC6A" w14:textId="77777777" w:rsidTr="008973DB">
        <w:tc>
          <w:tcPr>
            <w:tcW w:w="8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70DF2"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III. Tiesību akta projekta ietekme uz valsts budžetu un pašvaldību budžetiem</w:t>
            </w:r>
          </w:p>
        </w:tc>
      </w:tr>
      <w:tr w:rsidR="00816422" w:rsidRPr="00404CF1" w14:paraId="06019280" w14:textId="77777777" w:rsidTr="008973DB">
        <w:tc>
          <w:tcPr>
            <w:tcW w:w="83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74CDA1" w14:textId="77777777" w:rsidR="00B86BD1" w:rsidRPr="00404CF1" w:rsidRDefault="008C4817" w:rsidP="008C4817">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Likump</w:t>
            </w:r>
            <w:r w:rsidR="00B86BD1" w:rsidRPr="00404CF1">
              <w:rPr>
                <w:rFonts w:ascii="Times New Roman" w:eastAsia="Times New Roman" w:hAnsi="Times New Roman" w:cs="Times New Roman"/>
                <w:sz w:val="24"/>
                <w:szCs w:val="24"/>
                <w:lang w:eastAsia="lv-LV"/>
              </w:rPr>
              <w:t>rojekts šo jomu neskar.</w:t>
            </w:r>
          </w:p>
        </w:tc>
      </w:tr>
    </w:tbl>
    <w:p w14:paraId="055DF977" w14:textId="77777777"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439" w:type="dxa"/>
        <w:tblInd w:w="-85" w:type="dxa"/>
        <w:shd w:val="clear" w:color="auto" w:fill="FFFFFF"/>
        <w:tblCellMar>
          <w:left w:w="0" w:type="dxa"/>
          <w:right w:w="0" w:type="dxa"/>
        </w:tblCellMar>
        <w:tblLook w:val="04A0" w:firstRow="1" w:lastRow="0" w:firstColumn="1" w:lastColumn="0" w:noHBand="0" w:noVBand="1"/>
      </w:tblPr>
      <w:tblGrid>
        <w:gridCol w:w="85"/>
        <w:gridCol w:w="439"/>
        <w:gridCol w:w="1858"/>
        <w:gridCol w:w="6057"/>
      </w:tblGrid>
      <w:tr w:rsidR="00816422" w:rsidRPr="00404CF1" w14:paraId="5ED2DA7B" w14:textId="77777777" w:rsidTr="008C4817">
        <w:trPr>
          <w:gridBefore w:val="1"/>
          <w:wBefore w:w="85" w:type="dxa"/>
        </w:trPr>
        <w:tc>
          <w:tcPr>
            <w:tcW w:w="83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381038"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IV. Tiesību akta projekta ietekme uz spēkā esošo tiesību normu sistēmu</w:t>
            </w:r>
          </w:p>
        </w:tc>
      </w:tr>
      <w:tr w:rsidR="00816422" w:rsidRPr="00404CF1" w14:paraId="749367B7"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148BFB"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1.</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4B05AE"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Saistītie tiesību aktu projekti</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25DAD3" w14:textId="77777777" w:rsidR="00126859" w:rsidRPr="00687A83" w:rsidRDefault="00126859" w:rsidP="00AA763E">
            <w:pPr>
              <w:spacing w:after="0" w:line="240" w:lineRule="auto"/>
              <w:rPr>
                <w:rFonts w:ascii="Times New Roman" w:eastAsia="Times New Roman" w:hAnsi="Times New Roman" w:cs="Times New Roman"/>
                <w:sz w:val="24"/>
                <w:szCs w:val="24"/>
                <w:lang w:eastAsia="lv-LV"/>
              </w:rPr>
            </w:pPr>
            <w:r w:rsidRPr="00687A83">
              <w:rPr>
                <w:rFonts w:ascii="Times New Roman" w:eastAsia="Times New Roman" w:hAnsi="Times New Roman" w:cs="Times New Roman"/>
                <w:spacing w:val="-2"/>
                <w:sz w:val="24"/>
                <w:szCs w:val="24"/>
                <w:lang w:eastAsia="lv-LV"/>
              </w:rPr>
              <w:t>Likumprojekts virzāms vienlaicīgi ar:</w:t>
            </w:r>
          </w:p>
          <w:p w14:paraId="1AFA9140" w14:textId="45C1B41D" w:rsidR="00126859" w:rsidRPr="00687A83" w:rsidRDefault="00126859" w:rsidP="000147E7">
            <w:pPr>
              <w:spacing w:after="0" w:line="240" w:lineRule="auto"/>
              <w:jc w:val="both"/>
              <w:rPr>
                <w:rFonts w:ascii="Times New Roman" w:eastAsia="Times New Roman" w:hAnsi="Times New Roman" w:cs="Times New Roman"/>
                <w:sz w:val="24"/>
                <w:szCs w:val="24"/>
                <w:shd w:val="clear" w:color="auto" w:fill="FFFFFF"/>
                <w:lang w:eastAsia="lv-LV"/>
              </w:rPr>
            </w:pPr>
          </w:p>
          <w:p w14:paraId="2317CB90"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Likumprojekts virzāms vienlaicīgi ar:</w:t>
            </w:r>
          </w:p>
          <w:p w14:paraId="39550509" w14:textId="6EF3393C"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 likumprojektu "Latvijas Bankas likums";</w:t>
            </w:r>
          </w:p>
          <w:p w14:paraId="62E91805" w14:textId="0D9A28D5"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 likumprojektu "Grozījumi likumā "Par Latvijas Banku";</w:t>
            </w:r>
          </w:p>
          <w:p w14:paraId="1EC72655"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3) likumprojektu "Grozījumi Alternatīvo ieguldījumu fondu un to pārvaldnieku likumā";</w:t>
            </w:r>
          </w:p>
          <w:p w14:paraId="59163C2E"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4) likumprojektu "Grozījumi Apdrošināšanas un pārapdrošināšanas izplatīšanas likumā";</w:t>
            </w:r>
          </w:p>
          <w:p w14:paraId="450F9E7B"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5) likumprojektu "Grozījumi Apdrošināšanas un pārapdrošināšanas likumā";</w:t>
            </w:r>
          </w:p>
          <w:p w14:paraId="033FB27F"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6) likumprojektu "Grozījumi Apsardzes darbības likumā";</w:t>
            </w:r>
          </w:p>
          <w:p w14:paraId="3DAF757F"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7) likumprojektu "Grozījumi Finanšu instrumentu tirgus likumā";</w:t>
            </w:r>
          </w:p>
          <w:p w14:paraId="0F3B6E4C"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8) likumprojektu "Grozījumi Ieguldījumu pārvaldes sabiedrību likumā";</w:t>
            </w:r>
          </w:p>
          <w:p w14:paraId="760305F7"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9) likumprojektu "Grozījumi Ieguldītāju aizsardzības likumā";</w:t>
            </w:r>
          </w:p>
          <w:p w14:paraId="6D08C2F3"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10) likumprojektu "Grozījumi Ieroču aprites likumā";</w:t>
            </w:r>
          </w:p>
          <w:p w14:paraId="042BC59D"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11) likumprojektu "Grozījumi Krājaizdevu sabiedrību likumā";</w:t>
            </w:r>
          </w:p>
          <w:p w14:paraId="1E48C9B7"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12) likumprojektu "Grozījumi Kredītiestāžu likumā";</w:t>
            </w:r>
          </w:p>
          <w:p w14:paraId="696F355D"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13) likumprojektu "Grozījumi Kredītiestāžu un ieguldījumu brokeru sabiedrību darbības atjaunošanas un noregulējuma likumā";</w:t>
            </w:r>
          </w:p>
          <w:p w14:paraId="6A5F205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14) likumprojektu "Grozījumi Kredītu reģistra likumā";</w:t>
            </w:r>
          </w:p>
          <w:p w14:paraId="5E69084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15) likumprojektu "Grozījumi Latvijas Republikas Zemessardzes likumā";</w:t>
            </w:r>
          </w:p>
          <w:p w14:paraId="7E6FF8C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16) likumprojektu "Grozījumi likumā "Par norēķinu galīgumu maksājumu un finanšu instrumentu norēķinu sistēmās"";</w:t>
            </w:r>
          </w:p>
          <w:p w14:paraId="28A84B87"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17) likumprojektu "Grozījumi Maksājumu pakalpojumu un elektroniskās naudas likumā";</w:t>
            </w:r>
          </w:p>
          <w:p w14:paraId="5B665455"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18) likumprojektu "Grozījumi Noguldītāju garantiju likumā";</w:t>
            </w:r>
          </w:p>
          <w:p w14:paraId="7FBE15FE"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19) likumprojektu "Grozījumi Noziedzīgi iegūtu līdzekļu legalizācijas un terorisma un proliferācijas finansēšanas novēršanas likumā";</w:t>
            </w:r>
          </w:p>
          <w:p w14:paraId="3A5EBEA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20) likumprojektu "Grozījumi Privāto pensiju fondu likumā";</w:t>
            </w:r>
          </w:p>
          <w:p w14:paraId="5FC5504E"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21) likumprojektu "Grozījumi Starptautisko un Latvijas Republikas nacionālo sankciju likumā";</w:t>
            </w:r>
          </w:p>
          <w:p w14:paraId="2FA6A44B"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22) likumprojektu "Grozījumi Stratēģiskas nozīmes preču aprites likumā";</w:t>
            </w:r>
          </w:p>
          <w:p w14:paraId="26F99090"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23) likumprojektu "Grozījumi Uzņēmumu ienākuma nodokļa likumā";</w:t>
            </w:r>
          </w:p>
          <w:p w14:paraId="4F2BAA72"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24) likumprojektu "Grozījumi Valsts fondēto pensiju likumā";</w:t>
            </w:r>
          </w:p>
          <w:p w14:paraId="5936B1D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25) likumprojektu "Grozījumi Valsts un pašvaldību institūciju amatpersonu un darbinieku atlīdzības likumā";</w:t>
            </w:r>
          </w:p>
          <w:p w14:paraId="41CCB7AB"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26) likumprojektu "Grozījumi Diplomātiskā un konsulārā dienesta likumā".</w:t>
            </w:r>
          </w:p>
          <w:p w14:paraId="03A7D6AA" w14:textId="77777777" w:rsidR="0037174F" w:rsidRPr="00687A83" w:rsidRDefault="0037174F" w:rsidP="00600D86">
            <w:pPr>
              <w:spacing w:after="0" w:line="240" w:lineRule="auto"/>
              <w:jc w:val="both"/>
              <w:rPr>
                <w:rFonts w:ascii="Times New Roman" w:eastAsia="Times New Roman" w:hAnsi="Times New Roman" w:cs="Times New Roman"/>
                <w:sz w:val="24"/>
                <w:szCs w:val="24"/>
                <w:shd w:val="clear" w:color="auto" w:fill="FFFFFF"/>
                <w:lang w:eastAsia="lv-LV"/>
              </w:rPr>
            </w:pPr>
          </w:p>
          <w:p w14:paraId="58E2EB15" w14:textId="0F7EC109" w:rsidR="0037174F" w:rsidRPr="00687A83" w:rsidRDefault="0037174F" w:rsidP="0037174F">
            <w:pPr>
              <w:spacing w:after="0" w:line="240" w:lineRule="auto"/>
              <w:jc w:val="both"/>
              <w:rPr>
                <w:rFonts w:ascii="Times New Roman" w:eastAsia="Times New Roman" w:hAnsi="Times New Roman" w:cs="Times New Roman"/>
                <w:iCs/>
                <w:sz w:val="24"/>
                <w:szCs w:val="24"/>
                <w:lang w:eastAsia="lv-LV"/>
              </w:rPr>
            </w:pPr>
            <w:r w:rsidRPr="00464679">
              <w:rPr>
                <w:rFonts w:ascii="Times New Roman" w:eastAsia="Times New Roman" w:hAnsi="Times New Roman" w:cs="Times New Roman"/>
                <w:spacing w:val="-2"/>
                <w:sz w:val="24"/>
                <w:szCs w:val="24"/>
                <w:lang w:eastAsia="lv-LV"/>
              </w:rPr>
              <w:t>Saistībā ar FKTK pievienošanu Latvijas Bankai ir izstrādāts attiecīgs likumprojekts </w:t>
            </w:r>
            <w:r w:rsidRPr="00464679">
              <w:rPr>
                <w:rFonts w:ascii="Times New Roman" w:eastAsia="Times New Roman" w:hAnsi="Times New Roman" w:cs="Times New Roman"/>
                <w:iCs/>
                <w:sz w:val="24"/>
                <w:szCs w:val="24"/>
                <w:lang w:eastAsia="lv-LV"/>
              </w:rPr>
              <w:t>"</w:t>
            </w:r>
            <w:r w:rsidRPr="00464679">
              <w:rPr>
                <w:rFonts w:ascii="Times New Roman" w:eastAsia="Times New Roman" w:hAnsi="Times New Roman" w:cs="Times New Roman"/>
                <w:color w:val="000000"/>
                <w:spacing w:val="-2"/>
                <w:sz w:val="24"/>
                <w:szCs w:val="24"/>
                <w:shd w:val="clear" w:color="auto" w:fill="FFFFFF"/>
                <w:lang w:eastAsia="lv-LV"/>
              </w:rPr>
              <w:t>Latvijas Bankas likums</w:t>
            </w:r>
            <w:r w:rsidRPr="00464679">
              <w:rPr>
                <w:rFonts w:ascii="Times New Roman" w:eastAsia="Times New Roman" w:hAnsi="Times New Roman" w:cs="Times New Roman"/>
                <w:iCs/>
                <w:sz w:val="24"/>
                <w:szCs w:val="24"/>
                <w:lang w:eastAsia="lv-LV"/>
              </w:rPr>
              <w:t xml:space="preserve">", </w:t>
            </w:r>
            <w:r w:rsidRPr="00464679">
              <w:rPr>
                <w:rFonts w:ascii="Times New Roman" w:hAnsi="Times New Roman" w:cs="Times New Roman"/>
                <w:sz w:val="24"/>
                <w:szCs w:val="24"/>
                <w:shd w:val="clear" w:color="auto" w:fill="FFFFFF"/>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w:t>
            </w:r>
            <w:proofErr w:type="gramStart"/>
            <w:r w:rsidRPr="00464679">
              <w:rPr>
                <w:rFonts w:ascii="Times New Roman" w:hAnsi="Times New Roman" w:cs="Times New Roman"/>
                <w:sz w:val="24"/>
                <w:szCs w:val="24"/>
                <w:shd w:val="clear" w:color="auto" w:fill="FFFFFF"/>
              </w:rPr>
              <w:t>(</w:t>
            </w:r>
            <w:proofErr w:type="gramEnd"/>
            <w:r w:rsidR="00043C35" w:rsidRPr="00464679">
              <w:rPr>
                <w:rFonts w:ascii="Times New Roman" w:hAnsi="Times New Roman" w:cs="Times New Roman"/>
                <w:sz w:val="24"/>
                <w:szCs w:val="24"/>
                <w:shd w:val="clear" w:color="auto" w:fill="FFFFFF"/>
              </w:rPr>
              <w:t>3</w:t>
            </w:r>
            <w:r w:rsidRPr="00464679">
              <w:rPr>
                <w:rFonts w:ascii="Times New Roman" w:hAnsi="Times New Roman" w:cs="Times New Roman"/>
                <w:sz w:val="24"/>
                <w:szCs w:val="24"/>
                <w:shd w:val="clear" w:color="auto" w:fill="FFFFFF"/>
              </w:rPr>
              <w:t>.-5., 7.-9., 11.-14., 16.</w:t>
            </w:r>
            <w:r w:rsidR="00043C35" w:rsidRPr="00464679">
              <w:rPr>
                <w:rFonts w:ascii="Times New Roman" w:hAnsi="Times New Roman" w:cs="Times New Roman"/>
                <w:sz w:val="24"/>
                <w:szCs w:val="24"/>
                <w:shd w:val="clear" w:color="auto" w:fill="FFFFFF"/>
              </w:rPr>
              <w:t>-21., 2</w:t>
            </w:r>
            <w:r w:rsidR="00CB1D89" w:rsidRPr="00464679">
              <w:rPr>
                <w:rFonts w:ascii="Times New Roman" w:hAnsi="Times New Roman" w:cs="Times New Roman"/>
                <w:sz w:val="24"/>
                <w:szCs w:val="24"/>
                <w:shd w:val="clear" w:color="auto" w:fill="FFFFFF"/>
              </w:rPr>
              <w:t>3</w:t>
            </w:r>
            <w:r w:rsidR="00043C35" w:rsidRPr="00464679">
              <w:rPr>
                <w:rFonts w:ascii="Times New Roman" w:hAnsi="Times New Roman" w:cs="Times New Roman"/>
                <w:sz w:val="24"/>
                <w:szCs w:val="24"/>
                <w:shd w:val="clear" w:color="auto" w:fill="FFFFFF"/>
              </w:rPr>
              <w:t>.</w:t>
            </w:r>
            <w:r w:rsidRPr="00464679">
              <w:rPr>
                <w:rFonts w:ascii="Times New Roman" w:hAnsi="Times New Roman" w:cs="Times New Roman"/>
                <w:sz w:val="24"/>
                <w:szCs w:val="24"/>
                <w:shd w:val="clear" w:color="auto" w:fill="FFFFFF"/>
              </w:rPr>
              <w:t xml:space="preserve">-26. </w:t>
            </w:r>
            <w:r w:rsidRPr="00464679">
              <w:rPr>
                <w:rFonts w:ascii="Times New Roman" w:hAnsi="Times New Roman" w:cs="Times New Roman"/>
                <w:iCs/>
                <w:sz w:val="24"/>
                <w:szCs w:val="24"/>
                <w:shd w:val="clear" w:color="auto" w:fill="FFFFFF"/>
              </w:rPr>
              <w:t>punktā uzskaitītie likumprojekti)</w:t>
            </w:r>
            <w:r w:rsidRPr="00464679">
              <w:rPr>
                <w:rFonts w:ascii="Times New Roman" w:hAnsi="Times New Roman" w:cs="Times New Roman"/>
                <w:sz w:val="24"/>
                <w:szCs w:val="24"/>
                <w:shd w:val="clear" w:color="auto" w:fill="FFFFFF"/>
              </w:rPr>
              <w:t>, gan arī tajos likumos, kuros nostiprināta Latvijas Bankas struktūra tās pārvalžu līmenī (6., 10., 15.</w:t>
            </w:r>
            <w:r w:rsidR="00043C35" w:rsidRPr="00464679">
              <w:rPr>
                <w:rFonts w:ascii="Times New Roman" w:hAnsi="Times New Roman" w:cs="Times New Roman"/>
                <w:sz w:val="24"/>
                <w:szCs w:val="24"/>
                <w:shd w:val="clear" w:color="auto" w:fill="FFFFFF"/>
              </w:rPr>
              <w:t>un 22.</w:t>
            </w:r>
            <w:r w:rsidRPr="00464679">
              <w:rPr>
                <w:rFonts w:ascii="Times New Roman" w:hAnsi="Times New Roman" w:cs="Times New Roman"/>
                <w:sz w:val="24"/>
                <w:szCs w:val="24"/>
                <w:shd w:val="clear" w:color="auto" w:fill="FFFFFF"/>
              </w:rPr>
              <w:t xml:space="preserve"> </w:t>
            </w:r>
            <w:r w:rsidRPr="00464679">
              <w:rPr>
                <w:rFonts w:ascii="Times New Roman" w:hAnsi="Times New Roman" w:cs="Times New Roman"/>
                <w:iCs/>
                <w:sz w:val="24"/>
                <w:szCs w:val="24"/>
                <w:shd w:val="clear" w:color="auto" w:fill="FFFFFF"/>
              </w:rPr>
              <w:t>punktā uzskaitītie likumprojekti)</w:t>
            </w:r>
            <w:r w:rsidR="00043C35" w:rsidRPr="00464679">
              <w:rPr>
                <w:rFonts w:ascii="Times New Roman" w:hAnsi="Times New Roman" w:cs="Times New Roman"/>
                <w:iCs/>
                <w:sz w:val="24"/>
                <w:szCs w:val="24"/>
                <w:shd w:val="clear" w:color="auto" w:fill="FFFFFF"/>
              </w:rPr>
              <w:t>,</w:t>
            </w:r>
            <w:r w:rsidRPr="00464679">
              <w:rPr>
                <w:rFonts w:ascii="Times New Roman" w:hAnsi="Times New Roman" w:cs="Times New Roman"/>
                <w:sz w:val="24"/>
                <w:szCs w:val="24"/>
                <w:shd w:val="clear" w:color="auto" w:fill="FFFFFF"/>
              </w:rPr>
              <w:t xml:space="preserve"> kā arī,</w:t>
            </w:r>
            <w:r w:rsidRPr="00464679">
              <w:t xml:space="preserve"> l</w:t>
            </w:r>
            <w:r w:rsidRPr="00464679">
              <w:rPr>
                <w:rFonts w:ascii="Times New Roman" w:hAnsi="Times New Roman" w:cs="Times New Roman"/>
                <w:sz w:val="24"/>
                <w:szCs w:val="24"/>
                <w:shd w:val="clear" w:color="auto" w:fill="FFFFFF"/>
              </w:rPr>
              <w:t xml:space="preserve">ai nodrošinātu FKTK veiksmīgu pievienošanu Latvijas Bankai, paredzēti pārejas noteikumi </w:t>
            </w:r>
            <w:r w:rsidRPr="00464679">
              <w:rPr>
                <w:rFonts w:ascii="Times New Roman" w:hAnsi="Times New Roman" w:cs="Times New Roman"/>
                <w:iCs/>
                <w:sz w:val="24"/>
                <w:szCs w:val="24"/>
                <w:shd w:val="clear" w:color="auto" w:fill="FFFFFF"/>
              </w:rPr>
              <w:t>attiecībā uz FKTK pievienošanu Latvijas Bankai (</w:t>
            </w:r>
            <w:r w:rsidR="00043C35" w:rsidRPr="00464679">
              <w:rPr>
                <w:rFonts w:ascii="Times New Roman" w:hAnsi="Times New Roman" w:cs="Times New Roman"/>
                <w:iCs/>
                <w:sz w:val="24"/>
                <w:szCs w:val="24"/>
                <w:shd w:val="clear" w:color="auto" w:fill="FFFFFF"/>
              </w:rPr>
              <w:t>1</w:t>
            </w:r>
            <w:r w:rsidRPr="00464679">
              <w:rPr>
                <w:rFonts w:ascii="Times New Roman" w:hAnsi="Times New Roman" w:cs="Times New Roman"/>
                <w:iCs/>
                <w:sz w:val="24"/>
                <w:szCs w:val="24"/>
                <w:shd w:val="clear" w:color="auto" w:fill="FFFFFF"/>
              </w:rPr>
              <w:t>.</w:t>
            </w:r>
            <w:r w:rsidR="00043C35" w:rsidRPr="00464679">
              <w:rPr>
                <w:rFonts w:ascii="Times New Roman" w:hAnsi="Times New Roman" w:cs="Times New Roman"/>
                <w:iCs/>
                <w:sz w:val="24"/>
                <w:szCs w:val="24"/>
                <w:shd w:val="clear" w:color="auto" w:fill="FFFFFF"/>
              </w:rPr>
              <w:t>un 2</w:t>
            </w:r>
            <w:r w:rsidRPr="00464679">
              <w:rPr>
                <w:rFonts w:ascii="Times New Roman" w:hAnsi="Times New Roman" w:cs="Times New Roman"/>
                <w:iCs/>
                <w:sz w:val="24"/>
                <w:szCs w:val="24"/>
                <w:shd w:val="clear" w:color="auto" w:fill="FFFFFF"/>
              </w:rPr>
              <w:t>. punktā uzskaitītie likumprojekti)</w:t>
            </w:r>
            <w:r w:rsidRPr="00464679">
              <w:rPr>
                <w:rFonts w:ascii="Times New Roman" w:hAnsi="Times New Roman" w:cs="Times New Roman"/>
                <w:sz w:val="24"/>
                <w:szCs w:val="24"/>
                <w:shd w:val="clear" w:color="auto" w:fill="FFFFFF"/>
              </w:rPr>
              <w:t>.</w:t>
            </w:r>
            <w:r w:rsidRPr="00687A83">
              <w:rPr>
                <w:rFonts w:ascii="Times New Roman" w:eastAsia="Times New Roman" w:hAnsi="Times New Roman" w:cs="Times New Roman"/>
                <w:iCs/>
                <w:sz w:val="24"/>
                <w:szCs w:val="24"/>
                <w:lang w:eastAsia="lv-LV"/>
              </w:rPr>
              <w:t xml:space="preserve"> </w:t>
            </w:r>
          </w:p>
          <w:p w14:paraId="14616EBB" w14:textId="77777777" w:rsidR="0037174F" w:rsidRPr="00687A83" w:rsidRDefault="0037174F" w:rsidP="0037174F">
            <w:pPr>
              <w:spacing w:after="0" w:line="240" w:lineRule="auto"/>
              <w:jc w:val="both"/>
              <w:rPr>
                <w:rFonts w:ascii="Times New Roman" w:eastAsia="Times New Roman" w:hAnsi="Times New Roman" w:cs="Times New Roman"/>
                <w:iCs/>
                <w:sz w:val="24"/>
                <w:szCs w:val="24"/>
                <w:lang w:eastAsia="lv-LV"/>
              </w:rPr>
            </w:pPr>
          </w:p>
          <w:p w14:paraId="25AC1494" w14:textId="4C4DFCD9" w:rsidR="0037174F" w:rsidRPr="00687A83" w:rsidRDefault="0037174F" w:rsidP="0037174F">
            <w:pPr>
              <w:spacing w:after="0" w:line="240" w:lineRule="auto"/>
              <w:jc w:val="both"/>
              <w:rPr>
                <w:rFonts w:ascii="Times New Roman" w:eastAsia="Times New Roman" w:hAnsi="Times New Roman" w:cs="Times New Roman"/>
                <w:spacing w:val="-2"/>
                <w:sz w:val="24"/>
                <w:szCs w:val="24"/>
                <w:lang w:eastAsia="lv-LV"/>
              </w:rPr>
            </w:pPr>
            <w:r w:rsidRPr="00464679">
              <w:rPr>
                <w:rFonts w:ascii="Times New Roman" w:eastAsia="Times New Roman" w:hAnsi="Times New Roman" w:cs="Times New Roman"/>
                <w:spacing w:val="-2"/>
                <w:sz w:val="24"/>
                <w:szCs w:val="24"/>
                <w:lang w:eastAsia="lv-LV"/>
              </w:rPr>
              <w:t xml:space="preserve">Likumprojekts un pārējie šajā </w:t>
            </w:r>
            <w:r w:rsidR="00043C35" w:rsidRPr="00464679">
              <w:rPr>
                <w:rFonts w:ascii="Times New Roman" w:eastAsia="Times New Roman" w:hAnsi="Times New Roman" w:cs="Times New Roman"/>
                <w:spacing w:val="-2"/>
                <w:sz w:val="24"/>
                <w:szCs w:val="24"/>
                <w:lang w:eastAsia="lv-LV"/>
              </w:rPr>
              <w:t>sadaļ</w:t>
            </w:r>
            <w:r w:rsidRPr="00464679">
              <w:rPr>
                <w:rFonts w:ascii="Times New Roman" w:eastAsia="Times New Roman" w:hAnsi="Times New Roman" w:cs="Times New Roman"/>
                <w:spacing w:val="-2"/>
                <w:sz w:val="24"/>
                <w:szCs w:val="24"/>
                <w:lang w:eastAsia="lv-LV"/>
              </w:rPr>
              <w:t>ā iekļautie likumprojekti vienkopus ir apkopoti un norādīti kā tie ar likumprojektu </w:t>
            </w:r>
            <w:r w:rsidRPr="00464679">
              <w:rPr>
                <w:rFonts w:ascii="Times New Roman" w:eastAsia="Times New Roman" w:hAnsi="Times New Roman" w:cs="Times New Roman"/>
                <w:iCs/>
                <w:sz w:val="24"/>
                <w:szCs w:val="24"/>
                <w:lang w:eastAsia="lv-LV"/>
              </w:rPr>
              <w:t>"</w:t>
            </w:r>
            <w:r w:rsidRPr="00464679">
              <w:rPr>
                <w:rFonts w:ascii="Times New Roman" w:eastAsia="Times New Roman" w:hAnsi="Times New Roman" w:cs="Times New Roman"/>
                <w:color w:val="000000"/>
                <w:spacing w:val="-2"/>
                <w:sz w:val="24"/>
                <w:szCs w:val="24"/>
                <w:shd w:val="clear" w:color="auto" w:fill="FFFFFF"/>
                <w:lang w:eastAsia="lv-LV"/>
              </w:rPr>
              <w:t>Latvijas Bankas likums</w:t>
            </w:r>
            <w:r w:rsidRPr="00464679">
              <w:rPr>
                <w:rFonts w:ascii="Times New Roman" w:eastAsia="Times New Roman" w:hAnsi="Times New Roman" w:cs="Times New Roman"/>
                <w:iCs/>
                <w:sz w:val="24"/>
                <w:szCs w:val="24"/>
                <w:lang w:eastAsia="lv-LV"/>
              </w:rPr>
              <w:t xml:space="preserve">" saistītie normatīvie akti, kuros </w:t>
            </w:r>
            <w:r w:rsidRPr="00464679">
              <w:rPr>
                <w:rFonts w:ascii="Times New Roman" w:eastAsia="Times New Roman" w:hAnsi="Times New Roman" w:cs="Times New Roman"/>
                <w:spacing w:val="-2"/>
                <w:sz w:val="24"/>
                <w:szCs w:val="24"/>
                <w:lang w:eastAsia="lv-LV"/>
              </w:rPr>
              <w:t>nepieciešams veikt attiecīgās izmaiņas.</w:t>
            </w:r>
          </w:p>
          <w:p w14:paraId="0D183419" w14:textId="5A31057B" w:rsidR="0037174F" w:rsidRPr="00687A83" w:rsidRDefault="0037174F" w:rsidP="0037174F">
            <w:pPr>
              <w:spacing w:after="0" w:line="240" w:lineRule="auto"/>
              <w:jc w:val="both"/>
              <w:rPr>
                <w:rFonts w:ascii="Times New Roman" w:eastAsia="Times New Roman" w:hAnsi="Times New Roman" w:cs="Times New Roman"/>
                <w:sz w:val="24"/>
                <w:szCs w:val="24"/>
                <w:shd w:val="clear" w:color="auto" w:fill="FFFFFF"/>
                <w:lang w:eastAsia="lv-LV"/>
              </w:rPr>
            </w:pPr>
          </w:p>
        </w:tc>
      </w:tr>
      <w:tr w:rsidR="00816422" w:rsidRPr="00404CF1" w14:paraId="71F893D5"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FEC001"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2.</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18CF31"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Atbildīgā institūcija</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D142B3"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Finanšu ministrija, Latvijas Banka</w:t>
            </w:r>
            <w:r w:rsidR="008C4817" w:rsidRPr="00404CF1">
              <w:rPr>
                <w:rFonts w:ascii="Times New Roman" w:eastAsia="Times New Roman" w:hAnsi="Times New Roman" w:cs="Times New Roman"/>
                <w:spacing w:val="-2"/>
                <w:sz w:val="24"/>
                <w:szCs w:val="24"/>
                <w:lang w:eastAsia="lv-LV"/>
              </w:rPr>
              <w:t>, FKTK</w:t>
            </w:r>
          </w:p>
        </w:tc>
      </w:tr>
      <w:tr w:rsidR="00816422" w:rsidRPr="00404CF1" w14:paraId="3EA22C37"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4C452B"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3.</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0666F3"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Cita informācija</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A85A6E"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Nav.</w:t>
            </w:r>
          </w:p>
        </w:tc>
      </w:tr>
    </w:tbl>
    <w:p w14:paraId="6E87165D" w14:textId="7358516B"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498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6"/>
      </w:tblGrid>
      <w:tr w:rsidR="001E061E" w:rsidRPr="00404CF1" w14:paraId="4E4EE1DE" w14:textId="77777777" w:rsidTr="00687A83">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651413F7" w14:textId="77777777" w:rsidR="001E061E" w:rsidRPr="00404CF1" w:rsidRDefault="001E061E" w:rsidP="000C0BA3">
            <w:pPr>
              <w:spacing w:after="0" w:line="240" w:lineRule="auto"/>
              <w:rPr>
                <w:rFonts w:ascii="Times New Roman" w:eastAsia="Times New Roman" w:hAnsi="Times New Roman" w:cs="Times New Roman"/>
                <w:b/>
                <w:bCs/>
                <w:iCs/>
                <w:sz w:val="24"/>
                <w:szCs w:val="24"/>
                <w:lang w:eastAsia="lv-LV"/>
              </w:rPr>
            </w:pPr>
            <w:r w:rsidRPr="00404CF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7A83" w:rsidRPr="00404CF1" w14:paraId="0660C96E" w14:textId="77777777" w:rsidTr="00687A83">
        <w:trPr>
          <w:tblCellSpacing w:w="15" w:type="dxa"/>
        </w:trPr>
        <w:tc>
          <w:tcPr>
            <w:tcW w:w="4965" w:type="pct"/>
            <w:tcBorders>
              <w:top w:val="outset" w:sz="6" w:space="0" w:color="auto"/>
              <w:left w:val="outset" w:sz="6" w:space="0" w:color="auto"/>
              <w:bottom w:val="outset" w:sz="6" w:space="0" w:color="auto"/>
              <w:right w:val="outset" w:sz="6" w:space="0" w:color="auto"/>
            </w:tcBorders>
          </w:tcPr>
          <w:p w14:paraId="3C1ED867" w14:textId="77777777" w:rsidR="00687A83" w:rsidRPr="00404CF1" w:rsidRDefault="00687A83" w:rsidP="00177B39">
            <w:pPr>
              <w:spacing w:after="0" w:line="240" w:lineRule="auto"/>
              <w:jc w:val="center"/>
              <w:rPr>
                <w:rFonts w:ascii="Times New Roman" w:eastAsia="Times New Roman" w:hAnsi="Times New Roman" w:cs="Times New Roman"/>
                <w:b/>
                <w:bCs/>
                <w:iCs/>
                <w:sz w:val="24"/>
                <w:szCs w:val="24"/>
                <w:lang w:eastAsia="lv-LV"/>
              </w:rPr>
            </w:pPr>
            <w:r w:rsidRPr="00404CF1">
              <w:rPr>
                <w:rFonts w:ascii="Times New Roman" w:hAnsi="Times New Roman" w:cs="Times New Roman"/>
                <w:sz w:val="24"/>
                <w:szCs w:val="24"/>
              </w:rPr>
              <w:t>Likumprojekts šo jomu neskar</w:t>
            </w:r>
          </w:p>
        </w:tc>
      </w:tr>
    </w:tbl>
    <w:p w14:paraId="4B48693D" w14:textId="4188B11C" w:rsidR="00B86BD1" w:rsidRPr="00687A83" w:rsidRDefault="001E061E" w:rsidP="00687A83">
      <w:pPr>
        <w:spacing w:after="0" w:line="240" w:lineRule="auto"/>
        <w:rPr>
          <w:rFonts w:ascii="Times New Roman" w:eastAsia="Times New Roman" w:hAnsi="Times New Roman" w:cs="Times New Roman"/>
          <w:iCs/>
          <w:sz w:val="24"/>
          <w:szCs w:val="24"/>
          <w:lang w:eastAsia="lv-LV"/>
        </w:rPr>
      </w:pPr>
      <w:r w:rsidRPr="00404CF1">
        <w:rPr>
          <w:rFonts w:ascii="Times New Roman" w:eastAsia="Times New Roman" w:hAnsi="Times New Roman" w:cs="Times New Roman"/>
          <w:iCs/>
          <w:sz w:val="24"/>
          <w:szCs w:val="24"/>
          <w:lang w:eastAsia="lv-LV"/>
        </w:rPr>
        <w:t xml:space="preserve">  </w:t>
      </w:r>
    </w:p>
    <w:tbl>
      <w:tblPr>
        <w:tblW w:w="8506" w:type="dxa"/>
        <w:tblInd w:w="-152" w:type="dxa"/>
        <w:shd w:val="clear" w:color="auto" w:fill="FFFFFF"/>
        <w:tblCellMar>
          <w:left w:w="0" w:type="dxa"/>
          <w:right w:w="0" w:type="dxa"/>
        </w:tblCellMar>
        <w:tblLook w:val="04A0" w:firstRow="1" w:lastRow="0" w:firstColumn="1" w:lastColumn="0" w:noHBand="0" w:noVBand="1"/>
      </w:tblPr>
      <w:tblGrid>
        <w:gridCol w:w="562"/>
        <w:gridCol w:w="2448"/>
        <w:gridCol w:w="5496"/>
      </w:tblGrid>
      <w:tr w:rsidR="00816422" w:rsidRPr="00404CF1" w14:paraId="1D379305" w14:textId="77777777" w:rsidTr="00687A83">
        <w:trPr>
          <w:trHeight w:val="421"/>
        </w:trPr>
        <w:tc>
          <w:tcPr>
            <w:tcW w:w="8506"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3FA1D02" w14:textId="77777777" w:rsidR="00B86BD1" w:rsidRPr="00404CF1" w:rsidRDefault="00B86BD1" w:rsidP="00B86BD1">
            <w:pPr>
              <w:spacing w:after="0" w:line="240" w:lineRule="auto"/>
              <w:ind w:left="57" w:right="57"/>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VI. Sabiedrības līdzdalība un komunikācijas aktivitātes</w:t>
            </w:r>
          </w:p>
        </w:tc>
      </w:tr>
      <w:tr w:rsidR="00BB1156" w:rsidRPr="00404CF1" w14:paraId="3B92C3D0" w14:textId="77777777" w:rsidTr="00687A83">
        <w:trPr>
          <w:trHeight w:val="553"/>
        </w:trPr>
        <w:tc>
          <w:tcPr>
            <w:tcW w:w="562" w:type="dxa"/>
            <w:tcBorders>
              <w:top w:val="nil"/>
              <w:left w:val="single" w:sz="8" w:space="0" w:color="000000"/>
              <w:bottom w:val="single" w:sz="8" w:space="0" w:color="000000"/>
              <w:right w:val="single" w:sz="8" w:space="0" w:color="000000"/>
            </w:tcBorders>
            <w:shd w:val="clear" w:color="auto" w:fill="FFFFFF"/>
            <w:hideMark/>
          </w:tcPr>
          <w:p w14:paraId="780FF09E"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2448" w:type="dxa"/>
            <w:tcBorders>
              <w:top w:val="nil"/>
              <w:left w:val="nil"/>
              <w:bottom w:val="single" w:sz="8" w:space="0" w:color="000000"/>
              <w:right w:val="single" w:sz="8" w:space="0" w:color="000000"/>
            </w:tcBorders>
            <w:shd w:val="clear" w:color="auto" w:fill="FFFFFF"/>
            <w:hideMark/>
          </w:tcPr>
          <w:p w14:paraId="168EDA62"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Plānotās sabiedrības līdzdalības un komunikācijas aktivitātes saistībā ar projektu</w:t>
            </w:r>
          </w:p>
        </w:tc>
        <w:tc>
          <w:tcPr>
            <w:tcW w:w="5496" w:type="dxa"/>
            <w:tcBorders>
              <w:top w:val="nil"/>
              <w:left w:val="nil"/>
              <w:bottom w:val="single" w:sz="8" w:space="0" w:color="000000"/>
              <w:right w:val="single" w:sz="8" w:space="0" w:color="000000"/>
            </w:tcBorders>
            <w:shd w:val="clear" w:color="auto" w:fill="FFFFFF"/>
            <w:hideMark/>
          </w:tcPr>
          <w:p w14:paraId="04D84510" w14:textId="432B14C4" w:rsidR="000147E7" w:rsidRPr="00404CF1" w:rsidRDefault="009F4DDE" w:rsidP="000147E7">
            <w:pPr>
              <w:spacing w:after="0" w:line="240" w:lineRule="auto"/>
              <w:jc w:val="both"/>
              <w:rPr>
                <w:rFonts w:ascii="Times New Roman" w:eastAsia="Times New Roman" w:hAnsi="Times New Roman" w:cs="Times New Roman"/>
                <w:bCs/>
                <w:iCs/>
                <w:spacing w:val="-2"/>
                <w:sz w:val="24"/>
                <w:szCs w:val="24"/>
                <w:lang w:eastAsia="lv-LV"/>
              </w:rPr>
            </w:pPr>
            <w:bookmarkStart w:id="2" w:name="p61"/>
            <w:bookmarkEnd w:id="2"/>
            <w:r w:rsidRPr="00404CF1">
              <w:rPr>
                <w:rFonts w:ascii="Times New Roman" w:eastAsia="Times New Roman" w:hAnsi="Times New Roman" w:cs="Times New Roman"/>
                <w:sz w:val="24"/>
                <w:szCs w:val="24"/>
                <w:shd w:val="clear" w:color="auto" w:fill="FFFFFF"/>
                <w:lang w:eastAsia="lv-LV"/>
              </w:rPr>
              <w:t xml:space="preserve">Likumprojekts </w:t>
            </w:r>
            <w:r w:rsidR="000147E7" w:rsidRPr="00404CF1">
              <w:rPr>
                <w:rFonts w:ascii="Times New Roman" w:eastAsia="Times New Roman" w:hAnsi="Times New Roman" w:cs="Times New Roman"/>
                <w:spacing w:val="-2"/>
                <w:sz w:val="24"/>
                <w:szCs w:val="24"/>
                <w:lang w:eastAsia="lv-LV"/>
              </w:rPr>
              <w:t xml:space="preserve">ir saistīts ar likumprojektu </w:t>
            </w:r>
            <w:r w:rsidR="003603F5" w:rsidRPr="00600D86">
              <w:rPr>
                <w:rFonts w:ascii="Times New Roman" w:eastAsia="Times New Roman" w:hAnsi="Times New Roman" w:cs="Times New Roman"/>
                <w:sz w:val="24"/>
                <w:szCs w:val="24"/>
                <w:shd w:val="clear" w:color="auto" w:fill="FFFFFF"/>
                <w:lang w:eastAsia="lv-LV"/>
              </w:rPr>
              <w:t>"</w:t>
            </w:r>
            <w:r w:rsidR="000147E7" w:rsidRPr="00404CF1">
              <w:rPr>
                <w:rFonts w:ascii="Times New Roman" w:eastAsia="Times New Roman" w:hAnsi="Times New Roman" w:cs="Times New Roman"/>
                <w:spacing w:val="-2"/>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000147E7" w:rsidRPr="00404CF1">
              <w:rPr>
                <w:rFonts w:ascii="Times New Roman" w:eastAsia="Times New Roman" w:hAnsi="Times New Roman" w:cs="Times New Roman"/>
                <w:spacing w:val="-2"/>
                <w:sz w:val="24"/>
                <w:szCs w:val="24"/>
                <w:lang w:eastAsia="lv-LV"/>
              </w:rPr>
              <w:t xml:space="preserve">, pirms kura </w:t>
            </w:r>
            <w:r w:rsidR="000147E7" w:rsidRPr="00404CF1">
              <w:rPr>
                <w:rFonts w:ascii="Times New Roman" w:eastAsia="Times New Roman" w:hAnsi="Times New Roman" w:cs="Times New Roman"/>
                <w:iCs/>
                <w:spacing w:val="-2"/>
                <w:sz w:val="24"/>
                <w:szCs w:val="24"/>
                <w:lang w:eastAsia="lv-LV"/>
              </w:rPr>
              <w:t xml:space="preserve">izstrādes uzsākšanas, </w:t>
            </w:r>
            <w:r w:rsidR="000147E7" w:rsidRPr="00404CF1">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000147E7" w:rsidRPr="00404CF1">
              <w:rPr>
                <w:rFonts w:ascii="Times New Roman" w:eastAsia="Times New Roman" w:hAnsi="Times New Roman" w:cs="Times New Roman"/>
                <w:iCs/>
                <w:spacing w:val="-2"/>
                <w:sz w:val="24"/>
                <w:szCs w:val="24"/>
                <w:lang w:eastAsia="lv-LV"/>
              </w:rPr>
              <w:t xml:space="preserve">saskaņā ar Saeimas </w:t>
            </w:r>
            <w:r w:rsidR="000147E7" w:rsidRPr="00404CF1">
              <w:rPr>
                <w:rFonts w:ascii="Times New Roman" w:eastAsia="Times New Roman" w:hAnsi="Times New Roman" w:cs="Times New Roman"/>
                <w:bCs/>
                <w:iCs/>
                <w:spacing w:val="-2"/>
                <w:sz w:val="24"/>
                <w:szCs w:val="24"/>
                <w:lang w:eastAsia="lv-LV"/>
              </w:rPr>
              <w:t>Budžeta un finanšu (nodokļu) komisijas 2019. gada 11. septembra sēdes protokola Nr. 76</w:t>
            </w:r>
            <w:r w:rsidR="000147E7" w:rsidRPr="00404CF1">
              <w:rPr>
                <w:rFonts w:ascii="Times New Roman" w:eastAsia="Times New Roman" w:hAnsi="Times New Roman" w:cs="Times New Roman"/>
                <w:bCs/>
                <w:iCs/>
                <w:spacing w:val="-2"/>
                <w:sz w:val="24"/>
                <w:szCs w:val="24"/>
                <w:vertAlign w:val="superscript"/>
                <w:lang w:eastAsia="lv-LV"/>
              </w:rPr>
              <w:footnoteReference w:id="7"/>
            </w:r>
            <w:r w:rsidR="000147E7" w:rsidRPr="00404CF1">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595C0E05" w14:textId="33F3665C" w:rsidR="00B86BD1" w:rsidRPr="00404CF1" w:rsidRDefault="000147E7" w:rsidP="006F750B">
            <w:pPr>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iCs/>
                <w:spacing w:val="-2"/>
                <w:sz w:val="24"/>
                <w:szCs w:val="24"/>
                <w:lang w:eastAsia="lv-LV"/>
              </w:rPr>
              <w:t xml:space="preserve">Pirms likumprojekta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pacing w:val="-2"/>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pacing w:val="-2"/>
                <w:sz w:val="24"/>
                <w:szCs w:val="24"/>
                <w:lang w:eastAsia="lv-LV"/>
              </w:rPr>
              <w:t xml:space="preserve"> </w:t>
            </w:r>
            <w:r w:rsidR="00BB1156" w:rsidRPr="00404CF1">
              <w:rPr>
                <w:rFonts w:ascii="Times New Roman" w:eastAsia="Times New Roman" w:hAnsi="Times New Roman" w:cs="Times New Roman"/>
                <w:iCs/>
                <w:spacing w:val="-2"/>
                <w:sz w:val="24"/>
                <w:szCs w:val="24"/>
                <w:lang w:eastAsia="lv-LV"/>
              </w:rPr>
              <w:t xml:space="preserve">un ar to saistīto likumprojektu </w:t>
            </w:r>
            <w:r w:rsidRPr="00404CF1">
              <w:rPr>
                <w:rFonts w:ascii="Times New Roman" w:eastAsia="Times New Roman" w:hAnsi="Times New Roman" w:cs="Times New Roman"/>
                <w:iCs/>
                <w:spacing w:val="-2"/>
                <w:sz w:val="24"/>
                <w:szCs w:val="24"/>
                <w:lang w:eastAsia="lv-LV"/>
              </w:rPr>
              <w:t>iesniegšanas Ministru kabinetā tika plānots to</w:t>
            </w:r>
            <w:r w:rsidR="00BB1156" w:rsidRPr="00404CF1">
              <w:rPr>
                <w:rFonts w:ascii="Times New Roman" w:eastAsia="Times New Roman" w:hAnsi="Times New Roman" w:cs="Times New Roman"/>
                <w:iCs/>
                <w:spacing w:val="-2"/>
                <w:sz w:val="24"/>
                <w:szCs w:val="24"/>
                <w:lang w:eastAsia="lv-LV"/>
              </w:rPr>
              <w:t>s</w:t>
            </w:r>
            <w:r w:rsidRPr="00404CF1">
              <w:rPr>
                <w:rFonts w:ascii="Times New Roman" w:eastAsia="Times New Roman" w:hAnsi="Times New Roman" w:cs="Times New Roman"/>
                <w:iCs/>
                <w:spacing w:val="-2"/>
                <w:sz w:val="24"/>
                <w:szCs w:val="24"/>
                <w:lang w:eastAsia="lv-LV"/>
              </w:rPr>
              <w:t xml:space="preserve"> prezentēt FKTK konsultatīvajā finanšu un kapitāla tirgus padomē, kurā pārstāvētas visas FKTK uzraudzīto finanšu tirgus dalībnieku asociācijas,</w:t>
            </w:r>
            <w:r w:rsidRPr="00404CF1">
              <w:rPr>
                <w:rFonts w:ascii="Times New Roman" w:eastAsia="Times New Roman" w:hAnsi="Times New Roman" w:cs="Times New Roman"/>
                <w:iCs/>
                <w:sz w:val="24"/>
                <w:szCs w:val="24"/>
                <w:lang w:eastAsia="lv-LV"/>
              </w:rPr>
              <w:t xml:space="preserve"> </w:t>
            </w:r>
            <w:r w:rsidRPr="00404CF1">
              <w:rPr>
                <w:rFonts w:ascii="Times New Roman" w:eastAsia="Times New Roman" w:hAnsi="Times New Roman" w:cs="Times New Roman"/>
                <w:iCs/>
                <w:spacing w:val="-2"/>
                <w:sz w:val="24"/>
                <w:szCs w:val="24"/>
                <w:lang w:eastAsia="lv-LV"/>
              </w:rPr>
              <w:t xml:space="preserve">tādējādi iesaistot tās sabiedriskā apspriešanā. </w:t>
            </w:r>
          </w:p>
        </w:tc>
      </w:tr>
      <w:tr w:rsidR="00BB1156" w:rsidRPr="00404CF1" w14:paraId="47C49D1D" w14:textId="77777777" w:rsidTr="00687A83">
        <w:trPr>
          <w:trHeight w:val="339"/>
        </w:trPr>
        <w:tc>
          <w:tcPr>
            <w:tcW w:w="562" w:type="dxa"/>
            <w:tcBorders>
              <w:top w:val="nil"/>
              <w:left w:val="single" w:sz="8" w:space="0" w:color="000000"/>
              <w:bottom w:val="single" w:sz="8" w:space="0" w:color="000000"/>
              <w:right w:val="single" w:sz="8" w:space="0" w:color="000000"/>
            </w:tcBorders>
            <w:shd w:val="clear" w:color="auto" w:fill="FFFFFF"/>
            <w:hideMark/>
          </w:tcPr>
          <w:p w14:paraId="086ECEEB"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2448" w:type="dxa"/>
            <w:tcBorders>
              <w:top w:val="nil"/>
              <w:left w:val="nil"/>
              <w:bottom w:val="single" w:sz="8" w:space="0" w:color="000000"/>
              <w:right w:val="single" w:sz="8" w:space="0" w:color="000000"/>
            </w:tcBorders>
            <w:shd w:val="clear" w:color="auto" w:fill="FFFFFF"/>
            <w:hideMark/>
          </w:tcPr>
          <w:p w14:paraId="1E04C45F"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Sabiedrības līdzdalība projekta izstrādē</w:t>
            </w:r>
          </w:p>
        </w:tc>
        <w:tc>
          <w:tcPr>
            <w:tcW w:w="5496" w:type="dxa"/>
            <w:tcBorders>
              <w:top w:val="nil"/>
              <w:left w:val="nil"/>
              <w:bottom w:val="single" w:sz="8" w:space="0" w:color="000000"/>
              <w:right w:val="single" w:sz="8" w:space="0" w:color="000000"/>
            </w:tcBorders>
            <w:shd w:val="clear" w:color="auto" w:fill="FFFFFF"/>
            <w:hideMark/>
          </w:tcPr>
          <w:p w14:paraId="3F832188" w14:textId="7CBB7BE4" w:rsidR="000147E7" w:rsidRPr="00404CF1" w:rsidRDefault="000147E7" w:rsidP="000147E7">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bookmarkStart w:id="3" w:name="p62"/>
            <w:bookmarkEnd w:id="3"/>
            <w:r w:rsidRPr="00404CF1">
              <w:rPr>
                <w:rFonts w:ascii="Times New Roman" w:eastAsia="Times New Roman" w:hAnsi="Times New Roman" w:cs="Times New Roman"/>
                <w:sz w:val="24"/>
                <w:szCs w:val="24"/>
                <w:shd w:val="clear" w:color="auto" w:fill="FFFFFF"/>
                <w:lang w:eastAsia="lv-LV"/>
              </w:rPr>
              <w:t xml:space="preserve">Finanšu ministrija sadarbībā ar Latvijas Banku un FKTK </w:t>
            </w:r>
            <w:proofErr w:type="gramStart"/>
            <w:r w:rsidRPr="00404CF1">
              <w:rPr>
                <w:rFonts w:ascii="Times New Roman" w:eastAsia="Times New Roman" w:hAnsi="Times New Roman" w:cs="Times New Roman"/>
                <w:sz w:val="24"/>
                <w:szCs w:val="24"/>
                <w:shd w:val="clear" w:color="auto" w:fill="FFFFFF"/>
                <w:lang w:eastAsia="lv-LV"/>
              </w:rPr>
              <w:t>2020.gada</w:t>
            </w:r>
            <w:proofErr w:type="gramEnd"/>
            <w:r w:rsidRPr="00404CF1">
              <w:rPr>
                <w:rFonts w:ascii="Times New Roman" w:eastAsia="Times New Roman" w:hAnsi="Times New Roman" w:cs="Times New Roman"/>
                <w:sz w:val="24"/>
                <w:szCs w:val="24"/>
                <w:shd w:val="clear" w:color="auto" w:fill="FFFFFF"/>
                <w:lang w:eastAsia="lv-LV"/>
              </w:rPr>
              <w:t xml:space="preserve"> maijā izstrādāja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sz w:val="24"/>
                <w:szCs w:val="24"/>
                <w:shd w:val="clear" w:color="auto" w:fill="FFFFFF"/>
                <w:lang w:eastAsia="lv-LV"/>
              </w:rPr>
              <w:t>Izvērtējumu par Finanšu un kapitāla tirgus komisijas pievienošanu Latvijas Bankai</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sz w:val="24"/>
                <w:szCs w:val="24"/>
                <w:shd w:val="clear" w:color="auto" w:fill="FFFFFF"/>
                <w:lang w:eastAsia="lv-LV"/>
              </w:rPr>
              <w:t xml:space="preserve"> (turpmāk – Izvērtējums).</w:t>
            </w:r>
          </w:p>
          <w:p w14:paraId="329E2AA7" w14:textId="6A033BAE" w:rsidR="000147E7" w:rsidRPr="00404CF1" w:rsidRDefault="000147E7" w:rsidP="000147E7">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404CF1">
              <w:rPr>
                <w:rFonts w:ascii="Times New Roman" w:eastAsia="Times New Roman" w:hAnsi="Times New Roman" w:cs="Times New Roman"/>
                <w:sz w:val="24"/>
                <w:szCs w:val="24"/>
                <w:shd w:val="clear" w:color="auto" w:fill="FFFFFF"/>
                <w:lang w:eastAsia="lv-LV"/>
              </w:rPr>
              <w:t>Ministru kabinets 2020. gada 26. maijā</w:t>
            </w:r>
            <w:proofErr w:type="gramStart"/>
            <w:r w:rsidRPr="00404CF1">
              <w:rPr>
                <w:rFonts w:ascii="Times New Roman" w:eastAsia="Times New Roman" w:hAnsi="Times New Roman" w:cs="Times New Roman"/>
                <w:sz w:val="24"/>
                <w:szCs w:val="24"/>
                <w:shd w:val="clear" w:color="auto" w:fill="FFFFFF"/>
                <w:lang w:eastAsia="lv-LV"/>
              </w:rPr>
              <w:t xml:space="preserve">  </w:t>
            </w:r>
            <w:proofErr w:type="gramEnd"/>
            <w:r w:rsidRPr="00404CF1">
              <w:rPr>
                <w:rFonts w:ascii="Times New Roman" w:eastAsia="Times New Roman" w:hAnsi="Times New Roman" w:cs="Times New Roman"/>
                <w:sz w:val="24"/>
                <w:szCs w:val="24"/>
                <w:shd w:val="clear" w:color="auto" w:fill="FFFFFF"/>
                <w:lang w:eastAsia="lv-LV"/>
              </w:rPr>
              <w:t xml:space="preserve">izskatīja un konceptuāli atbalstīja Izvērtējumu (Ministru kabineta 2020. gada 26. maija sēdes protokols Nr. 36 27. §), un nosūtīja  to atbildīgajai Saeimas komisijai. </w:t>
            </w:r>
          </w:p>
          <w:p w14:paraId="78D719E3" w14:textId="071A91E3" w:rsidR="000147E7" w:rsidRPr="00404CF1" w:rsidRDefault="000147E7" w:rsidP="000147E7">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404CF1">
              <w:rPr>
                <w:rFonts w:ascii="Times New Roman" w:eastAsia="Times New Roman" w:hAnsi="Times New Roman" w:cs="Times New Roman"/>
                <w:sz w:val="24"/>
                <w:szCs w:val="24"/>
                <w:shd w:val="clear" w:color="auto" w:fill="FFFFFF"/>
                <w:lang w:eastAsia="lv-LV"/>
              </w:rPr>
              <w:t>Saeimas Budžeta un finanšu (nodokļu) komisija</w:t>
            </w:r>
            <w:proofErr w:type="gramStart"/>
            <w:r w:rsidRPr="00404CF1">
              <w:rPr>
                <w:rFonts w:ascii="Times New Roman" w:eastAsia="Times New Roman" w:hAnsi="Times New Roman" w:cs="Times New Roman"/>
                <w:sz w:val="24"/>
                <w:szCs w:val="24"/>
                <w:shd w:val="clear" w:color="auto" w:fill="FFFFFF"/>
                <w:lang w:eastAsia="lv-LV"/>
              </w:rPr>
              <w:t xml:space="preserve">  </w:t>
            </w:r>
            <w:proofErr w:type="gramEnd"/>
            <w:r w:rsidRPr="00404CF1">
              <w:rPr>
                <w:rFonts w:ascii="Times New Roman" w:eastAsia="Times New Roman" w:hAnsi="Times New Roman" w:cs="Times New Roman"/>
                <w:sz w:val="24"/>
                <w:szCs w:val="24"/>
                <w:shd w:val="clear" w:color="auto" w:fill="FFFFFF"/>
                <w:lang w:eastAsia="lv-LV"/>
              </w:rPr>
              <w:t>2020.gada 2.jūnijā uzklausīja atbildīgo institūciju pārstāvjus par Izvērtējumu un nolēma pieņemt zināšanai, ka tās dotais uzdevums ir izpildīts un turpinās darbs pie likumprojekta</w:t>
            </w:r>
            <w:r w:rsidR="00BB1156" w:rsidRPr="00404CF1">
              <w:rPr>
                <w:rFonts w:ascii="Times New Roman" w:eastAsia="Times New Roman" w:hAnsi="Times New Roman" w:cs="Times New Roman"/>
                <w:sz w:val="24"/>
                <w:szCs w:val="24"/>
                <w:shd w:val="clear" w:color="auto" w:fill="FFFFFF"/>
                <w:lang w:eastAsia="lv-LV"/>
              </w:rPr>
              <w:t xml:space="preserve"> </w:t>
            </w:r>
            <w:r w:rsidRPr="00404CF1">
              <w:rPr>
                <w:rFonts w:ascii="Times New Roman" w:eastAsia="Times New Roman" w:hAnsi="Times New Roman" w:cs="Times New Roman"/>
                <w:sz w:val="24"/>
                <w:szCs w:val="24"/>
                <w:shd w:val="clear" w:color="auto" w:fill="FFFFFF"/>
                <w:lang w:eastAsia="lv-LV"/>
              </w:rPr>
              <w:t>izstrādes (Saeimas Budžeta un finanšu (nodokļu) komisijas 2020. gada 2.jūnija sēdes protokols Nr.165  1.punkts).</w:t>
            </w:r>
          </w:p>
          <w:p w14:paraId="37EE306D" w14:textId="06C5325E" w:rsidR="00B86BD1" w:rsidRPr="00404CF1" w:rsidRDefault="006528E9" w:rsidP="006F750B">
            <w:pPr>
              <w:shd w:val="clear" w:color="auto" w:fill="FFFFFF"/>
              <w:spacing w:after="120" w:line="240" w:lineRule="auto"/>
              <w:ind w:left="57" w:right="113"/>
              <w:jc w:val="both"/>
              <w:rPr>
                <w:rFonts w:ascii="Times New Roman" w:eastAsia="Times New Roman" w:hAnsi="Times New Roman" w:cs="Times New Roman"/>
                <w:sz w:val="24"/>
                <w:szCs w:val="24"/>
                <w:lang w:eastAsia="lv-LV"/>
              </w:rPr>
            </w:pPr>
            <w:r w:rsidRPr="006528E9">
              <w:rPr>
                <w:rFonts w:ascii="Times New Roman" w:eastAsia="Times New Roman" w:hAnsi="Times New Roman" w:cs="Times New Roman"/>
                <w:sz w:val="24"/>
                <w:szCs w:val="24"/>
                <w:shd w:val="clear" w:color="auto" w:fill="FFFFFF"/>
                <w:lang w:eastAsia="lv-LV"/>
              </w:rPr>
              <w:t>Pirms likumprojekta iesniegšanas Ministru kabinetā</w:t>
            </w:r>
            <w:proofErr w:type="gramStart"/>
            <w:r w:rsidRPr="006528E9">
              <w:rPr>
                <w:rFonts w:ascii="Times New Roman" w:eastAsia="Times New Roman" w:hAnsi="Times New Roman" w:cs="Times New Roman"/>
                <w:sz w:val="24"/>
                <w:szCs w:val="24"/>
                <w:shd w:val="clear" w:color="auto" w:fill="FFFFFF"/>
                <w:lang w:eastAsia="lv-LV"/>
              </w:rPr>
              <w:t xml:space="preserve">  </w:t>
            </w:r>
            <w:proofErr w:type="gramEnd"/>
            <w:r w:rsidRPr="006528E9">
              <w:rPr>
                <w:rFonts w:ascii="Times New Roman" w:eastAsia="Times New Roman" w:hAnsi="Times New Roman" w:cs="Times New Roman"/>
                <w:sz w:val="24"/>
                <w:szCs w:val="24"/>
                <w:shd w:val="clear" w:color="auto" w:fill="FFFFFF"/>
                <w:lang w:eastAsia="lv-LV"/>
              </w:rPr>
              <w:t xml:space="preserve">tas 2020. gada 11. novembrī tika prezentēts FKTK konsultatīvajā  finanšu un kapitāla tirgus padomē, kurā pārstāvētas visas FKTK uzraudzīto finanšu tirgus dalībnieku asociācijas, tādējādi iesaistot tās likumprojekta apspriešanā. </w:t>
            </w:r>
          </w:p>
        </w:tc>
      </w:tr>
      <w:tr w:rsidR="00BB1156" w:rsidRPr="00404CF1" w14:paraId="3D37B598" w14:textId="77777777" w:rsidTr="00687A83">
        <w:trPr>
          <w:trHeight w:val="476"/>
        </w:trPr>
        <w:tc>
          <w:tcPr>
            <w:tcW w:w="562" w:type="dxa"/>
            <w:tcBorders>
              <w:top w:val="nil"/>
              <w:left w:val="single" w:sz="8" w:space="0" w:color="000000"/>
              <w:bottom w:val="single" w:sz="8" w:space="0" w:color="000000"/>
              <w:right w:val="single" w:sz="8" w:space="0" w:color="000000"/>
            </w:tcBorders>
            <w:shd w:val="clear" w:color="auto" w:fill="FFFFFF"/>
            <w:hideMark/>
          </w:tcPr>
          <w:p w14:paraId="5CCC415E"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3.</w:t>
            </w:r>
          </w:p>
        </w:tc>
        <w:tc>
          <w:tcPr>
            <w:tcW w:w="2448" w:type="dxa"/>
            <w:tcBorders>
              <w:top w:val="nil"/>
              <w:left w:val="nil"/>
              <w:bottom w:val="single" w:sz="8" w:space="0" w:color="000000"/>
              <w:right w:val="single" w:sz="8" w:space="0" w:color="000000"/>
            </w:tcBorders>
            <w:shd w:val="clear" w:color="auto" w:fill="FFFFFF"/>
            <w:hideMark/>
          </w:tcPr>
          <w:p w14:paraId="22F49934"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Sabiedrības līdzdalības rezultāti</w:t>
            </w:r>
          </w:p>
        </w:tc>
        <w:tc>
          <w:tcPr>
            <w:tcW w:w="5496" w:type="dxa"/>
            <w:tcBorders>
              <w:top w:val="nil"/>
              <w:left w:val="nil"/>
              <w:bottom w:val="single" w:sz="8" w:space="0" w:color="000000"/>
              <w:right w:val="single" w:sz="8" w:space="0" w:color="000000"/>
            </w:tcBorders>
            <w:shd w:val="clear" w:color="auto" w:fill="FFFFFF"/>
            <w:hideMark/>
          </w:tcPr>
          <w:p w14:paraId="2C8674B3" w14:textId="244B7D97" w:rsidR="00B86BD1" w:rsidRPr="00404CF1" w:rsidRDefault="006528E9" w:rsidP="006F750B">
            <w:pPr>
              <w:shd w:val="clear" w:color="auto" w:fill="FFFFFF"/>
              <w:spacing w:after="120" w:line="240" w:lineRule="auto"/>
              <w:ind w:right="113"/>
              <w:jc w:val="both"/>
              <w:rPr>
                <w:rFonts w:ascii="Times New Roman" w:eastAsia="Times New Roman" w:hAnsi="Times New Roman" w:cs="Times New Roman"/>
                <w:sz w:val="24"/>
                <w:szCs w:val="24"/>
                <w:lang w:eastAsia="lv-LV"/>
              </w:rPr>
            </w:pPr>
            <w:r w:rsidRPr="006528E9">
              <w:rPr>
                <w:rFonts w:ascii="Times New Roman" w:eastAsia="Times New Roman" w:hAnsi="Times New Roman" w:cs="Times New Roman"/>
                <w:iCs/>
                <w:sz w:val="24"/>
                <w:szCs w:val="24"/>
                <w:shd w:val="clear" w:color="auto" w:fill="FFFFFF"/>
                <w:lang w:eastAsia="lv-LV"/>
              </w:rPr>
              <w:t>Likumprojektu pēc prezentācijas un tikšanās ar FKTK konsultatīvo finanšu un kapitāla tirgus padomi, nebija nepieciešams precizēt, ņemot vērā sabiedrības līdzdalības rezultātus.</w:t>
            </w:r>
          </w:p>
        </w:tc>
      </w:tr>
      <w:tr w:rsidR="00BB1156" w:rsidRPr="00404CF1" w14:paraId="7DFCEB9F" w14:textId="77777777" w:rsidTr="00687A83">
        <w:trPr>
          <w:trHeight w:val="205"/>
        </w:trPr>
        <w:tc>
          <w:tcPr>
            <w:tcW w:w="562" w:type="dxa"/>
            <w:tcBorders>
              <w:top w:val="nil"/>
              <w:left w:val="single" w:sz="8" w:space="0" w:color="000000"/>
              <w:bottom w:val="single" w:sz="8" w:space="0" w:color="000000"/>
              <w:right w:val="single" w:sz="8" w:space="0" w:color="000000"/>
            </w:tcBorders>
            <w:shd w:val="clear" w:color="auto" w:fill="FFFFFF"/>
            <w:hideMark/>
          </w:tcPr>
          <w:p w14:paraId="1D3E5566"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4.</w:t>
            </w:r>
          </w:p>
        </w:tc>
        <w:tc>
          <w:tcPr>
            <w:tcW w:w="2448" w:type="dxa"/>
            <w:tcBorders>
              <w:top w:val="nil"/>
              <w:left w:val="nil"/>
              <w:bottom w:val="single" w:sz="8" w:space="0" w:color="000000"/>
              <w:right w:val="single" w:sz="8" w:space="0" w:color="000000"/>
            </w:tcBorders>
            <w:shd w:val="clear" w:color="auto" w:fill="FFFFFF"/>
            <w:hideMark/>
          </w:tcPr>
          <w:p w14:paraId="7B5EE0F9"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5496" w:type="dxa"/>
            <w:tcBorders>
              <w:top w:val="nil"/>
              <w:left w:val="nil"/>
              <w:bottom w:val="single" w:sz="8" w:space="0" w:color="000000"/>
              <w:right w:val="single" w:sz="8" w:space="0" w:color="000000"/>
            </w:tcBorders>
            <w:shd w:val="clear" w:color="auto" w:fill="FFFFFF"/>
            <w:hideMark/>
          </w:tcPr>
          <w:p w14:paraId="01E9B622" w14:textId="77777777" w:rsidR="00B86BD1" w:rsidRPr="00404CF1" w:rsidRDefault="00B86BD1" w:rsidP="00B86BD1">
            <w:pPr>
              <w:spacing w:after="0" w:line="240" w:lineRule="auto"/>
              <w:ind w:left="57" w:right="113"/>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6AE83895" w14:textId="77777777"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528" w:type="dxa"/>
        <w:shd w:val="clear" w:color="auto" w:fill="FFFFFF"/>
        <w:tblCellMar>
          <w:left w:w="0" w:type="dxa"/>
          <w:right w:w="0" w:type="dxa"/>
        </w:tblCellMar>
        <w:tblLook w:val="04A0" w:firstRow="1" w:lastRow="0" w:firstColumn="1" w:lastColumn="0" w:noHBand="0" w:noVBand="1"/>
      </w:tblPr>
      <w:tblGrid>
        <w:gridCol w:w="412"/>
        <w:gridCol w:w="2980"/>
        <w:gridCol w:w="5136"/>
      </w:tblGrid>
      <w:tr w:rsidR="00816422" w:rsidRPr="00404CF1" w14:paraId="5F2449D9" w14:textId="77777777" w:rsidTr="000352A5">
        <w:trPr>
          <w:trHeight w:val="421"/>
        </w:trPr>
        <w:tc>
          <w:tcPr>
            <w:tcW w:w="852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69CFACC7" w14:textId="77777777" w:rsidR="00B86BD1" w:rsidRPr="00404CF1" w:rsidRDefault="00B86BD1" w:rsidP="00B86BD1">
            <w:pPr>
              <w:spacing w:after="0" w:line="240" w:lineRule="auto"/>
              <w:ind w:left="57" w:right="57"/>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VII. Tiesību akta projekta izpildes nodrošināšana un tās ietekme uz institūcijām</w:t>
            </w:r>
          </w:p>
        </w:tc>
      </w:tr>
      <w:tr w:rsidR="00937726" w:rsidRPr="00404CF1" w14:paraId="44F95481" w14:textId="77777777" w:rsidTr="000352A5">
        <w:trPr>
          <w:trHeight w:val="553"/>
        </w:trPr>
        <w:tc>
          <w:tcPr>
            <w:tcW w:w="412" w:type="dxa"/>
            <w:tcBorders>
              <w:top w:val="nil"/>
              <w:left w:val="single" w:sz="8" w:space="0" w:color="000000"/>
              <w:bottom w:val="single" w:sz="8" w:space="0" w:color="000000"/>
              <w:right w:val="single" w:sz="8" w:space="0" w:color="000000"/>
            </w:tcBorders>
            <w:shd w:val="clear" w:color="auto" w:fill="FFFFFF"/>
            <w:hideMark/>
          </w:tcPr>
          <w:p w14:paraId="0E31F7D5"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2980" w:type="dxa"/>
            <w:tcBorders>
              <w:top w:val="nil"/>
              <w:left w:val="nil"/>
              <w:bottom w:val="single" w:sz="8" w:space="0" w:color="000000"/>
              <w:right w:val="single" w:sz="8" w:space="0" w:color="000000"/>
            </w:tcBorders>
            <w:shd w:val="clear" w:color="auto" w:fill="FFFFFF"/>
            <w:hideMark/>
          </w:tcPr>
          <w:p w14:paraId="2DFD4C5E"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Projekta izpildē iesaistītās institūcijas</w:t>
            </w:r>
          </w:p>
        </w:tc>
        <w:tc>
          <w:tcPr>
            <w:tcW w:w="5136" w:type="dxa"/>
            <w:tcBorders>
              <w:top w:val="nil"/>
              <w:left w:val="nil"/>
              <w:bottom w:val="single" w:sz="8" w:space="0" w:color="000000"/>
              <w:right w:val="single" w:sz="8" w:space="0" w:color="000000"/>
            </w:tcBorders>
            <w:shd w:val="clear" w:color="auto" w:fill="FFFFFF"/>
            <w:hideMark/>
          </w:tcPr>
          <w:p w14:paraId="69678F82" w14:textId="5640BFA9" w:rsidR="00B86BD1" w:rsidRPr="00404CF1" w:rsidRDefault="006B69F3" w:rsidP="006B69F3">
            <w:pPr>
              <w:shd w:val="clear" w:color="auto" w:fill="FFFFFF"/>
              <w:spacing w:after="0" w:line="240" w:lineRule="auto"/>
              <w:ind w:left="57" w:right="113"/>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FKTK</w:t>
            </w:r>
            <w:r w:rsidR="003E7B85" w:rsidRPr="00404CF1">
              <w:rPr>
                <w:rFonts w:ascii="Times New Roman" w:eastAsia="Times New Roman" w:hAnsi="Times New Roman" w:cs="Times New Roman"/>
                <w:sz w:val="24"/>
                <w:szCs w:val="24"/>
                <w:lang w:eastAsia="lv-LV"/>
              </w:rPr>
              <w:t>, Latvijas Banka</w:t>
            </w:r>
          </w:p>
        </w:tc>
      </w:tr>
      <w:tr w:rsidR="00937726" w:rsidRPr="00404CF1" w14:paraId="07ED8B37" w14:textId="77777777" w:rsidTr="000352A5">
        <w:trPr>
          <w:trHeight w:val="339"/>
        </w:trPr>
        <w:tc>
          <w:tcPr>
            <w:tcW w:w="412" w:type="dxa"/>
            <w:tcBorders>
              <w:top w:val="nil"/>
              <w:left w:val="single" w:sz="8" w:space="0" w:color="000000"/>
              <w:bottom w:val="single" w:sz="8" w:space="0" w:color="000000"/>
              <w:right w:val="single" w:sz="8" w:space="0" w:color="000000"/>
            </w:tcBorders>
            <w:shd w:val="clear" w:color="auto" w:fill="FFFFFF"/>
            <w:hideMark/>
          </w:tcPr>
          <w:p w14:paraId="2C2BB062"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2980" w:type="dxa"/>
            <w:tcBorders>
              <w:top w:val="nil"/>
              <w:left w:val="nil"/>
              <w:bottom w:val="single" w:sz="8" w:space="0" w:color="000000"/>
              <w:right w:val="single" w:sz="8" w:space="0" w:color="000000"/>
            </w:tcBorders>
            <w:shd w:val="clear" w:color="auto" w:fill="FFFFFF"/>
            <w:hideMark/>
          </w:tcPr>
          <w:p w14:paraId="231A5913"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Projekta izpildes ietekme uz pārvaldes funkcijām un institucionālo struktūru.</w:t>
            </w:r>
          </w:p>
          <w:p w14:paraId="44D7ED97"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36" w:type="dxa"/>
            <w:tcBorders>
              <w:top w:val="nil"/>
              <w:left w:val="nil"/>
              <w:bottom w:val="single" w:sz="8" w:space="0" w:color="000000"/>
              <w:right w:val="single" w:sz="8" w:space="0" w:color="000000"/>
            </w:tcBorders>
            <w:shd w:val="clear" w:color="auto" w:fill="FFFFFF"/>
            <w:hideMark/>
          </w:tcPr>
          <w:p w14:paraId="7F5B4E01" w14:textId="77777777" w:rsidR="00937726" w:rsidRPr="00404CF1" w:rsidRDefault="00937726" w:rsidP="009377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404CF1">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AC2A2D5" w14:textId="095EDCCA" w:rsidR="00B86BD1" w:rsidRPr="00404CF1" w:rsidRDefault="00937726" w:rsidP="009377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404CF1">
              <w:rPr>
                <w:rFonts w:ascii="Times New Roman" w:eastAsia="Times New Roman" w:hAnsi="Times New Roman" w:cs="Times New Roman"/>
                <w:iCs/>
                <w:sz w:val="24"/>
                <w:szCs w:val="24"/>
                <w:lang w:eastAsia="lv-LV"/>
              </w:rPr>
              <w:t xml:space="preserve">Taču jāņem vērā to, ka likumprojekts ir saistīts ar likumprojektu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 xml:space="preserve"> jaunu institūciju izveide nav paredzēta. </w:t>
            </w:r>
            <w:r w:rsidRPr="00404CF1">
              <w:rPr>
                <w:rFonts w:ascii="Times New Roman" w:eastAsia="Times New Roman" w:hAnsi="Times New Roman" w:cs="Times New Roman"/>
                <w:sz w:val="24"/>
                <w:szCs w:val="24"/>
                <w:lang w:eastAsia="lv-LV"/>
              </w:rPr>
              <w:t>FKTK un Latvijas Bankas apvienošanas procesa rezultātā darbinieku skaita samazinājums var sasniegt līdz 30 pilna laika ekvivalentiem.</w:t>
            </w:r>
          </w:p>
        </w:tc>
      </w:tr>
      <w:tr w:rsidR="00937726" w:rsidRPr="00404CF1" w14:paraId="0DA233E6" w14:textId="77777777" w:rsidTr="000352A5">
        <w:trPr>
          <w:trHeight w:val="153"/>
        </w:trPr>
        <w:tc>
          <w:tcPr>
            <w:tcW w:w="412" w:type="dxa"/>
            <w:tcBorders>
              <w:top w:val="nil"/>
              <w:left w:val="single" w:sz="8" w:space="0" w:color="000000"/>
              <w:bottom w:val="single" w:sz="8" w:space="0" w:color="000000"/>
              <w:right w:val="single" w:sz="8" w:space="0" w:color="000000"/>
            </w:tcBorders>
            <w:shd w:val="clear" w:color="auto" w:fill="FFFFFF"/>
            <w:hideMark/>
          </w:tcPr>
          <w:p w14:paraId="3F027B8C"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3.</w:t>
            </w:r>
          </w:p>
        </w:tc>
        <w:tc>
          <w:tcPr>
            <w:tcW w:w="2980" w:type="dxa"/>
            <w:tcBorders>
              <w:top w:val="nil"/>
              <w:left w:val="nil"/>
              <w:bottom w:val="single" w:sz="8" w:space="0" w:color="000000"/>
              <w:right w:val="single" w:sz="8" w:space="0" w:color="000000"/>
            </w:tcBorders>
            <w:shd w:val="clear" w:color="auto" w:fill="FFFFFF"/>
            <w:hideMark/>
          </w:tcPr>
          <w:p w14:paraId="5D4A7709"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5136" w:type="dxa"/>
            <w:tcBorders>
              <w:top w:val="nil"/>
              <w:left w:val="nil"/>
              <w:bottom w:val="single" w:sz="8" w:space="0" w:color="000000"/>
              <w:right w:val="single" w:sz="8" w:space="0" w:color="000000"/>
            </w:tcBorders>
            <w:shd w:val="clear" w:color="auto" w:fill="FFFFFF"/>
            <w:hideMark/>
          </w:tcPr>
          <w:p w14:paraId="0CC5718F" w14:textId="77777777" w:rsidR="00B86BD1" w:rsidRPr="00404CF1" w:rsidRDefault="00B86BD1" w:rsidP="00B86BD1">
            <w:pPr>
              <w:shd w:val="clear" w:color="auto" w:fill="FFFFFF"/>
              <w:spacing w:after="0" w:line="240" w:lineRule="auto"/>
              <w:ind w:left="57" w:right="113"/>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36983820" w14:textId="77777777" w:rsidR="00714991" w:rsidRPr="00404CF1" w:rsidRDefault="00714991" w:rsidP="00714991">
      <w:pPr>
        <w:tabs>
          <w:tab w:val="left" w:pos="6237"/>
        </w:tabs>
        <w:spacing w:after="0" w:line="240" w:lineRule="auto"/>
        <w:rPr>
          <w:rFonts w:ascii="Times New Roman" w:eastAsia="Times New Roman" w:hAnsi="Times New Roman" w:cs="Times New Roman"/>
          <w:sz w:val="24"/>
          <w:szCs w:val="24"/>
          <w:lang w:eastAsia="lv-LV"/>
        </w:rPr>
      </w:pPr>
    </w:p>
    <w:p w14:paraId="14212415" w14:textId="77777777" w:rsidR="00714991" w:rsidRPr="00404CF1" w:rsidRDefault="00714991" w:rsidP="00714991">
      <w:pPr>
        <w:tabs>
          <w:tab w:val="left" w:pos="6237"/>
        </w:tabs>
        <w:spacing w:after="0" w:line="240" w:lineRule="auto"/>
        <w:rPr>
          <w:rFonts w:ascii="Times New Roman" w:eastAsia="Times New Roman" w:hAnsi="Times New Roman" w:cs="Times New Roman"/>
          <w:sz w:val="24"/>
          <w:szCs w:val="24"/>
          <w:lang w:eastAsia="lv-LV"/>
        </w:rPr>
      </w:pPr>
    </w:p>
    <w:p w14:paraId="017A3791" w14:textId="77777777" w:rsidR="00B56122" w:rsidRPr="00CA23A8" w:rsidRDefault="00B56122"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48B26328" w14:textId="77777777" w:rsidR="00B56122" w:rsidRPr="00CA23A8" w:rsidRDefault="00B56122"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26A4073D" w14:textId="72F356A6" w:rsidR="00404CF1" w:rsidRDefault="00404CF1" w:rsidP="00404CF1">
      <w:pPr>
        <w:spacing w:after="0" w:line="240" w:lineRule="auto"/>
        <w:rPr>
          <w:rFonts w:ascii="Times New Roman" w:eastAsia="Times New Roman" w:hAnsi="Times New Roman" w:cs="Times New Roman"/>
          <w:sz w:val="20"/>
          <w:szCs w:val="20"/>
          <w:lang w:eastAsia="lv-LV"/>
        </w:rPr>
      </w:pPr>
    </w:p>
    <w:p w14:paraId="3553EF91" w14:textId="77777777" w:rsidR="00404CF1" w:rsidRDefault="00404CF1" w:rsidP="00404CF1">
      <w:pPr>
        <w:spacing w:after="0" w:line="240" w:lineRule="auto"/>
        <w:rPr>
          <w:rFonts w:ascii="Times New Roman" w:eastAsia="Times New Roman" w:hAnsi="Times New Roman" w:cs="Times New Roman"/>
          <w:sz w:val="20"/>
          <w:szCs w:val="20"/>
          <w:lang w:eastAsia="lv-LV"/>
        </w:rPr>
      </w:pPr>
    </w:p>
    <w:p w14:paraId="75D7CDBF" w14:textId="77777777" w:rsidR="00404CF1" w:rsidRDefault="00404CF1" w:rsidP="00404CF1">
      <w:pPr>
        <w:spacing w:after="0" w:line="240" w:lineRule="auto"/>
        <w:rPr>
          <w:rFonts w:ascii="Times New Roman" w:eastAsia="Times New Roman" w:hAnsi="Times New Roman" w:cs="Times New Roman"/>
          <w:sz w:val="20"/>
          <w:szCs w:val="20"/>
          <w:lang w:eastAsia="lv-LV"/>
        </w:rPr>
      </w:pPr>
    </w:p>
    <w:p w14:paraId="5A18218C" w14:textId="5D85ECBC" w:rsidR="00404CF1" w:rsidRPr="00404CF1" w:rsidRDefault="00404CF1" w:rsidP="00404CF1">
      <w:pPr>
        <w:spacing w:after="0" w:line="240" w:lineRule="auto"/>
        <w:rPr>
          <w:rFonts w:ascii="Times New Roman" w:eastAsia="Times New Roman" w:hAnsi="Times New Roman" w:cs="Times New Roman"/>
          <w:sz w:val="20"/>
          <w:szCs w:val="20"/>
          <w:lang w:eastAsia="lv-LV"/>
        </w:rPr>
      </w:pPr>
      <w:proofErr w:type="spellStart"/>
      <w:r w:rsidRPr="00404CF1">
        <w:rPr>
          <w:rFonts w:ascii="Times New Roman" w:eastAsia="Times New Roman" w:hAnsi="Times New Roman" w:cs="Times New Roman"/>
          <w:sz w:val="20"/>
          <w:szCs w:val="20"/>
          <w:lang w:eastAsia="lv-LV"/>
        </w:rPr>
        <w:t>Jenerte</w:t>
      </w:r>
      <w:proofErr w:type="spellEnd"/>
      <w:r w:rsidRPr="00404CF1">
        <w:rPr>
          <w:rFonts w:ascii="Times New Roman" w:eastAsia="Times New Roman" w:hAnsi="Times New Roman" w:cs="Times New Roman"/>
          <w:sz w:val="20"/>
          <w:szCs w:val="20"/>
          <w:lang w:eastAsia="lv-LV"/>
        </w:rPr>
        <w:t>, 67095502</w:t>
      </w:r>
    </w:p>
    <w:p w14:paraId="6ACBE148" w14:textId="77777777" w:rsidR="00404CF1" w:rsidRPr="00404CF1" w:rsidRDefault="00A15F6B" w:rsidP="00404CF1">
      <w:pPr>
        <w:spacing w:after="0" w:line="240" w:lineRule="auto"/>
        <w:rPr>
          <w:rFonts w:ascii="Times New Roman" w:eastAsia="Times New Roman" w:hAnsi="Times New Roman" w:cs="Times New Roman"/>
          <w:sz w:val="20"/>
          <w:szCs w:val="20"/>
          <w:lang w:eastAsia="lv-LV"/>
        </w:rPr>
      </w:pPr>
      <w:hyperlink r:id="rId11" w:history="1">
        <w:r w:rsidR="00404CF1" w:rsidRPr="00404CF1">
          <w:rPr>
            <w:rStyle w:val="Hyperlink"/>
            <w:rFonts w:ascii="Times New Roman" w:eastAsia="Times New Roman" w:hAnsi="Times New Roman" w:cs="Times New Roman"/>
            <w:sz w:val="20"/>
            <w:szCs w:val="20"/>
            <w:lang w:eastAsia="lv-LV"/>
          </w:rPr>
          <w:t>Liene.Jenerte@fm.gov.lv</w:t>
        </w:r>
      </w:hyperlink>
    </w:p>
    <w:p w14:paraId="2A8E76CD" w14:textId="77777777" w:rsidR="00404CF1" w:rsidRPr="00404CF1" w:rsidRDefault="00404CF1" w:rsidP="00404CF1">
      <w:pPr>
        <w:spacing w:after="0" w:line="240" w:lineRule="auto"/>
        <w:rPr>
          <w:rFonts w:ascii="Times New Roman" w:eastAsia="Times New Roman" w:hAnsi="Times New Roman" w:cs="Times New Roman"/>
          <w:sz w:val="20"/>
          <w:szCs w:val="20"/>
          <w:lang w:eastAsia="lv-LV"/>
        </w:rPr>
      </w:pPr>
    </w:p>
    <w:p w14:paraId="367062D3" w14:textId="77777777" w:rsidR="00404CF1" w:rsidRPr="00404CF1" w:rsidRDefault="00404CF1" w:rsidP="00404CF1">
      <w:pPr>
        <w:spacing w:after="0" w:line="240" w:lineRule="auto"/>
        <w:rPr>
          <w:rFonts w:ascii="Times New Roman" w:eastAsia="Times New Roman" w:hAnsi="Times New Roman" w:cs="Times New Roman"/>
          <w:sz w:val="20"/>
          <w:szCs w:val="20"/>
          <w:lang w:eastAsia="lv-LV"/>
        </w:rPr>
      </w:pPr>
      <w:proofErr w:type="spellStart"/>
      <w:r w:rsidRPr="00404CF1">
        <w:rPr>
          <w:rFonts w:ascii="Times New Roman" w:eastAsia="Times New Roman" w:hAnsi="Times New Roman" w:cs="Times New Roman"/>
          <w:sz w:val="20"/>
          <w:szCs w:val="20"/>
          <w:lang w:eastAsia="lv-LV"/>
        </w:rPr>
        <w:t>Cerbulis</w:t>
      </w:r>
      <w:proofErr w:type="spellEnd"/>
      <w:r w:rsidRPr="00404CF1">
        <w:rPr>
          <w:rFonts w:ascii="Times New Roman" w:eastAsia="Times New Roman" w:hAnsi="Times New Roman" w:cs="Times New Roman"/>
          <w:sz w:val="20"/>
          <w:szCs w:val="20"/>
          <w:lang w:eastAsia="lv-LV"/>
        </w:rPr>
        <w:t>, 67774817</w:t>
      </w:r>
    </w:p>
    <w:p w14:paraId="108C1604" w14:textId="77777777" w:rsidR="00404CF1" w:rsidRPr="00404CF1" w:rsidRDefault="00A15F6B" w:rsidP="00404CF1">
      <w:pPr>
        <w:spacing w:after="0" w:line="240" w:lineRule="auto"/>
        <w:rPr>
          <w:rFonts w:ascii="Times New Roman" w:eastAsia="Times New Roman" w:hAnsi="Times New Roman" w:cs="Times New Roman"/>
          <w:sz w:val="20"/>
          <w:szCs w:val="20"/>
          <w:lang w:eastAsia="lv-LV"/>
        </w:rPr>
      </w:pPr>
      <w:hyperlink r:id="rId12" w:history="1">
        <w:r w:rsidR="00404CF1" w:rsidRPr="00404CF1">
          <w:rPr>
            <w:rStyle w:val="Hyperlink"/>
            <w:rFonts w:ascii="Times New Roman" w:eastAsia="Times New Roman" w:hAnsi="Times New Roman" w:cs="Times New Roman"/>
            <w:sz w:val="20"/>
            <w:szCs w:val="20"/>
            <w:lang w:eastAsia="lv-LV"/>
          </w:rPr>
          <w:t>Guntis.Cerbulis@fktk.lv</w:t>
        </w:r>
      </w:hyperlink>
    </w:p>
    <w:p w14:paraId="42488789" w14:textId="7E92D92F" w:rsidR="00714991" w:rsidRDefault="00714991" w:rsidP="00714991">
      <w:pPr>
        <w:spacing w:after="0" w:line="240" w:lineRule="auto"/>
        <w:rPr>
          <w:rFonts w:ascii="Times New Roman" w:eastAsia="Times New Roman" w:hAnsi="Times New Roman" w:cs="Times New Roman"/>
          <w:sz w:val="20"/>
          <w:szCs w:val="20"/>
          <w:lang w:eastAsia="lv-LV"/>
        </w:rPr>
      </w:pPr>
    </w:p>
    <w:p w14:paraId="62A2DBB4" w14:textId="5AB23444" w:rsidR="00B56122" w:rsidRPr="00404CF1" w:rsidRDefault="00B56122" w:rsidP="00714991">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v_sk</w:t>
      </w:r>
      <w:proofErr w:type="spellEnd"/>
      <w:r>
        <w:rPr>
          <w:rFonts w:ascii="Times New Roman" w:eastAsia="Times New Roman" w:hAnsi="Times New Roman" w:cs="Times New Roman"/>
          <w:sz w:val="20"/>
          <w:szCs w:val="20"/>
          <w:lang w:eastAsia="lv-LV"/>
        </w:rPr>
        <w:t xml:space="preserve"> = 2322</w:t>
      </w:r>
      <w:bookmarkStart w:id="4" w:name="_GoBack"/>
      <w:bookmarkEnd w:id="4"/>
    </w:p>
    <w:sectPr w:rsidR="00B56122" w:rsidRPr="00404CF1" w:rsidSect="00A15F6B">
      <w:headerReference w:type="default" r:id="rId13"/>
      <w:footerReference w:type="default" r:id="rId14"/>
      <w:pgSz w:w="11906" w:h="16838"/>
      <w:pgMar w:top="1560" w:right="1558" w:bottom="1440" w:left="1800"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C0B4" w14:textId="77777777" w:rsidR="0003266E" w:rsidRDefault="0003266E" w:rsidP="00FF4A6B">
      <w:pPr>
        <w:spacing w:after="0" w:line="240" w:lineRule="auto"/>
      </w:pPr>
      <w:r>
        <w:separator/>
      </w:r>
    </w:p>
  </w:endnote>
  <w:endnote w:type="continuationSeparator" w:id="0">
    <w:p w14:paraId="55DCBB36" w14:textId="77777777" w:rsidR="0003266E" w:rsidRDefault="0003266E" w:rsidP="00FF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47031"/>
      <w:docPartObj>
        <w:docPartGallery w:val="Page Numbers (Bottom of Page)"/>
        <w:docPartUnique/>
      </w:docPartObj>
    </w:sdtPr>
    <w:sdtEndPr>
      <w:rPr>
        <w:noProof/>
      </w:rPr>
    </w:sdtEndPr>
    <w:sdtContent>
      <w:p w14:paraId="72097168" w14:textId="7368C59B" w:rsidR="00151C93" w:rsidRDefault="00A15F6B">
        <w:pPr>
          <w:pStyle w:val="Footer"/>
          <w:jc w:val="center"/>
        </w:pPr>
      </w:p>
    </w:sdtContent>
  </w:sdt>
  <w:p w14:paraId="508A5537" w14:textId="5AF59D71" w:rsidR="00937726" w:rsidRPr="00937726" w:rsidRDefault="00151C93">
    <w:pPr>
      <w:pStyle w:val="Footer"/>
      <w:rPr>
        <w:rFonts w:ascii="Times New Roman" w:hAnsi="Times New Roman" w:cs="Times New Roman"/>
        <w:sz w:val="20"/>
        <w:szCs w:val="20"/>
      </w:rPr>
    </w:pPr>
    <w:r>
      <w:rPr>
        <w:rFonts w:ascii="Times New Roman" w:hAnsi="Times New Roman" w:cs="Times New Roman"/>
        <w:sz w:val="20"/>
        <w:szCs w:val="20"/>
      </w:rPr>
      <w:t>FMAnot_</w:t>
    </w:r>
    <w:r w:rsidR="00464679">
      <w:rPr>
        <w:rFonts w:ascii="Times New Roman" w:hAnsi="Times New Roman" w:cs="Times New Roman"/>
        <w:sz w:val="20"/>
        <w:szCs w:val="20"/>
      </w:rPr>
      <w:t>14</w:t>
    </w:r>
    <w:r w:rsidR="00687A83">
      <w:rPr>
        <w:rFonts w:ascii="Times New Roman" w:hAnsi="Times New Roman" w:cs="Times New Roman"/>
        <w:sz w:val="20"/>
        <w:szCs w:val="20"/>
      </w:rPr>
      <w:t>1220</w:t>
    </w:r>
    <w:r>
      <w:rPr>
        <w:rFonts w:ascii="Times New Roman" w:hAnsi="Times New Roman" w:cs="Times New Roman"/>
        <w:sz w:val="20"/>
        <w:szCs w:val="20"/>
      </w:rPr>
      <w:t>_</w:t>
    </w:r>
    <w:r w:rsidR="00C6756E">
      <w:rPr>
        <w:rFonts w:ascii="Times New Roman" w:hAnsi="Times New Roman" w:cs="Times New Roman"/>
        <w:sz w:val="20"/>
        <w:szCs w:val="20"/>
      </w:rPr>
      <w:t>FKTK_groz</w:t>
    </w:r>
    <w:r w:rsidR="00B56122">
      <w:rPr>
        <w:rFonts w:ascii="Times New Roman" w:hAnsi="Times New Roman" w:cs="Times New Roman"/>
        <w:sz w:val="20"/>
        <w:szCs w:val="20"/>
      </w:rPr>
      <w:t xml:space="preserve"> (TA-2543)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FC62" w14:textId="77777777" w:rsidR="0003266E" w:rsidRDefault="0003266E" w:rsidP="00FF4A6B">
      <w:pPr>
        <w:spacing w:after="0" w:line="240" w:lineRule="auto"/>
      </w:pPr>
      <w:r>
        <w:separator/>
      </w:r>
    </w:p>
  </w:footnote>
  <w:footnote w:type="continuationSeparator" w:id="0">
    <w:p w14:paraId="0C6697B2" w14:textId="77777777" w:rsidR="0003266E" w:rsidRDefault="0003266E" w:rsidP="00FF4A6B">
      <w:pPr>
        <w:spacing w:after="0" w:line="240" w:lineRule="auto"/>
      </w:pPr>
      <w:r>
        <w:continuationSeparator/>
      </w:r>
    </w:p>
  </w:footnote>
  <w:footnote w:id="1">
    <w:p w14:paraId="3329A1E5" w14:textId="755B82D6" w:rsidR="004A326C" w:rsidRPr="00F94998" w:rsidRDefault="004A326C" w:rsidP="004A326C">
      <w:pPr>
        <w:pStyle w:val="FootnoteText"/>
        <w:jc w:val="both"/>
        <w:rPr>
          <w:rFonts w:ascii="Times New Roman" w:hAnsi="Times New Roman" w:cs="Times New Roman"/>
        </w:rPr>
      </w:pPr>
      <w:r w:rsidRPr="00F94998">
        <w:rPr>
          <w:rStyle w:val="FootnoteReference"/>
          <w:rFonts w:ascii="Times New Roman" w:hAnsi="Times New Roman" w:cs="Times New Roman"/>
        </w:rPr>
        <w:footnoteRef/>
      </w:r>
      <w:r w:rsidRPr="00F94998">
        <w:rPr>
          <w:rFonts w:ascii="Times New Roman" w:hAnsi="Times New Roman" w:cs="Times New Roman"/>
        </w:rPr>
        <w:t xml:space="preserve"> Eiropas Centrālās bankas 2015. gada 22. septembra atzinuma par </w:t>
      </w:r>
      <w:proofErr w:type="spellStart"/>
      <w:r w:rsidRPr="00F717EA">
        <w:rPr>
          <w:rFonts w:ascii="Times New Roman" w:hAnsi="Times New Roman" w:cs="Times New Roman"/>
          <w:i/>
          <w:iCs/>
        </w:rPr>
        <w:t>Lietuvos</w:t>
      </w:r>
      <w:proofErr w:type="spellEnd"/>
      <w:r w:rsidRPr="00F717EA">
        <w:rPr>
          <w:rFonts w:ascii="Times New Roman" w:hAnsi="Times New Roman" w:cs="Times New Roman"/>
          <w:i/>
          <w:iCs/>
        </w:rPr>
        <w:t xml:space="preserve"> bankas</w:t>
      </w:r>
      <w:r w:rsidRPr="00F94998">
        <w:rPr>
          <w:rFonts w:ascii="Times New Roman" w:hAnsi="Times New Roman" w:cs="Times New Roman"/>
        </w:rPr>
        <w:t xml:space="preserve"> noteikšanu par noregulējuma iestādi (CON/2015/33) 3.1.9. punkts. (</w:t>
      </w:r>
      <w:proofErr w:type="spellStart"/>
      <w:r w:rsidRPr="00F94998">
        <w:rPr>
          <w:rFonts w:ascii="Times New Roman" w:hAnsi="Times New Roman" w:cs="Times New Roman"/>
        </w:rPr>
        <w:t>Opinion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of</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the</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European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Central</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bank</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of</w:t>
      </w:r>
      <w:proofErr w:type="spellEnd"/>
      <w:r w:rsidRPr="00F94998">
        <w:rPr>
          <w:rFonts w:ascii="Times New Roman" w:hAnsi="Times New Roman" w:cs="Times New Roman"/>
        </w:rPr>
        <w:t xml:space="preserve"> 22 </w:t>
      </w:r>
      <w:proofErr w:type="spellStart"/>
      <w:r w:rsidRPr="00F94998">
        <w:rPr>
          <w:rFonts w:ascii="Times New Roman" w:hAnsi="Times New Roman" w:cs="Times New Roman"/>
        </w:rPr>
        <w:t>September</w:t>
      </w:r>
      <w:proofErr w:type="spellEnd"/>
      <w:r w:rsidRPr="00F94998">
        <w:rPr>
          <w:rFonts w:ascii="Times New Roman" w:hAnsi="Times New Roman" w:cs="Times New Roman"/>
        </w:rPr>
        <w:t xml:space="preserve"> 2015 </w:t>
      </w:r>
      <w:proofErr w:type="spellStart"/>
      <w:r w:rsidRPr="00F94998">
        <w:rPr>
          <w:rFonts w:ascii="Times New Roman" w:hAnsi="Times New Roman" w:cs="Times New Roman"/>
        </w:rPr>
        <w:t>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the</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designation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of</w:t>
      </w:r>
      <w:proofErr w:type="spellEnd"/>
      <w:r w:rsidRPr="00F94998">
        <w:rPr>
          <w:rFonts w:ascii="Times New Roman" w:hAnsi="Times New Roman" w:cs="Times New Roman"/>
        </w:rPr>
        <w:t xml:space="preserve"> </w:t>
      </w:r>
      <w:proofErr w:type="spellStart"/>
      <w:r w:rsidRPr="00F717EA">
        <w:rPr>
          <w:rFonts w:ascii="Times New Roman" w:hAnsi="Times New Roman" w:cs="Times New Roman"/>
          <w:i/>
          <w:iCs/>
        </w:rPr>
        <w:t>Lietuvos</w:t>
      </w:r>
      <w:proofErr w:type="spellEnd"/>
      <w:r w:rsidRPr="00F717EA">
        <w:rPr>
          <w:rFonts w:ascii="Times New Roman" w:hAnsi="Times New Roman" w:cs="Times New Roman"/>
          <w:i/>
          <w:iCs/>
        </w:rPr>
        <w:t xml:space="preserve"> bankas</w:t>
      </w:r>
      <w:r w:rsidRPr="00F94998">
        <w:rPr>
          <w:rFonts w:ascii="Times New Roman" w:hAnsi="Times New Roman" w:cs="Times New Roman"/>
        </w:rPr>
        <w:t xml:space="preserve"> as a </w:t>
      </w:r>
      <w:proofErr w:type="spellStart"/>
      <w:r w:rsidRPr="00F94998">
        <w:rPr>
          <w:rFonts w:ascii="Times New Roman" w:hAnsi="Times New Roman" w:cs="Times New Roman"/>
        </w:rPr>
        <w:t>resolution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authority</w:t>
      </w:r>
      <w:proofErr w:type="spellEnd"/>
      <w:r w:rsidRPr="00F94998">
        <w:rPr>
          <w:rFonts w:ascii="Times New Roman" w:hAnsi="Times New Roman" w:cs="Times New Roman"/>
        </w:rPr>
        <w:t xml:space="preserve"> (CON/2015/33). </w:t>
      </w:r>
      <w:r w:rsidR="005B72F1">
        <w:rPr>
          <w:rFonts w:ascii="Times New Roman" w:hAnsi="Times New Roman" w:cs="Times New Roman"/>
        </w:rPr>
        <w:t>(Pieejams:</w:t>
      </w:r>
      <w:r w:rsidRPr="00F94998">
        <w:rPr>
          <w:rFonts w:ascii="Times New Roman" w:hAnsi="Times New Roman" w:cs="Times New Roman"/>
        </w:rPr>
        <w:t>https://eur-lex.europa.eu/legal-content/EN/TXT/PDF/?uri=CELEX:52015AB0033&amp;qid=1602830599364&amp;from=LV)</w:t>
      </w:r>
      <w:r w:rsidR="005B72F1">
        <w:rPr>
          <w:rFonts w:ascii="Times New Roman" w:hAnsi="Times New Roman" w:cs="Times New Roman"/>
        </w:rPr>
        <w:t xml:space="preserve"> </w:t>
      </w:r>
    </w:p>
  </w:footnote>
  <w:footnote w:id="2">
    <w:p w14:paraId="59F80A59" w14:textId="77777777" w:rsidR="003846A6" w:rsidRPr="00DC5B7B" w:rsidRDefault="003846A6" w:rsidP="003846A6">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sz w:val="18"/>
          <w:szCs w:val="18"/>
        </w:rPr>
        <w:t xml:space="preserve"> </w:t>
      </w:r>
      <w:bookmarkStart w:id="0" w:name="_Hlk51140469"/>
      <w:r w:rsidRPr="00DC5B7B">
        <w:rPr>
          <w:rFonts w:ascii="Times New Roman" w:hAnsi="Times New Roman" w:cs="Times New Roman"/>
          <w:sz w:val="18"/>
          <w:szCs w:val="18"/>
        </w:rPr>
        <w:t>1998. gada 22. februāra likum</w:t>
      </w:r>
      <w:r>
        <w:rPr>
          <w:rFonts w:ascii="Times New Roman" w:hAnsi="Times New Roman" w:cs="Times New Roman"/>
          <w:sz w:val="18"/>
          <w:szCs w:val="18"/>
        </w:rPr>
        <w:t>a</w:t>
      </w:r>
      <w:r w:rsidRPr="00DC5B7B">
        <w:rPr>
          <w:rFonts w:ascii="Times New Roman" w:hAnsi="Times New Roman" w:cs="Times New Roman"/>
          <w:sz w:val="18"/>
          <w:szCs w:val="18"/>
        </w:rPr>
        <w:t>, ar kuru nodibina Beļģijas Nacionālās bankas organizācijas statūtus (</w:t>
      </w:r>
      <w:r w:rsidRPr="00DC5B7B">
        <w:rPr>
          <w:rFonts w:ascii="Times New Roman" w:hAnsi="Times New Roman" w:cs="Times New Roman"/>
          <w:i/>
          <w:iCs/>
          <w:sz w:val="18"/>
          <w:szCs w:val="18"/>
        </w:rPr>
        <w:t xml:space="preserve">La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22 </w:t>
      </w:r>
      <w:proofErr w:type="spellStart"/>
      <w:r w:rsidRPr="00DC5B7B">
        <w:rPr>
          <w:rFonts w:ascii="Times New Roman" w:hAnsi="Times New Roman" w:cs="Times New Roman"/>
          <w:i/>
          <w:iCs/>
          <w:sz w:val="18"/>
          <w:szCs w:val="18"/>
        </w:rPr>
        <w:t>février</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fixant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statut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organique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la </w:t>
      </w:r>
      <w:proofErr w:type="spellStart"/>
      <w:r w:rsidRPr="00DC5B7B">
        <w:rPr>
          <w:rFonts w:ascii="Times New Roman" w:hAnsi="Times New Roman" w:cs="Times New Roman"/>
          <w:i/>
          <w:iCs/>
          <w:sz w:val="18"/>
          <w:szCs w:val="18"/>
        </w:rPr>
        <w:t>Banque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Nationale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Belgique</w:t>
      </w:r>
      <w:proofErr w:type="spellEnd"/>
      <w:r w:rsidRPr="00DC5B7B">
        <w:rPr>
          <w:rFonts w:ascii="Times New Roman" w:hAnsi="Times New Roman" w:cs="Times New Roman"/>
          <w:sz w:val="18"/>
          <w:szCs w:val="18"/>
        </w:rPr>
        <w:t xml:space="preserve"> – franču val.) 8. panta </w:t>
      </w:r>
      <w:r>
        <w:rPr>
          <w:rFonts w:ascii="Times New Roman" w:hAnsi="Times New Roman" w:cs="Times New Roman"/>
          <w:sz w:val="18"/>
          <w:szCs w:val="18"/>
        </w:rPr>
        <w:t>trešais</w:t>
      </w:r>
      <w:r w:rsidRPr="00DC5B7B">
        <w:rPr>
          <w:rFonts w:ascii="Times New Roman" w:hAnsi="Times New Roman" w:cs="Times New Roman"/>
          <w:sz w:val="18"/>
          <w:szCs w:val="18"/>
        </w:rPr>
        <w:t xml:space="preserve"> punkt</w:t>
      </w:r>
      <w:r>
        <w:rPr>
          <w:rFonts w:ascii="Times New Roman" w:hAnsi="Times New Roman" w:cs="Times New Roman"/>
          <w:sz w:val="18"/>
          <w:szCs w:val="18"/>
        </w:rPr>
        <w:t xml:space="preserve">s </w:t>
      </w:r>
      <w:r w:rsidRPr="00DC5B7B">
        <w:rPr>
          <w:rFonts w:ascii="Times New Roman" w:hAnsi="Times New Roman" w:cs="Times New Roman"/>
          <w:sz w:val="18"/>
          <w:szCs w:val="18"/>
        </w:rPr>
        <w:t>n</w:t>
      </w:r>
      <w:r>
        <w:rPr>
          <w:rFonts w:ascii="Times New Roman" w:hAnsi="Times New Roman" w:cs="Times New Roman"/>
          <w:sz w:val="18"/>
          <w:szCs w:val="18"/>
        </w:rPr>
        <w:t>osaka</w:t>
      </w:r>
      <w:r w:rsidRPr="00DC5B7B">
        <w:rPr>
          <w:rFonts w:ascii="Times New Roman" w:hAnsi="Times New Roman" w:cs="Times New Roman"/>
          <w:sz w:val="18"/>
          <w:szCs w:val="18"/>
        </w:rPr>
        <w:t xml:space="preserve">, ka Banka, tās pārvaldes struktūru locekļi un darbinieki neuzņemas civiltiesisku atbildību par saviem lēmumiem, bezdarbību, darbībām vai rīcību, veicot Bankas juridiskās uzraudzības funkcijas, izņemot krāpšanas vai rupjas nolaidības gadījumus. (Pieejams: </w:t>
      </w:r>
      <w:hyperlink r:id="rId1" w:history="1">
        <w:r w:rsidRPr="00DC5B7B">
          <w:rPr>
            <w:rFonts w:ascii="Times New Roman" w:hAnsi="Times New Roman" w:cs="Times New Roman"/>
            <w:sz w:val="18"/>
            <w:szCs w:val="18"/>
          </w:rPr>
          <w:t>https://www.nbb.be/doc/ts/enterprise/juridisch/e/organic_act.pdf</w:t>
        </w:r>
      </w:hyperlink>
      <w:bookmarkEnd w:id="0"/>
      <w:r w:rsidRPr="00DC5B7B">
        <w:rPr>
          <w:rFonts w:ascii="Times New Roman" w:hAnsi="Times New Roman" w:cs="Times New Roman"/>
          <w:sz w:val="18"/>
          <w:szCs w:val="18"/>
        </w:rPr>
        <w:t>)</w:t>
      </w:r>
      <w:r>
        <w:rPr>
          <w:rFonts w:ascii="Times New Roman" w:hAnsi="Times New Roman" w:cs="Times New Roman"/>
          <w:sz w:val="18"/>
          <w:szCs w:val="18"/>
        </w:rPr>
        <w:t>.</w:t>
      </w:r>
    </w:p>
  </w:footnote>
  <w:footnote w:id="3">
    <w:p w14:paraId="1BB1DFF6" w14:textId="77777777" w:rsidR="003846A6" w:rsidRPr="00DC5B7B" w:rsidRDefault="003846A6" w:rsidP="003846A6">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rFonts w:ascii="Times New Roman" w:hAnsi="Times New Roman" w:cs="Times New Roman"/>
          <w:sz w:val="18"/>
          <w:szCs w:val="18"/>
        </w:rPr>
        <w:t xml:space="preserve"> 1994. gada 1. decembra</w:t>
      </w:r>
      <w:r w:rsidRPr="2952338B">
        <w:rPr>
          <w:rFonts w:ascii="Times New Roman" w:hAnsi="Times New Roman" w:cs="Times New Roman"/>
          <w:sz w:val="18"/>
          <w:szCs w:val="18"/>
        </w:rPr>
        <w:t xml:space="preserve"> Lietuvas</w:t>
      </w:r>
      <w:r w:rsidRPr="00DC5B7B">
        <w:rPr>
          <w:rFonts w:ascii="Times New Roman" w:hAnsi="Times New Roman" w:cs="Times New Roman"/>
          <w:sz w:val="18"/>
          <w:szCs w:val="18"/>
        </w:rPr>
        <w:t xml:space="preserve"> likuma par Lietuvas Banku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Respublikos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banko</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įstatymas</w:t>
      </w:r>
      <w:proofErr w:type="spellEnd"/>
      <w:r w:rsidRPr="00DC5B7B">
        <w:rPr>
          <w:rFonts w:ascii="Times New Roman" w:hAnsi="Times New Roman" w:cs="Times New Roman"/>
          <w:i/>
          <w:iCs/>
          <w:sz w:val="18"/>
          <w:szCs w:val="18"/>
        </w:rPr>
        <w:t xml:space="preserve"> </w:t>
      </w:r>
      <w:r w:rsidRPr="00DC5B7B">
        <w:rPr>
          <w:rFonts w:ascii="Times New Roman" w:hAnsi="Times New Roman" w:cs="Times New Roman"/>
          <w:sz w:val="18"/>
          <w:szCs w:val="18"/>
        </w:rPr>
        <w:t xml:space="preserve">– lietuviešu val.) 45. pants nosaka, ka zaudējumus, ko nodarījusi Lietuvas Bankas vai Lietuvas Bankas darbinieku prettiesiska rīcība veicot finanšu tirgus uzraudzību, atlīdzina tikai gadījumā, ja persona, kas cietusi zaudējumus, pierāda, ka zaudējums radies Lietuvas Bankas vai Lietuvas Bankas darbinieku tīšas vai rupjas neuzmanības dēļ. (Pieejams: </w:t>
      </w:r>
      <w:hyperlink r:id="rId2" w:history="1">
        <w:r w:rsidRPr="00DC5B7B">
          <w:rPr>
            <w:rStyle w:val="Hyperlink"/>
            <w:rFonts w:ascii="Times New Roman" w:hAnsi="Times New Roman" w:cs="Times New Roman"/>
            <w:sz w:val="18"/>
            <w:szCs w:val="18"/>
          </w:rPr>
          <w:t>https://www.lb.lt/en/legislation?page=3</w:t>
        </w:r>
      </w:hyperlink>
      <w:r w:rsidRPr="1D1E6F09">
        <w:rPr>
          <w:rFonts w:ascii="Times New Roman" w:hAnsi="Times New Roman" w:cs="Times New Roman"/>
          <w:sz w:val="18"/>
          <w:szCs w:val="18"/>
        </w:rPr>
        <w:t>)</w:t>
      </w:r>
      <w:r w:rsidRPr="00DC5B7B">
        <w:rPr>
          <w:rFonts w:ascii="Times New Roman" w:hAnsi="Times New Roman" w:cs="Times New Roman"/>
          <w:sz w:val="18"/>
          <w:szCs w:val="18"/>
        </w:rPr>
        <w:t>.</w:t>
      </w:r>
    </w:p>
  </w:footnote>
  <w:footnote w:id="4">
    <w:p w14:paraId="11E99BDD" w14:textId="77777777" w:rsidR="003846A6" w:rsidRPr="00DC5B7B" w:rsidRDefault="003846A6" w:rsidP="003846A6">
      <w:pPr>
        <w:autoSpaceDE w:val="0"/>
        <w:autoSpaceDN w:val="0"/>
        <w:adjustRightInd w:val="0"/>
        <w:spacing w:after="0" w:line="240" w:lineRule="auto"/>
        <w:jc w:val="both"/>
        <w:rPr>
          <w:rFonts w:ascii="TimesNewRoman" w:hAnsi="TimesNewRoman" w:cs="TimesNewRoman"/>
          <w:sz w:val="18"/>
          <w:szCs w:val="18"/>
        </w:rPr>
      </w:pPr>
      <w:r w:rsidRPr="00DC5B7B">
        <w:rPr>
          <w:rStyle w:val="FootnoteReference"/>
          <w:sz w:val="18"/>
          <w:szCs w:val="18"/>
        </w:rPr>
        <w:footnoteRef/>
      </w:r>
      <w:r w:rsidRPr="5BFCA584">
        <w:rPr>
          <w:rStyle w:val="FootnoteReference"/>
          <w:rFonts w:ascii="Times New Roman" w:hAnsi="Times New Roman" w:cs="Times New Roman"/>
          <w:sz w:val="20"/>
          <w:szCs w:val="20"/>
        </w:rPr>
        <w:t xml:space="preserve"> </w:t>
      </w:r>
      <w:r w:rsidRPr="00DC5B7B">
        <w:rPr>
          <w:rFonts w:ascii="Times New Roman" w:hAnsi="Times New Roman" w:cs="Times New Roman"/>
          <w:sz w:val="18"/>
          <w:szCs w:val="18"/>
        </w:rPr>
        <w:t xml:space="preserve">1998. gada 23. decembra likuma par </w:t>
      </w:r>
      <w:r>
        <w:rPr>
          <w:rFonts w:ascii="Times New Roman" w:hAnsi="Times New Roman" w:cs="Times New Roman"/>
          <w:sz w:val="18"/>
          <w:szCs w:val="18"/>
        </w:rPr>
        <w:t>F</w:t>
      </w:r>
      <w:r w:rsidRPr="00DC5B7B">
        <w:rPr>
          <w:rFonts w:ascii="Times New Roman" w:hAnsi="Times New Roman" w:cs="Times New Roman"/>
          <w:sz w:val="18"/>
          <w:szCs w:val="18"/>
        </w:rPr>
        <w:t>inanšu uzraudzības komisijas izveidošanu (</w:t>
      </w:r>
      <w:proofErr w:type="spellStart"/>
      <w:r w:rsidRPr="00DC5B7B">
        <w:rPr>
          <w:rFonts w:ascii="Times New Roman" w:hAnsi="Times New Roman" w:cs="Times New Roman"/>
          <w:i/>
          <w:iCs/>
          <w:sz w:val="18"/>
          <w:szCs w:val="18"/>
        </w:rPr>
        <w:t>Luxembourgs’s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23 </w:t>
      </w:r>
      <w:proofErr w:type="spellStart"/>
      <w:r w:rsidRPr="00DC5B7B">
        <w:rPr>
          <w:rFonts w:ascii="Times New Roman" w:hAnsi="Times New Roman" w:cs="Times New Roman"/>
          <w:i/>
          <w:iCs/>
          <w:sz w:val="18"/>
          <w:szCs w:val="18"/>
        </w:rPr>
        <w:t>décembre</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portant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création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d'une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commission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surveillance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secteur</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financier</w:t>
      </w:r>
      <w:proofErr w:type="spellEnd"/>
      <w:r w:rsidRPr="00DC5B7B">
        <w:rPr>
          <w:rFonts w:ascii="Times New Roman" w:hAnsi="Times New Roman" w:cs="Times New Roman"/>
          <w:sz w:val="18"/>
          <w:szCs w:val="18"/>
        </w:rPr>
        <w:t xml:space="preserve"> – franču val.) </w:t>
      </w:r>
      <w:r w:rsidRPr="008127EE">
        <w:rPr>
          <w:rFonts w:ascii="Times New Roman" w:hAnsi="Times New Roman" w:cs="Times New Roman"/>
          <w:sz w:val="18"/>
          <w:szCs w:val="18"/>
        </w:rPr>
        <w:t>12</w:t>
      </w:r>
      <w:r>
        <w:rPr>
          <w:rFonts w:ascii="Times New Roman" w:hAnsi="Times New Roman" w:cs="Times New Roman"/>
          <w:i/>
          <w:iCs/>
          <w:sz w:val="18"/>
          <w:szCs w:val="18"/>
        </w:rPr>
        <w:t xml:space="preserve"> </w:t>
      </w:r>
      <w:r w:rsidRPr="009B4974">
        <w:rPr>
          <w:rFonts w:ascii="Times New Roman" w:hAnsi="Times New Roman" w:cs="Times New Roman"/>
          <w:i/>
          <w:iCs/>
          <w:sz w:val="18"/>
          <w:szCs w:val="18"/>
          <w:vertAlign w:val="superscript"/>
        </w:rPr>
        <w:t>5</w:t>
      </w:r>
      <w:r>
        <w:rPr>
          <w:rFonts w:ascii="Times New Roman" w:hAnsi="Times New Roman" w:cs="Times New Roman"/>
          <w:sz w:val="18"/>
          <w:szCs w:val="18"/>
        </w:rPr>
        <w:t>.</w:t>
      </w:r>
      <w:r w:rsidRPr="00DC5B7B">
        <w:rPr>
          <w:rFonts w:ascii="Times New Roman" w:hAnsi="Times New Roman" w:cs="Times New Roman"/>
          <w:sz w:val="18"/>
          <w:szCs w:val="18"/>
        </w:rPr>
        <w:t xml:space="preserve">pants nosaka, ka </w:t>
      </w:r>
      <w:proofErr w:type="spellStart"/>
      <w:r w:rsidRPr="00DC5B7B">
        <w:rPr>
          <w:rFonts w:ascii="Times New Roman" w:hAnsi="Times New Roman" w:cs="Times New Roman"/>
          <w:sz w:val="18"/>
          <w:szCs w:val="18"/>
        </w:rPr>
        <w:t>Commission</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Surveillance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du</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Secteur</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Financier’s</w:t>
      </w:r>
      <w:proofErr w:type="spellEnd"/>
      <w:r w:rsidRPr="00DC5B7B">
        <w:rPr>
          <w:rFonts w:ascii="Times New Roman" w:hAnsi="Times New Roman" w:cs="Times New Roman"/>
          <w:sz w:val="18"/>
          <w:szCs w:val="18"/>
        </w:rPr>
        <w:t xml:space="preserve"> </w:t>
      </w:r>
      <w:proofErr w:type="gramStart"/>
      <w:r w:rsidRPr="00DC5B7B">
        <w:rPr>
          <w:rFonts w:ascii="Times New Roman" w:hAnsi="Times New Roman" w:cs="Times New Roman"/>
          <w:sz w:val="18"/>
          <w:szCs w:val="18"/>
        </w:rPr>
        <w:t>(</w:t>
      </w:r>
      <w:proofErr w:type="gramEnd"/>
      <w:r w:rsidRPr="00DC5B7B">
        <w:rPr>
          <w:rFonts w:ascii="Times New Roman" w:hAnsi="Times New Roman" w:cs="Times New Roman"/>
          <w:sz w:val="18"/>
          <w:szCs w:val="18"/>
        </w:rPr>
        <w:t>CSSF) atlīdzina uzraugošām iestādēm, to noguldītājiem vai jebkurai trešajai personai radušos zaudējumus tikai gadījumos, kad ir iespējams pierādīt CSSF rupju neuzmanību</w:t>
      </w:r>
      <w:r>
        <w:rPr>
          <w:rFonts w:ascii="Times New Roman" w:hAnsi="Times New Roman" w:cs="Times New Roman"/>
          <w:sz w:val="18"/>
          <w:szCs w:val="18"/>
        </w:rPr>
        <w:t>.</w:t>
      </w:r>
      <w:r w:rsidRPr="00DC5B7B">
        <w:rPr>
          <w:sz w:val="18"/>
          <w:szCs w:val="18"/>
        </w:rPr>
        <w:t xml:space="preserve"> </w:t>
      </w:r>
      <w:r w:rsidRPr="00DC5B7B">
        <w:rPr>
          <w:rFonts w:ascii="Times New Roman" w:hAnsi="Times New Roman" w:cs="Times New Roman"/>
          <w:sz w:val="18"/>
          <w:szCs w:val="18"/>
        </w:rPr>
        <w:t>(Pieejams: http://legilux.public.lu/eli/etat/leg/loi/1998/12/23/n2/jo)</w:t>
      </w:r>
      <w:r>
        <w:rPr>
          <w:rFonts w:ascii="Times New Roman" w:hAnsi="Times New Roman" w:cs="Times New Roman"/>
          <w:sz w:val="18"/>
          <w:szCs w:val="18"/>
        </w:rPr>
        <w:t>.</w:t>
      </w:r>
    </w:p>
  </w:footnote>
  <w:footnote w:id="5">
    <w:p w14:paraId="4A0D294D" w14:textId="77777777" w:rsidR="003846A6" w:rsidRPr="00DC5B7B" w:rsidRDefault="003846A6" w:rsidP="003846A6">
      <w:pPr>
        <w:pStyle w:val="FootnoteText"/>
        <w:jc w:val="both"/>
        <w:rPr>
          <w:rFonts w:ascii="Times New Roman" w:hAnsi="Times New Roman" w:cs="Times New Roman"/>
          <w:sz w:val="18"/>
          <w:szCs w:val="18"/>
        </w:rPr>
      </w:pPr>
      <w:r w:rsidRPr="00DC5B7B">
        <w:rPr>
          <w:rStyle w:val="FootnoteReference"/>
          <w:rFonts w:ascii="Times New Roman" w:hAnsi="Times New Roman" w:cs="Times New Roman"/>
          <w:sz w:val="18"/>
          <w:szCs w:val="18"/>
        </w:rPr>
        <w:footnoteRef/>
      </w:r>
      <w:r w:rsidRPr="61F7DBF7">
        <w:rPr>
          <w:rFonts w:ascii="Times New Roman" w:hAnsi="Times New Roman" w:cs="Times New Roman"/>
          <w:sz w:val="18"/>
          <w:szCs w:val="18"/>
        </w:rPr>
        <w:t> </w:t>
      </w:r>
      <w:proofErr w:type="spellStart"/>
      <w:r w:rsidRPr="61F7DBF7">
        <w:rPr>
          <w:rFonts w:ascii="Times New Roman" w:hAnsi="Times New Roman" w:cs="Times New Roman"/>
          <w:sz w:val="18"/>
          <w:szCs w:val="18"/>
        </w:rPr>
        <w:t>Basel</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Committee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Core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Principles</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for</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Effective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September</w:t>
      </w:r>
      <w:proofErr w:type="spellEnd"/>
      <w:r w:rsidRPr="61F7DBF7">
        <w:rPr>
          <w:rFonts w:ascii="Times New Roman" w:hAnsi="Times New Roman" w:cs="Times New Roman"/>
          <w:sz w:val="18"/>
          <w:szCs w:val="18"/>
        </w:rPr>
        <w:t xml:space="preserve">, 2012. (Pieejams: </w:t>
      </w:r>
      <w:hyperlink r:id="rId3" w:history="1">
        <w:r w:rsidRPr="61F7DBF7">
          <w:rPr>
            <w:rStyle w:val="Hyperlink"/>
            <w:rFonts w:ascii="Times New Roman" w:hAnsi="Times New Roman" w:cs="Times New Roman"/>
            <w:sz w:val="18"/>
            <w:szCs w:val="18"/>
          </w:rPr>
          <w:t>https://www.bis.org/publ/bcbs230.pdf</w:t>
        </w:r>
      </w:hyperlink>
      <w:r w:rsidRPr="61F7DBF7">
        <w:rPr>
          <w:rFonts w:ascii="Times New Roman" w:hAnsi="Times New Roman" w:cs="Times New Roman"/>
          <w:sz w:val="18"/>
          <w:szCs w:val="18"/>
        </w:rPr>
        <w:t>)</w:t>
      </w:r>
    </w:p>
  </w:footnote>
  <w:footnote w:id="6">
    <w:p w14:paraId="75F65BC4" w14:textId="77777777" w:rsidR="003846A6" w:rsidRPr="00E5326C" w:rsidRDefault="003846A6" w:rsidP="003846A6">
      <w:pPr>
        <w:spacing w:after="0" w:line="0" w:lineRule="atLeast"/>
        <w:jc w:val="both"/>
        <w:rPr>
          <w:lang w:val="en-US"/>
        </w:rPr>
      </w:pPr>
      <w:r w:rsidRPr="00DC5B7B">
        <w:rPr>
          <w:rStyle w:val="FootnoteReference"/>
          <w:sz w:val="18"/>
          <w:szCs w:val="18"/>
        </w:rPr>
        <w:footnoteRef/>
      </w:r>
      <w:bookmarkStart w:id="1" w:name="_Hlk51143009"/>
      <w:r w:rsidRPr="00004AD9">
        <w:rPr>
          <w:rStyle w:val="FootnoteReference"/>
        </w:rPr>
        <w:t xml:space="preserve"> </w:t>
      </w:r>
      <w:r w:rsidRPr="61F7DBF7">
        <w:rPr>
          <w:rFonts w:ascii="Times New Roman" w:hAnsi="Times New Roman" w:cs="Times New Roman"/>
          <w:sz w:val="18"/>
          <w:szCs w:val="18"/>
        </w:rPr>
        <w:t>Eiropas Centrālās bankas 2018. gada 11. decembra atzinums par grozījumiem Rumānijas centrālās bankas (</w:t>
      </w:r>
      <w:proofErr w:type="spellStart"/>
      <w:r w:rsidRPr="00E5326C">
        <w:rPr>
          <w:rFonts w:ascii="Times New Roman" w:hAnsi="Times New Roman" w:cs="Times New Roman"/>
          <w:i/>
          <w:sz w:val="18"/>
          <w:szCs w:val="18"/>
        </w:rPr>
        <w:t>Banca</w:t>
      </w:r>
      <w:proofErr w:type="spellEnd"/>
      <w:r w:rsidRPr="00E5326C">
        <w:rPr>
          <w:rFonts w:ascii="Times New Roman" w:hAnsi="Times New Roman" w:cs="Times New Roman"/>
          <w:i/>
          <w:sz w:val="18"/>
          <w:szCs w:val="18"/>
        </w:rPr>
        <w:t xml:space="preserve"> </w:t>
      </w:r>
      <w:proofErr w:type="spellStart"/>
      <w:r w:rsidRPr="00E5326C">
        <w:rPr>
          <w:rFonts w:ascii="Times New Roman" w:hAnsi="Times New Roman" w:cs="Times New Roman"/>
          <w:i/>
          <w:sz w:val="18"/>
          <w:szCs w:val="18"/>
        </w:rPr>
        <w:t>Naţională</w:t>
      </w:r>
      <w:proofErr w:type="spellEnd"/>
      <w:r w:rsidRPr="00E5326C">
        <w:rPr>
          <w:rFonts w:ascii="Times New Roman" w:hAnsi="Times New Roman" w:cs="Times New Roman"/>
          <w:i/>
          <w:sz w:val="18"/>
          <w:szCs w:val="18"/>
        </w:rPr>
        <w:t xml:space="preserve"> a </w:t>
      </w:r>
      <w:proofErr w:type="spellStart"/>
      <w:r w:rsidRPr="00E5326C">
        <w:rPr>
          <w:rFonts w:ascii="Times New Roman" w:hAnsi="Times New Roman" w:cs="Times New Roman"/>
          <w:i/>
          <w:sz w:val="18"/>
          <w:szCs w:val="18"/>
        </w:rPr>
        <w:t>României</w:t>
      </w:r>
      <w:proofErr w:type="spellEnd"/>
      <w:r w:rsidRPr="61F7DBF7">
        <w:rPr>
          <w:rFonts w:ascii="Times New Roman" w:hAnsi="Times New Roman" w:cs="Times New Roman"/>
          <w:sz w:val="18"/>
          <w:szCs w:val="18"/>
        </w:rPr>
        <w:t xml:space="preserve">) atbildības regulējumā, kas piemērojams tās valdes locekļiem un darbiniekiem (CON / 2018/56), </w:t>
      </w:r>
      <w:proofErr w:type="spellStart"/>
      <w:r w:rsidRPr="61F7DBF7">
        <w:rPr>
          <w:rFonts w:ascii="Times New Roman" w:hAnsi="Times New Roman" w:cs="Times New Roman"/>
          <w:sz w:val="18"/>
          <w:szCs w:val="18"/>
        </w:rPr>
        <w:t>para</w:t>
      </w:r>
      <w:proofErr w:type="spellEnd"/>
      <w:r w:rsidRPr="61F7DBF7">
        <w:rPr>
          <w:rFonts w:ascii="Times New Roman" w:hAnsi="Times New Roman" w:cs="Times New Roman"/>
          <w:sz w:val="18"/>
          <w:szCs w:val="18"/>
        </w:rPr>
        <w:t>. 3.2.1. - 3.2.2.</w:t>
      </w:r>
      <w:bookmarkEnd w:id="1"/>
      <w:r w:rsidRPr="61F7DBF7">
        <w:rPr>
          <w:rFonts w:ascii="Times New Roman" w:hAnsi="Times New Roman" w:cs="Times New Roman"/>
          <w:sz w:val="18"/>
          <w:szCs w:val="18"/>
        </w:rPr>
        <w:t xml:space="preserve"> (Pieejams: https://eur-lex.europa.eu/legal-content/EN/TXT/PDF/?uri=CELEX:52018AB0056&amp;from=EN </w:t>
      </w:r>
      <w:r w:rsidR="00A15F6B">
        <w:fldChar w:fldCharType="begin"/>
      </w:r>
      <w:r w:rsidR="00A15F6B">
        <w:instrText xml:space="preserve"> HYPERLINK "https://eur-lex.europa.eu/legal" </w:instrText>
      </w:r>
      <w:r w:rsidR="00A15F6B">
        <w:fldChar w:fldCharType="separate"/>
      </w:r>
      <w:r w:rsidR="00A15F6B">
        <w:fldChar w:fldCharType="end"/>
      </w:r>
      <w:r w:rsidRPr="61F7DBF7">
        <w:rPr>
          <w:rFonts w:ascii="Times New Roman" w:hAnsi="Times New Roman" w:cs="Times New Roman"/>
          <w:sz w:val="18"/>
          <w:szCs w:val="18"/>
        </w:rPr>
        <w:t>)</w:t>
      </w:r>
    </w:p>
  </w:footnote>
  <w:footnote w:id="7">
    <w:p w14:paraId="21C40227" w14:textId="77777777" w:rsidR="000147E7" w:rsidRPr="00B92284" w:rsidRDefault="000147E7" w:rsidP="000147E7">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 xml:space="preserve">Budžeta un finanšu (nodokļu) komisijas 2019. gada 11. septembra sēdes protokols Nr. 76 </w:t>
      </w:r>
      <w:proofErr w:type="gramStart"/>
      <w:r w:rsidRPr="00B92284">
        <w:rPr>
          <w:rFonts w:ascii="Times New Roman" w:hAnsi="Times New Roman" w:cs="Times New Roman"/>
          <w:bCs/>
          <w:iCs/>
        </w:rPr>
        <w:t>(</w:t>
      </w:r>
      <w:proofErr w:type="gramEnd"/>
      <w:r w:rsidRPr="00B92284">
        <w:rPr>
          <w:rFonts w:ascii="Times New Roman" w:hAnsi="Times New Roman" w:cs="Times New Roman"/>
          <w:bCs/>
          <w:iCs/>
        </w:rPr>
        <w:t>Pieejams:</w:t>
      </w:r>
      <w:hyperlink r:id="rId4"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proofErr w:type="gramStart"/>
      <w:r w:rsidRPr="00B92284">
        <w:rPr>
          <w:rFonts w:ascii="Times New Roman" w:hAnsi="Times New Roman" w:cs="Times New Roman"/>
        </w:rPr>
        <w:t xml:space="preserve"> )</w:t>
      </w:r>
      <w:proofErr w:type="gramEnd"/>
      <w:r w:rsidRPr="00B92284">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539240"/>
      <w:docPartObj>
        <w:docPartGallery w:val="Page Numbers (Top of Page)"/>
        <w:docPartUnique/>
      </w:docPartObj>
    </w:sdtPr>
    <w:sdtEndPr>
      <w:rPr>
        <w:rFonts w:ascii="Times New Roman" w:hAnsi="Times New Roman" w:cs="Times New Roman"/>
        <w:noProof/>
        <w:sz w:val="24"/>
        <w:szCs w:val="24"/>
      </w:rPr>
    </w:sdtEndPr>
    <w:sdtContent>
      <w:p w14:paraId="4FD2569D" w14:textId="7EE0F6AE" w:rsidR="00A15F6B" w:rsidRPr="00A15F6B" w:rsidRDefault="00A15F6B">
        <w:pPr>
          <w:pStyle w:val="Header"/>
          <w:jc w:val="center"/>
          <w:rPr>
            <w:rFonts w:ascii="Times New Roman" w:hAnsi="Times New Roman" w:cs="Times New Roman"/>
            <w:sz w:val="24"/>
            <w:szCs w:val="24"/>
          </w:rPr>
        </w:pPr>
        <w:r w:rsidRPr="00A15F6B">
          <w:rPr>
            <w:rFonts w:ascii="Times New Roman" w:hAnsi="Times New Roman" w:cs="Times New Roman"/>
            <w:sz w:val="24"/>
            <w:szCs w:val="24"/>
          </w:rPr>
          <w:fldChar w:fldCharType="begin"/>
        </w:r>
        <w:r w:rsidRPr="00A15F6B">
          <w:rPr>
            <w:rFonts w:ascii="Times New Roman" w:hAnsi="Times New Roman" w:cs="Times New Roman"/>
            <w:sz w:val="24"/>
            <w:szCs w:val="24"/>
          </w:rPr>
          <w:instrText xml:space="preserve"> PAGE   \* MERGEFORMAT </w:instrText>
        </w:r>
        <w:r w:rsidRPr="00A15F6B">
          <w:rPr>
            <w:rFonts w:ascii="Times New Roman" w:hAnsi="Times New Roman" w:cs="Times New Roman"/>
            <w:sz w:val="24"/>
            <w:szCs w:val="24"/>
          </w:rPr>
          <w:fldChar w:fldCharType="separate"/>
        </w:r>
        <w:r w:rsidRPr="00A15F6B">
          <w:rPr>
            <w:rFonts w:ascii="Times New Roman" w:hAnsi="Times New Roman" w:cs="Times New Roman"/>
            <w:noProof/>
            <w:sz w:val="24"/>
            <w:szCs w:val="24"/>
          </w:rPr>
          <w:t>2</w:t>
        </w:r>
        <w:r w:rsidRPr="00A15F6B">
          <w:rPr>
            <w:rFonts w:ascii="Times New Roman" w:hAnsi="Times New Roman" w:cs="Times New Roman"/>
            <w:noProof/>
            <w:sz w:val="24"/>
            <w:szCs w:val="24"/>
          </w:rPr>
          <w:fldChar w:fldCharType="end"/>
        </w:r>
      </w:p>
    </w:sdtContent>
  </w:sdt>
  <w:p w14:paraId="26288F66" w14:textId="77777777" w:rsidR="00A15F6B" w:rsidRDefault="00A1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5DC5"/>
    <w:multiLevelType w:val="hybridMultilevel"/>
    <w:tmpl w:val="C890B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45075E"/>
    <w:multiLevelType w:val="hybridMultilevel"/>
    <w:tmpl w:val="7EE8F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CE3692"/>
    <w:multiLevelType w:val="hybridMultilevel"/>
    <w:tmpl w:val="4B567402"/>
    <w:lvl w:ilvl="0" w:tplc="113808F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1"/>
    <w:rsid w:val="000147E7"/>
    <w:rsid w:val="00015AF1"/>
    <w:rsid w:val="00024BEA"/>
    <w:rsid w:val="0003266E"/>
    <w:rsid w:val="000352A5"/>
    <w:rsid w:val="00043C35"/>
    <w:rsid w:val="00055AD5"/>
    <w:rsid w:val="00061CAD"/>
    <w:rsid w:val="0006443F"/>
    <w:rsid w:val="000A18E6"/>
    <w:rsid w:val="000F7F92"/>
    <w:rsid w:val="00101925"/>
    <w:rsid w:val="00126859"/>
    <w:rsid w:val="00141942"/>
    <w:rsid w:val="001470EC"/>
    <w:rsid w:val="00151B22"/>
    <w:rsid w:val="00151C93"/>
    <w:rsid w:val="00157D3A"/>
    <w:rsid w:val="00165F53"/>
    <w:rsid w:val="001C4E19"/>
    <w:rsid w:val="001E061E"/>
    <w:rsid w:val="001F046B"/>
    <w:rsid w:val="002006F6"/>
    <w:rsid w:val="002060D1"/>
    <w:rsid w:val="00225D17"/>
    <w:rsid w:val="002907D7"/>
    <w:rsid w:val="0029772C"/>
    <w:rsid w:val="002A736F"/>
    <w:rsid w:val="002B3DC6"/>
    <w:rsid w:val="002F15F6"/>
    <w:rsid w:val="00333387"/>
    <w:rsid w:val="003603F5"/>
    <w:rsid w:val="00366484"/>
    <w:rsid w:val="0037174F"/>
    <w:rsid w:val="003846A6"/>
    <w:rsid w:val="003E2AE0"/>
    <w:rsid w:val="003E7B85"/>
    <w:rsid w:val="00404CF1"/>
    <w:rsid w:val="004171A2"/>
    <w:rsid w:val="004240AB"/>
    <w:rsid w:val="00464679"/>
    <w:rsid w:val="00482CDD"/>
    <w:rsid w:val="00485C52"/>
    <w:rsid w:val="00491C59"/>
    <w:rsid w:val="00492F6C"/>
    <w:rsid w:val="004A326C"/>
    <w:rsid w:val="004B7766"/>
    <w:rsid w:val="004C75ED"/>
    <w:rsid w:val="004E080B"/>
    <w:rsid w:val="004F48CC"/>
    <w:rsid w:val="005217D7"/>
    <w:rsid w:val="00547E66"/>
    <w:rsid w:val="005739DF"/>
    <w:rsid w:val="005B72F1"/>
    <w:rsid w:val="005C2992"/>
    <w:rsid w:val="005C4DE2"/>
    <w:rsid w:val="00600204"/>
    <w:rsid w:val="00600D86"/>
    <w:rsid w:val="00617CD7"/>
    <w:rsid w:val="00625043"/>
    <w:rsid w:val="006254E6"/>
    <w:rsid w:val="006528E9"/>
    <w:rsid w:val="006742B0"/>
    <w:rsid w:val="006818F5"/>
    <w:rsid w:val="006857C3"/>
    <w:rsid w:val="00687A83"/>
    <w:rsid w:val="006B69F3"/>
    <w:rsid w:val="006F750B"/>
    <w:rsid w:val="00714991"/>
    <w:rsid w:val="00723A75"/>
    <w:rsid w:val="007738F6"/>
    <w:rsid w:val="00816422"/>
    <w:rsid w:val="0089394D"/>
    <w:rsid w:val="008973DB"/>
    <w:rsid w:val="008A13CE"/>
    <w:rsid w:val="008A19C6"/>
    <w:rsid w:val="008B644F"/>
    <w:rsid w:val="008B7F14"/>
    <w:rsid w:val="008C1738"/>
    <w:rsid w:val="008C4817"/>
    <w:rsid w:val="008D6EF8"/>
    <w:rsid w:val="008E52A9"/>
    <w:rsid w:val="009136C2"/>
    <w:rsid w:val="009223B2"/>
    <w:rsid w:val="00924A44"/>
    <w:rsid w:val="00937726"/>
    <w:rsid w:val="009638E3"/>
    <w:rsid w:val="009807B5"/>
    <w:rsid w:val="009970A3"/>
    <w:rsid w:val="009A00A5"/>
    <w:rsid w:val="009D239F"/>
    <w:rsid w:val="009E1D38"/>
    <w:rsid w:val="009E3E12"/>
    <w:rsid w:val="009F4DDE"/>
    <w:rsid w:val="00A15F6B"/>
    <w:rsid w:val="00A21C69"/>
    <w:rsid w:val="00A35E93"/>
    <w:rsid w:val="00A52DBD"/>
    <w:rsid w:val="00A52E62"/>
    <w:rsid w:val="00A676B1"/>
    <w:rsid w:val="00B071B1"/>
    <w:rsid w:val="00B127F7"/>
    <w:rsid w:val="00B20EE7"/>
    <w:rsid w:val="00B514BA"/>
    <w:rsid w:val="00B56122"/>
    <w:rsid w:val="00B57FDB"/>
    <w:rsid w:val="00B84990"/>
    <w:rsid w:val="00B86BD1"/>
    <w:rsid w:val="00BB1156"/>
    <w:rsid w:val="00BC192C"/>
    <w:rsid w:val="00BC4B95"/>
    <w:rsid w:val="00BD389E"/>
    <w:rsid w:val="00C0185B"/>
    <w:rsid w:val="00C17AF0"/>
    <w:rsid w:val="00C2072A"/>
    <w:rsid w:val="00C26847"/>
    <w:rsid w:val="00C6756E"/>
    <w:rsid w:val="00CB1D89"/>
    <w:rsid w:val="00CB4443"/>
    <w:rsid w:val="00CB5586"/>
    <w:rsid w:val="00CC045B"/>
    <w:rsid w:val="00CC3610"/>
    <w:rsid w:val="00CF4B64"/>
    <w:rsid w:val="00D31DF8"/>
    <w:rsid w:val="00D5108D"/>
    <w:rsid w:val="00D7324C"/>
    <w:rsid w:val="00D80324"/>
    <w:rsid w:val="00DF1143"/>
    <w:rsid w:val="00E264C4"/>
    <w:rsid w:val="00E93E59"/>
    <w:rsid w:val="00EB4566"/>
    <w:rsid w:val="00EE2160"/>
    <w:rsid w:val="00EF0F4C"/>
    <w:rsid w:val="00F22BC4"/>
    <w:rsid w:val="00F55A51"/>
    <w:rsid w:val="00F73BB3"/>
    <w:rsid w:val="00F85900"/>
    <w:rsid w:val="00F91FA8"/>
    <w:rsid w:val="00FF4A6B"/>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F87A6"/>
  <w15:docId w15:val="{F32924B4-2C72-451B-9ED1-98EB0674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92"/>
    <w:pPr>
      <w:ind w:left="720"/>
      <w:contextualSpacing/>
    </w:pPr>
  </w:style>
  <w:style w:type="character" w:styleId="Hyperlink">
    <w:name w:val="Hyperlink"/>
    <w:basedOn w:val="DefaultParagraphFont"/>
    <w:uiPriority w:val="99"/>
    <w:unhideWhenUsed/>
    <w:rsid w:val="00FF4A6B"/>
    <w:rPr>
      <w:color w:val="0000FF"/>
      <w:u w:val="single"/>
    </w:rPr>
  </w:style>
  <w:style w:type="paragraph" w:styleId="FootnoteText">
    <w:name w:val="footnote text"/>
    <w:basedOn w:val="Normal"/>
    <w:link w:val="FootnoteTextChar"/>
    <w:uiPriority w:val="99"/>
    <w:unhideWhenUsed/>
    <w:rsid w:val="00FF4A6B"/>
    <w:pPr>
      <w:spacing w:after="0" w:line="240" w:lineRule="auto"/>
    </w:pPr>
    <w:rPr>
      <w:sz w:val="20"/>
      <w:szCs w:val="20"/>
    </w:rPr>
  </w:style>
  <w:style w:type="character" w:customStyle="1" w:styleId="FootnoteTextChar">
    <w:name w:val="Footnote Text Char"/>
    <w:basedOn w:val="DefaultParagraphFont"/>
    <w:link w:val="FootnoteText"/>
    <w:uiPriority w:val="99"/>
    <w:rsid w:val="00FF4A6B"/>
    <w:rPr>
      <w:sz w:val="20"/>
      <w:szCs w:val="20"/>
    </w:rPr>
  </w:style>
  <w:style w:type="character" w:styleId="FootnoteReference">
    <w:name w:val="footnote reference"/>
    <w:basedOn w:val="DefaultParagraphFont"/>
    <w:uiPriority w:val="99"/>
    <w:semiHidden/>
    <w:unhideWhenUsed/>
    <w:rsid w:val="00FF4A6B"/>
    <w:rPr>
      <w:vertAlign w:val="superscript"/>
    </w:rPr>
  </w:style>
  <w:style w:type="character" w:styleId="CommentReference">
    <w:name w:val="annotation reference"/>
    <w:basedOn w:val="DefaultParagraphFont"/>
    <w:uiPriority w:val="99"/>
    <w:semiHidden/>
    <w:unhideWhenUsed/>
    <w:rsid w:val="00366484"/>
    <w:rPr>
      <w:sz w:val="16"/>
      <w:szCs w:val="16"/>
    </w:rPr>
  </w:style>
  <w:style w:type="paragraph" w:styleId="CommentText">
    <w:name w:val="annotation text"/>
    <w:basedOn w:val="Normal"/>
    <w:link w:val="CommentTextChar"/>
    <w:uiPriority w:val="99"/>
    <w:unhideWhenUsed/>
    <w:rsid w:val="00366484"/>
    <w:pPr>
      <w:spacing w:line="240" w:lineRule="auto"/>
    </w:pPr>
    <w:rPr>
      <w:sz w:val="20"/>
      <w:szCs w:val="20"/>
    </w:rPr>
  </w:style>
  <w:style w:type="character" w:customStyle="1" w:styleId="CommentTextChar">
    <w:name w:val="Comment Text Char"/>
    <w:basedOn w:val="DefaultParagraphFont"/>
    <w:link w:val="CommentText"/>
    <w:uiPriority w:val="99"/>
    <w:rsid w:val="00366484"/>
    <w:rPr>
      <w:sz w:val="20"/>
      <w:szCs w:val="20"/>
    </w:rPr>
  </w:style>
  <w:style w:type="paragraph" w:styleId="CommentSubject">
    <w:name w:val="annotation subject"/>
    <w:basedOn w:val="CommentText"/>
    <w:next w:val="CommentText"/>
    <w:link w:val="CommentSubjectChar"/>
    <w:uiPriority w:val="99"/>
    <w:semiHidden/>
    <w:unhideWhenUsed/>
    <w:rsid w:val="00366484"/>
    <w:rPr>
      <w:b/>
      <w:bCs/>
    </w:rPr>
  </w:style>
  <w:style w:type="character" w:customStyle="1" w:styleId="CommentSubjectChar">
    <w:name w:val="Comment Subject Char"/>
    <w:basedOn w:val="CommentTextChar"/>
    <w:link w:val="CommentSubject"/>
    <w:uiPriority w:val="99"/>
    <w:semiHidden/>
    <w:rsid w:val="00366484"/>
    <w:rPr>
      <w:b/>
      <w:bCs/>
      <w:sz w:val="20"/>
      <w:szCs w:val="20"/>
    </w:rPr>
  </w:style>
  <w:style w:type="paragraph" w:styleId="BalloonText">
    <w:name w:val="Balloon Text"/>
    <w:basedOn w:val="Normal"/>
    <w:link w:val="BalloonTextChar"/>
    <w:uiPriority w:val="99"/>
    <w:semiHidden/>
    <w:unhideWhenUsed/>
    <w:rsid w:val="0036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84"/>
    <w:rPr>
      <w:rFonts w:ascii="Segoe UI" w:hAnsi="Segoe UI" w:cs="Segoe UI"/>
      <w:sz w:val="18"/>
      <w:szCs w:val="18"/>
    </w:rPr>
  </w:style>
  <w:style w:type="character" w:styleId="FollowedHyperlink">
    <w:name w:val="FollowedHyperlink"/>
    <w:basedOn w:val="DefaultParagraphFont"/>
    <w:uiPriority w:val="99"/>
    <w:semiHidden/>
    <w:unhideWhenUsed/>
    <w:rsid w:val="00491C59"/>
    <w:rPr>
      <w:color w:val="954F72" w:themeColor="followedHyperlink"/>
      <w:u w:val="single"/>
    </w:rPr>
  </w:style>
  <w:style w:type="paragraph" w:customStyle="1" w:styleId="paragraph">
    <w:name w:val="paragraph"/>
    <w:basedOn w:val="Normal"/>
    <w:rsid w:val="00CC04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C045B"/>
  </w:style>
  <w:style w:type="character" w:customStyle="1" w:styleId="eop">
    <w:name w:val="eop"/>
    <w:basedOn w:val="DefaultParagraphFont"/>
    <w:rsid w:val="00CC045B"/>
  </w:style>
  <w:style w:type="paragraph" w:styleId="Header">
    <w:name w:val="header"/>
    <w:basedOn w:val="Normal"/>
    <w:link w:val="HeaderChar"/>
    <w:uiPriority w:val="99"/>
    <w:unhideWhenUsed/>
    <w:rsid w:val="009377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726"/>
  </w:style>
  <w:style w:type="paragraph" w:styleId="Footer">
    <w:name w:val="footer"/>
    <w:basedOn w:val="Normal"/>
    <w:link w:val="FooterChar"/>
    <w:uiPriority w:val="99"/>
    <w:unhideWhenUsed/>
    <w:rsid w:val="00937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7558">
      <w:bodyDiv w:val="1"/>
      <w:marLeft w:val="0"/>
      <w:marRight w:val="0"/>
      <w:marTop w:val="0"/>
      <w:marBottom w:val="0"/>
      <w:divBdr>
        <w:top w:val="none" w:sz="0" w:space="0" w:color="auto"/>
        <w:left w:val="none" w:sz="0" w:space="0" w:color="auto"/>
        <w:bottom w:val="none" w:sz="0" w:space="0" w:color="auto"/>
        <w:right w:val="none" w:sz="0" w:space="0" w:color="auto"/>
      </w:divBdr>
    </w:div>
    <w:div w:id="844051516">
      <w:bodyDiv w:val="1"/>
      <w:marLeft w:val="0"/>
      <w:marRight w:val="0"/>
      <w:marTop w:val="0"/>
      <w:marBottom w:val="0"/>
      <w:divBdr>
        <w:top w:val="none" w:sz="0" w:space="0" w:color="auto"/>
        <w:left w:val="none" w:sz="0" w:space="0" w:color="auto"/>
        <w:bottom w:val="none" w:sz="0" w:space="0" w:color="auto"/>
        <w:right w:val="none" w:sz="0" w:space="0" w:color="auto"/>
      </w:divBdr>
      <w:divsChild>
        <w:div w:id="93133703">
          <w:marLeft w:val="0"/>
          <w:marRight w:val="0"/>
          <w:marTop w:val="0"/>
          <w:marBottom w:val="0"/>
          <w:divBdr>
            <w:top w:val="none" w:sz="0" w:space="0" w:color="auto"/>
            <w:left w:val="none" w:sz="0" w:space="0" w:color="auto"/>
            <w:bottom w:val="none" w:sz="0" w:space="0" w:color="auto"/>
            <w:right w:val="none" w:sz="0" w:space="0" w:color="auto"/>
          </w:divBdr>
        </w:div>
        <w:div w:id="238562508">
          <w:marLeft w:val="0"/>
          <w:marRight w:val="0"/>
          <w:marTop w:val="0"/>
          <w:marBottom w:val="0"/>
          <w:divBdr>
            <w:top w:val="none" w:sz="0" w:space="0" w:color="auto"/>
            <w:left w:val="none" w:sz="0" w:space="0" w:color="auto"/>
            <w:bottom w:val="none" w:sz="0" w:space="0" w:color="auto"/>
            <w:right w:val="none" w:sz="0" w:space="0" w:color="auto"/>
          </w:divBdr>
        </w:div>
      </w:divsChild>
    </w:div>
    <w:div w:id="1281646872">
      <w:bodyDiv w:val="1"/>
      <w:marLeft w:val="0"/>
      <w:marRight w:val="0"/>
      <w:marTop w:val="0"/>
      <w:marBottom w:val="0"/>
      <w:divBdr>
        <w:top w:val="none" w:sz="0" w:space="0" w:color="auto"/>
        <w:left w:val="none" w:sz="0" w:space="0" w:color="auto"/>
        <w:bottom w:val="none" w:sz="0" w:space="0" w:color="auto"/>
        <w:right w:val="none" w:sz="0" w:space="0" w:color="auto"/>
      </w:divBdr>
    </w:div>
    <w:div w:id="19702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tis.Cerbulis@fktk.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ene.Jenerte@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is.org/publ/bcbs230.pdf" TargetMode="External"/><Relationship Id="rId2" Type="http://schemas.openxmlformats.org/officeDocument/2006/relationships/hyperlink" Target="https://www.lb.lt/en/legislation?page=3" TargetMode="External"/><Relationship Id="rId1" Type="http://schemas.openxmlformats.org/officeDocument/2006/relationships/hyperlink" Target="https://www.nbb.be/doc/ts/enterprise/juridisch/e/organic_act.pdf" TargetMode="External"/><Relationship Id="rId4"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D896-60FD-4D2D-A2CA-82453797A067}">
  <ds:schemaRefs>
    <ds:schemaRef ds:uri="http://schemas.microsoft.com/sharepoint/v3/contenttype/forms"/>
  </ds:schemaRefs>
</ds:datastoreItem>
</file>

<file path=customXml/itemProps2.xml><?xml version="1.0" encoding="utf-8"?>
<ds:datastoreItem xmlns:ds="http://schemas.openxmlformats.org/officeDocument/2006/customXml" ds:itemID="{072CE532-2105-4E60-B7ED-A5556C7B3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9AA788-6930-4F84-9354-4A95BA9B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25E0A-48B7-42AE-B436-3F972EB5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10556</Words>
  <Characters>6017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Rekele-Apsite</dc:creator>
  <cp:keywords/>
  <dc:description/>
  <cp:lastModifiedBy>Ilze Pintane</cp:lastModifiedBy>
  <cp:revision>6</cp:revision>
  <cp:lastPrinted>2021-03-15T09:29:00Z</cp:lastPrinted>
  <dcterms:created xsi:type="dcterms:W3CDTF">2020-12-14T07:16:00Z</dcterms:created>
  <dcterms:modified xsi:type="dcterms:W3CDTF">2021-03-15T09:31:00Z</dcterms:modified>
</cp:coreProperties>
</file>