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E53EA" w14:textId="77777777" w:rsidR="00C550E7" w:rsidRDefault="00C550E7" w:rsidP="00C550E7">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Likumprojekta </w:t>
      </w:r>
      <w:sdt>
        <w:sdtPr>
          <w:rPr>
            <w:rFonts w:ascii="Times New Roman" w:eastAsia="Times New Roman" w:hAnsi="Times New Roman" w:cs="Times New Roman"/>
            <w:b/>
            <w:bCs/>
            <w:sz w:val="28"/>
            <w:szCs w:val="24"/>
            <w:lang w:eastAsia="lv-LV"/>
          </w:rPr>
          <w:id w:val="882755678"/>
          <w:placeholder>
            <w:docPart w:val="E4F68A23B8824926BC34944B5AF803AA"/>
          </w:placeholder>
        </w:sdtPr>
        <w:sdtContent>
          <w:r>
            <w:rPr>
              <w:rFonts w:ascii="Times New Roman" w:eastAsia="Times New Roman" w:hAnsi="Times New Roman" w:cs="Times New Roman"/>
              <w:b/>
              <w:bCs/>
              <w:sz w:val="28"/>
              <w:szCs w:val="24"/>
              <w:lang w:eastAsia="lv-LV"/>
            </w:rPr>
            <w:t>"Grozījumi likumā "Par Latvijas Banku""</w:t>
          </w:r>
        </w:sdtContent>
      </w:sdt>
      <w:r>
        <w:rPr>
          <w:rFonts w:ascii="Times New Roman" w:eastAsia="Times New Roman" w:hAnsi="Times New Roman" w:cs="Times New Roman"/>
          <w:b/>
          <w:bCs/>
          <w:sz w:val="28"/>
          <w:szCs w:val="24"/>
          <w:lang w:eastAsia="lv-LV"/>
        </w:rPr>
        <w:t xml:space="preserve"> sākotnējās ietekmes novērtējuma ziņojums (anotācija)</w:t>
      </w:r>
    </w:p>
    <w:p w14:paraId="78962DA4" w14:textId="77777777" w:rsidR="00C550E7" w:rsidRDefault="00C550E7" w:rsidP="00C550E7">
      <w:pPr>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550E7" w14:paraId="2CC83AC4" w14:textId="77777777" w:rsidTr="00C550E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61F386"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C550E7" w14:paraId="052EB0FB" w14:textId="77777777" w:rsidTr="00C550E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88337F0"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05B7A5"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Latvijas Banku"" (turpmāk – Likumprojekts) tiek virzīts izskatīšanai vienlaicīgi ar likumprojektu "Latvijas Bankas likums".</w:t>
            </w:r>
          </w:p>
          <w:p w14:paraId="5F631D64" w14:textId="77777777" w:rsidR="00C550E7" w:rsidRDefault="00C55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"Latvijas Bankas likums" spēkā stāšanos spēku zaudēs likums "Par Latvijas Banku".</w:t>
            </w:r>
          </w:p>
          <w:p w14:paraId="786B6742" w14:textId="77777777" w:rsidR="00C550E7" w:rsidRDefault="00C55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Lai nodrošinātu likumprojekta "Latvijas Bankas likums" spēkā stāšanos un pienācīgu darbību jau kopš 2023.gada 1.janvāra, ir nepieciešams noteikt pārejas regulējumu, paredzot arī Latvijas Bankas pārvaldības modeļa reorganizāciju.</w:t>
            </w:r>
          </w:p>
          <w:p w14:paraId="4B653853" w14:textId="77777777" w:rsidR="00C550E7" w:rsidRDefault="00C55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Likumprojekts stājas spēkā vispārīgā kārtībā.</w:t>
            </w:r>
          </w:p>
        </w:tc>
      </w:tr>
    </w:tbl>
    <w:p w14:paraId="6B484514" w14:textId="77777777" w:rsidR="00C550E7" w:rsidRDefault="00C550E7" w:rsidP="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50E7" w14:paraId="5E9D7E30" w14:textId="77777777" w:rsidTr="00C550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8EFD70"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C550E7" w14:paraId="02A0C963"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EE2BC"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4D2454"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D77A925"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"Par Latvijas Banku" pārejas noteikumu 3. punkts, kas nosaka, ka Ministru kabinets līdz 2020. gada 31. oktobrim iesniedz Saeimai likumprojektu par Latvijas Banku, kurā nosaka tās pārvaldes struktūru un darbību un paredz Finanšu un kapitāla tirgus komisijas (turpmāk – FKTK) pievienošanu Latvijas Bankai, ievērojot monetārās politikas, kā arī finanšu un kapitāla tirgus dalībnieku uzraudzības un noregulējuma iestādes funkciju neatkarību.</w:t>
            </w:r>
          </w:p>
        </w:tc>
      </w:tr>
      <w:tr w:rsidR="00C550E7" w14:paraId="72A2B9E1"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5A7F61"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D590B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31DC393"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paredz pārmaiņas Latvijas Bankas pārvaldības modelī un pārejas noteikumus attiecībā uz FKTK pievienošanu Latvijas Bankai.</w:t>
            </w:r>
          </w:p>
          <w:p w14:paraId="57E4CB59" w14:textId="77777777" w:rsidR="00C550E7" w:rsidRDefault="00C550E7">
            <w:pPr>
              <w:spacing w:after="0" w:line="240" w:lineRule="auto"/>
              <w:jc w:val="both"/>
              <w:rPr>
                <w:rFonts w:ascii="Times New Roman" w:eastAsia="Times New Roman" w:hAnsi="Times New Roman" w:cs="Times New Roman"/>
                <w:iCs/>
                <w:sz w:val="24"/>
                <w:szCs w:val="24"/>
                <w:lang w:eastAsia="lv-LV"/>
              </w:rPr>
            </w:pPr>
          </w:p>
          <w:p w14:paraId="7F59F35D" w14:textId="644A7BD7" w:rsidR="00C550E7" w:rsidRDefault="00C550E7">
            <w:pPr>
              <w:spacing w:after="0" w:line="240" w:lineRule="auto"/>
              <w:jc w:val="both"/>
              <w:rPr>
                <w:rStyle w:val="normaltextrun"/>
              </w:rPr>
            </w:pPr>
            <w:r>
              <w:rPr>
                <w:rFonts w:ascii="Times New Roman" w:eastAsia="Times New Roman" w:hAnsi="Times New Roman" w:cs="Times New Roman"/>
                <w:b/>
                <w:bCs/>
                <w:iCs/>
                <w:sz w:val="24"/>
                <w:szCs w:val="24"/>
                <w:lang w:eastAsia="lv-LV"/>
              </w:rPr>
              <w:t>[1]</w:t>
            </w:r>
            <w:r>
              <w:rPr>
                <w:rFonts w:ascii="Times New Roman" w:eastAsia="Times New Roman" w:hAnsi="Times New Roman" w:cs="Times New Roman"/>
                <w:iCs/>
                <w:sz w:val="24"/>
                <w:szCs w:val="24"/>
                <w:lang w:eastAsia="lv-LV"/>
              </w:rPr>
              <w:t xml:space="preserve"> Likumprojekts (likumprojekta 1.-9.panti un 10.pantā ietvertais pārejas noteikumu 6. un 7.punkts) paredz pārmaiņas Latvijas Bankas pārvaldības modelī ar mērķi nodrošināt pakāpenisku Latvijas Bankas pārvaldības modeļa reorganizāciju.</w:t>
            </w:r>
          </w:p>
          <w:p w14:paraId="38DA356A" w14:textId="77777777" w:rsidR="00C550E7" w:rsidRDefault="00C550E7">
            <w:pPr>
              <w:spacing w:after="0" w:line="240" w:lineRule="auto"/>
              <w:jc w:val="both"/>
              <w:rPr>
                <w:b/>
                <w:bCs/>
              </w:rPr>
            </w:pPr>
          </w:p>
          <w:p w14:paraId="263FFC73" w14:textId="77777777"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lang w:eastAsia="en-US"/>
              </w:rPr>
              <w:t xml:space="preserve">Pašlaik Latvijas Bankā ir divu līmeņu pārvaldības struktūra, proti, Latvijas Bankas vārdā lēmumus pieņem Latvijas Bankas padome, savukārt Latvijas Bankas praktiskā darba veikšana un operatīvā vadīšana, īstenojot Latvijas Bankas padomes lēmumus, ir Latvijas Bankas valdes kompetencē. Turklāt atsevišķi lēmumi ir ekskluzīvā Latvijas Bankas prezidenta kompetencē. </w:t>
            </w:r>
          </w:p>
          <w:p w14:paraId="7FC4928D"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33373611" w14:textId="77777777"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lang w:eastAsia="en-US"/>
              </w:rPr>
              <w:lastRenderedPageBreak/>
              <w:t>Starptautiskajā praksē centrālo banku pārvalde tiek organizēta gan vienā, gan divos līmeņos. Arī eiro zonā sastopami abi pārvaldības modeļi ar viena līmeņa modeļa dominanci (tai skaitā Lietuvā, ar līdzvērtīgu tautsaimniecības izmēru un attīstības līmeni).</w:t>
            </w:r>
          </w:p>
          <w:p w14:paraId="6821F3FA"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7999BACC" w14:textId="557F25BE"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lang w:eastAsia="en-US"/>
              </w:rPr>
              <w:t>Likumprojekta 1.-9.panti paredz pārmaiņas pārvaldībā, nosakot, ka visus lēmumus, izņemot tos, kas nodoti Latvijas Bankas prezidenta kompetencē, Latvijas Bankas vārdā pieņem Latvijas Bankas padome, tādējādi nodrošinot efektīvāku un operatīvāku pārvaldības lēmumu pieņemšanu un informācijas apmaiņu. Vienlaikus Latvijas Bankas padomei tiek paredzētas tiesības nodot noteiktu lēmumu pieņemšanu Latvijas Bankas padomes loceklim, darbiniekam vai Latvijas Bankas padomes izveidotai komitejai (likumprojekta 3.pants, ar ko jaunā redakcijā tiek izteikts likuma "Par Latvijas Banku" 23.pants).</w:t>
            </w:r>
          </w:p>
          <w:p w14:paraId="19A0236A"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p>
          <w:p w14:paraId="2F7B645D"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r>
              <w:rPr>
                <w:rStyle w:val="normaltextrun"/>
                <w:rFonts w:ascii="Times New Roman" w:eastAsia="Times New Roman" w:hAnsi="Times New Roman" w:cs="Times New Roman"/>
                <w:sz w:val="24"/>
                <w:szCs w:val="24"/>
                <w:lang w:eastAsia="lv-LV"/>
              </w:rPr>
              <w:t>Šādas pārmaiņas pārvaldības struktūrā nepieciešamas arī, ņemot vērā to pārvaldības struktūru, kāda paredzēta Latvijas Bankā pēc FKTK pievienošanas (noteikta likumprojekta "Latvijas Bankas likums" II nodaļā). Lai nodrošinātu sekmīgu jaunā pārvaldības modeļa darbību līdz ar FKTK pievienošanu Latvijas Bankai un mazinātu darbības riskus, kuri var rasties, ja Latvijas Bankas pārvaldības struktūras pārmaiņas notiek vienlaicīgi ar funkciju, kuras Latvijas Banka pārņems no FKTK, izpildes uzsākšanu, pārmaiņas pārvaldības struktūrā Latvijas Bankā plānots ieviest vēl līdz FKTK pievienošanas Latvijas Bankai.</w:t>
            </w:r>
            <w:r>
              <w:rPr>
                <w:rFonts w:ascii="Times New Roman" w:eastAsia="Times New Roman" w:hAnsi="Times New Roman" w:cs="Times New Roman"/>
                <w:sz w:val="24"/>
                <w:szCs w:val="24"/>
                <w:lang w:eastAsia="lv-LV"/>
              </w:rPr>
              <w:t xml:space="preserve"> </w:t>
            </w:r>
            <w:r>
              <w:rPr>
                <w:rStyle w:val="normaltextrun"/>
                <w:rFonts w:ascii="Times New Roman" w:eastAsia="Times New Roman" w:hAnsi="Times New Roman" w:cs="Times New Roman"/>
                <w:sz w:val="24"/>
                <w:szCs w:val="24"/>
                <w:lang w:eastAsia="lv-LV"/>
              </w:rPr>
              <w:t>Ņemot to vērā, likumprojektā ietvertas arī pārmaiņas attiecībā uz atsevišķu lēmumu pieņemšanu, nosakot to tādu, kāda tā plānota līdz ar FKTK pievienošanu Latvijas Bankai.</w:t>
            </w:r>
          </w:p>
          <w:p w14:paraId="2BC608DF"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p>
          <w:p w14:paraId="674F189E" w14:textId="4B1D7D31" w:rsidR="00C550E7" w:rsidRDefault="00C550E7">
            <w:pPr>
              <w:shd w:val="clear" w:color="auto" w:fill="FFFFFF" w:themeFill="background1"/>
              <w:spacing w:after="0" w:line="240" w:lineRule="auto"/>
              <w:jc w:val="both"/>
              <w:rPr>
                <w:rStyle w:val="normaltextrun"/>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w:t>
            </w:r>
            <w:r>
              <w:rPr>
                <w:rStyle w:val="normaltextrun"/>
                <w:rFonts w:ascii="Times New Roman" w:eastAsia="Times New Roman" w:hAnsi="Times New Roman" w:cs="Times New Roman"/>
                <w:sz w:val="24"/>
                <w:szCs w:val="24"/>
                <w:lang w:eastAsia="lv-LV"/>
              </w:rPr>
              <w:t xml:space="preserve">ikumprojekta 3. pantā (ar ko izsaka likuma "Par Latvijas Banku" 23.pantu jaunā redakcijā) tiek </w:t>
            </w:r>
            <w:r>
              <w:rPr>
                <w:rFonts w:ascii="Times New Roman" w:eastAsia="Times New Roman" w:hAnsi="Times New Roman" w:cs="Times New Roman"/>
                <w:sz w:val="24"/>
                <w:szCs w:val="24"/>
                <w:shd w:val="clear" w:color="auto" w:fill="FFFFFF" w:themeFill="background1"/>
                <w:lang w:eastAsia="lv-LV"/>
              </w:rPr>
              <w:t>nostiprinātas</w:t>
            </w:r>
            <w:r>
              <w:rPr>
                <w:rFonts w:ascii="Times New Roman" w:eastAsia="Times New Roman" w:hAnsi="Times New Roman" w:cs="Times New Roman"/>
                <w:sz w:val="24"/>
                <w:szCs w:val="24"/>
                <w:lang w:eastAsia="lv-LV"/>
              </w:rPr>
              <w:t xml:space="preserve"> Latvijas tiesību doktrīnā un Satversmes tiesas spriedumos</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atzītās Latvijas Bankas tiesības izdot deleģētos normatīvos aktus, kā arī</w:t>
            </w:r>
            <w:r>
              <w:rPr>
                <w:rFonts w:ascii="Times New Roman" w:hAnsi="Times New Roman" w:cs="Times New Roman"/>
                <w:sz w:val="24"/>
                <w:szCs w:val="24"/>
                <w:lang w:eastAsia="lv-LV"/>
              </w:rPr>
              <w:t xml:space="preserve"> </w:t>
            </w:r>
            <w:r>
              <w:rPr>
                <w:rStyle w:val="normaltextrun"/>
                <w:rFonts w:ascii="Times New Roman" w:eastAsia="Times New Roman" w:hAnsi="Times New Roman" w:cs="Times New Roman"/>
                <w:sz w:val="24"/>
                <w:szCs w:val="24"/>
                <w:lang w:eastAsia="lv-LV"/>
              </w:rPr>
              <w:t xml:space="preserve">noteikts, ka Latvijas Bankas ārējos un iekšējos normatīvos aktus pieņem Latvijas Bankas padome. </w:t>
            </w:r>
            <w:r>
              <w:rPr>
                <w:rFonts w:ascii="Times New Roman" w:eastAsia="Times New Roman" w:hAnsi="Times New Roman" w:cs="Times New Roman"/>
                <w:sz w:val="24"/>
                <w:szCs w:val="24"/>
                <w:lang w:eastAsia="lv-LV"/>
              </w:rPr>
              <w:t xml:space="preserve">Iestādes iekšējo </w:t>
            </w:r>
            <w:r>
              <w:rPr>
                <w:rFonts w:ascii="Times New Roman" w:eastAsia="Times New Roman" w:hAnsi="Times New Roman" w:cs="Times New Roman"/>
                <w:sz w:val="24"/>
                <w:szCs w:val="24"/>
                <w:lang w:eastAsia="lv-LV"/>
              </w:rPr>
              <w:lastRenderedPageBreak/>
              <w:t xml:space="preserve">normatīvo aktu pieņemšanas tiesības izriet no Valsts pārvaldes iekārtas likuma 72. panta pirmās daļas. Ievērojot to, ka saskaņā ar Valsts pārvaldes iekārtas likuma 17. panta otro daļu par iestādes darba organizācijas jautājumiem, tostarp, par iestādes finanšu, personāla un citu resursu pārvaldīšanu, iestādes pārvaldes amatpersonu un darbinieku pienākumu noteikšanu, darbinieku pieņemšanu un atlaišanu, gadskārtējā darbības plāna un budžeta pieprasījuma izstrādes nodrošināšanu, iestādes iekšējās kontroles sistēmas izveidošanu, uzraudzīšanu un uzlabošanu, atbild iestādes vadītājs, ja vien normatīvajā aktā nav noteikts citādi, ar likumprojektu Latvijas Bankas darba organizācijas jautājumu regulēšanas kompetence iekšējo normatīvo aktu līmenī tiek piešķirta Latvijas Bankas padomei kā koleģiālam orgānam, lai nodrošinātu iespējami objektīvu un vienveidīgu pieeju Latvijas Bankas darba organizācijas jautājumu risināšanā. Latvijas Bankas par konkrētu jomu atbildīgie darbinieki būs tiesīgi savā atbildības jomā noteikt Latvijas Bankas ārējo un iekšējo normatīvo aktu piemērošanas procedūras. </w:t>
            </w:r>
            <w:r>
              <w:rPr>
                <w:rStyle w:val="normaltextrun"/>
                <w:rFonts w:ascii="Times New Roman" w:eastAsia="Times New Roman" w:hAnsi="Times New Roman" w:cs="Times New Roman"/>
                <w:sz w:val="24"/>
                <w:szCs w:val="24"/>
                <w:lang w:eastAsia="lv-LV"/>
              </w:rPr>
              <w:t>Tāpat, l</w:t>
            </w:r>
            <w:r>
              <w:rPr>
                <w:rFonts w:ascii="Times New Roman" w:eastAsia="Times New Roman" w:hAnsi="Times New Roman" w:cs="Times New Roman"/>
                <w:sz w:val="24"/>
                <w:szCs w:val="24"/>
              </w:rPr>
              <w:t xml:space="preserve">ai nodrošinātu efektīvāku lēmumu pieņemšanu un racionālāku resursu izmantošanu, šajā pantā </w:t>
            </w:r>
            <w:r>
              <w:rPr>
                <w:rStyle w:val="normaltextrun"/>
                <w:rFonts w:ascii="Times New Roman" w:eastAsia="Times New Roman" w:hAnsi="Times New Roman" w:cs="Times New Roman"/>
                <w:sz w:val="24"/>
                <w:szCs w:val="24"/>
                <w:lang w:eastAsia="lv-LV"/>
              </w:rPr>
              <w:t xml:space="preserve">tiek paredzēts, ka Latvijas Bankas padome var izveidot vienu vai vairākas komitejas, kuras būtu pilnvarotas pieņemt  likumā noteiktos administratīvos aktus skaidrās naudas aprites vai ārvalstu valūtas pirkšanas un pārdošanas jomās, kā piemēram administratīvais akts par atteikumu aizstāt </w:t>
            </w:r>
            <w:r>
              <w:rPr>
                <w:rStyle w:val="normaltextrun"/>
                <w:rFonts w:ascii="Times New Roman" w:eastAsia="Times New Roman" w:hAnsi="Times New Roman" w:cs="Times New Roman"/>
                <w:i/>
                <w:iCs/>
                <w:sz w:val="24"/>
                <w:szCs w:val="24"/>
                <w:lang w:eastAsia="lv-LV"/>
              </w:rPr>
              <w:t>euro</w:t>
            </w:r>
            <w:r>
              <w:rPr>
                <w:rStyle w:val="normaltextrun"/>
                <w:rFonts w:ascii="Times New Roman" w:eastAsia="Times New Roman" w:hAnsi="Times New Roman" w:cs="Times New Roman"/>
                <w:sz w:val="24"/>
                <w:szCs w:val="24"/>
                <w:lang w:eastAsia="lv-LV"/>
              </w:rPr>
              <w:t xml:space="preserve"> banknoti vai monētu, licences anulēšanu ārvalstu valūtas pirkšanai un pārdošanai. </w:t>
            </w:r>
            <w:r>
              <w:rPr>
                <w:rFonts w:ascii="Times New Roman" w:eastAsia="Times New Roman" w:hAnsi="Times New Roman" w:cs="Times New Roman"/>
                <w:sz w:val="24"/>
                <w:szCs w:val="24"/>
                <w:lang w:eastAsia="lv-LV"/>
              </w:rPr>
              <w:t xml:space="preserve">Latvijas Banka noteiks tieši, kuri uzdevumi no iepriekš minētajām jomām nodoti komitejai, kā arī noteiks šī komiteja darba organizāciju. Tāpat paredzēts, ka Latvijas Banka </w:t>
            </w:r>
            <w:r>
              <w:rPr>
                <w:rStyle w:val="normaltextrun"/>
                <w:rFonts w:ascii="Times New Roman" w:eastAsia="Times New Roman" w:hAnsi="Times New Roman" w:cs="Times New Roman"/>
                <w:sz w:val="24"/>
                <w:szCs w:val="24"/>
                <w:lang w:eastAsia="lv-LV"/>
              </w:rPr>
              <w:t xml:space="preserve">noteiktu lēmumu pieņemšanai var pilnvarot Latvijas Bankas padomes locekli vai darbinieku, kā piemēram slēgt līgumu ar kredītiestādi par skaidrās naudas darījumiem Latvijas Bankā, dalību maksājumu sistēmās vai monetārās operācijās.  </w:t>
            </w:r>
          </w:p>
          <w:p w14:paraId="60705BC9" w14:textId="74C0E545" w:rsidR="00C550E7" w:rsidRDefault="00C550E7">
            <w:pPr>
              <w:spacing w:before="120" w:after="120"/>
              <w:jc w:val="both"/>
            </w:pPr>
            <w:r>
              <w:rPr>
                <w:rStyle w:val="normaltextrun"/>
                <w:rFonts w:ascii="Times New Roman" w:eastAsia="Times New Roman" w:hAnsi="Times New Roman" w:cs="Times New Roman"/>
                <w:sz w:val="24"/>
                <w:szCs w:val="24"/>
                <w:lang w:eastAsia="lv-LV"/>
              </w:rPr>
              <w:t>Likumprojekta 4.pantā (ar ko izsaka likuma "Par Latvijas Banku" 27.pantu jaunā redakcijā), i</w:t>
            </w:r>
            <w:r>
              <w:rPr>
                <w:rFonts w:ascii="Times New Roman" w:hAnsi="Times New Roman" w:cs="Times New Roman"/>
                <w:sz w:val="24"/>
                <w:szCs w:val="24"/>
                <w:shd w:val="clear" w:color="auto" w:fill="FFFFFF" w:themeFill="background1"/>
              </w:rPr>
              <w:t xml:space="preserve">evērojot Valsts pārvaldes iekārtas likuma regulējumu (17.panta pirmā un otrā daļa un 30.panta otrā daļa), noteikts, ka Latvijas Bankas prezidents </w:t>
            </w:r>
            <w:r>
              <w:rPr>
                <w:rFonts w:ascii="Times New Roman" w:hAnsi="Times New Roman" w:cs="Times New Roman"/>
                <w:sz w:val="24"/>
                <w:szCs w:val="24"/>
                <w:lang w:eastAsia="lv-LV"/>
              </w:rPr>
              <w:t xml:space="preserve">vada iestādes administratīvo darbu. Izrietoši no Valsts pārvaldes iekārtas likuma regulējuma tas sevī ietver Latvijas Bankas finanšu, personāla un citus resursu pārvaldīšanu, Latvijas Bankas darbinieku pienākumu noteikšanu, ciktāl tas netiek darīts ar Latvijas Bankas </w:t>
            </w:r>
            <w:r>
              <w:rPr>
                <w:rFonts w:ascii="Times New Roman" w:hAnsi="Times New Roman" w:cs="Times New Roman"/>
                <w:sz w:val="24"/>
                <w:szCs w:val="24"/>
                <w:lang w:eastAsia="lv-LV"/>
              </w:rPr>
              <w:lastRenderedPageBreak/>
              <w:t>iekšējiem normatīvajiem aktiem (tos pieņem Latvijas Bankas padome), darbinieku pieņemšanu darbā un atlaišanu no tā, Latvijas Bankas gadskārtējā darbības plāna un budžeta pieprasījuma izstrādes nodrošināšanu. Latvijas Bankas iekšējās kontroles sistēmas izveidošana, uzraudzīšana un uzlabošana ietilpst Latvijas Bankas padomes kompetencē, ciktāl to regulē Latvijas Bankas iekšējie normatīvie akti.</w:t>
            </w:r>
          </w:p>
          <w:p w14:paraId="517E078F" w14:textId="77777777" w:rsidR="00C550E7" w:rsidRDefault="00C550E7">
            <w:pPr>
              <w:spacing w:after="0" w:line="240" w:lineRule="auto"/>
              <w:jc w:val="both"/>
              <w:rPr>
                <w:rStyle w:val="normaltextrun"/>
                <w:rFonts w:eastAsia="Times New Roman"/>
                <w:lang w:eastAsia="lv-LV"/>
              </w:rPr>
            </w:pPr>
            <w:r>
              <w:rPr>
                <w:rStyle w:val="normaltextrun"/>
                <w:rFonts w:ascii="Times New Roman" w:eastAsia="Times New Roman" w:hAnsi="Times New Roman" w:cs="Times New Roman"/>
                <w:sz w:val="24"/>
                <w:szCs w:val="24"/>
                <w:lang w:eastAsia="lv-LV"/>
              </w:rPr>
              <w:t xml:space="preserve">Likumprojekta 5. pants un 6. pants (ar ko izsaka likuma "Par Latvijas Banku" 30. pantu jaunā redakcijā) paredz mainīt lēmuma pieņēmēju attiecībā uz Latvijas Bankas struktūru, proti, šobrīd likumā "Par Latvijas Banku" paredzēts, ka Latvijas Bankas struktūru nosaka Latvijas Bankas prezidents, vienlaikus likums "Par Latvijas Banku" paredz, ka amata vietas apstiprina Latvijas Bankas padome. Likumprojekts paredz, ka Latvijas Bankas struktūras apstiprināšana būs Latvijas Bankas padomes kompetencē, ņemot vērā, ka viena līmeņa pārvaldībā līdz FKTK pievienošanas Latvijas Bankai brīdim Latvijas Bankas padome būs tā koleģiālā lēmējinstitūcija, kas pārvaldīs Latvijas Banku, vienlaikus novēršot situāciju, ka amata vietas tiek apstiprinātas Latvijas Bankas padomē, bet struktūrvienības, kurā šīs amata vietas veidojamas, tiek apstiprināta Latvijas Bankas prezidenta līmenī. </w:t>
            </w:r>
          </w:p>
          <w:p w14:paraId="6AF4D51C"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p>
          <w:p w14:paraId="4DA07D0C" w14:textId="5953ECFD" w:rsidR="00C550E7" w:rsidRDefault="00C550E7">
            <w:pPr>
              <w:spacing w:after="0" w:line="240" w:lineRule="auto"/>
              <w:jc w:val="both"/>
              <w:rPr>
                <w:rStyle w:val="normaltextrun"/>
                <w:rFonts w:ascii="Times New Roman" w:eastAsia="Times New Roman" w:hAnsi="Times New Roman" w:cs="Times New Roman"/>
                <w:sz w:val="24"/>
                <w:szCs w:val="24"/>
                <w:lang w:eastAsia="lv-LV"/>
              </w:rPr>
            </w:pPr>
            <w:r>
              <w:rPr>
                <w:rStyle w:val="normaltextrun"/>
                <w:rFonts w:ascii="Times New Roman" w:eastAsia="Times New Roman" w:hAnsi="Times New Roman" w:cs="Times New Roman"/>
                <w:sz w:val="24"/>
                <w:szCs w:val="24"/>
                <w:lang w:eastAsia="lv-LV"/>
              </w:rPr>
              <w:t>Likumprojekta 6.pantā (ar ko izsaka likuma "Par Latvijas Banku" 30. pantu jaunā redakcijā) saglabāta atsauce uz konkrētiem Latvijas Bankas padomes locekļu veidiem, ņemot vērā, ka likuma "Par Latvijas Banku" 21.panta pirmā daļa nosaka, ka "</w:t>
            </w:r>
            <w:r>
              <w:rPr>
                <w:rFonts w:ascii="Times New Roman" w:hAnsi="Times New Roman" w:cs="Times New Roman"/>
                <w:sz w:val="24"/>
                <w:szCs w:val="24"/>
              </w:rPr>
              <w:t xml:space="preserve">Bankas padomes sastāvā ir 6 cilvēki: bankas prezidents, viņa vietnieks un 4 padomes locekļi". Attiecīgi tiesiskās noteiktības nolūkā nepieciešams minēt visas amatpersonas, uz ko regulējums attiecas. </w:t>
            </w:r>
          </w:p>
          <w:p w14:paraId="20EA022A"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p>
          <w:p w14:paraId="4C61BFB4" w14:textId="30F1E2D4" w:rsidR="00C550E7" w:rsidRDefault="00C550E7">
            <w:pPr>
              <w:shd w:val="clear" w:color="auto" w:fill="FFFFFF" w:themeFill="background1"/>
              <w:spacing w:after="0" w:line="240" w:lineRule="auto"/>
              <w:jc w:val="both"/>
            </w:pPr>
            <w:r>
              <w:rPr>
                <w:rStyle w:val="normaltextrun"/>
                <w:rFonts w:ascii="Times New Roman" w:eastAsia="Times New Roman" w:hAnsi="Times New Roman" w:cs="Times New Roman"/>
                <w:sz w:val="24"/>
                <w:szCs w:val="24"/>
                <w:lang w:eastAsia="lv-LV"/>
              </w:rPr>
              <w:t xml:space="preserve">Likumprojekta 6.pantā, ar kuru plānots izteikt jaunā reakcijā 30.pantu, </w:t>
            </w:r>
            <w:r>
              <w:rPr>
                <w:rFonts w:ascii="Times New Roman" w:eastAsia="Times New Roman" w:hAnsi="Times New Roman" w:cs="Times New Roman"/>
                <w:sz w:val="24"/>
                <w:szCs w:val="24"/>
                <w:shd w:val="clear" w:color="auto" w:fill="FFFFFF" w:themeFill="background1"/>
                <w:lang w:eastAsia="lv-LV"/>
              </w:rPr>
              <w:t>saglabāts</w:t>
            </w:r>
            <w:r>
              <w:rPr>
                <w:rFonts w:ascii="Times New Roman" w:eastAsia="Times New Roman" w:hAnsi="Times New Roman" w:cs="Times New Roman"/>
                <w:sz w:val="24"/>
                <w:szCs w:val="24"/>
                <w:lang w:eastAsia="lv-LV"/>
              </w:rPr>
              <w:t xml:space="preserve"> pašreizējais tiesiskais regulējums, ka Latvijas Bankas padomes locekļu un darbinieku atlīdzības sistēma ir Latvijas Bankas padomes kompetencē, kas atbilst Eirosistēmas centrālo banku personiskās un finansiālās neatkarības principam. Proti,</w:t>
            </w:r>
            <w:r>
              <w:rPr>
                <w:rFonts w:ascii="Times New Roman" w:eastAsia="Times New Roman" w:hAnsi="Times New Roman" w:cs="Times New Roman"/>
                <w:sz w:val="24"/>
                <w:szCs w:val="24"/>
                <w:shd w:val="clear" w:color="auto" w:fill="FFFFFF"/>
                <w:lang w:eastAsia="lv-LV"/>
              </w:rPr>
              <w:t xml:space="preserve"> eiro zonas </w:t>
            </w:r>
            <w:r>
              <w:rPr>
                <w:rFonts w:ascii="Times New Roman" w:eastAsia="Times New Roman" w:hAnsi="Times New Roman" w:cs="Times New Roman"/>
                <w:sz w:val="24"/>
                <w:szCs w:val="24"/>
                <w:lang w:eastAsia="lv-LV"/>
              </w:rPr>
              <w:t xml:space="preserve">dalībvalstis nav tiesīgas </w:t>
            </w:r>
            <w:r>
              <w:rPr>
                <w:rFonts w:ascii="Times New Roman" w:hAnsi="Times New Roman" w:cs="Times New Roman"/>
                <w:sz w:val="24"/>
                <w:szCs w:val="24"/>
                <w:shd w:val="clear" w:color="auto" w:fill="FFFFFF"/>
              </w:rPr>
              <w:t>pasliktināt to centrālo bank</w:t>
            </w:r>
            <w:r>
              <w:rPr>
                <w:rFonts w:ascii="Times New Roman" w:hAnsi="Times New Roman" w:cs="Times New Roman"/>
                <w:sz w:val="24"/>
                <w:szCs w:val="24"/>
              </w:rPr>
              <w:t>u</w:t>
            </w:r>
            <w:r>
              <w:rPr>
                <w:rFonts w:ascii="Times New Roman" w:hAnsi="Times New Roman" w:cs="Times New Roman"/>
                <w:sz w:val="24"/>
                <w:szCs w:val="24"/>
                <w:shd w:val="clear" w:color="auto" w:fill="FFFFFF"/>
              </w:rPr>
              <w:t xml:space="preserve"> iespējas pieņemt darbā un noturēt kvalificētus darbiniekus, kuri tām</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nepieciešami, lai neatkarīgi pildītu to uzdevumus. </w:t>
            </w:r>
            <w:r>
              <w:rPr>
                <w:rFonts w:ascii="Times New Roman" w:hAnsi="Times New Roman" w:cs="Times New Roman"/>
                <w:sz w:val="24"/>
                <w:szCs w:val="24"/>
              </w:rPr>
              <w:t>Turklāt</w:t>
            </w:r>
            <w:r>
              <w:rPr>
                <w:rFonts w:ascii="Times New Roman" w:hAnsi="Times New Roman" w:cs="Times New Roman"/>
                <w:sz w:val="24"/>
                <w:szCs w:val="24"/>
                <w:shd w:val="clear" w:color="auto" w:fill="FFFFFF"/>
              </w:rPr>
              <w:t xml:space="preserve"> eiro zonas valstu centrālās bankas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nedrīkst nonākt situācijā, kurā eiro zonas dalībvalsts valdība var ietekmēt to</w:t>
            </w:r>
            <w:r>
              <w:rPr>
                <w:rFonts w:ascii="Times New Roman" w:hAnsi="Times New Roman" w:cs="Times New Roman"/>
                <w:sz w:val="24"/>
                <w:szCs w:val="24"/>
                <w:shd w:val="clear" w:color="auto" w:fill="FFFFFF" w:themeFill="background1"/>
              </w:rPr>
              <w:t xml:space="preserve"> politiku personāla jautājumos. Eiropas Centrālā banka arī </w:t>
            </w:r>
            <w:r>
              <w:rPr>
                <w:rFonts w:ascii="Times New Roman" w:hAnsi="Times New Roman" w:cs="Times New Roman"/>
                <w:sz w:val="24"/>
                <w:szCs w:val="24"/>
                <w:shd w:val="clear" w:color="auto" w:fill="FFFFFF" w:themeFill="background1"/>
              </w:rPr>
              <w:lastRenderedPageBreak/>
              <w:t xml:space="preserve">atzinusi, ka eiro zonas dalībvalstis nedrīkst censties ietekmēt to centrālo banku lēmējinstitūciju locekļus, izdarot grozījumus nacionālajos tiesību aktos, kas skar to atalgojumu, ievērojot principu, ka šādi grozījumi, ja tie negatīvi ietekmē atalgojumu, drīkst attiekties tikai uz lēmējinstitūciju locekļiem, </w:t>
            </w:r>
            <w:r>
              <w:rPr>
                <w:rFonts w:ascii="Times New Roman" w:hAnsi="Times New Roman" w:cs="Times New Roman"/>
                <w:sz w:val="24"/>
                <w:szCs w:val="24"/>
              </w:rPr>
              <w:t>kas tiks iecelti amatā nākotnē</w:t>
            </w:r>
            <w:r>
              <w:rPr>
                <w:rStyle w:val="FootnoteReference"/>
                <w:rFonts w:ascii="Times New Roman" w:hAnsi="Times New Roman" w:cs="Times New Roman"/>
                <w:sz w:val="24"/>
                <w:szCs w:val="24"/>
                <w:shd w:val="clear" w:color="auto" w:fill="FFFFFF" w:themeFill="background1"/>
              </w:rPr>
              <w:footnoteReference w:id="3"/>
            </w:r>
            <w:r>
              <w:rPr>
                <w:rFonts w:ascii="Times New Roman" w:hAnsi="Times New Roman" w:cs="Times New Roman"/>
                <w:sz w:val="24"/>
                <w:szCs w:val="24"/>
              </w:rPr>
              <w:t xml:space="preserve">. </w:t>
            </w:r>
          </w:p>
          <w:p w14:paraId="5D0429F1" w14:textId="77777777" w:rsidR="00C550E7" w:rsidRDefault="00C550E7">
            <w:pPr>
              <w:shd w:val="clear" w:color="auto" w:fill="FFFFFF" w:themeFill="background1"/>
              <w:spacing w:after="0" w:line="240" w:lineRule="auto"/>
              <w:jc w:val="both"/>
              <w:rPr>
                <w:rStyle w:val="normaltextrun"/>
              </w:rPr>
            </w:pPr>
            <w:r>
              <w:rPr>
                <w:rFonts w:ascii="Times New Roman" w:hAnsi="Times New Roman" w:cs="Times New Roman"/>
                <w:sz w:val="24"/>
                <w:szCs w:val="24"/>
              </w:rPr>
              <w:t xml:space="preserve">Šā panta otrajā daļā noteikts, ka atsevišķiem ar darba samaksu un darba aizsardzības pasākumiem saistītiem aspektiem piemēro Darba likumu un Dara aizsardzības likumu, tādējādi veicinot tiesisko noteiktību attiecībā uz Latvijas Bankas padomes locekļiem piemērojamo normatīvo regulējumu. </w:t>
            </w:r>
          </w:p>
          <w:p w14:paraId="03C9DC52" w14:textId="77777777" w:rsidR="00C550E7" w:rsidRDefault="00C550E7">
            <w:pPr>
              <w:spacing w:after="0" w:line="240" w:lineRule="auto"/>
              <w:jc w:val="both"/>
              <w:rPr>
                <w:rStyle w:val="normaltextrun"/>
                <w:rFonts w:ascii="Times New Roman" w:eastAsia="Times New Roman" w:hAnsi="Times New Roman" w:cs="Times New Roman"/>
                <w:sz w:val="24"/>
                <w:szCs w:val="24"/>
                <w:lang w:eastAsia="lv-LV"/>
              </w:rPr>
            </w:pPr>
          </w:p>
          <w:p w14:paraId="7215DA20" w14:textId="77777777"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lang w:eastAsia="en-US"/>
              </w:rPr>
              <w:t xml:space="preserve">Ar likumprojekta 8.pantu tiek paredzēts svītrot likuma "Par Latvijas Banku" 32.pantu, kurš likumā "Par Latvijas Banku" bija ietverts laikā, kad Latvijā nebija vienota interešu konflikta regulējuma amatpersonām. Ņemot vērā, ka jautājumus saistībā ar Latvijas Bankas amatpersonu, t.sk. Latvijas Bankas padomes locekļu interešu konflikta ierobežojumiem regulē likums "Par interešu konflikta novēršanu valsts amatpersonu darbībā", šī norma ir svītrojama, jo tā paredz papildus noteikumus atsevišķām Latvijas Bankas amatpersonu un darbinieku grupām (valdes locekļiem un struktūrvienību vadītājiem), kas nav nepieciešami, ievērojot, ka valstī šo jautājumu regulē vienots regulējums visai valsts pārvaldei. </w:t>
            </w:r>
          </w:p>
          <w:p w14:paraId="4B5E0180" w14:textId="77777777" w:rsidR="00C550E7" w:rsidRDefault="00C550E7">
            <w:pPr>
              <w:pStyle w:val="paragraph"/>
              <w:spacing w:before="0" w:beforeAutospacing="0" w:after="0" w:afterAutospacing="0" w:line="256" w:lineRule="auto"/>
              <w:jc w:val="both"/>
              <w:textAlignment w:val="baseline"/>
              <w:rPr>
                <w:iCs/>
              </w:rPr>
            </w:pPr>
            <w:r>
              <w:rPr>
                <w:rStyle w:val="normaltextrun"/>
                <w:lang w:eastAsia="en-US"/>
              </w:rPr>
              <w:t>2020. gada 20. maija izvērtējumā par FKTK pievienošanu Latvijas Bankai</w:t>
            </w:r>
            <w:r>
              <w:rPr>
                <w:rStyle w:val="FootnoteReference"/>
                <w:lang w:eastAsia="en-US"/>
              </w:rPr>
              <w:footnoteReference w:id="4"/>
            </w:r>
            <w:r>
              <w:rPr>
                <w:rStyle w:val="normaltextrun"/>
                <w:lang w:eastAsia="en-US"/>
              </w:rPr>
              <w:t xml:space="preserve"> cita starpā norādīts: "Veidojot viena līmeņa pārvaldības sistēmu, būtu nepieciešams izveidot tādu revīzijas (audita) komiteju, kuras sastāvā iekļauti neatkarīgi, ar lēmējinstitūciju un operatīvo darbību nesaistīti eksperti (</w:t>
            </w:r>
            <w:r>
              <w:rPr>
                <w:rStyle w:val="normaltextrun"/>
                <w:i/>
                <w:iCs/>
                <w:lang w:eastAsia="en-US"/>
              </w:rPr>
              <w:t>non-executives</w:t>
            </w:r>
            <w:r>
              <w:rPr>
                <w:rStyle w:val="normaltextrun"/>
                <w:lang w:eastAsia="en-US"/>
              </w:rPr>
              <w:t>) un kuras uzdevums būtu pārraudzīt finanšu ziņošanas, audita, iekšējās kontroles un atbilstības procesus, tādējādi veicinot efektīvu pārvaldību, kā arī veicinot sadarbību Latvijas Bankas lēmējinstitūcijas, neatkarīgo ārējo revidentu, iekšējā audita un citu vadības locekļu starpā."</w:t>
            </w:r>
            <w:r>
              <w:rPr>
                <w:iCs/>
                <w:lang w:eastAsia="en-US"/>
              </w:rPr>
              <w:t xml:space="preserve"> </w:t>
            </w:r>
          </w:p>
          <w:p w14:paraId="706C5959" w14:textId="77777777" w:rsidR="00C550E7" w:rsidRDefault="00C550E7">
            <w:pPr>
              <w:pStyle w:val="paragraph"/>
              <w:spacing w:before="0" w:beforeAutospacing="0" w:after="0" w:afterAutospacing="0" w:line="256" w:lineRule="auto"/>
              <w:jc w:val="both"/>
              <w:textAlignment w:val="baseline"/>
              <w:rPr>
                <w:iCs/>
                <w:lang w:eastAsia="en-US"/>
              </w:rPr>
            </w:pPr>
          </w:p>
          <w:p w14:paraId="07ACA0F9" w14:textId="4A97B7BB" w:rsidR="00C550E7" w:rsidRDefault="00C550E7">
            <w:pPr>
              <w:pStyle w:val="paragraph"/>
              <w:spacing w:before="0" w:beforeAutospacing="0" w:after="0" w:afterAutospacing="0" w:line="256" w:lineRule="auto"/>
              <w:jc w:val="both"/>
              <w:textAlignment w:val="baseline"/>
              <w:rPr>
                <w:rStyle w:val="normaltextrun"/>
              </w:rPr>
            </w:pPr>
            <w:r>
              <w:rPr>
                <w:rStyle w:val="normaltextrun"/>
                <w:lang w:eastAsia="en-US"/>
              </w:rPr>
              <w:lastRenderedPageBreak/>
              <w:t>Ņemot vērā minēto, Likumprojekta 6. pants</w:t>
            </w:r>
            <w:r>
              <w:rPr>
                <w:lang w:eastAsia="en-US"/>
              </w:rPr>
              <w:t>, ar kuru plānots izteikt jaunā reakcijā 29.pantu,</w:t>
            </w:r>
            <w:r>
              <w:rPr>
                <w:rStyle w:val="normaltextrun"/>
                <w:lang w:eastAsia="en-US"/>
              </w:rPr>
              <w:t xml:space="preserve"> paredz īpašas Latvijas Bankas padomes apstiprinātas revīzijas komitejas izveidi, kas pārraudzītu Latvijas Bankas finanšu pārskatu sagatavošanu, Latvijas Bankas iekšējās kontroles sistēmas darbību, Latvijas Bankas iekšējā audita un Latvijas Bankas ārējo revidentu darbību. Šai revīzijas komitejai ir jābūt vismaz triju locekļu sastāvā, kuru vairākumam ir jābūt neatkarīgiem savu profesionālo pienākumu izpildē, savukārt viens no revīzijas komitejas locekļiem var būt Latvijas Bankas amatpersona vai darbinieks. Neatkarība profesionālo pienākumu izpildē šajā gadījumā nozīmē to, ka nepastāv apstākļi, kas apdraudētu revīzijas komitejas locekļu spēju veikt pienākumus neatkarīgi. Revīzijas komitejas nolikumu un locekļus apstiprina Latvijas Bankas padome. Atbilstoši 10. pantā ietvertajam pārejas noteikumu 6. punktam revīzijas komiteju izveido līdz 2021.gada 31.oktobrim.</w:t>
            </w:r>
          </w:p>
          <w:p w14:paraId="04A82AD5"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427FCD99" w14:textId="77777777" w:rsidR="00C550E7" w:rsidRDefault="00C550E7">
            <w:pPr>
              <w:jc w:val="both"/>
              <w:rPr>
                <w:rFonts w:ascii="Times New Roman" w:hAnsi="Times New Roman" w:cs="Times New Roman"/>
                <w:sz w:val="24"/>
                <w:szCs w:val="24"/>
              </w:rPr>
            </w:pPr>
            <w:r>
              <w:rPr>
                <w:rFonts w:ascii="Times New Roman" w:hAnsi="Times New Roman" w:cs="Times New Roman"/>
                <w:sz w:val="24"/>
                <w:szCs w:val="24"/>
              </w:rPr>
              <w:t xml:space="preserve">Šobrīd Latvijas Bankā darbojas revīzijas komiteja, kuras locekļi ir Latvijas Bankas padomes locekļi. Likumprojekts paredz principiāli mainīt revīzijas komitejas sastāvu, tajā kā vairākumu pieaicinot neatkarīgus un ārpus Latvijas Bankas praktizējošus ekspertus, un tas saistīts ar mērķi pilnveidot un modernizēt Latvijas Bankas pārvaldību. Šāds modelis ir pilnībā atbilstošs pievienošanas izvērtējuma 23. lpp. norādītajam principam revīzijas (audita) komitejas sastāvā iekļaut neatkarīgus, ar lēmējinstitūciju un operatīvo darbību nesaistītus ekspertus </w:t>
            </w:r>
            <w:r>
              <w:rPr>
                <w:rFonts w:ascii="Times New Roman" w:hAnsi="Times New Roman" w:cs="Times New Roman"/>
                <w:i/>
                <w:iCs/>
                <w:sz w:val="24"/>
                <w:szCs w:val="24"/>
              </w:rPr>
              <w:t>(non-executive)</w:t>
            </w:r>
            <w:r>
              <w:rPr>
                <w:rFonts w:ascii="Times New Roman" w:hAnsi="Times New Roman" w:cs="Times New Roman"/>
                <w:sz w:val="24"/>
                <w:szCs w:val="24"/>
              </w:rPr>
              <w:t xml:space="preserve">, kas vienlaikus neparedz, ka šāda komiteja būtu veidojama tikai un vienīgi no minētajiem neatkarīgajiem ekspertiem. Revīzijas komitejas vispusīgas un objektīvas darbības priekšnoteikums ir tas, ka neatkarīgie eksperti veido vairākumu un tādējādi nodrošina kontroli pār komitejas darbību, kas attiecīgi ir atspoguļots likumprojektā, kā arī atbilst starptautiskajā praksē īstenotiem šādu komiteju darbības modeļiem. Papildus uzverams, ka revīzijas komiteja pēc rakstura ir konsultatīvs veidojums un nepieņem iestādei vai trešajām pusēm saistošus lēmumus. </w:t>
            </w:r>
          </w:p>
          <w:p w14:paraId="3BFF4478" w14:textId="77777777" w:rsidR="00C550E7" w:rsidRDefault="00C550E7">
            <w:pPr>
              <w:jc w:val="both"/>
              <w:rPr>
                <w:rFonts w:ascii="Times New Roman" w:hAnsi="Times New Roman" w:cs="Times New Roman"/>
                <w:sz w:val="24"/>
                <w:szCs w:val="24"/>
              </w:rPr>
            </w:pPr>
            <w:r>
              <w:rPr>
                <w:rFonts w:ascii="Times New Roman" w:hAnsi="Times New Roman" w:cs="Times New Roman"/>
                <w:sz w:val="24"/>
                <w:szCs w:val="24"/>
              </w:rPr>
              <w:t xml:space="preserve">Šobrīd revīzijas komitejas ir izveidotas pusē no Eiropas Centrālo banku sistēmas centrālajām bankām, un to sastāvi dažādās valstīs ir atšķirīgi – gan iekļaujot, gan neiekļaujot banku augstāko lēmējinstitūciju locekļus.  </w:t>
            </w:r>
            <w:r>
              <w:rPr>
                <w:rFonts w:ascii="Times New Roman" w:hAnsi="Times New Roman" w:cs="Times New Roman"/>
                <w:sz w:val="24"/>
                <w:szCs w:val="24"/>
              </w:rPr>
              <w:lastRenderedPageBreak/>
              <w:t>Eiropas Centrālās bankas Revīzijas komitejā kā viens no tās locekļiem darbojas Eiropas Centrālās bankas viceprezidents. Vienlaikus jāmin, ka visās centrālajās bankās, kurās izveidotas revīzijas komitejas, to locekļus apstiprina bankas augstākā lēmējinstitūcija (izņemot Portugāles centrālo banku). Tas nodrošina centrālās bankas neatkarību saskaņā ar Līguma par Eiropas Savienības darbību 130. pantu un Statūtu 7. pantu.</w:t>
            </w:r>
          </w:p>
          <w:p w14:paraId="4AF279EC" w14:textId="77777777" w:rsidR="00C550E7" w:rsidRDefault="00C550E7">
            <w:pPr>
              <w:jc w:val="both"/>
              <w:rPr>
                <w:rFonts w:ascii="Times New Roman" w:hAnsi="Times New Roman" w:cs="Times New Roman"/>
                <w:sz w:val="24"/>
                <w:szCs w:val="24"/>
              </w:rPr>
            </w:pPr>
            <w:r>
              <w:rPr>
                <w:rFonts w:ascii="Times New Roman" w:hAnsi="Times New Roman" w:cs="Times New Roman"/>
                <w:sz w:val="24"/>
                <w:szCs w:val="24"/>
              </w:rPr>
              <w:t>Saskaņā ar likumprojektu Latvijas Bankas finanšu pārskatus apstiprinās Latvijas Bankas padome,  lēmumus pieņemot septiņu padomes locekļu sastāvā ar sēdes dalībnieku balsu vairākumu. Norma, ka revīzijas komitejas locekļu mazākums var būt Latvijas Bankas amatpersona vai darbinieks, nav šķērslis revīzijas komitejas objektivitātei. Ja arī kāds no revīzijas komitejas locekļiem būs Latvijas Bankas padomes loceklis, finanšu pārskatus apstiprinās Latvijas Bankas padome kā koleģiāla institūcija ar balsu vairākumu.</w:t>
            </w:r>
          </w:p>
          <w:p w14:paraId="533C33C4" w14:textId="77777777" w:rsidR="00C550E7" w:rsidRDefault="00C550E7">
            <w:pPr>
              <w:pStyle w:val="paragraph"/>
              <w:spacing w:before="0" w:beforeAutospacing="0" w:after="0" w:afterAutospacing="0" w:line="256" w:lineRule="auto"/>
              <w:jc w:val="both"/>
              <w:textAlignment w:val="baseline"/>
              <w:rPr>
                <w:lang w:eastAsia="en-US"/>
              </w:rPr>
            </w:pPr>
            <w:r>
              <w:rPr>
                <w:lang w:eastAsia="en-US"/>
              </w:rPr>
              <w:t xml:space="preserve">Attiecībā uz Latvijas Bankas padomes locekļu vai darbinieku skaitu revīzijas komitejas sastāvā norādāms, ka saskaņā ar likumprojektu revīzijas komiteja sastāv vismaz no trīs locekļiem, kuru vairākums ir neatkarīgi savu profesionālo pienākumu izpildē. Tas nozīmē, ka minimālais revīzijas komitejas locekļu skaits ir trīs, no kuriem vairākums ir neatkarīgi locekļi. Ja saskaņā ar Latvijas Bankas padomes lēmumu revīzijas komiteja sastāvēs no trīs locekļiem, tad vismaz diviem locekļiem būs jābūt neatkarīgiem savu profesionālo pienākumu izpildē. Ja revīzijas komiteja sastāvēs no četriem vai pieciem locekļiem, tad vismaz trim locekļiem būs jābūt neatkarīgiem savu profesionālo pienākumu izpildē, proti, tie nedrīkstēs būt Latvijas Bankas padomes loceklis vai darbinieks.  </w:t>
            </w:r>
          </w:p>
          <w:p w14:paraId="479AC8A9" w14:textId="77777777" w:rsidR="00C550E7" w:rsidRDefault="00C550E7">
            <w:pPr>
              <w:pStyle w:val="paragraph"/>
              <w:spacing w:before="0" w:beforeAutospacing="0" w:after="0" w:afterAutospacing="0" w:line="256" w:lineRule="auto"/>
              <w:jc w:val="both"/>
              <w:textAlignment w:val="baseline"/>
              <w:rPr>
                <w:lang w:eastAsia="en-US"/>
              </w:rPr>
            </w:pPr>
          </w:p>
          <w:p w14:paraId="1810C8CC" w14:textId="26B32B77" w:rsidR="00C550E7" w:rsidRDefault="00C550E7">
            <w:pPr>
              <w:pStyle w:val="paragraph"/>
              <w:shd w:val="clear" w:color="auto" w:fill="FFFFFF"/>
              <w:spacing w:before="0" w:beforeAutospacing="0" w:after="0" w:afterAutospacing="0" w:line="256" w:lineRule="auto"/>
              <w:jc w:val="both"/>
              <w:textAlignment w:val="baseline"/>
              <w:rPr>
                <w:rStyle w:val="normaltextrun"/>
              </w:rPr>
            </w:pPr>
            <w:r>
              <w:rPr>
                <w:rStyle w:val="normaltextrun"/>
                <w:lang w:eastAsia="en-US"/>
              </w:rPr>
              <w:t xml:space="preserve">Lai nodrošinātu vienmērīgāku pāreju uz pārvaldību vienā līmenī, likumprojekta 10.pantā ietvertais pārejas noteikumu 7.punkts paredz, ka visi Latvijas Bankas valdes apstiprinātie tiesību akti paliek spēkā līdz dienai, kad Latvijas Bankas padome tos izdod jaunā redakcijā. Atbilstoši likumam "Par Latvijas Banku", ievērojot Valsts pārvaldes iekārtas likuma regulējumu, Latvijas Bankas valde ir viens no Latvijas Bankas orgāniem, kura kompetencē ir </w:t>
            </w:r>
            <w:r>
              <w:rPr>
                <w:lang w:eastAsia="en-US"/>
              </w:rPr>
              <w:t xml:space="preserve">Latvijas Bankas ikdienas darba vadīšana, Latvijas Bankas padomes lēmumus. Īstenojot savu kompetenci, Latvijas Bankas valde </w:t>
            </w:r>
            <w:r>
              <w:rPr>
                <w:rStyle w:val="normaltextrun"/>
                <w:lang w:eastAsia="en-US"/>
              </w:rPr>
              <w:t xml:space="preserve">izdod iekšējos </w:t>
            </w:r>
            <w:r>
              <w:rPr>
                <w:rStyle w:val="normaltextrun"/>
                <w:lang w:eastAsia="en-US"/>
              </w:rPr>
              <w:lastRenderedPageBreak/>
              <w:t xml:space="preserve">normatīvos aktus un rīkojumus. Lai nodrošinātu vienmērīgāku pāreju uz pārvaldību vienā līmenī, neradītu pārrāvumu Latvijas Bankas darbības iekšējā regulējumā, kā arī izvairītos no šā regulējuma tehniska rakstura pārapstiprināšanas, tiesiskās noteiktības nolūkā nepieciešams noteikt, ka visi Latvijas Bankas valdes apstiprinātie tiesību akti paliek spēkā līdz dienai, kad Latvijas Bankas padome tos izdod jaunā redakcijā. </w:t>
            </w:r>
          </w:p>
          <w:p w14:paraId="56F405F0"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6A949B21" w14:textId="596F0027"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b/>
                <w:bCs/>
                <w:lang w:eastAsia="en-US"/>
              </w:rPr>
              <w:t>[2.]</w:t>
            </w:r>
            <w:r>
              <w:rPr>
                <w:rStyle w:val="normaltextrun"/>
                <w:lang w:eastAsia="en-US"/>
              </w:rPr>
              <w:t xml:space="preserve"> Lai nodrošinātu FKTK veiksmīgu pievienošanu Latvijas Bankai, likumprojekts paredz pārejas noteikumus </w:t>
            </w:r>
            <w:r>
              <w:rPr>
                <w:iCs/>
                <w:lang w:eastAsia="en-US"/>
              </w:rPr>
              <w:t>attiecībā uz FKTK pievienošanu Latvijas Bankai (ietverti likumprojekta 10.pantā noteiktajos pārejas noteikumu 8.-17.punktos)</w:t>
            </w:r>
            <w:r>
              <w:rPr>
                <w:rStyle w:val="normaltextrun"/>
                <w:lang w:eastAsia="en-US"/>
              </w:rPr>
              <w:t xml:space="preserve">. </w:t>
            </w:r>
          </w:p>
          <w:p w14:paraId="6210441C"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2511E16E" w14:textId="6502CA86" w:rsidR="00C550E7" w:rsidRDefault="00C550E7">
            <w:pPr>
              <w:pStyle w:val="paragraph"/>
              <w:spacing w:before="0" w:beforeAutospacing="0" w:after="0" w:afterAutospacing="0" w:line="256" w:lineRule="auto"/>
              <w:jc w:val="both"/>
              <w:textAlignment w:val="baseline"/>
            </w:pPr>
            <w:r>
              <w:rPr>
                <w:rStyle w:val="normaltextrun"/>
                <w:lang w:eastAsia="en-US"/>
              </w:rPr>
              <w:t xml:space="preserve">Likumprojekta </w:t>
            </w:r>
            <w:r>
              <w:rPr>
                <w:iCs/>
                <w:lang w:eastAsia="en-US"/>
              </w:rPr>
              <w:t>10.pantā ietvertais pārejas noteikumu 8. punkt</w:t>
            </w:r>
            <w:r>
              <w:rPr>
                <w:rStyle w:val="normaltextrun"/>
                <w:lang w:eastAsia="en-US"/>
              </w:rPr>
              <w:t>s paredz, ka Latvijas Bankas padome sadarbībā ar FKTK padomi izveido pievienošanas komisiju (turpmāk – Komisija), kurā tiek ietverti abu iestāžu (LB un FKTK) amatpersonas un darbinieki uz paritātes principa pamata (abu institūciju pārstāvji pārstāvēti vienādā skaitā, vienlaikus paredzot, ka Latvijas Bankas amatpersona vada šo komisiju, savukārt FKTK amatpersona ir komisijas vadītāja vietnieks), un</w:t>
            </w:r>
            <w:r>
              <w:rPr>
                <w:lang w:eastAsia="en-US"/>
              </w:rPr>
              <w:t xml:space="preserve"> šī Komisija būs tas forums, kas detalizēti risinās ar pievienošanu saistītos praktiskos jautājumus</w:t>
            </w:r>
            <w:r>
              <w:rPr>
                <w:rStyle w:val="normaltextrun"/>
                <w:lang w:eastAsia="en-US"/>
              </w:rPr>
              <w:t xml:space="preserve">. Šī pievienošanas komisija izstrādā un īsteno FKTK pievienošanas Latvijas Bankai plānu, ko ne vēlāk kā līdz 2022. gada martam pieņems Latvijas Bankas padome (likumprojekta 10.pantā ietvertais pārejas noteikumu 9.punkts) sadarbībā ar Finanšu un kapitāla tirgus komisijas padomi. </w:t>
            </w:r>
            <w:r>
              <w:rPr>
                <w:lang w:eastAsia="en-US"/>
              </w:rPr>
              <w:t xml:space="preserve"> </w:t>
            </w:r>
          </w:p>
          <w:p w14:paraId="3A020B15" w14:textId="77777777" w:rsidR="00C550E7" w:rsidRDefault="00C550E7">
            <w:pPr>
              <w:pStyle w:val="paragraph"/>
              <w:spacing w:before="0" w:beforeAutospacing="0" w:after="0" w:afterAutospacing="0" w:line="256" w:lineRule="auto"/>
              <w:jc w:val="both"/>
              <w:textAlignment w:val="baseline"/>
              <w:rPr>
                <w:rStyle w:val="normaltextrun"/>
              </w:rPr>
            </w:pPr>
          </w:p>
          <w:p w14:paraId="7B700176" w14:textId="6EBDA47A" w:rsidR="00C550E7" w:rsidRDefault="00C550E7">
            <w:pPr>
              <w:pStyle w:val="paragraph"/>
              <w:shd w:val="clear" w:color="auto" w:fill="FFFFFF"/>
              <w:spacing w:before="0" w:beforeAutospacing="0" w:after="0" w:afterAutospacing="0" w:line="256" w:lineRule="auto"/>
              <w:jc w:val="both"/>
              <w:textAlignment w:val="baseline"/>
              <w:rPr>
                <w:rStyle w:val="normaltextrun"/>
                <w:lang w:eastAsia="en-US"/>
              </w:rPr>
            </w:pPr>
            <w:r>
              <w:rPr>
                <w:rStyle w:val="normaltextrun"/>
                <w:lang w:eastAsia="en-US"/>
              </w:rPr>
              <w:t xml:space="preserve">Lai nodrošinātu FKTK veiksmīgu pievienošanu Latvijas Bankai, likumprojekta 10.pantā ietvertais pārejas noteikumu 12.punkts paredz, ka Latvijas Banka no 2022. gada 1. janvāra pārņem no FKTK tās funkcijas attiecībā uz sabiedrības finanšu pratības un ekonomikas zināšanu apguves veicināšanu. Sabiedrības finanšu pratības un ekonomikas zināšanu apguves veicināšanas uzdevuma pārņemšana no FKTK ar 2022. gada 1. janvāra veicinās raitāku un savlaicīgāku FKTK funkciju pārņemšanu, t.sk. attiecībā uz IT resursiem, kā arī novērsīs, ka vienu uzdevumu veic divas iestādes. Šobrīd minēto uzdevumu veic abas iestādes – gan FKTK, gan Latvijas Banka, cita starpā, katrai veidojot savu saturu un uzturot savas tematiskās interneta </w:t>
            </w:r>
            <w:r>
              <w:rPr>
                <w:rStyle w:val="normaltextrun"/>
                <w:lang w:eastAsia="en-US"/>
              </w:rPr>
              <w:lastRenderedPageBreak/>
              <w:t>mājaslapas. Ātrāka šīs funkcijas pārņemšana novērsīs to, ka abas institūcijas veic vienu uzdevumu, kā arī nodrošinās gan savlaicīgu cilvēkresursu integrāciju, gan IT resursu plānošanu un finanšu pratības satura integrāciju.</w:t>
            </w:r>
          </w:p>
          <w:p w14:paraId="12F50E18" w14:textId="67DD9864" w:rsidR="00C550E7" w:rsidRDefault="00C550E7">
            <w:pPr>
              <w:pStyle w:val="paragraph"/>
              <w:spacing w:before="0" w:beforeAutospacing="0" w:after="0" w:afterAutospacing="0" w:line="256" w:lineRule="auto"/>
              <w:jc w:val="both"/>
              <w:textAlignment w:val="baseline"/>
            </w:pPr>
            <w:r>
              <w:rPr>
                <w:rStyle w:val="normaltextrun"/>
                <w:lang w:eastAsia="en-US"/>
              </w:rPr>
              <w:t xml:space="preserve">Tāpat, lai nodrošinātu FKTK veiksmīgu pievienošanu Latvijas Bankai, likumprojekta 10.pantā ietvertais pārejas noteikumu 13.punkts paredz, ka Latvijas Banka, sākot ar 2021. gada 1. jūliju, var FKTK sniegt atbalsta funkcijas, FKTK atlīdzinot Latvijas Bankai ar minēto pakalpojumu sniegšanu saistītos izdevumus. To, kādus konkrēti atbalsta funkciju pakalpojumus un to izdevumu atlīdzināšanu, noteiks iestāžu sadarbības līgumā. </w:t>
            </w:r>
            <w:r>
              <w:rPr>
                <w:lang w:eastAsia="en-US"/>
              </w:rPr>
              <w:t>Šāda pieeja vienlaikus ļaus gan savlaicīgi integrēt šos procesus, neradot pārtraukumus to nodrošināšanā, gan pamatfunkcijas pildošajiem darbiniekiem savlaicīgi pielāgoties iespējamām nepieciešamajām izmaiņām (piemēram, saistībā ar IT risinājumiem), gan arī nodrošinās iespēju daļai FKTK atbalsta funkciju darbinieku turpināt darba attiecības ar Latvijas Banku.</w:t>
            </w:r>
          </w:p>
          <w:p w14:paraId="5E2A7CDE" w14:textId="77777777" w:rsidR="00C550E7" w:rsidRDefault="00C550E7">
            <w:pPr>
              <w:pStyle w:val="paragraph"/>
              <w:spacing w:before="0" w:beforeAutospacing="0" w:after="0" w:afterAutospacing="0" w:line="256" w:lineRule="auto"/>
              <w:jc w:val="both"/>
              <w:textAlignment w:val="baseline"/>
              <w:rPr>
                <w:rStyle w:val="normaltextrun"/>
              </w:rPr>
            </w:pPr>
            <w:r>
              <w:rPr>
                <w:rStyle w:val="normaltextrun"/>
                <w:lang w:eastAsia="en-US"/>
              </w:rPr>
              <w:t xml:space="preserve"> </w:t>
            </w:r>
          </w:p>
          <w:p w14:paraId="1F053BCC" w14:textId="5F95CD46" w:rsidR="00C550E7" w:rsidRDefault="00C550E7">
            <w:pPr>
              <w:jc w:val="both"/>
              <w:rPr>
                <w:rFonts w:ascii="Times New Roman" w:hAnsi="Times New Roman" w:cs="Times New Roman"/>
                <w:sz w:val="24"/>
                <w:szCs w:val="24"/>
              </w:rPr>
            </w:pPr>
            <w:r>
              <w:rPr>
                <w:rStyle w:val="normaltextrun"/>
                <w:rFonts w:ascii="Times New Roman" w:hAnsi="Times New Roman" w:cs="Times New Roman"/>
                <w:sz w:val="24"/>
                <w:szCs w:val="24"/>
              </w:rPr>
              <w:t xml:space="preserve">Attiecībā uz darbiniekiem pārejas noteikumi paredz, ka darbā Latvijas Bankā tiek pārņemti FKTK pamatfunkcijas īstenojošie darbinieki atbilstoši Komisijas noteiktajam sarakstam (pārejas noteikumu 14. punkts). </w:t>
            </w:r>
            <w:r>
              <w:rPr>
                <w:rFonts w:ascii="Times New Roman" w:hAnsi="Times New Roman" w:cs="Times New Roman"/>
                <w:sz w:val="24"/>
                <w:szCs w:val="24"/>
              </w:rPr>
              <w:t xml:space="preserve">Attiecībā uz FKTK pamatfunkcijām paskaidrojams, ka pašreiz spēkā esošā Finanšu un kapitāla tirgus komisijas likuma 6.pantā ir noteiktas FKTK pamatfunkcijas, kas koncentrētākā veidā iekļautas Latvijas Bankas likumprojekta 5.panta 1.daļas 4.-6.punktā, kā arī 17.punktā. Jau šobrīd gan Latvijas Banka, gan FKTK veic savu funkciju un tās izpildošā personālresursa klasificēšanu atbilstoši vienotai Eirosistēmas metodoloģijai, un atbilstoši kurai visas Latvijas Bankas un FKTK funkcijas pēc vienotiem principiem tiek iedalītas pamatfunkcijās un atbalsta funkcijās. Īstenojot likumprojekta 10. pantā ietvertā pārejas noteikumu 14. punktu, par pamatu tiks ņemts vērā minētais iestādes jau piemērotais funkciju sadalījums. Īstenojot FKTK pievienošanu Latvijas Bankai, ir būtiski nodrošināt abu institūciju darbības nepārtrauktību un funkciju īstenošanu efektīvākajā veidā, kas vienlaicīgi nozīmē FKTK pamatfunkciju nodrošināšanai nepieciešamo personāla resursu integrēšanu Latvijas Bankas struktūrā, </w:t>
            </w:r>
            <w:r>
              <w:rPr>
                <w:rFonts w:ascii="Times New Roman" w:hAnsi="Times New Roman" w:cs="Times New Roman"/>
                <w:sz w:val="24"/>
                <w:szCs w:val="24"/>
              </w:rPr>
              <w:lastRenderedPageBreak/>
              <w:t>īstenojot  darbinieku funkcionālo pakļautību atbilstoši Latvijas Bankas struktūrai un procesiem.</w:t>
            </w:r>
          </w:p>
          <w:p w14:paraId="26D3D136" w14:textId="39589BEF" w:rsidR="00C550E7" w:rsidRDefault="00C550E7">
            <w:pPr>
              <w:pStyle w:val="paragraph"/>
              <w:spacing w:before="0" w:beforeAutospacing="0" w:after="0" w:afterAutospacing="0" w:line="256" w:lineRule="auto"/>
              <w:jc w:val="both"/>
              <w:textAlignment w:val="baseline"/>
              <w:rPr>
                <w:lang w:eastAsia="en-US"/>
              </w:rPr>
            </w:pPr>
            <w:r>
              <w:rPr>
                <w:lang w:eastAsia="en-US"/>
              </w:rPr>
              <w:t>Attiecībā uz FKTK pamatfunkciju īstenojošo darbinieku pārņemšanu paskaidrojams, ka ir būtiski nodrošināt FKTK kritisko kompetenču iespējami netraucētu pārnesi un tās pamatfunkciju nepārtrauktu izpildi. Tā kā FKTK pievienošanas procesā nav iespējams nodrošināt iestādes esošo struktūrvienību un amatu nosaukumu integrēšanu Latvijas Bankas struktūrā bez pārmaiņām, Komisija sagatavos priekšlikumus FKTK pamatfunkciju turpmākai nodrošināšanai nepieciešamo personālresursu integrēšanai Latvijas Bankas struktūrā un sagatavos pamatfunkcijas īstenojošo darbinieku sarakstu, kuri tiek pārcelti darbā Latvijas Bankā (likumprojekta 10.pantā ietverto pārejas noteikumu 8., 9.un 14.punkts). Komisija šo sarakstu sagatavos atbilstoši pievienošanas plānā noteiktajiem principiem. Paredzēts, ka pievienošanas plānā viens no būtiskajiem principiem būs, ka Komisija pārskata pamatfunkciju īstenojošā personālresursa klasificēšanu atbilstoši vienotai Eirosistēmas metodoloģijai. Šiem darbiniekiem tiks piedāvāts noslēgt darba līgumus ar Latvijas Banku saskaņā ar jauno Latvijas Bankas struktūru un amata vietām, darbiniekiem nosakot darba algu atbilstoši Latvijas Bankas atlīdzības sistēmai, bet ne mazāku par to, kāda tā bija noteikta FKTK, pārņemot šo darbinieku darba stāža ilgumu FKTK un neizmantoto ikgadējo atvaļinājumu un papildatvaļinājumu (likumprojekta 10.pantā ietverto pārejas noteikumu 15.punkts). Tā kā darba līgums ir pušu savstarpēja vienošanās, tad nav izslēdzama situācija, ka kāds no pamatfunkciju darbiniekiem nepiekrīt turpināt darba attiecības. Jebkurā gadījumā darba attiecību izbeigšana tiks īstenota, ievērojot Darba likuma prasības.</w:t>
            </w:r>
          </w:p>
          <w:p w14:paraId="270DBEC3" w14:textId="77777777" w:rsidR="00C550E7" w:rsidRDefault="00C550E7">
            <w:pPr>
              <w:pStyle w:val="paragraph"/>
              <w:spacing w:before="0" w:beforeAutospacing="0" w:after="0" w:afterAutospacing="0" w:line="256" w:lineRule="auto"/>
              <w:jc w:val="both"/>
              <w:textAlignment w:val="baseline"/>
              <w:rPr>
                <w:lang w:eastAsia="en-US"/>
              </w:rPr>
            </w:pPr>
          </w:p>
          <w:p w14:paraId="555C16E1" w14:textId="77777777" w:rsidR="00C550E7" w:rsidRDefault="00C550E7">
            <w:pPr>
              <w:pStyle w:val="paragraph"/>
              <w:spacing w:before="0" w:beforeAutospacing="0" w:after="0" w:afterAutospacing="0" w:line="256" w:lineRule="auto"/>
              <w:jc w:val="both"/>
              <w:textAlignment w:val="baseline"/>
              <w:rPr>
                <w:lang w:eastAsia="en-US"/>
              </w:rPr>
            </w:pPr>
            <w:r>
              <w:rPr>
                <w:lang w:eastAsia="en-US"/>
              </w:rPr>
              <w:t xml:space="preserve">Plānots, ka Komisija sagatavos priekšlikumus FKTK pamatfunkciju nodrošināšanai nepieciešamo personāla resursu integrēšanai Latvijas Bankā. Ņemot vērā plānotās pārmaiņas, t.sk. Latvijas Bankas struktūrā, jo nepārtraukti turpinās darbs pie efektivitātes paaugstināšanas, nepieciešams nodrošināt pārdomātu un efektīvu FKTK komisijas pamatfunkciju īstenojošo darbinieku integrāciju Latvijas Bankā atbilstoši Latvijas Bankas struktūrai un procesiem. </w:t>
            </w:r>
          </w:p>
          <w:p w14:paraId="48E69FFD" w14:textId="77777777" w:rsidR="00C550E7" w:rsidRDefault="00C550E7">
            <w:pPr>
              <w:pStyle w:val="paragraph"/>
              <w:spacing w:before="0" w:beforeAutospacing="0" w:after="0" w:afterAutospacing="0" w:line="256" w:lineRule="auto"/>
              <w:jc w:val="both"/>
              <w:textAlignment w:val="baseline"/>
              <w:rPr>
                <w:lang w:eastAsia="en-US"/>
              </w:rPr>
            </w:pPr>
          </w:p>
          <w:p w14:paraId="5294761D" w14:textId="77777777" w:rsidR="00C550E7" w:rsidRDefault="00C550E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Latvijas Bankas struktūru atbilstoši likumam "Par Latvijas Banku" apstiprinās Latvijas Bankas padome, vienlaikus struktūras izstrāde attiecībā uz uzraudzības un noregulējuma, kā arī kompensāciju izmaksas sistēmu nodrošināšanu tiks īstenota ciešā sadarbībā ar FKTK. </w:t>
            </w:r>
          </w:p>
          <w:p w14:paraId="24842222" w14:textId="77777777" w:rsidR="00C550E7" w:rsidRDefault="00C550E7">
            <w:pPr>
              <w:spacing w:after="0"/>
              <w:jc w:val="both"/>
              <w:rPr>
                <w:rFonts w:ascii="Times New Roman" w:hAnsi="Times New Roman" w:cs="Times New Roman"/>
                <w:sz w:val="24"/>
                <w:szCs w:val="24"/>
              </w:rPr>
            </w:pPr>
          </w:p>
          <w:p w14:paraId="7C1E45E5" w14:textId="0A07A649" w:rsidR="00C550E7" w:rsidRDefault="00C550E7">
            <w:pPr>
              <w:spacing w:after="0"/>
              <w:jc w:val="both"/>
              <w:rPr>
                <w:rFonts w:ascii="Times New Roman" w:hAnsi="Times New Roman"/>
                <w:sz w:val="24"/>
                <w:szCs w:val="24"/>
              </w:rPr>
            </w:pPr>
            <w:r>
              <w:rPr>
                <w:rFonts w:ascii="Times New Roman" w:hAnsi="Times New Roman" w:cs="Times New Roman"/>
                <w:sz w:val="24"/>
                <w:szCs w:val="24"/>
              </w:rPr>
              <w:t xml:space="preserve">Lai veicinātu kritisko kompetenču iespējami netraucētu pārnesi un nodrošinātu darbības nepārtrauktību, būtiski svarīga ir darba samaksas līmeņu integrēšana. </w:t>
            </w:r>
            <w:r>
              <w:rPr>
                <w:rFonts w:ascii="Times New Roman" w:hAnsi="Times New Roman"/>
                <w:sz w:val="24"/>
                <w:szCs w:val="24"/>
              </w:rPr>
              <w:t xml:space="preserve">Plānots, ka Komisija sagatavos FKTK pamatfunkcijas īstenojošo darbinieku sarakstu, kuri tiek pārcelti darbā Latvijas Bankā, saskaņā ar jauno Latvijas Bankas struktūru un amata vietām (likumprojekta 10.pantā ietverto pārejas noteikumu 8., 9.un 14.punkts). Šiem darbiniekiem tiks piedāvāts noslēgt darba līgumus ar Latvijas Banku, darbiniekiem </w:t>
            </w:r>
            <w:r>
              <w:rPr>
                <w:rFonts w:ascii="Times New Roman" w:hAnsi="Times New Roman" w:cs="Times New Roman"/>
                <w:sz w:val="24"/>
                <w:szCs w:val="24"/>
              </w:rPr>
              <w:t xml:space="preserve">darba algu nosakot atbilstoši Latvijas Bankas atlīdzības sistēmai, bet ne zemāku kā </w:t>
            </w:r>
            <w:r>
              <w:rPr>
                <w:rFonts w:ascii="Times New Roman" w:hAnsi="Times New Roman"/>
                <w:sz w:val="24"/>
                <w:szCs w:val="24"/>
              </w:rPr>
              <w:t>FKTK noteikto darba algu</w:t>
            </w:r>
            <w:r>
              <w:rPr>
                <w:rFonts w:ascii="Times New Roman" w:hAnsi="Times New Roman" w:cs="Times New Roman"/>
                <w:sz w:val="24"/>
                <w:szCs w:val="24"/>
              </w:rPr>
              <w:t>.  Tāpat tiks pārņemt</w:t>
            </w:r>
            <w:r>
              <w:rPr>
                <w:rFonts w:ascii="Times New Roman" w:hAnsi="Times New Roman"/>
                <w:sz w:val="24"/>
                <w:szCs w:val="24"/>
              </w:rPr>
              <w:t>s šo darbinieku darba stāža ilgums FKTK un neizmantotie ikgadējie atvaļinājumi un papildatvaļinājumi (likumprojekta 10.pantā ietverto pārejas noteikumu 15.punkts).</w:t>
            </w:r>
          </w:p>
          <w:p w14:paraId="306C5056" w14:textId="77777777" w:rsidR="00C550E7" w:rsidRDefault="00C550E7">
            <w:pPr>
              <w:spacing w:after="0"/>
              <w:jc w:val="both"/>
              <w:rPr>
                <w:rFonts w:ascii="Times New Roman" w:hAnsi="Times New Roman" w:cs="Times New Roman"/>
                <w:sz w:val="24"/>
                <w:szCs w:val="24"/>
              </w:rPr>
            </w:pPr>
          </w:p>
          <w:p w14:paraId="4652CDAE" w14:textId="77777777" w:rsidR="00C550E7" w:rsidRDefault="00C550E7">
            <w:pPr>
              <w:tabs>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Attiecībā uz darba algas jautājumu norādāms, ka Latvijas Bankā katra amata vieta tiek vērtēta, nosakot amata vietas vērtību punktos atbilstoši katram amatam izvirzītajām izglītības un speciālo zināšanu, darba rakstura un atbildības prasībām. Amata vērtēšanā iegūtais punktu skaits nosaka amata vietas atrašanos atbilstošā algas līmenī, kurā tiek apvienoti amati ar līdzvērtīgu punktu skaitu. Tas nodrošina, ka darbiniekiem, kas veic vienādu vai vienādas vērtības darbu tiek nodrošināts līdzvērtīgs atalgojums ar tajā pašā algu līmenī esošā amata atalgojumu. Integrējot Finanšu un kapitāla tirgus komisijas pamatfunkciju veicošos amatus Latvijas Bankas struktūrā, tiks vērtēta katra jaunā amata vieta atbilstoši amata vietas vērtēšanas metodikai un noteikta tās atrašanās atbilstošajā algas līmenī, tā nodrošinot, ka esošās Latvijas Bankas amata vietas un ar Finanšu un kapitāla tirgus komisijas pamatfunkciju nodrošināšanu saistītās amata vietas ir savstarpēji salīdzināmas, kā arī tiks plānoti nepieciešamie finanšu līdzekļi, lai amata vietām noteiktais atalgojums būtu līdzvērtīgs. Vienlaikus likumprojektā paredzēts, ka FKTK darbiniekiem, turpinot darbu Latvijas Bankā, darba alga netiks </w:t>
            </w:r>
            <w:r>
              <w:rPr>
                <w:rFonts w:ascii="Times New Roman" w:hAnsi="Times New Roman" w:cs="Times New Roman"/>
                <w:sz w:val="24"/>
                <w:szCs w:val="24"/>
              </w:rPr>
              <w:lastRenderedPageBreak/>
              <w:t xml:space="preserve">noteikta zemāka nekā tā, kas bija noteikta FKTK. Amatu vietu vērtēšanu veiks Komisija. </w:t>
            </w:r>
          </w:p>
          <w:p w14:paraId="71A96F43" w14:textId="77777777" w:rsidR="00C550E7" w:rsidRDefault="00C550E7">
            <w:pPr>
              <w:pStyle w:val="paragraph"/>
              <w:spacing w:before="0" w:beforeAutospacing="0" w:after="0" w:afterAutospacing="0" w:line="256" w:lineRule="auto"/>
              <w:jc w:val="both"/>
              <w:textAlignment w:val="baseline"/>
              <w:rPr>
                <w:lang w:eastAsia="en-US"/>
              </w:rPr>
            </w:pPr>
          </w:p>
          <w:p w14:paraId="0C1E627E" w14:textId="77777777" w:rsidR="00C550E7" w:rsidRDefault="00C550E7">
            <w:pPr>
              <w:pStyle w:val="paragraph"/>
              <w:spacing w:before="0" w:beforeAutospacing="0" w:after="0" w:afterAutospacing="0" w:line="256" w:lineRule="auto"/>
              <w:jc w:val="both"/>
              <w:textAlignment w:val="baseline"/>
              <w:rPr>
                <w:lang w:eastAsia="en-US"/>
              </w:rPr>
            </w:pPr>
            <w:r>
              <w:rPr>
                <w:lang w:eastAsia="en-US"/>
              </w:rPr>
              <w:t xml:space="preserve">Pēc FKTK pievienošanas Latvijas Bankas padomē būs divi padomes locekļi (viens no tiem – Latvijas Bankas prezidenta vietnieks), kuru amata pienākumi būs visciešāk saistīti ar uzraudzības jomu; šīs amatpersonas būs arī Latvijas Bankas uzraudzības komitejas locekļi. Ar mērķi nodrošināt FKTK funkciju kvalitatīvu izpildi, plānots visiem FKTK padomes locekļiem piedāvāt iespējas turpmākai profesionālajai darbībai Latvijas Bankā. </w:t>
            </w:r>
          </w:p>
          <w:p w14:paraId="04B526B6" w14:textId="77777777" w:rsidR="00C550E7" w:rsidRDefault="00C550E7">
            <w:pPr>
              <w:pStyle w:val="paragraph"/>
              <w:spacing w:before="0" w:beforeAutospacing="0" w:after="0" w:afterAutospacing="0" w:line="256" w:lineRule="auto"/>
              <w:jc w:val="both"/>
              <w:textAlignment w:val="baseline"/>
              <w:rPr>
                <w:rStyle w:val="normaltextrun"/>
              </w:rPr>
            </w:pPr>
          </w:p>
          <w:p w14:paraId="349ACAAA" w14:textId="52CFE939" w:rsidR="00C550E7" w:rsidRDefault="00C550E7">
            <w:pPr>
              <w:pStyle w:val="paragraph"/>
              <w:spacing w:before="0" w:beforeAutospacing="0" w:after="0" w:afterAutospacing="0" w:line="256" w:lineRule="auto"/>
              <w:jc w:val="both"/>
              <w:textAlignment w:val="baseline"/>
              <w:rPr>
                <w:rStyle w:val="normaltextrun"/>
                <w:lang w:eastAsia="en-US"/>
              </w:rPr>
            </w:pPr>
            <w:r>
              <w:rPr>
                <w:rStyle w:val="normaltextrun"/>
                <w:lang w:eastAsia="en-US"/>
              </w:rPr>
              <w:t xml:space="preserve">Tāpat pārejos noteikumos paredzēts, ka katra iestāde sedz savus izdevumus, kas tai rodas saistībā ar šo procesu (likumprojekta 10.pantā ietvertais pārejas noteikumu 16.punkts). </w:t>
            </w:r>
          </w:p>
          <w:p w14:paraId="315DBE97" w14:textId="77777777" w:rsidR="00C550E7" w:rsidRDefault="00C550E7">
            <w:pPr>
              <w:pStyle w:val="paragraph"/>
              <w:spacing w:before="0" w:beforeAutospacing="0" w:after="0" w:afterAutospacing="0" w:line="256" w:lineRule="auto"/>
              <w:jc w:val="both"/>
              <w:textAlignment w:val="baseline"/>
              <w:rPr>
                <w:rStyle w:val="normaltextrun"/>
                <w:lang w:eastAsia="en-US"/>
              </w:rPr>
            </w:pPr>
          </w:p>
          <w:p w14:paraId="746570BB" w14:textId="0D331DEE" w:rsidR="00C550E7" w:rsidRDefault="00C550E7">
            <w:pPr>
              <w:pStyle w:val="paragraph"/>
              <w:spacing w:before="0" w:beforeAutospacing="0" w:after="0" w:afterAutospacing="0" w:line="256" w:lineRule="auto"/>
              <w:jc w:val="both"/>
              <w:textAlignment w:val="baseline"/>
            </w:pPr>
            <w:r>
              <w:rPr>
                <w:rStyle w:val="normaltextrun"/>
                <w:lang w:eastAsia="en-US"/>
              </w:rPr>
              <w:t xml:space="preserve">Saskaņā ar Finanšu un kapitāla tirgus komisijas likumu ir izveidota FKTK konsultatīvā finanšu un kapitāla tirgus padome, kurā piedalās FKTK pārstāvji un FKTK uzraudzīto finanšu tirgus dalībnieku profesionālo biedrību vadītāji. Jautājumi, kas ir šīs padomes kompetencē, ir noteikti Finanšu un kapitāla tirgus komisijas likumā. Nodrošinot FKTK konsultatīvā finanšu un kapitāla tirgus padomes iesaisti un līdzdalību tās kompetencē esošajos jautājumos pārejas periodā līdz 2023. gada janvārim, </w:t>
            </w:r>
            <w:r>
              <w:rPr>
                <w:lang w:eastAsia="en-US"/>
              </w:rPr>
              <w:t xml:space="preserve">likumprojekta </w:t>
            </w:r>
            <w:r>
              <w:rPr>
                <w:rStyle w:val="normaltextrun"/>
                <w:lang w:eastAsia="en-US"/>
              </w:rPr>
              <w:t xml:space="preserve">pārejas noteikumu 17.punkts nosaka, ka Latvijas Banka, līdz 2023. gada 1. janvārim izlemjot  jautājumus, kas attiecas uz periodu, sākot ar 2023.gada 1.janvāri, konsultējas ar FKTK konsultatīvo padomi, ja attiecīgais jautājums skar konsultatīvās padomes kompetenci. Tā, piemēram, atbilstoši likumam FKTK konsultatīvās padomes uzdevums ir </w:t>
            </w:r>
            <w:r>
              <w:rPr>
                <w:lang w:eastAsia="en-US"/>
              </w:rPr>
              <w:t>iepazīties ar Komisijas gada budžeta projektu un dot savu vērtējumu par to;</w:t>
            </w:r>
            <w:r>
              <w:rPr>
                <w:rStyle w:val="normaltextrun"/>
                <w:lang w:eastAsia="en-US"/>
              </w:rPr>
              <w:t xml:space="preserve"> uzraudzības maksājumi 2023. gadam būs nosakāmi jau 2022.gadā. Tā kā attiecībā uz 2023.gadu šie maksājumi tiks aprēķināti, </w:t>
            </w:r>
            <w:r>
              <w:rPr>
                <w:lang w:eastAsia="en-US"/>
              </w:rPr>
              <w:t xml:space="preserve">lai segtu Latvijas Bankas izdevumus, kas tieši vai netieši saistīti ar finanšu tirgus un tā dalībnieku darbības regulēšanu un uzraudzību, noregulējuma piemērošanu un kompensāciju izmaksas sistēmu nodrošināšanu, tad jautājuma par 2023.gada maksām izlemšanai būs nepieciešama cieša FKTK un Latvijas Bankas sadarbība, kā arī Latvijas Bankai būtu nepieciešams par šādiem jautājumiem konsultēties ar FKTK konsultatīvo padomi. Tāpat, piemēram, Latvijas </w:t>
            </w:r>
            <w:r>
              <w:rPr>
                <w:lang w:eastAsia="en-US"/>
              </w:rPr>
              <w:lastRenderedPageBreak/>
              <w:t>Bankas 2023. gada statistikas programmā, kas tiks apstiprināta 2022.gada nogalē, būs ietverami statistikas uzdevumi, kas veicami saistībā ar finanšu tirgus un tā dalībnieku uzraudzību. Arī attiecībā uz statistikas programmām saistībā ar uzraudzības statistikas jautājumiem plānota konsultēšanās ar FKTK konsultatīvo padomi.</w:t>
            </w:r>
          </w:p>
        </w:tc>
      </w:tr>
      <w:tr w:rsidR="00C550E7" w14:paraId="094FE0D2"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1E7FE"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EDF3D6"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7B01630" w14:textId="77777777" w:rsidR="00C550E7" w:rsidRDefault="00C550E7">
            <w:pPr>
              <w:pStyle w:val="paragraph"/>
              <w:spacing w:before="0" w:beforeAutospacing="0" w:after="0" w:afterAutospacing="0" w:line="256" w:lineRule="auto"/>
              <w:jc w:val="both"/>
              <w:textAlignment w:val="baseline"/>
              <w:rPr>
                <w:iCs/>
                <w:lang w:eastAsia="en-US"/>
              </w:rPr>
            </w:pPr>
            <w:r>
              <w:rPr>
                <w:rStyle w:val="normaltextrun"/>
                <w:lang w:eastAsia="en-US"/>
              </w:rPr>
              <w:t>Finanšu ministrija, Latvijas Banka, FKTK</w:t>
            </w:r>
          </w:p>
        </w:tc>
      </w:tr>
      <w:tr w:rsidR="00C550E7" w14:paraId="67812767"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70804D"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F6E3A9"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88B47F" w14:textId="77777777" w:rsidR="00C550E7" w:rsidRDefault="00C550E7">
            <w:pPr>
              <w:spacing w:after="0" w:line="240" w:lineRule="auto"/>
              <w:rPr>
                <w:rFonts w:ascii="Times New Roman" w:eastAsia="Times New Roman" w:hAnsi="Times New Roman" w:cs="Times New Roman"/>
                <w:iCs/>
                <w:sz w:val="24"/>
                <w:szCs w:val="24"/>
                <w:lang w:eastAsia="lv-LV"/>
              </w:rPr>
            </w:pPr>
            <w:r>
              <w:rPr>
                <w:rStyle w:val="normaltextrun"/>
                <w:rFonts w:ascii="Times New Roman" w:hAnsi="Times New Roman" w:cs="Times New Roman"/>
                <w:sz w:val="24"/>
                <w:szCs w:val="24"/>
                <w:bdr w:val="none" w:sz="0" w:space="0" w:color="auto" w:frame="1"/>
              </w:rPr>
              <w:t>Nav</w:t>
            </w:r>
          </w:p>
        </w:tc>
      </w:tr>
    </w:tbl>
    <w:p w14:paraId="60D18E41" w14:textId="77777777" w:rsidR="00C550E7" w:rsidRDefault="00C550E7" w:rsidP="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50E7" w14:paraId="7DCD16C0" w14:textId="77777777" w:rsidTr="00C550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4B4CC5"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50E7" w14:paraId="106DE22E"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EEC740"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5EB3B2"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A209E83" w14:textId="77777777" w:rsidR="00C550E7" w:rsidRDefault="00C550E7">
            <w:pPr>
              <w:pStyle w:val="paragraph"/>
              <w:spacing w:before="0" w:beforeAutospacing="0" w:after="0" w:afterAutospacing="0" w:line="256" w:lineRule="auto"/>
              <w:jc w:val="both"/>
              <w:textAlignment w:val="baseline"/>
              <w:rPr>
                <w:iCs/>
                <w:lang w:eastAsia="en-US"/>
              </w:rPr>
            </w:pPr>
            <w:r>
              <w:rPr>
                <w:rStyle w:val="normaltextrun"/>
                <w:lang w:eastAsia="en-US"/>
              </w:rPr>
              <w:t>Latvijas Banka un FKTK, FKTK amatpersonas un darbinieki</w:t>
            </w:r>
          </w:p>
        </w:tc>
      </w:tr>
      <w:tr w:rsidR="00C550E7" w14:paraId="36C50532"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8AC956"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5AE527"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15B4C7" w14:textId="77777777" w:rsidR="00C550E7" w:rsidRDefault="00C550E7">
            <w:pPr>
              <w:pStyle w:val="paragraph"/>
              <w:spacing w:before="0" w:beforeAutospacing="0" w:after="0" w:afterAutospacing="0" w:line="256" w:lineRule="auto"/>
              <w:jc w:val="both"/>
              <w:textAlignment w:val="baseline"/>
              <w:rPr>
                <w:iCs/>
                <w:lang w:eastAsia="en-US"/>
              </w:rPr>
            </w:pPr>
            <w:r>
              <w:rPr>
                <w:rStyle w:val="normaltextrun"/>
                <w:lang w:eastAsia="en-US"/>
              </w:rPr>
              <w:t>Administratīvais slogs nemainās, jo Likumprojekts pēc būtības neietekmē privātpersonu tiesības un pienākumus.</w:t>
            </w:r>
          </w:p>
        </w:tc>
      </w:tr>
      <w:tr w:rsidR="00C550E7" w14:paraId="215836C4"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5186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629A5"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586CF0" w14:textId="77777777" w:rsidR="00C550E7" w:rsidRDefault="00C550E7">
            <w:pPr>
              <w:pStyle w:val="paragraph"/>
              <w:spacing w:before="0" w:beforeAutospacing="0" w:after="0" w:afterAutospacing="0" w:line="256" w:lineRule="auto"/>
              <w:jc w:val="both"/>
              <w:textAlignment w:val="baseline"/>
              <w:rPr>
                <w:lang w:eastAsia="en-US"/>
              </w:rPr>
            </w:pPr>
            <w:r>
              <w:rPr>
                <w:color w:val="000000" w:themeColor="text1"/>
                <w:lang w:eastAsia="en-US"/>
              </w:rPr>
              <w:t>2020. gada 20. maija izvērtējumā par FKTK pievienošanu Latvijas Bankai iekļauta informācija par FKTK pievienošanas Latvijas Bankai finansiālās ietekmes novērtējumu. Ar Likumprojekta īstenošanu saistītās izmaksas nav novērtējamas atrauti no kopējā FKTK pievienošanas Latvijas Bankai finansiālās ietekmes novērtējuma.</w:t>
            </w:r>
          </w:p>
        </w:tc>
      </w:tr>
      <w:tr w:rsidR="00C550E7" w14:paraId="7EC95AF1"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39AF2E"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02577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4E275AF" w14:textId="77777777" w:rsidR="00C550E7" w:rsidRDefault="00C550E7">
            <w:pPr>
              <w:pStyle w:val="paragraph"/>
              <w:spacing w:before="0" w:beforeAutospacing="0" w:after="0" w:afterAutospacing="0" w:line="256" w:lineRule="auto"/>
              <w:jc w:val="both"/>
              <w:textAlignment w:val="baseline"/>
              <w:rPr>
                <w:iCs/>
                <w:lang w:eastAsia="en-US"/>
              </w:rPr>
            </w:pPr>
            <w:r>
              <w:rPr>
                <w:rStyle w:val="normaltextrun"/>
                <w:lang w:eastAsia="en-US"/>
              </w:rPr>
              <w:t>Nav attiecināms</w:t>
            </w:r>
          </w:p>
        </w:tc>
      </w:tr>
      <w:tr w:rsidR="00C550E7" w14:paraId="023E451D"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2BB60"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CB140A"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CC8605" w14:textId="77777777" w:rsidR="00C550E7" w:rsidRDefault="00C550E7">
            <w:pPr>
              <w:pStyle w:val="paragraph"/>
              <w:spacing w:before="0" w:beforeAutospacing="0" w:after="0" w:afterAutospacing="0" w:line="256" w:lineRule="auto"/>
              <w:jc w:val="both"/>
              <w:rPr>
                <w:rStyle w:val="normaltextrun"/>
                <w:lang w:eastAsia="en-US"/>
              </w:rPr>
            </w:pPr>
            <w:r>
              <w:rPr>
                <w:rStyle w:val="normaltextrun"/>
                <w:lang w:eastAsia="en-US"/>
              </w:rPr>
              <w:t>Nav</w:t>
            </w:r>
          </w:p>
        </w:tc>
      </w:tr>
    </w:tbl>
    <w:p w14:paraId="29EE0E1A" w14:textId="77777777" w:rsidR="00C550E7" w:rsidRDefault="00C550E7" w:rsidP="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64"/>
      </w:tblGrid>
      <w:tr w:rsidR="00C550E7" w14:paraId="08B551FE" w14:textId="77777777" w:rsidTr="00C550E7">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9FC780" w14:textId="77777777" w:rsidR="00C550E7" w:rsidRDefault="00C550E7">
            <w:pPr>
              <w:spacing w:after="0" w:line="240" w:lineRule="auto"/>
              <w:jc w:val="center"/>
              <w:rPr>
                <w:rFonts w:ascii="Calibri" w:eastAsia="Times New Roman" w:hAnsi="Calibri" w:cs="Calibri"/>
                <w:lang w:eastAsia="lv-LV"/>
              </w:rPr>
            </w:pPr>
            <w:r>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C550E7" w14:paraId="2AAFC527" w14:textId="77777777" w:rsidTr="00C550E7">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17449B" w14:textId="77777777" w:rsidR="00C550E7" w:rsidRDefault="00C550E7">
            <w:pPr>
              <w:spacing w:after="0" w:line="240" w:lineRule="auto"/>
              <w:jc w:val="center"/>
              <w:rPr>
                <w:rFonts w:ascii="Calibri" w:eastAsia="Times New Roman" w:hAnsi="Calibri" w:cs="Calibri"/>
                <w:lang w:eastAsia="lv-LV"/>
              </w:rPr>
            </w:pPr>
            <w:r>
              <w:rPr>
                <w:rFonts w:ascii="Times New Roman" w:eastAsia="Times New Roman" w:hAnsi="Times New Roman" w:cs="Times New Roman"/>
                <w:spacing w:val="-2"/>
                <w:sz w:val="24"/>
                <w:szCs w:val="24"/>
                <w:lang w:eastAsia="lv-LV"/>
              </w:rPr>
              <w:t>Likumprojekts šo jomu neskar.</w:t>
            </w:r>
          </w:p>
        </w:tc>
      </w:tr>
    </w:tbl>
    <w:p w14:paraId="342B30A7" w14:textId="77777777" w:rsidR="00C550E7" w:rsidRDefault="00C550E7" w:rsidP="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682"/>
      </w:tblGrid>
      <w:tr w:rsidR="00C550E7" w14:paraId="3B5F4C3B" w14:textId="77777777" w:rsidTr="00C550E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F63515" w14:textId="77777777" w:rsidR="00C550E7" w:rsidRDefault="00C550E7">
            <w:pPr>
              <w:spacing w:after="0" w:line="240" w:lineRule="auto"/>
              <w:jc w:val="center"/>
              <w:rPr>
                <w:rFonts w:ascii="Calibri" w:eastAsia="Times New Roman" w:hAnsi="Calibri" w:cs="Calibri"/>
                <w:lang w:eastAsia="lv-LV"/>
              </w:rPr>
            </w:pPr>
            <w:r>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C550E7" w14:paraId="137AD52D" w14:textId="77777777" w:rsidTr="00C550E7">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FC58F6"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1.</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EDB3ED"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Saistītie tiesību aktu projekti</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21C6DC8" w14:textId="77777777" w:rsidR="00C550E7" w:rsidRDefault="00C550E7">
            <w:p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Likumprojekts virzāms vienlaicīgi ar:</w:t>
            </w:r>
          </w:p>
          <w:p w14:paraId="07AC4D9A" w14:textId="77777777" w:rsidR="00C550E7" w:rsidRDefault="00C550E7">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pacing w:val="-2"/>
                <w:sz w:val="24"/>
                <w:szCs w:val="24"/>
                <w:lang w:eastAsia="lv-LV"/>
              </w:rPr>
              <w:t>1) likumprojektu </w:t>
            </w:r>
            <w:r>
              <w:rPr>
                <w:rFonts w:ascii="Times New Roman" w:hAnsi="Times New Roman" w:cs="Times New Roman"/>
                <w:sz w:val="24"/>
                <w:szCs w:val="24"/>
                <w:shd w:val="clear" w:color="auto" w:fill="FFFFFF"/>
              </w:rPr>
              <w:t>"</w:t>
            </w:r>
            <w:r>
              <w:rPr>
                <w:rFonts w:ascii="Times New Roman" w:eastAsia="Times New Roman" w:hAnsi="Times New Roman" w:cs="Times New Roman"/>
                <w:spacing w:val="-2"/>
                <w:sz w:val="24"/>
                <w:szCs w:val="24"/>
                <w:shd w:val="clear" w:color="auto" w:fill="FFFFFF"/>
                <w:lang w:eastAsia="lv-LV"/>
              </w:rPr>
              <w:t>Latvijas Bankas likums</w:t>
            </w:r>
            <w:r>
              <w:rPr>
                <w:rFonts w:ascii="Times New Roman" w:hAnsi="Times New Roman" w:cs="Times New Roman"/>
                <w:sz w:val="24"/>
                <w:szCs w:val="24"/>
                <w:shd w:val="clear" w:color="auto" w:fill="FFFFFF"/>
              </w:rPr>
              <w:t>";</w:t>
            </w:r>
          </w:p>
          <w:p w14:paraId="7829CC68" w14:textId="77777777" w:rsidR="00C550E7" w:rsidRDefault="00C550E7">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2) likumprojekts "Grozījumi Finanšu un kapitāla tirgus komisijas likumā";</w:t>
            </w:r>
          </w:p>
          <w:p w14:paraId="7693AC36" w14:textId="77777777" w:rsidR="00C550E7" w:rsidRDefault="00C550E7">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3) likumprojektu "Grozījumi Alternatīvo ieguldījumu fondu un to pārvaldnieku likumā"; </w:t>
            </w:r>
          </w:p>
          <w:p w14:paraId="1A428C54"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4) likumprojektu "Grozījumi Apdrošināšanas un pārapdrošināšanas izplatīšanas likumā"; </w:t>
            </w:r>
          </w:p>
          <w:p w14:paraId="060E3DF9"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lastRenderedPageBreak/>
              <w:t xml:space="preserve">5) likumprojektu "Grozījumi Apdrošināšanas un pārapdrošināšanas likumā"; </w:t>
            </w:r>
          </w:p>
          <w:p w14:paraId="6B6C298F"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6) likumprojektu "Grozījumi Apsardzes darbības likumā"; </w:t>
            </w:r>
          </w:p>
          <w:p w14:paraId="2F834451"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7) likumprojektu "Grozījumi Finanšu instrumentu tirgus likumā"; </w:t>
            </w:r>
          </w:p>
          <w:p w14:paraId="59E0AA85"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8) likumprojektu "Grozījumi Ieguldījumu pārvaldes sabiedrību likumā"; </w:t>
            </w:r>
          </w:p>
          <w:p w14:paraId="1AFA9B04"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9) likumprojektu "Grozījumi Ieguldītāju aizsardzības likumā"; </w:t>
            </w:r>
          </w:p>
          <w:p w14:paraId="1B19B51B"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10) likumprojektu "Grozījumi Ieroču aprites likumā"; </w:t>
            </w:r>
          </w:p>
          <w:p w14:paraId="44459FAE"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11) likumprojektu "Grozījumi Krājaizdevu sabiedrību likumā"; </w:t>
            </w:r>
          </w:p>
          <w:p w14:paraId="3E0BAC01"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12) likumprojektu "Grozījumi Kredītiestāžu likumā"; </w:t>
            </w:r>
          </w:p>
          <w:p w14:paraId="60D27B60"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13) likumprojektu "Grozījumi Kredītiestāžu un ieguldījumu brokeru sabiedrību darbības atjaunošanas un noregulējuma likumā"; </w:t>
            </w:r>
          </w:p>
          <w:p w14:paraId="05D409FD"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14) likumprojektu "Grozījumi Kredītu reģistra likumā"; </w:t>
            </w:r>
          </w:p>
          <w:p w14:paraId="328FE8E8"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15) likumprojektu "Grozījumi Latvijas Republikas Zemessardzes likumā"; </w:t>
            </w:r>
          </w:p>
          <w:p w14:paraId="55E6D662"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16) likumprojektu "Grozījumi likumā "Par norēķinu galīgumu maksājumu un finanšu instrumentu norēķinu sistēmās""; </w:t>
            </w:r>
          </w:p>
          <w:p w14:paraId="13BB6018"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17) likumprojektu "Grozījumi Maksājumu pakalpojumu un elektroniskās naudas likumā"; </w:t>
            </w:r>
          </w:p>
          <w:p w14:paraId="1662412D"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18) likumprojektu "Grozījumi Noguldītāju garantiju likumā"; </w:t>
            </w:r>
          </w:p>
          <w:p w14:paraId="526B27A0"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19) likumprojektu "Grozījumi Noziedzīgi iegūtu līdzekļu legalizācijas un terorisma un proliferācijas finansēšanas novēršanas likumā"; </w:t>
            </w:r>
          </w:p>
          <w:p w14:paraId="73DBFB84"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20) likumprojektu "Grozījumi Privāto pensiju fondu likumā"; </w:t>
            </w:r>
          </w:p>
          <w:p w14:paraId="594CE15A"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21) likumprojektu "Grozījumi Starptautisko un Latvijas Republikas nacionālo sankciju likumā"; </w:t>
            </w:r>
          </w:p>
          <w:p w14:paraId="756E10D5"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22) likumprojektu "Grozījumi Stratēģiskas nozīmes preču aprites likumā"; </w:t>
            </w:r>
          </w:p>
          <w:p w14:paraId="1A88C51A"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23) likumprojektu "Grozījumi Uzņēmumu ienākuma nodokļa likumā"; </w:t>
            </w:r>
          </w:p>
          <w:p w14:paraId="0BFE2488"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24) likumprojektu "Grozījumi Valsts fondēto pensiju likumā"; </w:t>
            </w:r>
          </w:p>
          <w:p w14:paraId="2FCC1DB8" w14:textId="77777777" w:rsidR="00C550E7" w:rsidRDefault="00C550E7">
            <w:pPr>
              <w:spacing w:after="0" w:line="252" w:lineRule="auto"/>
              <w:jc w:val="both"/>
              <w:rPr>
                <w:rFonts w:eastAsia="Times New Roman"/>
              </w:rPr>
            </w:pPr>
            <w:r>
              <w:rPr>
                <w:rFonts w:ascii="Times New Roman" w:eastAsia="Times New Roman" w:hAnsi="Times New Roman" w:cs="Times New Roman"/>
                <w:spacing w:val="-2"/>
                <w:sz w:val="24"/>
                <w:szCs w:val="24"/>
                <w:lang w:eastAsia="lv-LV"/>
              </w:rPr>
              <w:t xml:space="preserve">25) likumprojektu "Grozījumi Valsts un pašvaldību institūciju amatpersonu un darbinieku atlīdzības likumā"; </w:t>
            </w:r>
          </w:p>
          <w:p w14:paraId="449CEB0B" w14:textId="77777777" w:rsidR="00C550E7" w:rsidRDefault="00C550E7">
            <w:pPr>
              <w:spacing w:after="0" w:line="252" w:lineRule="auto"/>
              <w:rPr>
                <w:rFonts w:eastAsia="Times New Roman"/>
              </w:rPr>
            </w:pPr>
            <w:r>
              <w:rPr>
                <w:rFonts w:ascii="Times New Roman" w:eastAsia="Times New Roman" w:hAnsi="Times New Roman" w:cs="Times New Roman"/>
                <w:spacing w:val="-2"/>
                <w:sz w:val="24"/>
                <w:szCs w:val="24"/>
                <w:lang w:eastAsia="lv-LV"/>
              </w:rPr>
              <w:t>26) likumprojektu "Grozījumi Diplomātiskā un konsulārā dienesta likumā".</w:t>
            </w:r>
          </w:p>
          <w:p w14:paraId="52F1DE9C" w14:textId="77777777" w:rsidR="00C550E7" w:rsidRDefault="00C550E7">
            <w:pPr>
              <w:spacing w:after="0" w:line="240" w:lineRule="auto"/>
              <w:jc w:val="both"/>
              <w:rPr>
                <w:rFonts w:ascii="Times New Roman" w:eastAsia="Times New Roman" w:hAnsi="Times New Roman" w:cs="Times New Roman"/>
                <w:spacing w:val="-2"/>
                <w:sz w:val="24"/>
                <w:szCs w:val="24"/>
                <w:lang w:eastAsia="lv-LV"/>
              </w:rPr>
            </w:pPr>
          </w:p>
          <w:p w14:paraId="23F5E9CE" w14:textId="77777777" w:rsidR="00C550E7" w:rsidRDefault="00C550E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likumprojekts </w:t>
            </w:r>
            <w:r>
              <w:rPr>
                <w:rFonts w:ascii="Times New Roman" w:eastAsia="Times New Roman" w:hAnsi="Times New Roman" w:cs="Times New Roman"/>
                <w:iCs/>
                <w:spacing w:val="-2"/>
                <w:sz w:val="24"/>
                <w:szCs w:val="24"/>
                <w:lang w:eastAsia="lv-LV"/>
              </w:rPr>
              <w:t>"</w:t>
            </w:r>
            <w:r>
              <w:rPr>
                <w:rFonts w:ascii="Times New Roman" w:eastAsia="Times New Roman" w:hAnsi="Times New Roman" w:cs="Times New Roman"/>
                <w:spacing w:val="-2"/>
                <w:sz w:val="24"/>
                <w:szCs w:val="24"/>
                <w:lang w:eastAsia="lv-LV"/>
              </w:rPr>
              <w:t>Latvijas Bankas likums</w:t>
            </w:r>
            <w:r>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spacing w:val="-2"/>
                <w:sz w:val="24"/>
                <w:szCs w:val="24"/>
                <w:lang w:eastAsia="lv-LV"/>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(3.-5., 7.-9., 11.-14., 16.-21., 23.-26.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gan arī tajos likumos, kuros nostiprināta Latvijas Bankas struktūra tās pārvalžu līmenī (6., 10., 15.un 22.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kā arī, lai nodrošinātu FKTK veiksmīgu pievienošanu Latvijas Bankai, paredzēti pārejas noteikumi </w:t>
            </w:r>
            <w:r>
              <w:rPr>
                <w:rFonts w:ascii="Times New Roman" w:eastAsia="Times New Roman" w:hAnsi="Times New Roman" w:cs="Times New Roman"/>
                <w:iCs/>
                <w:spacing w:val="-2"/>
                <w:sz w:val="24"/>
                <w:szCs w:val="24"/>
                <w:lang w:eastAsia="lv-LV"/>
              </w:rPr>
              <w:t>attiecībā uz FKTK pievienošanu Latvijas Bankai (1.un 2. punktā uzskaitītie likumprojekti)</w:t>
            </w:r>
            <w:r>
              <w:rPr>
                <w:rFonts w:ascii="Times New Roman" w:eastAsia="Times New Roman" w:hAnsi="Times New Roman" w:cs="Times New Roman"/>
                <w:spacing w:val="-2"/>
                <w:sz w:val="24"/>
                <w:szCs w:val="24"/>
                <w:lang w:eastAsia="lv-LV"/>
              </w:rPr>
              <w:t>.</w:t>
            </w:r>
            <w:r>
              <w:rPr>
                <w:rFonts w:ascii="Times New Roman" w:eastAsia="Times New Roman" w:hAnsi="Times New Roman" w:cs="Times New Roman"/>
                <w:iCs/>
                <w:spacing w:val="-2"/>
                <w:sz w:val="24"/>
                <w:szCs w:val="24"/>
                <w:lang w:eastAsia="lv-LV"/>
              </w:rPr>
              <w:t xml:space="preserve"> </w:t>
            </w:r>
          </w:p>
          <w:p w14:paraId="2C17433A" w14:textId="77777777" w:rsidR="00C550E7" w:rsidRDefault="00C55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Likumprojekts un pārējie šajā sadaļā iekļautie likumprojekti vienkopus ir apkopoti un norādīti kā tie ar likumprojektu </w:t>
            </w:r>
            <w:r>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lang w:eastAsia="lv-LV"/>
              </w:rPr>
              <w:t>Latvijas Bankas likums</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z w:val="24"/>
                <w:szCs w:val="24"/>
                <w:lang w:eastAsia="lv-LV"/>
              </w:rPr>
              <w:t>nepieciešams veikt attiecīgās izmaiņas.</w:t>
            </w:r>
          </w:p>
        </w:tc>
      </w:tr>
      <w:tr w:rsidR="00C550E7" w14:paraId="1B5C7832" w14:textId="77777777" w:rsidTr="00C550E7">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50CF4D"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lastRenderedPageBreak/>
              <w:t>2.</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2DA067"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Atbildīgā institūcija</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6F6AAF"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Finanšu ministrija, Latvijas Banka, FKTK</w:t>
            </w:r>
          </w:p>
        </w:tc>
      </w:tr>
      <w:tr w:rsidR="00C550E7" w14:paraId="703FD653" w14:textId="77777777" w:rsidTr="00C550E7">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7BC79E"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3.</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A5CDBE"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Cita informācija</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D2C797"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Nav.</w:t>
            </w:r>
          </w:p>
        </w:tc>
      </w:tr>
    </w:tbl>
    <w:p w14:paraId="5C0E32A0" w14:textId="77777777" w:rsidR="00C550E7" w:rsidRDefault="00C550E7" w:rsidP="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4898"/>
      </w:tblGrid>
      <w:tr w:rsidR="00C550E7" w14:paraId="7FC2B516" w14:textId="77777777" w:rsidTr="00C550E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9035C" w14:textId="77777777" w:rsidR="00C550E7" w:rsidRDefault="00C550E7">
            <w:pPr>
              <w:spacing w:after="0" w:line="240" w:lineRule="auto"/>
              <w:jc w:val="center"/>
              <w:rPr>
                <w:rFonts w:ascii="Calibri" w:eastAsia="Times New Roman" w:hAnsi="Calibri" w:cs="Calibri"/>
                <w:lang w:eastAsia="lv-LV"/>
              </w:rPr>
            </w:pPr>
            <w:r>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C550E7" w14:paraId="1E0E91C6" w14:textId="77777777" w:rsidTr="00C550E7">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AA16EF"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1.</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3EB818"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Saistības pret Eiropas Savienību</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2978DD" w14:textId="77777777" w:rsidR="00C550E7" w:rsidRDefault="00C550E7">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p>
        </w:tc>
      </w:tr>
      <w:tr w:rsidR="00C550E7" w14:paraId="2C075AF1" w14:textId="77777777" w:rsidTr="00C550E7">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B2A74"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2.</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986F98"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Citas starptautiskās saistības</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FDF0AF"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Likumprojekts šo jomu neskar.</w:t>
            </w:r>
          </w:p>
        </w:tc>
      </w:tr>
      <w:tr w:rsidR="00C550E7" w14:paraId="7F1146D5" w14:textId="77777777" w:rsidTr="00C550E7">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38A293"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3.</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C19EC4" w14:textId="77777777" w:rsidR="00C550E7" w:rsidRDefault="00C550E7">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Cita informācija</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F4BC56" w14:textId="77777777" w:rsidR="00C550E7" w:rsidRDefault="00C550E7">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Saskaņā ar Līguma par Eiropas Savienības darbību 127. panta 4. punktu, 282. panta 5. punktu un Statūtu 4. pantu par likumprojektu nepieciešams saņemt Eiropas Centrālās bankas atzinumu.</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pacing w:val="-2"/>
                <w:sz w:val="24"/>
                <w:szCs w:val="24"/>
                <w:lang w:eastAsia="lv-LV"/>
              </w:rPr>
              <w:t>Ņemot vērā, ka likumprojekts ir saistīts ar likumprojektu “Latvijas Bankas likums”,  arī par to ir nepieciešams saņemt Eiropas Centrālās bankas atzinumu.</w:t>
            </w:r>
          </w:p>
          <w:p w14:paraId="31EA281A" w14:textId="77777777" w:rsidR="00C550E7" w:rsidRDefault="00C550E7">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Likumprojektā iekļautās tiesību normas pēc būtības neatšķiras no likumprojektā "Latvijas Bankas likums" iekļautajām (sk. likumprojekta "Latvijas Bankas likums" II nodaļu "Latvijas Bankas pārvalde"). Likumprojekta "Latvijas Bankas likums" sākotnējās ietekmes novērtējuma ziņojumā (anotācijā) iekļauta detalizēta informācija par tiesību akta projekta atbilstību Eiropas Savienības tiesību aktiem.</w:t>
            </w:r>
            <w:r>
              <w:rPr>
                <w:rStyle w:val="eop"/>
                <w:shd w:val="clear" w:color="auto" w:fill="FFFFFF"/>
              </w:rPr>
              <w:t> </w:t>
            </w:r>
          </w:p>
        </w:tc>
      </w:tr>
    </w:tbl>
    <w:p w14:paraId="54D74DF7" w14:textId="77777777" w:rsidR="00C550E7" w:rsidRDefault="00C550E7" w:rsidP="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0"/>
        <w:gridCol w:w="1584"/>
        <w:gridCol w:w="2313"/>
        <w:gridCol w:w="3568"/>
      </w:tblGrid>
      <w:tr w:rsidR="00C550E7" w14:paraId="6A95C6CF" w14:textId="77777777" w:rsidTr="00C550E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2D6EED8"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1. tabula</w:t>
            </w:r>
            <w:r>
              <w:rPr>
                <w:rFonts w:ascii="Times New Roman" w:eastAsia="Times New Roman" w:hAnsi="Times New Roman" w:cs="Times New Roman"/>
                <w:b/>
                <w:bCs/>
                <w:iCs/>
                <w:sz w:val="24"/>
                <w:szCs w:val="24"/>
                <w:lang w:eastAsia="lv-LV"/>
              </w:rPr>
              <w:br/>
              <w:t>Tiesību akta projekta atbilstība ES tiesību aktiem</w:t>
            </w:r>
          </w:p>
        </w:tc>
      </w:tr>
      <w:tr w:rsidR="00C550E7" w14:paraId="7944AE7D"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0EF8D416" w14:textId="77777777" w:rsidR="00C550E7" w:rsidRDefault="00C550E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p>
        </w:tc>
        <w:tc>
          <w:tcPr>
            <w:tcW w:w="864" w:type="pct"/>
            <w:tcBorders>
              <w:top w:val="outset" w:sz="6" w:space="0" w:color="auto"/>
              <w:left w:val="outset" w:sz="6" w:space="0" w:color="auto"/>
              <w:bottom w:val="outset" w:sz="6" w:space="0" w:color="auto"/>
              <w:right w:val="outset" w:sz="6" w:space="0" w:color="auto"/>
            </w:tcBorders>
            <w:vAlign w:val="center"/>
            <w:hideMark/>
          </w:tcPr>
          <w:p w14:paraId="7AECFE25" w14:textId="77777777" w:rsidR="00C550E7" w:rsidRDefault="00C550E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p>
        </w:tc>
        <w:tc>
          <w:tcPr>
            <w:tcW w:w="1269" w:type="pct"/>
            <w:tcBorders>
              <w:top w:val="outset" w:sz="6" w:space="0" w:color="auto"/>
              <w:left w:val="outset" w:sz="6" w:space="0" w:color="auto"/>
              <w:bottom w:val="outset" w:sz="6" w:space="0" w:color="auto"/>
              <w:right w:val="outset" w:sz="6" w:space="0" w:color="auto"/>
            </w:tcBorders>
            <w:vAlign w:val="center"/>
            <w:hideMark/>
          </w:tcPr>
          <w:p w14:paraId="70DECD72" w14:textId="77777777" w:rsidR="00C550E7" w:rsidRDefault="00C550E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p>
        </w:tc>
        <w:tc>
          <w:tcPr>
            <w:tcW w:w="1924" w:type="pct"/>
            <w:tcBorders>
              <w:top w:val="outset" w:sz="6" w:space="0" w:color="auto"/>
              <w:left w:val="outset" w:sz="6" w:space="0" w:color="auto"/>
              <w:bottom w:val="outset" w:sz="6" w:space="0" w:color="auto"/>
              <w:right w:val="outset" w:sz="6" w:space="0" w:color="auto"/>
            </w:tcBorders>
            <w:vAlign w:val="center"/>
            <w:hideMark/>
          </w:tcPr>
          <w:p w14:paraId="2E7C7FEF" w14:textId="77777777" w:rsidR="00C550E7" w:rsidRDefault="00C550E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p>
        </w:tc>
      </w:tr>
      <w:tr w:rsidR="00C550E7" w14:paraId="7D0F1AB6"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5AE6FA3A"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64" w:type="pct"/>
            <w:tcBorders>
              <w:top w:val="outset" w:sz="6" w:space="0" w:color="auto"/>
              <w:left w:val="outset" w:sz="6" w:space="0" w:color="auto"/>
              <w:bottom w:val="outset" w:sz="6" w:space="0" w:color="auto"/>
              <w:right w:val="outset" w:sz="6" w:space="0" w:color="auto"/>
            </w:tcBorders>
            <w:hideMark/>
          </w:tcPr>
          <w:p w14:paraId="6A1A76FB"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w:t>
            </w:r>
            <w:r>
              <w:rPr>
                <w:rFonts w:ascii="Times New Roman" w:eastAsia="Times New Roman" w:hAnsi="Times New Roman" w:cs="Times New Roman"/>
                <w:iCs/>
                <w:sz w:val="24"/>
                <w:szCs w:val="24"/>
                <w:lang w:eastAsia="lv-LV"/>
              </w:rPr>
              <w:lastRenderedPageBreak/>
              <w:t>kur attiecīgā ES tiesību akta vienība pārņemta vai ieviesta</w:t>
            </w:r>
          </w:p>
        </w:tc>
        <w:tc>
          <w:tcPr>
            <w:tcW w:w="1269" w:type="pct"/>
            <w:tcBorders>
              <w:top w:val="outset" w:sz="6" w:space="0" w:color="auto"/>
              <w:left w:val="outset" w:sz="6" w:space="0" w:color="auto"/>
              <w:bottom w:val="outset" w:sz="6" w:space="0" w:color="auto"/>
              <w:right w:val="outset" w:sz="6" w:space="0" w:color="auto"/>
            </w:tcBorders>
            <w:hideMark/>
          </w:tcPr>
          <w:p w14:paraId="14537B50"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Pr>
                <w:rFonts w:ascii="Times New Roman" w:eastAsia="Times New Roman" w:hAnsi="Times New Roman" w:cs="Times New Roman"/>
                <w:iCs/>
                <w:sz w:val="24"/>
                <w:szCs w:val="24"/>
                <w:lang w:eastAsia="lv-LV"/>
              </w:rPr>
              <w:br/>
              <w:t xml:space="preserve">Ja attiecīgā ES tiesību akta vienība tiek </w:t>
            </w:r>
            <w:r>
              <w:rPr>
                <w:rFonts w:ascii="Times New Roman" w:eastAsia="Times New Roman" w:hAnsi="Times New Roman" w:cs="Times New Roman"/>
                <w:iCs/>
                <w:sz w:val="24"/>
                <w:szCs w:val="24"/>
                <w:lang w:eastAsia="lv-LV"/>
              </w:rPr>
              <w:lastRenderedPageBreak/>
              <w:t>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iCs/>
                <w:sz w:val="24"/>
                <w:szCs w:val="24"/>
                <w:lang w:eastAsia="lv-LV"/>
              </w:rPr>
              <w:br/>
              <w:t>Norāda institūciju, kas ir atbildīga par šo saistību izpildi pilnībā</w:t>
            </w:r>
          </w:p>
        </w:tc>
        <w:tc>
          <w:tcPr>
            <w:tcW w:w="1924" w:type="pct"/>
            <w:tcBorders>
              <w:top w:val="outset" w:sz="6" w:space="0" w:color="auto"/>
              <w:left w:val="outset" w:sz="6" w:space="0" w:color="auto"/>
              <w:bottom w:val="outset" w:sz="6" w:space="0" w:color="auto"/>
              <w:right w:val="outset" w:sz="6" w:space="0" w:color="auto"/>
            </w:tcBorders>
            <w:hideMark/>
          </w:tcPr>
          <w:p w14:paraId="61AE76C4"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4"/>
                <w:szCs w:val="24"/>
                <w:lang w:eastAsia="lv-LV"/>
              </w:rPr>
              <w:br/>
              <w:t xml:space="preserve">Ja projekts satur stingrākas prasības nekā attiecīgais ES tiesību akts, norāda pamatojumu un samērīgumu. Norāda iespējamās </w:t>
            </w:r>
            <w:r>
              <w:rPr>
                <w:rFonts w:ascii="Times New Roman" w:eastAsia="Times New Roman" w:hAnsi="Times New Roman" w:cs="Times New Roman"/>
                <w:iCs/>
                <w:sz w:val="24"/>
                <w:szCs w:val="24"/>
                <w:lang w:eastAsia="lv-LV"/>
              </w:rPr>
              <w:lastRenderedPageBreak/>
              <w:t>alternatīvas (t. sk. alternatīvas, kas neparedz tiesiskā regulējuma izstrādi) – kādos gadījumos būtu iespējams izvairīties no stingrāku prasību noteikšanas, nekā paredzēts attiecīgajos ES tiesību aktos</w:t>
            </w:r>
          </w:p>
        </w:tc>
      </w:tr>
      <w:tr w:rsidR="00C550E7" w14:paraId="0C997CCF"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4780AC55"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2016. gada 27. aprīļa regulas (ES) 2016/679 26. panta 1. punkts  </w:t>
            </w:r>
          </w:p>
        </w:tc>
        <w:tc>
          <w:tcPr>
            <w:tcW w:w="864" w:type="pct"/>
            <w:tcBorders>
              <w:top w:val="outset" w:sz="6" w:space="0" w:color="auto"/>
              <w:left w:val="outset" w:sz="6" w:space="0" w:color="auto"/>
              <w:bottom w:val="outset" w:sz="6" w:space="0" w:color="auto"/>
              <w:right w:val="outset" w:sz="6" w:space="0" w:color="auto"/>
            </w:tcBorders>
            <w:hideMark/>
          </w:tcPr>
          <w:p w14:paraId="2E60083B"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pantā ietvertais 10. pārejas noteikums</w:t>
            </w:r>
          </w:p>
        </w:tc>
        <w:tc>
          <w:tcPr>
            <w:tcW w:w="1269" w:type="pct"/>
            <w:tcBorders>
              <w:top w:val="outset" w:sz="6" w:space="0" w:color="auto"/>
              <w:left w:val="outset" w:sz="6" w:space="0" w:color="auto"/>
              <w:bottom w:val="outset" w:sz="6" w:space="0" w:color="auto"/>
              <w:right w:val="outset" w:sz="6" w:space="0" w:color="auto"/>
            </w:tcBorders>
            <w:hideMark/>
          </w:tcPr>
          <w:p w14:paraId="3528809F"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924" w:type="pct"/>
            <w:tcBorders>
              <w:top w:val="outset" w:sz="6" w:space="0" w:color="auto"/>
              <w:left w:val="outset" w:sz="6" w:space="0" w:color="auto"/>
              <w:bottom w:val="outset" w:sz="6" w:space="0" w:color="auto"/>
              <w:right w:val="outset" w:sz="6" w:space="0" w:color="auto"/>
            </w:tcBorders>
            <w:hideMark/>
          </w:tcPr>
          <w:p w14:paraId="6DDB2EA6"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C550E7" w14:paraId="4CA946BD"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755D741"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91" w:type="pct"/>
            <w:gridSpan w:val="3"/>
            <w:tcBorders>
              <w:top w:val="outset" w:sz="6" w:space="0" w:color="auto"/>
              <w:left w:val="outset" w:sz="6" w:space="0" w:color="auto"/>
              <w:bottom w:val="outset" w:sz="6" w:space="0" w:color="auto"/>
              <w:right w:val="outset" w:sz="6" w:space="0" w:color="auto"/>
            </w:tcBorders>
            <w:hideMark/>
          </w:tcPr>
          <w:p w14:paraId="332FD273"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550E7" w14:paraId="1871865F"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150BAD02"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Pr>
                <w:rFonts w:ascii="Times New Roman" w:eastAsia="Times New Roman" w:hAnsi="Times New Roman" w:cs="Times New Roman"/>
                <w:iCs/>
                <w:sz w:val="24"/>
                <w:szCs w:val="24"/>
                <w:lang w:eastAsia="lv-LV"/>
              </w:rPr>
              <w:lastRenderedPageBreak/>
              <w:t>politiku) projektiem</w:t>
            </w:r>
          </w:p>
        </w:tc>
        <w:tc>
          <w:tcPr>
            <w:tcW w:w="4091" w:type="pct"/>
            <w:gridSpan w:val="3"/>
            <w:tcBorders>
              <w:top w:val="outset" w:sz="6" w:space="0" w:color="auto"/>
              <w:left w:val="outset" w:sz="6" w:space="0" w:color="auto"/>
              <w:bottom w:val="outset" w:sz="6" w:space="0" w:color="auto"/>
              <w:right w:val="outset" w:sz="6" w:space="0" w:color="auto"/>
            </w:tcBorders>
            <w:hideMark/>
          </w:tcPr>
          <w:p w14:paraId="7BF8F23A"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 attiecināms</w:t>
            </w:r>
          </w:p>
        </w:tc>
      </w:tr>
      <w:tr w:rsidR="00C550E7" w14:paraId="3C3A8B65" w14:textId="77777777" w:rsidTr="00C550E7">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563CA22F"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4091" w:type="pct"/>
            <w:gridSpan w:val="3"/>
            <w:tcBorders>
              <w:top w:val="outset" w:sz="6" w:space="0" w:color="auto"/>
              <w:left w:val="outset" w:sz="6" w:space="0" w:color="auto"/>
              <w:bottom w:val="outset" w:sz="6" w:space="0" w:color="auto"/>
              <w:right w:val="outset" w:sz="6" w:space="0" w:color="auto"/>
            </w:tcBorders>
            <w:hideMark/>
          </w:tcPr>
          <w:p w14:paraId="6F26BD56"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550E7" w14:paraId="54B411C8" w14:textId="77777777" w:rsidTr="00C550E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D0284F9" w14:textId="77777777" w:rsidR="00C550E7" w:rsidRDefault="00C550E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iCs/>
                <w:sz w:val="24"/>
                <w:szCs w:val="24"/>
                <w:lang w:eastAsia="lv-LV"/>
              </w:rPr>
              <w:t>2. tabula</w:t>
            </w:r>
            <w:r>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Pr>
                <w:rFonts w:ascii="Times New Roman" w:eastAsia="Times New Roman" w:hAnsi="Times New Roman" w:cs="Times New Roman"/>
                <w:b/>
                <w:sz w:val="24"/>
                <w:szCs w:val="24"/>
                <w:lang w:eastAsia="lv-LV"/>
              </w:rPr>
              <w:t>ūcijas vai organizācijas dokumentiem.</w:t>
            </w:r>
            <w:r>
              <w:rPr>
                <w:rFonts w:ascii="Times New Roman" w:eastAsia="Times New Roman" w:hAnsi="Times New Roman" w:cs="Times New Roman"/>
                <w:b/>
                <w:sz w:val="24"/>
                <w:szCs w:val="24"/>
                <w:lang w:eastAsia="lv-LV"/>
              </w:rPr>
              <w:br/>
              <w:t>Pasākumi šo saistību izpildei</w:t>
            </w:r>
          </w:p>
        </w:tc>
      </w:tr>
      <w:tr w:rsidR="00C550E7" w14:paraId="78635ECD" w14:textId="77777777" w:rsidTr="00C550E7">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1B1B10E2"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Likumprojekts šo jomu neskar.</w:t>
            </w:r>
          </w:p>
        </w:tc>
      </w:tr>
    </w:tbl>
    <w:p w14:paraId="1738E13A" w14:textId="77777777" w:rsidR="00C550E7" w:rsidRDefault="00C550E7" w:rsidP="00C550E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50E7" w14:paraId="37510BDC" w14:textId="77777777" w:rsidTr="00C550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252032"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C550E7" w14:paraId="4CFB8C23"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40CDC4"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229FAF"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B54E15B" w14:textId="77777777" w:rsidR="00C550E7" w:rsidRDefault="00C550E7">
            <w:pPr>
              <w:spacing w:after="0" w:line="240" w:lineRule="auto"/>
              <w:jc w:val="both"/>
              <w:rPr>
                <w:rFonts w:ascii="Times New Roman" w:eastAsia="Times New Roman" w:hAnsi="Times New Roman" w:cs="Times New Roman"/>
                <w:bCs/>
                <w:iCs/>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Likumprojekts ir saistīts ar likumprojektu “Latvijas Bankas likums”, pirms kura </w:t>
            </w:r>
            <w:r>
              <w:rPr>
                <w:rFonts w:ascii="Times New Roman" w:eastAsia="Times New Roman" w:hAnsi="Times New Roman" w:cs="Times New Roman"/>
                <w:iCs/>
                <w:sz w:val="24"/>
                <w:szCs w:val="24"/>
                <w:shd w:val="clear" w:color="auto" w:fill="FFFFFF"/>
                <w:lang w:eastAsia="lv-LV"/>
              </w:rPr>
              <w:t xml:space="preserve">izstrādes uzsākšanas, </w:t>
            </w:r>
            <w:r>
              <w:rPr>
                <w:rFonts w:ascii="Times New Roman" w:eastAsia="Times New Roman" w:hAnsi="Times New Roman" w:cs="Times New Roman"/>
                <w:bCs/>
                <w:iCs/>
                <w:sz w:val="24"/>
                <w:szCs w:val="24"/>
                <w:shd w:val="clear" w:color="auto" w:fill="FFFFFF"/>
                <w:lang w:eastAsia="lv-LV"/>
              </w:rPr>
              <w:t xml:space="preserve">Finanšu ministrija, Latvijas Banka un FKTK plānoja izvērtēt FKTK pievienošanu Latvijas Bankai </w:t>
            </w:r>
            <w:r>
              <w:rPr>
                <w:rFonts w:ascii="Times New Roman" w:eastAsia="Times New Roman" w:hAnsi="Times New Roman" w:cs="Times New Roman"/>
                <w:iCs/>
                <w:sz w:val="24"/>
                <w:szCs w:val="24"/>
                <w:shd w:val="clear" w:color="auto" w:fill="FFFFFF"/>
                <w:lang w:eastAsia="lv-LV"/>
              </w:rPr>
              <w:t xml:space="preserve">saskaņā ar Saeimas </w:t>
            </w:r>
            <w:r>
              <w:rPr>
                <w:rFonts w:ascii="Times New Roman" w:eastAsia="Times New Roman" w:hAnsi="Times New Roman" w:cs="Times New Roman"/>
                <w:bCs/>
                <w:iCs/>
                <w:sz w:val="24"/>
                <w:szCs w:val="24"/>
                <w:shd w:val="clear" w:color="auto" w:fill="FFFFFF"/>
                <w:lang w:eastAsia="lv-LV"/>
              </w:rPr>
              <w:t>Budžeta un finanšu (nodokļu) komisijas 2019. gada 11. septembra sēdes protokola Nr. 76</w:t>
            </w:r>
            <w:r>
              <w:rPr>
                <w:rFonts w:ascii="Times New Roman" w:eastAsia="Times New Roman" w:hAnsi="Times New Roman" w:cs="Times New Roman"/>
                <w:bCs/>
                <w:iCs/>
                <w:sz w:val="24"/>
                <w:szCs w:val="24"/>
                <w:shd w:val="clear" w:color="auto" w:fill="FFFFFF"/>
                <w:vertAlign w:val="superscript"/>
                <w:lang w:eastAsia="lv-LV"/>
              </w:rPr>
              <w:footnoteReference w:id="5"/>
            </w:r>
            <w:r>
              <w:rPr>
                <w:rFonts w:ascii="Times New Roman" w:eastAsia="Times New Roman" w:hAnsi="Times New Roman" w:cs="Times New Roman"/>
                <w:bCs/>
                <w:iCs/>
                <w:sz w:val="24"/>
                <w:szCs w:val="24"/>
                <w:shd w:val="clear" w:color="auto" w:fill="FFFFFF"/>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52561F4C"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shd w:val="clear" w:color="auto" w:fill="FFFFFF"/>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C550E7" w14:paraId="7A317D14"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BF946"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D6D51C"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8BA757B" w14:textId="77777777" w:rsidR="00C550E7" w:rsidRDefault="00C550E7">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Finanšu ministrija sadarbībā ar Latvijas Banku un FKTK 2020.gada maijā izstrādāja “Izvērtējumu par Finanšu un kapitāla tirgus komisijas pievienošanu Latvijas Bankai” (turpmāk – Izvērtējums).</w:t>
            </w:r>
          </w:p>
          <w:p w14:paraId="4439AF26" w14:textId="77777777" w:rsidR="00C550E7" w:rsidRDefault="00C550E7">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Izvērtējumu (Ministru kabineta 2020. gada 26. maija sēdes protokols Nr. 36 27. §), un nosūtīja  to atbildīgajai Saeimas komisijai. </w:t>
            </w:r>
          </w:p>
          <w:p w14:paraId="740118DF" w14:textId="77777777" w:rsidR="00C550E7" w:rsidRDefault="00C550E7">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Saeimas Budžeta un finanšu (nodokļu) komisija  2020.gada 2.jūnijā uzklausīja atbildīgo institūciju pārstāvjus par Izvērtējumu un nolēma pieņemt zināšanai, ka tās dotais uzdevums ir izpildīts un turpinās darbs pie likumprojekta izstrādes (Saeimas </w:t>
            </w:r>
            <w:r>
              <w:rPr>
                <w:rFonts w:ascii="Times New Roman" w:eastAsia="Times New Roman" w:hAnsi="Times New Roman" w:cs="Times New Roman"/>
                <w:sz w:val="24"/>
                <w:szCs w:val="24"/>
                <w:shd w:val="clear" w:color="auto" w:fill="FFFFFF"/>
                <w:lang w:eastAsia="lv-LV"/>
              </w:rPr>
              <w:lastRenderedPageBreak/>
              <w:t>Budžeta un finanšu (nodokļu) komisijas 2020. gada 2.jūnija sēdes protokols Nr.165  1.punkts).</w:t>
            </w:r>
          </w:p>
          <w:p w14:paraId="69241B92" w14:textId="77777777" w:rsidR="00C550E7" w:rsidRDefault="00C550E7">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Pirms likumprojekta “Latvijas Bankas likums” un ar to saistīto likumprojektu iesniegšanas Ministru kabinetā  tie 2020. gada 11. novembrī tika prezentēti FKTK konsultatīvajā  finanšu un kapitāla tirgus padomē, kurā pārstāvētas visas FKTK uzraudzīto finanšu tirgus dalībnieku asociācijas, tādējādi iesaistot tās likumprojektu apspriešanā.</w:t>
            </w:r>
          </w:p>
          <w:p w14:paraId="294293EC" w14:textId="77777777" w:rsidR="00C550E7" w:rsidRDefault="00C550E7">
            <w:pPr>
              <w:spacing w:after="0" w:line="240" w:lineRule="auto"/>
              <w:jc w:val="both"/>
              <w:rPr>
                <w:rFonts w:ascii="Times New Roman" w:eastAsia="Times New Roman" w:hAnsi="Times New Roman" w:cs="Times New Roman"/>
                <w:sz w:val="24"/>
                <w:szCs w:val="24"/>
                <w:shd w:val="clear" w:color="auto" w:fill="FFFFFF"/>
                <w:lang w:eastAsia="lv-LV"/>
              </w:rPr>
            </w:pPr>
          </w:p>
        </w:tc>
      </w:tr>
      <w:tr w:rsidR="00C550E7" w14:paraId="18F245A9"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858E2"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96B03E"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1F401B4"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lang w:eastAsia="lv-LV"/>
              </w:rPr>
              <w:t>Likumprojektu pēc prezentācijas un tikšanās ar FKTK konsultatīvo finanšu un kapitāla tirgus padomi nebija nepieciešams precizēt, ņemot vērā sabiedrības līdzdalības rezultātus.</w:t>
            </w:r>
          </w:p>
        </w:tc>
      </w:tr>
      <w:tr w:rsidR="00C550E7" w14:paraId="04060767"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7341F"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4746EE"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78DEBF"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p>
        </w:tc>
      </w:tr>
      <w:tr w:rsidR="00C550E7" w14:paraId="767F5A2E" w14:textId="77777777" w:rsidTr="00C550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56AEDD" w14:textId="77777777" w:rsidR="00C550E7" w:rsidRDefault="00C550E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50E7" w14:paraId="08B93DE4"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8755"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5B7BA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A3A33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Banka, FKTK</w:t>
            </w:r>
          </w:p>
        </w:tc>
      </w:tr>
      <w:tr w:rsidR="00C550E7" w14:paraId="079FCA04"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87FD30"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FE78"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D1707E1" w14:textId="77777777" w:rsidR="00C550E7" w:rsidRDefault="00C550E7">
            <w:p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Likumprojekts paredz:</w:t>
            </w:r>
          </w:p>
          <w:p w14:paraId="679604BF" w14:textId="77777777" w:rsidR="00C550E7" w:rsidRDefault="00C550E7" w:rsidP="00C550E7">
            <w:pPr>
              <w:pStyle w:val="ListParagraph"/>
              <w:numPr>
                <w:ilvl w:val="0"/>
                <w:numId w:val="5"/>
              </w:num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izbeigt Latvijas Bankas valdes darbību;</w:t>
            </w:r>
          </w:p>
          <w:p w14:paraId="01411491" w14:textId="77777777" w:rsidR="00C550E7" w:rsidRDefault="00C550E7" w:rsidP="00C550E7">
            <w:pPr>
              <w:pStyle w:val="ListParagraph"/>
              <w:numPr>
                <w:ilvl w:val="0"/>
                <w:numId w:val="5"/>
              </w:num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izveidot Latvijas Bankas revīzijas komiteju.</w:t>
            </w:r>
          </w:p>
          <w:p w14:paraId="38BEB7D9" w14:textId="77777777" w:rsidR="00C550E7" w:rsidRDefault="00C55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Paredzams, ka Likumprojektā paredzēto pārmaiņu ietekme uz Latvijas Bankas cilvēkresursiem būs neitrāla, jo Latvijas Bankas valde pašreiz darbojas 3 cilvēku sastāvā, un visi šie Latvijas Bankas valdes locekļi vienlaikus ir Latvijas Bankas struktūrvienību vadītāji.</w:t>
            </w:r>
          </w:p>
        </w:tc>
      </w:tr>
      <w:tr w:rsidR="00C550E7" w14:paraId="65355305" w14:textId="77777777" w:rsidTr="00C550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5B3A7"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99C9FD"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E6AADB" w14:textId="77777777" w:rsidR="00C550E7" w:rsidRDefault="00C550E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9BEE140" w14:textId="77777777" w:rsidR="00C550E7" w:rsidRDefault="00C550E7" w:rsidP="00C550E7">
      <w:pPr>
        <w:spacing w:after="0" w:line="240" w:lineRule="auto"/>
        <w:rPr>
          <w:rFonts w:ascii="Times New Roman" w:hAnsi="Times New Roman" w:cs="Times New Roman"/>
          <w:sz w:val="28"/>
          <w:szCs w:val="28"/>
        </w:rPr>
      </w:pPr>
    </w:p>
    <w:p w14:paraId="3AD42672" w14:textId="77777777" w:rsidR="00C550E7" w:rsidRDefault="00C550E7" w:rsidP="00C550E7">
      <w:pPr>
        <w:spacing w:after="0" w:line="240" w:lineRule="auto"/>
        <w:rPr>
          <w:rFonts w:ascii="Times New Roman" w:hAnsi="Times New Roman" w:cs="Times New Roman"/>
          <w:sz w:val="28"/>
          <w:szCs w:val="28"/>
        </w:rPr>
      </w:pPr>
    </w:p>
    <w:p w14:paraId="77D3C737" w14:textId="77777777" w:rsidR="00C550E7" w:rsidRDefault="00C550E7" w:rsidP="00C550E7">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128E8716" w14:textId="77777777" w:rsidR="00C550E7" w:rsidRDefault="00C550E7" w:rsidP="00C550E7">
      <w:pPr>
        <w:tabs>
          <w:tab w:val="left" w:pos="65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Finanšu ministrs </w:t>
      </w:r>
      <w:r>
        <w:rPr>
          <w:rFonts w:ascii="Times New Roman" w:hAnsi="Times New Roman"/>
          <w:sz w:val="28"/>
          <w:szCs w:val="28"/>
        </w:rPr>
        <w:tab/>
        <w:t>J. Reirs</w:t>
      </w:r>
    </w:p>
    <w:p w14:paraId="00E12572" w14:textId="77777777" w:rsidR="00C550E7" w:rsidRDefault="00C550E7" w:rsidP="00C550E7">
      <w:pPr>
        <w:tabs>
          <w:tab w:val="left" w:pos="6237"/>
        </w:tabs>
        <w:spacing w:after="0" w:line="240" w:lineRule="auto"/>
        <w:rPr>
          <w:rFonts w:ascii="Times New Roman" w:hAnsi="Times New Roman" w:cs="Times New Roman"/>
          <w:sz w:val="28"/>
          <w:szCs w:val="28"/>
        </w:rPr>
      </w:pPr>
    </w:p>
    <w:p w14:paraId="586640B5" w14:textId="77777777" w:rsidR="00C550E7" w:rsidRDefault="00C550E7" w:rsidP="00C550E7">
      <w:pPr>
        <w:tabs>
          <w:tab w:val="left" w:pos="6237"/>
        </w:tabs>
        <w:spacing w:after="0" w:line="240" w:lineRule="auto"/>
        <w:rPr>
          <w:rFonts w:ascii="Times New Roman" w:hAnsi="Times New Roman" w:cs="Times New Roman"/>
          <w:sz w:val="28"/>
          <w:szCs w:val="28"/>
        </w:rPr>
      </w:pPr>
    </w:p>
    <w:p w14:paraId="65CD45BB" w14:textId="77777777" w:rsidR="00C550E7" w:rsidRDefault="00C550E7" w:rsidP="00C550E7">
      <w:pPr>
        <w:tabs>
          <w:tab w:val="left" w:pos="6237"/>
        </w:tabs>
        <w:spacing w:after="0" w:line="240" w:lineRule="auto"/>
        <w:rPr>
          <w:rFonts w:ascii="Times New Roman" w:hAnsi="Times New Roman" w:cs="Times New Roman"/>
          <w:sz w:val="28"/>
          <w:szCs w:val="28"/>
        </w:rPr>
      </w:pPr>
    </w:p>
    <w:p w14:paraId="0EF90468" w14:textId="3BFE1121" w:rsidR="00C550E7" w:rsidRDefault="00C550E7" w:rsidP="00C550E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v_sk= 487</w:t>
      </w:r>
      <w:r w:rsidR="00B33CA4">
        <w:rPr>
          <w:rFonts w:ascii="Times New Roman" w:hAnsi="Times New Roman" w:cs="Times New Roman"/>
          <w:sz w:val="20"/>
          <w:szCs w:val="20"/>
        </w:rPr>
        <w:t>2</w:t>
      </w:r>
    </w:p>
    <w:p w14:paraId="756FC651" w14:textId="644C64F4" w:rsidR="00781FD0" w:rsidRPr="00C550E7" w:rsidRDefault="00781FD0" w:rsidP="00C550E7"/>
    <w:sectPr w:rsidR="00781FD0" w:rsidRPr="00C550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F2F6" w14:textId="77777777" w:rsidR="00C73741" w:rsidRDefault="00C73741" w:rsidP="00894C55">
      <w:pPr>
        <w:spacing w:after="0" w:line="240" w:lineRule="auto"/>
      </w:pPr>
      <w:r>
        <w:separator/>
      </w:r>
    </w:p>
  </w:endnote>
  <w:endnote w:type="continuationSeparator" w:id="0">
    <w:p w14:paraId="043B0B1C" w14:textId="77777777" w:rsidR="00C73741" w:rsidRDefault="00C73741" w:rsidP="00894C55">
      <w:pPr>
        <w:spacing w:after="0" w:line="240" w:lineRule="auto"/>
      </w:pPr>
      <w:r>
        <w:continuationSeparator/>
      </w:r>
    </w:p>
  </w:endnote>
  <w:endnote w:type="continuationNotice" w:id="1">
    <w:p w14:paraId="0EFE3A49" w14:textId="77777777" w:rsidR="00C73741" w:rsidRDefault="00C73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192"/>
      <w:docPartObj>
        <w:docPartGallery w:val="Page Numbers (Bottom of Page)"/>
        <w:docPartUnique/>
      </w:docPartObj>
    </w:sdtPr>
    <w:sdtEndPr>
      <w:rPr>
        <w:noProof/>
      </w:rPr>
    </w:sdtEndPr>
    <w:sdtContent>
      <w:p w14:paraId="1F43B19A" w14:textId="0DC1AD3A" w:rsidR="007F5EB2" w:rsidRDefault="007F5EB2">
        <w:pPr>
          <w:pStyle w:val="Footer"/>
          <w:jc w:val="center"/>
        </w:pPr>
        <w:r>
          <w:fldChar w:fldCharType="begin"/>
        </w:r>
        <w:r>
          <w:instrText xml:space="preserve"> PAGE   \* MERGEFORMAT </w:instrText>
        </w:r>
        <w:r>
          <w:fldChar w:fldCharType="separate"/>
        </w:r>
        <w:r w:rsidR="006F1CA4">
          <w:rPr>
            <w:noProof/>
          </w:rPr>
          <w:t>8</w:t>
        </w:r>
        <w:r>
          <w:rPr>
            <w:noProof/>
          </w:rPr>
          <w:fldChar w:fldCharType="end"/>
        </w:r>
      </w:p>
    </w:sdtContent>
  </w:sdt>
  <w:p w14:paraId="1D48408C" w14:textId="42DAF05E" w:rsidR="00854F56" w:rsidRPr="009A2654" w:rsidRDefault="007F5EB2" w:rsidP="00F172EC">
    <w:pPr>
      <w:pStyle w:val="Footer"/>
      <w:rPr>
        <w:rFonts w:ascii="Times New Roman" w:hAnsi="Times New Roman" w:cs="Times New Roman"/>
        <w:sz w:val="20"/>
        <w:szCs w:val="20"/>
      </w:rPr>
    </w:pPr>
    <w:r>
      <w:rPr>
        <w:rFonts w:ascii="Times New Roman" w:hAnsi="Times New Roman" w:cs="Times New Roman"/>
        <w:sz w:val="20"/>
        <w:szCs w:val="20"/>
      </w:rPr>
      <w:t>FMAnot_</w:t>
    </w:r>
    <w:r w:rsidR="003E545D">
      <w:rPr>
        <w:rFonts w:ascii="Times New Roman" w:hAnsi="Times New Roman" w:cs="Times New Roman"/>
        <w:sz w:val="20"/>
        <w:szCs w:val="20"/>
      </w:rPr>
      <w:t>14</w:t>
    </w:r>
    <w:r w:rsidR="00BC7625">
      <w:rPr>
        <w:rFonts w:ascii="Times New Roman" w:hAnsi="Times New Roman" w:cs="Times New Roman"/>
        <w:sz w:val="20"/>
        <w:szCs w:val="20"/>
      </w:rPr>
      <w:t>1220</w:t>
    </w:r>
    <w:r>
      <w:rPr>
        <w:rFonts w:ascii="Times New Roman" w:hAnsi="Times New Roman" w:cs="Times New Roman"/>
        <w:sz w:val="20"/>
        <w:szCs w:val="20"/>
      </w:rPr>
      <w:t>_par LB_</w:t>
    </w:r>
    <w:r w:rsidR="00195141">
      <w:rPr>
        <w:rFonts w:ascii="Times New Roman" w:hAnsi="Times New Roman" w:cs="Times New Roman"/>
        <w:sz w:val="20"/>
        <w:szCs w:val="20"/>
      </w:rPr>
      <w:t xml:space="preserve"> </w:t>
    </w:r>
    <w:r>
      <w:rPr>
        <w:rFonts w:ascii="Times New Roman" w:hAnsi="Times New Roman" w:cs="Times New Roman"/>
        <w:sz w:val="20"/>
        <w:szCs w:val="20"/>
      </w:rPr>
      <w:t>groz</w:t>
    </w:r>
    <w:r w:rsidR="008549AB">
      <w:rPr>
        <w:rFonts w:ascii="Times New Roman" w:hAnsi="Times New Roman" w:cs="Times New Roman"/>
        <w:sz w:val="20"/>
        <w:szCs w:val="20"/>
      </w:rPr>
      <w:t xml:space="preserve"> (TA-2541)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E050" w14:textId="68C4CF41" w:rsidR="009A2654" w:rsidRPr="009A2654" w:rsidRDefault="00854F56">
    <w:pPr>
      <w:pStyle w:val="Footer"/>
      <w:rPr>
        <w:rFonts w:ascii="Times New Roman" w:hAnsi="Times New Roman" w:cs="Times New Roman"/>
        <w:sz w:val="20"/>
        <w:szCs w:val="20"/>
      </w:rPr>
    </w:pPr>
    <w:r>
      <w:rPr>
        <w:rFonts w:ascii="Times New Roman" w:hAnsi="Times New Roman" w:cs="Times New Roman"/>
        <w:sz w:val="20"/>
        <w:szCs w:val="20"/>
      </w:rPr>
      <w:t>FM</w:t>
    </w:r>
    <w:r w:rsidR="00017B85">
      <w:rPr>
        <w:rFonts w:ascii="Times New Roman" w:hAnsi="Times New Roman" w:cs="Times New Roman"/>
        <w:sz w:val="20"/>
        <w:szCs w:val="20"/>
      </w:rPr>
      <w:t>A</w:t>
    </w:r>
    <w:r w:rsidR="009A2654">
      <w:rPr>
        <w:rFonts w:ascii="Times New Roman" w:hAnsi="Times New Roman" w:cs="Times New Roman"/>
        <w:sz w:val="20"/>
        <w:szCs w:val="20"/>
      </w:rPr>
      <w:t>not_</w:t>
    </w:r>
    <w:r w:rsidR="003E545D">
      <w:rPr>
        <w:rFonts w:ascii="Times New Roman" w:hAnsi="Times New Roman" w:cs="Times New Roman"/>
        <w:sz w:val="20"/>
        <w:szCs w:val="20"/>
      </w:rPr>
      <w:t>14</w:t>
    </w:r>
    <w:r w:rsidR="00017B85">
      <w:rPr>
        <w:rFonts w:ascii="Times New Roman" w:hAnsi="Times New Roman" w:cs="Times New Roman"/>
        <w:sz w:val="20"/>
        <w:szCs w:val="20"/>
      </w:rPr>
      <w:t>1</w:t>
    </w:r>
    <w:r w:rsidR="00BC7625">
      <w:rPr>
        <w:rFonts w:ascii="Times New Roman" w:hAnsi="Times New Roman" w:cs="Times New Roman"/>
        <w:sz w:val="20"/>
        <w:szCs w:val="20"/>
      </w:rPr>
      <w:t>2</w:t>
    </w:r>
    <w:r>
      <w:rPr>
        <w:rFonts w:ascii="Times New Roman" w:hAnsi="Times New Roman" w:cs="Times New Roman"/>
        <w:sz w:val="20"/>
        <w:szCs w:val="20"/>
      </w:rPr>
      <w:t>20</w:t>
    </w:r>
    <w:r w:rsidR="009A2654">
      <w:rPr>
        <w:rFonts w:ascii="Times New Roman" w:hAnsi="Times New Roman" w:cs="Times New Roman"/>
        <w:sz w:val="20"/>
        <w:szCs w:val="20"/>
      </w:rPr>
      <w:t>_</w:t>
    </w:r>
    <w:r w:rsidR="008A4B32">
      <w:rPr>
        <w:rFonts w:ascii="Times New Roman" w:hAnsi="Times New Roman" w:cs="Times New Roman"/>
        <w:sz w:val="20"/>
        <w:szCs w:val="20"/>
      </w:rPr>
      <w:t>par LB_groz</w:t>
    </w:r>
    <w:r w:rsidR="008549AB">
      <w:rPr>
        <w:rFonts w:ascii="Times New Roman" w:hAnsi="Times New Roman" w:cs="Times New Roman"/>
        <w:sz w:val="20"/>
        <w:szCs w:val="20"/>
      </w:rPr>
      <w:t xml:space="preserve"> (TA-2541)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081D" w14:textId="77777777" w:rsidR="00C73741" w:rsidRDefault="00C73741" w:rsidP="00894C55">
      <w:pPr>
        <w:spacing w:after="0" w:line="240" w:lineRule="auto"/>
      </w:pPr>
      <w:r>
        <w:separator/>
      </w:r>
    </w:p>
  </w:footnote>
  <w:footnote w:type="continuationSeparator" w:id="0">
    <w:p w14:paraId="7F4EFFD2" w14:textId="77777777" w:rsidR="00C73741" w:rsidRDefault="00C73741" w:rsidP="00894C55">
      <w:pPr>
        <w:spacing w:after="0" w:line="240" w:lineRule="auto"/>
      </w:pPr>
      <w:r>
        <w:continuationSeparator/>
      </w:r>
    </w:p>
  </w:footnote>
  <w:footnote w:type="continuationNotice" w:id="1">
    <w:p w14:paraId="1C0D2659" w14:textId="77777777" w:rsidR="00C73741" w:rsidRDefault="00C73741">
      <w:pPr>
        <w:spacing w:after="0" w:line="240" w:lineRule="auto"/>
      </w:pPr>
    </w:p>
  </w:footnote>
  <w:footnote w:id="2">
    <w:p w14:paraId="022ACBB9" w14:textId="77777777" w:rsidR="00C550E7" w:rsidRDefault="00C550E7" w:rsidP="00C550E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Satversmes tiesas 2016. gada 2. marta spriedums lietā Nr. 2015-11-03 "Par Latvijas Bankas 2014. gada 15. septembra noteikumu Nr. 141 "Noziedzīgi iegūtu līdzekļu legalizācijas un terorisma finansēšanas novēršanas prasības, veicot ārvalstu valūtu skaidrās naudas pirkšanu un pārdošanu" 19. un 20. punkta atbilstību Latvijas Republikas Satversmes 1. un 64. pantam, kā arī 91. panta pirmajam teikumam"; Satversmes tiesas 2020. gada 20. februāra spriedums lietā 2019-09-03 "Par Finanšu un kapitāla tirgus komisijas 2018. gada 20. decembra normatīvo noteikumu Nr. 198 "Finanšu un kapitāla tirgus dalībnieku maksājumu apmēra Finanšu un kapitāla tirgus komisijas finansēšanai 2019. gadā noteikšanas un pārskatu iesniegšanas normatīvie noteikumi" 2.11. punkta atbilstību Latvijas Republikas Satversmes 91. panta pirmajam teikumam".</w:t>
      </w:r>
    </w:p>
  </w:footnote>
  <w:footnote w:id="3">
    <w:p w14:paraId="3ED625B0" w14:textId="77777777" w:rsidR="00C550E7" w:rsidRDefault="00C550E7" w:rsidP="00C550E7">
      <w:pPr>
        <w:pStyle w:val="FootnoteText"/>
        <w:jc w:val="both"/>
        <w:rPr>
          <w:lang w:val="en-US"/>
        </w:rPr>
      </w:pPr>
      <w:r>
        <w:rPr>
          <w:rStyle w:val="FootnoteReference"/>
          <w:rFonts w:ascii="Times New Roman" w:hAnsi="Times New Roman" w:cs="Times New Roman"/>
        </w:rPr>
        <w:footnoteRef/>
      </w:r>
      <w:r>
        <w:t> </w:t>
      </w:r>
      <w:r>
        <w:rPr>
          <w:rFonts w:ascii="Times New Roman" w:hAnsi="Times New Roman" w:cs="Times New Roman"/>
        </w:rPr>
        <w:t xml:space="preserve">Eiropas Centrālā bankas 2020. gada jūnija Konverģences ziņojums. (Pieejams: </w:t>
      </w:r>
      <w:hyperlink r:id="rId1" w:history="1">
        <w:r>
          <w:rPr>
            <w:rStyle w:val="Hyperlink"/>
            <w:rFonts w:ascii="Times New Roman" w:hAnsi="Times New Roman" w:cs="Times New Roman"/>
          </w:rPr>
          <w:t>https://www.ecb.europa.eu/pub/convergence/html/ecb.cr202006~9fefc8d4c0.lv.html</w:t>
        </w:r>
      </w:hyperlink>
      <w:r>
        <w:rPr>
          <w:rFonts w:ascii="Times New Roman" w:hAnsi="Times New Roman" w:cs="Times New Roman"/>
        </w:rPr>
        <w:t>).</w:t>
      </w:r>
    </w:p>
  </w:footnote>
  <w:footnote w:id="4">
    <w:p w14:paraId="3870B498" w14:textId="77777777" w:rsidR="00C550E7" w:rsidRDefault="00C550E7" w:rsidP="00C550E7">
      <w:pPr>
        <w:pStyle w:val="FootnoteText"/>
        <w:rPr>
          <w:rFonts w:ascii="Times New Roman" w:hAnsi="Times New Roman" w:cs="Times New Roman"/>
        </w:rPr>
      </w:pPr>
      <w:r>
        <w:rPr>
          <w:rStyle w:val="FootnoteReference"/>
        </w:rPr>
        <w:footnoteRef/>
      </w:r>
      <w:r>
        <w:t xml:space="preserve"> </w:t>
      </w:r>
      <w:r>
        <w:rPr>
          <w:rStyle w:val="normaltextrun"/>
          <w:rFonts w:ascii="Times New Roman" w:hAnsi="Times New Roman" w:cs="Times New Roman"/>
          <w:color w:val="000000"/>
          <w:shd w:val="clear" w:color="auto" w:fill="FFFFFF"/>
        </w:rPr>
        <w:t>Ministru kabineta 2020. gada 26. maija vēstules Nr. 18/TA-949 "Par </w:t>
      </w:r>
      <w:r>
        <w:rPr>
          <w:rStyle w:val="findhit"/>
          <w:rFonts w:ascii="Times New Roman" w:hAnsi="Times New Roman" w:cs="Times New Roman"/>
          <w:color w:val="000000"/>
          <w:shd w:val="clear" w:color="auto" w:fill="FFFFFF"/>
        </w:rPr>
        <w:t>izvērtējum</w:t>
      </w:r>
      <w:r>
        <w:rPr>
          <w:rStyle w:val="normaltextrun"/>
          <w:rFonts w:ascii="Times New Roman" w:hAnsi="Times New Roman" w:cs="Times New Roman"/>
          <w:color w:val="000000"/>
          <w:shd w:val="clear" w:color="auto" w:fill="FFFFFF"/>
        </w:rPr>
        <w:t>u par Finanšu un kapitāla tirgus komisijas pievienošanu Latvijas Bankai" 2. pielikuma 23.lpp. (Pieejams: </w:t>
      </w:r>
      <w:hyperlink r:id="rId2" w:tgtFrame="_blank" w:history="1">
        <w:r>
          <w:rPr>
            <w:rStyle w:val="normaltextrun"/>
            <w:rFonts w:ascii="Times New Roman" w:hAnsi="Times New Roman" w:cs="Times New Roman"/>
            <w:shd w:val="clear" w:color="auto" w:fill="FFFFFF"/>
          </w:rPr>
          <w:t>http://titania.saeima.lv/livs/saeimasnotikumi.nsf/0/12b71d0d81a81637c225857700396547/$FILE/pielikums_949.pdf</w:t>
        </w:r>
      </w:hyperlink>
      <w:r>
        <w:rPr>
          <w:rStyle w:val="normaltextrun"/>
          <w:rFonts w:ascii="Times New Roman" w:hAnsi="Times New Roman" w:cs="Times New Roman"/>
          <w:color w:val="000000"/>
          <w:shd w:val="clear" w:color="auto" w:fill="FFFFFF"/>
        </w:rPr>
        <w:t>)</w:t>
      </w:r>
    </w:p>
  </w:footnote>
  <w:footnote w:id="5">
    <w:p w14:paraId="56CD0C06" w14:textId="77777777" w:rsidR="00C550E7" w:rsidRDefault="00C550E7" w:rsidP="00C550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Cs/>
        </w:rPr>
        <w:t xml:space="preserve">Saeimas </w:t>
      </w:r>
      <w:r>
        <w:rPr>
          <w:rFonts w:ascii="Times New Roman" w:hAnsi="Times New Roman" w:cs="Times New Roman"/>
          <w:bCs/>
          <w:iCs/>
        </w:rPr>
        <w:t>Budžeta un finanšu (nodokļu) komisijas 2019. gada 11. septembra sēdes protokols Nr. 76 (Pieejams:</w:t>
      </w:r>
      <w:hyperlink r:id="rId3" w:history="1">
        <w:r>
          <w:rPr>
            <w:rStyle w:val="Hyperlink"/>
            <w:rFonts w:ascii="Times New Roman" w:hAnsi="Times New Roman" w:cs="Times New Roman"/>
          </w:rPr>
          <w:t>http://titania.saeima.lv/livs/saeimasnotikumi.nsf/0/9C20CA1B3F315AFBC225846D00248CFD?OpenDocument&amp;prevCat=13|Bud%C5%BEeta%20un%20finan%C5%A1u%20(nodok%C4%BCu)%20komisija</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0CE3" w14:textId="118A92DA"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DEC"/>
    <w:multiLevelType w:val="hybridMultilevel"/>
    <w:tmpl w:val="3B407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BB7D32"/>
    <w:multiLevelType w:val="multilevel"/>
    <w:tmpl w:val="12188A86"/>
    <w:lvl w:ilvl="0">
      <w:start w:val="1"/>
      <w:numFmt w:val="decimal"/>
      <w:pStyle w:val="NApunkts1"/>
      <w:suff w:val="space"/>
      <w:lvlText w:val="%1."/>
      <w:lvlJc w:val="left"/>
      <w:pPr>
        <w:ind w:left="360" w:hanging="360"/>
      </w:pPr>
    </w:lvl>
    <w:lvl w:ilvl="1">
      <w:start w:val="1"/>
      <w:numFmt w:val="decimal"/>
      <w:pStyle w:val="NApunkts2"/>
      <w:suff w:val="space"/>
      <w:lvlText w:val="%1.%2."/>
      <w:lvlJc w:val="left"/>
      <w:pPr>
        <w:ind w:left="0" w:firstLine="0"/>
      </w:pPr>
    </w:lvl>
    <w:lvl w:ilvl="2">
      <w:start w:val="1"/>
      <w:numFmt w:val="decimal"/>
      <w:pStyle w:val="NApunkts3"/>
      <w:suff w:val="space"/>
      <w:lvlText w:val="%1.%2.%3."/>
      <w:lvlJc w:val="left"/>
      <w:pPr>
        <w:ind w:left="0" w:firstLine="0"/>
      </w:pPr>
    </w:lvl>
    <w:lvl w:ilvl="3">
      <w:start w:val="1"/>
      <w:numFmt w:val="decimal"/>
      <w:pStyle w:val="NApunkts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504697"/>
    <w:multiLevelType w:val="hybridMultilevel"/>
    <w:tmpl w:val="5E900F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D348E9"/>
    <w:multiLevelType w:val="hybridMultilevel"/>
    <w:tmpl w:val="952893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396"/>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891"/>
    <w:rsid w:val="00017B85"/>
    <w:rsid w:val="00065EE6"/>
    <w:rsid w:val="0008074A"/>
    <w:rsid w:val="00083875"/>
    <w:rsid w:val="0008771E"/>
    <w:rsid w:val="00090A4B"/>
    <w:rsid w:val="000A4B26"/>
    <w:rsid w:val="000B0127"/>
    <w:rsid w:val="000B38D2"/>
    <w:rsid w:val="000D133B"/>
    <w:rsid w:val="000D1FF0"/>
    <w:rsid w:val="000F0A2B"/>
    <w:rsid w:val="00107DAF"/>
    <w:rsid w:val="001212B6"/>
    <w:rsid w:val="001341DE"/>
    <w:rsid w:val="00140E5A"/>
    <w:rsid w:val="001427A6"/>
    <w:rsid w:val="001712AF"/>
    <w:rsid w:val="00186635"/>
    <w:rsid w:val="00192DD8"/>
    <w:rsid w:val="00195141"/>
    <w:rsid w:val="001B3428"/>
    <w:rsid w:val="001B6A66"/>
    <w:rsid w:val="00213331"/>
    <w:rsid w:val="002210AE"/>
    <w:rsid w:val="00223E54"/>
    <w:rsid w:val="00243426"/>
    <w:rsid w:val="002444C7"/>
    <w:rsid w:val="00247F42"/>
    <w:rsid w:val="00255BA2"/>
    <w:rsid w:val="00283DDE"/>
    <w:rsid w:val="002922F4"/>
    <w:rsid w:val="00295D60"/>
    <w:rsid w:val="002D3A3B"/>
    <w:rsid w:val="002E1C05"/>
    <w:rsid w:val="002E59FB"/>
    <w:rsid w:val="002F288D"/>
    <w:rsid w:val="002F43F1"/>
    <w:rsid w:val="002F520E"/>
    <w:rsid w:val="00307BE7"/>
    <w:rsid w:val="003139FC"/>
    <w:rsid w:val="003146DF"/>
    <w:rsid w:val="00344D35"/>
    <w:rsid w:val="0035271A"/>
    <w:rsid w:val="00373675"/>
    <w:rsid w:val="00384C65"/>
    <w:rsid w:val="00390A57"/>
    <w:rsid w:val="00395C15"/>
    <w:rsid w:val="003A1A34"/>
    <w:rsid w:val="003A5686"/>
    <w:rsid w:val="003B0BF9"/>
    <w:rsid w:val="003B324B"/>
    <w:rsid w:val="003B7493"/>
    <w:rsid w:val="003E0791"/>
    <w:rsid w:val="003E545D"/>
    <w:rsid w:val="003F1069"/>
    <w:rsid w:val="003F28AC"/>
    <w:rsid w:val="00400CB5"/>
    <w:rsid w:val="00405F72"/>
    <w:rsid w:val="00420474"/>
    <w:rsid w:val="00431F9E"/>
    <w:rsid w:val="004454FE"/>
    <w:rsid w:val="00451F29"/>
    <w:rsid w:val="00456E40"/>
    <w:rsid w:val="0045706B"/>
    <w:rsid w:val="00471F27"/>
    <w:rsid w:val="00487955"/>
    <w:rsid w:val="004A2F21"/>
    <w:rsid w:val="004A6D57"/>
    <w:rsid w:val="004C50E5"/>
    <w:rsid w:val="004E49BD"/>
    <w:rsid w:val="0050178F"/>
    <w:rsid w:val="00503535"/>
    <w:rsid w:val="00517327"/>
    <w:rsid w:val="00521B36"/>
    <w:rsid w:val="00522536"/>
    <w:rsid w:val="00530D2C"/>
    <w:rsid w:val="005327FC"/>
    <w:rsid w:val="005620C1"/>
    <w:rsid w:val="005664F0"/>
    <w:rsid w:val="00577F6F"/>
    <w:rsid w:val="00583AE2"/>
    <w:rsid w:val="00584EE3"/>
    <w:rsid w:val="005A0753"/>
    <w:rsid w:val="005A1628"/>
    <w:rsid w:val="005A4B4E"/>
    <w:rsid w:val="005B1077"/>
    <w:rsid w:val="005B5021"/>
    <w:rsid w:val="005B5BFB"/>
    <w:rsid w:val="005D6549"/>
    <w:rsid w:val="005E2A48"/>
    <w:rsid w:val="005E5A7C"/>
    <w:rsid w:val="0060162A"/>
    <w:rsid w:val="00605C70"/>
    <w:rsid w:val="00621E83"/>
    <w:rsid w:val="00623747"/>
    <w:rsid w:val="00630BF1"/>
    <w:rsid w:val="00631412"/>
    <w:rsid w:val="006511A6"/>
    <w:rsid w:val="00663BD6"/>
    <w:rsid w:val="00670E81"/>
    <w:rsid w:val="00672039"/>
    <w:rsid w:val="00684C2D"/>
    <w:rsid w:val="0068683A"/>
    <w:rsid w:val="00690817"/>
    <w:rsid w:val="006D79AE"/>
    <w:rsid w:val="006E1081"/>
    <w:rsid w:val="006F0111"/>
    <w:rsid w:val="006F1CA4"/>
    <w:rsid w:val="00714C94"/>
    <w:rsid w:val="00720585"/>
    <w:rsid w:val="007250B3"/>
    <w:rsid w:val="00751E14"/>
    <w:rsid w:val="00763871"/>
    <w:rsid w:val="007658FA"/>
    <w:rsid w:val="00773AF6"/>
    <w:rsid w:val="00781FD0"/>
    <w:rsid w:val="00795F71"/>
    <w:rsid w:val="007974F3"/>
    <w:rsid w:val="007C08E3"/>
    <w:rsid w:val="007D3A52"/>
    <w:rsid w:val="007E73AB"/>
    <w:rsid w:val="007F54D4"/>
    <w:rsid w:val="007F5EB2"/>
    <w:rsid w:val="00816C11"/>
    <w:rsid w:val="00822D31"/>
    <w:rsid w:val="00833202"/>
    <w:rsid w:val="00846E11"/>
    <w:rsid w:val="008549AB"/>
    <w:rsid w:val="00854A90"/>
    <w:rsid w:val="00854F56"/>
    <w:rsid w:val="00880011"/>
    <w:rsid w:val="00883DE0"/>
    <w:rsid w:val="008852C6"/>
    <w:rsid w:val="008913D6"/>
    <w:rsid w:val="00894C55"/>
    <w:rsid w:val="008A4B32"/>
    <w:rsid w:val="008C46CD"/>
    <w:rsid w:val="008C6372"/>
    <w:rsid w:val="008C7975"/>
    <w:rsid w:val="008E1632"/>
    <w:rsid w:val="008E386C"/>
    <w:rsid w:val="008F7633"/>
    <w:rsid w:val="008F7F3B"/>
    <w:rsid w:val="00931183"/>
    <w:rsid w:val="00942579"/>
    <w:rsid w:val="00984953"/>
    <w:rsid w:val="009937CB"/>
    <w:rsid w:val="00994719"/>
    <w:rsid w:val="009957C7"/>
    <w:rsid w:val="00995E1E"/>
    <w:rsid w:val="009969D1"/>
    <w:rsid w:val="009A0337"/>
    <w:rsid w:val="009A1E44"/>
    <w:rsid w:val="009A2654"/>
    <w:rsid w:val="009A416D"/>
    <w:rsid w:val="009A6C06"/>
    <w:rsid w:val="009B6ABF"/>
    <w:rsid w:val="009E0F85"/>
    <w:rsid w:val="009E1AA1"/>
    <w:rsid w:val="009E29BE"/>
    <w:rsid w:val="009F21A4"/>
    <w:rsid w:val="00A06125"/>
    <w:rsid w:val="00A10FC3"/>
    <w:rsid w:val="00A15A90"/>
    <w:rsid w:val="00A50E8C"/>
    <w:rsid w:val="00A6073E"/>
    <w:rsid w:val="00A630E5"/>
    <w:rsid w:val="00A649C3"/>
    <w:rsid w:val="00A65E4D"/>
    <w:rsid w:val="00A8446C"/>
    <w:rsid w:val="00A870DC"/>
    <w:rsid w:val="00A87687"/>
    <w:rsid w:val="00A877E6"/>
    <w:rsid w:val="00A95873"/>
    <w:rsid w:val="00AA7032"/>
    <w:rsid w:val="00AB3A03"/>
    <w:rsid w:val="00AC0185"/>
    <w:rsid w:val="00AC1198"/>
    <w:rsid w:val="00AC4DD1"/>
    <w:rsid w:val="00AD351B"/>
    <w:rsid w:val="00AE5567"/>
    <w:rsid w:val="00B01914"/>
    <w:rsid w:val="00B10E44"/>
    <w:rsid w:val="00B16480"/>
    <w:rsid w:val="00B2165C"/>
    <w:rsid w:val="00B33CA4"/>
    <w:rsid w:val="00B4383C"/>
    <w:rsid w:val="00B60847"/>
    <w:rsid w:val="00B6676F"/>
    <w:rsid w:val="00B71334"/>
    <w:rsid w:val="00B94D1A"/>
    <w:rsid w:val="00BA20AA"/>
    <w:rsid w:val="00BA2F8E"/>
    <w:rsid w:val="00BB4798"/>
    <w:rsid w:val="00BB70F4"/>
    <w:rsid w:val="00BC0860"/>
    <w:rsid w:val="00BC7539"/>
    <w:rsid w:val="00BC7625"/>
    <w:rsid w:val="00BD4425"/>
    <w:rsid w:val="00BD657D"/>
    <w:rsid w:val="00BF7ED2"/>
    <w:rsid w:val="00C23F9B"/>
    <w:rsid w:val="00C25B49"/>
    <w:rsid w:val="00C34490"/>
    <w:rsid w:val="00C42F50"/>
    <w:rsid w:val="00C550E7"/>
    <w:rsid w:val="00C658E8"/>
    <w:rsid w:val="00C73741"/>
    <w:rsid w:val="00C8251D"/>
    <w:rsid w:val="00CA5279"/>
    <w:rsid w:val="00CC195C"/>
    <w:rsid w:val="00CC325F"/>
    <w:rsid w:val="00CD526E"/>
    <w:rsid w:val="00CE4FA5"/>
    <w:rsid w:val="00CE5657"/>
    <w:rsid w:val="00CF39DC"/>
    <w:rsid w:val="00CF6106"/>
    <w:rsid w:val="00D133F8"/>
    <w:rsid w:val="00D14A3E"/>
    <w:rsid w:val="00D65B5D"/>
    <w:rsid w:val="00D85D78"/>
    <w:rsid w:val="00DD173A"/>
    <w:rsid w:val="00DD592B"/>
    <w:rsid w:val="00DE6A7D"/>
    <w:rsid w:val="00DE79D9"/>
    <w:rsid w:val="00DF5A88"/>
    <w:rsid w:val="00DF78AB"/>
    <w:rsid w:val="00E35A0C"/>
    <w:rsid w:val="00E3716B"/>
    <w:rsid w:val="00E5323B"/>
    <w:rsid w:val="00E56751"/>
    <w:rsid w:val="00E84479"/>
    <w:rsid w:val="00E8749E"/>
    <w:rsid w:val="00E90C01"/>
    <w:rsid w:val="00EA190F"/>
    <w:rsid w:val="00EA486E"/>
    <w:rsid w:val="00ED1582"/>
    <w:rsid w:val="00EE1D6B"/>
    <w:rsid w:val="00F05785"/>
    <w:rsid w:val="00F05DE6"/>
    <w:rsid w:val="00F11D82"/>
    <w:rsid w:val="00F172EC"/>
    <w:rsid w:val="00F22172"/>
    <w:rsid w:val="00F308C4"/>
    <w:rsid w:val="00F3169E"/>
    <w:rsid w:val="00F31F11"/>
    <w:rsid w:val="00F33C43"/>
    <w:rsid w:val="00F57B0C"/>
    <w:rsid w:val="00F61CCC"/>
    <w:rsid w:val="00F66276"/>
    <w:rsid w:val="00F7365B"/>
    <w:rsid w:val="00F74938"/>
    <w:rsid w:val="00F92CA1"/>
    <w:rsid w:val="00FC2723"/>
    <w:rsid w:val="00FF5D4F"/>
    <w:rsid w:val="0CFD74EF"/>
    <w:rsid w:val="1589BA58"/>
    <w:rsid w:val="3174AA3D"/>
    <w:rsid w:val="34A215E9"/>
    <w:rsid w:val="3F41DF07"/>
    <w:rsid w:val="46D37699"/>
    <w:rsid w:val="471D9E63"/>
    <w:rsid w:val="488456CC"/>
    <w:rsid w:val="568C3944"/>
    <w:rsid w:val="58CA60ED"/>
    <w:rsid w:val="5C4EF7F5"/>
    <w:rsid w:val="631239E7"/>
    <w:rsid w:val="65CC738A"/>
    <w:rsid w:val="69D4D58B"/>
    <w:rsid w:val="69E727F1"/>
    <w:rsid w:val="75AA6B92"/>
    <w:rsid w:val="78AEE2A1"/>
    <w:rsid w:val="7C81ABB3"/>
    <w:rsid w:val="7F258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968BCB"/>
  <w15:docId w15:val="{F3C97D5F-1766-456F-97E5-55B022A4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normaltextrun">
    <w:name w:val="normaltextrun"/>
    <w:basedOn w:val="DefaultParagraphFont"/>
    <w:rsid w:val="00405F72"/>
  </w:style>
  <w:style w:type="character" w:customStyle="1" w:styleId="eop">
    <w:name w:val="eop"/>
    <w:basedOn w:val="DefaultParagraphFont"/>
    <w:rsid w:val="00405F72"/>
  </w:style>
  <w:style w:type="paragraph" w:styleId="ListParagraph">
    <w:name w:val="List Paragraph"/>
    <w:basedOn w:val="Normal"/>
    <w:uiPriority w:val="34"/>
    <w:qFormat/>
    <w:rsid w:val="00CC325F"/>
    <w:pPr>
      <w:spacing w:line="259" w:lineRule="auto"/>
      <w:ind w:left="720"/>
      <w:contextualSpacing/>
    </w:pPr>
  </w:style>
  <w:style w:type="paragraph" w:customStyle="1" w:styleId="paragraph">
    <w:name w:val="paragraph"/>
    <w:basedOn w:val="Normal"/>
    <w:rsid w:val="002922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2922F4"/>
  </w:style>
  <w:style w:type="character" w:styleId="CommentReference">
    <w:name w:val="annotation reference"/>
    <w:basedOn w:val="DefaultParagraphFont"/>
    <w:uiPriority w:val="99"/>
    <w:semiHidden/>
    <w:unhideWhenUsed/>
    <w:rsid w:val="009A1E44"/>
    <w:rPr>
      <w:sz w:val="16"/>
      <w:szCs w:val="16"/>
    </w:rPr>
  </w:style>
  <w:style w:type="paragraph" w:styleId="CommentText">
    <w:name w:val="annotation text"/>
    <w:basedOn w:val="Normal"/>
    <w:link w:val="CommentTextChar"/>
    <w:uiPriority w:val="99"/>
    <w:semiHidden/>
    <w:unhideWhenUsed/>
    <w:rsid w:val="009A1E44"/>
    <w:pPr>
      <w:spacing w:line="240" w:lineRule="auto"/>
    </w:pPr>
    <w:rPr>
      <w:sz w:val="20"/>
      <w:szCs w:val="20"/>
    </w:rPr>
  </w:style>
  <w:style w:type="character" w:customStyle="1" w:styleId="CommentTextChar">
    <w:name w:val="Comment Text Char"/>
    <w:basedOn w:val="DefaultParagraphFont"/>
    <w:link w:val="CommentText"/>
    <w:uiPriority w:val="99"/>
    <w:semiHidden/>
    <w:rsid w:val="009A1E44"/>
    <w:rPr>
      <w:sz w:val="20"/>
      <w:szCs w:val="20"/>
    </w:rPr>
  </w:style>
  <w:style w:type="paragraph" w:styleId="CommentSubject">
    <w:name w:val="annotation subject"/>
    <w:basedOn w:val="CommentText"/>
    <w:next w:val="CommentText"/>
    <w:link w:val="CommentSubjectChar"/>
    <w:uiPriority w:val="99"/>
    <w:semiHidden/>
    <w:unhideWhenUsed/>
    <w:rsid w:val="009A1E44"/>
    <w:rPr>
      <w:b/>
      <w:bCs/>
    </w:rPr>
  </w:style>
  <w:style w:type="character" w:customStyle="1" w:styleId="CommentSubjectChar">
    <w:name w:val="Comment Subject Char"/>
    <w:basedOn w:val="CommentTextChar"/>
    <w:link w:val="CommentSubject"/>
    <w:uiPriority w:val="99"/>
    <w:semiHidden/>
    <w:rsid w:val="009A1E44"/>
    <w:rPr>
      <w:b/>
      <w:bCs/>
      <w:sz w:val="20"/>
      <w:szCs w:val="20"/>
    </w:rPr>
  </w:style>
  <w:style w:type="paragraph" w:styleId="FootnoteText">
    <w:name w:val="footnote text"/>
    <w:basedOn w:val="Normal"/>
    <w:link w:val="FootnoteTextChar"/>
    <w:uiPriority w:val="99"/>
    <w:unhideWhenUsed/>
    <w:rsid w:val="00984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53"/>
    <w:rPr>
      <w:sz w:val="20"/>
      <w:szCs w:val="20"/>
    </w:rPr>
  </w:style>
  <w:style w:type="character" w:styleId="FootnoteReference">
    <w:name w:val="footnote reference"/>
    <w:basedOn w:val="DefaultParagraphFont"/>
    <w:uiPriority w:val="99"/>
    <w:semiHidden/>
    <w:unhideWhenUsed/>
    <w:rsid w:val="00984953"/>
    <w:rPr>
      <w:vertAlign w:val="superscript"/>
    </w:rPr>
  </w:style>
  <w:style w:type="character" w:customStyle="1" w:styleId="Neatrisintapieminana1">
    <w:name w:val="Neatrisināta pieminēšana1"/>
    <w:basedOn w:val="DefaultParagraphFont"/>
    <w:uiPriority w:val="99"/>
    <w:semiHidden/>
    <w:unhideWhenUsed/>
    <w:rsid w:val="008913D6"/>
    <w:rPr>
      <w:color w:val="605E5C"/>
      <w:shd w:val="clear" w:color="auto" w:fill="E1DFDD"/>
    </w:rPr>
  </w:style>
  <w:style w:type="character" w:customStyle="1" w:styleId="NApunkts1Rakstz">
    <w:name w:val="NA punkts 1 Rakstz."/>
    <w:basedOn w:val="DefaultParagraphFont"/>
    <w:link w:val="NApunkts1"/>
    <w:locked/>
    <w:rsid w:val="00577F6F"/>
    <w:rPr>
      <w:rFonts w:ascii="Calibri" w:hAnsi="Calibri" w:cs="Calibri"/>
      <w:sz w:val="24"/>
      <w:szCs w:val="24"/>
    </w:rPr>
  </w:style>
  <w:style w:type="paragraph" w:customStyle="1" w:styleId="NApunkts1">
    <w:name w:val="NA punkts 1"/>
    <w:basedOn w:val="Normal"/>
    <w:link w:val="NApunkts1Rakstz"/>
    <w:rsid w:val="00577F6F"/>
    <w:pPr>
      <w:numPr>
        <w:numId w:val="3"/>
      </w:numPr>
      <w:spacing w:before="240" w:after="0" w:line="240" w:lineRule="auto"/>
      <w:ind w:left="0" w:firstLine="0"/>
      <w:jc w:val="both"/>
    </w:pPr>
    <w:rPr>
      <w:rFonts w:ascii="Calibri" w:hAnsi="Calibri" w:cs="Calibri"/>
      <w:sz w:val="24"/>
      <w:szCs w:val="24"/>
    </w:rPr>
  </w:style>
  <w:style w:type="paragraph" w:customStyle="1" w:styleId="NApunkts2">
    <w:name w:val="NA punkts 2"/>
    <w:basedOn w:val="Normal"/>
    <w:rsid w:val="00577F6F"/>
    <w:pPr>
      <w:numPr>
        <w:ilvl w:val="1"/>
        <w:numId w:val="3"/>
      </w:numPr>
      <w:spacing w:after="0" w:line="240" w:lineRule="auto"/>
      <w:jc w:val="both"/>
    </w:pPr>
    <w:rPr>
      <w:rFonts w:ascii="Times New Roman" w:hAnsi="Times New Roman" w:cs="Times New Roman"/>
      <w:sz w:val="24"/>
      <w:szCs w:val="24"/>
      <w:lang w:eastAsia="lv-LV"/>
    </w:rPr>
  </w:style>
  <w:style w:type="paragraph" w:customStyle="1" w:styleId="NApunkts3">
    <w:name w:val="NA punkts 3"/>
    <w:basedOn w:val="Normal"/>
    <w:rsid w:val="00577F6F"/>
    <w:pPr>
      <w:numPr>
        <w:ilvl w:val="2"/>
        <w:numId w:val="3"/>
      </w:numPr>
      <w:spacing w:after="0" w:line="240" w:lineRule="auto"/>
      <w:jc w:val="both"/>
    </w:pPr>
    <w:rPr>
      <w:rFonts w:ascii="Times New Roman" w:hAnsi="Times New Roman" w:cs="Times New Roman"/>
      <w:sz w:val="24"/>
      <w:szCs w:val="24"/>
      <w:lang w:eastAsia="lv-LV"/>
    </w:rPr>
  </w:style>
  <w:style w:type="paragraph" w:customStyle="1" w:styleId="NApunkts4">
    <w:name w:val="NA punkts 4"/>
    <w:basedOn w:val="Normal"/>
    <w:rsid w:val="00577F6F"/>
    <w:pPr>
      <w:numPr>
        <w:ilvl w:val="3"/>
        <w:numId w:val="3"/>
      </w:numPr>
      <w:spacing w:after="0" w:line="240" w:lineRule="auto"/>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686277">
      <w:bodyDiv w:val="1"/>
      <w:marLeft w:val="0"/>
      <w:marRight w:val="0"/>
      <w:marTop w:val="0"/>
      <w:marBottom w:val="0"/>
      <w:divBdr>
        <w:top w:val="none" w:sz="0" w:space="0" w:color="auto"/>
        <w:left w:val="none" w:sz="0" w:space="0" w:color="auto"/>
        <w:bottom w:val="none" w:sz="0" w:space="0" w:color="auto"/>
        <w:right w:val="none" w:sz="0" w:space="0" w:color="auto"/>
      </w:divBdr>
    </w:div>
    <w:div w:id="446316039">
      <w:bodyDiv w:val="1"/>
      <w:marLeft w:val="0"/>
      <w:marRight w:val="0"/>
      <w:marTop w:val="0"/>
      <w:marBottom w:val="0"/>
      <w:divBdr>
        <w:top w:val="none" w:sz="0" w:space="0" w:color="auto"/>
        <w:left w:val="none" w:sz="0" w:space="0" w:color="auto"/>
        <w:bottom w:val="none" w:sz="0" w:space="0" w:color="auto"/>
        <w:right w:val="none" w:sz="0" w:space="0" w:color="auto"/>
      </w:divBdr>
    </w:div>
    <w:div w:id="683169044">
      <w:bodyDiv w:val="1"/>
      <w:marLeft w:val="0"/>
      <w:marRight w:val="0"/>
      <w:marTop w:val="0"/>
      <w:marBottom w:val="0"/>
      <w:divBdr>
        <w:top w:val="none" w:sz="0" w:space="0" w:color="auto"/>
        <w:left w:val="none" w:sz="0" w:space="0" w:color="auto"/>
        <w:bottom w:val="none" w:sz="0" w:space="0" w:color="auto"/>
        <w:right w:val="none" w:sz="0" w:space="0" w:color="auto"/>
      </w:divBdr>
      <w:divsChild>
        <w:div w:id="65416153">
          <w:marLeft w:val="0"/>
          <w:marRight w:val="0"/>
          <w:marTop w:val="0"/>
          <w:marBottom w:val="0"/>
          <w:divBdr>
            <w:top w:val="none" w:sz="0" w:space="0" w:color="auto"/>
            <w:left w:val="none" w:sz="0" w:space="0" w:color="auto"/>
            <w:bottom w:val="none" w:sz="0" w:space="0" w:color="auto"/>
            <w:right w:val="none" w:sz="0" w:space="0" w:color="auto"/>
          </w:divBdr>
        </w:div>
        <w:div w:id="673462682">
          <w:marLeft w:val="0"/>
          <w:marRight w:val="0"/>
          <w:marTop w:val="0"/>
          <w:marBottom w:val="0"/>
          <w:divBdr>
            <w:top w:val="none" w:sz="0" w:space="0" w:color="auto"/>
            <w:left w:val="none" w:sz="0" w:space="0" w:color="auto"/>
            <w:bottom w:val="none" w:sz="0" w:space="0" w:color="auto"/>
            <w:right w:val="none" w:sz="0" w:space="0" w:color="auto"/>
          </w:divBdr>
        </w:div>
        <w:div w:id="719522600">
          <w:marLeft w:val="0"/>
          <w:marRight w:val="0"/>
          <w:marTop w:val="0"/>
          <w:marBottom w:val="0"/>
          <w:divBdr>
            <w:top w:val="none" w:sz="0" w:space="0" w:color="auto"/>
            <w:left w:val="none" w:sz="0" w:space="0" w:color="auto"/>
            <w:bottom w:val="none" w:sz="0" w:space="0" w:color="auto"/>
            <w:right w:val="none" w:sz="0" w:space="0" w:color="auto"/>
          </w:divBdr>
        </w:div>
        <w:div w:id="1440645046">
          <w:marLeft w:val="0"/>
          <w:marRight w:val="0"/>
          <w:marTop w:val="0"/>
          <w:marBottom w:val="0"/>
          <w:divBdr>
            <w:top w:val="none" w:sz="0" w:space="0" w:color="auto"/>
            <w:left w:val="none" w:sz="0" w:space="0" w:color="auto"/>
            <w:bottom w:val="none" w:sz="0" w:space="0" w:color="auto"/>
            <w:right w:val="none" w:sz="0" w:space="0" w:color="auto"/>
          </w:divBdr>
        </w:div>
        <w:div w:id="1793210393">
          <w:marLeft w:val="0"/>
          <w:marRight w:val="0"/>
          <w:marTop w:val="0"/>
          <w:marBottom w:val="0"/>
          <w:divBdr>
            <w:top w:val="none" w:sz="0" w:space="0" w:color="auto"/>
            <w:left w:val="none" w:sz="0" w:space="0" w:color="auto"/>
            <w:bottom w:val="none" w:sz="0" w:space="0" w:color="auto"/>
            <w:right w:val="none" w:sz="0" w:space="0" w:color="auto"/>
          </w:divBdr>
        </w:div>
      </w:divsChild>
    </w:div>
    <w:div w:id="826433424">
      <w:bodyDiv w:val="1"/>
      <w:marLeft w:val="0"/>
      <w:marRight w:val="0"/>
      <w:marTop w:val="0"/>
      <w:marBottom w:val="0"/>
      <w:divBdr>
        <w:top w:val="none" w:sz="0" w:space="0" w:color="auto"/>
        <w:left w:val="none" w:sz="0" w:space="0" w:color="auto"/>
        <w:bottom w:val="none" w:sz="0" w:space="0" w:color="auto"/>
        <w:right w:val="none" w:sz="0" w:space="0" w:color="auto"/>
      </w:divBdr>
    </w:div>
    <w:div w:id="889073937">
      <w:bodyDiv w:val="1"/>
      <w:marLeft w:val="0"/>
      <w:marRight w:val="0"/>
      <w:marTop w:val="0"/>
      <w:marBottom w:val="0"/>
      <w:divBdr>
        <w:top w:val="none" w:sz="0" w:space="0" w:color="auto"/>
        <w:left w:val="none" w:sz="0" w:space="0" w:color="auto"/>
        <w:bottom w:val="none" w:sz="0" w:space="0" w:color="auto"/>
        <w:right w:val="none" w:sz="0" w:space="0" w:color="auto"/>
      </w:divBdr>
      <w:divsChild>
        <w:div w:id="43985420">
          <w:marLeft w:val="0"/>
          <w:marRight w:val="0"/>
          <w:marTop w:val="0"/>
          <w:marBottom w:val="0"/>
          <w:divBdr>
            <w:top w:val="none" w:sz="0" w:space="0" w:color="auto"/>
            <w:left w:val="none" w:sz="0" w:space="0" w:color="auto"/>
            <w:bottom w:val="none" w:sz="0" w:space="0" w:color="auto"/>
            <w:right w:val="none" w:sz="0" w:space="0" w:color="auto"/>
          </w:divBdr>
        </w:div>
        <w:div w:id="491992880">
          <w:marLeft w:val="0"/>
          <w:marRight w:val="0"/>
          <w:marTop w:val="0"/>
          <w:marBottom w:val="0"/>
          <w:divBdr>
            <w:top w:val="none" w:sz="0" w:space="0" w:color="auto"/>
            <w:left w:val="none" w:sz="0" w:space="0" w:color="auto"/>
            <w:bottom w:val="none" w:sz="0" w:space="0" w:color="auto"/>
            <w:right w:val="none" w:sz="0" w:space="0" w:color="auto"/>
          </w:divBdr>
        </w:div>
        <w:div w:id="1032657249">
          <w:marLeft w:val="0"/>
          <w:marRight w:val="0"/>
          <w:marTop w:val="0"/>
          <w:marBottom w:val="0"/>
          <w:divBdr>
            <w:top w:val="none" w:sz="0" w:space="0" w:color="auto"/>
            <w:left w:val="none" w:sz="0" w:space="0" w:color="auto"/>
            <w:bottom w:val="none" w:sz="0" w:space="0" w:color="auto"/>
            <w:right w:val="none" w:sz="0" w:space="0" w:color="auto"/>
          </w:divBdr>
        </w:div>
      </w:divsChild>
    </w:div>
    <w:div w:id="940114327">
      <w:bodyDiv w:val="1"/>
      <w:marLeft w:val="0"/>
      <w:marRight w:val="0"/>
      <w:marTop w:val="0"/>
      <w:marBottom w:val="0"/>
      <w:divBdr>
        <w:top w:val="none" w:sz="0" w:space="0" w:color="auto"/>
        <w:left w:val="none" w:sz="0" w:space="0" w:color="auto"/>
        <w:bottom w:val="none" w:sz="0" w:space="0" w:color="auto"/>
        <w:right w:val="none" w:sz="0" w:space="0" w:color="auto"/>
      </w:divBdr>
    </w:div>
    <w:div w:id="1167092899">
      <w:bodyDiv w:val="1"/>
      <w:marLeft w:val="0"/>
      <w:marRight w:val="0"/>
      <w:marTop w:val="0"/>
      <w:marBottom w:val="0"/>
      <w:divBdr>
        <w:top w:val="none" w:sz="0" w:space="0" w:color="auto"/>
        <w:left w:val="none" w:sz="0" w:space="0" w:color="auto"/>
        <w:bottom w:val="none" w:sz="0" w:space="0" w:color="auto"/>
        <w:right w:val="none" w:sz="0" w:space="0" w:color="auto"/>
      </w:divBdr>
    </w:div>
    <w:div w:id="1325233629">
      <w:bodyDiv w:val="1"/>
      <w:marLeft w:val="0"/>
      <w:marRight w:val="0"/>
      <w:marTop w:val="0"/>
      <w:marBottom w:val="0"/>
      <w:divBdr>
        <w:top w:val="none" w:sz="0" w:space="0" w:color="auto"/>
        <w:left w:val="none" w:sz="0" w:space="0" w:color="auto"/>
        <w:bottom w:val="none" w:sz="0" w:space="0" w:color="auto"/>
        <w:right w:val="none" w:sz="0" w:space="0" w:color="auto"/>
      </w:divBdr>
    </w:div>
    <w:div w:id="13490251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731853">
      <w:bodyDiv w:val="1"/>
      <w:marLeft w:val="0"/>
      <w:marRight w:val="0"/>
      <w:marTop w:val="0"/>
      <w:marBottom w:val="0"/>
      <w:divBdr>
        <w:top w:val="none" w:sz="0" w:space="0" w:color="auto"/>
        <w:left w:val="none" w:sz="0" w:space="0" w:color="auto"/>
        <w:bottom w:val="none" w:sz="0" w:space="0" w:color="auto"/>
        <w:right w:val="none" w:sz="0" w:space="0" w:color="auto"/>
      </w:divBdr>
    </w:div>
    <w:div w:id="19964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saeimasnotikumi.nsf/0/9C20CA1B3F315AFBC225846D00248CFD?OpenDocument&amp;prevCat=13|Bud%C5%BEeta%20un%20finan%C5%A1u%20(nodok%C4%BCu)%20komisija" TargetMode="External"/><Relationship Id="rId2" Type="http://schemas.openxmlformats.org/officeDocument/2006/relationships/hyperlink" Target="http://titania.saeima.lv/livs/saeimasnotikumi.nsf/0/12b71d0d81a81637c225857700396547/$FILE/pielikums_949.pdf" TargetMode="External"/><Relationship Id="rId1" Type="http://schemas.openxmlformats.org/officeDocument/2006/relationships/hyperlink" Target="https://www.ecb.europa.eu/pub/convergence/html/ecb.cr202006~9fefc8d4c0.lv.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68A23B8824926BC34944B5AF803AA"/>
        <w:category>
          <w:name w:val="General"/>
          <w:gallery w:val="placeholder"/>
        </w:category>
        <w:types>
          <w:type w:val="bbPlcHdr"/>
        </w:types>
        <w:behaviors>
          <w:behavior w:val="content"/>
        </w:behaviors>
        <w:guid w:val="{C421D88B-039B-41C4-8064-0D76CEE8A47B}"/>
      </w:docPartPr>
      <w:docPartBody>
        <w:p w:rsidR="00000000" w:rsidRDefault="008F73CE" w:rsidP="008F73CE">
          <w:pPr>
            <w:pStyle w:val="E4F68A23B8824926BC34944B5AF803AA"/>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5C26"/>
    <w:rsid w:val="000D1C9B"/>
    <w:rsid w:val="00197950"/>
    <w:rsid w:val="00344186"/>
    <w:rsid w:val="0046442B"/>
    <w:rsid w:val="00472F39"/>
    <w:rsid w:val="00523A63"/>
    <w:rsid w:val="00731479"/>
    <w:rsid w:val="00785AED"/>
    <w:rsid w:val="008B623B"/>
    <w:rsid w:val="008D39C9"/>
    <w:rsid w:val="008F73CE"/>
    <w:rsid w:val="00904D5E"/>
    <w:rsid w:val="009C1B4C"/>
    <w:rsid w:val="009D29C5"/>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CE"/>
  </w:style>
  <w:style w:type="paragraph" w:customStyle="1" w:styleId="B2513C7936974E769D1103048039203D8">
    <w:name w:val="B2513C7936974E769D1103048039203D8"/>
    <w:rsid w:val="00FF5D4F"/>
    <w:rPr>
      <w:rFonts w:eastAsiaTheme="minorHAnsi"/>
      <w:lang w:eastAsia="en-US"/>
    </w:rPr>
  </w:style>
  <w:style w:type="paragraph" w:customStyle="1" w:styleId="E4F68A23B8824926BC34944B5AF803AA">
    <w:name w:val="E4F68A23B8824926BC34944B5AF803AA"/>
    <w:rsid w:val="008F7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F4A42-2860-494D-A835-D1A13FD2A933}">
  <ds:schemaRefs>
    <ds:schemaRef ds:uri="http://schemas.openxmlformats.org/officeDocument/2006/bibliography"/>
  </ds:schemaRefs>
</ds:datastoreItem>
</file>

<file path=customXml/itemProps2.xml><?xml version="1.0" encoding="utf-8"?>
<ds:datastoreItem xmlns:ds="http://schemas.openxmlformats.org/officeDocument/2006/customXml" ds:itemID="{AB61EC77-B32B-4B72-847A-E2DEE9580F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42C0F4-2306-459B-83B2-66E229BBE091}">
  <ds:schemaRefs>
    <ds:schemaRef ds:uri="http://schemas.microsoft.com/sharepoint/v3/contenttype/forms"/>
  </ds:schemaRefs>
</ds:datastoreItem>
</file>

<file path=customXml/itemProps4.xml><?xml version="1.0" encoding="utf-8"?>
<ds:datastoreItem xmlns:ds="http://schemas.openxmlformats.org/officeDocument/2006/customXml" ds:itemID="{B30C1B4B-5383-4C8B-92B5-382AD56F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24071</Words>
  <Characters>13722</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Banku"" sākotnējās ietekmes novērtējuma ziņojums (anotācija)</vt:lpstr>
      <vt:lpstr>Likumprojekta "Grozījumi likumā "Par Latvijas Banku"" sākotnējās ietekmes novērtējuma ziņojums (anotācija)</vt:lpstr>
    </vt:vector>
  </TitlesOfParts>
  <Company>Latvijas Banka</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Banku"" sākotnējās ietekmes novērtējuma ziņojums (anotācija)</dc:title>
  <dc:subject>Anotācija</dc:subject>
  <dc:creator>Ilze Posuma</dc:creator>
  <cp:keywords/>
  <dc:description>67022803, Ilze.Posuma@bank.lv</dc:description>
  <cp:lastModifiedBy>Sandra Rocēna</cp:lastModifiedBy>
  <cp:revision>8</cp:revision>
  <cp:lastPrinted>2020-09-21T05:29:00Z</cp:lastPrinted>
  <dcterms:created xsi:type="dcterms:W3CDTF">2020-12-14T06:52:00Z</dcterms:created>
  <dcterms:modified xsi:type="dcterms:W3CDTF">2021-03-08T09:17:00Z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