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CFC71" w14:textId="77777777" w:rsidR="00961D55" w:rsidRPr="00961D55" w:rsidRDefault="00961D55" w:rsidP="00961D55">
      <w:pPr>
        <w:spacing w:after="0" w:line="270" w:lineRule="atLeast"/>
        <w:jc w:val="center"/>
        <w:rPr>
          <w:rFonts w:eastAsia="Times New Roman"/>
          <w:b/>
          <w:sz w:val="28"/>
          <w:szCs w:val="28"/>
          <w:lang w:eastAsia="lv-LV"/>
        </w:rPr>
      </w:pPr>
      <w:bookmarkStart w:id="0" w:name="_GoBack"/>
      <w:bookmarkEnd w:id="0"/>
      <w:r w:rsidRPr="00961D55">
        <w:rPr>
          <w:rFonts w:eastAsia="Times New Roman"/>
          <w:b/>
          <w:sz w:val="28"/>
          <w:szCs w:val="28"/>
          <w:lang w:eastAsia="lv-LV"/>
        </w:rPr>
        <w:t>Ministru kabineta noteikumu projekta “Grozījumi  Ministru kabineta 2009.gada 3.marta noteikumos Nr.211 “Spirta denaturēšanas un denaturētā spirta aprites kārtība”” sākotnējās ietekmes novērtējuma ziņojums (anotācija)</w:t>
      </w:r>
    </w:p>
    <w:p w14:paraId="79AD8271" w14:textId="77777777" w:rsidR="00961D55" w:rsidRPr="00961D55" w:rsidRDefault="00961D55" w:rsidP="00961D55">
      <w:pPr>
        <w:spacing w:after="0" w:line="270" w:lineRule="atLeast"/>
        <w:jc w:val="both"/>
        <w:rPr>
          <w:rFonts w:eastAsia="Times New Roman"/>
          <w:color w:val="000000"/>
          <w:sz w:val="28"/>
          <w:szCs w:val="28"/>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7"/>
        <w:gridCol w:w="6661"/>
      </w:tblGrid>
      <w:tr w:rsidR="00961D55" w:rsidRPr="00961D55" w14:paraId="07F2E55D" w14:textId="77777777" w:rsidTr="00FD206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07231F3" w14:textId="77777777" w:rsidR="00961D55" w:rsidRPr="00961D55" w:rsidRDefault="00961D55" w:rsidP="00961D55">
            <w:pPr>
              <w:spacing w:before="100" w:beforeAutospacing="1" w:after="100" w:afterAutospacing="1" w:line="360" w:lineRule="auto"/>
              <w:ind w:firstLine="300"/>
              <w:jc w:val="center"/>
              <w:rPr>
                <w:rFonts w:eastAsia="Times New Roman"/>
                <w:b/>
                <w:bCs/>
                <w:lang w:eastAsia="lv-LV"/>
              </w:rPr>
            </w:pPr>
            <w:r w:rsidRPr="00961D55">
              <w:rPr>
                <w:rFonts w:eastAsia="Times New Roman"/>
                <w:b/>
                <w:bCs/>
                <w:lang w:eastAsia="lv-LV"/>
              </w:rPr>
              <w:t>Tiesību akta projekta anotācijas kopsavilkums</w:t>
            </w:r>
          </w:p>
        </w:tc>
      </w:tr>
      <w:tr w:rsidR="00961D55" w:rsidRPr="00961D55" w14:paraId="4D7D0AB2" w14:textId="77777777" w:rsidTr="00FD206F">
        <w:tc>
          <w:tcPr>
            <w:tcW w:w="1437" w:type="pct"/>
            <w:tcBorders>
              <w:top w:val="outset" w:sz="6" w:space="0" w:color="414142"/>
              <w:left w:val="outset" w:sz="6" w:space="0" w:color="414142"/>
              <w:bottom w:val="outset" w:sz="6" w:space="0" w:color="414142"/>
              <w:right w:val="outset" w:sz="6" w:space="0" w:color="414142"/>
            </w:tcBorders>
            <w:hideMark/>
          </w:tcPr>
          <w:p w14:paraId="0C55C91A"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Mērķis, risinājums un projekta spēkā stāšanās laiks (500 zīmes bez atstarpēm)</w:t>
            </w:r>
          </w:p>
        </w:tc>
        <w:tc>
          <w:tcPr>
            <w:tcW w:w="3563" w:type="pct"/>
            <w:tcBorders>
              <w:top w:val="outset" w:sz="6" w:space="0" w:color="414142"/>
              <w:left w:val="outset" w:sz="6" w:space="0" w:color="414142"/>
              <w:bottom w:val="outset" w:sz="6" w:space="0" w:color="414142"/>
              <w:right w:val="outset" w:sz="6" w:space="0" w:color="414142"/>
            </w:tcBorders>
            <w:hideMark/>
          </w:tcPr>
          <w:p w14:paraId="52109348" w14:textId="506E4A15" w:rsidR="00961D55" w:rsidRPr="00961D55" w:rsidRDefault="00961D55" w:rsidP="00375394">
            <w:pPr>
              <w:spacing w:after="0" w:line="240" w:lineRule="auto"/>
              <w:ind w:firstLine="532"/>
              <w:jc w:val="both"/>
              <w:rPr>
                <w:rFonts w:eastAsia="Calibri"/>
                <w:bCs/>
                <w:lang w:eastAsia="lv-LV"/>
              </w:rPr>
            </w:pPr>
            <w:r w:rsidRPr="00961D55">
              <w:rPr>
                <w:rFonts w:eastAsia="Times New Roman"/>
                <w:lang w:eastAsia="lv-LV"/>
              </w:rPr>
              <w:t>Ministru kabineta noteikumu projekts “Grozījumi  Ministru kabineta 2009.</w:t>
            </w:r>
            <w:r w:rsidR="00CE4A03">
              <w:rPr>
                <w:rFonts w:eastAsia="Times New Roman"/>
                <w:lang w:eastAsia="lv-LV"/>
              </w:rPr>
              <w:t> </w:t>
            </w:r>
            <w:r w:rsidRPr="00961D55">
              <w:rPr>
                <w:rFonts w:eastAsia="Times New Roman"/>
                <w:lang w:eastAsia="lv-LV"/>
              </w:rPr>
              <w:t>gada 3.</w:t>
            </w:r>
            <w:r w:rsidR="00CE4A03">
              <w:rPr>
                <w:rFonts w:eastAsia="Times New Roman"/>
                <w:lang w:eastAsia="lv-LV"/>
              </w:rPr>
              <w:t> </w:t>
            </w:r>
            <w:r w:rsidRPr="00961D55">
              <w:rPr>
                <w:rFonts w:eastAsia="Times New Roman"/>
                <w:lang w:eastAsia="lv-LV"/>
              </w:rPr>
              <w:t>marta noteikumos Nr.</w:t>
            </w:r>
            <w:r w:rsidR="00CE4A03">
              <w:rPr>
                <w:rFonts w:eastAsia="Times New Roman"/>
                <w:lang w:eastAsia="lv-LV"/>
              </w:rPr>
              <w:t> </w:t>
            </w:r>
            <w:r w:rsidRPr="00961D55">
              <w:rPr>
                <w:rFonts w:eastAsia="Times New Roman"/>
                <w:lang w:eastAsia="lv-LV"/>
              </w:rPr>
              <w:t xml:space="preserve">211 “Spirta denaturēšanas un denaturētā spirta aprites kārtība”” </w:t>
            </w:r>
            <w:r w:rsidRPr="00961D55">
              <w:rPr>
                <w:rFonts w:eastAsia="Calibri"/>
              </w:rPr>
              <w:t xml:space="preserve">(turpmāk – noteikumu projekts) </w:t>
            </w:r>
            <w:r w:rsidRPr="00961D55">
              <w:rPr>
                <w:rFonts w:eastAsia="Times New Roman"/>
                <w:lang w:eastAsia="lv-LV"/>
              </w:rPr>
              <w:t>izstrādāts</w:t>
            </w:r>
            <w:r w:rsidR="00E62B42">
              <w:rPr>
                <w:rFonts w:eastAsia="Times New Roman"/>
                <w:lang w:eastAsia="lv-LV"/>
              </w:rPr>
              <w:t xml:space="preserve">, </w:t>
            </w:r>
            <w:r w:rsidR="00E62B42" w:rsidRPr="00C826D0">
              <w:rPr>
                <w:rFonts w:eastAsia="Times New Roman"/>
                <w:lang w:eastAsia="lv-LV"/>
              </w:rPr>
              <w:t>lai papildinātu nacionālo denaturēšanas vielu</w:t>
            </w:r>
            <w:r w:rsidRPr="00C826D0">
              <w:rPr>
                <w:rFonts w:eastAsia="Times New Roman"/>
                <w:lang w:eastAsia="lv-LV"/>
              </w:rPr>
              <w:t xml:space="preserve"> </w:t>
            </w:r>
            <w:r w:rsidR="00E62B42" w:rsidRPr="00C826D0">
              <w:rPr>
                <w:rFonts w:eastAsia="Times New Roman"/>
                <w:lang w:eastAsia="lv-LV"/>
              </w:rPr>
              <w:t xml:space="preserve">sarakstu, kā arī </w:t>
            </w:r>
            <w:r w:rsidR="00992EA4" w:rsidRPr="00C826D0">
              <w:rPr>
                <w:rFonts w:eastAsia="Times New Roman"/>
                <w:lang w:eastAsia="lv-LV"/>
              </w:rPr>
              <w:t>lai</w:t>
            </w:r>
            <w:r w:rsidRPr="00C826D0">
              <w:rPr>
                <w:rFonts w:eastAsia="Times New Roman"/>
                <w:lang w:eastAsia="lv-LV"/>
              </w:rPr>
              <w:t xml:space="preserve"> paredzē</w:t>
            </w:r>
            <w:r w:rsidR="00E62B42" w:rsidRPr="00C826D0">
              <w:rPr>
                <w:rFonts w:eastAsia="Times New Roman"/>
                <w:lang w:eastAsia="lv-LV"/>
              </w:rPr>
              <w:t>tu</w:t>
            </w:r>
            <w:r w:rsidRPr="00961D55">
              <w:rPr>
                <w:rFonts w:eastAsia="Times New Roman"/>
                <w:lang w:eastAsia="lv-LV"/>
              </w:rPr>
              <w:t xml:space="preserve"> elektronisku denaturētā spirta lietotāju atļauju un iesniegumu </w:t>
            </w:r>
            <w:r w:rsidR="00B57F1C" w:rsidRPr="00961D55">
              <w:rPr>
                <w:rFonts w:eastAsia="Times New Roman"/>
                <w:lang w:eastAsia="lv-LV"/>
              </w:rPr>
              <w:t>atļauju</w:t>
            </w:r>
            <w:r w:rsidRPr="00961D55">
              <w:rPr>
                <w:rFonts w:eastAsia="Times New Roman"/>
                <w:lang w:eastAsia="lv-LV"/>
              </w:rPr>
              <w:t xml:space="preserve"> </w:t>
            </w:r>
            <w:r w:rsidR="00B57F1C" w:rsidRPr="00961D55">
              <w:rPr>
                <w:rFonts w:eastAsia="Times New Roman"/>
                <w:lang w:eastAsia="lv-LV"/>
              </w:rPr>
              <w:t>saņemšanai</w:t>
            </w:r>
            <w:r w:rsidRPr="00961D55">
              <w:rPr>
                <w:rFonts w:eastAsia="Times New Roman"/>
                <w:lang w:eastAsia="lv-LV"/>
              </w:rPr>
              <w:t xml:space="preserve"> reģistrēšanu </w:t>
            </w:r>
            <w:r w:rsidR="0057043C" w:rsidRPr="0057043C">
              <w:rPr>
                <w:rFonts w:eastAsia="Times New Roman"/>
                <w:lang w:eastAsia="lv-LV"/>
              </w:rPr>
              <w:t xml:space="preserve">Valsts ieņēmumu dienesta </w:t>
            </w:r>
            <w:r w:rsidRPr="00961D55">
              <w:rPr>
                <w:rFonts w:eastAsia="Times New Roman"/>
                <w:lang w:eastAsia="lv-LV"/>
              </w:rPr>
              <w:t>Elektronis</w:t>
            </w:r>
            <w:r w:rsidR="009D74A6">
              <w:rPr>
                <w:rFonts w:eastAsia="Times New Roman"/>
                <w:lang w:eastAsia="lv-LV"/>
              </w:rPr>
              <w:t>kās deklarēšanas sistēmā</w:t>
            </w:r>
            <w:r w:rsidRPr="00961D55">
              <w:rPr>
                <w:rFonts w:eastAsia="Times New Roman"/>
                <w:lang w:eastAsia="lv-LV"/>
              </w:rPr>
              <w:t>.</w:t>
            </w:r>
          </w:p>
          <w:p w14:paraId="60EF0AC5" w14:textId="18FCCA87" w:rsidR="00B42D00" w:rsidRPr="00961D55" w:rsidRDefault="00961D55" w:rsidP="00D81166">
            <w:pPr>
              <w:spacing w:after="0" w:line="240" w:lineRule="auto"/>
              <w:ind w:firstLine="248"/>
              <w:jc w:val="both"/>
              <w:rPr>
                <w:rFonts w:eastAsia="Times New Roman"/>
                <w:lang w:eastAsia="lv-LV"/>
              </w:rPr>
            </w:pPr>
            <w:r w:rsidRPr="00961D55">
              <w:rPr>
                <w:rFonts w:eastAsia="Calibri"/>
                <w:bCs/>
                <w:lang w:eastAsia="lv-LV"/>
              </w:rPr>
              <w:t>Noteikumu projekts stāsies spēkā 2021.</w:t>
            </w:r>
            <w:r w:rsidR="00CE4A03">
              <w:rPr>
                <w:rFonts w:eastAsia="Calibri"/>
                <w:bCs/>
                <w:lang w:eastAsia="lv-LV"/>
              </w:rPr>
              <w:t> </w:t>
            </w:r>
            <w:r w:rsidRPr="00961D55">
              <w:rPr>
                <w:rFonts w:eastAsia="Calibri"/>
                <w:bCs/>
                <w:lang w:eastAsia="lv-LV"/>
              </w:rPr>
              <w:t xml:space="preserve">gada </w:t>
            </w:r>
            <w:r w:rsidRPr="00C826D0">
              <w:rPr>
                <w:rFonts w:eastAsia="Calibri"/>
                <w:bCs/>
                <w:lang w:eastAsia="lv-LV"/>
              </w:rPr>
              <w:t>1.</w:t>
            </w:r>
            <w:r w:rsidR="00CE4A03" w:rsidRPr="00C826D0">
              <w:rPr>
                <w:rFonts w:eastAsia="Calibri"/>
                <w:bCs/>
                <w:lang w:eastAsia="lv-LV"/>
              </w:rPr>
              <w:t> </w:t>
            </w:r>
            <w:r w:rsidR="00E62B42" w:rsidRPr="00C826D0">
              <w:rPr>
                <w:rFonts w:eastAsia="Calibri"/>
                <w:bCs/>
                <w:lang w:eastAsia="lv-LV"/>
              </w:rPr>
              <w:t>martā</w:t>
            </w:r>
            <w:r w:rsidRPr="00C826D0">
              <w:rPr>
                <w:rFonts w:eastAsia="Times New Roman"/>
                <w:lang w:eastAsia="lv-LV"/>
              </w:rPr>
              <w:t>.</w:t>
            </w:r>
            <w:r w:rsidR="00B42D00">
              <w:rPr>
                <w:rFonts w:eastAsia="Times New Roman"/>
                <w:lang w:eastAsia="lv-LV"/>
              </w:rPr>
              <w:t xml:space="preserve"> </w:t>
            </w:r>
          </w:p>
        </w:tc>
      </w:tr>
    </w:tbl>
    <w:p w14:paraId="5110346A" w14:textId="77777777" w:rsidR="00961D55" w:rsidRPr="00961D55" w:rsidRDefault="00961D55" w:rsidP="00961D55">
      <w:pPr>
        <w:spacing w:after="0" w:line="270" w:lineRule="atLeast"/>
        <w:jc w:val="both"/>
        <w:rPr>
          <w:rFonts w:eastAsia="Times New Roman"/>
          <w:color w:val="000000"/>
          <w:sz w:val="28"/>
          <w:szCs w:val="28"/>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93"/>
        <w:gridCol w:w="6633"/>
      </w:tblGrid>
      <w:tr w:rsidR="00961D55" w:rsidRPr="00961D55" w14:paraId="24665BC7" w14:textId="77777777" w:rsidTr="00FD206F">
        <w:trPr>
          <w:trHeight w:val="427"/>
        </w:trPr>
        <w:tc>
          <w:tcPr>
            <w:tcW w:w="9322" w:type="dxa"/>
            <w:gridSpan w:val="3"/>
            <w:hideMark/>
          </w:tcPr>
          <w:p w14:paraId="75B7B9F8" w14:textId="77777777" w:rsidR="00961D55" w:rsidRPr="00961D55" w:rsidRDefault="00961D55" w:rsidP="00961D55">
            <w:pPr>
              <w:numPr>
                <w:ilvl w:val="0"/>
                <w:numId w:val="1"/>
              </w:numPr>
              <w:spacing w:after="0" w:line="240" w:lineRule="auto"/>
              <w:jc w:val="center"/>
              <w:rPr>
                <w:rFonts w:eastAsia="Times New Roman"/>
                <w:b/>
                <w:bCs/>
                <w:lang w:eastAsia="lv-LV"/>
              </w:rPr>
            </w:pPr>
            <w:r w:rsidRPr="00961D55">
              <w:rPr>
                <w:rFonts w:eastAsia="Times New Roman"/>
                <w:b/>
                <w:bCs/>
                <w:lang w:eastAsia="lv-LV"/>
              </w:rPr>
              <w:t>Tiesību akta projekta izstrādes nepieciešamība</w:t>
            </w:r>
          </w:p>
        </w:tc>
      </w:tr>
      <w:tr w:rsidR="00961D55" w:rsidRPr="00961D55" w14:paraId="04FFB5C4" w14:textId="77777777" w:rsidTr="00FD206F">
        <w:tc>
          <w:tcPr>
            <w:tcW w:w="496" w:type="dxa"/>
            <w:hideMark/>
          </w:tcPr>
          <w:p w14:paraId="05DB9E5D"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1.</w:t>
            </w:r>
          </w:p>
        </w:tc>
        <w:tc>
          <w:tcPr>
            <w:tcW w:w="2193" w:type="dxa"/>
            <w:hideMark/>
          </w:tcPr>
          <w:p w14:paraId="55570AAF"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Pamatojums</w:t>
            </w:r>
          </w:p>
        </w:tc>
        <w:tc>
          <w:tcPr>
            <w:tcW w:w="6633" w:type="dxa"/>
            <w:hideMark/>
          </w:tcPr>
          <w:p w14:paraId="0741BE8F" w14:textId="1E704B4A" w:rsidR="00961D55" w:rsidRDefault="00961D55" w:rsidP="00961D55">
            <w:pPr>
              <w:spacing w:after="0" w:line="240" w:lineRule="auto"/>
              <w:ind w:left="-108" w:firstLine="567"/>
              <w:jc w:val="both"/>
              <w:rPr>
                <w:rFonts w:eastAsia="Calibri"/>
              </w:rPr>
            </w:pPr>
            <w:r w:rsidRPr="00961D55">
              <w:rPr>
                <w:rFonts w:eastAsia="Calibri"/>
              </w:rPr>
              <w:t xml:space="preserve">Ņemot vērā SIA </w:t>
            </w:r>
            <w:r w:rsidR="0015785D">
              <w:rPr>
                <w:rFonts w:eastAsia="Calibri"/>
              </w:rPr>
              <w:t>“</w:t>
            </w:r>
            <w:r w:rsidRPr="00961D55">
              <w:rPr>
                <w:rFonts w:eastAsia="Calibri"/>
              </w:rPr>
              <w:t>Latvijas Ķīmija</w:t>
            </w:r>
            <w:r w:rsidR="0015785D">
              <w:rPr>
                <w:rFonts w:eastAsia="Calibri"/>
              </w:rPr>
              <w:t>”</w:t>
            </w:r>
            <w:r w:rsidRPr="00961D55">
              <w:rPr>
                <w:rFonts w:eastAsia="Calibri"/>
              </w:rPr>
              <w:t xml:space="preserve"> 20.02.2020. iesniegumu Nr.07-25 un Valsts ieņēmumu dienesta  (VID) 15.06.2020 priekšlikumus, Finanšu ministrija rosina veikt grozījumus Ministru kabineta 2009.</w:t>
            </w:r>
            <w:r w:rsidR="00CE4A03">
              <w:rPr>
                <w:rFonts w:eastAsia="Calibri"/>
              </w:rPr>
              <w:t> </w:t>
            </w:r>
            <w:r w:rsidRPr="00961D55">
              <w:rPr>
                <w:rFonts w:eastAsia="Calibri"/>
              </w:rPr>
              <w:t>gada 3.</w:t>
            </w:r>
            <w:r w:rsidR="00CE4A03">
              <w:rPr>
                <w:rFonts w:eastAsia="Calibri"/>
              </w:rPr>
              <w:t> </w:t>
            </w:r>
            <w:r w:rsidRPr="00961D55">
              <w:rPr>
                <w:rFonts w:eastAsia="Calibri"/>
              </w:rPr>
              <w:t>marta noteikumos Nr.</w:t>
            </w:r>
            <w:r w:rsidR="00CE4A03">
              <w:rPr>
                <w:rFonts w:eastAsia="Calibri"/>
              </w:rPr>
              <w:t> </w:t>
            </w:r>
            <w:r w:rsidRPr="00961D55">
              <w:rPr>
                <w:rFonts w:eastAsia="Calibri"/>
              </w:rPr>
              <w:t>211 “Spirta denaturēšanas un denaturētā spirta aprites kārtība”</w:t>
            </w:r>
            <w:r w:rsidR="007E1C33">
              <w:rPr>
                <w:rFonts w:eastAsia="Calibri"/>
              </w:rPr>
              <w:t xml:space="preserve"> (turpmāk - MK noteikumi Nr.</w:t>
            </w:r>
            <w:r w:rsidR="00CE4A03">
              <w:rPr>
                <w:rFonts w:eastAsia="Calibri"/>
              </w:rPr>
              <w:t> </w:t>
            </w:r>
            <w:r w:rsidR="007E1C33">
              <w:rPr>
                <w:rFonts w:eastAsia="Calibri"/>
              </w:rPr>
              <w:t>211)</w:t>
            </w:r>
            <w:r w:rsidRPr="00961D55">
              <w:rPr>
                <w:rFonts w:eastAsia="Calibri"/>
              </w:rPr>
              <w:t>.</w:t>
            </w:r>
          </w:p>
          <w:p w14:paraId="00382568" w14:textId="77777777" w:rsidR="00B42D00" w:rsidRPr="00961D55" w:rsidRDefault="00B42D00" w:rsidP="00961D55">
            <w:pPr>
              <w:spacing w:after="0" w:line="240" w:lineRule="auto"/>
              <w:ind w:left="-108" w:firstLine="567"/>
              <w:jc w:val="both"/>
              <w:rPr>
                <w:rFonts w:eastAsia="Times New Roman"/>
                <w:lang w:eastAsia="lv-LV"/>
              </w:rPr>
            </w:pPr>
          </w:p>
        </w:tc>
      </w:tr>
      <w:tr w:rsidR="00961D55" w:rsidRPr="00961D55" w14:paraId="13F4053C" w14:textId="77777777" w:rsidTr="00FD206F">
        <w:tc>
          <w:tcPr>
            <w:tcW w:w="496" w:type="dxa"/>
            <w:hideMark/>
          </w:tcPr>
          <w:p w14:paraId="60ECCF68"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2.</w:t>
            </w:r>
          </w:p>
        </w:tc>
        <w:tc>
          <w:tcPr>
            <w:tcW w:w="2193" w:type="dxa"/>
            <w:hideMark/>
          </w:tcPr>
          <w:p w14:paraId="77DDC1A0" w14:textId="77777777" w:rsidR="00961D55" w:rsidRPr="00961D55" w:rsidRDefault="00961D55" w:rsidP="00961D55">
            <w:pPr>
              <w:spacing w:after="0" w:line="240" w:lineRule="auto"/>
              <w:jc w:val="both"/>
              <w:rPr>
                <w:rFonts w:eastAsia="Times New Roman"/>
                <w:lang w:eastAsia="lv-LV"/>
              </w:rPr>
            </w:pPr>
            <w:r w:rsidRPr="00961D55">
              <w:rPr>
                <w:rFonts w:eastAsia="Times New Roman"/>
                <w:color w:val="000000"/>
                <w:lang w:eastAsia="lv-LV"/>
              </w:rPr>
              <w:t>Pašreizējā situācija un problēmas, kuru risināšanai tiesību akta projekts izstrādāts, tiesiskā regulējuma mērķis un būtība</w:t>
            </w:r>
          </w:p>
          <w:p w14:paraId="1159FFF4" w14:textId="19A9B2E0" w:rsidR="009E74C3" w:rsidRDefault="009E74C3" w:rsidP="00961D55">
            <w:pPr>
              <w:spacing w:after="0" w:line="240" w:lineRule="auto"/>
              <w:rPr>
                <w:rFonts w:eastAsia="Times New Roman"/>
                <w:lang w:eastAsia="lv-LV"/>
              </w:rPr>
            </w:pPr>
          </w:p>
          <w:p w14:paraId="28386E6B" w14:textId="77777777" w:rsidR="009E74C3" w:rsidRPr="009E74C3" w:rsidRDefault="009E74C3" w:rsidP="009E74C3">
            <w:pPr>
              <w:rPr>
                <w:rFonts w:eastAsia="Times New Roman"/>
                <w:lang w:eastAsia="lv-LV"/>
              </w:rPr>
            </w:pPr>
          </w:p>
          <w:p w14:paraId="0B2A0D26" w14:textId="77777777" w:rsidR="009E74C3" w:rsidRPr="009E74C3" w:rsidRDefault="009E74C3" w:rsidP="009E74C3">
            <w:pPr>
              <w:rPr>
                <w:rFonts w:eastAsia="Times New Roman"/>
                <w:lang w:eastAsia="lv-LV"/>
              </w:rPr>
            </w:pPr>
          </w:p>
          <w:p w14:paraId="30868921" w14:textId="77777777" w:rsidR="009E74C3" w:rsidRPr="009E74C3" w:rsidRDefault="009E74C3" w:rsidP="009E74C3">
            <w:pPr>
              <w:rPr>
                <w:rFonts w:eastAsia="Times New Roman"/>
                <w:lang w:eastAsia="lv-LV"/>
              </w:rPr>
            </w:pPr>
          </w:p>
          <w:p w14:paraId="3580E9BC" w14:textId="77777777" w:rsidR="009E74C3" w:rsidRPr="009E74C3" w:rsidRDefault="009E74C3" w:rsidP="009E74C3">
            <w:pPr>
              <w:rPr>
                <w:rFonts w:eastAsia="Times New Roman"/>
                <w:lang w:eastAsia="lv-LV"/>
              </w:rPr>
            </w:pPr>
          </w:p>
          <w:p w14:paraId="15ABC8CB" w14:textId="77777777" w:rsidR="009E74C3" w:rsidRPr="009E74C3" w:rsidRDefault="009E74C3" w:rsidP="009E74C3">
            <w:pPr>
              <w:rPr>
                <w:rFonts w:eastAsia="Times New Roman"/>
                <w:lang w:eastAsia="lv-LV"/>
              </w:rPr>
            </w:pPr>
          </w:p>
          <w:p w14:paraId="71CFE59F" w14:textId="77777777" w:rsidR="009E74C3" w:rsidRPr="009E74C3" w:rsidRDefault="009E74C3" w:rsidP="009E74C3">
            <w:pPr>
              <w:rPr>
                <w:rFonts w:eastAsia="Times New Roman"/>
                <w:lang w:eastAsia="lv-LV"/>
              </w:rPr>
            </w:pPr>
          </w:p>
          <w:p w14:paraId="21EB4C95" w14:textId="77777777" w:rsidR="009E74C3" w:rsidRPr="009E74C3" w:rsidRDefault="009E74C3" w:rsidP="009E74C3">
            <w:pPr>
              <w:rPr>
                <w:rFonts w:eastAsia="Times New Roman"/>
                <w:lang w:eastAsia="lv-LV"/>
              </w:rPr>
            </w:pPr>
          </w:p>
          <w:p w14:paraId="3B0F3173" w14:textId="77777777" w:rsidR="009E74C3" w:rsidRPr="009E74C3" w:rsidRDefault="009E74C3" w:rsidP="009E74C3">
            <w:pPr>
              <w:rPr>
                <w:rFonts w:eastAsia="Times New Roman"/>
                <w:lang w:eastAsia="lv-LV"/>
              </w:rPr>
            </w:pPr>
          </w:p>
          <w:p w14:paraId="1067834A" w14:textId="77777777" w:rsidR="009E74C3" w:rsidRPr="009E74C3" w:rsidRDefault="009E74C3" w:rsidP="009E74C3">
            <w:pPr>
              <w:rPr>
                <w:rFonts w:eastAsia="Times New Roman"/>
                <w:lang w:eastAsia="lv-LV"/>
              </w:rPr>
            </w:pPr>
          </w:p>
          <w:p w14:paraId="1E3FF572" w14:textId="50E8DCB2" w:rsidR="00961D55" w:rsidRPr="009E74C3" w:rsidRDefault="00961D55" w:rsidP="009E74C3">
            <w:pPr>
              <w:ind w:firstLine="720"/>
              <w:rPr>
                <w:rFonts w:eastAsia="Times New Roman"/>
                <w:lang w:eastAsia="lv-LV"/>
              </w:rPr>
            </w:pPr>
          </w:p>
        </w:tc>
        <w:tc>
          <w:tcPr>
            <w:tcW w:w="6633" w:type="dxa"/>
          </w:tcPr>
          <w:p w14:paraId="44BCEB9D" w14:textId="55050CA8" w:rsidR="00961D55" w:rsidRPr="00BC27BE" w:rsidRDefault="00961D55" w:rsidP="00817C88">
            <w:pPr>
              <w:shd w:val="clear" w:color="auto" w:fill="FFFFFF"/>
              <w:spacing w:after="0" w:line="0" w:lineRule="atLeast"/>
              <w:ind w:firstLine="459"/>
              <w:jc w:val="both"/>
              <w:rPr>
                <w:rFonts w:eastAsia="Times New Roman"/>
                <w:lang w:eastAsia="lv-LV"/>
              </w:rPr>
            </w:pPr>
            <w:r w:rsidRPr="00BC27BE">
              <w:rPr>
                <w:rFonts w:eastAsia="Times New Roman"/>
                <w:lang w:eastAsia="lv-LV"/>
              </w:rPr>
              <w:t xml:space="preserve">Komersants SIA </w:t>
            </w:r>
            <w:r w:rsidR="003653F4" w:rsidRPr="00BC27BE">
              <w:rPr>
                <w:rFonts w:eastAsia="Times New Roman"/>
                <w:lang w:eastAsia="lv-LV"/>
              </w:rPr>
              <w:t>“</w:t>
            </w:r>
            <w:r w:rsidRPr="00BC27BE">
              <w:rPr>
                <w:rFonts w:eastAsia="Times New Roman"/>
                <w:lang w:eastAsia="lv-LV"/>
              </w:rPr>
              <w:t>Latvijas Ķīmija</w:t>
            </w:r>
            <w:r w:rsidR="003653F4" w:rsidRPr="00BC27BE">
              <w:rPr>
                <w:rFonts w:eastAsia="Times New Roman"/>
                <w:lang w:eastAsia="lv-LV"/>
              </w:rPr>
              <w:t>”</w:t>
            </w:r>
            <w:r w:rsidRPr="00BC27BE">
              <w:rPr>
                <w:rFonts w:eastAsia="Times New Roman"/>
                <w:lang w:eastAsia="lv-LV"/>
              </w:rPr>
              <w:t xml:space="preserve"> ierosina papildināt </w:t>
            </w:r>
            <w:r w:rsidR="00C7128C" w:rsidRPr="00C112DF">
              <w:rPr>
                <w:rFonts w:eastAsia="Times New Roman"/>
                <w:lang w:eastAsia="lv-LV"/>
              </w:rPr>
              <w:t xml:space="preserve">nacionālo </w:t>
            </w:r>
            <w:r w:rsidRPr="00BC27BE">
              <w:rPr>
                <w:rFonts w:eastAsia="Times New Roman"/>
                <w:lang w:eastAsia="lv-LV"/>
              </w:rPr>
              <w:t xml:space="preserve">denaturējošo vielu sarakstu ar formulu spirta denaturēšanai, ko kā izejvielu izmanto stiklu tīrītāju </w:t>
            </w:r>
            <w:r w:rsidR="00B57F1C" w:rsidRPr="00BC27BE">
              <w:rPr>
                <w:rFonts w:eastAsia="Times New Roman"/>
                <w:lang w:eastAsia="lv-LV"/>
              </w:rPr>
              <w:t>ražošanai</w:t>
            </w:r>
            <w:r w:rsidRPr="00BC27BE">
              <w:rPr>
                <w:rFonts w:eastAsia="Times New Roman"/>
                <w:lang w:eastAsia="lv-LV"/>
              </w:rPr>
              <w:t>, lai nodrošinātu produkt</w:t>
            </w:r>
            <w:r w:rsidR="00F34016" w:rsidRPr="00BC27BE">
              <w:rPr>
                <w:rFonts w:eastAsia="Times New Roman"/>
                <w:lang w:eastAsia="lv-LV"/>
              </w:rPr>
              <w:t>a labāko</w:t>
            </w:r>
            <w:r w:rsidRPr="00BC27BE">
              <w:rPr>
                <w:rFonts w:eastAsia="Times New Roman"/>
                <w:lang w:eastAsia="lv-LV"/>
              </w:rPr>
              <w:t xml:space="preserve"> kvalitāti un drošību lietotājiem. Šobrīd stiklu tīrītāju </w:t>
            </w:r>
            <w:r w:rsidR="00B57F1C" w:rsidRPr="00BC27BE">
              <w:rPr>
                <w:rFonts w:eastAsia="Times New Roman"/>
                <w:lang w:eastAsia="lv-LV"/>
              </w:rPr>
              <w:t>ražošanai</w:t>
            </w:r>
            <w:r w:rsidRPr="00BC27BE">
              <w:rPr>
                <w:rFonts w:eastAsia="Times New Roman"/>
                <w:lang w:eastAsia="lv-LV"/>
              </w:rPr>
              <w:t xml:space="preserve"> tiek izmantots </w:t>
            </w:r>
            <w:r w:rsidR="00B57F1C" w:rsidRPr="00BC27BE">
              <w:rPr>
                <w:rFonts w:eastAsia="Times New Roman"/>
                <w:lang w:eastAsia="lv-LV"/>
              </w:rPr>
              <w:t>spirts</w:t>
            </w:r>
            <w:r w:rsidRPr="00BC27BE">
              <w:rPr>
                <w:rFonts w:eastAsia="Times New Roman"/>
                <w:lang w:eastAsia="lv-LV"/>
              </w:rPr>
              <w:t>, kas tiek denaturēts</w:t>
            </w:r>
            <w:r w:rsidR="00B57F1C" w:rsidRPr="00BC27BE">
              <w:rPr>
                <w:rFonts w:eastAsia="Times New Roman"/>
                <w:lang w:eastAsia="lv-LV"/>
              </w:rPr>
              <w:t xml:space="preserve"> ar acetonu un </w:t>
            </w:r>
            <w:proofErr w:type="spellStart"/>
            <w:r w:rsidR="00B57F1C" w:rsidRPr="00BC27BE">
              <w:rPr>
                <w:rFonts w:eastAsia="Times New Roman"/>
                <w:lang w:eastAsia="lv-LV"/>
              </w:rPr>
              <w:t>denatonija</w:t>
            </w:r>
            <w:proofErr w:type="spellEnd"/>
            <w:r w:rsidR="00B57F1C" w:rsidRPr="00BC27BE">
              <w:rPr>
                <w:rFonts w:eastAsia="Times New Roman"/>
                <w:lang w:eastAsia="lv-LV"/>
              </w:rPr>
              <w:t xml:space="preserve"> </w:t>
            </w:r>
            <w:proofErr w:type="spellStart"/>
            <w:r w:rsidR="00B57F1C" w:rsidRPr="00BC27BE">
              <w:rPr>
                <w:rFonts w:eastAsia="Times New Roman"/>
                <w:lang w:eastAsia="lv-LV"/>
              </w:rPr>
              <w:t>benzo</w:t>
            </w:r>
            <w:r w:rsidRPr="00BC27BE">
              <w:rPr>
                <w:rFonts w:eastAsia="Times New Roman"/>
                <w:lang w:eastAsia="lv-LV"/>
              </w:rPr>
              <w:t>ātu</w:t>
            </w:r>
            <w:proofErr w:type="spellEnd"/>
            <w:r w:rsidRPr="00BC27BE">
              <w:rPr>
                <w:rFonts w:eastAsia="Times New Roman"/>
                <w:lang w:eastAsia="lv-LV"/>
              </w:rPr>
              <w:t xml:space="preserve">. Ņemot vērā, ka šajā formulā ir </w:t>
            </w:r>
            <w:proofErr w:type="spellStart"/>
            <w:r w:rsidRPr="00BC27BE">
              <w:rPr>
                <w:rFonts w:eastAsia="Times New Roman"/>
                <w:lang w:eastAsia="lv-LV"/>
              </w:rPr>
              <w:t>ketonu</w:t>
            </w:r>
            <w:proofErr w:type="spellEnd"/>
            <w:r w:rsidRPr="00BC27BE">
              <w:rPr>
                <w:rFonts w:eastAsia="Times New Roman"/>
                <w:lang w:eastAsia="lv-LV"/>
              </w:rPr>
              <w:t xml:space="preserve"> grupas (acetons) </w:t>
            </w:r>
            <w:r w:rsidR="00B57F1C" w:rsidRPr="00BC27BE">
              <w:rPr>
                <w:rFonts w:eastAsia="Times New Roman"/>
                <w:lang w:eastAsia="lv-LV"/>
              </w:rPr>
              <w:t>denaturāts</w:t>
            </w:r>
            <w:r w:rsidRPr="00BC27BE">
              <w:rPr>
                <w:rFonts w:eastAsia="Times New Roman"/>
                <w:lang w:eastAsia="lv-LV"/>
              </w:rPr>
              <w:t xml:space="preserve">, tad, izmantojot produktu (stiklu tīrītāju) slēgtā telpā (automašīnas salonā), autovadītājam un citiem pasažieriem var tikt novērotas galvassāpes, jo produktam ir raksturīga </w:t>
            </w:r>
            <w:proofErr w:type="spellStart"/>
            <w:r w:rsidRPr="00BC27BE">
              <w:rPr>
                <w:rFonts w:eastAsia="Times New Roman"/>
                <w:lang w:eastAsia="lv-LV"/>
              </w:rPr>
              <w:t>ketoniem</w:t>
            </w:r>
            <w:proofErr w:type="spellEnd"/>
            <w:r w:rsidRPr="00BC27BE">
              <w:rPr>
                <w:rFonts w:eastAsia="Times New Roman"/>
                <w:lang w:eastAsia="lv-LV"/>
              </w:rPr>
              <w:t xml:space="preserve"> asā smaka. Acetona vietā izmantojot </w:t>
            </w:r>
            <w:proofErr w:type="spellStart"/>
            <w:r w:rsidRPr="00BC27BE">
              <w:rPr>
                <w:rFonts w:eastAsia="Times New Roman"/>
                <w:lang w:eastAsia="lv-LV"/>
              </w:rPr>
              <w:t>terc-butilspirtu</w:t>
            </w:r>
            <w:proofErr w:type="spellEnd"/>
            <w:r w:rsidRPr="00BC27BE">
              <w:rPr>
                <w:rFonts w:eastAsia="Times New Roman"/>
                <w:lang w:eastAsia="lv-LV"/>
              </w:rPr>
              <w:t>, tiek novērsta asās smakas izraisītās problēma</w:t>
            </w:r>
            <w:r w:rsidR="009F3AE0" w:rsidRPr="00BC27BE">
              <w:rPr>
                <w:rFonts w:eastAsia="Times New Roman"/>
                <w:lang w:eastAsia="lv-LV"/>
              </w:rPr>
              <w:t>s</w:t>
            </w:r>
            <w:r w:rsidRPr="00BC27BE">
              <w:rPr>
                <w:rFonts w:eastAsia="Times New Roman"/>
                <w:lang w:eastAsia="lv-LV"/>
              </w:rPr>
              <w:t xml:space="preserve">, vienlaikus nodrošinot, ka </w:t>
            </w:r>
            <w:proofErr w:type="spellStart"/>
            <w:r w:rsidRPr="00BC27BE">
              <w:rPr>
                <w:rFonts w:eastAsia="Times New Roman"/>
                <w:lang w:eastAsia="lv-LV"/>
              </w:rPr>
              <w:t>denaturantu</w:t>
            </w:r>
            <w:proofErr w:type="spellEnd"/>
            <w:r w:rsidRPr="00BC27BE">
              <w:rPr>
                <w:rFonts w:eastAsia="Times New Roman"/>
                <w:lang w:eastAsia="lv-LV"/>
              </w:rPr>
              <w:t xml:space="preserve"> nav iespējams ar </w:t>
            </w:r>
            <w:r w:rsidR="00B57F1C" w:rsidRPr="00BC27BE">
              <w:rPr>
                <w:rFonts w:eastAsia="Times New Roman"/>
                <w:lang w:eastAsia="lv-LV"/>
              </w:rPr>
              <w:t>vienkāršām</w:t>
            </w:r>
            <w:r w:rsidRPr="00BC27BE">
              <w:rPr>
                <w:rFonts w:eastAsia="Times New Roman"/>
                <w:lang w:eastAsia="lv-LV"/>
              </w:rPr>
              <w:t xml:space="preserve"> metodēm</w:t>
            </w:r>
            <w:r w:rsidR="00B57F1C" w:rsidRPr="00BC27BE">
              <w:rPr>
                <w:rFonts w:eastAsia="Times New Roman"/>
                <w:lang w:eastAsia="lv-LV"/>
              </w:rPr>
              <w:t>, piemērām, ar destilāciju,</w:t>
            </w:r>
            <w:r w:rsidRPr="00BC27BE">
              <w:rPr>
                <w:rFonts w:eastAsia="Times New Roman"/>
                <w:lang w:eastAsia="lv-LV"/>
              </w:rPr>
              <w:t xml:space="preserve"> atdalīt, jo </w:t>
            </w:r>
            <w:proofErr w:type="spellStart"/>
            <w:r w:rsidR="00B57F1C" w:rsidRPr="00BC27BE">
              <w:rPr>
                <w:rFonts w:eastAsia="Times New Roman"/>
                <w:lang w:eastAsia="lv-LV"/>
              </w:rPr>
              <w:t>terc-butilspirta</w:t>
            </w:r>
            <w:proofErr w:type="spellEnd"/>
            <w:r w:rsidR="00B57F1C" w:rsidRPr="00BC27BE">
              <w:rPr>
                <w:rFonts w:eastAsia="Times New Roman"/>
                <w:lang w:eastAsia="lv-LV"/>
              </w:rPr>
              <w:t xml:space="preserve"> vārīšanas temperatūra ir 82</w:t>
            </w:r>
            <w:r w:rsidR="00B57F1C" w:rsidRPr="00BC27BE">
              <w:rPr>
                <w:rFonts w:eastAsia="Times New Roman"/>
                <w:vertAlign w:val="superscript"/>
                <w:lang w:eastAsia="lv-LV"/>
              </w:rPr>
              <w:t>o</w:t>
            </w:r>
            <w:r w:rsidR="00B57F1C" w:rsidRPr="00BC27BE">
              <w:rPr>
                <w:rFonts w:eastAsia="Times New Roman"/>
                <w:lang w:eastAsia="lv-LV"/>
              </w:rPr>
              <w:t>C, bet etilspirtam – 78,3</w:t>
            </w:r>
            <w:r w:rsidR="00B57F1C" w:rsidRPr="00BC27BE">
              <w:rPr>
                <w:rFonts w:eastAsia="Times New Roman"/>
                <w:vertAlign w:val="superscript"/>
                <w:lang w:eastAsia="lv-LV"/>
              </w:rPr>
              <w:t>o</w:t>
            </w:r>
            <w:r w:rsidR="00B57F1C" w:rsidRPr="00BC27BE">
              <w:rPr>
                <w:rFonts w:eastAsia="Times New Roman"/>
                <w:lang w:eastAsia="lv-LV"/>
              </w:rPr>
              <w:t xml:space="preserve">C. Izmantojot šādu spirta denaturēšanas metodi, var tikt samazinātas denaturētā spirta ražošanas izmaksas, un uzlabotos Latvijas komersantu konkurētspēja </w:t>
            </w:r>
            <w:r w:rsidR="009D74A6" w:rsidRPr="00BC27BE">
              <w:rPr>
                <w:rFonts w:eastAsia="Times New Roman"/>
                <w:lang w:eastAsia="lv-LV"/>
              </w:rPr>
              <w:t xml:space="preserve">salīdzinot </w:t>
            </w:r>
            <w:r w:rsidR="00B57F1C" w:rsidRPr="00BC27BE">
              <w:rPr>
                <w:rFonts w:eastAsia="Times New Roman"/>
                <w:lang w:eastAsia="lv-LV"/>
              </w:rPr>
              <w:t>ar Lietuvu, kur</w:t>
            </w:r>
            <w:r w:rsidR="00F52E96" w:rsidRPr="00BC27BE">
              <w:rPr>
                <w:rFonts w:eastAsia="Times New Roman"/>
                <w:lang w:eastAsia="lv-LV"/>
              </w:rPr>
              <w:t>ā</w:t>
            </w:r>
            <w:r w:rsidR="00B57F1C" w:rsidRPr="00BC27BE">
              <w:rPr>
                <w:rFonts w:eastAsia="Times New Roman"/>
                <w:lang w:eastAsia="lv-LV"/>
              </w:rPr>
              <w:t xml:space="preserve"> minētā </w:t>
            </w:r>
            <w:r w:rsidR="00817C88" w:rsidRPr="00BC27BE">
              <w:rPr>
                <w:rFonts w:eastAsia="Times New Roman"/>
                <w:lang w:eastAsia="lv-LV"/>
              </w:rPr>
              <w:t xml:space="preserve">spirta denaturēšanas </w:t>
            </w:r>
            <w:r w:rsidR="00B57F1C" w:rsidRPr="00BC27BE">
              <w:rPr>
                <w:rFonts w:eastAsia="Times New Roman"/>
                <w:lang w:eastAsia="lv-LV"/>
              </w:rPr>
              <w:t>metode ir atļauta.</w:t>
            </w:r>
          </w:p>
          <w:p w14:paraId="1EA7B3D0" w14:textId="4669B32E" w:rsidR="00C7128C" w:rsidRPr="00DE306D" w:rsidRDefault="00C7128C" w:rsidP="00817C88">
            <w:pPr>
              <w:shd w:val="clear" w:color="auto" w:fill="FFFFFF"/>
              <w:spacing w:after="0" w:line="0" w:lineRule="atLeast"/>
              <w:ind w:firstLine="459"/>
              <w:jc w:val="both"/>
              <w:rPr>
                <w:rFonts w:eastAsia="Times New Roman"/>
                <w:u w:val="single"/>
                <w:lang w:eastAsia="lv-LV"/>
              </w:rPr>
            </w:pPr>
            <w:r w:rsidRPr="00C112DF">
              <w:rPr>
                <w:rFonts w:eastAsia="Times New Roman"/>
                <w:lang w:eastAsia="lv-LV"/>
              </w:rPr>
              <w:t>Komersants SIA “FRIGO BALTIC” ierosina papildināt nacionālo denaturējošo vielu sarakstu ar formulu spirta denaturēšanai, ko izmantotu dezinfekcijas līdzekļu ražošanai.</w:t>
            </w:r>
            <w:r w:rsidR="002F2699" w:rsidRPr="00C112DF">
              <w:rPr>
                <w:rFonts w:eastAsia="Times New Roman"/>
                <w:lang w:eastAsia="lv-LV"/>
              </w:rPr>
              <w:t xml:space="preserve"> 10 litru </w:t>
            </w:r>
            <w:proofErr w:type="spellStart"/>
            <w:r w:rsidR="002F2699" w:rsidRPr="00C112DF">
              <w:rPr>
                <w:rFonts w:eastAsia="Times New Roman"/>
                <w:lang w:eastAsia="lv-LV"/>
              </w:rPr>
              <w:t>izopropilspirta</w:t>
            </w:r>
            <w:proofErr w:type="spellEnd"/>
            <w:r w:rsidR="002F2699" w:rsidRPr="00C112DF">
              <w:rPr>
                <w:rFonts w:eastAsia="Times New Roman"/>
                <w:lang w:eastAsia="lv-LV"/>
              </w:rPr>
              <w:t xml:space="preserve"> (ķīmiskais marķieris) kā denaturējošās vielas pievienošana uz 100 litriem absolūtā alkohola nodrošin</w:t>
            </w:r>
            <w:r w:rsidR="00DE306D">
              <w:rPr>
                <w:rFonts w:eastAsia="Times New Roman"/>
                <w:lang w:eastAsia="lv-LV"/>
              </w:rPr>
              <w:t xml:space="preserve">ātu daļēju spirta denaturēšanu, </w:t>
            </w:r>
            <w:r w:rsidR="00DE306D" w:rsidRPr="00992EA4">
              <w:rPr>
                <w:rFonts w:eastAsia="Times New Roman"/>
                <w:lang w:eastAsia="lv-LV"/>
              </w:rPr>
              <w:t>lai šādi denaturētu spirtu izmantotu logu mazgāšanas līdzekļu ražošanai eksportam.</w:t>
            </w:r>
          </w:p>
          <w:p w14:paraId="6E09FB59" w14:textId="004F7A37" w:rsidR="002F2699" w:rsidRPr="00C112DF" w:rsidRDefault="00A47ADD" w:rsidP="00817C88">
            <w:pPr>
              <w:shd w:val="clear" w:color="auto" w:fill="FFFFFF"/>
              <w:spacing w:after="0" w:line="0" w:lineRule="atLeast"/>
              <w:ind w:firstLine="459"/>
              <w:jc w:val="both"/>
              <w:rPr>
                <w:rFonts w:eastAsia="Times New Roman"/>
                <w:lang w:eastAsia="lv-LV"/>
              </w:rPr>
            </w:pPr>
            <w:r w:rsidRPr="00C112DF">
              <w:rPr>
                <w:rFonts w:eastAsia="Times New Roman"/>
                <w:lang w:eastAsia="lv-LV"/>
              </w:rPr>
              <w:lastRenderedPageBreak/>
              <w:t>Ņemot vērā, ka no citām valstīm ievestais pilnīgi denaturētais spirts ir spirts, kas denatu</w:t>
            </w:r>
            <w:r w:rsidR="00CE4A03">
              <w:rPr>
                <w:rFonts w:eastAsia="Times New Roman"/>
                <w:lang w:eastAsia="lv-LV"/>
              </w:rPr>
              <w:t>rēts atbilstoši Komisijas 1993. gada 22. </w:t>
            </w:r>
            <w:r w:rsidRPr="00C112DF">
              <w:rPr>
                <w:rFonts w:eastAsia="Times New Roman"/>
                <w:lang w:eastAsia="lv-LV"/>
              </w:rPr>
              <w:t>novembra Regulas (EK) Nr.</w:t>
            </w:r>
            <w:r w:rsidR="00CE4A03">
              <w:rPr>
                <w:rFonts w:eastAsia="Times New Roman"/>
                <w:lang w:eastAsia="lv-LV"/>
              </w:rPr>
              <w:t> </w:t>
            </w:r>
            <w:r w:rsidRPr="00C112DF">
              <w:rPr>
                <w:rFonts w:eastAsia="Times New Roman"/>
                <w:lang w:eastAsia="lv-LV"/>
              </w:rPr>
              <w:t>3199/93 par spirta pilnīgas denaturēšanas procesu savstarpēju atzīšanu sakarā ar atbrīvojumu no akcīzes nodokļa (turpmāk – Komisijas regula Nr.</w:t>
            </w:r>
            <w:r w:rsidR="00CE4A03">
              <w:rPr>
                <w:rFonts w:eastAsia="Times New Roman"/>
                <w:lang w:eastAsia="lv-LV"/>
              </w:rPr>
              <w:t> </w:t>
            </w:r>
            <w:r w:rsidRPr="00C112DF">
              <w:rPr>
                <w:rFonts w:eastAsia="Times New Roman"/>
                <w:lang w:eastAsia="lv-LV"/>
              </w:rPr>
              <w:t xml:space="preserve">3199/93) pielikuma I sadaļā minētajām denaturēšanas vielām norādītajā daudzumā. </w:t>
            </w:r>
            <w:r w:rsidR="002F2699" w:rsidRPr="00C112DF">
              <w:rPr>
                <w:rFonts w:eastAsia="Times New Roman"/>
                <w:lang w:eastAsia="lv-LV"/>
              </w:rPr>
              <w:t xml:space="preserve">Lai novērstu pārpratumus </w:t>
            </w:r>
            <w:r w:rsidRPr="00C112DF">
              <w:rPr>
                <w:rFonts w:eastAsia="Times New Roman"/>
                <w:lang w:eastAsia="lv-LV"/>
              </w:rPr>
              <w:t>MK noteikumu Nr.</w:t>
            </w:r>
            <w:r w:rsidR="00CE4A03">
              <w:rPr>
                <w:rFonts w:eastAsia="Times New Roman"/>
                <w:lang w:eastAsia="lv-LV"/>
              </w:rPr>
              <w:t> </w:t>
            </w:r>
            <w:r w:rsidRPr="00C112DF">
              <w:rPr>
                <w:rFonts w:eastAsia="Times New Roman"/>
                <w:lang w:eastAsia="lv-LV"/>
              </w:rPr>
              <w:t>211 piemērošanā</w:t>
            </w:r>
            <w:r w:rsidR="002F2699" w:rsidRPr="00C112DF">
              <w:rPr>
                <w:rFonts w:eastAsia="Times New Roman"/>
                <w:lang w:eastAsia="lv-LV"/>
              </w:rPr>
              <w:t>, tiek precizēta MK noteikumu Nr.</w:t>
            </w:r>
            <w:r w:rsidR="00CE4A03">
              <w:rPr>
                <w:rFonts w:eastAsia="Times New Roman"/>
                <w:lang w:eastAsia="lv-LV"/>
              </w:rPr>
              <w:t> </w:t>
            </w:r>
            <w:r w:rsidR="002F2699" w:rsidRPr="00C112DF">
              <w:rPr>
                <w:rFonts w:eastAsia="Times New Roman"/>
                <w:lang w:eastAsia="lv-LV"/>
              </w:rPr>
              <w:t>211 4.</w:t>
            </w:r>
            <w:r w:rsidR="00CE4A03">
              <w:rPr>
                <w:rFonts w:eastAsia="Times New Roman"/>
                <w:lang w:eastAsia="lv-LV"/>
              </w:rPr>
              <w:t> </w:t>
            </w:r>
            <w:r w:rsidR="002F2699" w:rsidRPr="00C112DF">
              <w:rPr>
                <w:rFonts w:eastAsia="Times New Roman"/>
                <w:lang w:eastAsia="lv-LV"/>
              </w:rPr>
              <w:t>punkta redakcija</w:t>
            </w:r>
            <w:r w:rsidRPr="00C112DF">
              <w:rPr>
                <w:rFonts w:eastAsia="Times New Roman"/>
                <w:lang w:eastAsia="lv-LV"/>
              </w:rPr>
              <w:t>, paredzot prasības pilnīgi denaturētā spirta ievešanai. Attiecībā uz spirtu, kas nav uzskatāms par pilnīgi denaturētu, to aprite notiek kā ievedot spirtu atliktās nodokļu maksāšanas režīmā.</w:t>
            </w:r>
          </w:p>
          <w:p w14:paraId="0FFC8A55" w14:textId="096BB9E9" w:rsidR="00961D55" w:rsidRPr="00BC27BE" w:rsidRDefault="009D74A6" w:rsidP="00817C88">
            <w:pPr>
              <w:shd w:val="clear" w:color="auto" w:fill="FFFFFF"/>
              <w:spacing w:before="100" w:beforeAutospacing="1" w:after="100" w:afterAutospacing="1" w:line="0" w:lineRule="atLeast"/>
              <w:ind w:firstLine="459"/>
              <w:contextualSpacing/>
              <w:jc w:val="both"/>
              <w:rPr>
                <w:rFonts w:eastAsia="Times New Roman"/>
                <w:lang w:eastAsia="lv-LV"/>
              </w:rPr>
            </w:pPr>
            <w:r w:rsidRPr="00BC27BE">
              <w:rPr>
                <w:rFonts w:eastAsia="Times New Roman"/>
                <w:lang w:eastAsia="lv-LV"/>
              </w:rPr>
              <w:t>Lai VID varētu nodrošināt</w:t>
            </w:r>
            <w:r w:rsidR="00961D55" w:rsidRPr="00BC27BE">
              <w:rPr>
                <w:rFonts w:eastAsia="Times New Roman"/>
                <w:lang w:eastAsia="lv-LV"/>
              </w:rPr>
              <w:t xml:space="preserve"> denaturētā spirta piegādāto apjomu uzskaiti Elektroniskās deklarēšanas sistēmā (turpmāk – EDS)</w:t>
            </w:r>
            <w:r w:rsidRPr="00BC27BE">
              <w:rPr>
                <w:rFonts w:eastAsia="Times New Roman"/>
                <w:lang w:eastAsia="lv-LV"/>
              </w:rPr>
              <w:t xml:space="preserve"> ir nepieciešams veikt grozījumus </w:t>
            </w:r>
            <w:r w:rsidR="007E1C33" w:rsidRPr="00BC27BE">
              <w:rPr>
                <w:rFonts w:eastAsia="Times New Roman"/>
                <w:lang w:eastAsia="lv-LV"/>
              </w:rPr>
              <w:t>MK</w:t>
            </w:r>
            <w:r w:rsidRPr="00BC27BE">
              <w:rPr>
                <w:rFonts w:eastAsia="Times New Roman"/>
                <w:lang w:eastAsia="lv-LV"/>
              </w:rPr>
              <w:t xml:space="preserve"> noteikumos Nr.</w:t>
            </w:r>
            <w:r w:rsidR="00CE4A03">
              <w:rPr>
                <w:rFonts w:eastAsia="Times New Roman"/>
                <w:lang w:eastAsia="lv-LV"/>
              </w:rPr>
              <w:t> </w:t>
            </w:r>
            <w:r w:rsidRPr="00BC27BE">
              <w:rPr>
                <w:rFonts w:eastAsia="Times New Roman"/>
                <w:lang w:eastAsia="lv-LV"/>
              </w:rPr>
              <w:t>211</w:t>
            </w:r>
            <w:r w:rsidR="00961D55" w:rsidRPr="00BC27BE">
              <w:rPr>
                <w:rFonts w:eastAsia="Times New Roman"/>
                <w:lang w:eastAsia="lv-LV"/>
              </w:rPr>
              <w:t xml:space="preserve">. </w:t>
            </w:r>
          </w:p>
          <w:p w14:paraId="6653A23D" w14:textId="272B82D0" w:rsidR="00961D55" w:rsidRPr="00BC27BE" w:rsidRDefault="00961D55" w:rsidP="00817C88">
            <w:pPr>
              <w:shd w:val="clear" w:color="auto" w:fill="FFFFFF"/>
              <w:spacing w:before="100" w:beforeAutospacing="1" w:after="100" w:afterAutospacing="1" w:line="0" w:lineRule="atLeast"/>
              <w:ind w:firstLine="457"/>
              <w:contextualSpacing/>
              <w:jc w:val="both"/>
              <w:rPr>
                <w:rFonts w:eastAsia="Times New Roman"/>
                <w:lang w:eastAsia="lv-LV"/>
              </w:rPr>
            </w:pPr>
            <w:r w:rsidRPr="00BC27BE">
              <w:rPr>
                <w:rFonts w:eastAsia="Times New Roman"/>
                <w:lang w:eastAsia="lv-LV"/>
              </w:rPr>
              <w:t>Papildus minētajam, nepieciešams aktualizēt iesniegumos</w:t>
            </w:r>
            <w:r w:rsidR="00817C88" w:rsidRPr="00BC27BE">
              <w:rPr>
                <w:rFonts w:eastAsia="Times New Roman"/>
                <w:lang w:eastAsia="lv-LV"/>
              </w:rPr>
              <w:t xml:space="preserve"> (2.</w:t>
            </w:r>
            <w:r w:rsidR="00CE4A03">
              <w:rPr>
                <w:rFonts w:eastAsia="Times New Roman"/>
                <w:lang w:eastAsia="lv-LV"/>
              </w:rPr>
              <w:t> </w:t>
            </w:r>
            <w:r w:rsidR="00817C88" w:rsidRPr="00BC27BE">
              <w:rPr>
                <w:rFonts w:eastAsia="Times New Roman"/>
                <w:lang w:eastAsia="lv-LV"/>
              </w:rPr>
              <w:t>pielikums)</w:t>
            </w:r>
            <w:r w:rsidRPr="00BC27BE">
              <w:rPr>
                <w:rFonts w:eastAsia="Times New Roman"/>
                <w:lang w:eastAsia="lv-LV"/>
              </w:rPr>
              <w:t xml:space="preserve"> un atļaujās</w:t>
            </w:r>
            <w:r w:rsidR="00817C88" w:rsidRPr="00BC27BE">
              <w:rPr>
                <w:rFonts w:eastAsia="Times New Roman"/>
                <w:lang w:eastAsia="lv-LV"/>
              </w:rPr>
              <w:t xml:space="preserve"> (3.</w:t>
            </w:r>
            <w:r w:rsidR="00CE4A03">
              <w:rPr>
                <w:rFonts w:eastAsia="Times New Roman"/>
                <w:lang w:eastAsia="lv-LV"/>
              </w:rPr>
              <w:t> </w:t>
            </w:r>
            <w:r w:rsidR="00817C88" w:rsidRPr="00BC27BE">
              <w:rPr>
                <w:rFonts w:eastAsia="Times New Roman"/>
                <w:lang w:eastAsia="lv-LV"/>
              </w:rPr>
              <w:t>pielikums)</w:t>
            </w:r>
            <w:r w:rsidRPr="00BC27BE">
              <w:rPr>
                <w:rFonts w:eastAsia="Times New Roman"/>
                <w:lang w:eastAsia="lv-LV"/>
              </w:rPr>
              <w:t xml:space="preserve"> norādāmo informāciju, lai varētu nodrošināt iesniegumu atļauju saņemšanai un </w:t>
            </w:r>
            <w:proofErr w:type="spellStart"/>
            <w:r w:rsidRPr="00BC27BE">
              <w:rPr>
                <w:rFonts w:eastAsia="Times New Roman"/>
                <w:lang w:eastAsia="lv-LV"/>
              </w:rPr>
              <w:t>pārreģistrācijai</w:t>
            </w:r>
            <w:proofErr w:type="spellEnd"/>
            <w:r w:rsidRPr="00BC27BE">
              <w:rPr>
                <w:rFonts w:eastAsia="Times New Roman"/>
                <w:lang w:eastAsia="lv-LV"/>
              </w:rPr>
              <w:t xml:space="preserve"> iesniegšanu EDS strukturētā formā, kā arī atļauju izsniegšanas, </w:t>
            </w:r>
            <w:proofErr w:type="spellStart"/>
            <w:r w:rsidRPr="00BC27BE">
              <w:rPr>
                <w:rFonts w:eastAsia="Times New Roman"/>
                <w:lang w:eastAsia="lv-LV"/>
              </w:rPr>
              <w:t>pārreģistrācijas</w:t>
            </w:r>
            <w:proofErr w:type="spellEnd"/>
            <w:r w:rsidRPr="00BC27BE">
              <w:rPr>
                <w:rFonts w:eastAsia="Times New Roman"/>
                <w:lang w:eastAsia="lv-LV"/>
              </w:rPr>
              <w:t xml:space="preserve"> un anulēšanas procesu organizēt maksājumu administrēšanas informācijas sistēmā (turpmāk – MAIS), tādējādi mazinot administratīvo slogu komersantiem, kā arī optimizējot VID izvērtēšanas procesu.</w:t>
            </w:r>
          </w:p>
          <w:p w14:paraId="3183E351" w14:textId="50FC34D6" w:rsidR="00961D55" w:rsidRPr="00BC27BE" w:rsidRDefault="009D74A6" w:rsidP="00817C88">
            <w:pPr>
              <w:shd w:val="clear" w:color="auto" w:fill="FFFFFF"/>
              <w:spacing w:before="100" w:beforeAutospacing="1" w:after="100" w:afterAutospacing="1" w:line="0" w:lineRule="atLeast"/>
              <w:ind w:firstLine="457"/>
              <w:contextualSpacing/>
              <w:jc w:val="both"/>
              <w:rPr>
                <w:rFonts w:eastAsia="Times New Roman"/>
                <w:lang w:eastAsia="lv-LV"/>
              </w:rPr>
            </w:pPr>
            <w:r w:rsidRPr="00BC27BE">
              <w:rPr>
                <w:rFonts w:eastAsia="Times New Roman"/>
                <w:lang w:eastAsia="lv-LV"/>
              </w:rPr>
              <w:t>Vienlaikus tiek veikti grozījumi</w:t>
            </w:r>
            <w:r w:rsidR="00961D55" w:rsidRPr="00BC27BE">
              <w:rPr>
                <w:rFonts w:eastAsia="Times New Roman"/>
                <w:lang w:eastAsia="lv-LV"/>
              </w:rPr>
              <w:t xml:space="preserve"> </w:t>
            </w:r>
            <w:r w:rsidR="007E1C33" w:rsidRPr="00BC27BE">
              <w:rPr>
                <w:rFonts w:eastAsia="Times New Roman"/>
                <w:lang w:eastAsia="lv-LV"/>
              </w:rPr>
              <w:t>MK noteikum</w:t>
            </w:r>
            <w:r w:rsidR="00817C88" w:rsidRPr="00BC27BE">
              <w:rPr>
                <w:rFonts w:eastAsia="Times New Roman"/>
                <w:lang w:eastAsia="lv-LV"/>
              </w:rPr>
              <w:t>os</w:t>
            </w:r>
            <w:r w:rsidR="007E1C33" w:rsidRPr="00BC27BE">
              <w:rPr>
                <w:rFonts w:eastAsia="Times New Roman"/>
                <w:lang w:eastAsia="lv-LV"/>
              </w:rPr>
              <w:t xml:space="preserve"> Nr.</w:t>
            </w:r>
            <w:r w:rsidR="00CE4A03">
              <w:rPr>
                <w:rFonts w:eastAsia="Times New Roman"/>
                <w:lang w:eastAsia="lv-LV"/>
              </w:rPr>
              <w:t> </w:t>
            </w:r>
            <w:r w:rsidR="007E1C33" w:rsidRPr="00BC27BE">
              <w:rPr>
                <w:rFonts w:eastAsia="Times New Roman"/>
                <w:lang w:eastAsia="lv-LV"/>
              </w:rPr>
              <w:t>211</w:t>
            </w:r>
            <w:r w:rsidR="00961D55" w:rsidRPr="00BC27BE">
              <w:rPr>
                <w:rFonts w:eastAsia="Times New Roman"/>
                <w:lang w:eastAsia="lv-LV"/>
              </w:rPr>
              <w:t xml:space="preserve">, kas nosaka papildu kritērijus atļauju izsniegšanas un </w:t>
            </w:r>
            <w:proofErr w:type="spellStart"/>
            <w:r w:rsidR="00961D55" w:rsidRPr="00BC27BE">
              <w:rPr>
                <w:rFonts w:eastAsia="Times New Roman"/>
                <w:lang w:eastAsia="lv-LV"/>
              </w:rPr>
              <w:t>pārreģistrācijas</w:t>
            </w:r>
            <w:proofErr w:type="spellEnd"/>
            <w:r w:rsidR="00961D55" w:rsidRPr="00BC27BE">
              <w:rPr>
                <w:rFonts w:eastAsia="Times New Roman"/>
                <w:lang w:eastAsia="lv-LV"/>
              </w:rPr>
              <w:t xml:space="preserve"> gadījumos.</w:t>
            </w:r>
          </w:p>
          <w:p w14:paraId="2BB45625" w14:textId="00B285C1" w:rsidR="00961D55" w:rsidRPr="00BC27BE" w:rsidRDefault="00961D55" w:rsidP="00375394">
            <w:pPr>
              <w:shd w:val="clear" w:color="auto" w:fill="FFFFFF"/>
              <w:spacing w:before="100" w:beforeAutospacing="1" w:after="100" w:afterAutospacing="1" w:line="0" w:lineRule="atLeast"/>
              <w:ind w:firstLine="457"/>
              <w:contextualSpacing/>
              <w:jc w:val="both"/>
              <w:rPr>
                <w:rFonts w:eastAsia="Times New Roman"/>
                <w:lang w:eastAsia="lv-LV"/>
              </w:rPr>
            </w:pPr>
            <w:r w:rsidRPr="00BC27BE">
              <w:rPr>
                <w:rFonts w:eastAsia="Times New Roman"/>
                <w:lang w:eastAsia="lv-LV"/>
              </w:rPr>
              <w:t>Šobrīd atļaujas denaturētā spirta iegādei tiek izsniegtas papīra veidā un piegādātājam (vai noteiktos gadījumos lietotājam) ir jāaizpilda denaturētā spirta uzskaites tabula, kas tiek norādīta kā pielikums atļaujai. Denaturētā spirta uzskaites tabulā jānorāda piegādes vai saņemšanas datums un pavaddokumenta numurs, piegādātais vai saņemtais daudzums (litros un absolūtā spirta litros), atlikums pēc piegādes vai saņemšanas (litros un absolūtā spirta litros), denaturētā spirta piegādātājs (nosaukums, adrese un akcīzes identifikācijas numurs), denaturētā spirta piegādātāja atbildīgā</w:t>
            </w:r>
            <w:r w:rsidR="00F52E96" w:rsidRPr="00BC27BE">
              <w:rPr>
                <w:rFonts w:eastAsia="Times New Roman"/>
                <w:lang w:eastAsia="lv-LV"/>
              </w:rPr>
              <w:t>s</w:t>
            </w:r>
            <w:r w:rsidRPr="00BC27BE">
              <w:rPr>
                <w:rFonts w:eastAsia="Times New Roman"/>
                <w:lang w:eastAsia="lv-LV"/>
              </w:rPr>
              <w:t xml:space="preserve"> amatpersonas paraksts un tā atšifrējums, denaturētā spirta lietotāja atbildīgā</w:t>
            </w:r>
            <w:r w:rsidR="00F52E96" w:rsidRPr="00BC27BE">
              <w:rPr>
                <w:rFonts w:eastAsia="Times New Roman"/>
                <w:lang w:eastAsia="lv-LV"/>
              </w:rPr>
              <w:t>s</w:t>
            </w:r>
            <w:r w:rsidRPr="00BC27BE">
              <w:rPr>
                <w:rFonts w:eastAsia="Times New Roman"/>
                <w:lang w:eastAsia="lv-LV"/>
              </w:rPr>
              <w:t xml:space="preserve"> amatpersonas paraksts un tā atšifrējums.</w:t>
            </w:r>
          </w:p>
          <w:p w14:paraId="40599A5D" w14:textId="3F0910C9" w:rsidR="00961D55" w:rsidRPr="00BC27BE" w:rsidRDefault="00961D55" w:rsidP="00375394">
            <w:pPr>
              <w:shd w:val="clear" w:color="auto" w:fill="FFFFFF"/>
              <w:spacing w:before="100" w:beforeAutospacing="1" w:after="100" w:afterAutospacing="1" w:line="0" w:lineRule="atLeast"/>
              <w:ind w:firstLine="457"/>
              <w:contextualSpacing/>
              <w:jc w:val="both"/>
              <w:rPr>
                <w:rFonts w:eastAsia="Times New Roman"/>
                <w:lang w:eastAsia="lv-LV"/>
              </w:rPr>
            </w:pPr>
            <w:r w:rsidRPr="00BC27BE">
              <w:rPr>
                <w:rFonts w:eastAsia="Times New Roman"/>
                <w:lang w:eastAsia="lv-LV"/>
              </w:rPr>
              <w:t>Praksē papīra veida atļaujām pastāv dažādi riski to ļaunprātīgai izmantošanai, kā, piemēram, atļautā iegādes limita pārsniegšana, ko ir grūti savlaicīgi konstatēt vai arī tas tiek konstatēts, veicot kompleksas pārbaudes. Savukārt, izmantojot elektronisku denaturētā spirta piegādes uzskaiti, limitu pārsniegšana nebūs iespējama. Izmantojot elektronisko akcīzes nodokļa atbrīvojumu piešķiršanas sistēmu, tiktu samazināts administratīvais slogs komersantiem, jo komersantiem, kas iegādājas denaturētu spirtu izmantošanai noteiktiem mērķiem, nevajadzē</w:t>
            </w:r>
            <w:r w:rsidR="00A47ADD" w:rsidRPr="00BC27BE">
              <w:rPr>
                <w:rFonts w:eastAsia="Times New Roman"/>
                <w:lang w:eastAsia="lv-LV"/>
              </w:rPr>
              <w:t>s</w:t>
            </w:r>
            <w:r w:rsidRPr="00BC27BE">
              <w:rPr>
                <w:rFonts w:eastAsia="Times New Roman"/>
                <w:lang w:eastAsia="lv-LV"/>
              </w:rPr>
              <w:t xml:space="preserve"> papīra veidā saņemt atļauju. Savukārt</w:t>
            </w:r>
            <w:r w:rsidR="00A47ADD" w:rsidRPr="00BC27BE">
              <w:rPr>
                <w:rFonts w:eastAsia="Times New Roman"/>
                <w:lang w:eastAsia="lv-LV"/>
              </w:rPr>
              <w:t>,</w:t>
            </w:r>
            <w:r w:rsidRPr="00BC27BE">
              <w:rPr>
                <w:rFonts w:eastAsia="Times New Roman"/>
                <w:lang w:eastAsia="lv-LV"/>
              </w:rPr>
              <w:t xml:space="preserve"> denaturētā spirta piegādātāji tiešsaistē (</w:t>
            </w:r>
            <w:proofErr w:type="spellStart"/>
            <w:r w:rsidRPr="00BC27BE">
              <w:rPr>
                <w:rFonts w:eastAsia="Times New Roman"/>
                <w:i/>
                <w:lang w:eastAsia="lv-LV"/>
              </w:rPr>
              <w:t>online</w:t>
            </w:r>
            <w:proofErr w:type="spellEnd"/>
            <w:r w:rsidRPr="00BC27BE">
              <w:rPr>
                <w:rFonts w:eastAsia="Times New Roman"/>
                <w:lang w:eastAsia="lv-LV"/>
              </w:rPr>
              <w:t xml:space="preserve"> režīmā)</w:t>
            </w:r>
            <w:r w:rsidR="00BC27BE" w:rsidRPr="00BC27BE">
              <w:rPr>
                <w:rFonts w:eastAsia="Times New Roman"/>
                <w:lang w:eastAsia="lv-LV"/>
              </w:rPr>
              <w:t>,</w:t>
            </w:r>
            <w:r w:rsidRPr="00BC27BE">
              <w:rPr>
                <w:rFonts w:eastAsia="Times New Roman"/>
                <w:lang w:eastAsia="lv-LV"/>
              </w:rPr>
              <w:t xml:space="preserve"> reģistrējot konkrēto piegādi, varētu pārliecināties par to, vai konkrētajam komersantam ir tiesības iegādāties konkrētu denaturētā spirta</w:t>
            </w:r>
            <w:r w:rsidR="00BC27BE" w:rsidRPr="00BC27BE">
              <w:rPr>
                <w:rFonts w:eastAsia="Times New Roman"/>
                <w:lang w:eastAsia="lv-LV"/>
              </w:rPr>
              <w:t xml:space="preserve"> daudzumu</w:t>
            </w:r>
            <w:r w:rsidRPr="00BC27BE">
              <w:rPr>
                <w:rFonts w:eastAsia="Times New Roman"/>
                <w:lang w:eastAsia="lv-LV"/>
              </w:rPr>
              <w:t xml:space="preserve">. Arī no kontroles aspekta tā ir daudz drošāka, precīzāka un stabilāka datu uzkrāšanas un izmantošanas sistēma, kurā dati nepārtraukti tiek aktualizēti – VID </w:t>
            </w:r>
            <w:proofErr w:type="spellStart"/>
            <w:r w:rsidRPr="00BC27BE">
              <w:rPr>
                <w:rFonts w:eastAsia="Times New Roman"/>
                <w:i/>
                <w:lang w:eastAsia="lv-LV"/>
              </w:rPr>
              <w:t>online</w:t>
            </w:r>
            <w:proofErr w:type="spellEnd"/>
            <w:r w:rsidRPr="00BC27BE">
              <w:rPr>
                <w:rFonts w:eastAsia="Times New Roman"/>
                <w:lang w:eastAsia="lv-LV"/>
              </w:rPr>
              <w:t xml:space="preserve"> režīmā būs pieejama informācija par veiktajām piegādēm.</w:t>
            </w:r>
            <w:r w:rsidR="00BC27BE" w:rsidRPr="00BC27BE">
              <w:rPr>
                <w:rFonts w:eastAsia="Times New Roman"/>
                <w:lang w:eastAsia="lv-LV"/>
              </w:rPr>
              <w:t xml:space="preserve"> </w:t>
            </w:r>
          </w:p>
          <w:p w14:paraId="4883C238" w14:textId="4FBB2B27" w:rsidR="00D24CF0" w:rsidRPr="00992EA4" w:rsidRDefault="00D24CF0" w:rsidP="00375394">
            <w:pPr>
              <w:shd w:val="clear" w:color="auto" w:fill="FFFFFF"/>
              <w:spacing w:before="100" w:beforeAutospacing="1" w:after="100" w:afterAutospacing="1" w:line="0" w:lineRule="atLeast"/>
              <w:ind w:firstLine="598"/>
              <w:contextualSpacing/>
              <w:jc w:val="both"/>
              <w:rPr>
                <w:rFonts w:eastAsia="Times New Roman"/>
                <w:lang w:eastAsia="lv-LV"/>
              </w:rPr>
            </w:pPr>
            <w:r w:rsidRPr="00992EA4">
              <w:rPr>
                <w:rFonts w:eastAsia="Times New Roman"/>
                <w:lang w:eastAsia="lv-LV"/>
              </w:rPr>
              <w:lastRenderedPageBreak/>
              <w:t xml:space="preserve">Noteikumu projekts paredz pilnveidot </w:t>
            </w:r>
            <w:r w:rsidR="001010F2" w:rsidRPr="00992EA4">
              <w:rPr>
                <w:rFonts w:eastAsia="Times New Roman"/>
                <w:lang w:eastAsia="lv-LV"/>
              </w:rPr>
              <w:t xml:space="preserve">valsts pārvaldes pakalpojumu “Atļauja </w:t>
            </w:r>
            <w:r w:rsidRPr="00992EA4">
              <w:rPr>
                <w:rFonts w:eastAsia="Times New Roman"/>
                <w:lang w:eastAsia="lv-LV"/>
              </w:rPr>
              <w:t xml:space="preserve">denaturētā spirta </w:t>
            </w:r>
            <w:r w:rsidR="001010F2" w:rsidRPr="00992EA4">
              <w:rPr>
                <w:rFonts w:eastAsia="Times New Roman"/>
                <w:lang w:eastAsia="lv-LV"/>
              </w:rPr>
              <w:t>iegādei”</w:t>
            </w:r>
            <w:r w:rsidRPr="00992EA4">
              <w:rPr>
                <w:rFonts w:eastAsia="Times New Roman"/>
                <w:lang w:eastAsia="lv-LV"/>
              </w:rPr>
              <w:t xml:space="preserve">, paredzot iespēju to pieteikt un saņemt </w:t>
            </w:r>
            <w:r w:rsidR="00C859CE" w:rsidRPr="00992EA4">
              <w:rPr>
                <w:rFonts w:eastAsia="Times New Roman"/>
                <w:lang w:eastAsia="lv-LV"/>
              </w:rPr>
              <w:t xml:space="preserve">arī </w:t>
            </w:r>
            <w:r w:rsidRPr="00992EA4">
              <w:rPr>
                <w:rFonts w:eastAsia="Times New Roman"/>
                <w:lang w:eastAsia="lv-LV"/>
              </w:rPr>
              <w:t>elektroniski, izmantojot VID EDS.</w:t>
            </w:r>
          </w:p>
          <w:p w14:paraId="01BEAF6C" w14:textId="2D341836" w:rsidR="000B4C52" w:rsidRPr="00BC27BE" w:rsidRDefault="00961D55" w:rsidP="00375394">
            <w:pPr>
              <w:shd w:val="clear" w:color="auto" w:fill="FFFFFF"/>
              <w:spacing w:before="100" w:beforeAutospacing="1" w:after="100" w:afterAutospacing="1" w:line="0" w:lineRule="atLeast"/>
              <w:ind w:firstLine="598"/>
              <w:contextualSpacing/>
              <w:jc w:val="both"/>
            </w:pPr>
            <w:r w:rsidRPr="00BC27BE">
              <w:rPr>
                <w:rFonts w:eastAsia="Times New Roman"/>
                <w:lang w:eastAsia="lv-LV"/>
              </w:rPr>
              <w:t>Analizējot iespējamos elektroniskās sistēmas izveidošanas variantus, secināts, ka visefektīvāk būtu izmantot EDS, kurā šobrīd tiek izstrādāti arī atļauju iesniegumi strukturētā formā, tādējādi nodrošinot atļauju saņemšanas, izsniegšanas un anulēšanas procesu elektroniski, kā arī atļautā denaturētā spirta daudzuma uzskaiti vienotā sistēmā.</w:t>
            </w:r>
          </w:p>
          <w:p w14:paraId="0B5C63E1" w14:textId="744CD535" w:rsidR="008023F7" w:rsidRPr="00C112DF" w:rsidRDefault="008023F7" w:rsidP="00375394">
            <w:pPr>
              <w:spacing w:after="0" w:line="240" w:lineRule="auto"/>
              <w:ind w:firstLine="598"/>
              <w:jc w:val="both"/>
              <w:rPr>
                <w:rFonts w:eastAsia="Times New Roman"/>
                <w:color w:val="000000" w:themeColor="text1"/>
                <w:lang w:eastAsia="lv-LV"/>
              </w:rPr>
            </w:pPr>
            <w:r w:rsidRPr="00C112DF">
              <w:rPr>
                <w:rFonts w:eastAsia="Times New Roman"/>
                <w:color w:val="000000" w:themeColor="text1"/>
                <w:lang w:eastAsia="lv-LV"/>
              </w:rPr>
              <w:t xml:space="preserve">Noteikumu projekta paredz nodalīt atļaujas </w:t>
            </w:r>
            <w:proofErr w:type="spellStart"/>
            <w:r w:rsidRPr="00C112DF">
              <w:rPr>
                <w:rFonts w:eastAsia="Times New Roman"/>
                <w:color w:val="000000" w:themeColor="text1"/>
                <w:lang w:eastAsia="lv-LV"/>
              </w:rPr>
              <w:t>pārreģistrāciju</w:t>
            </w:r>
            <w:proofErr w:type="spellEnd"/>
            <w:r w:rsidRPr="00C112DF">
              <w:rPr>
                <w:rFonts w:eastAsia="Times New Roman"/>
                <w:color w:val="000000" w:themeColor="text1"/>
                <w:lang w:eastAsia="lv-LV"/>
              </w:rPr>
              <w:t xml:space="preserve"> no </w:t>
            </w:r>
            <w:r w:rsidR="00BC27BE" w:rsidRPr="00C112DF">
              <w:rPr>
                <w:rFonts w:eastAsia="Times New Roman"/>
                <w:color w:val="000000" w:themeColor="text1"/>
                <w:lang w:eastAsia="lv-LV"/>
              </w:rPr>
              <w:t>atļaujā</w:t>
            </w:r>
            <w:r w:rsidRPr="00C112DF">
              <w:rPr>
                <w:rFonts w:eastAsia="Times New Roman"/>
                <w:color w:val="000000" w:themeColor="text1"/>
                <w:lang w:eastAsia="lv-LV"/>
              </w:rPr>
              <w:t xml:space="preserve"> norādīto ziņu aktualizēšanas</w:t>
            </w:r>
            <w:r w:rsidR="00BC27BE" w:rsidRPr="00C112DF">
              <w:rPr>
                <w:rFonts w:eastAsia="Times New Roman"/>
                <w:color w:val="000000" w:themeColor="text1"/>
                <w:lang w:eastAsia="lv-LV"/>
              </w:rPr>
              <w:t>, ko veiks Valsts ieņēmumu dienests</w:t>
            </w:r>
            <w:r w:rsidRPr="00C112DF">
              <w:rPr>
                <w:rFonts w:eastAsia="Times New Roman"/>
                <w:color w:val="000000" w:themeColor="text1"/>
                <w:lang w:eastAsia="lv-LV"/>
              </w:rPr>
              <w:t>.</w:t>
            </w:r>
            <w:r w:rsidR="0076212F" w:rsidRPr="00C112DF">
              <w:rPr>
                <w:rFonts w:eastAsia="Times New Roman"/>
                <w:color w:val="000000" w:themeColor="text1"/>
                <w:lang w:eastAsia="lv-LV"/>
              </w:rPr>
              <w:t xml:space="preserve"> </w:t>
            </w:r>
            <w:r w:rsidRPr="00C112DF">
              <w:rPr>
                <w:rFonts w:eastAsia="Times New Roman"/>
                <w:color w:val="000000" w:themeColor="text1"/>
                <w:lang w:eastAsia="lv-LV"/>
              </w:rPr>
              <w:t>Atļaujā norādīto ziņu aktualizēšanas gadījumā netiek grozītas tiesiskās attiecības, kas nodibinātas ar lēmuma pieņemšanu par atļaujas izsniegšanu. Līdz ar to tā attiecas tikai uz tādām ziņām, kas neietekmē at</w:t>
            </w:r>
            <w:r w:rsidR="002523BD" w:rsidRPr="00C112DF">
              <w:rPr>
                <w:rFonts w:eastAsia="Times New Roman"/>
                <w:color w:val="000000" w:themeColor="text1"/>
                <w:lang w:eastAsia="lv-LV"/>
              </w:rPr>
              <w:t>ļau</w:t>
            </w:r>
            <w:r w:rsidRPr="00C112DF">
              <w:rPr>
                <w:rFonts w:eastAsia="Times New Roman"/>
                <w:color w:val="000000" w:themeColor="text1"/>
                <w:lang w:eastAsia="lv-LV"/>
              </w:rPr>
              <w:t xml:space="preserve">jas izsniegšanu pēc būtības. Tādējādi, ar ziņu aktualizēšanu saprot atļaujā norādītā lietotāja nosaukuma maiņu, atļaujā norādītās darbības vietas adreses maiņu (ja darbības </w:t>
            </w:r>
            <w:r w:rsidR="00CE4A03">
              <w:rPr>
                <w:rFonts w:eastAsia="Times New Roman"/>
                <w:color w:val="000000" w:themeColor="text1"/>
                <w:lang w:eastAsia="lv-LV"/>
              </w:rPr>
              <w:t>vietai piešķirta jauna adrese).</w:t>
            </w:r>
          </w:p>
          <w:p w14:paraId="0CCFCFBF" w14:textId="77777777" w:rsidR="00942BB5" w:rsidRPr="00C112DF" w:rsidRDefault="002523BD" w:rsidP="00942BB5">
            <w:pPr>
              <w:spacing w:after="0" w:line="240" w:lineRule="auto"/>
              <w:ind w:firstLine="598"/>
              <w:jc w:val="both"/>
              <w:rPr>
                <w:shd w:val="clear" w:color="auto" w:fill="FFFFFF"/>
              </w:rPr>
            </w:pPr>
            <w:r w:rsidRPr="00C112DF">
              <w:rPr>
                <w:rFonts w:eastAsia="Times New Roman"/>
                <w:color w:val="000000" w:themeColor="text1"/>
                <w:lang w:eastAsia="lv-LV"/>
              </w:rPr>
              <w:t>Ņemot vērā, ka tiks i</w:t>
            </w:r>
            <w:r w:rsidRPr="00C112DF">
              <w:rPr>
                <w:rFonts w:eastAsia="Times New Roman"/>
                <w:lang w:eastAsia="lv-LV"/>
              </w:rPr>
              <w:t xml:space="preserve">zmantota elektronisko akcīzes nodokļa atbrīvojumu piešķiršanas sistēma, tad </w:t>
            </w:r>
            <w:r w:rsidR="00DE110E" w:rsidRPr="00C112DF">
              <w:rPr>
                <w:shd w:val="clear" w:color="auto" w:fill="FFFFFF"/>
              </w:rPr>
              <w:t>lietotāja atļauja un dokumenti vai to kopijas, kas apliecina attie</w:t>
            </w:r>
            <w:r w:rsidR="00942BB5" w:rsidRPr="00C112DF">
              <w:rPr>
                <w:shd w:val="clear" w:color="auto" w:fill="FFFFFF"/>
              </w:rPr>
              <w:t>cīgās izmaiņas nebūs jāiesniedz.</w:t>
            </w:r>
          </w:p>
          <w:p w14:paraId="5FA7FBC9" w14:textId="30B7A99C" w:rsidR="00721B2F" w:rsidRPr="00C112DF" w:rsidRDefault="00721B2F" w:rsidP="00942BB5">
            <w:pPr>
              <w:spacing w:after="0" w:line="240" w:lineRule="auto"/>
              <w:ind w:firstLine="598"/>
              <w:jc w:val="both"/>
              <w:rPr>
                <w:color w:val="414142"/>
                <w:shd w:val="clear" w:color="auto" w:fill="FFFFFF"/>
              </w:rPr>
            </w:pPr>
            <w:r w:rsidRPr="00C112DF">
              <w:rPr>
                <w:rFonts w:eastAsia="Times New Roman"/>
                <w:color w:val="000000" w:themeColor="text1"/>
                <w:lang w:eastAsia="lv-LV"/>
              </w:rPr>
              <w:t xml:space="preserve">Šobrīd noteikumi paredz, ka, ja lietotājam ir nodokļu parāds, izņemot gadījumus, ja nodokļu parāda samaksas termiņš ir pagarināts un nodokļu parāda saistības tiek pildītas, atļauju neizsniedz. </w:t>
            </w:r>
            <w:r w:rsidR="00C11811" w:rsidRPr="00C112DF">
              <w:rPr>
                <w:rFonts w:eastAsia="Times New Roman"/>
                <w:color w:val="000000" w:themeColor="text1"/>
                <w:lang w:eastAsia="lv-LV"/>
              </w:rPr>
              <w:t>Ņemot vērā, ka tā ir obligātā atļaujas neizsniegšana, noteikumi paredz precizēt normu, nosakot, ka atļauju neizsniedz, ja lietotājam ir Valsts ieņēmumu dienesta administrēto nodokļu (nodevu) parāds (izņemot gadījumu, ja attiecīgo maksājumu termiņi normatīvajos aktos noteiktajā kārtībā ir pagarināti vai</w:t>
            </w:r>
            <w:r w:rsidR="00CE4A03">
              <w:rPr>
                <w:rFonts w:eastAsia="Times New Roman"/>
                <w:color w:val="000000" w:themeColor="text1"/>
                <w:lang w:eastAsia="lv-LV"/>
              </w:rPr>
              <w:t>,</w:t>
            </w:r>
            <w:r w:rsidR="00C11811" w:rsidRPr="00C112DF">
              <w:rPr>
                <w:rFonts w:eastAsia="Times New Roman"/>
                <w:color w:val="000000" w:themeColor="text1"/>
                <w:lang w:eastAsia="lv-LV"/>
              </w:rPr>
              <w:t xml:space="preserve"> ja pieņemts lēmums par nokavēto nodokļu maksājumu labprātīgu izpildi un persona iepriekš minētās nodokļu parāda saistības pilda), kura kopsumma pārsniedz 150 </w:t>
            </w:r>
            <w:proofErr w:type="spellStart"/>
            <w:r w:rsidR="00C11811" w:rsidRPr="00C112DF">
              <w:rPr>
                <w:rFonts w:eastAsia="Times New Roman"/>
                <w:i/>
                <w:color w:val="000000" w:themeColor="text1"/>
                <w:lang w:eastAsia="lv-LV"/>
              </w:rPr>
              <w:t>euro</w:t>
            </w:r>
            <w:proofErr w:type="spellEnd"/>
            <w:r w:rsidR="00C11811" w:rsidRPr="00C112DF">
              <w:rPr>
                <w:rFonts w:eastAsia="Times New Roman"/>
                <w:color w:val="000000" w:themeColor="text1"/>
                <w:lang w:eastAsia="lv-LV"/>
              </w:rPr>
              <w:t>.</w:t>
            </w:r>
          </w:p>
          <w:p w14:paraId="43114373" w14:textId="5D004F1A" w:rsidR="002523BD" w:rsidRPr="00C112DF" w:rsidRDefault="002523BD" w:rsidP="00375394">
            <w:pPr>
              <w:spacing w:after="0" w:line="240" w:lineRule="auto"/>
              <w:ind w:right="111" w:firstLine="598"/>
              <w:jc w:val="both"/>
              <w:rPr>
                <w:rFonts w:eastAsia="Calibri"/>
                <w:lang w:eastAsia="lv-LV"/>
              </w:rPr>
            </w:pPr>
            <w:r w:rsidRPr="00C112DF">
              <w:rPr>
                <w:rFonts w:eastAsia="Calibri"/>
                <w:lang w:eastAsia="lv-LV"/>
              </w:rPr>
              <w:t xml:space="preserve">Lai novērstu </w:t>
            </w:r>
            <w:r w:rsidR="00DE110E" w:rsidRPr="00C112DF">
              <w:rPr>
                <w:rFonts w:eastAsia="Calibri"/>
                <w:lang w:eastAsia="lv-LV"/>
              </w:rPr>
              <w:t>denaturētā spirta</w:t>
            </w:r>
            <w:r w:rsidRPr="00C112DF">
              <w:rPr>
                <w:rFonts w:eastAsia="Calibri"/>
                <w:lang w:eastAsia="lv-LV"/>
              </w:rPr>
              <w:t xml:space="preserve">, </w:t>
            </w:r>
            <w:r w:rsidR="00DE110E" w:rsidRPr="00C112DF">
              <w:rPr>
                <w:rFonts w:eastAsia="Calibri"/>
                <w:lang w:eastAsia="lv-LV"/>
              </w:rPr>
              <w:t>atļauju</w:t>
            </w:r>
            <w:r w:rsidRPr="00C112DF">
              <w:rPr>
                <w:rFonts w:eastAsia="Calibri"/>
                <w:lang w:eastAsia="lv-LV"/>
              </w:rPr>
              <w:t xml:space="preserve"> izsniegšanu vairākiem lietotājiem vienā vietā, tādējādi pieļaujot, ka vien</w:t>
            </w:r>
            <w:r w:rsidR="00E143F2" w:rsidRPr="00C112DF">
              <w:rPr>
                <w:rFonts w:eastAsia="Calibri"/>
                <w:lang w:eastAsia="lv-LV"/>
              </w:rPr>
              <w:t>ā darbības vietā</w:t>
            </w:r>
            <w:r w:rsidRPr="00C112DF">
              <w:rPr>
                <w:rFonts w:eastAsia="Calibri"/>
                <w:lang w:eastAsia="lv-LV"/>
              </w:rPr>
              <w:t xml:space="preserve"> saimnieciskās darbības nodrošināšanai </w:t>
            </w:r>
            <w:r w:rsidR="00E143F2" w:rsidRPr="00C112DF">
              <w:rPr>
                <w:rFonts w:eastAsia="Calibri"/>
                <w:lang w:eastAsia="lv-LV"/>
              </w:rPr>
              <w:t xml:space="preserve">denaturēto spirtu izmanto </w:t>
            </w:r>
            <w:r w:rsidRPr="00C112DF">
              <w:rPr>
                <w:rFonts w:eastAsia="Calibri"/>
                <w:lang w:eastAsia="lv-LV"/>
              </w:rPr>
              <w:t xml:space="preserve"> vairāki lietotāji, noteikumos nepieciešams paredzēt, ka lietotāja </w:t>
            </w:r>
            <w:r w:rsidR="00E143F2" w:rsidRPr="00C112DF">
              <w:rPr>
                <w:rFonts w:eastAsia="Calibri"/>
                <w:lang w:eastAsia="lv-LV"/>
              </w:rPr>
              <w:t>atļauja</w:t>
            </w:r>
            <w:r w:rsidRPr="00C112DF">
              <w:rPr>
                <w:rFonts w:eastAsia="Calibri"/>
                <w:lang w:eastAsia="lv-LV"/>
              </w:rPr>
              <w:t xml:space="preserve"> netiek izsniegta, ja pieteiktā darbības vieta deklarēta citam lietotājam izsniegtajā </w:t>
            </w:r>
            <w:r w:rsidR="00E143F2" w:rsidRPr="00C112DF">
              <w:rPr>
                <w:rFonts w:eastAsia="Calibri"/>
                <w:lang w:eastAsia="lv-LV"/>
              </w:rPr>
              <w:t>atļaujā</w:t>
            </w:r>
            <w:r w:rsidR="00C11811" w:rsidRPr="00C112DF">
              <w:rPr>
                <w:rFonts w:eastAsia="Calibri"/>
                <w:lang w:eastAsia="lv-LV"/>
              </w:rPr>
              <w:t>.</w:t>
            </w:r>
            <w:r w:rsidRPr="00C112DF">
              <w:rPr>
                <w:rFonts w:eastAsia="Calibri"/>
                <w:lang w:eastAsia="lv-LV"/>
              </w:rPr>
              <w:t xml:space="preserve"> </w:t>
            </w:r>
          </w:p>
          <w:p w14:paraId="08557310" w14:textId="3A0F88CF" w:rsidR="002523BD" w:rsidRPr="00C112DF" w:rsidRDefault="002523BD" w:rsidP="002523BD">
            <w:pPr>
              <w:spacing w:after="0" w:line="240" w:lineRule="auto"/>
              <w:ind w:firstLine="601"/>
              <w:jc w:val="both"/>
              <w:rPr>
                <w:rFonts w:eastAsia="Calibri"/>
              </w:rPr>
            </w:pPr>
            <w:r w:rsidRPr="00C112DF">
              <w:rPr>
                <w:rFonts w:eastAsia="Calibri"/>
              </w:rPr>
              <w:t xml:space="preserve">Šobrīd praksē nereti vērojama situācija, ka nodokļu maksātājs saņem </w:t>
            </w:r>
            <w:r w:rsidR="00E143F2" w:rsidRPr="00C112DF">
              <w:rPr>
                <w:rFonts w:eastAsia="Calibri"/>
              </w:rPr>
              <w:t>atļauju</w:t>
            </w:r>
            <w:r w:rsidRPr="00C112DF">
              <w:rPr>
                <w:rFonts w:eastAsia="Calibri"/>
              </w:rPr>
              <w:t xml:space="preserve">, bet kā nodokļa maksātāja struktūrvienību šajā </w:t>
            </w:r>
            <w:r w:rsidR="00E143F2" w:rsidRPr="00C112DF">
              <w:rPr>
                <w:rFonts w:eastAsia="Calibri"/>
              </w:rPr>
              <w:t>atļaujā</w:t>
            </w:r>
            <w:r w:rsidRPr="00C112DF">
              <w:rPr>
                <w:rFonts w:eastAsia="Calibri"/>
              </w:rPr>
              <w:t xml:space="preserve"> norādīto darbības vietu nereģistrē, tāpēc nepieciešams Ministru kabineta noteikumu projektā noteikt, ka </w:t>
            </w:r>
            <w:r w:rsidR="00E143F2" w:rsidRPr="00C112DF">
              <w:rPr>
                <w:rFonts w:eastAsia="Calibri"/>
              </w:rPr>
              <w:t>atļauju</w:t>
            </w:r>
            <w:r w:rsidRPr="00C112DF">
              <w:rPr>
                <w:rFonts w:eastAsia="Calibri"/>
              </w:rPr>
              <w:t xml:space="preserve"> neizsniedz, ja pieteiktajā darbības vietā nav reģistrēta nodokļu maksātāja juridiskā adrese vai struktūrvienība</w:t>
            </w:r>
            <w:r w:rsidR="00C11811" w:rsidRPr="00C112DF">
              <w:rPr>
                <w:rFonts w:eastAsia="Calibri"/>
              </w:rPr>
              <w:t>.</w:t>
            </w:r>
          </w:p>
          <w:p w14:paraId="0100306A" w14:textId="7699342A" w:rsidR="00C112DF" w:rsidRPr="00992EA4" w:rsidRDefault="00C112DF" w:rsidP="002523BD">
            <w:pPr>
              <w:spacing w:after="0" w:line="240" w:lineRule="auto"/>
              <w:ind w:firstLine="601"/>
              <w:jc w:val="both"/>
              <w:rPr>
                <w:rFonts w:eastAsia="Calibri"/>
              </w:rPr>
            </w:pPr>
            <w:r w:rsidRPr="00992EA4">
              <w:rPr>
                <w:rFonts w:eastAsia="Calibri"/>
              </w:rPr>
              <w:t>Lai lietotājs, kam 2021.</w:t>
            </w:r>
            <w:r w:rsidR="00CE4A03">
              <w:rPr>
                <w:rFonts w:eastAsia="Calibri"/>
              </w:rPr>
              <w:t> </w:t>
            </w:r>
            <w:r w:rsidRPr="00992EA4">
              <w:rPr>
                <w:rFonts w:eastAsia="Calibri"/>
              </w:rPr>
              <w:t>gada 1.</w:t>
            </w:r>
            <w:r w:rsidR="00CE4A03">
              <w:rPr>
                <w:rFonts w:eastAsia="Calibri"/>
              </w:rPr>
              <w:t> </w:t>
            </w:r>
            <w:r w:rsidRPr="00992EA4">
              <w:rPr>
                <w:rFonts w:eastAsia="Calibri"/>
              </w:rPr>
              <w:t>jūlijā būs spēkā esoša atļauja, varētu saņemt atļauto, bet neizņemto denaturēta spirta iegādes ap</w:t>
            </w:r>
            <w:r w:rsidR="00CE4A03">
              <w:rPr>
                <w:rFonts w:eastAsia="Calibri"/>
              </w:rPr>
              <w:t>jomu, Valsts ieņēmumu dienestam</w:t>
            </w:r>
            <w:r w:rsidRPr="00992EA4">
              <w:rPr>
                <w:rFonts w:eastAsia="Calibri"/>
              </w:rPr>
              <w:t xml:space="preserve"> Elektroniskās deklarēšanas sistēmā jāievada informācija par denaturētā spirta daudzumu, kas piegādāts līdz 2021.</w:t>
            </w:r>
            <w:r w:rsidR="00CE4A03">
              <w:rPr>
                <w:rFonts w:eastAsia="Calibri"/>
              </w:rPr>
              <w:t> </w:t>
            </w:r>
            <w:r w:rsidRPr="00992EA4">
              <w:rPr>
                <w:rFonts w:eastAsia="Calibri"/>
              </w:rPr>
              <w:t>gada 30.</w:t>
            </w:r>
            <w:r w:rsidR="00CE4A03">
              <w:rPr>
                <w:rFonts w:eastAsia="Calibri"/>
              </w:rPr>
              <w:t> </w:t>
            </w:r>
            <w:r w:rsidRPr="00992EA4">
              <w:rPr>
                <w:rFonts w:eastAsia="Calibri"/>
              </w:rPr>
              <w:t>jūnijam, salīdzinot Valsts ieņēmumu dienesta rīcībā esošo informāciju ar lietotāja atļaujas pielikumā norādīto. Tāpēc noteikumos jāparedz, ka lietotājiem, kam atļaujas izsniegtas līdz 2021.</w:t>
            </w:r>
            <w:r w:rsidR="00CE4A03">
              <w:rPr>
                <w:rFonts w:eastAsia="Calibri"/>
              </w:rPr>
              <w:t> </w:t>
            </w:r>
            <w:r w:rsidRPr="00992EA4">
              <w:rPr>
                <w:rFonts w:eastAsia="Calibri"/>
              </w:rPr>
              <w:t>gada 30.</w:t>
            </w:r>
            <w:r w:rsidR="00CE4A03">
              <w:rPr>
                <w:rFonts w:eastAsia="Calibri"/>
              </w:rPr>
              <w:t> </w:t>
            </w:r>
            <w:r w:rsidRPr="00992EA4">
              <w:rPr>
                <w:rFonts w:eastAsia="Calibri"/>
              </w:rPr>
              <w:t xml:space="preserve">jūnijam, pēc pēdējās denaturētā spirta </w:t>
            </w:r>
            <w:r w:rsidRPr="00992EA4">
              <w:rPr>
                <w:rFonts w:eastAsia="Calibri"/>
              </w:rPr>
              <w:lastRenderedPageBreak/>
              <w:t>iegādes laikā līdz 2021.</w:t>
            </w:r>
            <w:r w:rsidR="00CE4A03">
              <w:rPr>
                <w:rFonts w:eastAsia="Calibri"/>
              </w:rPr>
              <w:t> </w:t>
            </w:r>
            <w:r w:rsidRPr="00992EA4">
              <w:rPr>
                <w:rFonts w:eastAsia="Calibri"/>
              </w:rPr>
              <w:t>gada 30.</w:t>
            </w:r>
            <w:r w:rsidR="00CE4A03">
              <w:rPr>
                <w:rFonts w:eastAsia="Calibri"/>
              </w:rPr>
              <w:t> </w:t>
            </w:r>
            <w:r w:rsidRPr="00992EA4">
              <w:rPr>
                <w:rFonts w:eastAsia="Calibri"/>
              </w:rPr>
              <w:t>jūnijam jāiesniedz atļauja Valsts ieņēmumu dienestā, lai nodrošinātu līdz atļaujas derīguma termiņam atlikušā iegādes daudzuma norādīšanu Valsts ieņēmumu dienesta Elektroniskās deklarēšanas sistēmā.</w:t>
            </w:r>
          </w:p>
          <w:p w14:paraId="4690BC20" w14:textId="190B07E5" w:rsidR="00961D55" w:rsidRDefault="00F52E96" w:rsidP="00375394">
            <w:pPr>
              <w:shd w:val="clear" w:color="auto" w:fill="FFFFFF"/>
              <w:spacing w:before="100" w:beforeAutospacing="1" w:after="100" w:afterAutospacing="1" w:line="0" w:lineRule="atLeast"/>
              <w:ind w:firstLine="598"/>
              <w:contextualSpacing/>
              <w:jc w:val="both"/>
              <w:rPr>
                <w:rFonts w:eastAsia="Times New Roman"/>
                <w:lang w:eastAsia="lv-LV"/>
              </w:rPr>
            </w:pPr>
            <w:r w:rsidRPr="00C112DF">
              <w:rPr>
                <w:rFonts w:eastAsia="Times New Roman"/>
                <w:lang w:eastAsia="lv-LV"/>
              </w:rPr>
              <w:t>Ņemot vērā, ka nepieciešamas izmaiņas informācijas sistēmās, atļautā denaturētā spirta daudzuma uzskaiti plānots ieviest no 2021.</w:t>
            </w:r>
            <w:r w:rsidR="00CE4A03">
              <w:rPr>
                <w:rFonts w:eastAsia="Times New Roman"/>
                <w:lang w:eastAsia="lv-LV"/>
              </w:rPr>
              <w:t> </w:t>
            </w:r>
            <w:r w:rsidRPr="00C112DF">
              <w:rPr>
                <w:rFonts w:eastAsia="Times New Roman"/>
                <w:lang w:eastAsia="lv-LV"/>
              </w:rPr>
              <w:t>gada 1.</w:t>
            </w:r>
            <w:r w:rsidR="00CE4A03">
              <w:rPr>
                <w:rFonts w:eastAsia="Times New Roman"/>
                <w:lang w:eastAsia="lv-LV"/>
              </w:rPr>
              <w:t> </w:t>
            </w:r>
            <w:r w:rsidRPr="00C112DF">
              <w:rPr>
                <w:rFonts w:eastAsia="Times New Roman"/>
                <w:lang w:eastAsia="lv-LV"/>
              </w:rPr>
              <w:t>jūlija</w:t>
            </w:r>
            <w:r w:rsidR="00364FF9" w:rsidRPr="00C112DF">
              <w:rPr>
                <w:rFonts w:eastAsia="Times New Roman"/>
                <w:lang w:eastAsia="lv-LV"/>
              </w:rPr>
              <w:t>, tādējādi grozījumi MK noteikumu Nr.</w:t>
            </w:r>
            <w:r w:rsidR="00CE4A03">
              <w:rPr>
                <w:rFonts w:eastAsia="Times New Roman"/>
                <w:lang w:eastAsia="lv-LV"/>
              </w:rPr>
              <w:t> </w:t>
            </w:r>
            <w:r w:rsidR="00364FF9" w:rsidRPr="00C112DF">
              <w:rPr>
                <w:rFonts w:eastAsia="Times New Roman"/>
                <w:lang w:eastAsia="lv-LV"/>
              </w:rPr>
              <w:t xml:space="preserve">211 </w:t>
            </w:r>
            <w:r w:rsidR="002B1EE3" w:rsidRPr="00C112DF">
              <w:rPr>
                <w:rFonts w:eastAsia="Times New Roman"/>
                <w:lang w:eastAsia="lv-LV"/>
              </w:rPr>
              <w:t>23.,</w:t>
            </w:r>
            <w:r w:rsidR="006D37A1" w:rsidRPr="00C112DF">
              <w:rPr>
                <w:rFonts w:eastAsia="Times New Roman"/>
                <w:lang w:eastAsia="lv-LV"/>
              </w:rPr>
              <w:t xml:space="preserve"> 26.,</w:t>
            </w:r>
            <w:r w:rsidR="002B1EE3" w:rsidRPr="00C112DF">
              <w:rPr>
                <w:rFonts w:eastAsia="Times New Roman"/>
                <w:lang w:eastAsia="lv-LV"/>
              </w:rPr>
              <w:t xml:space="preserve"> 30., 32., 33. un 36.</w:t>
            </w:r>
            <w:r w:rsidR="00CE4A03">
              <w:rPr>
                <w:rFonts w:eastAsia="Times New Roman"/>
                <w:lang w:eastAsia="lv-LV"/>
              </w:rPr>
              <w:t> </w:t>
            </w:r>
            <w:r w:rsidR="002B1EE3" w:rsidRPr="00C112DF">
              <w:rPr>
                <w:rFonts w:eastAsia="Times New Roman"/>
                <w:lang w:eastAsia="lv-LV"/>
              </w:rPr>
              <w:t>punktā, noteikumu papildināšana ar 23.</w:t>
            </w:r>
            <w:r w:rsidR="002B1EE3" w:rsidRPr="00C112DF">
              <w:rPr>
                <w:rFonts w:eastAsia="Times New Roman"/>
                <w:vertAlign w:val="superscript"/>
                <w:lang w:eastAsia="lv-LV"/>
              </w:rPr>
              <w:t>1</w:t>
            </w:r>
            <w:r w:rsidR="002B1EE3" w:rsidRPr="00C112DF">
              <w:rPr>
                <w:rFonts w:eastAsia="Times New Roman"/>
                <w:lang w:eastAsia="lv-LV"/>
              </w:rPr>
              <w:t xml:space="preserve"> un 44.</w:t>
            </w:r>
            <w:r w:rsidR="002B1EE3" w:rsidRPr="00C112DF">
              <w:rPr>
                <w:rFonts w:eastAsia="Times New Roman"/>
                <w:vertAlign w:val="superscript"/>
                <w:lang w:eastAsia="lv-LV"/>
              </w:rPr>
              <w:t>1</w:t>
            </w:r>
            <w:r w:rsidR="00CE4A03">
              <w:rPr>
                <w:rFonts w:eastAsia="Times New Roman"/>
                <w:lang w:eastAsia="lv-LV"/>
              </w:rPr>
              <w:t> </w:t>
            </w:r>
            <w:r w:rsidR="002B1EE3" w:rsidRPr="00C112DF">
              <w:rPr>
                <w:rFonts w:eastAsia="Times New Roman"/>
                <w:lang w:eastAsia="lv-LV"/>
              </w:rPr>
              <w:t>punktu, kā arī 2. un 3.</w:t>
            </w:r>
            <w:r w:rsidR="00CE4A03">
              <w:rPr>
                <w:rFonts w:eastAsia="Times New Roman"/>
                <w:lang w:eastAsia="lv-LV"/>
              </w:rPr>
              <w:t> </w:t>
            </w:r>
            <w:r w:rsidR="002B1EE3" w:rsidRPr="00C112DF">
              <w:rPr>
                <w:rFonts w:eastAsia="Times New Roman"/>
                <w:lang w:eastAsia="lv-LV"/>
              </w:rPr>
              <w:t>pielikuma izteikšana jaunā redakcijā stājas spēkā 2021.</w:t>
            </w:r>
            <w:r w:rsidR="00CE4A03">
              <w:rPr>
                <w:rFonts w:eastAsia="Times New Roman"/>
                <w:lang w:eastAsia="lv-LV"/>
              </w:rPr>
              <w:t> </w:t>
            </w:r>
            <w:r w:rsidR="002B1EE3" w:rsidRPr="00C112DF">
              <w:rPr>
                <w:rFonts w:eastAsia="Times New Roman"/>
                <w:lang w:eastAsia="lv-LV"/>
              </w:rPr>
              <w:t>gada 1.</w:t>
            </w:r>
            <w:r w:rsidR="00CE4A03">
              <w:rPr>
                <w:rFonts w:eastAsia="Times New Roman"/>
                <w:lang w:eastAsia="lv-LV"/>
              </w:rPr>
              <w:t> </w:t>
            </w:r>
            <w:r w:rsidR="002B1EE3" w:rsidRPr="00C112DF">
              <w:rPr>
                <w:rFonts w:eastAsia="Times New Roman"/>
                <w:lang w:eastAsia="lv-LV"/>
              </w:rPr>
              <w:t>jūlijā.</w:t>
            </w:r>
          </w:p>
          <w:p w14:paraId="7426A4FC" w14:textId="2A7E4818" w:rsidR="00E62B42" w:rsidRPr="00C826D0" w:rsidRDefault="00E62B42" w:rsidP="00375394">
            <w:pPr>
              <w:shd w:val="clear" w:color="auto" w:fill="FFFFFF"/>
              <w:spacing w:before="100" w:beforeAutospacing="1" w:after="100" w:afterAutospacing="1" w:line="0" w:lineRule="atLeast"/>
              <w:ind w:firstLine="598"/>
              <w:contextualSpacing/>
              <w:jc w:val="both"/>
              <w:rPr>
                <w:rFonts w:eastAsia="Times New Roman"/>
                <w:lang w:eastAsia="lv-LV"/>
              </w:rPr>
            </w:pPr>
            <w:r w:rsidRPr="00C826D0">
              <w:rPr>
                <w:rFonts w:eastAsia="Times New Roman"/>
                <w:lang w:eastAsia="lv-LV"/>
              </w:rPr>
              <w:t>Lai nodrošinātu izmaiņu veikšanu informācijas sistēmās</w:t>
            </w:r>
            <w:r w:rsidR="00EA70D4" w:rsidRPr="00C826D0">
              <w:rPr>
                <w:rFonts w:eastAsia="Times New Roman"/>
                <w:lang w:eastAsia="lv-LV"/>
              </w:rPr>
              <w:t xml:space="preserve"> saistībā ar</w:t>
            </w:r>
            <w:r w:rsidR="00EA70D4" w:rsidRPr="00C826D0">
              <w:t xml:space="preserve"> </w:t>
            </w:r>
            <w:r w:rsidR="00EA70D4" w:rsidRPr="00C826D0">
              <w:rPr>
                <w:rFonts w:eastAsia="Times New Roman"/>
                <w:lang w:eastAsia="lv-LV"/>
              </w:rPr>
              <w:t>jaunām nacionālām denaturēšanas vielām</w:t>
            </w:r>
            <w:r w:rsidRPr="00C826D0">
              <w:rPr>
                <w:rFonts w:eastAsia="Times New Roman"/>
                <w:lang w:eastAsia="lv-LV"/>
              </w:rPr>
              <w:t>, nepiecie</w:t>
            </w:r>
            <w:r w:rsidR="00DE5488" w:rsidRPr="00C826D0">
              <w:rPr>
                <w:rFonts w:eastAsia="Times New Roman"/>
                <w:lang w:eastAsia="lv-LV"/>
              </w:rPr>
              <w:t>šams noteikt, ka noteikumi stājas spēkā 2021.</w:t>
            </w:r>
            <w:r w:rsidR="00CE4A03" w:rsidRPr="00C826D0">
              <w:rPr>
                <w:rFonts w:eastAsia="Times New Roman"/>
                <w:lang w:eastAsia="lv-LV"/>
              </w:rPr>
              <w:t> </w:t>
            </w:r>
            <w:r w:rsidR="00DE5488" w:rsidRPr="00C826D0">
              <w:rPr>
                <w:rFonts w:eastAsia="Times New Roman"/>
                <w:lang w:eastAsia="lv-LV"/>
              </w:rPr>
              <w:t>gada 1.</w:t>
            </w:r>
            <w:r w:rsidR="00CE4A03" w:rsidRPr="00C826D0">
              <w:rPr>
                <w:rFonts w:eastAsia="Times New Roman"/>
                <w:lang w:eastAsia="lv-LV"/>
              </w:rPr>
              <w:t> </w:t>
            </w:r>
            <w:r w:rsidR="00DE5488" w:rsidRPr="00C826D0">
              <w:rPr>
                <w:rFonts w:eastAsia="Times New Roman"/>
                <w:lang w:eastAsia="lv-LV"/>
              </w:rPr>
              <w:t>martā</w:t>
            </w:r>
            <w:r w:rsidRPr="00C826D0">
              <w:rPr>
                <w:rFonts w:eastAsia="Times New Roman"/>
                <w:lang w:eastAsia="lv-LV"/>
              </w:rPr>
              <w:t>.</w:t>
            </w:r>
          </w:p>
          <w:p w14:paraId="398DE76D" w14:textId="77777777" w:rsidR="00B42D00" w:rsidRPr="00BC27BE" w:rsidRDefault="00B42D00" w:rsidP="00817C88">
            <w:pPr>
              <w:shd w:val="clear" w:color="auto" w:fill="FFFFFF"/>
              <w:spacing w:before="100" w:beforeAutospacing="1" w:after="100" w:afterAutospacing="1" w:line="0" w:lineRule="atLeast"/>
              <w:ind w:firstLine="740"/>
              <w:contextualSpacing/>
              <w:jc w:val="both"/>
              <w:rPr>
                <w:rFonts w:eastAsia="Times New Roman"/>
                <w:highlight w:val="yellow"/>
                <w:lang w:eastAsia="lv-LV"/>
              </w:rPr>
            </w:pPr>
          </w:p>
        </w:tc>
      </w:tr>
      <w:tr w:rsidR="00961D55" w:rsidRPr="00961D55" w14:paraId="5372DEB5" w14:textId="77777777" w:rsidTr="00FD206F">
        <w:tc>
          <w:tcPr>
            <w:tcW w:w="496" w:type="dxa"/>
            <w:hideMark/>
          </w:tcPr>
          <w:p w14:paraId="137990F6"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lastRenderedPageBreak/>
              <w:t>3.</w:t>
            </w:r>
          </w:p>
        </w:tc>
        <w:tc>
          <w:tcPr>
            <w:tcW w:w="2193" w:type="dxa"/>
            <w:hideMark/>
          </w:tcPr>
          <w:p w14:paraId="39BAEFC1" w14:textId="77777777" w:rsidR="00961D55" w:rsidRPr="00961D55" w:rsidRDefault="00961D55" w:rsidP="00961D55">
            <w:pPr>
              <w:spacing w:after="0" w:line="240" w:lineRule="auto"/>
              <w:rPr>
                <w:rFonts w:eastAsia="Times New Roman"/>
                <w:lang w:eastAsia="lv-LV"/>
              </w:rPr>
            </w:pPr>
            <w:r w:rsidRPr="00961D55">
              <w:rPr>
                <w:rFonts w:eastAsia="Times New Roman"/>
                <w:color w:val="000000"/>
                <w:lang w:eastAsia="lv-LV"/>
              </w:rPr>
              <w:t>Projekta izstrādē iesaistītās institūcijas</w:t>
            </w:r>
          </w:p>
        </w:tc>
        <w:tc>
          <w:tcPr>
            <w:tcW w:w="6633" w:type="dxa"/>
          </w:tcPr>
          <w:p w14:paraId="538C9667" w14:textId="15F785A0" w:rsidR="00961D55" w:rsidRPr="00961D55" w:rsidRDefault="00961D55" w:rsidP="00961D55">
            <w:pPr>
              <w:spacing w:after="0" w:line="240" w:lineRule="auto"/>
              <w:ind w:left="-108"/>
              <w:jc w:val="both"/>
              <w:rPr>
                <w:rFonts w:eastAsia="Times New Roman"/>
                <w:lang w:eastAsia="lv-LV"/>
              </w:rPr>
            </w:pPr>
            <w:r w:rsidRPr="00961D55">
              <w:rPr>
                <w:rFonts w:eastAsia="Times New Roman"/>
                <w:lang w:eastAsia="lv-LV"/>
              </w:rPr>
              <w:t>Finanšu ministrija un VID.</w:t>
            </w:r>
          </w:p>
        </w:tc>
      </w:tr>
      <w:tr w:rsidR="00961D55" w:rsidRPr="00961D55" w14:paraId="43219BD1" w14:textId="77777777" w:rsidTr="00FD206F">
        <w:tc>
          <w:tcPr>
            <w:tcW w:w="496" w:type="dxa"/>
            <w:hideMark/>
          </w:tcPr>
          <w:p w14:paraId="78D6B82B"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4.</w:t>
            </w:r>
          </w:p>
        </w:tc>
        <w:tc>
          <w:tcPr>
            <w:tcW w:w="2193" w:type="dxa"/>
            <w:hideMark/>
          </w:tcPr>
          <w:p w14:paraId="60643178"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Cita informācija</w:t>
            </w:r>
          </w:p>
        </w:tc>
        <w:tc>
          <w:tcPr>
            <w:tcW w:w="6633" w:type="dxa"/>
          </w:tcPr>
          <w:p w14:paraId="7ECABF80" w14:textId="77777777" w:rsidR="00961D55" w:rsidRPr="00961D55" w:rsidRDefault="00961D55" w:rsidP="00961D55">
            <w:pPr>
              <w:spacing w:after="0" w:line="240" w:lineRule="auto"/>
              <w:ind w:left="-108"/>
              <w:jc w:val="both"/>
              <w:rPr>
                <w:rFonts w:eastAsia="Times New Roman"/>
                <w:lang w:eastAsia="lv-LV"/>
              </w:rPr>
            </w:pPr>
            <w:r w:rsidRPr="00961D55">
              <w:rPr>
                <w:rFonts w:eastAsia="Times New Roman"/>
                <w:lang w:eastAsia="lv-LV"/>
              </w:rPr>
              <w:t>Nav.</w:t>
            </w:r>
          </w:p>
        </w:tc>
      </w:tr>
    </w:tbl>
    <w:p w14:paraId="7B6386C0" w14:textId="77777777" w:rsidR="00961D55" w:rsidRPr="00961D55" w:rsidRDefault="00961D55" w:rsidP="00961D55">
      <w:pPr>
        <w:spacing w:after="0" w:line="270" w:lineRule="atLeast"/>
        <w:jc w:val="both"/>
        <w:rPr>
          <w:rFonts w:eastAsia="Times New Roman"/>
          <w:color w:val="000000"/>
          <w:lang w:eastAsia="lv-LV"/>
        </w:rPr>
      </w:pPr>
    </w:p>
    <w:tbl>
      <w:tblPr>
        <w:tblW w:w="5166"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0"/>
        <w:gridCol w:w="3374"/>
        <w:gridCol w:w="5522"/>
      </w:tblGrid>
      <w:tr w:rsidR="00961D55" w:rsidRPr="00961D55" w14:paraId="00D0D36D" w14:textId="77777777" w:rsidTr="006964F9">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34356E2F" w14:textId="77777777" w:rsidR="00961D55" w:rsidRPr="00961D55" w:rsidRDefault="00961D55" w:rsidP="00961D55">
            <w:pPr>
              <w:spacing w:before="100" w:beforeAutospacing="1" w:after="100" w:afterAutospacing="1" w:line="240" w:lineRule="auto"/>
              <w:jc w:val="center"/>
              <w:rPr>
                <w:rFonts w:eastAsia="Times New Roman"/>
                <w:b/>
                <w:bCs/>
                <w:lang w:eastAsia="lv-LV"/>
              </w:rPr>
            </w:pPr>
            <w:r w:rsidRPr="00961D55">
              <w:rPr>
                <w:rFonts w:eastAsia="Times New Roman"/>
                <w:b/>
                <w:bCs/>
                <w:lang w:eastAsia="lv-LV"/>
              </w:rPr>
              <w:t>II. Tiesību akta projekta ietekme uz sabiedrību, tautsaimniecības attīstību un administratīvo slogu</w:t>
            </w:r>
          </w:p>
        </w:tc>
      </w:tr>
      <w:tr w:rsidR="00961D55" w:rsidRPr="00961D55" w14:paraId="54AC7E22" w14:textId="77777777" w:rsidTr="006964F9">
        <w:tc>
          <w:tcPr>
            <w:tcW w:w="246" w:type="pct"/>
            <w:tcBorders>
              <w:top w:val="outset" w:sz="6" w:space="0" w:color="000000"/>
              <w:left w:val="outset" w:sz="6" w:space="0" w:color="000000"/>
              <w:bottom w:val="outset" w:sz="6" w:space="0" w:color="000000"/>
              <w:right w:val="outset" w:sz="6" w:space="0" w:color="000000"/>
            </w:tcBorders>
          </w:tcPr>
          <w:p w14:paraId="664BA19C"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1.</w:t>
            </w:r>
          </w:p>
        </w:tc>
        <w:tc>
          <w:tcPr>
            <w:tcW w:w="1803" w:type="pct"/>
            <w:tcBorders>
              <w:top w:val="outset" w:sz="6" w:space="0" w:color="000000"/>
              <w:left w:val="outset" w:sz="6" w:space="0" w:color="000000"/>
              <w:bottom w:val="outset" w:sz="6" w:space="0" w:color="000000"/>
              <w:right w:val="outset" w:sz="6" w:space="0" w:color="000000"/>
            </w:tcBorders>
          </w:tcPr>
          <w:p w14:paraId="7E83D388"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 xml:space="preserve">Sabiedrības </w:t>
            </w:r>
            <w:proofErr w:type="spellStart"/>
            <w:r w:rsidRPr="00961D55">
              <w:rPr>
                <w:rFonts w:eastAsia="Times New Roman"/>
                <w:lang w:eastAsia="lv-LV"/>
              </w:rPr>
              <w:t>mērķgrupas</w:t>
            </w:r>
            <w:proofErr w:type="spellEnd"/>
            <w:r w:rsidRPr="00961D55">
              <w:rPr>
                <w:rFonts w:eastAsia="Times New Roman"/>
                <w:lang w:eastAsia="lv-LV"/>
              </w:rPr>
              <w:t>, kuras tiesiskais regulējums ietekmē vai varētu ietekmēt</w:t>
            </w:r>
          </w:p>
        </w:tc>
        <w:tc>
          <w:tcPr>
            <w:tcW w:w="2951" w:type="pct"/>
            <w:tcBorders>
              <w:top w:val="outset" w:sz="6" w:space="0" w:color="000000"/>
              <w:left w:val="outset" w:sz="6" w:space="0" w:color="000000"/>
              <w:bottom w:val="outset" w:sz="6" w:space="0" w:color="000000"/>
              <w:right w:val="outset" w:sz="6" w:space="0" w:color="000000"/>
            </w:tcBorders>
          </w:tcPr>
          <w:p w14:paraId="000ED921" w14:textId="5AC0F6BC" w:rsidR="00961D55" w:rsidRPr="00961D55" w:rsidRDefault="00961D55" w:rsidP="00375394">
            <w:pPr>
              <w:spacing w:after="0" w:line="240" w:lineRule="auto"/>
              <w:ind w:right="113" w:firstLine="396"/>
              <w:jc w:val="both"/>
              <w:rPr>
                <w:rFonts w:eastAsia="Times New Roman"/>
                <w:lang w:eastAsia="lv-LV"/>
              </w:rPr>
            </w:pPr>
            <w:r w:rsidRPr="00961D55">
              <w:rPr>
                <w:rFonts w:eastAsia="Times New Roman"/>
                <w:lang w:eastAsia="lv-LV"/>
              </w:rPr>
              <w:t>Noteikumu projekts attiecas uz komersantiem, kas iesniedz iesniegumus denaturētā spirta</w:t>
            </w:r>
            <w:r w:rsidR="004E4DB5">
              <w:rPr>
                <w:rFonts w:eastAsia="Times New Roman"/>
                <w:lang w:eastAsia="lv-LV"/>
              </w:rPr>
              <w:t xml:space="preserve"> lietošanas atļaujas saņemšanai.</w:t>
            </w:r>
          </w:p>
        </w:tc>
      </w:tr>
      <w:tr w:rsidR="00961D55" w:rsidRPr="00961D55" w14:paraId="12B16C5E" w14:textId="77777777" w:rsidTr="006964F9">
        <w:tc>
          <w:tcPr>
            <w:tcW w:w="246" w:type="pct"/>
            <w:tcBorders>
              <w:top w:val="outset" w:sz="6" w:space="0" w:color="000000"/>
              <w:left w:val="outset" w:sz="6" w:space="0" w:color="000000"/>
              <w:bottom w:val="outset" w:sz="6" w:space="0" w:color="000000"/>
              <w:right w:val="outset" w:sz="6" w:space="0" w:color="000000"/>
            </w:tcBorders>
          </w:tcPr>
          <w:p w14:paraId="786FD290"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2.</w:t>
            </w:r>
          </w:p>
        </w:tc>
        <w:tc>
          <w:tcPr>
            <w:tcW w:w="1803" w:type="pct"/>
            <w:tcBorders>
              <w:top w:val="outset" w:sz="6" w:space="0" w:color="000000"/>
              <w:left w:val="outset" w:sz="6" w:space="0" w:color="000000"/>
              <w:bottom w:val="outset" w:sz="6" w:space="0" w:color="000000"/>
              <w:right w:val="outset" w:sz="6" w:space="0" w:color="000000"/>
            </w:tcBorders>
          </w:tcPr>
          <w:p w14:paraId="74EDE195" w14:textId="77777777" w:rsidR="00961D55" w:rsidRPr="00961D55" w:rsidRDefault="00961D55" w:rsidP="00961D55">
            <w:pPr>
              <w:spacing w:before="100" w:beforeAutospacing="1" w:after="100" w:afterAutospacing="1" w:line="240" w:lineRule="auto"/>
              <w:ind w:right="113"/>
              <w:jc w:val="both"/>
              <w:rPr>
                <w:rFonts w:eastAsia="Times New Roman"/>
                <w:lang w:eastAsia="lv-LV"/>
              </w:rPr>
            </w:pPr>
            <w:r w:rsidRPr="00961D55">
              <w:rPr>
                <w:rFonts w:eastAsia="Times New Roman"/>
                <w:lang w:eastAsia="lv-LV"/>
              </w:rPr>
              <w:t>Tiesiskā regulējuma ietekme uz tautsaimniecību un administratīvo slogu</w:t>
            </w:r>
          </w:p>
        </w:tc>
        <w:tc>
          <w:tcPr>
            <w:tcW w:w="2951" w:type="pct"/>
            <w:tcBorders>
              <w:top w:val="outset" w:sz="6" w:space="0" w:color="000000"/>
              <w:left w:val="outset" w:sz="6" w:space="0" w:color="000000"/>
              <w:bottom w:val="outset" w:sz="6" w:space="0" w:color="000000"/>
              <w:right w:val="outset" w:sz="6" w:space="0" w:color="000000"/>
            </w:tcBorders>
          </w:tcPr>
          <w:p w14:paraId="64F41A52" w14:textId="77777777" w:rsidR="00961D55" w:rsidRPr="00961D55" w:rsidRDefault="00961D55" w:rsidP="00961D55">
            <w:pPr>
              <w:spacing w:after="0" w:line="240" w:lineRule="auto"/>
              <w:jc w:val="both"/>
              <w:rPr>
                <w:rFonts w:eastAsia="Times New Roman"/>
                <w:kern w:val="1"/>
                <w:lang w:eastAsia="lv-LV"/>
              </w:rPr>
            </w:pPr>
            <w:r w:rsidRPr="00961D55">
              <w:rPr>
                <w:rFonts w:eastAsia="Times New Roman"/>
                <w:kern w:val="1"/>
                <w:lang w:eastAsia="lv-LV"/>
              </w:rPr>
              <w:t>No</w:t>
            </w:r>
            <w:r w:rsidR="00817C88">
              <w:rPr>
                <w:rFonts w:eastAsia="Times New Roman"/>
                <w:kern w:val="1"/>
                <w:lang w:eastAsia="lv-LV"/>
              </w:rPr>
              <w:t>teikumu projekts paredz papildināt ar spirta denaturēšanas formulu,</w:t>
            </w:r>
            <w:r w:rsidR="00817C88">
              <w:t xml:space="preserve"> </w:t>
            </w:r>
            <w:r w:rsidR="00817C88">
              <w:rPr>
                <w:rFonts w:eastAsia="Times New Roman"/>
                <w:kern w:val="1"/>
                <w:lang w:eastAsia="lv-LV"/>
              </w:rPr>
              <w:t>ko izmanto stikla tīrītāju ražošanā</w:t>
            </w:r>
            <w:r w:rsidR="00C11811">
              <w:rPr>
                <w:rFonts w:eastAsia="Times New Roman"/>
                <w:kern w:val="1"/>
                <w:lang w:eastAsia="lv-LV"/>
              </w:rPr>
              <w:t xml:space="preserve"> </w:t>
            </w:r>
            <w:r w:rsidR="00C11811" w:rsidRPr="00992EA4">
              <w:rPr>
                <w:rFonts w:eastAsia="Times New Roman"/>
                <w:kern w:val="1"/>
                <w:lang w:eastAsia="lv-LV"/>
              </w:rPr>
              <w:t>un dezinfekcijas līdzekļu ražošanai</w:t>
            </w:r>
            <w:r w:rsidR="00817C88" w:rsidRPr="00992EA4">
              <w:rPr>
                <w:rFonts w:eastAsia="Times New Roman"/>
                <w:kern w:val="1"/>
                <w:lang w:eastAsia="lv-LV"/>
              </w:rPr>
              <w:t>.</w:t>
            </w:r>
          </w:p>
          <w:p w14:paraId="03A2AC1C" w14:textId="77777777" w:rsidR="00961D55" w:rsidRPr="00961D55" w:rsidRDefault="008466DD" w:rsidP="008466DD">
            <w:pPr>
              <w:spacing w:after="0" w:line="240" w:lineRule="auto"/>
              <w:jc w:val="both"/>
              <w:rPr>
                <w:rFonts w:eastAsia="Times New Roman"/>
                <w:lang w:eastAsia="lv-LV"/>
              </w:rPr>
            </w:pPr>
            <w:r>
              <w:rPr>
                <w:rFonts w:eastAsia="Times New Roman"/>
                <w:lang w:eastAsia="lv-LV"/>
              </w:rPr>
              <w:t xml:space="preserve">Noteikumu projekts </w:t>
            </w:r>
            <w:r w:rsidRPr="008466DD">
              <w:rPr>
                <w:rFonts w:eastAsia="Times New Roman"/>
                <w:lang w:eastAsia="lv-LV"/>
              </w:rPr>
              <w:t>nodrošinā</w:t>
            </w:r>
            <w:r>
              <w:rPr>
                <w:rFonts w:eastAsia="Times New Roman"/>
                <w:lang w:eastAsia="lv-LV"/>
              </w:rPr>
              <w:t>s</w:t>
            </w:r>
            <w:r w:rsidRPr="008466DD">
              <w:rPr>
                <w:rFonts w:eastAsia="Times New Roman"/>
                <w:lang w:eastAsia="lv-LV"/>
              </w:rPr>
              <w:t xml:space="preserve"> iesniegumu atļauju saņemšanai un </w:t>
            </w:r>
            <w:proofErr w:type="spellStart"/>
            <w:r w:rsidRPr="008466DD">
              <w:rPr>
                <w:rFonts w:eastAsia="Times New Roman"/>
                <w:lang w:eastAsia="lv-LV"/>
              </w:rPr>
              <w:t>pārreģistrācijai</w:t>
            </w:r>
            <w:proofErr w:type="spellEnd"/>
            <w:r w:rsidRPr="008466DD">
              <w:rPr>
                <w:rFonts w:eastAsia="Times New Roman"/>
                <w:lang w:eastAsia="lv-LV"/>
              </w:rPr>
              <w:t xml:space="preserve"> iesniegšanu EDS strukturētā formā, kā arī atļauju izsniegšanas, </w:t>
            </w:r>
            <w:proofErr w:type="spellStart"/>
            <w:r w:rsidRPr="008466DD">
              <w:rPr>
                <w:rFonts w:eastAsia="Times New Roman"/>
                <w:lang w:eastAsia="lv-LV"/>
              </w:rPr>
              <w:t>pārreģistrācijas</w:t>
            </w:r>
            <w:proofErr w:type="spellEnd"/>
            <w:r w:rsidRPr="008466DD">
              <w:rPr>
                <w:rFonts w:eastAsia="Times New Roman"/>
                <w:lang w:eastAsia="lv-LV"/>
              </w:rPr>
              <w:t xml:space="preserve"> un anulēšanas procesu organizēt maksājumu administrēšanas informācijas sistēmā (turpmāk – MAIS), tādējādi mazinot administratīvo slogu</w:t>
            </w:r>
            <w:r w:rsidR="00E83A72">
              <w:rPr>
                <w:rFonts w:eastAsia="Times New Roman"/>
                <w:lang w:eastAsia="lv-LV"/>
              </w:rPr>
              <w:t xml:space="preserve"> un izmaksas</w:t>
            </w:r>
            <w:r w:rsidRPr="008466DD">
              <w:rPr>
                <w:rFonts w:eastAsia="Times New Roman"/>
                <w:lang w:eastAsia="lv-LV"/>
              </w:rPr>
              <w:t xml:space="preserve"> komersantiem, kā arī optimizējot VID izvērtēšanas procesu.</w:t>
            </w:r>
          </w:p>
        </w:tc>
      </w:tr>
      <w:tr w:rsidR="00961D55" w:rsidRPr="00961D55" w14:paraId="0D071EFE" w14:textId="77777777" w:rsidTr="006964F9">
        <w:tc>
          <w:tcPr>
            <w:tcW w:w="246" w:type="pct"/>
            <w:tcBorders>
              <w:top w:val="outset" w:sz="6" w:space="0" w:color="000000"/>
              <w:left w:val="outset" w:sz="6" w:space="0" w:color="000000"/>
              <w:bottom w:val="outset" w:sz="6" w:space="0" w:color="000000"/>
              <w:right w:val="outset" w:sz="6" w:space="0" w:color="000000"/>
            </w:tcBorders>
          </w:tcPr>
          <w:p w14:paraId="3B96FC7C"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3.</w:t>
            </w:r>
          </w:p>
        </w:tc>
        <w:tc>
          <w:tcPr>
            <w:tcW w:w="1803" w:type="pct"/>
            <w:tcBorders>
              <w:top w:val="outset" w:sz="6" w:space="0" w:color="000000"/>
              <w:left w:val="outset" w:sz="6" w:space="0" w:color="000000"/>
              <w:bottom w:val="outset" w:sz="6" w:space="0" w:color="000000"/>
              <w:right w:val="outset" w:sz="6" w:space="0" w:color="000000"/>
            </w:tcBorders>
          </w:tcPr>
          <w:p w14:paraId="2A60EC94"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Administratīvo izmaksu monetārs novērtējums</w:t>
            </w:r>
          </w:p>
        </w:tc>
        <w:tc>
          <w:tcPr>
            <w:tcW w:w="2951" w:type="pct"/>
            <w:tcBorders>
              <w:top w:val="outset" w:sz="6" w:space="0" w:color="000000"/>
              <w:left w:val="outset" w:sz="6" w:space="0" w:color="000000"/>
              <w:bottom w:val="outset" w:sz="6" w:space="0" w:color="000000"/>
              <w:right w:val="outset" w:sz="6" w:space="0" w:color="000000"/>
            </w:tcBorders>
          </w:tcPr>
          <w:p w14:paraId="007AA12F" w14:textId="102C4240" w:rsidR="00961D55" w:rsidRDefault="00395C7B" w:rsidP="00961D55">
            <w:pPr>
              <w:spacing w:after="0" w:line="240" w:lineRule="auto"/>
              <w:jc w:val="both"/>
              <w:rPr>
                <w:rFonts w:eastAsia="Times New Roman"/>
                <w:lang w:eastAsia="lv-LV"/>
              </w:rPr>
            </w:pPr>
            <w:r w:rsidRPr="00395C7B">
              <w:rPr>
                <w:rFonts w:eastAsia="Times New Roman"/>
                <w:lang w:eastAsia="lv-LV"/>
              </w:rPr>
              <w:t>Noteikumu projektā ietvertajam regulējumam nav ietekmes uz administratīvajām izmaksām (naudas izteiksmē) un tas nerada papildu administratīvo slogu, jo saskaņā ar Ministru kabineta 2009.</w:t>
            </w:r>
            <w:r w:rsidR="00CE4A03">
              <w:rPr>
                <w:rFonts w:eastAsia="Times New Roman"/>
                <w:lang w:eastAsia="lv-LV"/>
              </w:rPr>
              <w:t> </w:t>
            </w:r>
            <w:r w:rsidRPr="00395C7B">
              <w:rPr>
                <w:rFonts w:eastAsia="Times New Roman"/>
                <w:lang w:eastAsia="lv-LV"/>
              </w:rPr>
              <w:t>gada 15.</w:t>
            </w:r>
            <w:r w:rsidR="00CE4A03">
              <w:rPr>
                <w:rFonts w:eastAsia="Times New Roman"/>
                <w:lang w:eastAsia="lv-LV"/>
              </w:rPr>
              <w:t> </w:t>
            </w:r>
            <w:r w:rsidRPr="00395C7B">
              <w:rPr>
                <w:rFonts w:eastAsia="Times New Roman"/>
                <w:lang w:eastAsia="lv-LV"/>
              </w:rPr>
              <w:t>decembra instrukcijas Nr.</w:t>
            </w:r>
            <w:r w:rsidR="00CE4A03">
              <w:rPr>
                <w:rFonts w:eastAsia="Times New Roman"/>
                <w:lang w:eastAsia="lv-LV"/>
              </w:rPr>
              <w:t> </w:t>
            </w:r>
            <w:r w:rsidRPr="00395C7B">
              <w:rPr>
                <w:rFonts w:eastAsia="Times New Roman"/>
                <w:lang w:eastAsia="lv-LV"/>
              </w:rPr>
              <w:t>19 “Tiesību akta projekta sākotnējās ietekmes izvērtēšanas kārtība” 24. un 25.</w:t>
            </w:r>
            <w:r w:rsidR="00CE4A03">
              <w:rPr>
                <w:rFonts w:eastAsia="Times New Roman"/>
                <w:lang w:eastAsia="lv-LV"/>
              </w:rPr>
              <w:t> </w:t>
            </w:r>
            <w:r w:rsidRPr="00395C7B">
              <w:rPr>
                <w:rFonts w:eastAsia="Times New Roman"/>
                <w:lang w:eastAsia="lv-LV"/>
              </w:rPr>
              <w:t xml:space="preserve">punktu administratīvās izmaksas (naudas izteiksmē) gada laikā </w:t>
            </w:r>
            <w:proofErr w:type="spellStart"/>
            <w:r w:rsidRPr="00395C7B">
              <w:rPr>
                <w:rFonts w:eastAsia="Times New Roman"/>
                <w:lang w:eastAsia="lv-LV"/>
              </w:rPr>
              <w:t>mērķgrupai</w:t>
            </w:r>
            <w:proofErr w:type="spellEnd"/>
            <w:r w:rsidRPr="00395C7B">
              <w:rPr>
                <w:rFonts w:eastAsia="Times New Roman"/>
                <w:lang w:eastAsia="lv-LV"/>
              </w:rPr>
              <w:t>, ko veido fiziskas personas, nepārsniedz 200</w:t>
            </w:r>
            <w:r w:rsidR="00CE4A03">
              <w:rPr>
                <w:rFonts w:eastAsia="Times New Roman"/>
                <w:lang w:eastAsia="lv-LV"/>
              </w:rPr>
              <w:t> </w:t>
            </w:r>
            <w:r w:rsidRPr="00395C7B">
              <w:rPr>
                <w:rFonts w:eastAsia="Times New Roman"/>
                <w:lang w:eastAsia="lv-LV"/>
              </w:rPr>
              <w:t xml:space="preserve"> </w:t>
            </w:r>
            <w:proofErr w:type="spellStart"/>
            <w:r w:rsidRPr="00E83A72">
              <w:rPr>
                <w:rFonts w:eastAsia="Times New Roman"/>
                <w:i/>
                <w:lang w:eastAsia="lv-LV"/>
              </w:rPr>
              <w:t>euro</w:t>
            </w:r>
            <w:proofErr w:type="spellEnd"/>
            <w:r w:rsidRPr="00395C7B">
              <w:rPr>
                <w:rFonts w:eastAsia="Times New Roman"/>
                <w:lang w:eastAsia="lv-LV"/>
              </w:rPr>
              <w:t xml:space="preserve">, bet </w:t>
            </w:r>
            <w:proofErr w:type="spellStart"/>
            <w:r w:rsidRPr="00395C7B">
              <w:rPr>
                <w:rFonts w:eastAsia="Times New Roman"/>
                <w:lang w:eastAsia="lv-LV"/>
              </w:rPr>
              <w:t>mērķgrupai</w:t>
            </w:r>
            <w:proofErr w:type="spellEnd"/>
            <w:r w:rsidRPr="00395C7B">
              <w:rPr>
                <w:rFonts w:eastAsia="Times New Roman"/>
                <w:lang w:eastAsia="lv-LV"/>
              </w:rPr>
              <w:t>, ko veido juridiskas personas, – 2000</w:t>
            </w:r>
            <w:r w:rsidR="00CE4A03">
              <w:rPr>
                <w:rFonts w:eastAsia="Times New Roman"/>
                <w:lang w:eastAsia="lv-LV"/>
              </w:rPr>
              <w:t> </w:t>
            </w:r>
            <w:proofErr w:type="spellStart"/>
            <w:r w:rsidRPr="00E83A72">
              <w:rPr>
                <w:rFonts w:eastAsia="Times New Roman"/>
                <w:i/>
                <w:lang w:eastAsia="lv-LV"/>
              </w:rPr>
              <w:t>euro</w:t>
            </w:r>
            <w:proofErr w:type="spellEnd"/>
            <w:r w:rsidRPr="00395C7B">
              <w:rPr>
                <w:rFonts w:eastAsia="Times New Roman"/>
                <w:lang w:eastAsia="lv-LV"/>
              </w:rPr>
              <w:t>.</w:t>
            </w:r>
          </w:p>
          <w:p w14:paraId="6360A0D6" w14:textId="223C5AF8" w:rsidR="00992EA4" w:rsidRPr="00961D55" w:rsidRDefault="00992EA4" w:rsidP="00961D55">
            <w:pPr>
              <w:spacing w:after="0" w:line="240" w:lineRule="auto"/>
              <w:jc w:val="both"/>
              <w:rPr>
                <w:rFonts w:eastAsia="Times New Roman"/>
                <w:lang w:eastAsia="lv-LV"/>
              </w:rPr>
            </w:pPr>
          </w:p>
        </w:tc>
      </w:tr>
      <w:tr w:rsidR="00961D55" w:rsidRPr="00961D55" w14:paraId="02979AEB" w14:textId="77777777" w:rsidTr="006964F9">
        <w:tc>
          <w:tcPr>
            <w:tcW w:w="246" w:type="pct"/>
            <w:tcBorders>
              <w:top w:val="outset" w:sz="6" w:space="0" w:color="000000"/>
              <w:left w:val="outset" w:sz="6" w:space="0" w:color="000000"/>
              <w:bottom w:val="outset" w:sz="6" w:space="0" w:color="000000"/>
              <w:right w:val="outset" w:sz="6" w:space="0" w:color="000000"/>
            </w:tcBorders>
          </w:tcPr>
          <w:p w14:paraId="653CA34E"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4.</w:t>
            </w:r>
          </w:p>
        </w:tc>
        <w:tc>
          <w:tcPr>
            <w:tcW w:w="1803" w:type="pct"/>
            <w:tcBorders>
              <w:top w:val="outset" w:sz="6" w:space="0" w:color="000000"/>
              <w:left w:val="outset" w:sz="6" w:space="0" w:color="000000"/>
              <w:bottom w:val="outset" w:sz="6" w:space="0" w:color="000000"/>
              <w:right w:val="outset" w:sz="6" w:space="0" w:color="000000"/>
            </w:tcBorders>
          </w:tcPr>
          <w:p w14:paraId="6251C78B"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 xml:space="preserve">Atbilstības izmaksu monetārais novērtējums </w:t>
            </w:r>
          </w:p>
        </w:tc>
        <w:tc>
          <w:tcPr>
            <w:tcW w:w="2951" w:type="pct"/>
            <w:tcBorders>
              <w:top w:val="outset" w:sz="6" w:space="0" w:color="000000"/>
              <w:left w:val="outset" w:sz="6" w:space="0" w:color="000000"/>
              <w:bottom w:val="outset" w:sz="6" w:space="0" w:color="000000"/>
              <w:right w:val="outset" w:sz="6" w:space="0" w:color="000000"/>
            </w:tcBorders>
          </w:tcPr>
          <w:p w14:paraId="76610206"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Projekts šo jomu neskar.</w:t>
            </w:r>
          </w:p>
        </w:tc>
      </w:tr>
      <w:tr w:rsidR="00961D55" w:rsidRPr="00961D55" w14:paraId="5312FF9C" w14:textId="77777777" w:rsidTr="006964F9">
        <w:tc>
          <w:tcPr>
            <w:tcW w:w="246" w:type="pct"/>
            <w:tcBorders>
              <w:top w:val="outset" w:sz="6" w:space="0" w:color="000000"/>
              <w:left w:val="outset" w:sz="6" w:space="0" w:color="000000"/>
              <w:bottom w:val="outset" w:sz="6" w:space="0" w:color="000000"/>
              <w:right w:val="outset" w:sz="6" w:space="0" w:color="000000"/>
            </w:tcBorders>
          </w:tcPr>
          <w:p w14:paraId="0D1ECADE"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5.</w:t>
            </w:r>
          </w:p>
        </w:tc>
        <w:tc>
          <w:tcPr>
            <w:tcW w:w="1803" w:type="pct"/>
            <w:tcBorders>
              <w:top w:val="outset" w:sz="6" w:space="0" w:color="000000"/>
              <w:left w:val="outset" w:sz="6" w:space="0" w:color="000000"/>
              <w:bottom w:val="outset" w:sz="6" w:space="0" w:color="000000"/>
              <w:right w:val="outset" w:sz="6" w:space="0" w:color="000000"/>
            </w:tcBorders>
          </w:tcPr>
          <w:p w14:paraId="7159618B"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Cita informācija</w:t>
            </w:r>
          </w:p>
        </w:tc>
        <w:tc>
          <w:tcPr>
            <w:tcW w:w="2951" w:type="pct"/>
            <w:tcBorders>
              <w:top w:val="outset" w:sz="6" w:space="0" w:color="000000"/>
              <w:left w:val="outset" w:sz="6" w:space="0" w:color="000000"/>
              <w:bottom w:val="outset" w:sz="6" w:space="0" w:color="000000"/>
              <w:right w:val="outset" w:sz="6" w:space="0" w:color="000000"/>
            </w:tcBorders>
          </w:tcPr>
          <w:p w14:paraId="0CFFF97E"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Nav.</w:t>
            </w:r>
          </w:p>
        </w:tc>
      </w:tr>
    </w:tbl>
    <w:p w14:paraId="1AE4DD4A" w14:textId="77777777" w:rsidR="00961D55" w:rsidRPr="00961D55" w:rsidRDefault="00961D55" w:rsidP="00961D55">
      <w:pPr>
        <w:spacing w:after="0" w:line="240" w:lineRule="auto"/>
        <w:rPr>
          <w:rFonts w:eastAsia="Times New Roman"/>
          <w:lang w:eastAsia="lv-LV"/>
        </w:rPr>
      </w:pPr>
    </w:p>
    <w:tbl>
      <w:tblPr>
        <w:tblStyle w:val="TableGridLight1"/>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82"/>
        <w:gridCol w:w="1097"/>
        <w:gridCol w:w="932"/>
        <w:gridCol w:w="1097"/>
        <w:gridCol w:w="933"/>
        <w:gridCol w:w="1097"/>
        <w:gridCol w:w="1295"/>
      </w:tblGrid>
      <w:tr w:rsidR="00961D55" w:rsidRPr="00961D55" w14:paraId="73F9F20E" w14:textId="77777777" w:rsidTr="00FD206F">
        <w:tc>
          <w:tcPr>
            <w:tcW w:w="9242" w:type="dxa"/>
            <w:gridSpan w:val="8"/>
            <w:hideMark/>
          </w:tcPr>
          <w:p w14:paraId="590A1CA6" w14:textId="77777777" w:rsidR="00961D55" w:rsidRPr="00961D55" w:rsidRDefault="00961D55" w:rsidP="00961D55">
            <w:pPr>
              <w:jc w:val="center"/>
              <w:rPr>
                <w:rFonts w:eastAsia="Times New Roman"/>
                <w:b/>
                <w:bCs/>
                <w:iCs/>
              </w:rPr>
            </w:pPr>
            <w:r w:rsidRPr="00961D55">
              <w:rPr>
                <w:rFonts w:eastAsia="Times New Roman"/>
                <w:b/>
                <w:bCs/>
                <w:iCs/>
              </w:rPr>
              <w:lastRenderedPageBreak/>
              <w:t>III. Tiesību akta projekta ietekme uz valsts budžetu un pašvaldību budžetiem</w:t>
            </w:r>
          </w:p>
        </w:tc>
      </w:tr>
      <w:tr w:rsidR="00961D55" w:rsidRPr="00961D55" w14:paraId="363E4377" w14:textId="77777777" w:rsidTr="00FD206F">
        <w:tc>
          <w:tcPr>
            <w:tcW w:w="1809" w:type="dxa"/>
            <w:vMerge w:val="restart"/>
            <w:hideMark/>
          </w:tcPr>
          <w:p w14:paraId="56C7F68D" w14:textId="77777777" w:rsidR="00961D55" w:rsidRPr="00961D55" w:rsidRDefault="00961D55" w:rsidP="00961D55">
            <w:pPr>
              <w:rPr>
                <w:rFonts w:eastAsia="Times New Roman"/>
                <w:iCs/>
              </w:rPr>
            </w:pPr>
            <w:r w:rsidRPr="00961D55">
              <w:rPr>
                <w:rFonts w:eastAsia="Times New Roman"/>
                <w:iCs/>
              </w:rPr>
              <w:t>Rādītāji</w:t>
            </w:r>
          </w:p>
        </w:tc>
        <w:tc>
          <w:tcPr>
            <w:tcW w:w="2079" w:type="dxa"/>
            <w:gridSpan w:val="2"/>
            <w:vMerge w:val="restart"/>
            <w:hideMark/>
          </w:tcPr>
          <w:p w14:paraId="504A559D" w14:textId="515B7FA2" w:rsidR="00961D55" w:rsidRPr="00961D55" w:rsidRDefault="00961D55" w:rsidP="00E50019">
            <w:pPr>
              <w:jc w:val="center"/>
              <w:rPr>
                <w:rFonts w:eastAsia="Times New Roman"/>
                <w:iCs/>
              </w:rPr>
            </w:pPr>
            <w:r w:rsidRPr="00961D55">
              <w:rPr>
                <w:rFonts w:eastAsia="Times New Roman"/>
                <w:iCs/>
              </w:rPr>
              <w:t>202</w:t>
            </w:r>
            <w:r w:rsidR="00E50019">
              <w:rPr>
                <w:rFonts w:eastAsia="Times New Roman"/>
                <w:iCs/>
              </w:rPr>
              <w:t>1</w:t>
            </w:r>
          </w:p>
        </w:tc>
        <w:tc>
          <w:tcPr>
            <w:tcW w:w="5354" w:type="dxa"/>
            <w:gridSpan w:val="5"/>
            <w:hideMark/>
          </w:tcPr>
          <w:p w14:paraId="4EC3526F" w14:textId="77777777" w:rsidR="00961D55" w:rsidRPr="00961D55" w:rsidRDefault="00961D55" w:rsidP="00961D55">
            <w:pPr>
              <w:jc w:val="center"/>
              <w:rPr>
                <w:rFonts w:eastAsia="Times New Roman"/>
                <w:iCs/>
              </w:rPr>
            </w:pPr>
            <w:r w:rsidRPr="00961D55">
              <w:rPr>
                <w:rFonts w:eastAsia="Times New Roman"/>
                <w:iCs/>
              </w:rPr>
              <w:t>Turpmākie trīs gadi (</w:t>
            </w:r>
            <w:proofErr w:type="spellStart"/>
            <w:r w:rsidRPr="00961D55">
              <w:rPr>
                <w:rFonts w:eastAsia="Times New Roman"/>
                <w:i/>
                <w:iCs/>
              </w:rPr>
              <w:t>euro</w:t>
            </w:r>
            <w:proofErr w:type="spellEnd"/>
            <w:r w:rsidRPr="00961D55">
              <w:rPr>
                <w:rFonts w:eastAsia="Times New Roman"/>
                <w:iCs/>
              </w:rPr>
              <w:t>)</w:t>
            </w:r>
          </w:p>
        </w:tc>
      </w:tr>
      <w:tr w:rsidR="00961D55" w:rsidRPr="00961D55" w14:paraId="2DD0FCCA" w14:textId="77777777" w:rsidTr="00FD206F">
        <w:tc>
          <w:tcPr>
            <w:tcW w:w="1809" w:type="dxa"/>
            <w:vMerge/>
            <w:hideMark/>
          </w:tcPr>
          <w:p w14:paraId="0DAF0F97" w14:textId="77777777" w:rsidR="00961D55" w:rsidRPr="00961D55" w:rsidRDefault="00961D55" w:rsidP="00961D55">
            <w:pPr>
              <w:rPr>
                <w:rFonts w:eastAsia="Times New Roman"/>
                <w:iCs/>
              </w:rPr>
            </w:pPr>
          </w:p>
        </w:tc>
        <w:tc>
          <w:tcPr>
            <w:tcW w:w="2079" w:type="dxa"/>
            <w:gridSpan w:val="2"/>
            <w:vMerge/>
            <w:hideMark/>
          </w:tcPr>
          <w:p w14:paraId="0FF5C1CA" w14:textId="77777777" w:rsidR="00961D55" w:rsidRPr="00961D55" w:rsidRDefault="00961D55" w:rsidP="00961D55">
            <w:pPr>
              <w:rPr>
                <w:rFonts w:eastAsia="Times New Roman"/>
                <w:iCs/>
              </w:rPr>
            </w:pPr>
          </w:p>
        </w:tc>
        <w:tc>
          <w:tcPr>
            <w:tcW w:w="2029" w:type="dxa"/>
            <w:gridSpan w:val="2"/>
            <w:hideMark/>
          </w:tcPr>
          <w:p w14:paraId="6218231E" w14:textId="266C56AF" w:rsidR="00961D55" w:rsidRPr="00961D55" w:rsidRDefault="00961D55" w:rsidP="00E50019">
            <w:pPr>
              <w:jc w:val="center"/>
              <w:rPr>
                <w:rFonts w:eastAsia="Times New Roman"/>
                <w:iCs/>
              </w:rPr>
            </w:pPr>
            <w:r w:rsidRPr="00961D55">
              <w:rPr>
                <w:rFonts w:eastAsia="Times New Roman"/>
                <w:iCs/>
              </w:rPr>
              <w:t>202</w:t>
            </w:r>
            <w:r w:rsidR="00E50019">
              <w:rPr>
                <w:rFonts w:eastAsia="Times New Roman"/>
                <w:iCs/>
              </w:rPr>
              <w:t>2</w:t>
            </w:r>
          </w:p>
        </w:tc>
        <w:tc>
          <w:tcPr>
            <w:tcW w:w="2030" w:type="dxa"/>
            <w:gridSpan w:val="2"/>
            <w:hideMark/>
          </w:tcPr>
          <w:p w14:paraId="530833B4" w14:textId="65CBBE72" w:rsidR="00961D55" w:rsidRPr="00961D55" w:rsidRDefault="00961D55" w:rsidP="00E50019">
            <w:pPr>
              <w:jc w:val="center"/>
              <w:rPr>
                <w:rFonts w:eastAsia="Times New Roman"/>
                <w:iCs/>
              </w:rPr>
            </w:pPr>
            <w:r w:rsidRPr="00961D55">
              <w:rPr>
                <w:rFonts w:eastAsia="Times New Roman"/>
                <w:iCs/>
              </w:rPr>
              <w:t>202</w:t>
            </w:r>
            <w:r w:rsidR="00E50019">
              <w:rPr>
                <w:rFonts w:eastAsia="Times New Roman"/>
                <w:iCs/>
              </w:rPr>
              <w:t>3</w:t>
            </w:r>
          </w:p>
        </w:tc>
        <w:tc>
          <w:tcPr>
            <w:tcW w:w="1295" w:type="dxa"/>
            <w:hideMark/>
          </w:tcPr>
          <w:p w14:paraId="7CB45941" w14:textId="478B3A66" w:rsidR="00961D55" w:rsidRPr="00961D55" w:rsidRDefault="00961D55" w:rsidP="00E50019">
            <w:pPr>
              <w:jc w:val="center"/>
              <w:rPr>
                <w:rFonts w:eastAsia="Times New Roman"/>
                <w:iCs/>
              </w:rPr>
            </w:pPr>
            <w:r w:rsidRPr="00961D55">
              <w:rPr>
                <w:rFonts w:eastAsia="Times New Roman"/>
                <w:iCs/>
              </w:rPr>
              <w:t>202</w:t>
            </w:r>
            <w:r w:rsidR="00E50019">
              <w:rPr>
                <w:rFonts w:eastAsia="Times New Roman"/>
                <w:iCs/>
              </w:rPr>
              <w:t>4</w:t>
            </w:r>
          </w:p>
        </w:tc>
      </w:tr>
      <w:tr w:rsidR="00961D55" w:rsidRPr="00961D55" w14:paraId="0F0BAEC2" w14:textId="77777777" w:rsidTr="00FD206F">
        <w:tc>
          <w:tcPr>
            <w:tcW w:w="1809" w:type="dxa"/>
            <w:vMerge/>
            <w:hideMark/>
          </w:tcPr>
          <w:p w14:paraId="457E93B2" w14:textId="77777777" w:rsidR="00961D55" w:rsidRPr="00961D55" w:rsidRDefault="00961D55" w:rsidP="00961D55">
            <w:pPr>
              <w:rPr>
                <w:rFonts w:eastAsia="Times New Roman"/>
                <w:iCs/>
              </w:rPr>
            </w:pPr>
          </w:p>
        </w:tc>
        <w:tc>
          <w:tcPr>
            <w:tcW w:w="982" w:type="dxa"/>
            <w:hideMark/>
          </w:tcPr>
          <w:p w14:paraId="23F4E3FD" w14:textId="77777777" w:rsidR="00961D55" w:rsidRPr="00961D55" w:rsidRDefault="00961D55" w:rsidP="00961D55">
            <w:pPr>
              <w:rPr>
                <w:rFonts w:eastAsia="Times New Roman"/>
                <w:iCs/>
              </w:rPr>
            </w:pPr>
            <w:r w:rsidRPr="00961D55">
              <w:rPr>
                <w:rFonts w:eastAsia="Times New Roman"/>
                <w:iCs/>
              </w:rPr>
              <w:t>saskaņā ar valsts budžetu kārtējam gadam</w:t>
            </w:r>
          </w:p>
        </w:tc>
        <w:tc>
          <w:tcPr>
            <w:tcW w:w="1097" w:type="dxa"/>
            <w:hideMark/>
          </w:tcPr>
          <w:p w14:paraId="04DB2FF7" w14:textId="77777777" w:rsidR="00961D55" w:rsidRPr="00961D55" w:rsidRDefault="00961D55" w:rsidP="00961D55">
            <w:pPr>
              <w:rPr>
                <w:rFonts w:eastAsia="Times New Roman"/>
                <w:iCs/>
              </w:rPr>
            </w:pPr>
            <w:r w:rsidRPr="00961D55">
              <w:rPr>
                <w:rFonts w:eastAsia="Times New Roman"/>
                <w:iCs/>
              </w:rPr>
              <w:t>izmaiņas kārtējā gadā, salīdzinot ar valsts budžetu kārtējam gadam</w:t>
            </w:r>
          </w:p>
        </w:tc>
        <w:tc>
          <w:tcPr>
            <w:tcW w:w="932" w:type="dxa"/>
            <w:hideMark/>
          </w:tcPr>
          <w:p w14:paraId="67CBBC0B" w14:textId="77777777" w:rsidR="00961D55" w:rsidRPr="00961D55" w:rsidRDefault="00961D55" w:rsidP="00961D55">
            <w:pPr>
              <w:rPr>
                <w:rFonts w:eastAsia="Times New Roman"/>
                <w:iCs/>
              </w:rPr>
            </w:pPr>
            <w:r w:rsidRPr="00961D55">
              <w:rPr>
                <w:rFonts w:eastAsia="Times New Roman"/>
                <w:iCs/>
              </w:rPr>
              <w:t>saskaņā ar vidēja termiņa budžeta ietvaru</w:t>
            </w:r>
          </w:p>
        </w:tc>
        <w:tc>
          <w:tcPr>
            <w:tcW w:w="1097" w:type="dxa"/>
            <w:hideMark/>
          </w:tcPr>
          <w:p w14:paraId="0DF9DD5F" w14:textId="13D6B5F2" w:rsidR="00961D55" w:rsidRPr="00961D55" w:rsidRDefault="00961D55" w:rsidP="00E50019">
            <w:pPr>
              <w:rPr>
                <w:rFonts w:eastAsia="Times New Roman"/>
                <w:iCs/>
              </w:rPr>
            </w:pPr>
            <w:r w:rsidRPr="00961D55">
              <w:rPr>
                <w:rFonts w:eastAsia="Times New Roman"/>
                <w:iCs/>
              </w:rPr>
              <w:t>izmaiņas, salīdzinot ar vidēja termiņa budžeta ietvaru 202</w:t>
            </w:r>
            <w:r w:rsidR="00E50019">
              <w:rPr>
                <w:rFonts w:eastAsia="Times New Roman"/>
                <w:iCs/>
              </w:rPr>
              <w:t>1</w:t>
            </w:r>
            <w:r w:rsidRPr="00961D55">
              <w:rPr>
                <w:rFonts w:eastAsia="Times New Roman"/>
                <w:iCs/>
              </w:rPr>
              <w:t>. gadam</w:t>
            </w:r>
          </w:p>
        </w:tc>
        <w:tc>
          <w:tcPr>
            <w:tcW w:w="933" w:type="dxa"/>
            <w:hideMark/>
          </w:tcPr>
          <w:p w14:paraId="45AE4427" w14:textId="77777777" w:rsidR="00961D55" w:rsidRPr="00961D55" w:rsidRDefault="00961D55" w:rsidP="00961D55">
            <w:pPr>
              <w:rPr>
                <w:rFonts w:eastAsia="Times New Roman"/>
                <w:iCs/>
              </w:rPr>
            </w:pPr>
            <w:r w:rsidRPr="00961D55">
              <w:rPr>
                <w:rFonts w:eastAsia="Times New Roman"/>
                <w:iCs/>
              </w:rPr>
              <w:t>saskaņā ar vidēja termiņa budžeta ietvaru</w:t>
            </w:r>
          </w:p>
        </w:tc>
        <w:tc>
          <w:tcPr>
            <w:tcW w:w="1097" w:type="dxa"/>
            <w:hideMark/>
          </w:tcPr>
          <w:p w14:paraId="49796050" w14:textId="77777777" w:rsidR="00961D55" w:rsidRPr="00961D55" w:rsidRDefault="00961D55" w:rsidP="00961D55">
            <w:pPr>
              <w:rPr>
                <w:rFonts w:eastAsia="Times New Roman"/>
                <w:iCs/>
              </w:rPr>
            </w:pPr>
            <w:r w:rsidRPr="00961D55">
              <w:rPr>
                <w:rFonts w:eastAsia="Times New Roman"/>
                <w:iCs/>
              </w:rPr>
              <w:t>izmaiņas, salīdzinot ar vidēja termiņa budžeta ietvaru 2021. gadam</w:t>
            </w:r>
          </w:p>
        </w:tc>
        <w:tc>
          <w:tcPr>
            <w:tcW w:w="1295" w:type="dxa"/>
            <w:hideMark/>
          </w:tcPr>
          <w:p w14:paraId="5070B63A" w14:textId="77777777" w:rsidR="00961D55" w:rsidRPr="00961D55" w:rsidRDefault="00961D55" w:rsidP="00961D55">
            <w:pPr>
              <w:rPr>
                <w:rFonts w:eastAsia="Times New Roman"/>
                <w:iCs/>
              </w:rPr>
            </w:pPr>
            <w:r w:rsidRPr="00961D55">
              <w:rPr>
                <w:rFonts w:eastAsia="Times New Roman"/>
                <w:iCs/>
              </w:rPr>
              <w:t>izmaiņas, salīdzinot ar vidēja termiņa budžeta ietvaru 2021. gadam</w:t>
            </w:r>
          </w:p>
        </w:tc>
      </w:tr>
      <w:tr w:rsidR="00961D55" w:rsidRPr="00961D55" w14:paraId="42A1F957" w14:textId="77777777" w:rsidTr="00FD206F">
        <w:tc>
          <w:tcPr>
            <w:tcW w:w="1809" w:type="dxa"/>
            <w:hideMark/>
          </w:tcPr>
          <w:p w14:paraId="4E3BFA3A" w14:textId="77777777" w:rsidR="00961D55" w:rsidRPr="00961D55" w:rsidRDefault="00961D55" w:rsidP="00961D55">
            <w:pPr>
              <w:jc w:val="center"/>
              <w:rPr>
                <w:rFonts w:eastAsia="Times New Roman"/>
                <w:iCs/>
              </w:rPr>
            </w:pPr>
            <w:r w:rsidRPr="00961D55">
              <w:rPr>
                <w:rFonts w:eastAsia="Times New Roman"/>
                <w:iCs/>
              </w:rPr>
              <w:t>1</w:t>
            </w:r>
          </w:p>
        </w:tc>
        <w:tc>
          <w:tcPr>
            <w:tcW w:w="982" w:type="dxa"/>
            <w:hideMark/>
          </w:tcPr>
          <w:p w14:paraId="6DFB7449" w14:textId="77777777" w:rsidR="00961D55" w:rsidRPr="00961D55" w:rsidRDefault="00961D55" w:rsidP="00961D55">
            <w:pPr>
              <w:jc w:val="center"/>
              <w:rPr>
                <w:rFonts w:eastAsia="Times New Roman"/>
                <w:iCs/>
              </w:rPr>
            </w:pPr>
            <w:r w:rsidRPr="00961D55">
              <w:rPr>
                <w:rFonts w:eastAsia="Times New Roman"/>
                <w:iCs/>
              </w:rPr>
              <w:t>2</w:t>
            </w:r>
          </w:p>
        </w:tc>
        <w:tc>
          <w:tcPr>
            <w:tcW w:w="1097" w:type="dxa"/>
            <w:hideMark/>
          </w:tcPr>
          <w:p w14:paraId="62A8FFF7" w14:textId="77777777" w:rsidR="00961D55" w:rsidRPr="00961D55" w:rsidRDefault="00961D55" w:rsidP="00961D55">
            <w:pPr>
              <w:jc w:val="center"/>
              <w:rPr>
                <w:rFonts w:eastAsia="Times New Roman"/>
                <w:iCs/>
              </w:rPr>
            </w:pPr>
            <w:r w:rsidRPr="00961D55">
              <w:rPr>
                <w:rFonts w:eastAsia="Times New Roman"/>
                <w:iCs/>
              </w:rPr>
              <w:t>3</w:t>
            </w:r>
          </w:p>
        </w:tc>
        <w:tc>
          <w:tcPr>
            <w:tcW w:w="932" w:type="dxa"/>
            <w:hideMark/>
          </w:tcPr>
          <w:p w14:paraId="087092DB" w14:textId="77777777" w:rsidR="00961D55" w:rsidRPr="00961D55" w:rsidRDefault="00961D55" w:rsidP="00961D55">
            <w:pPr>
              <w:jc w:val="center"/>
              <w:rPr>
                <w:rFonts w:eastAsia="Times New Roman"/>
                <w:iCs/>
              </w:rPr>
            </w:pPr>
            <w:r w:rsidRPr="00961D55">
              <w:rPr>
                <w:rFonts w:eastAsia="Times New Roman"/>
                <w:iCs/>
              </w:rPr>
              <w:t>4</w:t>
            </w:r>
          </w:p>
        </w:tc>
        <w:tc>
          <w:tcPr>
            <w:tcW w:w="1097" w:type="dxa"/>
            <w:hideMark/>
          </w:tcPr>
          <w:p w14:paraId="61BE9327" w14:textId="77777777" w:rsidR="00961D55" w:rsidRPr="00961D55" w:rsidRDefault="00961D55" w:rsidP="00961D55">
            <w:pPr>
              <w:jc w:val="center"/>
              <w:rPr>
                <w:rFonts w:eastAsia="Times New Roman"/>
                <w:iCs/>
              </w:rPr>
            </w:pPr>
            <w:r w:rsidRPr="00961D55">
              <w:rPr>
                <w:rFonts w:eastAsia="Times New Roman"/>
                <w:iCs/>
              </w:rPr>
              <w:t>5</w:t>
            </w:r>
          </w:p>
        </w:tc>
        <w:tc>
          <w:tcPr>
            <w:tcW w:w="933" w:type="dxa"/>
            <w:hideMark/>
          </w:tcPr>
          <w:p w14:paraId="672036D4" w14:textId="77777777" w:rsidR="00961D55" w:rsidRPr="00961D55" w:rsidRDefault="00961D55" w:rsidP="00961D55">
            <w:pPr>
              <w:jc w:val="center"/>
              <w:rPr>
                <w:rFonts w:eastAsia="Times New Roman"/>
                <w:iCs/>
              </w:rPr>
            </w:pPr>
            <w:r w:rsidRPr="00961D55">
              <w:rPr>
                <w:rFonts w:eastAsia="Times New Roman"/>
                <w:iCs/>
              </w:rPr>
              <w:t>6</w:t>
            </w:r>
          </w:p>
        </w:tc>
        <w:tc>
          <w:tcPr>
            <w:tcW w:w="1097" w:type="dxa"/>
            <w:hideMark/>
          </w:tcPr>
          <w:p w14:paraId="59E43FED" w14:textId="77777777" w:rsidR="00961D55" w:rsidRPr="00961D55" w:rsidRDefault="00961D55" w:rsidP="00961D55">
            <w:pPr>
              <w:jc w:val="center"/>
              <w:rPr>
                <w:rFonts w:eastAsia="Times New Roman"/>
                <w:iCs/>
              </w:rPr>
            </w:pPr>
            <w:r w:rsidRPr="00961D55">
              <w:rPr>
                <w:rFonts w:eastAsia="Times New Roman"/>
                <w:iCs/>
              </w:rPr>
              <w:t>7</w:t>
            </w:r>
          </w:p>
        </w:tc>
        <w:tc>
          <w:tcPr>
            <w:tcW w:w="1295" w:type="dxa"/>
            <w:hideMark/>
          </w:tcPr>
          <w:p w14:paraId="247549EE" w14:textId="77777777" w:rsidR="00961D55" w:rsidRPr="00961D55" w:rsidRDefault="00961D55" w:rsidP="00961D55">
            <w:pPr>
              <w:jc w:val="center"/>
              <w:rPr>
                <w:rFonts w:eastAsia="Times New Roman"/>
                <w:iCs/>
              </w:rPr>
            </w:pPr>
            <w:r w:rsidRPr="00961D55">
              <w:rPr>
                <w:rFonts w:eastAsia="Times New Roman"/>
                <w:iCs/>
              </w:rPr>
              <w:t>8</w:t>
            </w:r>
          </w:p>
        </w:tc>
      </w:tr>
      <w:tr w:rsidR="00961D55" w:rsidRPr="00961D55" w14:paraId="6456B8EA" w14:textId="77777777" w:rsidTr="00FD206F">
        <w:tc>
          <w:tcPr>
            <w:tcW w:w="1809" w:type="dxa"/>
            <w:hideMark/>
          </w:tcPr>
          <w:p w14:paraId="5AE75C31" w14:textId="77777777" w:rsidR="00961D55" w:rsidRPr="00961D55" w:rsidRDefault="00961D55" w:rsidP="00961D55">
            <w:pPr>
              <w:rPr>
                <w:rFonts w:eastAsia="Times New Roman"/>
                <w:iCs/>
              </w:rPr>
            </w:pPr>
            <w:r w:rsidRPr="00961D55">
              <w:rPr>
                <w:rFonts w:eastAsia="Times New Roman"/>
                <w:iCs/>
              </w:rPr>
              <w:t>1. Budžeta ieņēmumi</w:t>
            </w:r>
          </w:p>
        </w:tc>
        <w:tc>
          <w:tcPr>
            <w:tcW w:w="982" w:type="dxa"/>
            <w:hideMark/>
          </w:tcPr>
          <w:p w14:paraId="78C8989E"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4293D6EA"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2" w:type="dxa"/>
            <w:hideMark/>
          </w:tcPr>
          <w:p w14:paraId="3CA8B00A"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2E765217"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3" w:type="dxa"/>
            <w:hideMark/>
          </w:tcPr>
          <w:p w14:paraId="0C3809C3"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5CDB234D"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295" w:type="dxa"/>
            <w:hideMark/>
          </w:tcPr>
          <w:p w14:paraId="5DE63A48"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r>
      <w:tr w:rsidR="00961D55" w:rsidRPr="00961D55" w14:paraId="447A4F6A" w14:textId="77777777" w:rsidTr="00FD206F">
        <w:tc>
          <w:tcPr>
            <w:tcW w:w="1809" w:type="dxa"/>
            <w:hideMark/>
          </w:tcPr>
          <w:p w14:paraId="6E00E443" w14:textId="77777777" w:rsidR="00961D55" w:rsidRPr="00961D55" w:rsidRDefault="00961D55" w:rsidP="00961D55">
            <w:pPr>
              <w:rPr>
                <w:rFonts w:eastAsia="Times New Roman"/>
                <w:iCs/>
              </w:rPr>
            </w:pPr>
            <w:r w:rsidRPr="00961D55">
              <w:rPr>
                <w:rFonts w:eastAsia="Times New Roman"/>
                <w:iCs/>
              </w:rPr>
              <w:t>1.1. valsts pamatbudžets, tai skaitā ieņēmumi no maksas pakalpojumiem un citi pašu ieņēmumi</w:t>
            </w:r>
          </w:p>
        </w:tc>
        <w:tc>
          <w:tcPr>
            <w:tcW w:w="982" w:type="dxa"/>
            <w:hideMark/>
          </w:tcPr>
          <w:p w14:paraId="3341D6D3"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7FDB397C"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2" w:type="dxa"/>
            <w:hideMark/>
          </w:tcPr>
          <w:p w14:paraId="18394C46"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692FE794"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3" w:type="dxa"/>
            <w:hideMark/>
          </w:tcPr>
          <w:p w14:paraId="6DD403E9"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79A6F81A"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295" w:type="dxa"/>
            <w:hideMark/>
          </w:tcPr>
          <w:p w14:paraId="15890465"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r>
      <w:tr w:rsidR="00961D55" w:rsidRPr="00961D55" w14:paraId="6B10FCF3" w14:textId="77777777" w:rsidTr="00FD206F">
        <w:tc>
          <w:tcPr>
            <w:tcW w:w="1809" w:type="dxa"/>
            <w:hideMark/>
          </w:tcPr>
          <w:p w14:paraId="23455C3E" w14:textId="77777777" w:rsidR="00961D55" w:rsidRPr="00961D55" w:rsidRDefault="00961D55" w:rsidP="00961D55">
            <w:pPr>
              <w:rPr>
                <w:rFonts w:eastAsia="Times New Roman"/>
                <w:iCs/>
              </w:rPr>
            </w:pPr>
            <w:r w:rsidRPr="00961D55">
              <w:rPr>
                <w:rFonts w:eastAsia="Times New Roman"/>
                <w:iCs/>
              </w:rPr>
              <w:t>1.2. valsts speciālais budžets</w:t>
            </w:r>
          </w:p>
        </w:tc>
        <w:tc>
          <w:tcPr>
            <w:tcW w:w="982" w:type="dxa"/>
            <w:hideMark/>
          </w:tcPr>
          <w:p w14:paraId="36F07BFC"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42D134A2"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2" w:type="dxa"/>
            <w:hideMark/>
          </w:tcPr>
          <w:p w14:paraId="6EDD0CA1"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313A7E44"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3" w:type="dxa"/>
            <w:hideMark/>
          </w:tcPr>
          <w:p w14:paraId="2C0AC142"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33A4D08D"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295" w:type="dxa"/>
            <w:hideMark/>
          </w:tcPr>
          <w:p w14:paraId="54E18750"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r>
      <w:tr w:rsidR="00961D55" w:rsidRPr="00961D55" w14:paraId="0012F550" w14:textId="77777777" w:rsidTr="00FD206F">
        <w:tc>
          <w:tcPr>
            <w:tcW w:w="1809" w:type="dxa"/>
            <w:hideMark/>
          </w:tcPr>
          <w:p w14:paraId="05C4DDE8" w14:textId="77777777" w:rsidR="00961D55" w:rsidRPr="00961D55" w:rsidRDefault="00961D55" w:rsidP="00961D55">
            <w:pPr>
              <w:rPr>
                <w:rFonts w:eastAsia="Times New Roman"/>
                <w:iCs/>
              </w:rPr>
            </w:pPr>
            <w:r w:rsidRPr="00961D55">
              <w:rPr>
                <w:rFonts w:eastAsia="Times New Roman"/>
                <w:iCs/>
              </w:rPr>
              <w:t>1.3. pašvaldību budžets</w:t>
            </w:r>
          </w:p>
        </w:tc>
        <w:tc>
          <w:tcPr>
            <w:tcW w:w="982" w:type="dxa"/>
            <w:hideMark/>
          </w:tcPr>
          <w:p w14:paraId="6C81C8D9"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4A03162E"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2" w:type="dxa"/>
            <w:hideMark/>
          </w:tcPr>
          <w:p w14:paraId="7376CB88"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2F6B2508"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3C786ADD"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72A87AA5"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44760E64"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27AEFE96" w14:textId="77777777" w:rsidTr="00FD206F">
        <w:tc>
          <w:tcPr>
            <w:tcW w:w="1809" w:type="dxa"/>
            <w:hideMark/>
          </w:tcPr>
          <w:p w14:paraId="7259AF83" w14:textId="77777777" w:rsidR="00961D55" w:rsidRPr="00961D55" w:rsidRDefault="00961D55" w:rsidP="00961D55">
            <w:pPr>
              <w:rPr>
                <w:rFonts w:eastAsia="Times New Roman"/>
                <w:iCs/>
              </w:rPr>
            </w:pPr>
            <w:r w:rsidRPr="00961D55">
              <w:rPr>
                <w:rFonts w:eastAsia="Times New Roman"/>
                <w:iCs/>
              </w:rPr>
              <w:t>2. Budžeta izdevumi</w:t>
            </w:r>
          </w:p>
        </w:tc>
        <w:tc>
          <w:tcPr>
            <w:tcW w:w="982" w:type="dxa"/>
            <w:hideMark/>
          </w:tcPr>
          <w:p w14:paraId="75AF304B"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5CDCB6E3" w14:textId="77777777" w:rsidR="00961D55" w:rsidRPr="00961D55" w:rsidRDefault="007F54F3" w:rsidP="00961D55">
            <w:pPr>
              <w:jc w:val="center"/>
              <w:rPr>
                <w:rFonts w:eastAsia="Times New Roman"/>
                <w:color w:val="000000"/>
              </w:rPr>
            </w:pPr>
            <w:r>
              <w:rPr>
                <w:rFonts w:eastAsia="Times New Roman"/>
                <w:color w:val="000000"/>
              </w:rPr>
              <w:t>81 664</w:t>
            </w:r>
          </w:p>
        </w:tc>
        <w:tc>
          <w:tcPr>
            <w:tcW w:w="932" w:type="dxa"/>
            <w:hideMark/>
          </w:tcPr>
          <w:p w14:paraId="1A61163B"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199EA144"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759D5A48"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309D7F48"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2528C234"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296AC4B7" w14:textId="77777777" w:rsidTr="007F54F3">
        <w:trPr>
          <w:trHeight w:val="518"/>
        </w:trPr>
        <w:tc>
          <w:tcPr>
            <w:tcW w:w="1809" w:type="dxa"/>
            <w:hideMark/>
          </w:tcPr>
          <w:p w14:paraId="7F699515" w14:textId="77777777" w:rsidR="00961D55" w:rsidRPr="007F54F3" w:rsidRDefault="00961D55" w:rsidP="007F54F3">
            <w:pPr>
              <w:rPr>
                <w:rFonts w:eastAsia="Times New Roman"/>
                <w:iCs/>
              </w:rPr>
            </w:pPr>
            <w:r w:rsidRPr="00961D55">
              <w:rPr>
                <w:rFonts w:eastAsia="Times New Roman"/>
                <w:iCs/>
              </w:rPr>
              <w:t>2.1. valsts pamatbudžets</w:t>
            </w:r>
          </w:p>
        </w:tc>
        <w:tc>
          <w:tcPr>
            <w:tcW w:w="982" w:type="dxa"/>
            <w:hideMark/>
          </w:tcPr>
          <w:p w14:paraId="1089499B"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7DD98643" w14:textId="77777777" w:rsidR="00961D55" w:rsidRPr="007F54F3" w:rsidRDefault="007F54F3" w:rsidP="007F54F3">
            <w:pPr>
              <w:jc w:val="center"/>
              <w:rPr>
                <w:rFonts w:eastAsia="Times New Roman"/>
                <w:color w:val="000000"/>
              </w:rPr>
            </w:pPr>
            <w:r>
              <w:rPr>
                <w:rFonts w:eastAsia="Times New Roman"/>
                <w:color w:val="000000"/>
              </w:rPr>
              <w:t>81 644</w:t>
            </w:r>
          </w:p>
          <w:p w14:paraId="1D00B912" w14:textId="77777777" w:rsidR="00961D55" w:rsidRPr="00961D55" w:rsidRDefault="00961D55" w:rsidP="00961D55">
            <w:pPr>
              <w:tabs>
                <w:tab w:val="left" w:pos="795"/>
              </w:tabs>
              <w:rPr>
                <w:rFonts w:eastAsia="Times New Roman"/>
              </w:rPr>
            </w:pPr>
            <w:r w:rsidRPr="00961D55">
              <w:rPr>
                <w:rFonts w:eastAsia="Times New Roman"/>
              </w:rPr>
              <w:tab/>
            </w:r>
          </w:p>
        </w:tc>
        <w:tc>
          <w:tcPr>
            <w:tcW w:w="932" w:type="dxa"/>
            <w:hideMark/>
          </w:tcPr>
          <w:p w14:paraId="3FC89D6A"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0E4BB5FD"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09917385"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2C09692B"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001464C7"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6ED50C23" w14:textId="77777777" w:rsidTr="00FD206F">
        <w:tc>
          <w:tcPr>
            <w:tcW w:w="1809" w:type="dxa"/>
            <w:hideMark/>
          </w:tcPr>
          <w:p w14:paraId="00097096" w14:textId="77777777" w:rsidR="00961D55" w:rsidRPr="00961D55" w:rsidRDefault="00961D55" w:rsidP="00961D55">
            <w:pPr>
              <w:rPr>
                <w:rFonts w:eastAsia="Times New Roman"/>
                <w:iCs/>
              </w:rPr>
            </w:pPr>
            <w:r w:rsidRPr="00961D55">
              <w:rPr>
                <w:rFonts w:eastAsia="Times New Roman"/>
                <w:iCs/>
              </w:rPr>
              <w:t>2.2. valsts speciālais budžets</w:t>
            </w:r>
          </w:p>
        </w:tc>
        <w:tc>
          <w:tcPr>
            <w:tcW w:w="982" w:type="dxa"/>
            <w:hideMark/>
          </w:tcPr>
          <w:p w14:paraId="0530CBEA"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3C0B83EF"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2" w:type="dxa"/>
            <w:hideMark/>
          </w:tcPr>
          <w:p w14:paraId="20D14A9A"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1827B0FE"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45BDB8D8"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1A6915A1"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4C6F8F30"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67D34EAB" w14:textId="77777777" w:rsidTr="00FD206F">
        <w:tc>
          <w:tcPr>
            <w:tcW w:w="1809" w:type="dxa"/>
            <w:hideMark/>
          </w:tcPr>
          <w:p w14:paraId="7E3F8389" w14:textId="77777777" w:rsidR="00961D55" w:rsidRPr="00961D55" w:rsidRDefault="00961D55" w:rsidP="00961D55">
            <w:pPr>
              <w:rPr>
                <w:rFonts w:eastAsia="Times New Roman"/>
                <w:iCs/>
              </w:rPr>
            </w:pPr>
            <w:r w:rsidRPr="00961D55">
              <w:rPr>
                <w:rFonts w:eastAsia="Times New Roman"/>
                <w:iCs/>
              </w:rPr>
              <w:t>2.3. pašvaldību budžets</w:t>
            </w:r>
          </w:p>
        </w:tc>
        <w:tc>
          <w:tcPr>
            <w:tcW w:w="982" w:type="dxa"/>
            <w:hideMark/>
          </w:tcPr>
          <w:p w14:paraId="65A62377"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31AB8072"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2" w:type="dxa"/>
            <w:hideMark/>
          </w:tcPr>
          <w:p w14:paraId="1B6B64B1"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02029486"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38089154"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3BBC0348"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36D6C1BD"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46AB54FB" w14:textId="77777777" w:rsidTr="00FD206F">
        <w:tc>
          <w:tcPr>
            <w:tcW w:w="1809" w:type="dxa"/>
            <w:hideMark/>
          </w:tcPr>
          <w:p w14:paraId="307DDC40" w14:textId="77777777" w:rsidR="00961D55" w:rsidRPr="00961D55" w:rsidRDefault="00961D55" w:rsidP="00961D55">
            <w:pPr>
              <w:rPr>
                <w:rFonts w:eastAsia="Times New Roman"/>
                <w:iCs/>
              </w:rPr>
            </w:pPr>
            <w:r w:rsidRPr="00961D55">
              <w:rPr>
                <w:rFonts w:eastAsia="Times New Roman"/>
                <w:iCs/>
              </w:rPr>
              <w:t>3. Finansiālā ietekme</w:t>
            </w:r>
          </w:p>
        </w:tc>
        <w:tc>
          <w:tcPr>
            <w:tcW w:w="982" w:type="dxa"/>
            <w:hideMark/>
          </w:tcPr>
          <w:p w14:paraId="67774CD4"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66CB4917" w14:textId="77777777" w:rsidR="00961D55" w:rsidRPr="00961D55" w:rsidRDefault="008466DD" w:rsidP="00961D55">
            <w:pPr>
              <w:jc w:val="center"/>
              <w:rPr>
                <w:rFonts w:eastAsia="Times New Roman"/>
                <w:color w:val="000000"/>
              </w:rPr>
            </w:pPr>
            <w:r>
              <w:rPr>
                <w:rFonts w:eastAsia="Times New Roman"/>
                <w:color w:val="000000"/>
              </w:rPr>
              <w:t>0</w:t>
            </w:r>
          </w:p>
        </w:tc>
        <w:tc>
          <w:tcPr>
            <w:tcW w:w="932" w:type="dxa"/>
            <w:hideMark/>
          </w:tcPr>
          <w:p w14:paraId="1FBFDCA9"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1E81090D"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57450067"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0D2D509A"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1E79EDFA"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3797D0FC" w14:textId="77777777" w:rsidTr="00FD206F">
        <w:tc>
          <w:tcPr>
            <w:tcW w:w="1809" w:type="dxa"/>
            <w:hideMark/>
          </w:tcPr>
          <w:p w14:paraId="35E7EDC3" w14:textId="77777777" w:rsidR="00961D55" w:rsidRPr="00961D55" w:rsidRDefault="00961D55" w:rsidP="00961D55">
            <w:pPr>
              <w:rPr>
                <w:rFonts w:eastAsia="Times New Roman"/>
                <w:iCs/>
              </w:rPr>
            </w:pPr>
            <w:r w:rsidRPr="00961D55">
              <w:rPr>
                <w:rFonts w:eastAsia="Times New Roman"/>
                <w:iCs/>
              </w:rPr>
              <w:t>3.1. valsts pamatbudžets</w:t>
            </w:r>
          </w:p>
        </w:tc>
        <w:tc>
          <w:tcPr>
            <w:tcW w:w="982" w:type="dxa"/>
            <w:hideMark/>
          </w:tcPr>
          <w:p w14:paraId="1D991DBF"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1616DBF1" w14:textId="77777777" w:rsidR="00961D55" w:rsidRPr="00961D55" w:rsidRDefault="007F54F3" w:rsidP="00961D55">
            <w:pPr>
              <w:jc w:val="center"/>
              <w:rPr>
                <w:rFonts w:eastAsia="Times New Roman"/>
                <w:color w:val="000000"/>
              </w:rPr>
            </w:pPr>
            <w:r>
              <w:rPr>
                <w:rFonts w:eastAsia="Times New Roman"/>
                <w:color w:val="000000"/>
              </w:rPr>
              <w:t>-81 644</w:t>
            </w:r>
          </w:p>
        </w:tc>
        <w:tc>
          <w:tcPr>
            <w:tcW w:w="932" w:type="dxa"/>
            <w:hideMark/>
          </w:tcPr>
          <w:p w14:paraId="06005ED5"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5742C048"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36D77F1F"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0434907F"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6F980F82"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3C65F526" w14:textId="77777777" w:rsidTr="00FD206F">
        <w:tc>
          <w:tcPr>
            <w:tcW w:w="1809" w:type="dxa"/>
            <w:hideMark/>
          </w:tcPr>
          <w:p w14:paraId="5639169B" w14:textId="77777777" w:rsidR="00961D55" w:rsidRPr="00961D55" w:rsidRDefault="00961D55" w:rsidP="00961D55">
            <w:pPr>
              <w:rPr>
                <w:rFonts w:eastAsia="Times New Roman"/>
                <w:iCs/>
              </w:rPr>
            </w:pPr>
            <w:r w:rsidRPr="00961D55">
              <w:rPr>
                <w:rFonts w:eastAsia="Times New Roman"/>
                <w:iCs/>
              </w:rPr>
              <w:t>3.2. speciālais budžets</w:t>
            </w:r>
          </w:p>
        </w:tc>
        <w:tc>
          <w:tcPr>
            <w:tcW w:w="982" w:type="dxa"/>
            <w:hideMark/>
          </w:tcPr>
          <w:p w14:paraId="672527F3"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177A87D8" w14:textId="77777777" w:rsidR="00961D55" w:rsidRPr="00961D55" w:rsidRDefault="007F54F3" w:rsidP="00961D55">
            <w:pPr>
              <w:jc w:val="center"/>
              <w:rPr>
                <w:rFonts w:eastAsia="Times New Roman"/>
                <w:color w:val="000000"/>
              </w:rPr>
            </w:pPr>
            <w:r>
              <w:rPr>
                <w:rFonts w:eastAsia="Times New Roman"/>
                <w:color w:val="000000"/>
              </w:rPr>
              <w:t>-81 644</w:t>
            </w:r>
          </w:p>
        </w:tc>
        <w:tc>
          <w:tcPr>
            <w:tcW w:w="932" w:type="dxa"/>
            <w:hideMark/>
          </w:tcPr>
          <w:p w14:paraId="52BA38E4"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4D257159"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307A3A1A"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5C13B7F5"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7B851AE6"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2060F677" w14:textId="77777777" w:rsidTr="00FD206F">
        <w:tc>
          <w:tcPr>
            <w:tcW w:w="1809" w:type="dxa"/>
            <w:hideMark/>
          </w:tcPr>
          <w:p w14:paraId="2E7A7591" w14:textId="77777777" w:rsidR="00961D55" w:rsidRPr="00961D55" w:rsidRDefault="00961D55" w:rsidP="00961D55">
            <w:pPr>
              <w:rPr>
                <w:rFonts w:eastAsia="Times New Roman"/>
                <w:iCs/>
              </w:rPr>
            </w:pPr>
            <w:r w:rsidRPr="00961D55">
              <w:rPr>
                <w:rFonts w:eastAsia="Times New Roman"/>
                <w:iCs/>
              </w:rPr>
              <w:t>3.3. pašvaldību budžets</w:t>
            </w:r>
          </w:p>
        </w:tc>
        <w:tc>
          <w:tcPr>
            <w:tcW w:w="982" w:type="dxa"/>
            <w:hideMark/>
          </w:tcPr>
          <w:p w14:paraId="2AFD0F72"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4946651A"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2" w:type="dxa"/>
            <w:hideMark/>
          </w:tcPr>
          <w:p w14:paraId="2CA1645F"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469466C1"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4636D693"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40D2A4C9"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6C08959F"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0FDB4C5F" w14:textId="77777777" w:rsidTr="00FD206F">
        <w:tc>
          <w:tcPr>
            <w:tcW w:w="1809" w:type="dxa"/>
            <w:hideMark/>
          </w:tcPr>
          <w:p w14:paraId="42DBF6E4" w14:textId="77777777" w:rsidR="00961D55" w:rsidRPr="00961D55" w:rsidRDefault="00961D55" w:rsidP="00961D55">
            <w:pPr>
              <w:rPr>
                <w:rFonts w:eastAsia="Times New Roman"/>
                <w:iCs/>
              </w:rPr>
            </w:pPr>
            <w:r w:rsidRPr="00961D55">
              <w:rPr>
                <w:rFonts w:eastAsia="Times New Roman"/>
                <w:iCs/>
              </w:rPr>
              <w:t>4. Finanšu līdzekļi papildu izdevumu finansēšanai (kompensējošu izdevumu samazinājumu norāda ar "+" zīmi)</w:t>
            </w:r>
          </w:p>
        </w:tc>
        <w:tc>
          <w:tcPr>
            <w:tcW w:w="982" w:type="dxa"/>
            <w:hideMark/>
          </w:tcPr>
          <w:p w14:paraId="0B9B637F"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6344AA5E" w14:textId="77777777" w:rsidR="00961D55" w:rsidRPr="00961D55" w:rsidRDefault="007F54F3" w:rsidP="00961D55">
            <w:pPr>
              <w:jc w:val="center"/>
              <w:rPr>
                <w:rFonts w:eastAsia="Times New Roman"/>
                <w:color w:val="000000"/>
              </w:rPr>
            </w:pPr>
            <w:r>
              <w:rPr>
                <w:rFonts w:eastAsia="Times New Roman"/>
                <w:color w:val="000000"/>
              </w:rPr>
              <w:t>81 644</w:t>
            </w:r>
          </w:p>
        </w:tc>
        <w:tc>
          <w:tcPr>
            <w:tcW w:w="932" w:type="dxa"/>
            <w:hideMark/>
          </w:tcPr>
          <w:p w14:paraId="5C48D0EE"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7084332B"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1AABEA5D"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504AC16F"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5EEB9C62"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78BF26C7" w14:textId="77777777" w:rsidTr="00FD206F">
        <w:tc>
          <w:tcPr>
            <w:tcW w:w="1809" w:type="dxa"/>
            <w:hideMark/>
          </w:tcPr>
          <w:p w14:paraId="6B0D9A26" w14:textId="77777777" w:rsidR="00961D55" w:rsidRPr="00961D55" w:rsidRDefault="00961D55" w:rsidP="00961D55">
            <w:pPr>
              <w:rPr>
                <w:rFonts w:eastAsia="Times New Roman"/>
                <w:iCs/>
              </w:rPr>
            </w:pPr>
            <w:r w:rsidRPr="00961D55">
              <w:rPr>
                <w:rFonts w:eastAsia="Times New Roman"/>
                <w:iCs/>
              </w:rPr>
              <w:t>5. Precizēta finansiālā ietekme</w:t>
            </w:r>
          </w:p>
        </w:tc>
        <w:tc>
          <w:tcPr>
            <w:tcW w:w="982" w:type="dxa"/>
            <w:vMerge w:val="restart"/>
            <w:hideMark/>
          </w:tcPr>
          <w:p w14:paraId="03DF8225"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X</w:t>
            </w:r>
          </w:p>
        </w:tc>
        <w:tc>
          <w:tcPr>
            <w:tcW w:w="1097" w:type="dxa"/>
            <w:hideMark/>
          </w:tcPr>
          <w:p w14:paraId="30906CEE"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2" w:type="dxa"/>
            <w:vMerge w:val="restart"/>
            <w:hideMark/>
          </w:tcPr>
          <w:p w14:paraId="2FAFB5BD"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X</w:t>
            </w:r>
          </w:p>
        </w:tc>
        <w:tc>
          <w:tcPr>
            <w:tcW w:w="1097" w:type="dxa"/>
            <w:hideMark/>
          </w:tcPr>
          <w:p w14:paraId="02DBCDE2"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3" w:type="dxa"/>
            <w:vMerge w:val="restart"/>
            <w:hideMark/>
          </w:tcPr>
          <w:p w14:paraId="45760FBF"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X</w:t>
            </w:r>
          </w:p>
        </w:tc>
        <w:tc>
          <w:tcPr>
            <w:tcW w:w="1097" w:type="dxa"/>
            <w:hideMark/>
          </w:tcPr>
          <w:p w14:paraId="5D46F884"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295" w:type="dxa"/>
            <w:hideMark/>
          </w:tcPr>
          <w:p w14:paraId="06B8C08A"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r>
      <w:tr w:rsidR="00961D55" w:rsidRPr="00961D55" w14:paraId="6F9BB909" w14:textId="77777777" w:rsidTr="00FD206F">
        <w:tc>
          <w:tcPr>
            <w:tcW w:w="1809" w:type="dxa"/>
            <w:hideMark/>
          </w:tcPr>
          <w:p w14:paraId="583F866B" w14:textId="77777777" w:rsidR="00961D55" w:rsidRPr="00961D55" w:rsidRDefault="00961D55" w:rsidP="00961D55">
            <w:pPr>
              <w:rPr>
                <w:rFonts w:eastAsia="Times New Roman"/>
                <w:iCs/>
              </w:rPr>
            </w:pPr>
            <w:r w:rsidRPr="00961D55">
              <w:rPr>
                <w:rFonts w:eastAsia="Times New Roman"/>
                <w:iCs/>
              </w:rPr>
              <w:t>5.1. valsts pamatbudžets</w:t>
            </w:r>
          </w:p>
        </w:tc>
        <w:tc>
          <w:tcPr>
            <w:tcW w:w="982" w:type="dxa"/>
            <w:vMerge/>
            <w:hideMark/>
          </w:tcPr>
          <w:p w14:paraId="1814A6E4" w14:textId="77777777" w:rsidR="00961D55" w:rsidRPr="00961D55" w:rsidRDefault="00961D55" w:rsidP="00961D55">
            <w:pPr>
              <w:jc w:val="center"/>
              <w:rPr>
                <w:rFonts w:eastAsia="Times New Roman"/>
                <w:iCs/>
              </w:rPr>
            </w:pPr>
          </w:p>
        </w:tc>
        <w:tc>
          <w:tcPr>
            <w:tcW w:w="1097" w:type="dxa"/>
            <w:hideMark/>
          </w:tcPr>
          <w:p w14:paraId="6B534182"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932" w:type="dxa"/>
            <w:vMerge/>
            <w:hideMark/>
          </w:tcPr>
          <w:p w14:paraId="7404F968" w14:textId="77777777" w:rsidR="00961D55" w:rsidRPr="00961D55" w:rsidRDefault="00961D55" w:rsidP="00961D55">
            <w:pPr>
              <w:jc w:val="center"/>
              <w:rPr>
                <w:rFonts w:eastAsia="Times New Roman"/>
                <w:iCs/>
              </w:rPr>
            </w:pPr>
          </w:p>
        </w:tc>
        <w:tc>
          <w:tcPr>
            <w:tcW w:w="1097" w:type="dxa"/>
            <w:hideMark/>
          </w:tcPr>
          <w:p w14:paraId="7DE0FB3F"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933" w:type="dxa"/>
            <w:vMerge/>
            <w:hideMark/>
          </w:tcPr>
          <w:p w14:paraId="3B139274" w14:textId="77777777" w:rsidR="00961D55" w:rsidRPr="00961D55" w:rsidRDefault="00961D55" w:rsidP="00961D55">
            <w:pPr>
              <w:jc w:val="center"/>
              <w:rPr>
                <w:rFonts w:eastAsia="Times New Roman"/>
                <w:iCs/>
              </w:rPr>
            </w:pPr>
          </w:p>
        </w:tc>
        <w:tc>
          <w:tcPr>
            <w:tcW w:w="1097" w:type="dxa"/>
            <w:hideMark/>
          </w:tcPr>
          <w:p w14:paraId="78E63BA3"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1295" w:type="dxa"/>
            <w:hideMark/>
          </w:tcPr>
          <w:p w14:paraId="338AD1B4" w14:textId="77777777" w:rsidR="00961D55" w:rsidRPr="00961D55" w:rsidRDefault="00961D55" w:rsidP="00961D55">
            <w:pPr>
              <w:jc w:val="center"/>
              <w:rPr>
                <w:rFonts w:eastAsia="Times New Roman"/>
                <w:iCs/>
              </w:rPr>
            </w:pPr>
            <w:r w:rsidRPr="00961D55">
              <w:rPr>
                <w:rFonts w:eastAsia="Times New Roman"/>
                <w:color w:val="000000"/>
                <w:szCs w:val="28"/>
              </w:rPr>
              <w:t>0</w:t>
            </w:r>
          </w:p>
        </w:tc>
      </w:tr>
      <w:tr w:rsidR="00961D55" w:rsidRPr="00961D55" w14:paraId="5CC9E5B1" w14:textId="77777777" w:rsidTr="00FD206F">
        <w:tc>
          <w:tcPr>
            <w:tcW w:w="1809" w:type="dxa"/>
            <w:hideMark/>
          </w:tcPr>
          <w:p w14:paraId="44167585" w14:textId="77777777" w:rsidR="00961D55" w:rsidRPr="00961D55" w:rsidRDefault="00961D55" w:rsidP="00961D55">
            <w:pPr>
              <w:rPr>
                <w:rFonts w:eastAsia="Times New Roman"/>
                <w:iCs/>
              </w:rPr>
            </w:pPr>
            <w:r w:rsidRPr="00961D55">
              <w:rPr>
                <w:rFonts w:eastAsia="Times New Roman"/>
                <w:iCs/>
              </w:rPr>
              <w:t>5.2. speciālais budžets</w:t>
            </w:r>
          </w:p>
        </w:tc>
        <w:tc>
          <w:tcPr>
            <w:tcW w:w="982" w:type="dxa"/>
            <w:vMerge/>
            <w:hideMark/>
          </w:tcPr>
          <w:p w14:paraId="2CA754D9" w14:textId="77777777" w:rsidR="00961D55" w:rsidRPr="00961D55" w:rsidRDefault="00961D55" w:rsidP="00961D55">
            <w:pPr>
              <w:jc w:val="center"/>
              <w:rPr>
                <w:rFonts w:eastAsia="Times New Roman"/>
                <w:iCs/>
              </w:rPr>
            </w:pPr>
          </w:p>
        </w:tc>
        <w:tc>
          <w:tcPr>
            <w:tcW w:w="1097" w:type="dxa"/>
            <w:hideMark/>
          </w:tcPr>
          <w:p w14:paraId="2A6EC108"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932" w:type="dxa"/>
            <w:vMerge/>
            <w:hideMark/>
          </w:tcPr>
          <w:p w14:paraId="75F00C38" w14:textId="77777777" w:rsidR="00961D55" w:rsidRPr="00961D55" w:rsidRDefault="00961D55" w:rsidP="00961D55">
            <w:pPr>
              <w:jc w:val="center"/>
              <w:rPr>
                <w:rFonts w:eastAsia="Times New Roman"/>
                <w:iCs/>
              </w:rPr>
            </w:pPr>
          </w:p>
        </w:tc>
        <w:tc>
          <w:tcPr>
            <w:tcW w:w="1097" w:type="dxa"/>
            <w:hideMark/>
          </w:tcPr>
          <w:p w14:paraId="1511C904"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933" w:type="dxa"/>
            <w:vMerge/>
            <w:hideMark/>
          </w:tcPr>
          <w:p w14:paraId="66595DEA" w14:textId="77777777" w:rsidR="00961D55" w:rsidRPr="00961D55" w:rsidRDefault="00961D55" w:rsidP="00961D55">
            <w:pPr>
              <w:jc w:val="center"/>
              <w:rPr>
                <w:rFonts w:eastAsia="Times New Roman"/>
                <w:iCs/>
              </w:rPr>
            </w:pPr>
          </w:p>
        </w:tc>
        <w:tc>
          <w:tcPr>
            <w:tcW w:w="1097" w:type="dxa"/>
            <w:hideMark/>
          </w:tcPr>
          <w:p w14:paraId="0D74D472"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1295" w:type="dxa"/>
            <w:hideMark/>
          </w:tcPr>
          <w:p w14:paraId="5606C53F" w14:textId="77777777" w:rsidR="00961D55" w:rsidRPr="00961D55" w:rsidRDefault="00961D55" w:rsidP="00961D55">
            <w:pPr>
              <w:jc w:val="center"/>
              <w:rPr>
                <w:rFonts w:eastAsia="Times New Roman"/>
                <w:iCs/>
              </w:rPr>
            </w:pPr>
            <w:r w:rsidRPr="00961D55">
              <w:rPr>
                <w:rFonts w:eastAsia="Times New Roman"/>
                <w:color w:val="000000"/>
                <w:szCs w:val="28"/>
              </w:rPr>
              <w:t>0</w:t>
            </w:r>
          </w:p>
        </w:tc>
      </w:tr>
      <w:tr w:rsidR="00961D55" w:rsidRPr="00961D55" w14:paraId="1ED449BA" w14:textId="77777777" w:rsidTr="00FD206F">
        <w:tc>
          <w:tcPr>
            <w:tcW w:w="1809" w:type="dxa"/>
            <w:hideMark/>
          </w:tcPr>
          <w:p w14:paraId="487D8F0B" w14:textId="77777777" w:rsidR="00961D55" w:rsidRPr="00961D55" w:rsidRDefault="00961D55" w:rsidP="00961D55">
            <w:pPr>
              <w:rPr>
                <w:rFonts w:eastAsia="Times New Roman"/>
                <w:iCs/>
              </w:rPr>
            </w:pPr>
            <w:r w:rsidRPr="00961D55">
              <w:rPr>
                <w:rFonts w:eastAsia="Times New Roman"/>
                <w:iCs/>
              </w:rPr>
              <w:t>5.3. pašvaldību budžets</w:t>
            </w:r>
          </w:p>
        </w:tc>
        <w:tc>
          <w:tcPr>
            <w:tcW w:w="982" w:type="dxa"/>
            <w:vMerge/>
            <w:hideMark/>
          </w:tcPr>
          <w:p w14:paraId="13E56760" w14:textId="77777777" w:rsidR="00961D55" w:rsidRPr="00961D55" w:rsidRDefault="00961D55" w:rsidP="00961D55">
            <w:pPr>
              <w:jc w:val="center"/>
              <w:rPr>
                <w:rFonts w:eastAsia="Times New Roman"/>
                <w:iCs/>
              </w:rPr>
            </w:pPr>
          </w:p>
        </w:tc>
        <w:tc>
          <w:tcPr>
            <w:tcW w:w="1097" w:type="dxa"/>
            <w:hideMark/>
          </w:tcPr>
          <w:p w14:paraId="62BB8133"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932" w:type="dxa"/>
            <w:vMerge/>
            <w:hideMark/>
          </w:tcPr>
          <w:p w14:paraId="4E586BA0" w14:textId="77777777" w:rsidR="00961D55" w:rsidRPr="00961D55" w:rsidRDefault="00961D55" w:rsidP="00961D55">
            <w:pPr>
              <w:jc w:val="center"/>
              <w:rPr>
                <w:rFonts w:eastAsia="Times New Roman"/>
                <w:iCs/>
              </w:rPr>
            </w:pPr>
          </w:p>
        </w:tc>
        <w:tc>
          <w:tcPr>
            <w:tcW w:w="1097" w:type="dxa"/>
            <w:hideMark/>
          </w:tcPr>
          <w:p w14:paraId="3125BAC2"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933" w:type="dxa"/>
            <w:vMerge/>
            <w:hideMark/>
          </w:tcPr>
          <w:p w14:paraId="0F7A71F5" w14:textId="77777777" w:rsidR="00961D55" w:rsidRPr="00961D55" w:rsidRDefault="00961D55" w:rsidP="00961D55">
            <w:pPr>
              <w:jc w:val="center"/>
              <w:rPr>
                <w:rFonts w:eastAsia="Times New Roman"/>
                <w:iCs/>
              </w:rPr>
            </w:pPr>
          </w:p>
        </w:tc>
        <w:tc>
          <w:tcPr>
            <w:tcW w:w="1097" w:type="dxa"/>
            <w:hideMark/>
          </w:tcPr>
          <w:p w14:paraId="6772706F"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1295" w:type="dxa"/>
            <w:hideMark/>
          </w:tcPr>
          <w:p w14:paraId="2C504783" w14:textId="77777777" w:rsidR="00961D55" w:rsidRPr="00961D55" w:rsidRDefault="00961D55" w:rsidP="00961D55">
            <w:pPr>
              <w:jc w:val="center"/>
              <w:rPr>
                <w:rFonts w:eastAsia="Times New Roman"/>
                <w:iCs/>
              </w:rPr>
            </w:pPr>
            <w:r w:rsidRPr="00961D55">
              <w:rPr>
                <w:rFonts w:eastAsia="Times New Roman"/>
                <w:color w:val="000000"/>
                <w:szCs w:val="28"/>
              </w:rPr>
              <w:t>0</w:t>
            </w:r>
          </w:p>
        </w:tc>
      </w:tr>
      <w:tr w:rsidR="00961D55" w:rsidRPr="00961D55" w14:paraId="6B2D5EB5" w14:textId="77777777" w:rsidTr="00FD206F">
        <w:tc>
          <w:tcPr>
            <w:tcW w:w="1809" w:type="dxa"/>
            <w:hideMark/>
          </w:tcPr>
          <w:p w14:paraId="511D35F1" w14:textId="77777777" w:rsidR="00961D55" w:rsidRPr="00961D55" w:rsidRDefault="00961D55" w:rsidP="00961D55">
            <w:pPr>
              <w:rPr>
                <w:rFonts w:eastAsia="Times New Roman"/>
                <w:iCs/>
              </w:rPr>
            </w:pPr>
            <w:r w:rsidRPr="00961D55">
              <w:rPr>
                <w:rFonts w:eastAsia="Times New Roman"/>
                <w:iCs/>
              </w:rPr>
              <w:t xml:space="preserve">6. Detalizēts ieņēmumu un izdevumu aprēķins (ja nepieciešams, detalizētu ieņēmumu un </w:t>
            </w:r>
            <w:r w:rsidRPr="00961D55">
              <w:rPr>
                <w:rFonts w:eastAsia="Times New Roman"/>
                <w:iCs/>
              </w:rPr>
              <w:lastRenderedPageBreak/>
              <w:t>izdevumu aprēķinu var pievienot anotācijas pielikumā)</w:t>
            </w:r>
          </w:p>
        </w:tc>
        <w:tc>
          <w:tcPr>
            <w:tcW w:w="7433" w:type="dxa"/>
            <w:gridSpan w:val="7"/>
            <w:vMerge w:val="restart"/>
            <w:hideMark/>
          </w:tcPr>
          <w:p w14:paraId="68AB426E" w14:textId="77777777" w:rsidR="007F54F3" w:rsidRDefault="007F54F3" w:rsidP="007F54F3">
            <w:pPr>
              <w:contextualSpacing/>
              <w:jc w:val="both"/>
              <w:rPr>
                <w:rFonts w:eastAsia="Times New Roman"/>
                <w:color w:val="000000"/>
                <w:szCs w:val="28"/>
              </w:rPr>
            </w:pPr>
          </w:p>
          <w:p w14:paraId="0D2054AC" w14:textId="77777777" w:rsidR="007F54F3" w:rsidRDefault="007F54F3" w:rsidP="007F54F3">
            <w:pPr>
              <w:contextualSpacing/>
              <w:jc w:val="both"/>
              <w:rPr>
                <w:rFonts w:eastAsia="Times New Roman"/>
                <w:color w:val="000000"/>
                <w:szCs w:val="28"/>
              </w:rPr>
            </w:pPr>
          </w:p>
          <w:p w14:paraId="2C5D14BD" w14:textId="3F2BFDEC" w:rsidR="007F54F3" w:rsidRPr="007F54F3" w:rsidRDefault="007F54F3" w:rsidP="007F54F3">
            <w:pPr>
              <w:contextualSpacing/>
              <w:jc w:val="both"/>
              <w:rPr>
                <w:rFonts w:eastAsia="Times New Roman"/>
                <w:color w:val="000000"/>
                <w:szCs w:val="28"/>
              </w:rPr>
            </w:pPr>
            <w:r w:rsidRPr="007F54F3">
              <w:rPr>
                <w:rFonts w:eastAsia="Times New Roman"/>
                <w:color w:val="000000"/>
                <w:szCs w:val="28"/>
              </w:rPr>
              <w:t>Nepieciešamo izmaiņu veikšanai Valsts ieņēmumu dienesta informācijas sistēmā 202</w:t>
            </w:r>
            <w:r w:rsidR="00E50019">
              <w:rPr>
                <w:rFonts w:eastAsia="Times New Roman"/>
                <w:color w:val="000000"/>
                <w:szCs w:val="28"/>
              </w:rPr>
              <w:t>1</w:t>
            </w:r>
            <w:r w:rsidRPr="007F54F3">
              <w:rPr>
                <w:rFonts w:eastAsia="Times New Roman"/>
                <w:color w:val="000000"/>
                <w:szCs w:val="28"/>
              </w:rPr>
              <w:t xml:space="preserve">.gadā no Finanšu ministrijas budžeta programmas 33.00.00 “Valsts ieņēmumu un muitas politikas nodrošināšana” ir nepieciešams finansējums 81 644 </w:t>
            </w:r>
            <w:proofErr w:type="spellStart"/>
            <w:r w:rsidR="00CE4A03" w:rsidRPr="00CE4A03">
              <w:rPr>
                <w:rFonts w:eastAsia="Times New Roman"/>
                <w:i/>
                <w:color w:val="000000"/>
                <w:szCs w:val="28"/>
              </w:rPr>
              <w:t>euro</w:t>
            </w:r>
            <w:proofErr w:type="spellEnd"/>
            <w:r w:rsidRPr="007F54F3">
              <w:rPr>
                <w:rFonts w:eastAsia="Times New Roman"/>
                <w:color w:val="000000"/>
                <w:szCs w:val="28"/>
              </w:rPr>
              <w:t xml:space="preserve"> apmērā, t.sk.:</w:t>
            </w:r>
          </w:p>
          <w:p w14:paraId="09F170BA" w14:textId="77777777" w:rsidR="007F54F3" w:rsidRPr="007F54F3" w:rsidRDefault="007F54F3" w:rsidP="007F54F3">
            <w:pPr>
              <w:contextualSpacing/>
              <w:jc w:val="both"/>
              <w:rPr>
                <w:rFonts w:eastAsia="Times New Roman"/>
                <w:color w:val="000000"/>
                <w:szCs w:val="28"/>
              </w:rPr>
            </w:pPr>
          </w:p>
          <w:p w14:paraId="0E7E4FCA" w14:textId="00428B77" w:rsidR="007F54F3" w:rsidRDefault="007F54F3" w:rsidP="007F54F3">
            <w:pPr>
              <w:numPr>
                <w:ilvl w:val="0"/>
                <w:numId w:val="3"/>
              </w:numPr>
              <w:contextualSpacing/>
              <w:jc w:val="both"/>
              <w:rPr>
                <w:rFonts w:eastAsia="Times New Roman"/>
                <w:color w:val="000000"/>
                <w:szCs w:val="28"/>
              </w:rPr>
            </w:pPr>
            <w:r w:rsidRPr="007F54F3">
              <w:rPr>
                <w:rFonts w:eastAsia="Times New Roman"/>
                <w:color w:val="000000"/>
                <w:szCs w:val="28"/>
              </w:rPr>
              <w:lastRenderedPageBreak/>
              <w:t xml:space="preserve">Elektroniskās deklarēšanas sistēmā (EDS) – 27 933 </w:t>
            </w:r>
            <w:proofErr w:type="spellStart"/>
            <w:r w:rsidR="00CE4A03" w:rsidRPr="00CE4A03">
              <w:rPr>
                <w:rFonts w:eastAsia="Times New Roman"/>
                <w:i/>
                <w:color w:val="000000"/>
                <w:szCs w:val="28"/>
              </w:rPr>
              <w:t>euro</w:t>
            </w:r>
            <w:proofErr w:type="spellEnd"/>
            <w:r w:rsidRPr="007F54F3">
              <w:rPr>
                <w:rFonts w:eastAsia="Times New Roman"/>
                <w:color w:val="000000"/>
                <w:szCs w:val="28"/>
              </w:rPr>
              <w:t>;</w:t>
            </w:r>
          </w:p>
          <w:p w14:paraId="1EC79F0C" w14:textId="5FCECA66" w:rsidR="00961D55" w:rsidRPr="007F54F3" w:rsidRDefault="007F54F3" w:rsidP="00CE4A03">
            <w:pPr>
              <w:numPr>
                <w:ilvl w:val="0"/>
                <w:numId w:val="3"/>
              </w:numPr>
              <w:contextualSpacing/>
              <w:jc w:val="both"/>
              <w:rPr>
                <w:rFonts w:eastAsia="Times New Roman"/>
                <w:color w:val="000000"/>
                <w:szCs w:val="28"/>
              </w:rPr>
            </w:pPr>
            <w:r w:rsidRPr="007F54F3">
              <w:rPr>
                <w:rFonts w:eastAsia="Times New Roman"/>
                <w:color w:val="000000"/>
                <w:szCs w:val="28"/>
              </w:rPr>
              <w:t>Maksājumu administrēšanas informācijas sistēmā (MAIS) – 53 711 </w:t>
            </w:r>
            <w:proofErr w:type="spellStart"/>
            <w:r w:rsidR="00CE4A03" w:rsidRPr="00CE4A03">
              <w:rPr>
                <w:rFonts w:eastAsia="Times New Roman"/>
                <w:i/>
                <w:color w:val="000000"/>
                <w:szCs w:val="28"/>
              </w:rPr>
              <w:t>euro</w:t>
            </w:r>
            <w:proofErr w:type="spellEnd"/>
            <w:r w:rsidRPr="007F54F3">
              <w:rPr>
                <w:rFonts w:eastAsia="Times New Roman"/>
                <w:color w:val="000000"/>
                <w:szCs w:val="28"/>
              </w:rPr>
              <w:t>.</w:t>
            </w:r>
          </w:p>
        </w:tc>
      </w:tr>
      <w:tr w:rsidR="00961D55" w:rsidRPr="00961D55" w14:paraId="339304F4" w14:textId="77777777" w:rsidTr="00FD206F">
        <w:tc>
          <w:tcPr>
            <w:tcW w:w="1809" w:type="dxa"/>
            <w:hideMark/>
          </w:tcPr>
          <w:p w14:paraId="46972D4E" w14:textId="77777777" w:rsidR="00961D55" w:rsidRPr="00961D55" w:rsidRDefault="00961D55" w:rsidP="00961D55">
            <w:pPr>
              <w:rPr>
                <w:rFonts w:eastAsia="Times New Roman"/>
                <w:iCs/>
              </w:rPr>
            </w:pPr>
            <w:r w:rsidRPr="00961D55">
              <w:rPr>
                <w:rFonts w:eastAsia="Times New Roman"/>
                <w:iCs/>
              </w:rPr>
              <w:lastRenderedPageBreak/>
              <w:t>6.1. detalizēts ieņēmumu aprēķins</w:t>
            </w:r>
          </w:p>
        </w:tc>
        <w:tc>
          <w:tcPr>
            <w:tcW w:w="7433" w:type="dxa"/>
            <w:gridSpan w:val="7"/>
            <w:vMerge/>
            <w:hideMark/>
          </w:tcPr>
          <w:p w14:paraId="30B1E460" w14:textId="77777777" w:rsidR="00961D55" w:rsidRPr="00961D55" w:rsidRDefault="00961D55" w:rsidP="00961D55">
            <w:pPr>
              <w:rPr>
                <w:rFonts w:eastAsia="Times New Roman"/>
                <w:iCs/>
              </w:rPr>
            </w:pPr>
          </w:p>
        </w:tc>
      </w:tr>
      <w:tr w:rsidR="00961D55" w:rsidRPr="00961D55" w14:paraId="12235758" w14:textId="77777777" w:rsidTr="00FD206F">
        <w:tc>
          <w:tcPr>
            <w:tcW w:w="1809" w:type="dxa"/>
            <w:hideMark/>
          </w:tcPr>
          <w:p w14:paraId="2A31C275" w14:textId="77777777" w:rsidR="00961D55" w:rsidRPr="00961D55" w:rsidRDefault="00961D55" w:rsidP="00961D55">
            <w:pPr>
              <w:rPr>
                <w:rFonts w:eastAsia="Times New Roman"/>
                <w:iCs/>
              </w:rPr>
            </w:pPr>
            <w:r w:rsidRPr="00961D55">
              <w:rPr>
                <w:rFonts w:eastAsia="Times New Roman"/>
                <w:iCs/>
              </w:rPr>
              <w:t>6.2. detalizēts izdevumu aprēķins</w:t>
            </w:r>
          </w:p>
        </w:tc>
        <w:tc>
          <w:tcPr>
            <w:tcW w:w="7433" w:type="dxa"/>
            <w:gridSpan w:val="7"/>
            <w:vMerge/>
            <w:hideMark/>
          </w:tcPr>
          <w:p w14:paraId="51FDD6B9" w14:textId="77777777" w:rsidR="00961D55" w:rsidRPr="00961D55" w:rsidRDefault="00961D55" w:rsidP="00961D55">
            <w:pPr>
              <w:rPr>
                <w:rFonts w:eastAsia="Times New Roman"/>
                <w:iCs/>
              </w:rPr>
            </w:pPr>
          </w:p>
        </w:tc>
      </w:tr>
      <w:tr w:rsidR="00961D55" w:rsidRPr="00961D55" w14:paraId="3A1D81F1" w14:textId="77777777" w:rsidTr="00FD206F">
        <w:tc>
          <w:tcPr>
            <w:tcW w:w="1809" w:type="dxa"/>
            <w:hideMark/>
          </w:tcPr>
          <w:p w14:paraId="70DA802A" w14:textId="77777777" w:rsidR="00961D55" w:rsidRPr="00961D55" w:rsidRDefault="00961D55" w:rsidP="00961D55">
            <w:pPr>
              <w:rPr>
                <w:rFonts w:eastAsia="Times New Roman"/>
                <w:iCs/>
              </w:rPr>
            </w:pPr>
            <w:r w:rsidRPr="00961D55">
              <w:rPr>
                <w:rFonts w:eastAsia="Times New Roman"/>
                <w:iCs/>
              </w:rPr>
              <w:t>7. Amata vietu skaita izmaiņas</w:t>
            </w:r>
          </w:p>
        </w:tc>
        <w:tc>
          <w:tcPr>
            <w:tcW w:w="7433" w:type="dxa"/>
            <w:gridSpan w:val="7"/>
            <w:hideMark/>
          </w:tcPr>
          <w:p w14:paraId="0973CA1D" w14:textId="78D7FECD" w:rsidR="00961D55" w:rsidRPr="00C826D0" w:rsidRDefault="00EA70D4" w:rsidP="00961D55">
            <w:pPr>
              <w:rPr>
                <w:rFonts w:eastAsia="Times New Roman"/>
                <w:iCs/>
              </w:rPr>
            </w:pPr>
            <w:r w:rsidRPr="00C826D0">
              <w:rPr>
                <w:rFonts w:eastAsia="Times New Roman"/>
                <w:color w:val="000000"/>
                <w:szCs w:val="28"/>
              </w:rPr>
              <w:t>Projekts šo jomu neskar.</w:t>
            </w:r>
          </w:p>
        </w:tc>
      </w:tr>
      <w:tr w:rsidR="00961D55" w:rsidRPr="00961D55" w14:paraId="34770F98" w14:textId="77777777" w:rsidTr="00FD206F">
        <w:tc>
          <w:tcPr>
            <w:tcW w:w="1809" w:type="dxa"/>
            <w:hideMark/>
          </w:tcPr>
          <w:p w14:paraId="190ED85D" w14:textId="77777777" w:rsidR="00961D55" w:rsidRPr="00961D55" w:rsidRDefault="00961D55" w:rsidP="00961D55">
            <w:pPr>
              <w:rPr>
                <w:rFonts w:eastAsia="Times New Roman"/>
                <w:iCs/>
              </w:rPr>
            </w:pPr>
            <w:r w:rsidRPr="00961D55">
              <w:rPr>
                <w:rFonts w:eastAsia="Times New Roman"/>
                <w:iCs/>
              </w:rPr>
              <w:t>8. Cita informācija</w:t>
            </w:r>
          </w:p>
        </w:tc>
        <w:tc>
          <w:tcPr>
            <w:tcW w:w="7433" w:type="dxa"/>
            <w:gridSpan w:val="7"/>
            <w:hideMark/>
          </w:tcPr>
          <w:p w14:paraId="698F2B25" w14:textId="04AB14A1" w:rsidR="00961D55" w:rsidRPr="00961D55" w:rsidRDefault="007F54F3" w:rsidP="00E50019">
            <w:pPr>
              <w:jc w:val="both"/>
              <w:rPr>
                <w:rFonts w:eastAsia="Times New Roman"/>
                <w:iCs/>
              </w:rPr>
            </w:pPr>
            <w:r w:rsidRPr="007F54F3">
              <w:rPr>
                <w:rFonts w:eastAsia="Times New Roman"/>
                <w:szCs w:val="28"/>
              </w:rPr>
              <w:t>202</w:t>
            </w:r>
            <w:r w:rsidR="00E50019">
              <w:rPr>
                <w:rFonts w:eastAsia="Times New Roman"/>
                <w:szCs w:val="28"/>
              </w:rPr>
              <w:t>1</w:t>
            </w:r>
            <w:r w:rsidRPr="007F54F3">
              <w:rPr>
                <w:rFonts w:eastAsia="Times New Roman"/>
                <w:szCs w:val="28"/>
              </w:rPr>
              <w:t>.</w:t>
            </w:r>
            <w:r w:rsidR="00CE4A03">
              <w:rPr>
                <w:rFonts w:eastAsia="Times New Roman"/>
                <w:szCs w:val="28"/>
              </w:rPr>
              <w:t> </w:t>
            </w:r>
            <w:r w:rsidRPr="007F54F3">
              <w:rPr>
                <w:rFonts w:eastAsia="Times New Roman"/>
                <w:szCs w:val="28"/>
              </w:rPr>
              <w:t xml:space="preserve">gadā nepieciešamo izmaiņu veikšanai Valsts ieņēmumu dienesta informācijas sistēmās nepieciešamais finansējums 81 644 </w:t>
            </w:r>
            <w:proofErr w:type="spellStart"/>
            <w:r w:rsidR="00CE4A03" w:rsidRPr="00CE4A03">
              <w:rPr>
                <w:rFonts w:eastAsia="Times New Roman"/>
                <w:i/>
                <w:szCs w:val="28"/>
              </w:rPr>
              <w:t>euro</w:t>
            </w:r>
            <w:proofErr w:type="spellEnd"/>
            <w:r w:rsidRPr="007F54F3">
              <w:rPr>
                <w:rFonts w:eastAsia="Times New Roman"/>
                <w:szCs w:val="28"/>
              </w:rPr>
              <w:t xml:space="preserve"> apmērā tiks nodrošināts Finanšu ministrijas budžeta programmas 33.00.00 “Valsts ieņēmumu un muitas politikas nodrošināšana” piešķirtā finansējuma ietvaros.</w:t>
            </w:r>
          </w:p>
        </w:tc>
      </w:tr>
    </w:tbl>
    <w:p w14:paraId="569E1C4D" w14:textId="77777777" w:rsidR="00961D55" w:rsidRPr="00961D55" w:rsidRDefault="00961D55" w:rsidP="00961D55">
      <w:pPr>
        <w:spacing w:after="0" w:line="240" w:lineRule="auto"/>
        <w:rPr>
          <w:rFonts w:eastAsia="Times New Roman"/>
          <w:lang w:eastAsia="lv-LV"/>
        </w:rPr>
      </w:pPr>
    </w:p>
    <w:tbl>
      <w:tblPr>
        <w:tblW w:w="5088"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214"/>
      </w:tblGrid>
      <w:tr w:rsidR="00961D55" w:rsidRPr="00961D55" w14:paraId="3133DFA0" w14:textId="77777777" w:rsidTr="00FD206F">
        <w:tc>
          <w:tcPr>
            <w:tcW w:w="5000" w:type="pct"/>
            <w:tcBorders>
              <w:top w:val="single" w:sz="6" w:space="0" w:color="auto"/>
              <w:left w:val="single" w:sz="6" w:space="0" w:color="auto"/>
              <w:bottom w:val="outset" w:sz="6" w:space="0" w:color="000000"/>
              <w:right w:val="single" w:sz="6" w:space="0" w:color="auto"/>
            </w:tcBorders>
            <w:vAlign w:val="center"/>
            <w:hideMark/>
          </w:tcPr>
          <w:p w14:paraId="0AB086E6" w14:textId="77777777" w:rsidR="00961D55" w:rsidRPr="00961D55" w:rsidRDefault="00961D55" w:rsidP="00961D55">
            <w:pPr>
              <w:spacing w:before="100" w:beforeAutospacing="1" w:after="100" w:afterAutospacing="1" w:line="240" w:lineRule="auto"/>
              <w:jc w:val="center"/>
              <w:rPr>
                <w:rFonts w:eastAsia="Times New Roman"/>
                <w:b/>
                <w:bCs/>
                <w:lang w:eastAsia="lv-LV"/>
              </w:rPr>
            </w:pPr>
            <w:r w:rsidRPr="00961D55">
              <w:rPr>
                <w:rFonts w:eastAsia="Calibri"/>
                <w:b/>
                <w:bCs/>
                <w:szCs w:val="22"/>
              </w:rPr>
              <w:t>IV. Tiesību akta projekta ietekme uz spēkā esošo tiesību normu sistēmu</w:t>
            </w:r>
          </w:p>
        </w:tc>
      </w:tr>
      <w:tr w:rsidR="00961D55" w:rsidRPr="00961D55" w14:paraId="3BF14289" w14:textId="77777777" w:rsidTr="00FD206F">
        <w:tc>
          <w:tcPr>
            <w:tcW w:w="5000" w:type="pct"/>
            <w:tcBorders>
              <w:top w:val="outset" w:sz="6" w:space="0" w:color="000000"/>
              <w:left w:val="outset" w:sz="6" w:space="0" w:color="000000"/>
              <w:bottom w:val="outset" w:sz="6" w:space="0" w:color="000000"/>
              <w:right w:val="outset" w:sz="6" w:space="0" w:color="000000"/>
            </w:tcBorders>
            <w:hideMark/>
          </w:tcPr>
          <w:p w14:paraId="2E16CE33" w14:textId="77777777" w:rsidR="00961D55" w:rsidRPr="00961D55" w:rsidRDefault="00961D55" w:rsidP="00961D55">
            <w:pPr>
              <w:spacing w:after="0" w:line="240" w:lineRule="auto"/>
              <w:ind w:right="113"/>
              <w:jc w:val="center"/>
              <w:rPr>
                <w:rFonts w:eastAsia="Times New Roman"/>
                <w:lang w:eastAsia="lv-LV"/>
              </w:rPr>
            </w:pPr>
            <w:r w:rsidRPr="00961D55">
              <w:rPr>
                <w:rFonts w:eastAsia="Times New Roman"/>
                <w:lang w:eastAsia="lv-LV"/>
              </w:rPr>
              <w:t>Projekts šo jomu neskar</w:t>
            </w:r>
          </w:p>
        </w:tc>
      </w:tr>
    </w:tbl>
    <w:p w14:paraId="31924A9A" w14:textId="77777777" w:rsidR="00961D55" w:rsidRPr="00961D55" w:rsidRDefault="00961D55" w:rsidP="00961D55">
      <w:pPr>
        <w:spacing w:after="0" w:line="240" w:lineRule="auto"/>
        <w:rPr>
          <w:rFonts w:eastAsia="Times New Roman"/>
          <w:lang w:eastAsia="lv-LV"/>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961D55" w:rsidRPr="00961D55" w14:paraId="6C54C12D" w14:textId="77777777" w:rsidTr="00FD206F">
        <w:tc>
          <w:tcPr>
            <w:tcW w:w="5000" w:type="pct"/>
            <w:shd w:val="clear" w:color="auto" w:fill="auto"/>
            <w:hideMark/>
          </w:tcPr>
          <w:p w14:paraId="5444BEB3" w14:textId="77777777" w:rsidR="00961D55" w:rsidRPr="00961D55" w:rsidRDefault="00961D55" w:rsidP="00961D55">
            <w:pPr>
              <w:spacing w:after="0" w:line="240" w:lineRule="auto"/>
              <w:jc w:val="center"/>
              <w:rPr>
                <w:rFonts w:eastAsia="Times New Roman"/>
                <w:b/>
                <w:bCs/>
                <w:lang w:eastAsia="lv-LV"/>
              </w:rPr>
            </w:pPr>
            <w:r w:rsidRPr="00961D55">
              <w:rPr>
                <w:rFonts w:eastAsia="Times New Roman"/>
                <w:b/>
                <w:bCs/>
                <w:lang w:eastAsia="lv-LV"/>
              </w:rPr>
              <w:t>V. Tiesību akta projekta atbilstība Latvijas Republikas starptautiskajām saistībām</w:t>
            </w:r>
          </w:p>
        </w:tc>
      </w:tr>
      <w:tr w:rsidR="008466DD" w:rsidRPr="00961D55" w14:paraId="7C8DE45E" w14:textId="77777777" w:rsidTr="008466DD">
        <w:tc>
          <w:tcPr>
            <w:tcW w:w="5000" w:type="pct"/>
            <w:shd w:val="clear" w:color="auto" w:fill="auto"/>
            <w:hideMark/>
          </w:tcPr>
          <w:p w14:paraId="0A83C79F" w14:textId="77777777" w:rsidR="008466DD" w:rsidRPr="00961D55" w:rsidRDefault="008466DD" w:rsidP="008466DD">
            <w:pPr>
              <w:spacing w:after="0" w:line="240" w:lineRule="auto"/>
              <w:jc w:val="center"/>
              <w:rPr>
                <w:rFonts w:eastAsia="Times New Roman"/>
                <w:lang w:eastAsia="lv-LV"/>
              </w:rPr>
            </w:pPr>
            <w:r>
              <w:rPr>
                <w:rFonts w:eastAsia="Times New Roman"/>
                <w:lang w:eastAsia="lv-LV"/>
              </w:rPr>
              <w:t>Projekts šo jomu neskar</w:t>
            </w:r>
          </w:p>
        </w:tc>
      </w:tr>
    </w:tbl>
    <w:p w14:paraId="6A7EE088"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 xml:space="preserve">  </w:t>
      </w:r>
    </w:p>
    <w:tbl>
      <w:tblPr>
        <w:tblW w:w="5067"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61"/>
        <w:gridCol w:w="3371"/>
        <w:gridCol w:w="5344"/>
      </w:tblGrid>
      <w:tr w:rsidR="00961D55" w:rsidRPr="00961D55" w14:paraId="41DF14CC" w14:textId="77777777" w:rsidTr="00FD206F">
        <w:tc>
          <w:tcPr>
            <w:tcW w:w="5000" w:type="pct"/>
            <w:gridSpan w:val="3"/>
            <w:tcBorders>
              <w:top w:val="single" w:sz="6" w:space="0" w:color="auto"/>
              <w:left w:val="single" w:sz="6" w:space="0" w:color="auto"/>
              <w:bottom w:val="single" w:sz="6" w:space="0" w:color="auto"/>
              <w:right w:val="single" w:sz="6" w:space="0" w:color="auto"/>
            </w:tcBorders>
            <w:hideMark/>
          </w:tcPr>
          <w:p w14:paraId="539CCFDC" w14:textId="77777777" w:rsidR="00961D55" w:rsidRPr="00961D55" w:rsidRDefault="00961D55" w:rsidP="00961D55">
            <w:pPr>
              <w:tabs>
                <w:tab w:val="center" w:pos="4648"/>
                <w:tab w:val="left" w:pos="8395"/>
              </w:tabs>
              <w:spacing w:before="100" w:beforeAutospacing="1" w:after="100" w:afterAutospacing="1" w:line="240" w:lineRule="auto"/>
              <w:rPr>
                <w:rFonts w:eastAsia="Times New Roman"/>
                <w:b/>
                <w:bCs/>
                <w:lang w:eastAsia="lv-LV"/>
              </w:rPr>
            </w:pPr>
            <w:r w:rsidRPr="00961D55">
              <w:rPr>
                <w:rFonts w:eastAsia="Times New Roman"/>
                <w:b/>
                <w:bCs/>
                <w:lang w:eastAsia="lv-LV"/>
              </w:rPr>
              <w:tab/>
              <w:t>VI. Sabiedrības līdzdalība un komunikācijas aktivitātes</w:t>
            </w:r>
            <w:r w:rsidRPr="00961D55">
              <w:rPr>
                <w:rFonts w:eastAsia="Times New Roman"/>
                <w:b/>
                <w:bCs/>
                <w:lang w:eastAsia="lv-LV"/>
              </w:rPr>
              <w:tab/>
            </w:r>
          </w:p>
        </w:tc>
      </w:tr>
      <w:tr w:rsidR="00961D55" w:rsidRPr="00961D55" w14:paraId="6EA5AFDC" w14:textId="77777777" w:rsidTr="002B1EE3">
        <w:tc>
          <w:tcPr>
            <w:tcW w:w="251" w:type="pct"/>
            <w:tcBorders>
              <w:top w:val="single" w:sz="6" w:space="0" w:color="auto"/>
              <w:left w:val="single" w:sz="6" w:space="0" w:color="auto"/>
              <w:bottom w:val="single" w:sz="6" w:space="0" w:color="auto"/>
              <w:right w:val="single" w:sz="4" w:space="0" w:color="auto"/>
            </w:tcBorders>
          </w:tcPr>
          <w:p w14:paraId="262DA2D6" w14:textId="77777777" w:rsidR="00961D55" w:rsidRPr="00961D55" w:rsidRDefault="00961D55" w:rsidP="00961D55">
            <w:pPr>
              <w:spacing w:before="100" w:beforeAutospacing="1" w:after="100" w:afterAutospacing="1" w:line="240" w:lineRule="auto"/>
              <w:jc w:val="center"/>
              <w:rPr>
                <w:rFonts w:eastAsia="Times New Roman"/>
                <w:bCs/>
                <w:lang w:eastAsia="lv-LV"/>
              </w:rPr>
            </w:pPr>
            <w:r w:rsidRPr="00961D55">
              <w:rPr>
                <w:rFonts w:eastAsia="Times New Roman"/>
                <w:bCs/>
                <w:lang w:eastAsia="lv-LV"/>
              </w:rPr>
              <w:t>1.</w:t>
            </w:r>
          </w:p>
        </w:tc>
        <w:tc>
          <w:tcPr>
            <w:tcW w:w="1837" w:type="pct"/>
            <w:tcBorders>
              <w:top w:val="single" w:sz="6" w:space="0" w:color="auto"/>
              <w:left w:val="single" w:sz="4" w:space="0" w:color="auto"/>
              <w:bottom w:val="single" w:sz="6" w:space="0" w:color="auto"/>
              <w:right w:val="single" w:sz="4" w:space="0" w:color="auto"/>
            </w:tcBorders>
          </w:tcPr>
          <w:p w14:paraId="3FCCC595" w14:textId="77777777" w:rsidR="00961D55" w:rsidRPr="00961D55" w:rsidRDefault="00961D55" w:rsidP="00961D55">
            <w:pPr>
              <w:spacing w:before="100" w:beforeAutospacing="1" w:after="100" w:afterAutospacing="1" w:line="240" w:lineRule="auto"/>
              <w:ind w:right="-31"/>
              <w:rPr>
                <w:rFonts w:eastAsia="Times New Roman"/>
                <w:bCs/>
                <w:lang w:eastAsia="lv-LV"/>
              </w:rPr>
            </w:pPr>
            <w:r w:rsidRPr="00961D55">
              <w:rPr>
                <w:rFonts w:eastAsia="Times New Roman"/>
                <w:bCs/>
                <w:lang w:eastAsia="lv-LV"/>
              </w:rPr>
              <w:t>Plānotās sabiedrības līdzdalības un komunikācijas aktivitātes saistībā ar projektu</w:t>
            </w:r>
          </w:p>
        </w:tc>
        <w:tc>
          <w:tcPr>
            <w:tcW w:w="2912" w:type="pct"/>
            <w:tcBorders>
              <w:top w:val="single" w:sz="6" w:space="0" w:color="auto"/>
              <w:left w:val="single" w:sz="4" w:space="0" w:color="auto"/>
              <w:bottom w:val="single" w:sz="6" w:space="0" w:color="auto"/>
              <w:right w:val="single" w:sz="6" w:space="0" w:color="auto"/>
            </w:tcBorders>
          </w:tcPr>
          <w:p w14:paraId="2DC4B6CD" w14:textId="3ADA17E4" w:rsidR="00961D55" w:rsidRPr="00961D55" w:rsidRDefault="008466DD" w:rsidP="008466DD">
            <w:pPr>
              <w:spacing w:after="0" w:line="240" w:lineRule="auto"/>
              <w:jc w:val="both"/>
              <w:rPr>
                <w:rFonts w:eastAsia="Times New Roman"/>
                <w:lang w:eastAsia="lv-LV"/>
              </w:rPr>
            </w:pPr>
            <w:r w:rsidRPr="008466DD">
              <w:rPr>
                <w:rFonts w:eastAsia="Times New Roman"/>
                <w:lang w:eastAsia="lv-LV"/>
              </w:rPr>
              <w:t>Uzziņa par Ministru kabineta noteikumu projektu tik</w:t>
            </w:r>
            <w:r>
              <w:rPr>
                <w:rFonts w:eastAsia="Times New Roman"/>
                <w:lang w:eastAsia="lv-LV"/>
              </w:rPr>
              <w:t>a</w:t>
            </w:r>
            <w:r w:rsidRPr="008466DD">
              <w:rPr>
                <w:rFonts w:eastAsia="Times New Roman"/>
                <w:lang w:eastAsia="lv-LV"/>
              </w:rPr>
              <w:t xml:space="preserve"> publicēta </w:t>
            </w:r>
            <w:r w:rsidR="005264CB">
              <w:rPr>
                <w:rFonts w:eastAsia="Times New Roman"/>
                <w:lang w:eastAsia="lv-LV"/>
              </w:rPr>
              <w:t xml:space="preserve">03.08.2020. </w:t>
            </w:r>
            <w:r w:rsidRPr="008466DD">
              <w:rPr>
                <w:rFonts w:eastAsia="Times New Roman"/>
                <w:lang w:eastAsia="lv-LV"/>
              </w:rPr>
              <w:t xml:space="preserve">Finanšu ministrijas mājaslapā un </w:t>
            </w:r>
            <w:r>
              <w:rPr>
                <w:rFonts w:eastAsia="Times New Roman"/>
                <w:lang w:eastAsia="lv-LV"/>
              </w:rPr>
              <w:t>sabiedrības locekļi par to varēja</w:t>
            </w:r>
            <w:r w:rsidRPr="008466DD">
              <w:rPr>
                <w:rFonts w:eastAsia="Times New Roman"/>
                <w:lang w:eastAsia="lv-LV"/>
              </w:rPr>
              <w:t xml:space="preserve"> izteikt viedokli līdz 31.08.2020. Noteikumu projekts elektroniski tik</w:t>
            </w:r>
            <w:r>
              <w:rPr>
                <w:rFonts w:eastAsia="Times New Roman"/>
                <w:lang w:eastAsia="lv-LV"/>
              </w:rPr>
              <w:t>a</w:t>
            </w:r>
            <w:r w:rsidRPr="008466DD">
              <w:rPr>
                <w:rFonts w:eastAsia="Times New Roman"/>
                <w:lang w:eastAsia="lv-LV"/>
              </w:rPr>
              <w:t xml:space="preserve"> nosūtīts SIA </w:t>
            </w:r>
            <w:r w:rsidR="003653F4">
              <w:rPr>
                <w:rFonts w:eastAsia="Times New Roman"/>
                <w:lang w:eastAsia="lv-LV"/>
              </w:rPr>
              <w:t>“</w:t>
            </w:r>
            <w:r w:rsidRPr="008466DD">
              <w:rPr>
                <w:rFonts w:eastAsia="Times New Roman"/>
                <w:lang w:eastAsia="lv-LV"/>
              </w:rPr>
              <w:t>Latvijas Ķīmija</w:t>
            </w:r>
            <w:r w:rsidR="003653F4">
              <w:rPr>
                <w:rFonts w:eastAsia="Times New Roman"/>
                <w:lang w:eastAsia="lv-LV"/>
              </w:rPr>
              <w:t>”</w:t>
            </w:r>
            <w:r w:rsidR="00CE4A03">
              <w:rPr>
                <w:rFonts w:eastAsia="Times New Roman"/>
                <w:lang w:eastAsia="lv-LV"/>
              </w:rPr>
              <w:t xml:space="preserve">, </w:t>
            </w:r>
            <w:r w:rsidRPr="008466DD">
              <w:rPr>
                <w:rFonts w:eastAsia="Times New Roman"/>
                <w:lang w:eastAsia="lv-LV"/>
              </w:rPr>
              <w:t>Latvijas Darba devēju konfederācijai un Latvijas Tirdzniecības un rūpniecības kamerai, lai nodrošinātu sabiedrības līdzdalību projekta izstrādē.</w:t>
            </w:r>
          </w:p>
        </w:tc>
      </w:tr>
      <w:tr w:rsidR="00961D55" w:rsidRPr="00961D55" w14:paraId="10589F01" w14:textId="77777777" w:rsidTr="002B1EE3">
        <w:tc>
          <w:tcPr>
            <w:tcW w:w="251" w:type="pct"/>
            <w:tcBorders>
              <w:top w:val="single" w:sz="6" w:space="0" w:color="auto"/>
              <w:left w:val="single" w:sz="6" w:space="0" w:color="auto"/>
              <w:bottom w:val="single" w:sz="6" w:space="0" w:color="auto"/>
              <w:right w:val="single" w:sz="4" w:space="0" w:color="auto"/>
            </w:tcBorders>
          </w:tcPr>
          <w:p w14:paraId="65587F82" w14:textId="77777777" w:rsidR="00961D55" w:rsidRPr="00961D55" w:rsidRDefault="00961D55" w:rsidP="00961D55">
            <w:pPr>
              <w:spacing w:before="100" w:beforeAutospacing="1" w:after="100" w:afterAutospacing="1" w:line="240" w:lineRule="auto"/>
              <w:jc w:val="center"/>
              <w:rPr>
                <w:rFonts w:eastAsia="Times New Roman"/>
                <w:bCs/>
                <w:color w:val="000000"/>
                <w:lang w:eastAsia="lv-LV"/>
              </w:rPr>
            </w:pPr>
            <w:r w:rsidRPr="00961D55">
              <w:rPr>
                <w:rFonts w:eastAsia="Times New Roman"/>
                <w:bCs/>
                <w:color w:val="000000"/>
                <w:lang w:eastAsia="lv-LV"/>
              </w:rPr>
              <w:t>2.</w:t>
            </w:r>
          </w:p>
        </w:tc>
        <w:tc>
          <w:tcPr>
            <w:tcW w:w="1837" w:type="pct"/>
            <w:tcBorders>
              <w:top w:val="single" w:sz="6" w:space="0" w:color="auto"/>
              <w:left w:val="single" w:sz="4" w:space="0" w:color="auto"/>
              <w:bottom w:val="single" w:sz="6" w:space="0" w:color="auto"/>
              <w:right w:val="single" w:sz="4" w:space="0" w:color="auto"/>
            </w:tcBorders>
          </w:tcPr>
          <w:p w14:paraId="0F209058" w14:textId="77777777" w:rsidR="00961D55" w:rsidRPr="00961D55" w:rsidRDefault="00961D55" w:rsidP="00961D55">
            <w:pPr>
              <w:spacing w:before="100" w:beforeAutospacing="1" w:after="100" w:afterAutospacing="1" w:line="240" w:lineRule="auto"/>
              <w:ind w:right="-31"/>
              <w:rPr>
                <w:rFonts w:eastAsia="Times New Roman"/>
                <w:bCs/>
                <w:color w:val="000000"/>
                <w:lang w:eastAsia="lv-LV"/>
              </w:rPr>
            </w:pPr>
            <w:r w:rsidRPr="00961D55">
              <w:rPr>
                <w:rFonts w:eastAsia="Times New Roman"/>
                <w:bCs/>
                <w:color w:val="000000"/>
                <w:lang w:eastAsia="lv-LV"/>
              </w:rPr>
              <w:t>Sabiedrības līdzdalība projekta izstrādē</w:t>
            </w:r>
          </w:p>
        </w:tc>
        <w:tc>
          <w:tcPr>
            <w:tcW w:w="2912" w:type="pct"/>
            <w:tcBorders>
              <w:top w:val="single" w:sz="6" w:space="0" w:color="auto"/>
              <w:left w:val="single" w:sz="4" w:space="0" w:color="auto"/>
              <w:bottom w:val="single" w:sz="6" w:space="0" w:color="auto"/>
              <w:right w:val="single" w:sz="6" w:space="0" w:color="auto"/>
            </w:tcBorders>
          </w:tcPr>
          <w:p w14:paraId="6F4E4BF2" w14:textId="77777777" w:rsidR="005264CB" w:rsidRPr="005264CB" w:rsidRDefault="005264CB" w:rsidP="005264CB">
            <w:pPr>
              <w:spacing w:before="100" w:beforeAutospacing="1" w:after="100" w:afterAutospacing="1" w:line="240" w:lineRule="auto"/>
              <w:ind w:right="113"/>
              <w:contextualSpacing/>
              <w:jc w:val="both"/>
              <w:rPr>
                <w:rFonts w:eastAsia="Times New Roman"/>
                <w:lang w:eastAsia="lv-LV"/>
              </w:rPr>
            </w:pPr>
            <w:r w:rsidRPr="005264CB">
              <w:rPr>
                <w:rFonts w:eastAsia="Times New Roman"/>
                <w:lang w:eastAsia="lv-LV"/>
              </w:rPr>
              <w:t>Uzziņa par noteikumu projektu</w:t>
            </w:r>
          </w:p>
          <w:p w14:paraId="29C463CC" w14:textId="77777777" w:rsidR="00961D55" w:rsidRDefault="00AE1361" w:rsidP="005264CB">
            <w:pPr>
              <w:spacing w:before="100" w:beforeAutospacing="1" w:after="100" w:afterAutospacing="1" w:line="240" w:lineRule="auto"/>
              <w:ind w:right="113"/>
              <w:contextualSpacing/>
              <w:jc w:val="both"/>
              <w:rPr>
                <w:rFonts w:eastAsia="Times New Roman"/>
                <w:i/>
                <w:lang w:eastAsia="lv-LV"/>
              </w:rPr>
            </w:pPr>
            <w:hyperlink r:id="rId7" w:anchor="project664" w:history="1">
              <w:r w:rsidR="005264CB" w:rsidRPr="005264CB">
                <w:rPr>
                  <w:rStyle w:val="Hyperlink"/>
                  <w:rFonts w:eastAsia="Times New Roman"/>
                  <w:lang w:eastAsia="lv-LV"/>
                </w:rPr>
                <w:t>https://www.fm.gov.lv/lv/sabiedribas_lidzdaliba/tiesibu_aktu_projekti/nodoklu_politika#project664</w:t>
              </w:r>
            </w:hyperlink>
            <w:r w:rsidR="005264CB">
              <w:rPr>
                <w:rFonts w:eastAsia="Times New Roman"/>
                <w:i/>
                <w:lang w:eastAsia="lv-LV"/>
              </w:rPr>
              <w:t xml:space="preserve"> </w:t>
            </w:r>
          </w:p>
          <w:p w14:paraId="6E355DB3" w14:textId="77777777" w:rsidR="00E83A72" w:rsidRPr="00E83A72" w:rsidRDefault="00E83A72" w:rsidP="005264CB">
            <w:pPr>
              <w:spacing w:before="100" w:beforeAutospacing="1" w:after="100" w:afterAutospacing="1" w:line="240" w:lineRule="auto"/>
              <w:ind w:right="113"/>
              <w:contextualSpacing/>
              <w:jc w:val="both"/>
              <w:rPr>
                <w:rFonts w:eastAsia="Times New Roman"/>
                <w:lang w:eastAsia="lv-LV"/>
              </w:rPr>
            </w:pPr>
            <w:r w:rsidRPr="00E83A72">
              <w:rPr>
                <w:rFonts w:eastAsia="Times New Roman"/>
                <w:lang w:eastAsia="lv-LV"/>
              </w:rPr>
              <w:t xml:space="preserve">un Ministru kabineta tīmekļvietnē sadaļā “Valsts kanceleja” – “Sabiedrības līdzdalība”, adrese: </w:t>
            </w:r>
            <w:hyperlink r:id="rId8" w:history="1">
              <w:r w:rsidRPr="00E83A72">
                <w:rPr>
                  <w:rStyle w:val="Hyperlink"/>
                  <w:rFonts w:eastAsia="Times New Roman"/>
                  <w:lang w:eastAsia="lv-LV"/>
                </w:rPr>
                <w:t>https://mk.gov.lv/content/ministru-kabineta-diskusiju-dokumenti</w:t>
              </w:r>
            </w:hyperlink>
            <w:r>
              <w:rPr>
                <w:rFonts w:eastAsia="Times New Roman"/>
                <w:lang w:eastAsia="lv-LV"/>
              </w:rPr>
              <w:t xml:space="preserve"> </w:t>
            </w:r>
          </w:p>
        </w:tc>
      </w:tr>
      <w:tr w:rsidR="00961D55" w:rsidRPr="00961D55" w14:paraId="41A6B885" w14:textId="77777777" w:rsidTr="002B1EE3">
        <w:tc>
          <w:tcPr>
            <w:tcW w:w="251" w:type="pct"/>
            <w:tcBorders>
              <w:top w:val="single" w:sz="6" w:space="0" w:color="auto"/>
              <w:left w:val="single" w:sz="6" w:space="0" w:color="auto"/>
              <w:bottom w:val="outset" w:sz="6" w:space="0" w:color="000000"/>
              <w:right w:val="single" w:sz="4" w:space="0" w:color="auto"/>
            </w:tcBorders>
          </w:tcPr>
          <w:p w14:paraId="32D8B052" w14:textId="77777777" w:rsidR="00961D55" w:rsidRPr="00961D55" w:rsidRDefault="00961D55" w:rsidP="00961D55">
            <w:pPr>
              <w:spacing w:before="100" w:beforeAutospacing="1" w:after="100" w:afterAutospacing="1" w:line="240" w:lineRule="auto"/>
              <w:jc w:val="center"/>
              <w:rPr>
                <w:rFonts w:eastAsia="Times New Roman"/>
                <w:bCs/>
                <w:color w:val="000000"/>
                <w:lang w:eastAsia="lv-LV"/>
              </w:rPr>
            </w:pPr>
            <w:r w:rsidRPr="00961D55">
              <w:rPr>
                <w:rFonts w:eastAsia="Times New Roman"/>
                <w:bCs/>
                <w:color w:val="000000"/>
                <w:lang w:eastAsia="lv-LV"/>
              </w:rPr>
              <w:t>3.</w:t>
            </w:r>
          </w:p>
        </w:tc>
        <w:tc>
          <w:tcPr>
            <w:tcW w:w="1837" w:type="pct"/>
            <w:tcBorders>
              <w:top w:val="single" w:sz="6" w:space="0" w:color="auto"/>
              <w:left w:val="single" w:sz="4" w:space="0" w:color="auto"/>
              <w:bottom w:val="outset" w:sz="6" w:space="0" w:color="000000"/>
              <w:right w:val="single" w:sz="4" w:space="0" w:color="auto"/>
            </w:tcBorders>
          </w:tcPr>
          <w:p w14:paraId="3DF11427" w14:textId="77777777" w:rsidR="00961D55" w:rsidRPr="00961D55" w:rsidRDefault="00961D55" w:rsidP="00961D55">
            <w:pPr>
              <w:spacing w:before="100" w:beforeAutospacing="1" w:after="100" w:afterAutospacing="1" w:line="240" w:lineRule="auto"/>
              <w:ind w:right="-31"/>
              <w:rPr>
                <w:rFonts w:eastAsia="Times New Roman"/>
                <w:bCs/>
                <w:color w:val="000000"/>
                <w:lang w:eastAsia="lv-LV"/>
              </w:rPr>
            </w:pPr>
            <w:r w:rsidRPr="00961D55">
              <w:rPr>
                <w:rFonts w:eastAsia="Times New Roman"/>
                <w:bCs/>
                <w:color w:val="000000"/>
                <w:lang w:eastAsia="lv-LV"/>
              </w:rPr>
              <w:t>Sabiedrības līdzdalības rezultāti</w:t>
            </w:r>
          </w:p>
        </w:tc>
        <w:tc>
          <w:tcPr>
            <w:tcW w:w="2912" w:type="pct"/>
            <w:tcBorders>
              <w:top w:val="single" w:sz="6" w:space="0" w:color="auto"/>
              <w:left w:val="single" w:sz="4" w:space="0" w:color="auto"/>
              <w:bottom w:val="outset" w:sz="6" w:space="0" w:color="000000"/>
              <w:right w:val="single" w:sz="6" w:space="0" w:color="auto"/>
            </w:tcBorders>
          </w:tcPr>
          <w:p w14:paraId="649EF841" w14:textId="003BFAF2" w:rsidR="00961D55" w:rsidRPr="000010A5" w:rsidRDefault="000010A5" w:rsidP="00961D55">
            <w:pPr>
              <w:spacing w:before="100" w:beforeAutospacing="1" w:after="100" w:afterAutospacing="1" w:line="240" w:lineRule="auto"/>
              <w:ind w:right="113"/>
              <w:jc w:val="both"/>
              <w:rPr>
                <w:rFonts w:eastAsia="Times New Roman"/>
                <w:lang w:eastAsia="lv-LV"/>
              </w:rPr>
            </w:pPr>
            <w:r w:rsidRPr="000010A5">
              <w:rPr>
                <w:rFonts w:eastAsia="Times New Roman"/>
                <w:lang w:eastAsia="lv-LV"/>
              </w:rPr>
              <w:t>Iebildumi un priekšlikumi par noteikumu projektu nav saņemti</w:t>
            </w:r>
            <w:r>
              <w:rPr>
                <w:rFonts w:eastAsia="Times New Roman"/>
                <w:lang w:eastAsia="lv-LV"/>
              </w:rPr>
              <w:t>.</w:t>
            </w:r>
            <w:r w:rsidR="00CE4A03">
              <w:rPr>
                <w:rFonts w:eastAsia="Times New Roman"/>
                <w:lang w:eastAsia="lv-LV"/>
              </w:rPr>
              <w:t xml:space="preserve"> </w:t>
            </w:r>
          </w:p>
        </w:tc>
      </w:tr>
      <w:tr w:rsidR="00961D55" w:rsidRPr="00961D55" w14:paraId="7487040C" w14:textId="77777777" w:rsidTr="002B1EE3">
        <w:tc>
          <w:tcPr>
            <w:tcW w:w="251" w:type="pct"/>
            <w:tcBorders>
              <w:top w:val="single" w:sz="6" w:space="0" w:color="auto"/>
              <w:left w:val="single" w:sz="6" w:space="0" w:color="auto"/>
              <w:bottom w:val="outset" w:sz="6" w:space="0" w:color="000000"/>
              <w:right w:val="single" w:sz="4" w:space="0" w:color="auto"/>
            </w:tcBorders>
          </w:tcPr>
          <w:p w14:paraId="3401972A" w14:textId="77777777" w:rsidR="00961D55" w:rsidRPr="00961D55" w:rsidRDefault="00961D55" w:rsidP="00961D55">
            <w:pPr>
              <w:spacing w:before="100" w:beforeAutospacing="1" w:after="100" w:afterAutospacing="1" w:line="240" w:lineRule="auto"/>
              <w:jc w:val="center"/>
              <w:rPr>
                <w:rFonts w:eastAsia="Times New Roman"/>
                <w:bCs/>
                <w:color w:val="000000"/>
                <w:lang w:eastAsia="lv-LV"/>
              </w:rPr>
            </w:pPr>
            <w:r w:rsidRPr="00961D55">
              <w:rPr>
                <w:rFonts w:eastAsia="Times New Roman"/>
                <w:bCs/>
                <w:color w:val="000000"/>
                <w:lang w:eastAsia="lv-LV"/>
              </w:rPr>
              <w:t>4.</w:t>
            </w:r>
          </w:p>
        </w:tc>
        <w:tc>
          <w:tcPr>
            <w:tcW w:w="1837" w:type="pct"/>
            <w:tcBorders>
              <w:top w:val="single" w:sz="6" w:space="0" w:color="auto"/>
              <w:left w:val="single" w:sz="4" w:space="0" w:color="auto"/>
              <w:bottom w:val="outset" w:sz="6" w:space="0" w:color="000000"/>
              <w:right w:val="single" w:sz="4" w:space="0" w:color="auto"/>
            </w:tcBorders>
          </w:tcPr>
          <w:p w14:paraId="3C10FFB9" w14:textId="77777777" w:rsidR="00961D55" w:rsidRPr="00961D55" w:rsidRDefault="00961D55" w:rsidP="00961D55">
            <w:pPr>
              <w:spacing w:before="100" w:beforeAutospacing="1" w:after="100" w:afterAutospacing="1" w:line="240" w:lineRule="auto"/>
              <w:rPr>
                <w:rFonts w:eastAsia="Times New Roman"/>
                <w:bCs/>
                <w:color w:val="000000"/>
                <w:lang w:eastAsia="lv-LV"/>
              </w:rPr>
            </w:pPr>
            <w:r w:rsidRPr="00961D55">
              <w:rPr>
                <w:rFonts w:eastAsia="Times New Roman"/>
                <w:bCs/>
                <w:color w:val="000000"/>
                <w:lang w:eastAsia="lv-LV"/>
              </w:rPr>
              <w:t>Cita informācija</w:t>
            </w:r>
          </w:p>
        </w:tc>
        <w:tc>
          <w:tcPr>
            <w:tcW w:w="2912" w:type="pct"/>
            <w:tcBorders>
              <w:top w:val="single" w:sz="6" w:space="0" w:color="auto"/>
              <w:left w:val="single" w:sz="4" w:space="0" w:color="auto"/>
              <w:bottom w:val="outset" w:sz="6" w:space="0" w:color="000000"/>
              <w:right w:val="single" w:sz="6" w:space="0" w:color="auto"/>
            </w:tcBorders>
          </w:tcPr>
          <w:p w14:paraId="732F3166"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Nav.</w:t>
            </w:r>
          </w:p>
        </w:tc>
      </w:tr>
    </w:tbl>
    <w:p w14:paraId="7AB33312"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 </w:t>
      </w:r>
    </w:p>
    <w:tbl>
      <w:tblPr>
        <w:tblW w:w="5088"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88"/>
        <w:gridCol w:w="3345"/>
        <w:gridCol w:w="5381"/>
      </w:tblGrid>
      <w:tr w:rsidR="00961D55" w:rsidRPr="00961D55" w14:paraId="752CF98F" w14:textId="77777777" w:rsidTr="006964F9">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14:paraId="47BB3D56" w14:textId="77777777" w:rsidR="00961D55" w:rsidRPr="00961D55" w:rsidRDefault="00961D55" w:rsidP="00961D55">
            <w:pPr>
              <w:spacing w:before="100" w:beforeAutospacing="1" w:after="100" w:afterAutospacing="1" w:line="240" w:lineRule="auto"/>
              <w:jc w:val="center"/>
              <w:rPr>
                <w:rFonts w:eastAsia="Times New Roman"/>
                <w:b/>
                <w:bCs/>
                <w:lang w:eastAsia="lv-LV"/>
              </w:rPr>
            </w:pPr>
            <w:r w:rsidRPr="00961D55">
              <w:rPr>
                <w:rFonts w:eastAsia="Times New Roman"/>
                <w:b/>
                <w:bCs/>
                <w:lang w:eastAsia="lv-LV"/>
              </w:rPr>
              <w:t>VII. Tiesību akta projekta izpildes nodrošināšana un tās ietekme uz institūcijām</w:t>
            </w:r>
          </w:p>
        </w:tc>
      </w:tr>
      <w:tr w:rsidR="00961D55" w:rsidRPr="00961D55" w14:paraId="37962890" w14:textId="77777777" w:rsidTr="006964F9">
        <w:trPr>
          <w:trHeight w:val="577"/>
        </w:trPr>
        <w:tc>
          <w:tcPr>
            <w:tcW w:w="265" w:type="pct"/>
            <w:tcBorders>
              <w:top w:val="outset" w:sz="6" w:space="0" w:color="000000"/>
              <w:left w:val="outset" w:sz="6" w:space="0" w:color="000000"/>
              <w:bottom w:val="outset" w:sz="6" w:space="0" w:color="000000"/>
              <w:right w:val="single" w:sz="4" w:space="0" w:color="auto"/>
            </w:tcBorders>
          </w:tcPr>
          <w:p w14:paraId="596EE3AD" w14:textId="77777777" w:rsidR="00961D55" w:rsidRPr="00961D55" w:rsidRDefault="00961D55" w:rsidP="00961D55">
            <w:pPr>
              <w:spacing w:before="100" w:beforeAutospacing="1" w:after="100" w:afterAutospacing="1" w:line="240" w:lineRule="auto"/>
              <w:jc w:val="center"/>
              <w:rPr>
                <w:rFonts w:eastAsia="Times New Roman"/>
                <w:lang w:eastAsia="lv-LV"/>
              </w:rPr>
            </w:pPr>
            <w:r w:rsidRPr="00961D55">
              <w:rPr>
                <w:rFonts w:eastAsia="Times New Roman"/>
                <w:lang w:eastAsia="lv-LV"/>
              </w:rPr>
              <w:t>1.</w:t>
            </w:r>
          </w:p>
        </w:tc>
        <w:tc>
          <w:tcPr>
            <w:tcW w:w="1815" w:type="pct"/>
            <w:tcBorders>
              <w:top w:val="outset" w:sz="6" w:space="0" w:color="000000"/>
              <w:left w:val="single" w:sz="4" w:space="0" w:color="auto"/>
              <w:bottom w:val="outset" w:sz="6" w:space="0" w:color="000000"/>
              <w:right w:val="single" w:sz="4" w:space="0" w:color="auto"/>
            </w:tcBorders>
          </w:tcPr>
          <w:p w14:paraId="0E214016"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Projekta izpildē iesaistītās institūcijas</w:t>
            </w:r>
          </w:p>
        </w:tc>
        <w:tc>
          <w:tcPr>
            <w:tcW w:w="2920" w:type="pct"/>
            <w:tcBorders>
              <w:top w:val="outset" w:sz="6" w:space="0" w:color="000000"/>
              <w:left w:val="single" w:sz="4" w:space="0" w:color="auto"/>
              <w:bottom w:val="outset" w:sz="6" w:space="0" w:color="000000"/>
              <w:right w:val="outset" w:sz="6" w:space="0" w:color="000000"/>
            </w:tcBorders>
          </w:tcPr>
          <w:p w14:paraId="2CA45679" w14:textId="77777777" w:rsidR="00961D55" w:rsidRPr="00961D55" w:rsidRDefault="005264CB" w:rsidP="00961D55">
            <w:pPr>
              <w:spacing w:before="100" w:beforeAutospacing="1" w:after="100" w:afterAutospacing="1" w:line="240" w:lineRule="auto"/>
              <w:ind w:right="138"/>
              <w:jc w:val="both"/>
              <w:rPr>
                <w:rFonts w:eastAsia="Times New Roman"/>
                <w:lang w:eastAsia="lv-LV"/>
              </w:rPr>
            </w:pPr>
            <w:r>
              <w:rPr>
                <w:rFonts w:eastAsia="Times New Roman"/>
                <w:lang w:eastAsia="lv-LV"/>
              </w:rPr>
              <w:t>Finanšu</w:t>
            </w:r>
            <w:r w:rsidR="00961D55" w:rsidRPr="00961D55">
              <w:rPr>
                <w:rFonts w:eastAsia="Times New Roman"/>
                <w:lang w:eastAsia="lv-LV"/>
              </w:rPr>
              <w:t xml:space="preserve"> ministrija un VID.</w:t>
            </w:r>
          </w:p>
        </w:tc>
      </w:tr>
      <w:tr w:rsidR="00961D55" w:rsidRPr="00961D55" w14:paraId="07589D6D" w14:textId="77777777" w:rsidTr="006964F9">
        <w:trPr>
          <w:trHeight w:val="2050"/>
        </w:trPr>
        <w:tc>
          <w:tcPr>
            <w:tcW w:w="265" w:type="pct"/>
            <w:tcBorders>
              <w:top w:val="outset" w:sz="6" w:space="0" w:color="000000"/>
              <w:left w:val="outset" w:sz="6" w:space="0" w:color="000000"/>
              <w:bottom w:val="outset" w:sz="6" w:space="0" w:color="000000"/>
              <w:right w:val="single" w:sz="4" w:space="0" w:color="auto"/>
            </w:tcBorders>
          </w:tcPr>
          <w:p w14:paraId="169EF687" w14:textId="77777777" w:rsidR="00961D55" w:rsidRPr="00961D55" w:rsidRDefault="00961D55" w:rsidP="00961D55">
            <w:pPr>
              <w:spacing w:before="100" w:beforeAutospacing="1" w:after="100" w:afterAutospacing="1" w:line="240" w:lineRule="auto"/>
              <w:jc w:val="center"/>
              <w:rPr>
                <w:rFonts w:eastAsia="Times New Roman"/>
                <w:lang w:eastAsia="lv-LV"/>
              </w:rPr>
            </w:pPr>
            <w:r w:rsidRPr="00961D55">
              <w:rPr>
                <w:rFonts w:eastAsia="Times New Roman"/>
                <w:lang w:eastAsia="lv-LV"/>
              </w:rPr>
              <w:lastRenderedPageBreak/>
              <w:t>2.</w:t>
            </w:r>
          </w:p>
        </w:tc>
        <w:tc>
          <w:tcPr>
            <w:tcW w:w="1815" w:type="pct"/>
            <w:tcBorders>
              <w:top w:val="outset" w:sz="6" w:space="0" w:color="000000"/>
              <w:left w:val="single" w:sz="4" w:space="0" w:color="auto"/>
              <w:bottom w:val="outset" w:sz="6" w:space="0" w:color="000000"/>
              <w:right w:val="single" w:sz="4" w:space="0" w:color="auto"/>
            </w:tcBorders>
          </w:tcPr>
          <w:p w14:paraId="6B646731" w14:textId="77777777" w:rsidR="00961D55" w:rsidRPr="00961D55" w:rsidRDefault="00961D55" w:rsidP="00961D55">
            <w:pPr>
              <w:spacing w:after="0" w:line="240" w:lineRule="auto"/>
              <w:ind w:right="109"/>
              <w:jc w:val="both"/>
              <w:rPr>
                <w:rFonts w:eastAsia="Times New Roman"/>
                <w:lang w:eastAsia="lv-LV"/>
              </w:rPr>
            </w:pPr>
            <w:r w:rsidRPr="00961D55">
              <w:rPr>
                <w:rFonts w:eastAsia="Times New Roman"/>
                <w:lang w:eastAsia="lv-LV"/>
              </w:rPr>
              <w:t>Projekta izpildes ietekme uz pārvaldes funkcijām un institucionālo struktūru. Jaunu institūciju izveide, esošo institūciju likvidācija vai reorganizācija, to ietekme uz institūcijas cilvēkresursiem</w:t>
            </w:r>
          </w:p>
        </w:tc>
        <w:tc>
          <w:tcPr>
            <w:tcW w:w="2920" w:type="pct"/>
            <w:tcBorders>
              <w:top w:val="outset" w:sz="6" w:space="0" w:color="000000"/>
              <w:left w:val="single" w:sz="4" w:space="0" w:color="auto"/>
              <w:bottom w:val="outset" w:sz="6" w:space="0" w:color="000000"/>
              <w:right w:val="outset" w:sz="6" w:space="0" w:color="000000"/>
            </w:tcBorders>
          </w:tcPr>
          <w:p w14:paraId="05D7ADF4"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Projekta izpilde neietekmēs pārvaldes funkcijas.</w:t>
            </w:r>
          </w:p>
          <w:p w14:paraId="3E391387"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Projekta izpildei nav nepieciešama jaunu institūciju izveide, esošo institūciju likvidācija vai reorganizācija.</w:t>
            </w:r>
          </w:p>
          <w:p w14:paraId="2EAEEA20"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Projekta izpilde tiks nodrošināta esošo cilvēkresursu un finanšu līdzekļu ietvaros.</w:t>
            </w:r>
          </w:p>
        </w:tc>
      </w:tr>
      <w:tr w:rsidR="00961D55" w:rsidRPr="00961D55" w14:paraId="25480C47" w14:textId="77777777" w:rsidTr="006964F9">
        <w:trPr>
          <w:trHeight w:val="288"/>
        </w:trPr>
        <w:tc>
          <w:tcPr>
            <w:tcW w:w="265" w:type="pct"/>
            <w:tcBorders>
              <w:top w:val="outset" w:sz="6" w:space="0" w:color="000000"/>
              <w:left w:val="outset" w:sz="6" w:space="0" w:color="000000"/>
              <w:bottom w:val="single" w:sz="4" w:space="0" w:color="auto"/>
              <w:right w:val="single" w:sz="4" w:space="0" w:color="auto"/>
            </w:tcBorders>
          </w:tcPr>
          <w:p w14:paraId="6D9C233B" w14:textId="77777777" w:rsidR="00961D55" w:rsidRPr="00961D55" w:rsidRDefault="00961D55" w:rsidP="00961D55">
            <w:pPr>
              <w:spacing w:before="100" w:beforeAutospacing="1" w:after="100" w:afterAutospacing="1" w:line="240" w:lineRule="auto"/>
              <w:jc w:val="center"/>
              <w:rPr>
                <w:rFonts w:eastAsia="Times New Roman"/>
                <w:lang w:eastAsia="lv-LV"/>
              </w:rPr>
            </w:pPr>
            <w:r w:rsidRPr="00961D55">
              <w:rPr>
                <w:rFonts w:eastAsia="Times New Roman"/>
                <w:lang w:eastAsia="lv-LV"/>
              </w:rPr>
              <w:t>3.</w:t>
            </w:r>
          </w:p>
        </w:tc>
        <w:tc>
          <w:tcPr>
            <w:tcW w:w="1815" w:type="pct"/>
            <w:tcBorders>
              <w:top w:val="outset" w:sz="6" w:space="0" w:color="000000"/>
              <w:left w:val="single" w:sz="4" w:space="0" w:color="auto"/>
              <w:bottom w:val="single" w:sz="4" w:space="0" w:color="auto"/>
              <w:right w:val="single" w:sz="4" w:space="0" w:color="auto"/>
            </w:tcBorders>
          </w:tcPr>
          <w:p w14:paraId="1A0076F6"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Cita informācija</w:t>
            </w:r>
          </w:p>
        </w:tc>
        <w:tc>
          <w:tcPr>
            <w:tcW w:w="2920" w:type="pct"/>
            <w:tcBorders>
              <w:top w:val="outset" w:sz="6" w:space="0" w:color="000000"/>
              <w:left w:val="single" w:sz="4" w:space="0" w:color="auto"/>
              <w:bottom w:val="single" w:sz="4" w:space="0" w:color="auto"/>
              <w:right w:val="outset" w:sz="6" w:space="0" w:color="000000"/>
            </w:tcBorders>
          </w:tcPr>
          <w:p w14:paraId="1EE07DD5" w14:textId="77777777" w:rsidR="00961D55" w:rsidRPr="00961D55" w:rsidRDefault="00961D55" w:rsidP="00961D55">
            <w:pPr>
              <w:spacing w:before="100" w:beforeAutospacing="1" w:after="100" w:afterAutospacing="1" w:line="240" w:lineRule="auto"/>
              <w:jc w:val="both"/>
              <w:rPr>
                <w:rFonts w:eastAsia="Times New Roman"/>
                <w:lang w:eastAsia="lv-LV"/>
              </w:rPr>
            </w:pPr>
            <w:r w:rsidRPr="00961D55">
              <w:rPr>
                <w:rFonts w:eastAsia="Times New Roman"/>
                <w:lang w:eastAsia="lv-LV"/>
              </w:rPr>
              <w:t>Nav.</w:t>
            </w:r>
          </w:p>
        </w:tc>
      </w:tr>
      <w:tr w:rsidR="00961D55" w:rsidRPr="00961D55" w14:paraId="033D7844" w14:textId="77777777" w:rsidTr="006964F9">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715"/>
        </w:trPr>
        <w:tc>
          <w:tcPr>
            <w:tcW w:w="5000" w:type="pct"/>
            <w:gridSpan w:val="3"/>
            <w:tcBorders>
              <w:top w:val="single" w:sz="4" w:space="0" w:color="auto"/>
            </w:tcBorders>
          </w:tcPr>
          <w:p w14:paraId="580BC699" w14:textId="77777777" w:rsidR="00961D55" w:rsidRPr="00961D55" w:rsidRDefault="00961D55" w:rsidP="00961D55">
            <w:pPr>
              <w:spacing w:after="0" w:line="240" w:lineRule="auto"/>
              <w:jc w:val="both"/>
              <w:rPr>
                <w:rFonts w:eastAsia="Times New Roman"/>
              </w:rPr>
            </w:pPr>
          </w:p>
          <w:p w14:paraId="56CECE5F" w14:textId="77777777" w:rsidR="00961D55" w:rsidRPr="00961D55" w:rsidRDefault="00961D55" w:rsidP="00961D55">
            <w:pPr>
              <w:spacing w:after="0" w:line="240" w:lineRule="auto"/>
              <w:rPr>
                <w:rFonts w:eastAsia="Times New Roman"/>
              </w:rPr>
            </w:pPr>
          </w:p>
          <w:p w14:paraId="56CFF6D7" w14:textId="77777777" w:rsidR="00961D55" w:rsidRPr="00961D55" w:rsidRDefault="00961D55" w:rsidP="00961D55">
            <w:pPr>
              <w:spacing w:after="0" w:line="240" w:lineRule="auto"/>
              <w:rPr>
                <w:rFonts w:eastAsia="Times New Roman"/>
                <w:i/>
              </w:rPr>
            </w:pPr>
          </w:p>
        </w:tc>
      </w:tr>
    </w:tbl>
    <w:p w14:paraId="683B7A3B"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 xml:space="preserve">Finanšu ministrs </w:t>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proofErr w:type="spellStart"/>
      <w:r w:rsidRPr="00961D55">
        <w:rPr>
          <w:rFonts w:eastAsia="Times New Roman"/>
          <w:lang w:eastAsia="lv-LV"/>
        </w:rPr>
        <w:t>J.Reirs</w:t>
      </w:r>
      <w:proofErr w:type="spellEnd"/>
    </w:p>
    <w:p w14:paraId="4CCD05BF" w14:textId="77777777" w:rsidR="00961D55" w:rsidRPr="00961D55" w:rsidRDefault="00961D55" w:rsidP="00961D55">
      <w:pPr>
        <w:spacing w:after="0" w:line="240" w:lineRule="auto"/>
        <w:rPr>
          <w:rFonts w:eastAsia="Times New Roman"/>
          <w:sz w:val="20"/>
          <w:szCs w:val="20"/>
          <w:lang w:eastAsia="lv-LV"/>
        </w:rPr>
      </w:pPr>
    </w:p>
    <w:p w14:paraId="07F6EB87" w14:textId="77777777" w:rsidR="00961D55" w:rsidRPr="00961D55" w:rsidRDefault="00961D55" w:rsidP="00961D55">
      <w:pPr>
        <w:spacing w:after="0" w:line="240" w:lineRule="auto"/>
        <w:contextualSpacing/>
        <w:jc w:val="both"/>
        <w:rPr>
          <w:rFonts w:eastAsia="Times New Roman"/>
          <w:sz w:val="20"/>
          <w:szCs w:val="20"/>
          <w:lang w:eastAsia="lv-LV"/>
        </w:rPr>
      </w:pPr>
    </w:p>
    <w:p w14:paraId="26B64F2B" w14:textId="77777777" w:rsidR="00961D55" w:rsidRPr="00961D55" w:rsidRDefault="00961D55" w:rsidP="00961D55">
      <w:pPr>
        <w:spacing w:after="0" w:line="240" w:lineRule="auto"/>
        <w:contextualSpacing/>
        <w:jc w:val="both"/>
        <w:rPr>
          <w:rFonts w:eastAsia="Times New Roman"/>
          <w:sz w:val="20"/>
          <w:szCs w:val="20"/>
          <w:lang w:eastAsia="lv-LV"/>
        </w:rPr>
      </w:pPr>
      <w:proofErr w:type="spellStart"/>
      <w:r w:rsidRPr="00961D55">
        <w:rPr>
          <w:rFonts w:eastAsia="Times New Roman"/>
          <w:sz w:val="20"/>
          <w:szCs w:val="20"/>
          <w:lang w:eastAsia="lv-LV"/>
        </w:rPr>
        <w:t>J.Lukss</w:t>
      </w:r>
      <w:proofErr w:type="spellEnd"/>
      <w:r w:rsidRPr="00961D55">
        <w:rPr>
          <w:rFonts w:eastAsia="Times New Roman"/>
          <w:sz w:val="20"/>
          <w:szCs w:val="20"/>
          <w:lang w:eastAsia="lv-LV"/>
        </w:rPr>
        <w:t>, 67083846</w:t>
      </w:r>
    </w:p>
    <w:p w14:paraId="3B07F625" w14:textId="77777777" w:rsidR="00961D55" w:rsidRPr="00961D55" w:rsidRDefault="00AE1361" w:rsidP="00961D55">
      <w:pPr>
        <w:spacing w:after="0" w:line="240" w:lineRule="auto"/>
        <w:contextualSpacing/>
        <w:jc w:val="both"/>
        <w:rPr>
          <w:rFonts w:eastAsia="Times New Roman"/>
          <w:sz w:val="20"/>
          <w:szCs w:val="20"/>
          <w:lang w:eastAsia="lv-LV"/>
        </w:rPr>
      </w:pPr>
      <w:hyperlink r:id="rId9" w:history="1">
        <w:r w:rsidR="00961D55" w:rsidRPr="00961D55">
          <w:rPr>
            <w:rFonts w:eastAsia="Times New Roman"/>
            <w:color w:val="0000FF"/>
            <w:sz w:val="20"/>
            <w:szCs w:val="20"/>
            <w:u w:val="single"/>
            <w:lang w:eastAsia="lv-LV"/>
          </w:rPr>
          <w:t>Juris.Lukss@fm.gov.lv</w:t>
        </w:r>
      </w:hyperlink>
      <w:r w:rsidR="00961D55" w:rsidRPr="00961D55">
        <w:rPr>
          <w:rFonts w:eastAsia="Times New Roman"/>
          <w:sz w:val="20"/>
          <w:szCs w:val="20"/>
          <w:lang w:eastAsia="lv-LV"/>
        </w:rPr>
        <w:t xml:space="preserve"> </w:t>
      </w:r>
    </w:p>
    <w:p w14:paraId="3B7AB4E5" w14:textId="7B5D6948" w:rsidR="00961D55" w:rsidRPr="00961D55" w:rsidRDefault="00961D55" w:rsidP="00961D55">
      <w:pPr>
        <w:spacing w:after="0" w:line="240" w:lineRule="auto"/>
        <w:contextualSpacing/>
        <w:jc w:val="both"/>
        <w:rPr>
          <w:rFonts w:eastAsia="Times New Roman"/>
          <w:sz w:val="20"/>
          <w:szCs w:val="20"/>
          <w:lang w:eastAsia="lv-LV"/>
        </w:rPr>
      </w:pPr>
    </w:p>
    <w:sectPr w:rsidR="00961D55" w:rsidRPr="00961D55" w:rsidSect="00394311">
      <w:headerReference w:type="even" r:id="rId10"/>
      <w:headerReference w:type="default" r:id="rId11"/>
      <w:footerReference w:type="even" r:id="rId12"/>
      <w:footerReference w:type="default" r:id="rId13"/>
      <w:headerReference w:type="first" r:id="rId14"/>
      <w:footerReference w:type="first" r:id="rId15"/>
      <w:pgSz w:w="11906" w:h="16838" w:code="9"/>
      <w:pgMar w:top="1191"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95FEB" w14:textId="77777777" w:rsidR="00AE1361" w:rsidRDefault="00AE1361" w:rsidP="005264CB">
      <w:pPr>
        <w:spacing w:after="0" w:line="240" w:lineRule="auto"/>
      </w:pPr>
      <w:r>
        <w:separator/>
      </w:r>
    </w:p>
  </w:endnote>
  <w:endnote w:type="continuationSeparator" w:id="0">
    <w:p w14:paraId="47A3E130" w14:textId="77777777" w:rsidR="00AE1361" w:rsidRDefault="00AE1361" w:rsidP="0052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58AC" w14:textId="77777777" w:rsidR="009E74C3" w:rsidRDefault="009E7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466D" w14:textId="647D7CEB" w:rsidR="00FD206F" w:rsidRPr="00F56B17" w:rsidRDefault="00FD206F" w:rsidP="00FD206F">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E74C3">
      <w:rPr>
        <w:noProof/>
        <w:sz w:val="20"/>
        <w:szCs w:val="20"/>
      </w:rPr>
      <w:t>FMAnot_190121_mk_211.docx</w:t>
    </w:r>
    <w:r>
      <w:rPr>
        <w:sz w:val="20"/>
        <w:szCs w:val="20"/>
      </w:rPr>
      <w:fldChar w:fldCharType="end"/>
    </w:r>
    <w:r w:rsidRPr="00F56B17">
      <w:rPr>
        <w:sz w:val="20"/>
        <w:szCs w:val="20"/>
      </w:rPr>
      <w:t xml:space="preserve"> </w:t>
    </w:r>
  </w:p>
  <w:p w14:paraId="2490B38B" w14:textId="77777777" w:rsidR="00FD206F" w:rsidRPr="0021135F" w:rsidRDefault="00FD206F" w:rsidP="00FD2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FDF90" w14:textId="58CDBECD" w:rsidR="00FD206F" w:rsidRPr="00F56B17" w:rsidRDefault="00FD206F" w:rsidP="00FD206F">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E74C3">
      <w:rPr>
        <w:noProof/>
        <w:sz w:val="20"/>
        <w:szCs w:val="20"/>
      </w:rPr>
      <w:t>FMAnot_190121_mk_211.docx</w:t>
    </w:r>
    <w:r>
      <w:rPr>
        <w:sz w:val="20"/>
        <w:szCs w:val="20"/>
      </w:rPr>
      <w:fldChar w:fldCharType="end"/>
    </w:r>
    <w:r>
      <w:rPr>
        <w:sz w:val="20"/>
        <w:szCs w:val="20"/>
      </w:rPr>
      <w:t xml:space="preserve">; </w:t>
    </w:r>
  </w:p>
  <w:p w14:paraId="58403A9A" w14:textId="77777777" w:rsidR="00FD206F" w:rsidRPr="00F56B17" w:rsidRDefault="00FD206F" w:rsidP="00FD206F">
    <w:pPr>
      <w:pStyle w:val="naislab"/>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D6C22" w14:textId="77777777" w:rsidR="00AE1361" w:rsidRDefault="00AE1361" w:rsidP="005264CB">
      <w:pPr>
        <w:spacing w:after="0" w:line="240" w:lineRule="auto"/>
      </w:pPr>
      <w:r>
        <w:separator/>
      </w:r>
    </w:p>
  </w:footnote>
  <w:footnote w:type="continuationSeparator" w:id="0">
    <w:p w14:paraId="60C5F948" w14:textId="77777777" w:rsidR="00AE1361" w:rsidRDefault="00AE1361" w:rsidP="00526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D30F" w14:textId="77777777" w:rsidR="00FD206F" w:rsidRDefault="00FD206F" w:rsidP="00FD20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9B2CE" w14:textId="77777777" w:rsidR="00FD206F" w:rsidRDefault="00FD2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B4A8" w14:textId="00AC1476" w:rsidR="00FD206F" w:rsidRDefault="00FD206F" w:rsidP="00FD20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D13">
      <w:rPr>
        <w:rStyle w:val="PageNumber"/>
        <w:noProof/>
      </w:rPr>
      <w:t>7</w:t>
    </w:r>
    <w:r>
      <w:rPr>
        <w:rStyle w:val="PageNumber"/>
      </w:rPr>
      <w:fldChar w:fldCharType="end"/>
    </w:r>
  </w:p>
  <w:p w14:paraId="6FDD688B" w14:textId="77777777" w:rsidR="00FD206F" w:rsidRDefault="00FD206F" w:rsidP="005E3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038B" w14:textId="77777777" w:rsidR="009E74C3" w:rsidRDefault="009E7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79B1"/>
    <w:multiLevelType w:val="hybridMultilevel"/>
    <w:tmpl w:val="B3D6C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52559B"/>
    <w:multiLevelType w:val="hybridMultilevel"/>
    <w:tmpl w:val="BEE60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2AC2640"/>
    <w:multiLevelType w:val="hybridMultilevel"/>
    <w:tmpl w:val="9CAAA1A4"/>
    <w:lvl w:ilvl="0" w:tplc="C7A24E98">
      <w:start w:val="16"/>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55"/>
    <w:rsid w:val="000010A5"/>
    <w:rsid w:val="0000229F"/>
    <w:rsid w:val="00054F23"/>
    <w:rsid w:val="000B4C52"/>
    <w:rsid w:val="000E1D69"/>
    <w:rsid w:val="001010F2"/>
    <w:rsid w:val="00111AD4"/>
    <w:rsid w:val="0015785D"/>
    <w:rsid w:val="00225F08"/>
    <w:rsid w:val="00237F60"/>
    <w:rsid w:val="002523BD"/>
    <w:rsid w:val="002B1EE3"/>
    <w:rsid w:val="002F2699"/>
    <w:rsid w:val="002F2E08"/>
    <w:rsid w:val="00364FF9"/>
    <w:rsid w:val="003653F4"/>
    <w:rsid w:val="00375394"/>
    <w:rsid w:val="00394311"/>
    <w:rsid w:val="00395C7B"/>
    <w:rsid w:val="00497AEA"/>
    <w:rsid w:val="004A01D5"/>
    <w:rsid w:val="004B4FC9"/>
    <w:rsid w:val="004E4DB5"/>
    <w:rsid w:val="005264CB"/>
    <w:rsid w:val="0057043C"/>
    <w:rsid w:val="005E3B62"/>
    <w:rsid w:val="006039DE"/>
    <w:rsid w:val="00624E98"/>
    <w:rsid w:val="0069144D"/>
    <w:rsid w:val="006964F9"/>
    <w:rsid w:val="006D37A1"/>
    <w:rsid w:val="00710D13"/>
    <w:rsid w:val="00721B2F"/>
    <w:rsid w:val="0076212F"/>
    <w:rsid w:val="007925DE"/>
    <w:rsid w:val="007E1C33"/>
    <w:rsid w:val="007F54F3"/>
    <w:rsid w:val="008023F7"/>
    <w:rsid w:val="00817C88"/>
    <w:rsid w:val="008466DD"/>
    <w:rsid w:val="00866587"/>
    <w:rsid w:val="008C7BBF"/>
    <w:rsid w:val="009155A6"/>
    <w:rsid w:val="00942BB5"/>
    <w:rsid w:val="00961D55"/>
    <w:rsid w:val="00992EA4"/>
    <w:rsid w:val="009941EF"/>
    <w:rsid w:val="009D74A6"/>
    <w:rsid w:val="009E74C3"/>
    <w:rsid w:val="009F3AE0"/>
    <w:rsid w:val="00A47ADD"/>
    <w:rsid w:val="00AD15AA"/>
    <w:rsid w:val="00AD7579"/>
    <w:rsid w:val="00AE1361"/>
    <w:rsid w:val="00AE3479"/>
    <w:rsid w:val="00AF087B"/>
    <w:rsid w:val="00B42D00"/>
    <w:rsid w:val="00B57F1C"/>
    <w:rsid w:val="00BC27BE"/>
    <w:rsid w:val="00BD4C26"/>
    <w:rsid w:val="00C112DF"/>
    <w:rsid w:val="00C11811"/>
    <w:rsid w:val="00C7128C"/>
    <w:rsid w:val="00C826D0"/>
    <w:rsid w:val="00C859CE"/>
    <w:rsid w:val="00CD31F4"/>
    <w:rsid w:val="00CE4A03"/>
    <w:rsid w:val="00D24CF0"/>
    <w:rsid w:val="00D45294"/>
    <w:rsid w:val="00D81166"/>
    <w:rsid w:val="00D8615C"/>
    <w:rsid w:val="00DC2888"/>
    <w:rsid w:val="00DE110E"/>
    <w:rsid w:val="00DE306D"/>
    <w:rsid w:val="00DE5488"/>
    <w:rsid w:val="00E119CE"/>
    <w:rsid w:val="00E143F2"/>
    <w:rsid w:val="00E50019"/>
    <w:rsid w:val="00E62B42"/>
    <w:rsid w:val="00E71269"/>
    <w:rsid w:val="00E83A72"/>
    <w:rsid w:val="00E93477"/>
    <w:rsid w:val="00EA70D4"/>
    <w:rsid w:val="00F34016"/>
    <w:rsid w:val="00F373F9"/>
    <w:rsid w:val="00F52E96"/>
    <w:rsid w:val="00FD0079"/>
    <w:rsid w:val="00FD206F"/>
    <w:rsid w:val="00FD28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8388"/>
  <w15:docId w15:val="{0232BFA3-38DC-4490-9FB3-6E72B2C9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1D55"/>
    <w:pPr>
      <w:tabs>
        <w:tab w:val="center" w:pos="4153"/>
        <w:tab w:val="right" w:pos="8306"/>
      </w:tabs>
      <w:spacing w:after="0" w:line="240" w:lineRule="auto"/>
    </w:pPr>
    <w:rPr>
      <w:rFonts w:eastAsia="Times New Roman"/>
      <w:lang w:eastAsia="lv-LV"/>
    </w:rPr>
  </w:style>
  <w:style w:type="character" w:customStyle="1" w:styleId="HeaderChar">
    <w:name w:val="Header Char"/>
    <w:basedOn w:val="DefaultParagraphFont"/>
    <w:link w:val="Header"/>
    <w:rsid w:val="00961D55"/>
    <w:rPr>
      <w:rFonts w:eastAsia="Times New Roman"/>
      <w:lang w:eastAsia="lv-LV"/>
    </w:rPr>
  </w:style>
  <w:style w:type="character" w:styleId="PageNumber">
    <w:name w:val="page number"/>
    <w:basedOn w:val="DefaultParagraphFont"/>
    <w:rsid w:val="00961D55"/>
  </w:style>
  <w:style w:type="paragraph" w:customStyle="1" w:styleId="naislab">
    <w:name w:val="naislab"/>
    <w:basedOn w:val="Normal"/>
    <w:rsid w:val="00961D55"/>
    <w:pPr>
      <w:spacing w:before="75" w:after="75" w:line="240" w:lineRule="auto"/>
      <w:jc w:val="right"/>
    </w:pPr>
    <w:rPr>
      <w:rFonts w:eastAsia="Times New Roman"/>
      <w:lang w:eastAsia="lv-LV"/>
    </w:rPr>
  </w:style>
  <w:style w:type="paragraph" w:styleId="Footer">
    <w:name w:val="footer"/>
    <w:basedOn w:val="Normal"/>
    <w:link w:val="FooterChar"/>
    <w:uiPriority w:val="99"/>
    <w:unhideWhenUsed/>
    <w:rsid w:val="00961D55"/>
    <w:pPr>
      <w:tabs>
        <w:tab w:val="center" w:pos="4153"/>
        <w:tab w:val="right" w:pos="8306"/>
      </w:tabs>
      <w:spacing w:after="0" w:line="240" w:lineRule="auto"/>
    </w:pPr>
    <w:rPr>
      <w:rFonts w:eastAsia="Times New Roman"/>
      <w:lang w:eastAsia="lv-LV"/>
    </w:rPr>
  </w:style>
  <w:style w:type="character" w:customStyle="1" w:styleId="FooterChar">
    <w:name w:val="Footer Char"/>
    <w:basedOn w:val="DefaultParagraphFont"/>
    <w:link w:val="Footer"/>
    <w:uiPriority w:val="99"/>
    <w:rsid w:val="00961D55"/>
    <w:rPr>
      <w:rFonts w:eastAsia="Times New Roman"/>
      <w:lang w:eastAsia="lv-LV"/>
    </w:rPr>
  </w:style>
  <w:style w:type="table" w:customStyle="1" w:styleId="TableGridLight1">
    <w:name w:val="Table Grid Light1"/>
    <w:basedOn w:val="TableNormal"/>
    <w:uiPriority w:val="40"/>
    <w:rsid w:val="00961D55"/>
    <w:pPr>
      <w:spacing w:after="0" w:line="240" w:lineRule="auto"/>
    </w:pPr>
    <w:rPr>
      <w:rFonts w:eastAsia="Calibri"/>
      <w:sz w:val="20"/>
      <w:szCs w:val="20"/>
      <w:lang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D206F"/>
    <w:rPr>
      <w:sz w:val="16"/>
      <w:szCs w:val="16"/>
    </w:rPr>
  </w:style>
  <w:style w:type="paragraph" w:styleId="CommentText">
    <w:name w:val="annotation text"/>
    <w:basedOn w:val="Normal"/>
    <w:link w:val="CommentTextChar"/>
    <w:uiPriority w:val="99"/>
    <w:semiHidden/>
    <w:unhideWhenUsed/>
    <w:rsid w:val="00FD206F"/>
    <w:pPr>
      <w:spacing w:line="240" w:lineRule="auto"/>
    </w:pPr>
    <w:rPr>
      <w:sz w:val="20"/>
      <w:szCs w:val="20"/>
    </w:rPr>
  </w:style>
  <w:style w:type="character" w:customStyle="1" w:styleId="CommentTextChar">
    <w:name w:val="Comment Text Char"/>
    <w:basedOn w:val="DefaultParagraphFont"/>
    <w:link w:val="CommentText"/>
    <w:uiPriority w:val="99"/>
    <w:semiHidden/>
    <w:rsid w:val="00FD206F"/>
    <w:rPr>
      <w:sz w:val="20"/>
      <w:szCs w:val="20"/>
    </w:rPr>
  </w:style>
  <w:style w:type="paragraph" w:styleId="CommentSubject">
    <w:name w:val="annotation subject"/>
    <w:basedOn w:val="CommentText"/>
    <w:next w:val="CommentText"/>
    <w:link w:val="CommentSubjectChar"/>
    <w:uiPriority w:val="99"/>
    <w:semiHidden/>
    <w:unhideWhenUsed/>
    <w:rsid w:val="00FD206F"/>
    <w:rPr>
      <w:b/>
      <w:bCs/>
    </w:rPr>
  </w:style>
  <w:style w:type="character" w:customStyle="1" w:styleId="CommentSubjectChar">
    <w:name w:val="Comment Subject Char"/>
    <w:basedOn w:val="CommentTextChar"/>
    <w:link w:val="CommentSubject"/>
    <w:uiPriority w:val="99"/>
    <w:semiHidden/>
    <w:rsid w:val="00FD206F"/>
    <w:rPr>
      <w:b/>
      <w:bCs/>
      <w:sz w:val="20"/>
      <w:szCs w:val="20"/>
    </w:rPr>
  </w:style>
  <w:style w:type="paragraph" w:styleId="BalloonText">
    <w:name w:val="Balloon Text"/>
    <w:basedOn w:val="Normal"/>
    <w:link w:val="BalloonTextChar"/>
    <w:uiPriority w:val="99"/>
    <w:semiHidden/>
    <w:unhideWhenUsed/>
    <w:rsid w:val="00FD2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06F"/>
    <w:rPr>
      <w:rFonts w:ascii="Segoe UI" w:hAnsi="Segoe UI" w:cs="Segoe UI"/>
      <w:sz w:val="18"/>
      <w:szCs w:val="18"/>
    </w:rPr>
  </w:style>
  <w:style w:type="character" w:styleId="Hyperlink">
    <w:name w:val="Hyperlink"/>
    <w:basedOn w:val="DefaultParagraphFont"/>
    <w:uiPriority w:val="99"/>
    <w:unhideWhenUsed/>
    <w:rsid w:val="005264CB"/>
    <w:rPr>
      <w:color w:val="0563C1" w:themeColor="hyperlink"/>
      <w:u w:val="single"/>
    </w:rPr>
  </w:style>
  <w:style w:type="paragraph" w:styleId="ListParagraph">
    <w:name w:val="List Paragraph"/>
    <w:basedOn w:val="Normal"/>
    <w:uiPriority w:val="34"/>
    <w:qFormat/>
    <w:rsid w:val="000B4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831972">
      <w:bodyDiv w:val="1"/>
      <w:marLeft w:val="0"/>
      <w:marRight w:val="0"/>
      <w:marTop w:val="0"/>
      <w:marBottom w:val="0"/>
      <w:divBdr>
        <w:top w:val="none" w:sz="0" w:space="0" w:color="auto"/>
        <w:left w:val="none" w:sz="0" w:space="0" w:color="auto"/>
        <w:bottom w:val="none" w:sz="0" w:space="0" w:color="auto"/>
        <w:right w:val="none" w:sz="0" w:space="0" w:color="auto"/>
      </w:divBdr>
    </w:div>
    <w:div w:id="642657672">
      <w:bodyDiv w:val="1"/>
      <w:marLeft w:val="0"/>
      <w:marRight w:val="0"/>
      <w:marTop w:val="0"/>
      <w:marBottom w:val="0"/>
      <w:divBdr>
        <w:top w:val="none" w:sz="0" w:space="0" w:color="auto"/>
        <w:left w:val="none" w:sz="0" w:space="0" w:color="auto"/>
        <w:bottom w:val="none" w:sz="0" w:space="0" w:color="auto"/>
        <w:right w:val="none" w:sz="0" w:space="0" w:color="auto"/>
      </w:divBdr>
    </w:div>
    <w:div w:id="901520190">
      <w:bodyDiv w:val="1"/>
      <w:marLeft w:val="0"/>
      <w:marRight w:val="0"/>
      <w:marTop w:val="0"/>
      <w:marBottom w:val="0"/>
      <w:divBdr>
        <w:top w:val="none" w:sz="0" w:space="0" w:color="auto"/>
        <w:left w:val="none" w:sz="0" w:space="0" w:color="auto"/>
        <w:bottom w:val="none" w:sz="0" w:space="0" w:color="auto"/>
        <w:right w:val="none" w:sz="0" w:space="0" w:color="auto"/>
      </w:divBdr>
    </w:div>
    <w:div w:id="909342244">
      <w:bodyDiv w:val="1"/>
      <w:marLeft w:val="0"/>
      <w:marRight w:val="0"/>
      <w:marTop w:val="0"/>
      <w:marBottom w:val="0"/>
      <w:divBdr>
        <w:top w:val="none" w:sz="0" w:space="0" w:color="auto"/>
        <w:left w:val="none" w:sz="0" w:space="0" w:color="auto"/>
        <w:bottom w:val="none" w:sz="0" w:space="0" w:color="auto"/>
        <w:right w:val="none" w:sz="0" w:space="0" w:color="auto"/>
      </w:divBdr>
    </w:div>
    <w:div w:id="1652176734">
      <w:bodyDiv w:val="1"/>
      <w:marLeft w:val="0"/>
      <w:marRight w:val="0"/>
      <w:marTop w:val="0"/>
      <w:marBottom w:val="0"/>
      <w:divBdr>
        <w:top w:val="none" w:sz="0" w:space="0" w:color="auto"/>
        <w:left w:val="none" w:sz="0" w:space="0" w:color="auto"/>
        <w:bottom w:val="none" w:sz="0" w:space="0" w:color="auto"/>
        <w:right w:val="none" w:sz="0" w:space="0" w:color="auto"/>
      </w:divBdr>
    </w:div>
    <w:div w:id="20793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content/ministru-kabineta-diskusiju-dokumen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m.gov.lv/lv/sabiedribas_lidzdaliba/tiesibu_aktu_projekti/nodoklu_politik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ris.Lukss@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10292</Words>
  <Characters>5867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MK noteikumu projekta “Grozījumi  Ministru kabineta 2009.gada 3.marta noteikumos Nr.211 “Spirta denaturēšanas un denaturētā spirta aprites kārtība”” anotācija</vt:lpstr>
    </vt:vector>
  </TitlesOfParts>
  <Company>Finanšu Ministrija</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2009.gada 3.marta noteikumos Nr.211 “Spirta denaturēšanas un denaturētā spirta aprites kārtība”” anotācija</dc:title>
  <dc:creator>Juris Lukss</dc:creator>
  <dc:description>J.Lukss, T.67083846 Juris.Lukss@fm.gov.lv</dc:description>
  <cp:lastModifiedBy>Laimdota Adlere</cp:lastModifiedBy>
  <cp:revision>2</cp:revision>
  <cp:lastPrinted>2020-11-04T12:42:00Z</cp:lastPrinted>
  <dcterms:created xsi:type="dcterms:W3CDTF">2021-02-03T16:01:00Z</dcterms:created>
  <dcterms:modified xsi:type="dcterms:W3CDTF">2021-02-03T16:01:00Z</dcterms:modified>
  <cp:contentStatus/>
</cp:coreProperties>
</file>