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54EF8F" w14:textId="15E2A632" w:rsidR="00BE37D4" w:rsidRPr="0009735F" w:rsidRDefault="00BE37D4" w:rsidP="00F02C0A">
      <w:pPr>
        <w:contextualSpacing/>
        <w:jc w:val="center"/>
        <w:rPr>
          <w:rStyle w:val="Strong"/>
        </w:rPr>
      </w:pPr>
      <w:r w:rsidRPr="0009735F">
        <w:rPr>
          <w:rStyle w:val="Strong"/>
        </w:rPr>
        <w:t>Ministru kabineta noteikumu projekta “</w:t>
      </w:r>
      <w:r w:rsidR="000B47CA" w:rsidRPr="0009735F">
        <w:rPr>
          <w:rStyle w:val="Strong"/>
        </w:rPr>
        <w:t>Grozījum</w:t>
      </w:r>
      <w:r w:rsidR="00267773" w:rsidRPr="0009735F">
        <w:rPr>
          <w:rStyle w:val="Strong"/>
        </w:rPr>
        <w:t>i</w:t>
      </w:r>
      <w:r w:rsidR="000B47CA" w:rsidRPr="0009735F">
        <w:rPr>
          <w:rStyle w:val="Strong"/>
        </w:rPr>
        <w:t xml:space="preserve"> Ministru kabineta 201</w:t>
      </w:r>
      <w:r w:rsidR="00A7356D" w:rsidRPr="0009735F">
        <w:rPr>
          <w:rStyle w:val="Strong"/>
        </w:rPr>
        <w:t>4</w:t>
      </w:r>
      <w:r w:rsidR="000B47CA" w:rsidRPr="0009735F">
        <w:rPr>
          <w:rStyle w:val="Strong"/>
        </w:rPr>
        <w:t xml:space="preserve">. gada </w:t>
      </w:r>
      <w:r w:rsidR="00A7356D" w:rsidRPr="0009735F">
        <w:rPr>
          <w:rStyle w:val="Strong"/>
        </w:rPr>
        <w:t>8</w:t>
      </w:r>
      <w:r w:rsidR="000B47CA" w:rsidRPr="0009735F">
        <w:rPr>
          <w:rStyle w:val="Strong"/>
        </w:rPr>
        <w:t>.</w:t>
      </w:r>
      <w:r w:rsidR="00A7356D" w:rsidRPr="0009735F">
        <w:rPr>
          <w:rStyle w:val="Strong"/>
        </w:rPr>
        <w:t> jūlija</w:t>
      </w:r>
      <w:r w:rsidR="000B47CA" w:rsidRPr="0009735F">
        <w:rPr>
          <w:rStyle w:val="Strong"/>
        </w:rPr>
        <w:t xml:space="preserve"> noteikumos Nr.</w:t>
      </w:r>
      <w:r w:rsidR="00A7356D" w:rsidRPr="0009735F">
        <w:rPr>
          <w:rStyle w:val="Strong"/>
        </w:rPr>
        <w:t>391</w:t>
      </w:r>
      <w:r w:rsidR="000B47CA" w:rsidRPr="0009735F">
        <w:rPr>
          <w:rStyle w:val="Strong"/>
        </w:rPr>
        <w:t xml:space="preserve"> “</w:t>
      </w:r>
      <w:r w:rsidR="00A7356D" w:rsidRPr="0009735F">
        <w:rPr>
          <w:rStyle w:val="Strong"/>
        </w:rPr>
        <w:t>Kārtība, kādā gadskārtējā valsts budžeta likumprojektā iekļauj pieprasījumus valsts vārdā sniedzamajiem galvojumiem, un galvojumu sniegšanas un uzraudzības kārtība</w:t>
      </w:r>
      <w:r w:rsidRPr="0009735F">
        <w:rPr>
          <w:rStyle w:val="Strong"/>
        </w:rPr>
        <w:t>”</w:t>
      </w:r>
      <w:r w:rsidR="00A7356D" w:rsidRPr="0009735F">
        <w:rPr>
          <w:rStyle w:val="Strong"/>
        </w:rPr>
        <w:t>”</w:t>
      </w:r>
      <w:r w:rsidRPr="0009735F">
        <w:rPr>
          <w:rStyle w:val="Strong"/>
        </w:rPr>
        <w:t xml:space="preserve"> sākotnējās ietekmes novērtējuma ziņojums (anotācija)</w:t>
      </w:r>
    </w:p>
    <w:p w14:paraId="330E91C6" w14:textId="77777777" w:rsidR="00F02C0A" w:rsidRPr="0009735F" w:rsidRDefault="00F02C0A" w:rsidP="00F02C0A">
      <w:pPr>
        <w:contextualSpacing/>
        <w:jc w:val="center"/>
        <w:rPr>
          <w:rStyle w:val="Strong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94"/>
        <w:gridCol w:w="5661"/>
      </w:tblGrid>
      <w:tr w:rsidR="0009735F" w:rsidRPr="0009735F" w14:paraId="4A93BA89" w14:textId="77777777" w:rsidTr="00507A01"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65D0B9F" w14:textId="0A22C67C" w:rsidR="00507A01" w:rsidRPr="0009735F" w:rsidRDefault="00A926CD" w:rsidP="00507A01">
            <w:pPr>
              <w:spacing w:before="100" w:beforeAutospacing="1" w:after="100" w:afterAutospacing="1" w:line="293" w:lineRule="atLeast"/>
              <w:jc w:val="center"/>
              <w:rPr>
                <w:b/>
                <w:bCs/>
              </w:rPr>
            </w:pPr>
            <w:r w:rsidRPr="0009735F">
              <w:rPr>
                <w:b/>
                <w:bCs/>
              </w:rPr>
              <w:t>Tiesību akta projekta anotācijas kopsavilkums</w:t>
            </w:r>
          </w:p>
        </w:tc>
      </w:tr>
      <w:tr w:rsidR="0009735F" w:rsidRPr="0009735F" w14:paraId="0A483053" w14:textId="77777777" w:rsidTr="00B50359">
        <w:tc>
          <w:tcPr>
            <w:tcW w:w="18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0680991" w14:textId="77777777" w:rsidR="00507A01" w:rsidRPr="0009735F" w:rsidRDefault="00507A01" w:rsidP="00507A01">
            <w:r w:rsidRPr="0009735F">
              <w:t>Mērķis, risinājums un projekta spēkā stāšanās laiks (500 zīmes bez atstarpēm)</w:t>
            </w:r>
          </w:p>
        </w:tc>
        <w:tc>
          <w:tcPr>
            <w:tcW w:w="312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3FA8A7C" w14:textId="4AF0F7A3" w:rsidR="00507A01" w:rsidRPr="0009735F" w:rsidRDefault="00791854" w:rsidP="00B80AFA">
            <w:pPr>
              <w:jc w:val="both"/>
            </w:pPr>
            <w:r w:rsidRPr="0009735F">
              <w:t>Noteikumu p</w:t>
            </w:r>
            <w:r w:rsidR="00507A01" w:rsidRPr="0009735F">
              <w:t>rojekt</w:t>
            </w:r>
            <w:r w:rsidR="001F0D04" w:rsidRPr="0009735F">
              <w:t>ā</w:t>
            </w:r>
            <w:r w:rsidR="00507A01" w:rsidRPr="0009735F">
              <w:t xml:space="preserve"> “</w:t>
            </w:r>
            <w:r w:rsidR="00A7356D" w:rsidRPr="0009735F">
              <w:t>Grozījumi Ministru kabineta 2014.</w:t>
            </w:r>
            <w:r w:rsidR="00B80AFA" w:rsidRPr="0009735F">
              <w:t> </w:t>
            </w:r>
            <w:r w:rsidR="00A7356D" w:rsidRPr="0009735F">
              <w:t>gada 8.</w:t>
            </w:r>
            <w:r w:rsidR="00212F39" w:rsidRPr="0009735F">
              <w:t> </w:t>
            </w:r>
            <w:r w:rsidR="00A7356D" w:rsidRPr="0009735F">
              <w:t>jūlija noteikumos Nr.</w:t>
            </w:r>
            <w:r w:rsidR="00212F39" w:rsidRPr="0009735F">
              <w:t> </w:t>
            </w:r>
            <w:r w:rsidR="00A7356D" w:rsidRPr="0009735F">
              <w:t>391 “Kārtība, kādā gadskārtējā valsts budžeta likumprojektā iekļauj pieprasījumus valsts vārdā sniedzamajiem galvojumiem, un galvojumu sniegšanas un uzraudzības kārtība</w:t>
            </w:r>
            <w:r w:rsidR="000B47CA" w:rsidRPr="0009735F">
              <w:t>”</w:t>
            </w:r>
            <w:r w:rsidR="00507A01" w:rsidRPr="0009735F">
              <w:t>” (turpmāk –</w:t>
            </w:r>
            <w:r w:rsidR="00805E16" w:rsidRPr="0009735F">
              <w:t xml:space="preserve"> </w:t>
            </w:r>
            <w:r w:rsidR="00507A01" w:rsidRPr="0009735F">
              <w:t>projekts)</w:t>
            </w:r>
            <w:r w:rsidR="001F0D04" w:rsidRPr="0009735F">
              <w:t xml:space="preserve"> ir veikti</w:t>
            </w:r>
            <w:r w:rsidR="00403E88" w:rsidRPr="0009735F">
              <w:t xml:space="preserve"> </w:t>
            </w:r>
            <w:r w:rsidR="000C4F0B" w:rsidRPr="0009735F">
              <w:t>tehniski grozījumi</w:t>
            </w:r>
            <w:r w:rsidR="00212F39" w:rsidRPr="0009735F">
              <w:t>,</w:t>
            </w:r>
            <w:r w:rsidR="00B343FC" w:rsidRPr="0009735F">
              <w:t xml:space="preserve"> ņemot</w:t>
            </w:r>
            <w:r w:rsidR="00212F39" w:rsidRPr="0009735F">
              <w:t xml:space="preserve"> vērā, ka </w:t>
            </w:r>
            <w:r w:rsidR="00175EA7" w:rsidRPr="00175EA7">
              <w:t xml:space="preserve">2020. gada 24. aprīlī </w:t>
            </w:r>
            <w:r w:rsidR="00175EA7">
              <w:t xml:space="preserve">ir </w:t>
            </w:r>
            <w:r w:rsidR="00175EA7" w:rsidRPr="00175EA7">
              <w:t xml:space="preserve">stājušies spēkā </w:t>
            </w:r>
            <w:r w:rsidR="00B343FC" w:rsidRPr="0009735F">
              <w:t>2020.</w:t>
            </w:r>
            <w:r w:rsidR="00212F39" w:rsidRPr="0009735F">
              <w:t> </w:t>
            </w:r>
            <w:r w:rsidR="00B343FC" w:rsidRPr="0009735F">
              <w:t>gada 21.</w:t>
            </w:r>
            <w:r w:rsidR="00212F39" w:rsidRPr="0009735F">
              <w:t> </w:t>
            </w:r>
            <w:r w:rsidR="00B343FC" w:rsidRPr="0009735F">
              <w:t>aprīļa Ministru kabineta noteikumi Nr.</w:t>
            </w:r>
            <w:r w:rsidR="00212F39" w:rsidRPr="0009735F">
              <w:t> </w:t>
            </w:r>
            <w:r w:rsidR="00B343FC" w:rsidRPr="0009735F">
              <w:t>231 “</w:t>
            </w:r>
            <w:hyperlink r:id="rId11" w:history="1">
              <w:r w:rsidR="00B343FC" w:rsidRPr="0009735F">
                <w:t>Noteikumi par studiju un studējošo kreditēšanu studijām Latvijā no kredītiestāžu līdzekļiem, kas ir garantēti no valsts budžeta līdzekļiem</w:t>
              </w:r>
            </w:hyperlink>
            <w:r w:rsidR="00B343FC" w:rsidRPr="0009735F">
              <w:t>”.</w:t>
            </w:r>
          </w:p>
          <w:p w14:paraId="5243B373" w14:textId="0954265F" w:rsidR="0091374B" w:rsidRPr="0009735F" w:rsidRDefault="0091374B" w:rsidP="00175EA7">
            <w:pPr>
              <w:jc w:val="both"/>
            </w:pPr>
            <w:r w:rsidRPr="0009735F">
              <w:t xml:space="preserve">Projekts stāsies spēkā </w:t>
            </w:r>
            <w:r w:rsidR="00175EA7">
              <w:t xml:space="preserve">nākamajā dienā </w:t>
            </w:r>
            <w:r w:rsidRPr="0009735F">
              <w:t xml:space="preserve">pēc tā </w:t>
            </w:r>
            <w:r w:rsidR="00175EA7">
              <w:t>izsludināšanas</w:t>
            </w:r>
            <w:r w:rsidRPr="0009735F">
              <w:t>.</w:t>
            </w:r>
          </w:p>
        </w:tc>
      </w:tr>
    </w:tbl>
    <w:p w14:paraId="2576EDFC" w14:textId="77777777" w:rsidR="0000059C" w:rsidRPr="0009735F" w:rsidRDefault="0000059C" w:rsidP="007207FD">
      <w:pPr>
        <w:contextualSpacing/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4"/>
        <w:gridCol w:w="2680"/>
        <w:gridCol w:w="5817"/>
      </w:tblGrid>
      <w:tr w:rsidR="0009735F" w:rsidRPr="0009735F" w14:paraId="055A5CDD" w14:textId="77777777" w:rsidTr="00415A0F">
        <w:trPr>
          <w:cantSplit/>
        </w:trPr>
        <w:tc>
          <w:tcPr>
            <w:tcW w:w="5000" w:type="pct"/>
            <w:gridSpan w:val="3"/>
            <w:vAlign w:val="center"/>
            <w:hideMark/>
          </w:tcPr>
          <w:p w14:paraId="5E949664" w14:textId="77777777" w:rsidR="00BD5588" w:rsidRPr="0009735F" w:rsidRDefault="00BD5588" w:rsidP="007207FD">
            <w:pPr>
              <w:keepLines/>
              <w:contextualSpacing/>
              <w:jc w:val="center"/>
              <w:rPr>
                <w:b/>
                <w:bCs/>
              </w:rPr>
            </w:pPr>
            <w:r w:rsidRPr="0009735F">
              <w:rPr>
                <w:b/>
                <w:bCs/>
              </w:rPr>
              <w:t>I. Tiesību akta projekta izstrādes nepieciešamība</w:t>
            </w:r>
          </w:p>
        </w:tc>
      </w:tr>
      <w:tr w:rsidR="0009735F" w:rsidRPr="0009735F" w14:paraId="7AB4C979" w14:textId="77777777" w:rsidTr="00BF416C">
        <w:trPr>
          <w:cantSplit/>
        </w:trPr>
        <w:tc>
          <w:tcPr>
            <w:tcW w:w="311" w:type="pct"/>
            <w:hideMark/>
          </w:tcPr>
          <w:p w14:paraId="76A9384A" w14:textId="77777777" w:rsidR="00FE0977" w:rsidRPr="0009735F" w:rsidRDefault="00FE0977" w:rsidP="00FE0977">
            <w:pPr>
              <w:keepLines/>
              <w:contextualSpacing/>
              <w:jc w:val="center"/>
            </w:pPr>
            <w:r w:rsidRPr="0009735F">
              <w:t>1.</w:t>
            </w:r>
          </w:p>
        </w:tc>
        <w:tc>
          <w:tcPr>
            <w:tcW w:w="1479" w:type="pct"/>
            <w:hideMark/>
          </w:tcPr>
          <w:p w14:paraId="54E15CF4" w14:textId="77777777" w:rsidR="00FE0977" w:rsidRPr="0009735F" w:rsidRDefault="00FE0977" w:rsidP="00FE0977">
            <w:pPr>
              <w:keepLines/>
              <w:contextualSpacing/>
            </w:pPr>
            <w:r w:rsidRPr="0009735F">
              <w:t>Pamatojums</w:t>
            </w:r>
          </w:p>
        </w:tc>
        <w:tc>
          <w:tcPr>
            <w:tcW w:w="3210" w:type="pct"/>
            <w:tcBorders>
              <w:bottom w:val="single" w:sz="4" w:space="0" w:color="auto"/>
            </w:tcBorders>
            <w:hideMark/>
          </w:tcPr>
          <w:p w14:paraId="64B7D009" w14:textId="3F1CD586" w:rsidR="00FE0977" w:rsidRPr="0009735F" w:rsidRDefault="00FE0977" w:rsidP="00212F39">
            <w:pPr>
              <w:jc w:val="both"/>
            </w:pPr>
            <w:r w:rsidRPr="0009735F">
              <w:t xml:space="preserve">Projekts sagatavots, </w:t>
            </w:r>
            <w:r w:rsidR="000C4F0B" w:rsidRPr="0009735F">
              <w:t xml:space="preserve">jo </w:t>
            </w:r>
            <w:r w:rsidR="00175EA7" w:rsidRPr="00175EA7">
              <w:t xml:space="preserve">2020. gada 24. aprīlī </w:t>
            </w:r>
            <w:r w:rsidR="00175EA7">
              <w:t xml:space="preserve">ir </w:t>
            </w:r>
            <w:r w:rsidR="00175EA7" w:rsidRPr="00175EA7">
              <w:t>stājušies spēkā</w:t>
            </w:r>
            <w:r w:rsidR="00175EA7" w:rsidRPr="0009735F" w:rsidDel="00175EA7">
              <w:t xml:space="preserve"> </w:t>
            </w:r>
            <w:r w:rsidR="000C4F0B" w:rsidRPr="0009735F">
              <w:t>2020.</w:t>
            </w:r>
            <w:r w:rsidR="00212F39" w:rsidRPr="0009735F">
              <w:t> </w:t>
            </w:r>
            <w:r w:rsidR="000C4F0B" w:rsidRPr="0009735F">
              <w:t>gada 21.</w:t>
            </w:r>
            <w:r w:rsidR="00212F39" w:rsidRPr="0009735F">
              <w:t> </w:t>
            </w:r>
            <w:r w:rsidR="000C4F0B" w:rsidRPr="0009735F">
              <w:t>aprīļa Ministru kabineta noteikumi Nr.</w:t>
            </w:r>
            <w:r w:rsidR="00212F39" w:rsidRPr="0009735F">
              <w:t> </w:t>
            </w:r>
            <w:r w:rsidR="000C4F0B" w:rsidRPr="0009735F">
              <w:t>231 “</w:t>
            </w:r>
            <w:hyperlink r:id="rId12" w:history="1">
              <w:r w:rsidR="000C4F0B" w:rsidRPr="0009735F">
                <w:t>Noteikumi par studiju un studējošo kreditēšanu studijām Latvijā no kredītiestāžu līdzekļiem, kas ir garantēti no valsts budžeta līdzekļiem</w:t>
              </w:r>
            </w:hyperlink>
            <w:r w:rsidR="000C4F0B" w:rsidRPr="0009735F">
              <w:t>”, tika ieviest</w:t>
            </w:r>
            <w:r w:rsidR="003C0DC0">
              <w:t>s</w:t>
            </w:r>
            <w:r w:rsidR="000C4F0B" w:rsidRPr="0009735F">
              <w:t xml:space="preserve"> jaun</w:t>
            </w:r>
            <w:r w:rsidR="001F0D04" w:rsidRPr="0009735F">
              <w:t>s</w:t>
            </w:r>
            <w:r w:rsidR="000C4F0B" w:rsidRPr="0009735F">
              <w:t xml:space="preserve"> valsts galvoto studiju un studējošo kredītu</w:t>
            </w:r>
            <w:r w:rsidR="00687CBD" w:rsidRPr="0009735F">
              <w:t xml:space="preserve"> </w:t>
            </w:r>
            <w:r w:rsidR="001F0D04" w:rsidRPr="0009735F">
              <w:t>regulējums</w:t>
            </w:r>
            <w:r w:rsidR="000C4F0B" w:rsidRPr="0009735F">
              <w:t xml:space="preserve">, kur galvojumu sniedz akciju sabiedrība “Attīstības finanšu institūcija Altum” portfeļa garantijas instrumenta veidā, nevis </w:t>
            </w:r>
            <w:r w:rsidR="001F0D04" w:rsidRPr="0009735F">
              <w:t>finanšu ministrs valsts vārdā</w:t>
            </w:r>
            <w:r w:rsidR="000C4F0B" w:rsidRPr="0009735F">
              <w:t>.</w:t>
            </w:r>
          </w:p>
        </w:tc>
      </w:tr>
      <w:tr w:rsidR="0009735F" w:rsidRPr="0009735F" w14:paraId="00BF34BA" w14:textId="77777777" w:rsidTr="00BF416C">
        <w:trPr>
          <w:cantSplit/>
          <w:trHeight w:val="1378"/>
        </w:trPr>
        <w:tc>
          <w:tcPr>
            <w:tcW w:w="311" w:type="pct"/>
            <w:hideMark/>
          </w:tcPr>
          <w:p w14:paraId="04A22FDB" w14:textId="77777777" w:rsidR="00FE0977" w:rsidRPr="0009735F" w:rsidRDefault="00FE0977" w:rsidP="00FE0977">
            <w:pPr>
              <w:keepLines/>
              <w:contextualSpacing/>
              <w:jc w:val="center"/>
            </w:pPr>
            <w:r w:rsidRPr="0009735F">
              <w:t>2.</w:t>
            </w:r>
          </w:p>
        </w:tc>
        <w:tc>
          <w:tcPr>
            <w:tcW w:w="1479" w:type="pct"/>
            <w:hideMark/>
          </w:tcPr>
          <w:p w14:paraId="5D1292A3" w14:textId="77777777" w:rsidR="00FE0977" w:rsidRPr="0009735F" w:rsidRDefault="00FE0977" w:rsidP="00FE0977">
            <w:pPr>
              <w:keepLines/>
              <w:contextualSpacing/>
            </w:pPr>
            <w:r w:rsidRPr="0009735F">
              <w:t>Pašreizējā situācija un problēmas, kuru risināšanai tiesību akta projekts izstrādāts, tiesiskā regulējuma mērķis un būtība</w:t>
            </w:r>
          </w:p>
        </w:tc>
        <w:tc>
          <w:tcPr>
            <w:tcW w:w="3210" w:type="pct"/>
            <w:tcBorders>
              <w:bottom w:val="single" w:sz="4" w:space="0" w:color="auto"/>
            </w:tcBorders>
          </w:tcPr>
          <w:p w14:paraId="35A917DE" w14:textId="7E7B6F2D" w:rsidR="00FE0977" w:rsidRPr="0009735F" w:rsidRDefault="000C4F0B" w:rsidP="00FE0977">
            <w:pPr>
              <w:keepLines/>
              <w:contextualSpacing/>
              <w:jc w:val="both"/>
            </w:pPr>
            <w:r w:rsidRPr="0009735F">
              <w:t xml:space="preserve">Ņemot vērā jauno  </w:t>
            </w:r>
            <w:r w:rsidR="00596BB9" w:rsidRPr="0009735F">
              <w:t>v</w:t>
            </w:r>
            <w:r w:rsidRPr="0009735F">
              <w:t>alsts galvoto stud</w:t>
            </w:r>
            <w:r w:rsidR="00596BB9" w:rsidRPr="0009735F">
              <w:t>iju un studējošo kredītu</w:t>
            </w:r>
            <w:r w:rsidR="001F0D04" w:rsidRPr="0009735F">
              <w:t xml:space="preserve"> </w:t>
            </w:r>
            <w:r w:rsidR="00212F39" w:rsidRPr="0009735F">
              <w:t xml:space="preserve">regulējumu, </w:t>
            </w:r>
            <w:r w:rsidRPr="0009735F">
              <w:t>nepieciešams veikt tehniskus grozījumus  Ministru kabineta 2014. gada 8.</w:t>
            </w:r>
            <w:r w:rsidR="00212F39" w:rsidRPr="0009735F">
              <w:t> </w:t>
            </w:r>
            <w:r w:rsidRPr="0009735F">
              <w:t>jūlija noteikumos Nr.</w:t>
            </w:r>
            <w:r w:rsidR="00596BB9" w:rsidRPr="0009735F">
              <w:t> </w:t>
            </w:r>
            <w:r w:rsidRPr="0009735F">
              <w:t>391 “Kārtība, kādā gadskārtējā valsts budžeta likumprojektā iekļauj pieprasījumus valsts vārdā sniedzamajiem galvojumiem, un galvojumu sniegšanas un uzraudzības kārtība””</w:t>
            </w:r>
            <w:r w:rsidR="00DA364A">
              <w:t xml:space="preserve"> (turpmāk – noteikumi)</w:t>
            </w:r>
            <w:r w:rsidRPr="0009735F">
              <w:t xml:space="preserve">, svītrojot punktus par </w:t>
            </w:r>
            <w:r w:rsidR="001F0D04" w:rsidRPr="0009735F">
              <w:t xml:space="preserve">valsts </w:t>
            </w:r>
            <w:r w:rsidRPr="0009735F">
              <w:t>galvojumiem studiju un studēj</w:t>
            </w:r>
            <w:r w:rsidR="00596BB9" w:rsidRPr="0009735F">
              <w:t>ošo kreditēšanas</w:t>
            </w:r>
            <w:r w:rsidR="001F0D04" w:rsidRPr="0009735F">
              <w:t xml:space="preserve"> saistību</w:t>
            </w:r>
            <w:r w:rsidR="00596BB9" w:rsidRPr="0009735F">
              <w:t xml:space="preserve"> nodrošināšanai, to </w:t>
            </w:r>
            <w:r w:rsidRPr="0009735F">
              <w:t xml:space="preserve">iekļaušanu gadskārtējā valsts budžeta likumprojektā un </w:t>
            </w:r>
            <w:r w:rsidR="001F0D04" w:rsidRPr="0009735F">
              <w:t xml:space="preserve">to </w:t>
            </w:r>
            <w:r w:rsidR="00596BB9" w:rsidRPr="0009735F">
              <w:t>izsniegšanas kārtību</w:t>
            </w:r>
            <w:r w:rsidRPr="0009735F">
              <w:t>.</w:t>
            </w:r>
          </w:p>
          <w:p w14:paraId="3DA62FBB" w14:textId="77777777" w:rsidR="00917DB2" w:rsidRPr="0009735F" w:rsidRDefault="00917DB2" w:rsidP="000C4F0B">
            <w:pPr>
              <w:keepLines/>
              <w:contextualSpacing/>
              <w:jc w:val="both"/>
            </w:pPr>
          </w:p>
          <w:p w14:paraId="3DDBC0C2" w14:textId="3ACCEA5F" w:rsidR="00FE0977" w:rsidRPr="0009735F" w:rsidRDefault="00917DB2" w:rsidP="00687CBD">
            <w:pPr>
              <w:keepLines/>
              <w:contextualSpacing/>
              <w:jc w:val="both"/>
            </w:pPr>
            <w:r w:rsidRPr="0009735F">
              <w:t>P</w:t>
            </w:r>
            <w:r w:rsidR="00FE0977" w:rsidRPr="0009735F">
              <w:t xml:space="preserve">rojekta </w:t>
            </w:r>
            <w:r w:rsidR="002F28A9" w:rsidRPr="0009735F">
              <w:t>1</w:t>
            </w:r>
            <w:r w:rsidR="00FE0977" w:rsidRPr="0009735F">
              <w:t>. </w:t>
            </w:r>
            <w:r w:rsidR="00C23B13" w:rsidRPr="0009735F">
              <w:t xml:space="preserve">punktā </w:t>
            </w:r>
            <w:r w:rsidR="00687CBD" w:rsidRPr="0009735F">
              <w:t>veiktie grozījumi</w:t>
            </w:r>
            <w:r w:rsidR="00212F39" w:rsidRPr="0009735F">
              <w:t> </w:t>
            </w:r>
            <w:r w:rsidR="00687CBD" w:rsidRPr="0009735F">
              <w:t>n</w:t>
            </w:r>
            <w:r w:rsidR="000C4F0B" w:rsidRPr="0009735F">
              <w:t>otei</w:t>
            </w:r>
            <w:r w:rsidR="003C0DC0">
              <w:t>c</w:t>
            </w:r>
            <w:r w:rsidR="000C4F0B" w:rsidRPr="0009735F">
              <w:t xml:space="preserve">, ka galvojumus studiju un studējošo kreditēšanai </w:t>
            </w:r>
            <w:r w:rsidR="001F0D04" w:rsidRPr="0009735F">
              <w:t xml:space="preserve">administrē </w:t>
            </w:r>
            <w:r w:rsidR="00212F39" w:rsidRPr="0009735F">
              <w:t>saskaņā ar</w:t>
            </w:r>
            <w:r w:rsidR="000C4F0B" w:rsidRPr="0009735F">
              <w:t xml:space="preserve"> noteikumu</w:t>
            </w:r>
            <w:hyperlink r:id="rId13" w:anchor="n8" w:history="1">
              <w:r w:rsidR="000C4F0B" w:rsidRPr="0009735F">
                <w:t> VIII nodaļu</w:t>
              </w:r>
            </w:hyperlink>
            <w:r w:rsidR="000C4F0B" w:rsidRPr="0009735F">
              <w:t>, bet svītrota punkta daļa par galvojumu studiju un studējošo kreditēšanai iekļaušanu gadskārtējā valsts budžeta likumprojektā un to izsniegšanu.</w:t>
            </w:r>
          </w:p>
          <w:p w14:paraId="327EB17D" w14:textId="77777777" w:rsidR="00FE0977" w:rsidRPr="0009735F" w:rsidRDefault="00FE0977" w:rsidP="00FE0977">
            <w:pPr>
              <w:keepLines/>
              <w:contextualSpacing/>
              <w:jc w:val="both"/>
            </w:pPr>
          </w:p>
          <w:p w14:paraId="14C387CC" w14:textId="3E53CFAC" w:rsidR="00FE0977" w:rsidRDefault="003C0DC0" w:rsidP="00687CBD">
            <w:pPr>
              <w:keepLines/>
              <w:contextualSpacing/>
              <w:jc w:val="both"/>
            </w:pPr>
            <w:r>
              <w:t>Ar p</w:t>
            </w:r>
            <w:r w:rsidR="00FE0977" w:rsidRPr="0009735F">
              <w:t>rojekta</w:t>
            </w:r>
            <w:r w:rsidR="00212F39" w:rsidRPr="0009735F">
              <w:t xml:space="preserve"> 2. punktā</w:t>
            </w:r>
            <w:r w:rsidR="00687CBD" w:rsidRPr="0009735F">
              <w:t xml:space="preserve"> veikt</w:t>
            </w:r>
            <w:r>
              <w:t>aj</w:t>
            </w:r>
            <w:r w:rsidR="00687CBD" w:rsidRPr="0009735F">
              <w:t>ie</w:t>
            </w:r>
            <w:r>
              <w:t>m</w:t>
            </w:r>
            <w:r w:rsidR="00687CBD" w:rsidRPr="0009735F">
              <w:t xml:space="preserve"> grozījumi</w:t>
            </w:r>
            <w:r>
              <w:t xml:space="preserve">em </w:t>
            </w:r>
            <w:r w:rsidR="00687CBD" w:rsidRPr="0009735F">
              <w:t>s</w:t>
            </w:r>
            <w:r w:rsidR="000C4F0B" w:rsidRPr="0009735F">
              <w:t>vītrota</w:t>
            </w:r>
            <w:r w:rsidR="002F28A9" w:rsidRPr="0009735F">
              <w:t xml:space="preserve"> </w:t>
            </w:r>
            <w:r w:rsidR="002F28A9" w:rsidRPr="00DA364A">
              <w:t>noteikumu 12</w:t>
            </w:r>
            <w:r w:rsidR="002F28A9" w:rsidRPr="0009735F">
              <w:t>.</w:t>
            </w:r>
            <w:r w:rsidR="00212F39" w:rsidRPr="0009735F">
              <w:t> </w:t>
            </w:r>
            <w:r w:rsidR="000C4F0B" w:rsidRPr="0009735F">
              <w:t xml:space="preserve">punkta daļa par informācijas iesniegšanu </w:t>
            </w:r>
            <w:r w:rsidR="000C4F0B" w:rsidRPr="0009735F">
              <w:lastRenderedPageBreak/>
              <w:t>Ministru kabinetā par studiju un studējošo kreditēšanai nepieciešamo galvojuma apmēru.</w:t>
            </w:r>
          </w:p>
          <w:p w14:paraId="3052CEFB" w14:textId="29BFCE2A" w:rsidR="00D06ABA" w:rsidRDefault="00D06ABA" w:rsidP="00687CBD">
            <w:pPr>
              <w:keepLines/>
              <w:contextualSpacing/>
              <w:jc w:val="both"/>
            </w:pPr>
          </w:p>
          <w:p w14:paraId="3E54E299" w14:textId="0A410CB1" w:rsidR="00D06ABA" w:rsidRPr="0009735F" w:rsidRDefault="00D06ABA" w:rsidP="00687CBD">
            <w:pPr>
              <w:keepLines/>
              <w:contextualSpacing/>
              <w:jc w:val="both"/>
            </w:pPr>
            <w:r>
              <w:t>Projekta 3. punktā veiktie grozījumi paredz precizēt VIII nodaļas nosaukumu, atbilstoši tā saturam, ņemot vērā Projekta 4. punktā veiktos grozījumus.</w:t>
            </w:r>
          </w:p>
          <w:p w14:paraId="462EDE54" w14:textId="77777777" w:rsidR="00B42456" w:rsidRPr="0009735F" w:rsidRDefault="00B42456" w:rsidP="00BF416C">
            <w:pPr>
              <w:pStyle w:val="ListParagraph"/>
              <w:keepLines/>
              <w:jc w:val="both"/>
            </w:pPr>
          </w:p>
          <w:p w14:paraId="4C432035" w14:textId="5E0FEBCD" w:rsidR="00B42456" w:rsidRPr="0009735F" w:rsidRDefault="00917DB2" w:rsidP="008765DA">
            <w:pPr>
              <w:keepLines/>
              <w:jc w:val="both"/>
            </w:pPr>
            <w:r w:rsidRPr="0009735F">
              <w:t>P</w:t>
            </w:r>
            <w:r w:rsidR="00FE0977" w:rsidRPr="0009735F">
              <w:t xml:space="preserve">rojekta </w:t>
            </w:r>
            <w:r w:rsidR="00D06ABA">
              <w:t>4</w:t>
            </w:r>
            <w:r w:rsidR="002F28A9" w:rsidRPr="0009735F">
              <w:t>. punktā</w:t>
            </w:r>
            <w:r w:rsidR="00687CBD" w:rsidRPr="0009735F">
              <w:t xml:space="preserve"> veiktie grozījumi </w:t>
            </w:r>
            <w:r w:rsidR="009510C2">
              <w:t>paredz</w:t>
            </w:r>
            <w:r w:rsidR="00687CBD" w:rsidRPr="0009735F">
              <w:t xml:space="preserve"> s</w:t>
            </w:r>
            <w:r w:rsidR="00B42456" w:rsidRPr="0009735F">
              <w:t xml:space="preserve">vītrot </w:t>
            </w:r>
            <w:r w:rsidR="002F28A9" w:rsidRPr="0009735F">
              <w:t xml:space="preserve">noteikumu </w:t>
            </w:r>
            <w:r w:rsidR="00B42456" w:rsidRPr="0009735F">
              <w:t>punkt</w:t>
            </w:r>
            <w:r w:rsidR="009510C2">
              <w:t>us</w:t>
            </w:r>
            <w:r w:rsidR="00B42456" w:rsidRPr="0009735F">
              <w:t xml:space="preserve"> par informācijas apkopošanu par studiju un studējošo kreditēšanai nepieciešamā galvojuma a</w:t>
            </w:r>
            <w:r w:rsidR="00212F39" w:rsidRPr="0009735F">
              <w:t xml:space="preserve">pmēru, izsoles organizēšanu un </w:t>
            </w:r>
            <w:r w:rsidR="00B42456" w:rsidRPr="0009735F">
              <w:t xml:space="preserve">galvojuma apkalpošanas līguma slēgšanu starp Finanšu ministriju, Izglītības un zinātnes ministriju un kredītiestādi par studiju un studējošā kreditēšanas galvojuma līguma apkalpošanu un uzraudzību, jo ir mainīts </w:t>
            </w:r>
            <w:r w:rsidR="002F28A9" w:rsidRPr="0009735F">
              <w:t xml:space="preserve">regulējums </w:t>
            </w:r>
            <w:r w:rsidR="00B42456" w:rsidRPr="0009735F">
              <w:t>kā tiek izsniegti galvojumi studiju un studējošo kreditēšanai no kredītiestāžu līdzekļiem ar valsts vārdā sniegto galvojumu.</w:t>
            </w:r>
            <w:r w:rsidR="00D743E3">
              <w:t xml:space="preserve"> </w:t>
            </w:r>
          </w:p>
          <w:p w14:paraId="690505DF" w14:textId="5704F6A9" w:rsidR="009B003D" w:rsidRPr="0009735F" w:rsidRDefault="009B003D" w:rsidP="00FE0977">
            <w:pPr>
              <w:keepLines/>
              <w:jc w:val="both"/>
            </w:pPr>
          </w:p>
        </w:tc>
      </w:tr>
      <w:tr w:rsidR="0009735F" w:rsidRPr="0009735F" w14:paraId="62F243E9" w14:textId="77777777" w:rsidTr="001C0467">
        <w:trPr>
          <w:cantSplit/>
        </w:trPr>
        <w:tc>
          <w:tcPr>
            <w:tcW w:w="311" w:type="pct"/>
            <w:hideMark/>
          </w:tcPr>
          <w:p w14:paraId="42566896" w14:textId="77777777" w:rsidR="00FE0977" w:rsidRPr="0009735F" w:rsidRDefault="00FE0977" w:rsidP="00FE0977">
            <w:pPr>
              <w:keepLines/>
              <w:contextualSpacing/>
              <w:jc w:val="center"/>
            </w:pPr>
            <w:r w:rsidRPr="0009735F">
              <w:lastRenderedPageBreak/>
              <w:t>3.</w:t>
            </w:r>
          </w:p>
        </w:tc>
        <w:tc>
          <w:tcPr>
            <w:tcW w:w="1479" w:type="pct"/>
            <w:hideMark/>
          </w:tcPr>
          <w:p w14:paraId="07F711FF" w14:textId="77777777" w:rsidR="00FE0977" w:rsidRPr="0009735F" w:rsidRDefault="00FE0977" w:rsidP="00FE0977">
            <w:pPr>
              <w:keepLines/>
              <w:contextualSpacing/>
            </w:pPr>
            <w:r w:rsidRPr="0009735F">
              <w:t>Projekta izstrādē iesaistītās institūcijas un publiskas personas kapitālsabiedrības</w:t>
            </w:r>
          </w:p>
        </w:tc>
        <w:tc>
          <w:tcPr>
            <w:tcW w:w="3210" w:type="pct"/>
            <w:tcBorders>
              <w:top w:val="single" w:sz="4" w:space="0" w:color="auto"/>
            </w:tcBorders>
            <w:hideMark/>
          </w:tcPr>
          <w:p w14:paraId="2C7A17DD" w14:textId="03914990" w:rsidR="00FE0977" w:rsidRPr="0009735F" w:rsidRDefault="00FE0977" w:rsidP="00FE0977">
            <w:pPr>
              <w:keepLines/>
              <w:contextualSpacing/>
            </w:pPr>
            <w:r w:rsidRPr="0009735F">
              <w:t>Valsts kase, Finanšu ministrija.</w:t>
            </w:r>
          </w:p>
        </w:tc>
      </w:tr>
      <w:tr w:rsidR="0009735F" w:rsidRPr="0009735F" w14:paraId="1A115AEC" w14:textId="77777777" w:rsidTr="00B34CA9">
        <w:trPr>
          <w:cantSplit/>
        </w:trPr>
        <w:tc>
          <w:tcPr>
            <w:tcW w:w="311" w:type="pct"/>
            <w:hideMark/>
          </w:tcPr>
          <w:p w14:paraId="03243E8E" w14:textId="77777777" w:rsidR="00FE0977" w:rsidRPr="0009735F" w:rsidRDefault="00FE0977" w:rsidP="00FE0977">
            <w:pPr>
              <w:keepLines/>
              <w:contextualSpacing/>
              <w:jc w:val="center"/>
            </w:pPr>
            <w:r w:rsidRPr="0009735F">
              <w:t>4.</w:t>
            </w:r>
          </w:p>
        </w:tc>
        <w:tc>
          <w:tcPr>
            <w:tcW w:w="1479" w:type="pct"/>
            <w:hideMark/>
          </w:tcPr>
          <w:p w14:paraId="20807932" w14:textId="77777777" w:rsidR="00FE0977" w:rsidRPr="0009735F" w:rsidRDefault="00FE0977" w:rsidP="00FE0977">
            <w:pPr>
              <w:keepLines/>
              <w:contextualSpacing/>
            </w:pPr>
            <w:r w:rsidRPr="0009735F">
              <w:t>Cita informācija</w:t>
            </w:r>
          </w:p>
        </w:tc>
        <w:tc>
          <w:tcPr>
            <w:tcW w:w="3210" w:type="pct"/>
          </w:tcPr>
          <w:p w14:paraId="7BB64210" w14:textId="49816413" w:rsidR="00FE0977" w:rsidRPr="0009735F" w:rsidRDefault="00FE0977" w:rsidP="00FE0977">
            <w:pPr>
              <w:keepLines/>
              <w:contextualSpacing/>
            </w:pPr>
            <w:r w:rsidRPr="0009735F">
              <w:t>Nav.</w:t>
            </w:r>
          </w:p>
        </w:tc>
      </w:tr>
    </w:tbl>
    <w:p w14:paraId="26D9D3FF" w14:textId="77777777" w:rsidR="00BD5588" w:rsidRPr="0009735F" w:rsidRDefault="00BD5588" w:rsidP="007207FD">
      <w:pPr>
        <w:pStyle w:val="Title"/>
        <w:contextualSpacing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4"/>
        <w:gridCol w:w="2680"/>
        <w:gridCol w:w="5817"/>
      </w:tblGrid>
      <w:tr w:rsidR="0009735F" w:rsidRPr="0009735F" w14:paraId="4CD457C8" w14:textId="77777777" w:rsidTr="00C54FA5">
        <w:trPr>
          <w:cantSplit/>
        </w:trPr>
        <w:tc>
          <w:tcPr>
            <w:tcW w:w="5000" w:type="pct"/>
            <w:gridSpan w:val="3"/>
            <w:vAlign w:val="center"/>
            <w:hideMark/>
          </w:tcPr>
          <w:p w14:paraId="0DA6A353" w14:textId="77777777" w:rsidR="00BD5588" w:rsidRPr="0009735F" w:rsidRDefault="00BD5588" w:rsidP="007207FD">
            <w:pPr>
              <w:contextualSpacing/>
              <w:jc w:val="center"/>
              <w:rPr>
                <w:b/>
                <w:bCs/>
              </w:rPr>
            </w:pPr>
            <w:r w:rsidRPr="0009735F">
              <w:rPr>
                <w:b/>
                <w:bCs/>
              </w:rPr>
              <w:t>II. Tiesību akta projekta ietekme uz sabiedrību, tautsaimniecības attīstību un administratīvo slogu</w:t>
            </w:r>
          </w:p>
        </w:tc>
      </w:tr>
      <w:tr w:rsidR="0009735F" w:rsidRPr="0009735F" w14:paraId="3249AA98" w14:textId="77777777" w:rsidTr="00C54FA5">
        <w:trPr>
          <w:cantSplit/>
        </w:trPr>
        <w:tc>
          <w:tcPr>
            <w:tcW w:w="311" w:type="pct"/>
            <w:hideMark/>
          </w:tcPr>
          <w:p w14:paraId="09386914" w14:textId="77777777" w:rsidR="00BD5588" w:rsidRPr="0009735F" w:rsidRDefault="00BD5588" w:rsidP="007207FD">
            <w:pPr>
              <w:contextualSpacing/>
              <w:jc w:val="center"/>
            </w:pPr>
            <w:r w:rsidRPr="0009735F">
              <w:t>1.</w:t>
            </w:r>
          </w:p>
        </w:tc>
        <w:tc>
          <w:tcPr>
            <w:tcW w:w="1479" w:type="pct"/>
            <w:hideMark/>
          </w:tcPr>
          <w:p w14:paraId="5423DA70" w14:textId="7DAC52B5" w:rsidR="00BD5588" w:rsidRPr="0009735F" w:rsidRDefault="00BD5588" w:rsidP="007207FD">
            <w:pPr>
              <w:contextualSpacing/>
            </w:pPr>
            <w:r w:rsidRPr="0009735F">
              <w:t>Sabiedrības mē</w:t>
            </w:r>
            <w:r w:rsidR="003D325B" w:rsidRPr="0009735F">
              <w:t>rķ</w:t>
            </w:r>
            <w:r w:rsidRPr="0009735F">
              <w:t>grupas, kuras tiesiskais regulējums ietekmē vai varētu ietekmēt</w:t>
            </w:r>
          </w:p>
        </w:tc>
        <w:tc>
          <w:tcPr>
            <w:tcW w:w="3210" w:type="pct"/>
            <w:hideMark/>
          </w:tcPr>
          <w:p w14:paraId="528ACF90" w14:textId="07435BC9" w:rsidR="00BD5588" w:rsidRPr="0009735F" w:rsidRDefault="00917DB2" w:rsidP="001B4317">
            <w:pPr>
              <w:contextualSpacing/>
              <w:jc w:val="both"/>
              <w:rPr>
                <w:highlight w:val="yellow"/>
              </w:rPr>
            </w:pPr>
            <w:r w:rsidRPr="0009735F">
              <w:t>Projekts šo jomu neskar.</w:t>
            </w:r>
          </w:p>
        </w:tc>
      </w:tr>
      <w:tr w:rsidR="0009735F" w:rsidRPr="0009735F" w14:paraId="25F9DC73" w14:textId="77777777" w:rsidTr="006C1265">
        <w:trPr>
          <w:cantSplit/>
        </w:trPr>
        <w:tc>
          <w:tcPr>
            <w:tcW w:w="311" w:type="pct"/>
            <w:hideMark/>
          </w:tcPr>
          <w:p w14:paraId="4F22568B" w14:textId="77777777" w:rsidR="000966B3" w:rsidRPr="0009735F" w:rsidRDefault="000966B3" w:rsidP="000966B3">
            <w:pPr>
              <w:contextualSpacing/>
              <w:jc w:val="center"/>
            </w:pPr>
            <w:r w:rsidRPr="0009735F">
              <w:t>2.</w:t>
            </w:r>
          </w:p>
        </w:tc>
        <w:tc>
          <w:tcPr>
            <w:tcW w:w="1479" w:type="pct"/>
            <w:hideMark/>
          </w:tcPr>
          <w:p w14:paraId="735EFDB7" w14:textId="77777777" w:rsidR="000966B3" w:rsidRPr="0009735F" w:rsidRDefault="000966B3" w:rsidP="000966B3">
            <w:pPr>
              <w:contextualSpacing/>
            </w:pPr>
            <w:r w:rsidRPr="0009735F">
              <w:t>Tiesiskā regulējuma ietekme uz tautsaimniecību un administratīvo slogu</w:t>
            </w:r>
          </w:p>
        </w:tc>
        <w:tc>
          <w:tcPr>
            <w:tcW w:w="3210" w:type="pct"/>
          </w:tcPr>
          <w:p w14:paraId="0FBB7811" w14:textId="1849C0BB" w:rsidR="000966B3" w:rsidRPr="0009735F" w:rsidRDefault="000966B3" w:rsidP="000966B3">
            <w:pPr>
              <w:contextualSpacing/>
              <w:jc w:val="both"/>
            </w:pPr>
            <w:r w:rsidRPr="0009735F">
              <w:t xml:space="preserve">Projekts šo jomu neskar. </w:t>
            </w:r>
          </w:p>
        </w:tc>
      </w:tr>
      <w:tr w:rsidR="0009735F" w:rsidRPr="0009735F" w14:paraId="18C7C5BC" w14:textId="77777777" w:rsidTr="00C54FA5">
        <w:trPr>
          <w:cantSplit/>
        </w:trPr>
        <w:tc>
          <w:tcPr>
            <w:tcW w:w="311" w:type="pct"/>
            <w:hideMark/>
          </w:tcPr>
          <w:p w14:paraId="7D8AEB0F" w14:textId="77777777" w:rsidR="000966B3" w:rsidRPr="0009735F" w:rsidRDefault="000966B3" w:rsidP="000966B3">
            <w:pPr>
              <w:contextualSpacing/>
              <w:jc w:val="center"/>
            </w:pPr>
            <w:r w:rsidRPr="0009735F">
              <w:t>3.</w:t>
            </w:r>
          </w:p>
        </w:tc>
        <w:tc>
          <w:tcPr>
            <w:tcW w:w="1479" w:type="pct"/>
            <w:hideMark/>
          </w:tcPr>
          <w:p w14:paraId="5568A2FF" w14:textId="77777777" w:rsidR="000966B3" w:rsidRPr="0009735F" w:rsidRDefault="000966B3" w:rsidP="000966B3">
            <w:pPr>
              <w:contextualSpacing/>
            </w:pPr>
            <w:r w:rsidRPr="0009735F">
              <w:t>Administratīvo izmaksu monetārs novērtējums</w:t>
            </w:r>
          </w:p>
        </w:tc>
        <w:tc>
          <w:tcPr>
            <w:tcW w:w="3210" w:type="pct"/>
            <w:hideMark/>
          </w:tcPr>
          <w:p w14:paraId="5A520CF4" w14:textId="7F8621BD" w:rsidR="000966B3" w:rsidRPr="0009735F" w:rsidRDefault="000966B3" w:rsidP="000966B3">
            <w:pPr>
              <w:contextualSpacing/>
              <w:jc w:val="both"/>
            </w:pPr>
            <w:r w:rsidRPr="0009735F">
              <w:t>Projekts šo jomu neskar.</w:t>
            </w:r>
          </w:p>
        </w:tc>
      </w:tr>
      <w:tr w:rsidR="0009735F" w:rsidRPr="0009735F" w14:paraId="0EE06C94" w14:textId="77777777" w:rsidTr="00C54FA5">
        <w:trPr>
          <w:cantSplit/>
        </w:trPr>
        <w:tc>
          <w:tcPr>
            <w:tcW w:w="311" w:type="pct"/>
            <w:hideMark/>
          </w:tcPr>
          <w:p w14:paraId="42F96FA6" w14:textId="77777777" w:rsidR="000966B3" w:rsidRPr="0009735F" w:rsidRDefault="000966B3" w:rsidP="000966B3">
            <w:pPr>
              <w:contextualSpacing/>
              <w:jc w:val="center"/>
            </w:pPr>
            <w:r w:rsidRPr="0009735F">
              <w:t>4.</w:t>
            </w:r>
          </w:p>
        </w:tc>
        <w:tc>
          <w:tcPr>
            <w:tcW w:w="1479" w:type="pct"/>
            <w:hideMark/>
          </w:tcPr>
          <w:p w14:paraId="763D0F8A" w14:textId="77777777" w:rsidR="000966B3" w:rsidRPr="0009735F" w:rsidRDefault="000966B3" w:rsidP="000966B3">
            <w:pPr>
              <w:contextualSpacing/>
            </w:pPr>
            <w:r w:rsidRPr="0009735F">
              <w:t>Atbilstības izmaksu monetārs novērtējums</w:t>
            </w:r>
          </w:p>
        </w:tc>
        <w:tc>
          <w:tcPr>
            <w:tcW w:w="3210" w:type="pct"/>
            <w:hideMark/>
          </w:tcPr>
          <w:p w14:paraId="1F8A11FA" w14:textId="5DB5D686" w:rsidR="000966B3" w:rsidRPr="0009735F" w:rsidRDefault="000966B3" w:rsidP="000966B3">
            <w:pPr>
              <w:contextualSpacing/>
              <w:jc w:val="both"/>
            </w:pPr>
            <w:r w:rsidRPr="0009735F">
              <w:t>Projekts šo jomu neskar.</w:t>
            </w:r>
          </w:p>
        </w:tc>
      </w:tr>
      <w:tr w:rsidR="0009735F" w:rsidRPr="0009735F" w14:paraId="128A148B" w14:textId="77777777" w:rsidTr="00C54FA5">
        <w:trPr>
          <w:cantSplit/>
        </w:trPr>
        <w:tc>
          <w:tcPr>
            <w:tcW w:w="311" w:type="pct"/>
            <w:hideMark/>
          </w:tcPr>
          <w:p w14:paraId="52B22B8D" w14:textId="77777777" w:rsidR="000966B3" w:rsidRPr="0009735F" w:rsidRDefault="000966B3" w:rsidP="000966B3">
            <w:pPr>
              <w:contextualSpacing/>
              <w:jc w:val="center"/>
            </w:pPr>
            <w:r w:rsidRPr="0009735F">
              <w:t>5.</w:t>
            </w:r>
          </w:p>
        </w:tc>
        <w:tc>
          <w:tcPr>
            <w:tcW w:w="1479" w:type="pct"/>
            <w:hideMark/>
          </w:tcPr>
          <w:p w14:paraId="183DAC7F" w14:textId="77777777" w:rsidR="000966B3" w:rsidRPr="0009735F" w:rsidRDefault="000966B3" w:rsidP="000966B3">
            <w:pPr>
              <w:contextualSpacing/>
            </w:pPr>
            <w:r w:rsidRPr="0009735F">
              <w:t>Cita informācija</w:t>
            </w:r>
          </w:p>
        </w:tc>
        <w:tc>
          <w:tcPr>
            <w:tcW w:w="3210" w:type="pct"/>
            <w:hideMark/>
          </w:tcPr>
          <w:p w14:paraId="110F49AC" w14:textId="19F18A74" w:rsidR="000966B3" w:rsidRPr="0009735F" w:rsidRDefault="000966B3" w:rsidP="000966B3">
            <w:pPr>
              <w:contextualSpacing/>
              <w:jc w:val="both"/>
            </w:pPr>
            <w:r w:rsidRPr="0009735F">
              <w:t>Nav.</w:t>
            </w:r>
          </w:p>
        </w:tc>
      </w:tr>
    </w:tbl>
    <w:p w14:paraId="5642CFCB" w14:textId="77777777" w:rsidR="00BD5588" w:rsidRPr="0009735F" w:rsidRDefault="00BD5588" w:rsidP="002D5EFE">
      <w:pPr>
        <w:pStyle w:val="Title"/>
        <w:contextualSpacing/>
        <w:jc w:val="both"/>
        <w:rPr>
          <w:sz w:val="24"/>
          <w:szCs w:val="24"/>
        </w:rPr>
      </w:pPr>
    </w:p>
    <w:tbl>
      <w:tblPr>
        <w:tblW w:w="5006" w:type="pct"/>
        <w:tblInd w:w="-5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66"/>
      </w:tblGrid>
      <w:tr w:rsidR="0009735F" w:rsidRPr="0009735F" w14:paraId="64ABA0CD" w14:textId="77777777" w:rsidTr="00F02C0A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  <w:hideMark/>
          </w:tcPr>
          <w:p w14:paraId="5C2A7A88" w14:textId="77777777" w:rsidR="00101250" w:rsidRPr="0009735F" w:rsidRDefault="00101250" w:rsidP="007207FD">
            <w:pPr>
              <w:contextualSpacing/>
              <w:jc w:val="center"/>
              <w:rPr>
                <w:b/>
                <w:bCs/>
              </w:rPr>
            </w:pPr>
            <w:r w:rsidRPr="0009735F">
              <w:rPr>
                <w:b/>
                <w:bCs/>
              </w:rPr>
              <w:t>III. Tiesību akta projekta ietekme uz valsts budžetu un pašvaldību budžetiem</w:t>
            </w:r>
          </w:p>
        </w:tc>
      </w:tr>
      <w:tr w:rsidR="0009735F" w:rsidRPr="0009735F" w14:paraId="4601B696" w14:textId="77777777" w:rsidTr="00F02C0A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</w:tcPr>
          <w:p w14:paraId="795B7E1A" w14:textId="1E56EF1C" w:rsidR="00677691" w:rsidRPr="0009735F" w:rsidRDefault="00267773" w:rsidP="007207FD">
            <w:pPr>
              <w:contextualSpacing/>
              <w:jc w:val="center"/>
              <w:rPr>
                <w:b/>
                <w:bCs/>
              </w:rPr>
            </w:pPr>
            <w:r w:rsidRPr="0009735F">
              <w:rPr>
                <w:bCs/>
              </w:rPr>
              <w:t>Projekts šo jomu neskar</w:t>
            </w:r>
            <w:r w:rsidR="00A7356D" w:rsidRPr="0009735F">
              <w:rPr>
                <w:bCs/>
              </w:rPr>
              <w:t>.</w:t>
            </w:r>
          </w:p>
        </w:tc>
      </w:tr>
      <w:tr w:rsidR="0009735F" w:rsidRPr="0009735F" w14:paraId="6818809A" w14:textId="77777777" w:rsidTr="00F02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065" w:type="dxa"/>
            <w:vAlign w:val="center"/>
            <w:hideMark/>
          </w:tcPr>
          <w:p w14:paraId="02B1550D" w14:textId="77777777" w:rsidR="00BD5588" w:rsidRPr="0009735F" w:rsidRDefault="00BD5588" w:rsidP="007207FD">
            <w:pPr>
              <w:contextualSpacing/>
              <w:jc w:val="center"/>
              <w:rPr>
                <w:b/>
                <w:bCs/>
              </w:rPr>
            </w:pPr>
            <w:r w:rsidRPr="0009735F">
              <w:rPr>
                <w:b/>
                <w:bCs/>
              </w:rPr>
              <w:t>IV. Tiesību akta projekta ietekme uz spēkā esošo tiesību normu sistēmu</w:t>
            </w:r>
          </w:p>
        </w:tc>
      </w:tr>
      <w:tr w:rsidR="0009735F" w:rsidRPr="0009735F" w14:paraId="22C00B8B" w14:textId="77777777" w:rsidTr="00F02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065" w:type="dxa"/>
            <w:vAlign w:val="center"/>
          </w:tcPr>
          <w:p w14:paraId="0F0A8C96" w14:textId="36A4E3BB" w:rsidR="00DD4D6D" w:rsidRPr="0009735F" w:rsidRDefault="00DD4D6D" w:rsidP="007207FD">
            <w:pPr>
              <w:contextualSpacing/>
              <w:jc w:val="center"/>
              <w:rPr>
                <w:bCs/>
              </w:rPr>
            </w:pPr>
            <w:r w:rsidRPr="0009735F">
              <w:rPr>
                <w:bCs/>
              </w:rPr>
              <w:t>Projekts šo jomu neskar</w:t>
            </w:r>
            <w:r w:rsidR="00A7356D" w:rsidRPr="0009735F">
              <w:rPr>
                <w:bCs/>
              </w:rPr>
              <w:t>.</w:t>
            </w:r>
          </w:p>
        </w:tc>
      </w:tr>
    </w:tbl>
    <w:p w14:paraId="3C879E0D" w14:textId="77777777" w:rsidR="00BD5588" w:rsidRPr="0009735F" w:rsidRDefault="00BD5588" w:rsidP="00405EF7">
      <w:pPr>
        <w:pStyle w:val="Title"/>
        <w:contextualSpacing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61"/>
      </w:tblGrid>
      <w:tr w:rsidR="0009735F" w:rsidRPr="0009735F" w14:paraId="2861C1B4" w14:textId="77777777" w:rsidTr="00C54FA5">
        <w:trPr>
          <w:cantSplit/>
        </w:trPr>
        <w:tc>
          <w:tcPr>
            <w:tcW w:w="5000" w:type="pct"/>
            <w:vAlign w:val="center"/>
            <w:hideMark/>
          </w:tcPr>
          <w:p w14:paraId="39C7284C" w14:textId="77777777" w:rsidR="00BD5588" w:rsidRPr="0009735F" w:rsidRDefault="00BD5588" w:rsidP="007207FD">
            <w:pPr>
              <w:contextualSpacing/>
              <w:jc w:val="center"/>
              <w:rPr>
                <w:b/>
                <w:bCs/>
              </w:rPr>
            </w:pPr>
            <w:r w:rsidRPr="0009735F">
              <w:rPr>
                <w:b/>
                <w:bCs/>
              </w:rPr>
              <w:t>V. Tiesību akta projekta atbilstība Latvijas Republikas starptautiskajām saistībām</w:t>
            </w:r>
          </w:p>
        </w:tc>
      </w:tr>
      <w:tr w:rsidR="0009735F" w:rsidRPr="0009735F" w14:paraId="3F6ACCA2" w14:textId="77777777" w:rsidTr="00C54FA5">
        <w:trPr>
          <w:cantSplit/>
        </w:trPr>
        <w:tc>
          <w:tcPr>
            <w:tcW w:w="5000" w:type="pct"/>
            <w:vAlign w:val="center"/>
          </w:tcPr>
          <w:p w14:paraId="30D1D205" w14:textId="77777777" w:rsidR="00DD4D6D" w:rsidRPr="0009735F" w:rsidRDefault="00DD4D6D" w:rsidP="007207FD">
            <w:pPr>
              <w:contextualSpacing/>
              <w:jc w:val="center"/>
              <w:rPr>
                <w:bCs/>
              </w:rPr>
            </w:pPr>
            <w:r w:rsidRPr="0009735F">
              <w:rPr>
                <w:bCs/>
              </w:rPr>
              <w:lastRenderedPageBreak/>
              <w:t>Projekts šo jomu neskar</w:t>
            </w:r>
            <w:r w:rsidR="00A7356D" w:rsidRPr="0009735F">
              <w:rPr>
                <w:bCs/>
              </w:rPr>
              <w:t>.</w:t>
            </w:r>
          </w:p>
          <w:p w14:paraId="0153BD77" w14:textId="77777777" w:rsidR="00212F39" w:rsidRPr="0009735F" w:rsidRDefault="00212F39" w:rsidP="007207FD">
            <w:pPr>
              <w:contextualSpacing/>
              <w:jc w:val="center"/>
              <w:rPr>
                <w:bCs/>
              </w:rPr>
            </w:pPr>
          </w:p>
          <w:p w14:paraId="4950E4EA" w14:textId="075274B3" w:rsidR="00212F39" w:rsidRPr="0009735F" w:rsidRDefault="00212F39" w:rsidP="007207FD">
            <w:pPr>
              <w:contextualSpacing/>
              <w:jc w:val="center"/>
              <w:rPr>
                <w:bCs/>
              </w:rPr>
            </w:pPr>
          </w:p>
        </w:tc>
      </w:tr>
    </w:tbl>
    <w:p w14:paraId="7F3944B4" w14:textId="77777777" w:rsidR="00BD5588" w:rsidRPr="0009735F" w:rsidRDefault="00BD5588" w:rsidP="00405EF7">
      <w:pPr>
        <w:pStyle w:val="Title"/>
        <w:contextualSpacing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9"/>
        <w:gridCol w:w="1702"/>
        <w:gridCol w:w="7080"/>
      </w:tblGrid>
      <w:tr w:rsidR="0009735F" w:rsidRPr="0009735F" w14:paraId="50112339" w14:textId="77777777" w:rsidTr="00D14D05">
        <w:trPr>
          <w:cantSplit/>
        </w:trPr>
        <w:tc>
          <w:tcPr>
            <w:tcW w:w="5000" w:type="pct"/>
            <w:gridSpan w:val="3"/>
            <w:vAlign w:val="center"/>
            <w:hideMark/>
          </w:tcPr>
          <w:p w14:paraId="530DB622" w14:textId="17A63DBC" w:rsidR="00E95659" w:rsidRPr="0009735F" w:rsidRDefault="00BD5588" w:rsidP="007207FD">
            <w:pPr>
              <w:contextualSpacing/>
              <w:jc w:val="center"/>
              <w:rPr>
                <w:b/>
                <w:bCs/>
              </w:rPr>
            </w:pPr>
            <w:r w:rsidRPr="0009735F">
              <w:rPr>
                <w:b/>
                <w:bCs/>
              </w:rPr>
              <w:t>VI. Sabiedrības līdzdalība un komunikācijas aktivitātes</w:t>
            </w:r>
          </w:p>
          <w:p w14:paraId="15024134" w14:textId="128C26FC" w:rsidR="00BD5588" w:rsidRPr="0009735F" w:rsidRDefault="00BD5588" w:rsidP="00687CBD"/>
        </w:tc>
      </w:tr>
      <w:tr w:rsidR="0009735F" w:rsidRPr="0009735F" w14:paraId="25FBED6E" w14:textId="77777777" w:rsidTr="003164DC">
        <w:trPr>
          <w:cantSplit/>
        </w:trPr>
        <w:tc>
          <w:tcPr>
            <w:tcW w:w="154" w:type="pct"/>
            <w:hideMark/>
          </w:tcPr>
          <w:p w14:paraId="3C8118A0" w14:textId="77777777" w:rsidR="00BD5588" w:rsidRPr="0009735F" w:rsidRDefault="00BD5588" w:rsidP="007207FD">
            <w:pPr>
              <w:contextualSpacing/>
              <w:jc w:val="center"/>
            </w:pPr>
            <w:r w:rsidRPr="0009735F">
              <w:t>1.</w:t>
            </w:r>
          </w:p>
        </w:tc>
        <w:tc>
          <w:tcPr>
            <w:tcW w:w="939" w:type="pct"/>
            <w:hideMark/>
          </w:tcPr>
          <w:p w14:paraId="13A5A217" w14:textId="48ACA36A" w:rsidR="00BD5588" w:rsidRPr="0009735F" w:rsidRDefault="00BD5588" w:rsidP="00687CBD">
            <w:pPr>
              <w:contextualSpacing/>
            </w:pPr>
            <w:r w:rsidRPr="0009735F">
              <w:t>Plānotās sabiedrības līdzdalības un komunikācijas aktivitātes saistībā ar projektu</w:t>
            </w:r>
          </w:p>
        </w:tc>
        <w:tc>
          <w:tcPr>
            <w:tcW w:w="3907" w:type="pct"/>
            <w:hideMark/>
          </w:tcPr>
          <w:p w14:paraId="25436810" w14:textId="29CB8A85" w:rsidR="00BD5588" w:rsidRPr="0009735F" w:rsidRDefault="00196E43" w:rsidP="00862276">
            <w:pPr>
              <w:contextualSpacing/>
              <w:jc w:val="both"/>
            </w:pPr>
            <w:r>
              <w:rPr>
                <w:color w:val="000000"/>
              </w:rPr>
              <w:t>Informācija par noteikumu projektu tik</w:t>
            </w:r>
            <w:r w:rsidR="00862276">
              <w:rPr>
                <w:color w:val="000000"/>
              </w:rPr>
              <w:t>a</w:t>
            </w:r>
            <w:r>
              <w:rPr>
                <w:color w:val="000000"/>
              </w:rPr>
              <w:t xml:space="preserve"> publicēta Finanšu ministrijas tīmekļa vietnē </w:t>
            </w:r>
            <w:hyperlink r:id="rId14" w:history="1">
              <w:r>
                <w:rPr>
                  <w:rStyle w:val="Hyperlink"/>
                </w:rPr>
                <w:t>www.fm.gov.lv</w:t>
              </w:r>
            </w:hyperlink>
            <w:r>
              <w:rPr>
                <w:color w:val="000000"/>
              </w:rPr>
              <w:t xml:space="preserve"> un Valsts kases tīmekļa vietnē </w:t>
            </w:r>
            <w:hyperlink r:id="rId15" w:history="1">
              <w:r w:rsidRPr="00477263">
                <w:rPr>
                  <w:rStyle w:val="Hyperlink"/>
                </w:rPr>
                <w:t>www.kase.gov.lv</w:t>
              </w:r>
            </w:hyperlink>
            <w:r>
              <w:rPr>
                <w:color w:val="000000"/>
              </w:rPr>
              <w:t xml:space="preserve"> “Sabiedrības līdzdalība”. Sabiedrības pārstāvji var</w:t>
            </w:r>
            <w:r w:rsidR="00862276">
              <w:rPr>
                <w:color w:val="000000"/>
              </w:rPr>
              <w:t>ēja</w:t>
            </w:r>
            <w:r>
              <w:rPr>
                <w:color w:val="000000"/>
              </w:rPr>
              <w:t xml:space="preserve"> līdzdarboties projekta izstrādē un varē</w:t>
            </w:r>
            <w:r w:rsidR="00862276">
              <w:rPr>
                <w:color w:val="000000"/>
              </w:rPr>
              <w:t>ja</w:t>
            </w:r>
            <w:r>
              <w:rPr>
                <w:color w:val="000000"/>
              </w:rPr>
              <w:t xml:space="preserve"> sniegt viedokļus par noteikumu projektu arī pēc tā izsludināšanas Valsts sekretāru sanāksmē.</w:t>
            </w:r>
          </w:p>
        </w:tc>
      </w:tr>
      <w:tr w:rsidR="0009735F" w:rsidRPr="0009735F" w14:paraId="6AA44C09" w14:textId="77777777" w:rsidTr="003164DC">
        <w:trPr>
          <w:cantSplit/>
        </w:trPr>
        <w:tc>
          <w:tcPr>
            <w:tcW w:w="154" w:type="pct"/>
            <w:hideMark/>
          </w:tcPr>
          <w:p w14:paraId="4CD0509A" w14:textId="21E9AE8E" w:rsidR="00BD5588" w:rsidRPr="0009735F" w:rsidRDefault="00BD5588" w:rsidP="007207FD">
            <w:pPr>
              <w:contextualSpacing/>
              <w:jc w:val="center"/>
            </w:pPr>
          </w:p>
        </w:tc>
        <w:tc>
          <w:tcPr>
            <w:tcW w:w="939" w:type="pct"/>
            <w:hideMark/>
          </w:tcPr>
          <w:p w14:paraId="6EB11443" w14:textId="653267CB" w:rsidR="00E95659" w:rsidRPr="0009735F" w:rsidRDefault="00BD5588" w:rsidP="007207FD">
            <w:pPr>
              <w:contextualSpacing/>
            </w:pPr>
            <w:r w:rsidRPr="0009735F">
              <w:t>Sabiedrības līdzdalība projekta izstrādē</w:t>
            </w:r>
          </w:p>
          <w:p w14:paraId="59C4D30D" w14:textId="49C6FEA4" w:rsidR="00BD5588" w:rsidRPr="0009735F" w:rsidRDefault="00BD5588" w:rsidP="00687CBD"/>
        </w:tc>
        <w:tc>
          <w:tcPr>
            <w:tcW w:w="3907" w:type="pct"/>
            <w:hideMark/>
          </w:tcPr>
          <w:p w14:paraId="1A6332E5" w14:textId="3C881669" w:rsidR="00580BCC" w:rsidRPr="0009735F" w:rsidRDefault="00196E43" w:rsidP="00196E43">
            <w:pPr>
              <w:contextualSpacing/>
              <w:jc w:val="both"/>
            </w:pPr>
            <w:r>
              <w:t>Lai informētu sabiedrību par noteikumu projektu un dotu iespēju rakstiski sniegt par to viedokļus, paziņojums par sabiedrības līdzdalības procesu 2020. gada 16. novembrī ievietots Finanšu ministrijas mājaslapā sadaļā "Sabiedrības līdzdalība" (</w:t>
            </w:r>
            <w:r w:rsidR="00BF2923" w:rsidRPr="00BF2923">
              <w:t>https://www.fm.gov.lv/lv/sabiedribas-lidzdaliba</w:t>
            </w:r>
            <w:bookmarkStart w:id="0" w:name="_GoBack"/>
            <w:bookmarkEnd w:id="0"/>
            <w:r>
              <w:t>) un Valsts kases mājas lapā sadaļā “Sabiedrības līdzdalība” (</w:t>
            </w:r>
            <w:hyperlink r:id="rId16" w:history="1">
              <w:r w:rsidRPr="005A6227">
                <w:rPr>
                  <w:rStyle w:val="Hyperlink"/>
                </w:rPr>
                <w:t>https://kase.gov.lv/)</w:t>
              </w:r>
            </w:hyperlink>
            <w:r>
              <w:t>.</w:t>
            </w:r>
          </w:p>
        </w:tc>
      </w:tr>
      <w:tr w:rsidR="0009735F" w:rsidRPr="0009735F" w14:paraId="184EFDF4" w14:textId="77777777" w:rsidTr="003164DC">
        <w:trPr>
          <w:cantSplit/>
        </w:trPr>
        <w:tc>
          <w:tcPr>
            <w:tcW w:w="154" w:type="pct"/>
            <w:hideMark/>
          </w:tcPr>
          <w:p w14:paraId="3C05F519" w14:textId="77777777" w:rsidR="00BD5588" w:rsidRPr="0009735F" w:rsidRDefault="00BD5588" w:rsidP="007207FD">
            <w:pPr>
              <w:contextualSpacing/>
              <w:jc w:val="center"/>
            </w:pPr>
            <w:r w:rsidRPr="0009735F">
              <w:t>3.</w:t>
            </w:r>
          </w:p>
        </w:tc>
        <w:tc>
          <w:tcPr>
            <w:tcW w:w="939" w:type="pct"/>
            <w:hideMark/>
          </w:tcPr>
          <w:p w14:paraId="4B989546" w14:textId="38F811F1" w:rsidR="00E95659" w:rsidRPr="0009735F" w:rsidRDefault="00BD5588" w:rsidP="007207FD">
            <w:pPr>
              <w:contextualSpacing/>
            </w:pPr>
            <w:r w:rsidRPr="0009735F">
              <w:t>Sabiedrības līdzdalības rezultāti</w:t>
            </w:r>
          </w:p>
          <w:p w14:paraId="1FD51315" w14:textId="4C49DFE0" w:rsidR="00BD5588" w:rsidRPr="0009735F" w:rsidRDefault="00BD5588" w:rsidP="00E95659"/>
        </w:tc>
        <w:tc>
          <w:tcPr>
            <w:tcW w:w="3907" w:type="pct"/>
            <w:hideMark/>
          </w:tcPr>
          <w:p w14:paraId="37A38C6D" w14:textId="163207D9" w:rsidR="00BD5588" w:rsidRPr="0009735F" w:rsidRDefault="00DA364A" w:rsidP="00805E16">
            <w:pPr>
              <w:contextualSpacing/>
              <w:jc w:val="both"/>
            </w:pPr>
            <w:r w:rsidRPr="00DA364A">
              <w:t>Priekšlikumi un iebildumi no sabiedrības pārstāvjiem netika saņemti.</w:t>
            </w:r>
          </w:p>
        </w:tc>
      </w:tr>
      <w:tr w:rsidR="0009735F" w:rsidRPr="0009735F" w14:paraId="435F46B7" w14:textId="77777777" w:rsidTr="003164DC">
        <w:trPr>
          <w:cantSplit/>
        </w:trPr>
        <w:tc>
          <w:tcPr>
            <w:tcW w:w="154" w:type="pct"/>
            <w:hideMark/>
          </w:tcPr>
          <w:p w14:paraId="297130A4" w14:textId="77777777" w:rsidR="00BD5588" w:rsidRPr="0009735F" w:rsidRDefault="00BD5588" w:rsidP="007207FD">
            <w:pPr>
              <w:contextualSpacing/>
              <w:jc w:val="center"/>
            </w:pPr>
            <w:r w:rsidRPr="0009735F">
              <w:t>4.</w:t>
            </w:r>
          </w:p>
        </w:tc>
        <w:tc>
          <w:tcPr>
            <w:tcW w:w="939" w:type="pct"/>
            <w:hideMark/>
          </w:tcPr>
          <w:p w14:paraId="7663C37D" w14:textId="77777777" w:rsidR="00BD5588" w:rsidRPr="0009735F" w:rsidRDefault="00BD5588" w:rsidP="007207FD">
            <w:pPr>
              <w:contextualSpacing/>
            </w:pPr>
            <w:r w:rsidRPr="0009735F">
              <w:t>Cita informācija</w:t>
            </w:r>
          </w:p>
        </w:tc>
        <w:tc>
          <w:tcPr>
            <w:tcW w:w="3907" w:type="pct"/>
            <w:hideMark/>
          </w:tcPr>
          <w:p w14:paraId="6C4F904A" w14:textId="096ED165" w:rsidR="00BD5588" w:rsidRPr="0009735F" w:rsidRDefault="00C54FA5" w:rsidP="00791854">
            <w:pPr>
              <w:contextualSpacing/>
              <w:jc w:val="both"/>
            </w:pPr>
            <w:r w:rsidRPr="0009735F">
              <w:t>Nav.</w:t>
            </w:r>
          </w:p>
        </w:tc>
      </w:tr>
    </w:tbl>
    <w:p w14:paraId="3928C09C" w14:textId="77777777" w:rsidR="00BD5588" w:rsidRPr="0009735F" w:rsidRDefault="00BD5588" w:rsidP="00E55EB6">
      <w:pPr>
        <w:pStyle w:val="Title"/>
        <w:contextualSpacing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4"/>
        <w:gridCol w:w="2680"/>
        <w:gridCol w:w="5817"/>
      </w:tblGrid>
      <w:tr w:rsidR="0009735F" w:rsidRPr="0009735F" w14:paraId="0C348154" w14:textId="77777777" w:rsidTr="00C54FA5">
        <w:trPr>
          <w:cantSplit/>
        </w:trPr>
        <w:tc>
          <w:tcPr>
            <w:tcW w:w="5000" w:type="pct"/>
            <w:gridSpan w:val="3"/>
            <w:vAlign w:val="center"/>
            <w:hideMark/>
          </w:tcPr>
          <w:p w14:paraId="6B71EA40" w14:textId="77777777" w:rsidR="00BD5588" w:rsidRPr="0009735F" w:rsidRDefault="00BD5588" w:rsidP="007207FD">
            <w:pPr>
              <w:contextualSpacing/>
              <w:jc w:val="center"/>
              <w:rPr>
                <w:b/>
                <w:bCs/>
              </w:rPr>
            </w:pPr>
            <w:r w:rsidRPr="0009735F">
              <w:rPr>
                <w:b/>
                <w:bCs/>
              </w:rPr>
              <w:t>VII. Tiesību akta projekta izpildes nodrošināšana un tās ietekme uz institūcijām</w:t>
            </w:r>
          </w:p>
        </w:tc>
      </w:tr>
      <w:tr w:rsidR="0009735F" w:rsidRPr="0009735F" w14:paraId="3680ADCA" w14:textId="77777777" w:rsidTr="00C54FA5">
        <w:trPr>
          <w:cantSplit/>
        </w:trPr>
        <w:tc>
          <w:tcPr>
            <w:tcW w:w="311" w:type="pct"/>
            <w:hideMark/>
          </w:tcPr>
          <w:p w14:paraId="55523288" w14:textId="77777777" w:rsidR="00BD5588" w:rsidRPr="0009735F" w:rsidRDefault="00BD5588" w:rsidP="007207FD">
            <w:pPr>
              <w:contextualSpacing/>
              <w:jc w:val="center"/>
            </w:pPr>
            <w:r w:rsidRPr="0009735F">
              <w:t>1.</w:t>
            </w:r>
          </w:p>
        </w:tc>
        <w:tc>
          <w:tcPr>
            <w:tcW w:w="1479" w:type="pct"/>
            <w:hideMark/>
          </w:tcPr>
          <w:p w14:paraId="4D695C07" w14:textId="77777777" w:rsidR="00BD5588" w:rsidRPr="0009735F" w:rsidRDefault="00BD5588" w:rsidP="007207FD">
            <w:pPr>
              <w:contextualSpacing/>
            </w:pPr>
            <w:r w:rsidRPr="0009735F">
              <w:t>Projekta izpildē iesaistītās institūcijas</w:t>
            </w:r>
          </w:p>
        </w:tc>
        <w:tc>
          <w:tcPr>
            <w:tcW w:w="3210" w:type="pct"/>
            <w:hideMark/>
          </w:tcPr>
          <w:p w14:paraId="5DFC6377" w14:textId="118746F2" w:rsidR="00BD5588" w:rsidRPr="0009735F" w:rsidRDefault="001B4317" w:rsidP="00791854">
            <w:pPr>
              <w:contextualSpacing/>
              <w:jc w:val="both"/>
            </w:pPr>
            <w:r w:rsidRPr="0009735F">
              <w:t>V</w:t>
            </w:r>
            <w:r w:rsidR="00A7356D" w:rsidRPr="0009735F">
              <w:t>alsts kase, Finanšu ministrija.</w:t>
            </w:r>
          </w:p>
        </w:tc>
      </w:tr>
      <w:tr w:rsidR="0009735F" w:rsidRPr="0009735F" w14:paraId="121D590F" w14:textId="77777777" w:rsidTr="00C54FA5">
        <w:trPr>
          <w:cantSplit/>
        </w:trPr>
        <w:tc>
          <w:tcPr>
            <w:tcW w:w="311" w:type="pct"/>
            <w:hideMark/>
          </w:tcPr>
          <w:p w14:paraId="0197E4E5" w14:textId="77777777" w:rsidR="001B4317" w:rsidRPr="0009735F" w:rsidRDefault="001B4317" w:rsidP="001B4317">
            <w:pPr>
              <w:contextualSpacing/>
              <w:jc w:val="center"/>
            </w:pPr>
            <w:r w:rsidRPr="0009735F">
              <w:t>2.</w:t>
            </w:r>
          </w:p>
        </w:tc>
        <w:tc>
          <w:tcPr>
            <w:tcW w:w="1479" w:type="pct"/>
            <w:hideMark/>
          </w:tcPr>
          <w:p w14:paraId="3B34D5BF" w14:textId="77777777" w:rsidR="001B4317" w:rsidRPr="0009735F" w:rsidRDefault="001B4317" w:rsidP="001B4317">
            <w:pPr>
              <w:contextualSpacing/>
            </w:pPr>
            <w:r w:rsidRPr="0009735F">
              <w:t>Projekta izpildes ietekme uz pārvaldes funkcijām un institucionālo struktūru.</w:t>
            </w:r>
            <w:r w:rsidRPr="0009735F"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210" w:type="pct"/>
            <w:hideMark/>
          </w:tcPr>
          <w:p w14:paraId="325446F7" w14:textId="77777777" w:rsidR="001B4317" w:rsidRPr="0009735F" w:rsidRDefault="001B4317" w:rsidP="001B4317">
            <w:pPr>
              <w:ind w:right="111"/>
              <w:jc w:val="both"/>
            </w:pPr>
            <w:r w:rsidRPr="0009735F">
              <w:t>Projekta izpilde paredzēta esošo funkciju, cilvēkresursu un finanšu resursu ietvaros.</w:t>
            </w:r>
          </w:p>
          <w:p w14:paraId="6183A352" w14:textId="66333397" w:rsidR="001B4317" w:rsidRPr="0009735F" w:rsidRDefault="001B4317" w:rsidP="001B4317">
            <w:pPr>
              <w:contextualSpacing/>
              <w:jc w:val="both"/>
            </w:pPr>
            <w:r w:rsidRPr="0009735F">
              <w:t>Jaunas institūcijas netiek veidotas, kā arī netiek paredzēta esošo institūciju likvidācija vai reorganizācija.</w:t>
            </w:r>
          </w:p>
        </w:tc>
      </w:tr>
      <w:tr w:rsidR="001B4317" w:rsidRPr="0009735F" w14:paraId="6B306877" w14:textId="77777777" w:rsidTr="00C54FA5">
        <w:trPr>
          <w:cantSplit/>
        </w:trPr>
        <w:tc>
          <w:tcPr>
            <w:tcW w:w="311" w:type="pct"/>
            <w:hideMark/>
          </w:tcPr>
          <w:p w14:paraId="0AEE46E1" w14:textId="77777777" w:rsidR="001B4317" w:rsidRPr="0009735F" w:rsidRDefault="001B4317" w:rsidP="001B4317">
            <w:pPr>
              <w:contextualSpacing/>
              <w:jc w:val="center"/>
            </w:pPr>
            <w:r w:rsidRPr="0009735F">
              <w:t>3.</w:t>
            </w:r>
          </w:p>
        </w:tc>
        <w:tc>
          <w:tcPr>
            <w:tcW w:w="1479" w:type="pct"/>
            <w:hideMark/>
          </w:tcPr>
          <w:p w14:paraId="7221E294" w14:textId="77777777" w:rsidR="001B4317" w:rsidRPr="0009735F" w:rsidRDefault="001B4317" w:rsidP="001B4317">
            <w:pPr>
              <w:contextualSpacing/>
            </w:pPr>
            <w:r w:rsidRPr="0009735F">
              <w:t>Cita informācija</w:t>
            </w:r>
          </w:p>
        </w:tc>
        <w:tc>
          <w:tcPr>
            <w:tcW w:w="3210" w:type="pct"/>
            <w:hideMark/>
          </w:tcPr>
          <w:p w14:paraId="18FE347D" w14:textId="4B6626A0" w:rsidR="001B4317" w:rsidRPr="0009735F" w:rsidRDefault="00C54FA5" w:rsidP="001B4317">
            <w:pPr>
              <w:contextualSpacing/>
              <w:jc w:val="both"/>
            </w:pPr>
            <w:r w:rsidRPr="0009735F">
              <w:t>Nav.</w:t>
            </w:r>
          </w:p>
        </w:tc>
      </w:tr>
    </w:tbl>
    <w:p w14:paraId="018B58C5" w14:textId="69C93140" w:rsidR="001A2563" w:rsidRPr="0009735F" w:rsidRDefault="001A2563" w:rsidP="00821565">
      <w:pPr>
        <w:tabs>
          <w:tab w:val="left" w:pos="8080"/>
        </w:tabs>
        <w:contextualSpacing/>
      </w:pPr>
    </w:p>
    <w:p w14:paraId="59D92C2C" w14:textId="77777777" w:rsidR="001A2563" w:rsidRPr="0009735F" w:rsidRDefault="001A2563" w:rsidP="00821565">
      <w:pPr>
        <w:tabs>
          <w:tab w:val="left" w:pos="8080"/>
        </w:tabs>
        <w:contextualSpacing/>
        <w:rPr>
          <w:bCs/>
          <w:szCs w:val="28"/>
        </w:rPr>
      </w:pPr>
      <w:r w:rsidRPr="0009735F">
        <w:rPr>
          <w:bCs/>
          <w:szCs w:val="28"/>
        </w:rPr>
        <w:t>Iesniedzējs:</w:t>
      </w:r>
    </w:p>
    <w:p w14:paraId="08E55616" w14:textId="401EAE6C" w:rsidR="001A2563" w:rsidRPr="0009735F" w:rsidRDefault="00A7356D" w:rsidP="00821565">
      <w:pPr>
        <w:tabs>
          <w:tab w:val="left" w:pos="8080"/>
        </w:tabs>
        <w:contextualSpacing/>
        <w:rPr>
          <w:bCs/>
          <w:szCs w:val="28"/>
        </w:rPr>
      </w:pPr>
      <w:r w:rsidRPr="0009735F">
        <w:rPr>
          <w:bCs/>
          <w:szCs w:val="28"/>
        </w:rPr>
        <w:t>Finanšu</w:t>
      </w:r>
      <w:r w:rsidR="001A2563" w:rsidRPr="0009735F">
        <w:rPr>
          <w:bCs/>
          <w:szCs w:val="28"/>
        </w:rPr>
        <w:t xml:space="preserve"> ministrs </w:t>
      </w:r>
      <w:r w:rsidR="001A2563" w:rsidRPr="0009735F">
        <w:rPr>
          <w:bCs/>
          <w:szCs w:val="28"/>
        </w:rPr>
        <w:tab/>
      </w:r>
      <w:r w:rsidRPr="0009735F">
        <w:rPr>
          <w:bCs/>
          <w:szCs w:val="28"/>
        </w:rPr>
        <w:t>J. Reirs</w:t>
      </w:r>
    </w:p>
    <w:p w14:paraId="612437EC" w14:textId="62F6E0DD" w:rsidR="001A2563" w:rsidRPr="0009735F" w:rsidRDefault="001A2563" w:rsidP="00821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521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  <w:szCs w:val="28"/>
        </w:rPr>
      </w:pPr>
    </w:p>
    <w:p w14:paraId="341D7859" w14:textId="77777777" w:rsidR="009B003D" w:rsidRPr="0009735F" w:rsidRDefault="009B003D" w:rsidP="00821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521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  <w:szCs w:val="28"/>
        </w:rPr>
      </w:pPr>
    </w:p>
    <w:p w14:paraId="30D7CC2F" w14:textId="77777777" w:rsidR="00A57A50" w:rsidRPr="0009735F" w:rsidRDefault="001A2563" w:rsidP="00821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521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  <w:szCs w:val="28"/>
        </w:rPr>
      </w:pPr>
      <w:r w:rsidRPr="0009735F">
        <w:rPr>
          <w:bCs/>
          <w:szCs w:val="28"/>
        </w:rPr>
        <w:t>Vīza:</w:t>
      </w:r>
    </w:p>
    <w:p w14:paraId="61C0FFF0" w14:textId="4C7AC798" w:rsidR="001A2563" w:rsidRPr="0009735F" w:rsidRDefault="001A2563" w:rsidP="00821565">
      <w:pPr>
        <w:tabs>
          <w:tab w:val="left" w:pos="8080"/>
        </w:tabs>
        <w:contextualSpacing/>
        <w:rPr>
          <w:szCs w:val="28"/>
        </w:rPr>
      </w:pPr>
      <w:r w:rsidRPr="0009735F">
        <w:rPr>
          <w:szCs w:val="28"/>
        </w:rPr>
        <w:t>Valsts sekretārs</w:t>
      </w:r>
      <w:r w:rsidR="00D956E6" w:rsidRPr="0009735F">
        <w:rPr>
          <w:szCs w:val="28"/>
        </w:rPr>
        <w:tab/>
      </w:r>
      <w:bookmarkStart w:id="1" w:name="OLE_LINK1"/>
      <w:bookmarkStart w:id="2" w:name="OLE_LINK2"/>
      <w:bookmarkStart w:id="3" w:name="OLE_LINK3"/>
      <w:bookmarkStart w:id="4" w:name="OLE_LINK4"/>
      <w:bookmarkEnd w:id="1"/>
      <w:bookmarkEnd w:id="2"/>
      <w:bookmarkEnd w:id="3"/>
      <w:bookmarkEnd w:id="4"/>
      <w:r w:rsidR="00A7356D" w:rsidRPr="0009735F">
        <w:rPr>
          <w:szCs w:val="28"/>
        </w:rPr>
        <w:t>B. Bāne</w:t>
      </w:r>
    </w:p>
    <w:p w14:paraId="4427845C" w14:textId="580056E8" w:rsidR="0009498B" w:rsidRPr="0009735F" w:rsidRDefault="0009498B" w:rsidP="00821565">
      <w:pPr>
        <w:tabs>
          <w:tab w:val="left" w:pos="6804"/>
          <w:tab w:val="left" w:pos="8080"/>
        </w:tabs>
        <w:contextualSpacing/>
        <w:rPr>
          <w:sz w:val="20"/>
          <w:szCs w:val="20"/>
        </w:rPr>
      </w:pPr>
    </w:p>
    <w:p w14:paraId="3B0DA606" w14:textId="77777777" w:rsidR="0009498B" w:rsidRPr="0009735F" w:rsidRDefault="0009498B" w:rsidP="00D956E6">
      <w:pPr>
        <w:tabs>
          <w:tab w:val="left" w:pos="6804"/>
        </w:tabs>
        <w:contextualSpacing/>
        <w:rPr>
          <w:sz w:val="20"/>
          <w:szCs w:val="20"/>
        </w:rPr>
      </w:pPr>
    </w:p>
    <w:p w14:paraId="425943F1" w14:textId="58BDA58F" w:rsidR="00CF3579" w:rsidRPr="0009735F" w:rsidRDefault="00A7356D" w:rsidP="00CF3579">
      <w:pPr>
        <w:tabs>
          <w:tab w:val="left" w:pos="6804"/>
        </w:tabs>
        <w:contextualSpacing/>
        <w:rPr>
          <w:sz w:val="20"/>
          <w:szCs w:val="20"/>
        </w:rPr>
      </w:pPr>
      <w:r w:rsidRPr="0009735F">
        <w:rPr>
          <w:sz w:val="20"/>
          <w:szCs w:val="20"/>
        </w:rPr>
        <w:t>Stepiņa</w:t>
      </w:r>
      <w:r w:rsidR="00CF3579" w:rsidRPr="0009735F">
        <w:rPr>
          <w:sz w:val="20"/>
          <w:szCs w:val="20"/>
        </w:rPr>
        <w:t xml:space="preserve">, </w:t>
      </w:r>
      <w:r w:rsidRPr="0009735F">
        <w:rPr>
          <w:sz w:val="20"/>
          <w:szCs w:val="20"/>
        </w:rPr>
        <w:t>67094363</w:t>
      </w:r>
    </w:p>
    <w:p w14:paraId="75903FDA" w14:textId="767D97EE" w:rsidR="00CF3579" w:rsidRPr="0009735F" w:rsidRDefault="00A7356D" w:rsidP="00CF3579">
      <w:pPr>
        <w:tabs>
          <w:tab w:val="left" w:pos="6804"/>
        </w:tabs>
        <w:contextualSpacing/>
        <w:rPr>
          <w:sz w:val="20"/>
          <w:szCs w:val="20"/>
        </w:rPr>
      </w:pPr>
      <w:r w:rsidRPr="0009735F">
        <w:rPr>
          <w:sz w:val="20"/>
          <w:szCs w:val="20"/>
        </w:rPr>
        <w:t>Sandra.Stepina@kase.gov.lv</w:t>
      </w:r>
    </w:p>
    <w:sectPr w:rsidR="00CF3579" w:rsidRPr="0009735F" w:rsidSect="00821565">
      <w:headerReference w:type="default" r:id="rId17"/>
      <w:footerReference w:type="default" r:id="rId18"/>
      <w:footerReference w:type="first" r:id="rId1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D03857" w14:textId="77777777" w:rsidR="00807B76" w:rsidRDefault="00807B76" w:rsidP="004A2CC7">
      <w:r>
        <w:separator/>
      </w:r>
    </w:p>
  </w:endnote>
  <w:endnote w:type="continuationSeparator" w:id="0">
    <w:p w14:paraId="511EC74A" w14:textId="77777777" w:rsidR="00807B76" w:rsidRDefault="00807B76" w:rsidP="004A2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04C6C" w14:textId="68500932" w:rsidR="005A1BB9" w:rsidRPr="00821565" w:rsidRDefault="005A1BB9" w:rsidP="00821565">
    <w:pPr>
      <w:pStyle w:val="Footer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375819">
      <w:rPr>
        <w:noProof/>
        <w:sz w:val="20"/>
        <w:szCs w:val="20"/>
      </w:rPr>
      <w:t>FMAnot_2020_GrozMK_391</w:t>
    </w:r>
    <w:r>
      <w:rPr>
        <w:sz w:val="20"/>
        <w:szCs w:val="20"/>
      </w:rPr>
      <w:fldChar w:fldCharType="end"/>
    </w:r>
    <w:r>
      <w:rPr>
        <w:sz w:val="20"/>
        <w:szCs w:val="20"/>
      </w:rPr>
      <w:t>.docx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385B9" w14:textId="455E7DC5" w:rsidR="005A1BB9" w:rsidRPr="00821565" w:rsidRDefault="005A1BB9" w:rsidP="00A9230B">
    <w:pPr>
      <w:pStyle w:val="Footer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375819">
      <w:rPr>
        <w:noProof/>
        <w:sz w:val="20"/>
        <w:szCs w:val="20"/>
      </w:rPr>
      <w:t>FMAnot_2020_GrozMK_391</w:t>
    </w:r>
    <w:r>
      <w:rPr>
        <w:sz w:val="20"/>
        <w:szCs w:val="20"/>
      </w:rPr>
      <w:fldChar w:fldCharType="end"/>
    </w:r>
    <w:r>
      <w:rPr>
        <w:sz w:val="20"/>
        <w:szCs w:val="20"/>
      </w:rPr>
      <w:t>.docx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14B9CA" w14:textId="77777777" w:rsidR="00807B76" w:rsidRDefault="00807B76" w:rsidP="004A2CC7">
      <w:r>
        <w:separator/>
      </w:r>
    </w:p>
  </w:footnote>
  <w:footnote w:type="continuationSeparator" w:id="0">
    <w:p w14:paraId="39400DE7" w14:textId="77777777" w:rsidR="00807B76" w:rsidRDefault="00807B76" w:rsidP="004A2C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771000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FCB1785" w14:textId="50D436AA" w:rsidR="005A1BB9" w:rsidRDefault="005A1BB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292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8B7CCC2" w14:textId="77777777" w:rsidR="005A1BB9" w:rsidRDefault="005A1B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47E0"/>
    <w:multiLevelType w:val="hybridMultilevel"/>
    <w:tmpl w:val="244AB874"/>
    <w:lvl w:ilvl="0" w:tplc="A22C21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E8C67F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A24C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1C14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24B0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9683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BE12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2E0B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905C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24562"/>
    <w:multiLevelType w:val="hybridMultilevel"/>
    <w:tmpl w:val="17521172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53A91"/>
    <w:multiLevelType w:val="hybridMultilevel"/>
    <w:tmpl w:val="35DEE810"/>
    <w:lvl w:ilvl="0" w:tplc="3D681F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42582"/>
    <w:multiLevelType w:val="hybridMultilevel"/>
    <w:tmpl w:val="B7805858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50FCA"/>
    <w:multiLevelType w:val="hybridMultilevel"/>
    <w:tmpl w:val="B3F668F8"/>
    <w:lvl w:ilvl="0" w:tplc="3D681F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82FD1"/>
    <w:multiLevelType w:val="hybridMultilevel"/>
    <w:tmpl w:val="5178C19C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7E79C5"/>
    <w:multiLevelType w:val="hybridMultilevel"/>
    <w:tmpl w:val="B14886E0"/>
    <w:lvl w:ilvl="0" w:tplc="3D681F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94ABF"/>
    <w:multiLevelType w:val="hybridMultilevel"/>
    <w:tmpl w:val="D7C63F7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3D3811"/>
    <w:multiLevelType w:val="hybridMultilevel"/>
    <w:tmpl w:val="FE1046A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007EE4"/>
    <w:multiLevelType w:val="hybridMultilevel"/>
    <w:tmpl w:val="B3F668F8"/>
    <w:lvl w:ilvl="0" w:tplc="3D681F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773E65"/>
    <w:multiLevelType w:val="hybridMultilevel"/>
    <w:tmpl w:val="281C3764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945485"/>
    <w:multiLevelType w:val="hybridMultilevel"/>
    <w:tmpl w:val="C3E6CBFC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487804"/>
    <w:multiLevelType w:val="hybridMultilevel"/>
    <w:tmpl w:val="A17A404C"/>
    <w:lvl w:ilvl="0" w:tplc="115A2B7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987C8D"/>
    <w:multiLevelType w:val="hybridMultilevel"/>
    <w:tmpl w:val="348EB362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66466B"/>
    <w:multiLevelType w:val="hybridMultilevel"/>
    <w:tmpl w:val="A600C8C0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A23150"/>
    <w:multiLevelType w:val="hybridMultilevel"/>
    <w:tmpl w:val="BC62B370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4"/>
  </w:num>
  <w:num w:numId="4">
    <w:abstractNumId w:val="6"/>
  </w:num>
  <w:num w:numId="5">
    <w:abstractNumId w:val="2"/>
  </w:num>
  <w:num w:numId="6">
    <w:abstractNumId w:val="4"/>
  </w:num>
  <w:num w:numId="7">
    <w:abstractNumId w:val="9"/>
  </w:num>
  <w:num w:numId="8">
    <w:abstractNumId w:val="13"/>
  </w:num>
  <w:num w:numId="9">
    <w:abstractNumId w:val="11"/>
  </w:num>
  <w:num w:numId="10">
    <w:abstractNumId w:val="10"/>
  </w:num>
  <w:num w:numId="11">
    <w:abstractNumId w:val="7"/>
  </w:num>
  <w:num w:numId="12">
    <w:abstractNumId w:val="8"/>
  </w:num>
  <w:num w:numId="13">
    <w:abstractNumId w:val="12"/>
  </w:num>
  <w:num w:numId="14">
    <w:abstractNumId w:val="3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588"/>
    <w:rsid w:val="0000059C"/>
    <w:rsid w:val="00006F34"/>
    <w:rsid w:val="0004314D"/>
    <w:rsid w:val="00046911"/>
    <w:rsid w:val="00065B30"/>
    <w:rsid w:val="00090F85"/>
    <w:rsid w:val="00093BDD"/>
    <w:rsid w:val="0009498B"/>
    <w:rsid w:val="000966B3"/>
    <w:rsid w:val="0009735F"/>
    <w:rsid w:val="000B1FC9"/>
    <w:rsid w:val="000B47CA"/>
    <w:rsid w:val="000C4F0B"/>
    <w:rsid w:val="000D3F26"/>
    <w:rsid w:val="000D5931"/>
    <w:rsid w:val="000D6C67"/>
    <w:rsid w:val="000D7B99"/>
    <w:rsid w:val="000E6E55"/>
    <w:rsid w:val="000F1D09"/>
    <w:rsid w:val="000F5172"/>
    <w:rsid w:val="00101250"/>
    <w:rsid w:val="001366F4"/>
    <w:rsid w:val="00137230"/>
    <w:rsid w:val="00143F1B"/>
    <w:rsid w:val="001444AA"/>
    <w:rsid w:val="00157A66"/>
    <w:rsid w:val="001616DA"/>
    <w:rsid w:val="00161A13"/>
    <w:rsid w:val="001732B5"/>
    <w:rsid w:val="00173E3D"/>
    <w:rsid w:val="00175EA7"/>
    <w:rsid w:val="0017609B"/>
    <w:rsid w:val="001764F7"/>
    <w:rsid w:val="00183F4C"/>
    <w:rsid w:val="00196E43"/>
    <w:rsid w:val="00197053"/>
    <w:rsid w:val="001A2563"/>
    <w:rsid w:val="001A3C61"/>
    <w:rsid w:val="001B4317"/>
    <w:rsid w:val="001C0467"/>
    <w:rsid w:val="001C6C98"/>
    <w:rsid w:val="001F0D04"/>
    <w:rsid w:val="001F2B85"/>
    <w:rsid w:val="001F462C"/>
    <w:rsid w:val="001F4FDF"/>
    <w:rsid w:val="00201C39"/>
    <w:rsid w:val="00211630"/>
    <w:rsid w:val="00212F39"/>
    <w:rsid w:val="00234550"/>
    <w:rsid w:val="00236942"/>
    <w:rsid w:val="00256112"/>
    <w:rsid w:val="0026731A"/>
    <w:rsid w:val="00267773"/>
    <w:rsid w:val="002735B0"/>
    <w:rsid w:val="00290755"/>
    <w:rsid w:val="002A64A4"/>
    <w:rsid w:val="002C39E6"/>
    <w:rsid w:val="002C7D10"/>
    <w:rsid w:val="002D5EFE"/>
    <w:rsid w:val="002E3469"/>
    <w:rsid w:val="002E7618"/>
    <w:rsid w:val="002F09F0"/>
    <w:rsid w:val="002F28A9"/>
    <w:rsid w:val="00312CBC"/>
    <w:rsid w:val="003164DC"/>
    <w:rsid w:val="003467AC"/>
    <w:rsid w:val="003579D9"/>
    <w:rsid w:val="00365992"/>
    <w:rsid w:val="00375819"/>
    <w:rsid w:val="00380894"/>
    <w:rsid w:val="00390C15"/>
    <w:rsid w:val="00392087"/>
    <w:rsid w:val="00395353"/>
    <w:rsid w:val="003A1A2C"/>
    <w:rsid w:val="003B045B"/>
    <w:rsid w:val="003B0E97"/>
    <w:rsid w:val="003B33B8"/>
    <w:rsid w:val="003C0DC0"/>
    <w:rsid w:val="003C1196"/>
    <w:rsid w:val="003D325B"/>
    <w:rsid w:val="003D482F"/>
    <w:rsid w:val="003D6AB3"/>
    <w:rsid w:val="003F0369"/>
    <w:rsid w:val="00403E88"/>
    <w:rsid w:val="00405EF7"/>
    <w:rsid w:val="004151D8"/>
    <w:rsid w:val="00415A0F"/>
    <w:rsid w:val="004250DC"/>
    <w:rsid w:val="00431E12"/>
    <w:rsid w:val="00435FA7"/>
    <w:rsid w:val="004506F4"/>
    <w:rsid w:val="00452D92"/>
    <w:rsid w:val="00456B69"/>
    <w:rsid w:val="00472448"/>
    <w:rsid w:val="0047248F"/>
    <w:rsid w:val="00480D61"/>
    <w:rsid w:val="00485D6F"/>
    <w:rsid w:val="0049159A"/>
    <w:rsid w:val="00495788"/>
    <w:rsid w:val="004A2CC7"/>
    <w:rsid w:val="004A4ECF"/>
    <w:rsid w:val="004C0AE2"/>
    <w:rsid w:val="004C3806"/>
    <w:rsid w:val="004D1337"/>
    <w:rsid w:val="004F5405"/>
    <w:rsid w:val="00503DB8"/>
    <w:rsid w:val="00507A01"/>
    <w:rsid w:val="00537158"/>
    <w:rsid w:val="00542BE8"/>
    <w:rsid w:val="005661A7"/>
    <w:rsid w:val="0058083C"/>
    <w:rsid w:val="00580BCC"/>
    <w:rsid w:val="00596BB9"/>
    <w:rsid w:val="005A0985"/>
    <w:rsid w:val="005A1BB9"/>
    <w:rsid w:val="005A1F0C"/>
    <w:rsid w:val="005A6227"/>
    <w:rsid w:val="005B3F2A"/>
    <w:rsid w:val="005C005D"/>
    <w:rsid w:val="005C4CE2"/>
    <w:rsid w:val="005E640E"/>
    <w:rsid w:val="005F286B"/>
    <w:rsid w:val="006234A3"/>
    <w:rsid w:val="00635646"/>
    <w:rsid w:val="00637186"/>
    <w:rsid w:val="006425FE"/>
    <w:rsid w:val="00672193"/>
    <w:rsid w:val="00677691"/>
    <w:rsid w:val="00686E53"/>
    <w:rsid w:val="00687CBD"/>
    <w:rsid w:val="00692957"/>
    <w:rsid w:val="006A74AD"/>
    <w:rsid w:val="006B186A"/>
    <w:rsid w:val="006B7523"/>
    <w:rsid w:val="006C1265"/>
    <w:rsid w:val="006C4438"/>
    <w:rsid w:val="006E023C"/>
    <w:rsid w:val="006E46E7"/>
    <w:rsid w:val="006E5723"/>
    <w:rsid w:val="006F325B"/>
    <w:rsid w:val="00700C4C"/>
    <w:rsid w:val="0070337C"/>
    <w:rsid w:val="00705801"/>
    <w:rsid w:val="00711B8A"/>
    <w:rsid w:val="0071607C"/>
    <w:rsid w:val="007207FD"/>
    <w:rsid w:val="00733A1C"/>
    <w:rsid w:val="00750338"/>
    <w:rsid w:val="007836D7"/>
    <w:rsid w:val="00791854"/>
    <w:rsid w:val="0079364E"/>
    <w:rsid w:val="007D0836"/>
    <w:rsid w:val="007D2E3A"/>
    <w:rsid w:val="007F0D2D"/>
    <w:rsid w:val="00805E16"/>
    <w:rsid w:val="00807178"/>
    <w:rsid w:val="00807B76"/>
    <w:rsid w:val="00815060"/>
    <w:rsid w:val="00821565"/>
    <w:rsid w:val="00823B94"/>
    <w:rsid w:val="008308F8"/>
    <w:rsid w:val="00834DCB"/>
    <w:rsid w:val="0084086F"/>
    <w:rsid w:val="008473E3"/>
    <w:rsid w:val="00847AE6"/>
    <w:rsid w:val="00852C32"/>
    <w:rsid w:val="0085797B"/>
    <w:rsid w:val="00862276"/>
    <w:rsid w:val="00864CE5"/>
    <w:rsid w:val="008765DA"/>
    <w:rsid w:val="0088348C"/>
    <w:rsid w:val="00891C31"/>
    <w:rsid w:val="00893CE8"/>
    <w:rsid w:val="008B1B74"/>
    <w:rsid w:val="008B2545"/>
    <w:rsid w:val="008B5CDF"/>
    <w:rsid w:val="008F0790"/>
    <w:rsid w:val="008F3689"/>
    <w:rsid w:val="00907DF9"/>
    <w:rsid w:val="00910314"/>
    <w:rsid w:val="0091374B"/>
    <w:rsid w:val="00917DB2"/>
    <w:rsid w:val="00920922"/>
    <w:rsid w:val="00921E48"/>
    <w:rsid w:val="00923C27"/>
    <w:rsid w:val="0093041E"/>
    <w:rsid w:val="00930B2E"/>
    <w:rsid w:val="009510C2"/>
    <w:rsid w:val="00961F76"/>
    <w:rsid w:val="00965215"/>
    <w:rsid w:val="00965FF2"/>
    <w:rsid w:val="00974A79"/>
    <w:rsid w:val="00983B71"/>
    <w:rsid w:val="00995EA9"/>
    <w:rsid w:val="009A47FE"/>
    <w:rsid w:val="009B003D"/>
    <w:rsid w:val="009B0FEB"/>
    <w:rsid w:val="009B4B50"/>
    <w:rsid w:val="009D2611"/>
    <w:rsid w:val="009F473A"/>
    <w:rsid w:val="009F7ADD"/>
    <w:rsid w:val="00A05AC1"/>
    <w:rsid w:val="00A30429"/>
    <w:rsid w:val="00A325FD"/>
    <w:rsid w:val="00A36879"/>
    <w:rsid w:val="00A40867"/>
    <w:rsid w:val="00A45CC3"/>
    <w:rsid w:val="00A579DC"/>
    <w:rsid w:val="00A57A50"/>
    <w:rsid w:val="00A71A16"/>
    <w:rsid w:val="00A72A60"/>
    <w:rsid w:val="00A7356D"/>
    <w:rsid w:val="00A75B2B"/>
    <w:rsid w:val="00A872FC"/>
    <w:rsid w:val="00A9230B"/>
    <w:rsid w:val="00A926CD"/>
    <w:rsid w:val="00A9790D"/>
    <w:rsid w:val="00A97DEE"/>
    <w:rsid w:val="00AA68D9"/>
    <w:rsid w:val="00AC2809"/>
    <w:rsid w:val="00AC45C4"/>
    <w:rsid w:val="00AC6DFB"/>
    <w:rsid w:val="00AD165F"/>
    <w:rsid w:val="00AD49F0"/>
    <w:rsid w:val="00AE53FD"/>
    <w:rsid w:val="00AF0B01"/>
    <w:rsid w:val="00AF125A"/>
    <w:rsid w:val="00B04508"/>
    <w:rsid w:val="00B050B2"/>
    <w:rsid w:val="00B077CF"/>
    <w:rsid w:val="00B176F8"/>
    <w:rsid w:val="00B20382"/>
    <w:rsid w:val="00B34166"/>
    <w:rsid w:val="00B343FC"/>
    <w:rsid w:val="00B34CA9"/>
    <w:rsid w:val="00B36F35"/>
    <w:rsid w:val="00B4132C"/>
    <w:rsid w:val="00B42456"/>
    <w:rsid w:val="00B50359"/>
    <w:rsid w:val="00B5509D"/>
    <w:rsid w:val="00B5641A"/>
    <w:rsid w:val="00B60432"/>
    <w:rsid w:val="00B62154"/>
    <w:rsid w:val="00B706FC"/>
    <w:rsid w:val="00B75C5F"/>
    <w:rsid w:val="00B80AFA"/>
    <w:rsid w:val="00B94112"/>
    <w:rsid w:val="00BA55A6"/>
    <w:rsid w:val="00BA57D5"/>
    <w:rsid w:val="00BD14FF"/>
    <w:rsid w:val="00BD5588"/>
    <w:rsid w:val="00BD720C"/>
    <w:rsid w:val="00BE37D4"/>
    <w:rsid w:val="00BF029E"/>
    <w:rsid w:val="00BF26DE"/>
    <w:rsid w:val="00BF2923"/>
    <w:rsid w:val="00BF2DC8"/>
    <w:rsid w:val="00BF416C"/>
    <w:rsid w:val="00BF76D8"/>
    <w:rsid w:val="00C04E08"/>
    <w:rsid w:val="00C22C17"/>
    <w:rsid w:val="00C238B2"/>
    <w:rsid w:val="00C23B13"/>
    <w:rsid w:val="00C377FC"/>
    <w:rsid w:val="00C434D1"/>
    <w:rsid w:val="00C477DB"/>
    <w:rsid w:val="00C52858"/>
    <w:rsid w:val="00C54FA5"/>
    <w:rsid w:val="00C86E15"/>
    <w:rsid w:val="00C94B05"/>
    <w:rsid w:val="00C96215"/>
    <w:rsid w:val="00CA4438"/>
    <w:rsid w:val="00CA5758"/>
    <w:rsid w:val="00CB6A98"/>
    <w:rsid w:val="00CB7ABA"/>
    <w:rsid w:val="00CE63B7"/>
    <w:rsid w:val="00CE65BF"/>
    <w:rsid w:val="00CF3579"/>
    <w:rsid w:val="00D06ABA"/>
    <w:rsid w:val="00D10ADF"/>
    <w:rsid w:val="00D14D05"/>
    <w:rsid w:val="00D32D60"/>
    <w:rsid w:val="00D56D89"/>
    <w:rsid w:val="00D6051A"/>
    <w:rsid w:val="00D607CD"/>
    <w:rsid w:val="00D61349"/>
    <w:rsid w:val="00D709FE"/>
    <w:rsid w:val="00D743E3"/>
    <w:rsid w:val="00D80C22"/>
    <w:rsid w:val="00D84DDB"/>
    <w:rsid w:val="00D87557"/>
    <w:rsid w:val="00D91DEC"/>
    <w:rsid w:val="00D956E6"/>
    <w:rsid w:val="00D97B3E"/>
    <w:rsid w:val="00DA2339"/>
    <w:rsid w:val="00DA364A"/>
    <w:rsid w:val="00DB07E2"/>
    <w:rsid w:val="00DC580E"/>
    <w:rsid w:val="00DD1797"/>
    <w:rsid w:val="00DD4D6D"/>
    <w:rsid w:val="00E0425C"/>
    <w:rsid w:val="00E06062"/>
    <w:rsid w:val="00E14184"/>
    <w:rsid w:val="00E43164"/>
    <w:rsid w:val="00E44472"/>
    <w:rsid w:val="00E50301"/>
    <w:rsid w:val="00E55EB6"/>
    <w:rsid w:val="00E6447D"/>
    <w:rsid w:val="00E64D28"/>
    <w:rsid w:val="00E72E4D"/>
    <w:rsid w:val="00E736D0"/>
    <w:rsid w:val="00E73E86"/>
    <w:rsid w:val="00E76707"/>
    <w:rsid w:val="00E807A5"/>
    <w:rsid w:val="00E83B8A"/>
    <w:rsid w:val="00E864C7"/>
    <w:rsid w:val="00E95659"/>
    <w:rsid w:val="00EA3507"/>
    <w:rsid w:val="00EC1235"/>
    <w:rsid w:val="00EC3488"/>
    <w:rsid w:val="00EC4728"/>
    <w:rsid w:val="00EC5630"/>
    <w:rsid w:val="00ED0C30"/>
    <w:rsid w:val="00F00945"/>
    <w:rsid w:val="00F02C0A"/>
    <w:rsid w:val="00F02D9F"/>
    <w:rsid w:val="00F05945"/>
    <w:rsid w:val="00F05EE7"/>
    <w:rsid w:val="00F14801"/>
    <w:rsid w:val="00F320AD"/>
    <w:rsid w:val="00F36697"/>
    <w:rsid w:val="00F46CA7"/>
    <w:rsid w:val="00F5530F"/>
    <w:rsid w:val="00F55436"/>
    <w:rsid w:val="00F56402"/>
    <w:rsid w:val="00F6596D"/>
    <w:rsid w:val="00F85EFC"/>
    <w:rsid w:val="00FA2BFE"/>
    <w:rsid w:val="00FA5F7E"/>
    <w:rsid w:val="00FB0F35"/>
    <w:rsid w:val="00FB19AD"/>
    <w:rsid w:val="00FB64FD"/>
    <w:rsid w:val="00FB79CA"/>
    <w:rsid w:val="00FD1399"/>
    <w:rsid w:val="00FD2AF9"/>
    <w:rsid w:val="00FE0977"/>
    <w:rsid w:val="00FF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046A2"/>
  <w15:docId w15:val="{193035F0-ECDD-4BA0-AA9B-464DD0094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B4245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D5588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D5588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BD5588"/>
    <w:rPr>
      <w:color w:val="0000FF"/>
      <w:u w:val="single"/>
    </w:rPr>
  </w:style>
  <w:style w:type="character" w:styleId="Strong">
    <w:name w:val="Strong"/>
    <w:qFormat/>
    <w:rsid w:val="00BE37D4"/>
    <w:rPr>
      <w:b/>
      <w:bCs/>
    </w:rPr>
  </w:style>
  <w:style w:type="paragraph" w:customStyle="1" w:styleId="naiskr">
    <w:name w:val="naiskr"/>
    <w:basedOn w:val="Normal"/>
    <w:uiPriority w:val="99"/>
    <w:rsid w:val="002C7D10"/>
    <w:pPr>
      <w:spacing w:before="75" w:after="75"/>
    </w:pPr>
  </w:style>
  <w:style w:type="paragraph" w:styleId="Header">
    <w:name w:val="header"/>
    <w:basedOn w:val="Normal"/>
    <w:link w:val="HeaderChar"/>
    <w:uiPriority w:val="99"/>
    <w:unhideWhenUsed/>
    <w:rsid w:val="004A2CC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2CC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4A2CC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2CC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0125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125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0125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5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5C4"/>
    <w:rPr>
      <w:rFonts w:ascii="Segoe UI" w:eastAsia="Times New Roman" w:hAnsi="Segoe UI" w:cs="Segoe UI"/>
      <w:sz w:val="18"/>
      <w:szCs w:val="18"/>
      <w:lang w:eastAsia="lv-LV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5EE7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6356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356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35646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56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5646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tvhtml">
    <w:name w:val="tv_html"/>
    <w:basedOn w:val="Normal"/>
    <w:rsid w:val="00507A01"/>
    <w:pPr>
      <w:spacing w:before="100" w:beforeAutospacing="1" w:after="100" w:afterAutospacing="1"/>
    </w:pPr>
  </w:style>
  <w:style w:type="paragraph" w:customStyle="1" w:styleId="tv213">
    <w:name w:val="tv213"/>
    <w:basedOn w:val="Normal"/>
    <w:rsid w:val="005E640E"/>
    <w:pPr>
      <w:spacing w:before="100" w:beforeAutospacing="1" w:after="100" w:afterAutospacing="1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F47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151D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A1BB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C4F0B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B42456"/>
    <w:rPr>
      <w:rFonts w:ascii="Times New Roman" w:eastAsia="Times New Roman" w:hAnsi="Times New Roman" w:cs="Times New Roman"/>
      <w:b/>
      <w:bCs/>
      <w:sz w:val="27"/>
      <w:szCs w:val="27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5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likumi.lv/ta/id/267915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likumi.lv/ta/id/314184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kase.gov.lv/)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ikumi.lv/ta/id/314184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kase.gov.lv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fm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190EE3E6F850B84E92D609FB7C396DB1" ma:contentTypeVersion="0" ma:contentTypeDescription="Izveidot jaunu dokumentu." ma:contentTypeScope="" ma:versionID="937d705f99936ee713bbc4290bd6ff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4db33db44e48f8f107466a912c3a54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971E4-CB5C-411F-9CC3-B1F51A17A5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22E6EE-4647-45F9-9462-B1DFDF454C34}">
  <ds:schemaRefs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E52C083-D0D2-4EC6-B8FC-EAE97130D82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AEE7CA-A8B9-4CC4-9D75-C89739D4E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4097</Words>
  <Characters>2336</Characters>
  <Application>Microsoft Office Word</Application>
  <DocSecurity>4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2014. gada 8. jūlija noteikumos Nr. 391 “Kārtība, kādā gadskārtējā valsts budžeta likumprojektā iekļauj pieprasījumus valsts vārdā sniedzamajiem galvojumiem, un galvojumu sniegšanas un uzraudzības kārtība"</vt:lpstr>
    </vt:vector>
  </TitlesOfParts>
  <Company>Valsts kase</Company>
  <LinksUpToDate>false</LinksUpToDate>
  <CharactersWithSpaces>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2014. gada 8. jūlija noteikumos Nr. 391 “Kārtība, kādā gadskārtējā valsts budžeta likumprojektā iekļauj pieprasījumus valsts vārdā sniedzamajiem galvojumiem, un galvojumu sniegšanas un uzraudzības kārtība"</dc:title>
  <dc:subject>Sākotnējās ietekmes novērtējuma ziņojums (anotācija)</dc:subject>
  <dc:creator>Sandra Stepiņa, Valsts kases Finansēšanas departamenta direktora vietniece</dc:creator>
  <dc:description>67094363, _x000d_
sandra.stepina@kase.gov.lv</dc:description>
  <cp:lastModifiedBy>Sandra Stepiņa</cp:lastModifiedBy>
  <cp:revision>2</cp:revision>
  <cp:lastPrinted>2019-09-10T05:59:00Z</cp:lastPrinted>
  <dcterms:created xsi:type="dcterms:W3CDTF">2021-01-20T16:11:00Z</dcterms:created>
  <dcterms:modified xsi:type="dcterms:W3CDTF">2021-01-20T16:11:00Z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0x010100190EE3E6F850B84E92D609FB7C396DB1</vt:lpwstr>
  </property>
</Properties>
</file>