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E3FA67" w14:textId="6F0205B1" w:rsidR="004437AB" w:rsidRPr="008B2448" w:rsidRDefault="004437AB" w:rsidP="004437AB">
      <w:pPr>
        <w:shd w:val="clear" w:color="auto" w:fill="FFFFFF"/>
        <w:spacing w:after="0" w:line="240" w:lineRule="auto"/>
        <w:jc w:val="center"/>
        <w:rPr>
          <w:rFonts w:ascii="Calibri" w:eastAsia="Times New Roman" w:hAnsi="Calibri" w:cs="Calibri"/>
          <w:color w:val="000000"/>
          <w:sz w:val="28"/>
          <w:szCs w:val="28"/>
          <w:lang w:eastAsia="lv-LV"/>
        </w:rPr>
      </w:pPr>
      <w:bookmarkStart w:id="0" w:name="_Hlk54710283"/>
      <w:r w:rsidRPr="008B2448">
        <w:rPr>
          <w:rFonts w:ascii="Times New Roman" w:eastAsia="Times New Roman" w:hAnsi="Times New Roman" w:cs="Times New Roman"/>
          <w:b/>
          <w:bCs/>
          <w:color w:val="000000"/>
          <w:spacing w:val="-2"/>
          <w:sz w:val="28"/>
          <w:szCs w:val="28"/>
          <w:lang w:eastAsia="lv-LV"/>
        </w:rPr>
        <w:t>Likumprojekta </w:t>
      </w:r>
      <w:r w:rsidR="00A94191" w:rsidRPr="008B2448">
        <w:rPr>
          <w:rFonts w:ascii="Times New Roman" w:eastAsia="Times New Roman" w:hAnsi="Times New Roman" w:cs="Times New Roman"/>
          <w:b/>
          <w:bCs/>
          <w:color w:val="000000"/>
          <w:spacing w:val="-2"/>
          <w:sz w:val="28"/>
          <w:szCs w:val="28"/>
          <w:lang w:eastAsia="lv-LV"/>
        </w:rPr>
        <w:t>"</w:t>
      </w:r>
      <w:r w:rsidRPr="008B2448">
        <w:rPr>
          <w:rFonts w:ascii="Times New Roman" w:eastAsia="Times New Roman" w:hAnsi="Times New Roman" w:cs="Times New Roman"/>
          <w:b/>
          <w:bCs/>
          <w:color w:val="000000"/>
          <w:spacing w:val="-2"/>
          <w:sz w:val="28"/>
          <w:szCs w:val="28"/>
          <w:lang w:eastAsia="lv-LV"/>
        </w:rPr>
        <w:t xml:space="preserve">Grozījumi </w:t>
      </w:r>
      <w:r w:rsidR="00510FD5" w:rsidRPr="008B2448">
        <w:rPr>
          <w:rFonts w:ascii="Times New Roman" w:eastAsia="Times New Roman" w:hAnsi="Times New Roman" w:cs="Times New Roman"/>
          <w:b/>
          <w:bCs/>
          <w:color w:val="000000"/>
          <w:spacing w:val="-2"/>
          <w:sz w:val="28"/>
          <w:szCs w:val="28"/>
          <w:lang w:eastAsia="lv-LV"/>
        </w:rPr>
        <w:t xml:space="preserve">likumā </w:t>
      </w:r>
      <w:r w:rsidR="00A94191" w:rsidRPr="008B2448">
        <w:rPr>
          <w:rFonts w:ascii="Times New Roman" w:eastAsia="Times New Roman" w:hAnsi="Times New Roman" w:cs="Times New Roman"/>
          <w:b/>
          <w:bCs/>
          <w:color w:val="000000"/>
          <w:spacing w:val="-2"/>
          <w:sz w:val="28"/>
          <w:szCs w:val="28"/>
          <w:lang w:eastAsia="lv-LV"/>
        </w:rPr>
        <w:t>"</w:t>
      </w:r>
      <w:r w:rsidR="00510FD5" w:rsidRPr="008B2448">
        <w:rPr>
          <w:rFonts w:ascii="Times New Roman" w:eastAsia="Times New Roman" w:hAnsi="Times New Roman" w:cs="Times New Roman"/>
          <w:b/>
          <w:bCs/>
          <w:color w:val="000000"/>
          <w:spacing w:val="-2"/>
          <w:sz w:val="28"/>
          <w:szCs w:val="28"/>
          <w:lang w:eastAsia="lv-LV"/>
        </w:rPr>
        <w:t>Par norēķinu galīgumu maksājumu un finanšu instrumentu norēķinu sistēmās</w:t>
      </w:r>
      <w:r w:rsidR="00A94191" w:rsidRPr="008B2448">
        <w:rPr>
          <w:rFonts w:ascii="Times New Roman" w:eastAsia="Times New Roman" w:hAnsi="Times New Roman" w:cs="Times New Roman"/>
          <w:b/>
          <w:bCs/>
          <w:color w:val="000000"/>
          <w:spacing w:val="-2"/>
          <w:sz w:val="28"/>
          <w:szCs w:val="28"/>
          <w:lang w:eastAsia="lv-LV"/>
        </w:rPr>
        <w:t>"" </w:t>
      </w:r>
      <w:r w:rsidRPr="008B2448">
        <w:rPr>
          <w:rFonts w:ascii="Times New Roman" w:eastAsia="Times New Roman" w:hAnsi="Times New Roman" w:cs="Times New Roman"/>
          <w:b/>
          <w:bCs/>
          <w:color w:val="000000"/>
          <w:spacing w:val="-2"/>
          <w:sz w:val="28"/>
          <w:szCs w:val="28"/>
          <w:lang w:eastAsia="lv-LV"/>
        </w:rPr>
        <w:t>sākotnējās ietekmes novērtējuma ziņojums (anotācija)</w:t>
      </w:r>
    </w:p>
    <w:bookmarkEnd w:id="0"/>
    <w:p w14:paraId="520A25F9" w14:textId="77777777" w:rsidR="004437AB" w:rsidRPr="004437AB" w:rsidRDefault="004437AB" w:rsidP="004437AB">
      <w:pPr>
        <w:shd w:val="clear" w:color="auto" w:fill="FFFFFF"/>
        <w:spacing w:after="0" w:line="240" w:lineRule="auto"/>
        <w:jc w:val="center"/>
        <w:rPr>
          <w:rFonts w:ascii="Calibri" w:eastAsia="Times New Roman" w:hAnsi="Calibri" w:cs="Calibri"/>
          <w:color w:val="000000"/>
          <w:lang w:eastAsia="lv-LV"/>
        </w:rPr>
      </w:pPr>
      <w:r w:rsidRPr="004437AB">
        <w:rPr>
          <w:rFonts w:ascii="Times New Roman" w:eastAsia="Times New Roman" w:hAnsi="Times New Roman" w:cs="Times New Roman"/>
          <w:b/>
          <w:bCs/>
          <w:color w:val="414142"/>
          <w:spacing w:val="-2"/>
          <w:sz w:val="28"/>
          <w:szCs w:val="28"/>
          <w:lang w:eastAsia="lv-LV"/>
        </w:rPr>
        <w:t> </w:t>
      </w:r>
    </w:p>
    <w:tbl>
      <w:tblPr>
        <w:tblW w:w="9350"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123"/>
        <w:gridCol w:w="7227"/>
      </w:tblGrid>
      <w:tr w:rsidR="004437AB" w:rsidRPr="004437AB" w14:paraId="6F7C93CC" w14:textId="77777777" w:rsidTr="004437AB">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A5F924D" w14:textId="77777777" w:rsidR="004437AB" w:rsidRPr="004437AB" w:rsidRDefault="004437AB" w:rsidP="004437AB">
            <w:pPr>
              <w:spacing w:after="0" w:line="240" w:lineRule="auto"/>
              <w:jc w:val="center"/>
              <w:rPr>
                <w:rFonts w:ascii="Calibri" w:eastAsia="Times New Roman" w:hAnsi="Calibri" w:cs="Calibri"/>
                <w:lang w:eastAsia="lv-LV"/>
              </w:rPr>
            </w:pPr>
            <w:r w:rsidRPr="004437AB">
              <w:rPr>
                <w:rFonts w:ascii="Times New Roman" w:eastAsia="Times New Roman" w:hAnsi="Times New Roman" w:cs="Times New Roman"/>
                <w:b/>
                <w:bCs/>
                <w:spacing w:val="-2"/>
                <w:sz w:val="24"/>
                <w:szCs w:val="24"/>
                <w:lang w:eastAsia="lv-LV"/>
              </w:rPr>
              <w:t>Tiesību akta projekta anotācijas kopsavilkums</w:t>
            </w:r>
          </w:p>
        </w:tc>
      </w:tr>
      <w:tr w:rsidR="004437AB" w:rsidRPr="004437AB" w14:paraId="0D7A1A64" w14:textId="77777777" w:rsidTr="004437AB">
        <w:trPr>
          <w:tblCellSpacing w:w="15" w:type="dxa"/>
        </w:trPr>
        <w:tc>
          <w:tcPr>
            <w:tcW w:w="11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193EF4AB" w14:textId="77777777" w:rsidR="004437AB" w:rsidRPr="004437AB" w:rsidRDefault="004437AB"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Mērķis, risinājums un projekta spēkā stāšanās laiks (500 zīmes bez atstarpēm)</w:t>
            </w:r>
          </w:p>
        </w:tc>
        <w:tc>
          <w:tcPr>
            <w:tcW w:w="38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03FB9757" w14:textId="3765F2DF" w:rsidR="001A2B9C" w:rsidRPr="0026605C" w:rsidRDefault="00CD1A23" w:rsidP="004437AB">
            <w:pPr>
              <w:spacing w:after="0" w:line="240" w:lineRule="auto"/>
              <w:jc w:val="both"/>
              <w:rPr>
                <w:rFonts w:ascii="Times New Roman" w:hAnsi="Times New Roman" w:cs="Times New Roman"/>
                <w:spacing w:val="-2"/>
                <w:sz w:val="24"/>
                <w:szCs w:val="24"/>
                <w:shd w:val="clear" w:color="auto" w:fill="FFFFFF"/>
              </w:rPr>
            </w:pPr>
            <w:r w:rsidRPr="0026605C">
              <w:rPr>
                <w:rFonts w:ascii="Times New Roman" w:hAnsi="Times New Roman" w:cs="Times New Roman"/>
                <w:sz w:val="24"/>
                <w:szCs w:val="24"/>
                <w:shd w:val="clear" w:color="auto" w:fill="FFFFFF"/>
              </w:rPr>
              <w:t xml:space="preserve">Likumprojekts </w:t>
            </w:r>
            <w:r w:rsidR="00780740">
              <w:rPr>
                <w:rFonts w:ascii="Times New Roman" w:hAnsi="Times New Roman" w:cs="Times New Roman"/>
                <w:sz w:val="24"/>
                <w:szCs w:val="24"/>
                <w:shd w:val="clear" w:color="auto" w:fill="FFFFFF"/>
              </w:rPr>
              <w:t>"</w:t>
            </w:r>
            <w:r w:rsidR="00510FD5" w:rsidRPr="00510FD5">
              <w:rPr>
                <w:rFonts w:ascii="Times New Roman" w:hAnsi="Times New Roman" w:cs="Times New Roman"/>
                <w:sz w:val="24"/>
                <w:szCs w:val="24"/>
                <w:shd w:val="clear" w:color="auto" w:fill="FFFFFF"/>
              </w:rPr>
              <w:t xml:space="preserve">Grozījumi likumā </w:t>
            </w:r>
            <w:r w:rsidR="00780740">
              <w:rPr>
                <w:rFonts w:ascii="Times New Roman" w:hAnsi="Times New Roman" w:cs="Times New Roman"/>
                <w:sz w:val="24"/>
                <w:szCs w:val="24"/>
                <w:shd w:val="clear" w:color="auto" w:fill="FFFFFF"/>
              </w:rPr>
              <w:t>"</w:t>
            </w:r>
            <w:r w:rsidR="00510FD5" w:rsidRPr="00510FD5">
              <w:rPr>
                <w:rFonts w:ascii="Times New Roman" w:hAnsi="Times New Roman" w:cs="Times New Roman"/>
                <w:sz w:val="24"/>
                <w:szCs w:val="24"/>
                <w:shd w:val="clear" w:color="auto" w:fill="FFFFFF"/>
              </w:rPr>
              <w:t>Par norēķinu galīgumu maksājumu un finanšu instrumentu norēķinu sistēmās</w:t>
            </w:r>
            <w:r w:rsidR="00780740">
              <w:rPr>
                <w:rFonts w:ascii="Times New Roman" w:hAnsi="Times New Roman" w:cs="Times New Roman"/>
                <w:sz w:val="24"/>
                <w:szCs w:val="24"/>
                <w:shd w:val="clear" w:color="auto" w:fill="FFFFFF"/>
              </w:rPr>
              <w:t>""</w:t>
            </w:r>
            <w:r w:rsidR="00780740" w:rsidRPr="0026605C">
              <w:rPr>
                <w:rFonts w:ascii="Times New Roman" w:hAnsi="Times New Roman" w:cs="Times New Roman"/>
                <w:sz w:val="24"/>
                <w:szCs w:val="24"/>
                <w:shd w:val="clear" w:color="auto" w:fill="FFFFFF"/>
              </w:rPr>
              <w:t xml:space="preserve"> </w:t>
            </w:r>
            <w:r w:rsidR="00BE14B3">
              <w:rPr>
                <w:rFonts w:ascii="Times New Roman" w:hAnsi="Times New Roman" w:cs="Times New Roman"/>
                <w:sz w:val="24"/>
                <w:szCs w:val="24"/>
                <w:shd w:val="clear" w:color="auto" w:fill="FFFFFF"/>
              </w:rPr>
              <w:t xml:space="preserve">(turpmāk – Likumprojekts) </w:t>
            </w:r>
            <w:r w:rsidRPr="0026605C">
              <w:rPr>
                <w:rFonts w:ascii="Times New Roman" w:hAnsi="Times New Roman" w:cs="Times New Roman"/>
                <w:spacing w:val="-2"/>
                <w:sz w:val="24"/>
                <w:szCs w:val="24"/>
                <w:shd w:val="clear" w:color="auto" w:fill="FFFFFF"/>
              </w:rPr>
              <w:t>tiek virzīts</w:t>
            </w:r>
            <w:r w:rsidR="00C33E4E">
              <w:rPr>
                <w:rFonts w:ascii="Times New Roman" w:hAnsi="Times New Roman" w:cs="Times New Roman"/>
                <w:spacing w:val="-2"/>
                <w:sz w:val="24"/>
                <w:szCs w:val="24"/>
                <w:shd w:val="clear" w:color="auto" w:fill="FFFFFF"/>
              </w:rPr>
              <w:t xml:space="preserve"> izskatīšanai</w:t>
            </w:r>
            <w:r w:rsidRPr="0026605C">
              <w:rPr>
                <w:rFonts w:ascii="Times New Roman" w:hAnsi="Times New Roman" w:cs="Times New Roman"/>
                <w:spacing w:val="-2"/>
                <w:sz w:val="24"/>
                <w:szCs w:val="24"/>
                <w:shd w:val="clear" w:color="auto" w:fill="FFFFFF"/>
              </w:rPr>
              <w:t xml:space="preserve"> vienlaicīgi ar </w:t>
            </w:r>
            <w:r w:rsidR="00780740">
              <w:rPr>
                <w:rFonts w:ascii="Times New Roman" w:hAnsi="Times New Roman" w:cs="Times New Roman"/>
                <w:spacing w:val="-2"/>
                <w:sz w:val="24"/>
                <w:szCs w:val="24"/>
                <w:shd w:val="clear" w:color="auto" w:fill="FFFFFF"/>
              </w:rPr>
              <w:t>likumprojektu "</w:t>
            </w:r>
            <w:r w:rsidRPr="0026605C">
              <w:rPr>
                <w:rFonts w:ascii="Times New Roman" w:hAnsi="Times New Roman" w:cs="Times New Roman"/>
                <w:spacing w:val="-2"/>
                <w:sz w:val="24"/>
                <w:szCs w:val="24"/>
                <w:shd w:val="clear" w:color="auto" w:fill="FFFFFF"/>
              </w:rPr>
              <w:t xml:space="preserve">Latvijas </w:t>
            </w:r>
            <w:r w:rsidR="00780740">
              <w:rPr>
                <w:rFonts w:ascii="Times New Roman" w:hAnsi="Times New Roman" w:cs="Times New Roman"/>
                <w:spacing w:val="-2"/>
                <w:sz w:val="24"/>
                <w:szCs w:val="24"/>
                <w:shd w:val="clear" w:color="auto" w:fill="FFFFFF"/>
              </w:rPr>
              <w:t>B</w:t>
            </w:r>
            <w:r w:rsidR="00780740" w:rsidRPr="0026605C">
              <w:rPr>
                <w:rFonts w:ascii="Times New Roman" w:hAnsi="Times New Roman" w:cs="Times New Roman"/>
                <w:spacing w:val="-2"/>
                <w:sz w:val="24"/>
                <w:szCs w:val="24"/>
                <w:shd w:val="clear" w:color="auto" w:fill="FFFFFF"/>
              </w:rPr>
              <w:t xml:space="preserve">ankas </w:t>
            </w:r>
            <w:r w:rsidR="00234F79" w:rsidRPr="0026605C">
              <w:rPr>
                <w:rFonts w:ascii="Times New Roman" w:hAnsi="Times New Roman" w:cs="Times New Roman"/>
                <w:spacing w:val="-2"/>
                <w:sz w:val="24"/>
                <w:szCs w:val="24"/>
                <w:shd w:val="clear" w:color="auto" w:fill="FFFFFF"/>
              </w:rPr>
              <w:t>likum</w:t>
            </w:r>
            <w:r w:rsidR="00234F79">
              <w:rPr>
                <w:rFonts w:ascii="Times New Roman" w:hAnsi="Times New Roman" w:cs="Times New Roman"/>
                <w:spacing w:val="-2"/>
                <w:sz w:val="24"/>
                <w:szCs w:val="24"/>
                <w:shd w:val="clear" w:color="auto" w:fill="FFFFFF"/>
              </w:rPr>
              <w:t>s"</w:t>
            </w:r>
            <w:r w:rsidRPr="0026605C">
              <w:rPr>
                <w:rFonts w:ascii="Times New Roman" w:hAnsi="Times New Roman" w:cs="Times New Roman"/>
                <w:spacing w:val="-2"/>
                <w:sz w:val="24"/>
                <w:szCs w:val="24"/>
                <w:shd w:val="clear" w:color="auto" w:fill="FFFFFF"/>
              </w:rPr>
              <w:t>.</w:t>
            </w:r>
          </w:p>
          <w:p w14:paraId="10FE7F06" w14:textId="55A99289" w:rsidR="004D28B2" w:rsidRPr="00234F79" w:rsidRDefault="00CD1A23" w:rsidP="00763D2C">
            <w:pPr>
              <w:spacing w:after="0" w:line="240" w:lineRule="auto"/>
              <w:jc w:val="both"/>
              <w:rPr>
                <w:rFonts w:ascii="Times New Roman" w:eastAsia="Times New Roman" w:hAnsi="Times New Roman" w:cs="Times New Roman"/>
                <w:spacing w:val="-2"/>
                <w:sz w:val="24"/>
                <w:szCs w:val="24"/>
                <w:lang w:eastAsia="lv-LV"/>
              </w:rPr>
            </w:pPr>
            <w:r w:rsidRPr="0026605C">
              <w:rPr>
                <w:rFonts w:ascii="Times New Roman" w:hAnsi="Times New Roman" w:cs="Times New Roman"/>
                <w:spacing w:val="-2"/>
                <w:sz w:val="24"/>
                <w:szCs w:val="24"/>
                <w:shd w:val="clear" w:color="auto" w:fill="FFFFFF"/>
              </w:rPr>
              <w:t>Likumprojekta mērķis ir nodrošināt</w:t>
            </w:r>
            <w:r w:rsidR="0026605C">
              <w:rPr>
                <w:rFonts w:ascii="Times New Roman" w:hAnsi="Times New Roman" w:cs="Times New Roman"/>
                <w:spacing w:val="-2"/>
                <w:sz w:val="24"/>
                <w:szCs w:val="24"/>
                <w:shd w:val="clear" w:color="auto" w:fill="FFFFFF"/>
              </w:rPr>
              <w:t>, ka Finanšu un kapitāla tirgus komisijas</w:t>
            </w:r>
            <w:r w:rsidR="009807EA">
              <w:rPr>
                <w:rFonts w:ascii="Times New Roman" w:hAnsi="Times New Roman" w:cs="Times New Roman"/>
                <w:spacing w:val="-2"/>
                <w:sz w:val="24"/>
                <w:szCs w:val="24"/>
                <w:shd w:val="clear" w:color="auto" w:fill="FFFFFF"/>
              </w:rPr>
              <w:t xml:space="preserve"> (turpmāk – FKTK)</w:t>
            </w:r>
            <w:r w:rsidR="00831B38">
              <w:rPr>
                <w:rFonts w:ascii="Times New Roman" w:hAnsi="Times New Roman" w:cs="Times New Roman"/>
                <w:spacing w:val="-2"/>
                <w:sz w:val="24"/>
                <w:szCs w:val="24"/>
                <w:shd w:val="clear" w:color="auto" w:fill="FFFFFF"/>
              </w:rPr>
              <w:t xml:space="preserve"> </w:t>
            </w:r>
            <w:r w:rsidR="00234F79" w:rsidRPr="00234F79">
              <w:rPr>
                <w:rFonts w:ascii="Times New Roman" w:eastAsia="Times New Roman" w:hAnsi="Times New Roman" w:cs="Times New Roman"/>
                <w:spacing w:val="-2"/>
                <w:sz w:val="24"/>
                <w:szCs w:val="24"/>
                <w:lang w:eastAsia="lv-LV"/>
              </w:rPr>
              <w:t>pievienošanas rezultātā Latvijas</w:t>
            </w:r>
            <w:r w:rsidR="00831B38">
              <w:rPr>
                <w:rFonts w:ascii="Times New Roman" w:eastAsia="Times New Roman" w:hAnsi="Times New Roman" w:cs="Times New Roman"/>
                <w:spacing w:val="-2"/>
                <w:sz w:val="24"/>
                <w:szCs w:val="24"/>
                <w:lang w:eastAsia="lv-LV"/>
              </w:rPr>
              <w:t xml:space="preserve"> </w:t>
            </w:r>
            <w:r w:rsidR="00234F79" w:rsidRPr="00234F79">
              <w:rPr>
                <w:rFonts w:ascii="Times New Roman" w:eastAsia="Times New Roman" w:hAnsi="Times New Roman" w:cs="Times New Roman"/>
                <w:spacing w:val="-2"/>
                <w:sz w:val="24"/>
                <w:szCs w:val="24"/>
                <w:lang w:eastAsia="lv-LV"/>
              </w:rPr>
              <w:t>Banka</w:t>
            </w:r>
            <w:r w:rsidR="00831B38">
              <w:rPr>
                <w:rFonts w:ascii="Times New Roman" w:eastAsia="Times New Roman" w:hAnsi="Times New Roman" w:cs="Times New Roman"/>
                <w:spacing w:val="-2"/>
                <w:sz w:val="24"/>
                <w:szCs w:val="24"/>
                <w:lang w:eastAsia="lv-LV"/>
              </w:rPr>
              <w:t xml:space="preserve"> </w:t>
            </w:r>
            <w:r w:rsidR="00234F79" w:rsidRPr="00234F79">
              <w:rPr>
                <w:rFonts w:ascii="Times New Roman" w:eastAsia="Times New Roman" w:hAnsi="Times New Roman" w:cs="Times New Roman"/>
                <w:spacing w:val="-2"/>
                <w:sz w:val="24"/>
                <w:szCs w:val="24"/>
                <w:lang w:eastAsia="lv-LV"/>
              </w:rPr>
              <w:t xml:space="preserve">turpmāk pildīs likumā "Par norēķinu galīgumu maksājumu un finanšu instrumentu norēķinu sistēmās" FKTK noteiktos uzdevumus. </w:t>
            </w:r>
            <w:r w:rsidR="00234F79" w:rsidRPr="00763D2C">
              <w:rPr>
                <w:rFonts w:ascii="Times New Roman" w:eastAsia="Times New Roman" w:hAnsi="Times New Roman" w:cs="Times New Roman"/>
                <w:spacing w:val="-2"/>
                <w:sz w:val="24"/>
                <w:szCs w:val="24"/>
                <w:lang w:eastAsia="lv-LV"/>
              </w:rPr>
              <w:t>Ar grozījumiem vienlaikus tiek precizēta</w:t>
            </w:r>
            <w:r w:rsidR="008D1A39" w:rsidRPr="00554DC2">
              <w:rPr>
                <w:rFonts w:ascii="Times New Roman" w:eastAsia="Times New Roman" w:hAnsi="Times New Roman" w:cs="Times New Roman"/>
                <w:spacing w:val="-2"/>
                <w:sz w:val="24"/>
                <w:szCs w:val="24"/>
                <w:lang w:eastAsia="lv-LV"/>
              </w:rPr>
              <w:t>s prasības, kas attiecas uz maksājumu un finanšu instrumentu norēķinu sistēmām</w:t>
            </w:r>
            <w:r w:rsidR="00B51706">
              <w:rPr>
                <w:rFonts w:ascii="Times New Roman" w:eastAsia="Times New Roman" w:hAnsi="Times New Roman" w:cs="Times New Roman"/>
                <w:spacing w:val="-2"/>
                <w:sz w:val="24"/>
                <w:szCs w:val="24"/>
                <w:lang w:eastAsia="lv-LV"/>
              </w:rPr>
              <w:t xml:space="preserve"> (turpmāk – sistēma)</w:t>
            </w:r>
            <w:r w:rsidR="00234F79" w:rsidRPr="00763D2C">
              <w:rPr>
                <w:rFonts w:ascii="Times New Roman" w:eastAsia="Times New Roman" w:hAnsi="Times New Roman" w:cs="Times New Roman"/>
                <w:spacing w:val="-2"/>
                <w:sz w:val="24"/>
                <w:szCs w:val="24"/>
                <w:lang w:eastAsia="lv-LV"/>
              </w:rPr>
              <w:t>.</w:t>
            </w:r>
            <w:r w:rsidR="00234F79" w:rsidRPr="00234F79">
              <w:rPr>
                <w:rFonts w:ascii="Times New Roman" w:eastAsia="Times New Roman" w:hAnsi="Times New Roman" w:cs="Times New Roman"/>
                <w:spacing w:val="-2"/>
                <w:sz w:val="24"/>
                <w:szCs w:val="24"/>
                <w:lang w:eastAsia="lv-LV"/>
              </w:rPr>
              <w:t> </w:t>
            </w:r>
          </w:p>
          <w:p w14:paraId="3DFC273D" w14:textId="38966C3E" w:rsidR="004437AB" w:rsidRPr="004437AB" w:rsidRDefault="001A2B9C" w:rsidP="001A2B9C">
            <w:pPr>
              <w:spacing w:after="0" w:line="240" w:lineRule="auto"/>
              <w:jc w:val="both"/>
              <w:rPr>
                <w:rFonts w:ascii="Calibri" w:eastAsia="Times New Roman" w:hAnsi="Calibri" w:cs="Calibri"/>
                <w:lang w:eastAsia="lv-LV"/>
              </w:rPr>
            </w:pPr>
            <w:r w:rsidRPr="00997037">
              <w:rPr>
                <w:rFonts w:ascii="Times New Roman" w:eastAsia="Times New Roman" w:hAnsi="Times New Roman" w:cs="Times New Roman"/>
                <w:iCs/>
                <w:sz w:val="24"/>
                <w:szCs w:val="24"/>
                <w:lang w:eastAsia="lv-LV"/>
              </w:rPr>
              <w:t xml:space="preserve">Paredzēts, ka </w:t>
            </w:r>
            <w:r>
              <w:rPr>
                <w:rFonts w:ascii="Times New Roman" w:eastAsia="Times New Roman" w:hAnsi="Times New Roman" w:cs="Times New Roman"/>
                <w:iCs/>
                <w:sz w:val="24"/>
                <w:szCs w:val="24"/>
                <w:lang w:eastAsia="lv-LV"/>
              </w:rPr>
              <w:t xml:space="preserve">likums </w:t>
            </w:r>
            <w:r w:rsidR="00234F79">
              <w:rPr>
                <w:rFonts w:ascii="Times New Roman" w:eastAsia="Times New Roman" w:hAnsi="Times New Roman" w:cs="Times New Roman"/>
                <w:iCs/>
                <w:sz w:val="24"/>
                <w:szCs w:val="24"/>
                <w:lang w:eastAsia="lv-LV"/>
              </w:rPr>
              <w:t>"</w:t>
            </w:r>
            <w:r w:rsidR="00E80192" w:rsidRPr="00E80192">
              <w:rPr>
                <w:rFonts w:ascii="Times New Roman" w:eastAsia="Times New Roman" w:hAnsi="Times New Roman" w:cs="Times New Roman"/>
                <w:iCs/>
                <w:sz w:val="24"/>
                <w:szCs w:val="24"/>
                <w:lang w:eastAsia="lv-LV"/>
              </w:rPr>
              <w:t xml:space="preserve">Grozījumi likumā </w:t>
            </w:r>
            <w:r w:rsidR="00234F79">
              <w:rPr>
                <w:rFonts w:ascii="Times New Roman" w:eastAsia="Times New Roman" w:hAnsi="Times New Roman" w:cs="Times New Roman"/>
                <w:iCs/>
                <w:sz w:val="24"/>
                <w:szCs w:val="24"/>
                <w:lang w:eastAsia="lv-LV"/>
              </w:rPr>
              <w:t>"</w:t>
            </w:r>
            <w:r w:rsidR="00E80192" w:rsidRPr="00E80192">
              <w:rPr>
                <w:rFonts w:ascii="Times New Roman" w:eastAsia="Times New Roman" w:hAnsi="Times New Roman" w:cs="Times New Roman"/>
                <w:iCs/>
                <w:sz w:val="24"/>
                <w:szCs w:val="24"/>
                <w:lang w:eastAsia="lv-LV"/>
              </w:rPr>
              <w:t>Par norēķinu galīgumu maksājumu un finanšu instrumentu norēķinu sistēmās</w:t>
            </w:r>
            <w:r w:rsidR="00234F79">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stā</w:t>
            </w:r>
            <w:r w:rsidR="004A771C">
              <w:rPr>
                <w:rFonts w:ascii="Times New Roman" w:eastAsia="Times New Roman" w:hAnsi="Times New Roman" w:cs="Times New Roman"/>
                <w:iCs/>
                <w:sz w:val="24"/>
                <w:szCs w:val="24"/>
                <w:lang w:eastAsia="lv-LV"/>
              </w:rPr>
              <w:t>ja</w:t>
            </w:r>
            <w:r>
              <w:rPr>
                <w:rFonts w:ascii="Times New Roman" w:eastAsia="Times New Roman" w:hAnsi="Times New Roman" w:cs="Times New Roman"/>
                <w:iCs/>
                <w:sz w:val="24"/>
                <w:szCs w:val="24"/>
                <w:lang w:eastAsia="lv-LV"/>
              </w:rPr>
              <w:t xml:space="preserve">s spēkā vienlaicīgi ar </w:t>
            </w:r>
            <w:r w:rsidRPr="00997037">
              <w:rPr>
                <w:rFonts w:ascii="Times New Roman" w:eastAsia="Times New Roman" w:hAnsi="Times New Roman" w:cs="Times New Roman"/>
                <w:iCs/>
                <w:sz w:val="24"/>
                <w:szCs w:val="24"/>
                <w:lang w:eastAsia="lv-LV"/>
              </w:rPr>
              <w:t>Latvijas Bankas likum</w:t>
            </w:r>
            <w:r>
              <w:rPr>
                <w:rFonts w:ascii="Times New Roman" w:eastAsia="Times New Roman" w:hAnsi="Times New Roman" w:cs="Times New Roman"/>
                <w:iCs/>
                <w:sz w:val="24"/>
                <w:szCs w:val="24"/>
                <w:lang w:eastAsia="lv-LV"/>
              </w:rPr>
              <w:t>u</w:t>
            </w:r>
            <w:r w:rsidR="003939F3">
              <w:rPr>
                <w:rFonts w:ascii="Times New Roman" w:eastAsia="Times New Roman" w:hAnsi="Times New Roman" w:cs="Times New Roman"/>
                <w:iCs/>
                <w:sz w:val="24"/>
                <w:szCs w:val="24"/>
                <w:lang w:eastAsia="lv-LV"/>
              </w:rPr>
              <w:t xml:space="preserve"> 2023.gada 1.janvārī</w:t>
            </w:r>
            <w:r>
              <w:rPr>
                <w:rFonts w:ascii="Times New Roman" w:eastAsia="Times New Roman" w:hAnsi="Times New Roman" w:cs="Times New Roman"/>
                <w:iCs/>
                <w:sz w:val="24"/>
                <w:szCs w:val="24"/>
                <w:lang w:eastAsia="lv-LV"/>
              </w:rPr>
              <w:t>.</w:t>
            </w:r>
          </w:p>
        </w:tc>
      </w:tr>
    </w:tbl>
    <w:p w14:paraId="20532FE5" w14:textId="77777777" w:rsidR="004437AB" w:rsidRPr="004437AB" w:rsidRDefault="004437AB" w:rsidP="004437AB">
      <w:pPr>
        <w:shd w:val="clear" w:color="auto" w:fill="FFFFFF"/>
        <w:spacing w:after="0" w:line="240" w:lineRule="auto"/>
        <w:rPr>
          <w:rFonts w:ascii="Calibri" w:eastAsia="Times New Roman" w:hAnsi="Calibri" w:cs="Calibri"/>
          <w:color w:val="000000"/>
          <w:lang w:eastAsia="lv-LV"/>
        </w:rPr>
      </w:pPr>
      <w:r w:rsidRPr="004437AB">
        <w:rPr>
          <w:rFonts w:ascii="Times New Roman" w:eastAsia="Times New Roman" w:hAnsi="Times New Roman" w:cs="Times New Roman"/>
          <w:color w:val="000000"/>
          <w:spacing w:val="-2"/>
          <w:sz w:val="24"/>
          <w:szCs w:val="24"/>
          <w:lang w:eastAsia="lv-LV"/>
        </w:rPr>
        <w:t> </w:t>
      </w:r>
    </w:p>
    <w:tbl>
      <w:tblPr>
        <w:tblW w:w="9350"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26"/>
        <w:gridCol w:w="2027"/>
        <w:gridCol w:w="6897"/>
      </w:tblGrid>
      <w:tr w:rsidR="004437AB" w:rsidRPr="004437AB" w14:paraId="5176F10F" w14:textId="77777777" w:rsidTr="004437AB">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2611532" w14:textId="77777777" w:rsidR="004437AB" w:rsidRPr="004437AB" w:rsidRDefault="004437AB" w:rsidP="004437AB">
            <w:pPr>
              <w:spacing w:after="0" w:line="240" w:lineRule="auto"/>
              <w:jc w:val="center"/>
              <w:rPr>
                <w:rFonts w:ascii="Calibri" w:eastAsia="Times New Roman" w:hAnsi="Calibri" w:cs="Calibri"/>
                <w:lang w:eastAsia="lv-LV"/>
              </w:rPr>
            </w:pPr>
            <w:r w:rsidRPr="004437AB">
              <w:rPr>
                <w:rFonts w:ascii="Times New Roman" w:eastAsia="Times New Roman" w:hAnsi="Times New Roman" w:cs="Times New Roman"/>
                <w:b/>
                <w:bCs/>
                <w:spacing w:val="-2"/>
                <w:sz w:val="24"/>
                <w:szCs w:val="24"/>
                <w:lang w:eastAsia="lv-LV"/>
              </w:rPr>
              <w:t>I. Tiesību akta projekta izstrādes nepieciešamība</w:t>
            </w:r>
          </w:p>
        </w:tc>
      </w:tr>
      <w:tr w:rsidR="004437AB" w:rsidRPr="004437AB" w14:paraId="7DAF98F8" w14:textId="77777777" w:rsidTr="009807EA">
        <w:trPr>
          <w:tblCellSpacing w:w="15" w:type="dxa"/>
        </w:trPr>
        <w:tc>
          <w:tcPr>
            <w:tcW w:w="204"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B0ABABE" w14:textId="77777777" w:rsidR="004437AB" w:rsidRPr="004437AB" w:rsidRDefault="004437AB"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1.</w:t>
            </w:r>
          </w:p>
        </w:tc>
        <w:tc>
          <w:tcPr>
            <w:tcW w:w="1068"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45AAF340" w14:textId="77777777" w:rsidR="004437AB" w:rsidRPr="004437AB" w:rsidRDefault="004437AB"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Pamatojums</w:t>
            </w:r>
          </w:p>
        </w:tc>
        <w:tc>
          <w:tcPr>
            <w:tcW w:w="3664"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4A42AB20" w14:textId="408E0256" w:rsidR="000D77F9" w:rsidRPr="000D77F9" w:rsidRDefault="000D77F9" w:rsidP="000D77F9">
            <w:pPr>
              <w:spacing w:after="0" w:line="240" w:lineRule="auto"/>
              <w:jc w:val="both"/>
              <w:rPr>
                <w:rFonts w:ascii="Times New Roman" w:hAnsi="Times New Roman" w:cs="Times New Roman"/>
                <w:sz w:val="24"/>
                <w:szCs w:val="24"/>
                <w:shd w:val="clear" w:color="auto" w:fill="FFFFFF"/>
              </w:rPr>
            </w:pPr>
            <w:r w:rsidRPr="000D77F9">
              <w:rPr>
                <w:rFonts w:ascii="Times New Roman" w:hAnsi="Times New Roman" w:cs="Times New Roman"/>
                <w:sz w:val="24"/>
                <w:szCs w:val="24"/>
                <w:shd w:val="clear" w:color="auto" w:fill="FFFFFF"/>
              </w:rPr>
              <w:t xml:space="preserve">Likuma "Par Latvijas Banku" pārejas noteikumu 3. punkts nosaka, ka Ministru kabinets līdz 2020. gada 31. oktobrim iesniedz Saeimai likumprojektu, kurā nosaka Latvijas Bankas darbību un pārvaldes struktūru, paredzot FKTK pievienošanu Latvijas Bankai. Ievērojot likumdevēja noteikto uzdevumu, izstrādāts likumprojekts </w:t>
            </w:r>
            <w:r w:rsidR="00377D4B">
              <w:rPr>
                <w:rFonts w:ascii="Times New Roman" w:hAnsi="Times New Roman" w:cs="Times New Roman"/>
                <w:sz w:val="24"/>
                <w:szCs w:val="24"/>
                <w:shd w:val="clear" w:color="auto" w:fill="FFFFFF"/>
              </w:rPr>
              <w:t>"</w:t>
            </w:r>
            <w:r w:rsidRPr="000D77F9">
              <w:rPr>
                <w:rFonts w:ascii="Times New Roman" w:hAnsi="Times New Roman" w:cs="Times New Roman"/>
                <w:sz w:val="24"/>
                <w:szCs w:val="24"/>
                <w:shd w:val="clear" w:color="auto" w:fill="FFFFFF"/>
              </w:rPr>
              <w:t xml:space="preserve">Latvijas </w:t>
            </w:r>
            <w:r w:rsidR="00377D4B" w:rsidRPr="000D77F9">
              <w:rPr>
                <w:rFonts w:ascii="Times New Roman" w:hAnsi="Times New Roman" w:cs="Times New Roman"/>
                <w:sz w:val="24"/>
                <w:szCs w:val="24"/>
                <w:shd w:val="clear" w:color="auto" w:fill="FFFFFF"/>
              </w:rPr>
              <w:t>Bank</w:t>
            </w:r>
            <w:r w:rsidR="00377D4B">
              <w:rPr>
                <w:rFonts w:ascii="Times New Roman" w:hAnsi="Times New Roman" w:cs="Times New Roman"/>
                <w:sz w:val="24"/>
                <w:szCs w:val="24"/>
                <w:shd w:val="clear" w:color="auto" w:fill="FFFFFF"/>
              </w:rPr>
              <w:t>as likums</w:t>
            </w:r>
            <w:r w:rsidRPr="000D77F9">
              <w:rPr>
                <w:rFonts w:ascii="Times New Roman" w:hAnsi="Times New Roman" w:cs="Times New Roman"/>
                <w:sz w:val="24"/>
                <w:szCs w:val="24"/>
                <w:shd w:val="clear" w:color="auto" w:fill="FFFFFF"/>
              </w:rPr>
              <w:t>", kurš paredz</w:t>
            </w:r>
            <w:r w:rsidR="00377D4B" w:rsidRPr="00377D4B">
              <w:rPr>
                <w:rFonts w:ascii="Times New Roman" w:hAnsi="Times New Roman" w:cs="Times New Roman"/>
                <w:sz w:val="24"/>
                <w:szCs w:val="24"/>
                <w:shd w:val="clear" w:color="auto" w:fill="FFFFFF"/>
              </w:rPr>
              <w:t>, ka turpmāk Latvijas Banka veiks FKTK noteiktos uzdevumus</w:t>
            </w:r>
            <w:r w:rsidRPr="000D77F9">
              <w:rPr>
                <w:rFonts w:ascii="Times New Roman" w:hAnsi="Times New Roman" w:cs="Times New Roman"/>
                <w:sz w:val="24"/>
                <w:szCs w:val="24"/>
                <w:shd w:val="clear" w:color="auto" w:fill="FFFFFF"/>
              </w:rPr>
              <w:t>.</w:t>
            </w:r>
          </w:p>
          <w:p w14:paraId="7AABD266" w14:textId="77777777" w:rsidR="000D77F9" w:rsidRPr="000D77F9" w:rsidRDefault="000D77F9" w:rsidP="000D77F9">
            <w:pPr>
              <w:spacing w:after="0" w:line="240" w:lineRule="auto"/>
              <w:jc w:val="both"/>
              <w:rPr>
                <w:rFonts w:ascii="Times New Roman" w:hAnsi="Times New Roman" w:cs="Times New Roman"/>
                <w:sz w:val="24"/>
                <w:szCs w:val="24"/>
                <w:shd w:val="clear" w:color="auto" w:fill="FFFFFF"/>
              </w:rPr>
            </w:pPr>
          </w:p>
          <w:p w14:paraId="2CB382D9" w14:textId="6F978B05" w:rsidR="004437AB" w:rsidRPr="004437AB" w:rsidRDefault="000D77F9" w:rsidP="000D77F9">
            <w:pPr>
              <w:spacing w:after="0" w:line="240" w:lineRule="auto"/>
              <w:jc w:val="both"/>
              <w:rPr>
                <w:rFonts w:ascii="Calibri" w:eastAsia="Times New Roman" w:hAnsi="Calibri" w:cs="Calibri"/>
                <w:lang w:eastAsia="lv-LV"/>
              </w:rPr>
            </w:pPr>
            <w:r w:rsidRPr="000D77F9">
              <w:rPr>
                <w:rFonts w:ascii="Times New Roman" w:hAnsi="Times New Roman" w:cs="Times New Roman"/>
                <w:sz w:val="24"/>
                <w:szCs w:val="24"/>
                <w:shd w:val="clear" w:color="auto" w:fill="FFFFFF"/>
              </w:rPr>
              <w:t>Ņemot vērā minēto, ir nepieciešami</w:t>
            </w:r>
            <w:r w:rsidR="00377D4B">
              <w:rPr>
                <w:rFonts w:ascii="Times New Roman" w:hAnsi="Times New Roman" w:cs="Times New Roman"/>
                <w:sz w:val="24"/>
                <w:szCs w:val="24"/>
                <w:shd w:val="clear" w:color="auto" w:fill="FFFFFF"/>
              </w:rPr>
              <w:t xml:space="preserve"> arī</w:t>
            </w:r>
            <w:r w:rsidRPr="000D77F9">
              <w:rPr>
                <w:rFonts w:ascii="Times New Roman" w:hAnsi="Times New Roman" w:cs="Times New Roman"/>
                <w:sz w:val="24"/>
                <w:szCs w:val="24"/>
                <w:shd w:val="clear" w:color="auto" w:fill="FFFFFF"/>
              </w:rPr>
              <w:t xml:space="preserve"> atbilstoši grozījumi finanšu tirgus</w:t>
            </w:r>
            <w:r w:rsidR="008D1A39">
              <w:rPr>
                <w:rFonts w:ascii="Times New Roman" w:hAnsi="Times New Roman" w:cs="Times New Roman"/>
                <w:sz w:val="24"/>
                <w:szCs w:val="24"/>
                <w:shd w:val="clear" w:color="auto" w:fill="FFFFFF"/>
              </w:rPr>
              <w:t xml:space="preserve"> un tā</w:t>
            </w:r>
            <w:r w:rsidRPr="000D77F9">
              <w:rPr>
                <w:rFonts w:ascii="Times New Roman" w:hAnsi="Times New Roman" w:cs="Times New Roman"/>
                <w:sz w:val="24"/>
                <w:szCs w:val="24"/>
                <w:shd w:val="clear" w:color="auto" w:fill="FFFFFF"/>
              </w:rPr>
              <w:t xml:space="preserve"> dalībnieku darbības reglamentējošajos likumos, </w:t>
            </w:r>
            <w:r w:rsidR="008D1A39">
              <w:rPr>
                <w:rFonts w:ascii="Times New Roman" w:hAnsi="Times New Roman" w:cs="Times New Roman"/>
                <w:sz w:val="24"/>
                <w:szCs w:val="24"/>
                <w:shd w:val="clear" w:color="auto" w:fill="FFFFFF"/>
              </w:rPr>
              <w:t>kur noteikta FKTK kompetence</w:t>
            </w:r>
            <w:r w:rsidRPr="000D77F9">
              <w:rPr>
                <w:rFonts w:ascii="Times New Roman" w:hAnsi="Times New Roman" w:cs="Times New Roman"/>
                <w:sz w:val="24"/>
                <w:szCs w:val="24"/>
                <w:shd w:val="clear" w:color="auto" w:fill="FFFFFF"/>
              </w:rPr>
              <w:t>.</w:t>
            </w:r>
            <w:r w:rsidR="009807EA">
              <w:rPr>
                <w:rFonts w:ascii="Times New Roman" w:hAnsi="Times New Roman" w:cs="Times New Roman"/>
                <w:sz w:val="24"/>
                <w:szCs w:val="24"/>
                <w:shd w:val="clear" w:color="auto" w:fill="FFFFFF"/>
              </w:rPr>
              <w:t xml:space="preserve"> </w:t>
            </w:r>
          </w:p>
        </w:tc>
      </w:tr>
      <w:tr w:rsidR="004437AB" w:rsidRPr="004437AB" w14:paraId="35E809CD" w14:textId="77777777" w:rsidTr="003C5E66">
        <w:trPr>
          <w:trHeight w:val="1500"/>
          <w:tblCellSpacing w:w="15" w:type="dxa"/>
        </w:trPr>
        <w:tc>
          <w:tcPr>
            <w:tcW w:w="204"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48C4FA3" w14:textId="77777777" w:rsidR="004437AB" w:rsidRPr="004437AB" w:rsidRDefault="004437AB"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2.</w:t>
            </w:r>
          </w:p>
        </w:tc>
        <w:tc>
          <w:tcPr>
            <w:tcW w:w="1068"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25D80FA3" w14:textId="77777777" w:rsidR="004437AB" w:rsidRPr="004437AB" w:rsidRDefault="004437AB"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Pašreizējā situācija un problēmas, kuru risināšanai tiesību akta projekts izstrādāts, tiesiskā regulējuma mērķis un būtība</w:t>
            </w:r>
          </w:p>
          <w:p w14:paraId="6CDC9782" w14:textId="77777777" w:rsidR="004437AB" w:rsidRPr="004437AB" w:rsidRDefault="004437AB"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 </w:t>
            </w:r>
          </w:p>
          <w:p w14:paraId="65AD5860" w14:textId="77777777" w:rsidR="004437AB" w:rsidRPr="004437AB" w:rsidRDefault="004437AB"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 </w:t>
            </w:r>
          </w:p>
          <w:p w14:paraId="46244858" w14:textId="77777777" w:rsidR="004437AB" w:rsidRPr="004437AB" w:rsidRDefault="004437AB"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 </w:t>
            </w:r>
          </w:p>
          <w:p w14:paraId="43EABD6B" w14:textId="77777777" w:rsidR="004437AB" w:rsidRDefault="004437AB" w:rsidP="000F3D28">
            <w:pPr>
              <w:spacing w:after="0" w:line="240" w:lineRule="auto"/>
              <w:rPr>
                <w:rFonts w:ascii="Times New Roman" w:eastAsia="Times New Roman" w:hAnsi="Times New Roman" w:cs="Times New Roman"/>
                <w:spacing w:val="-2"/>
                <w:sz w:val="24"/>
                <w:szCs w:val="24"/>
                <w:lang w:eastAsia="lv-LV"/>
              </w:rPr>
            </w:pPr>
            <w:r w:rsidRPr="004437AB">
              <w:rPr>
                <w:rFonts w:ascii="Times New Roman" w:eastAsia="Times New Roman" w:hAnsi="Times New Roman" w:cs="Times New Roman"/>
                <w:spacing w:val="-2"/>
                <w:sz w:val="24"/>
                <w:szCs w:val="24"/>
                <w:lang w:eastAsia="lv-LV"/>
              </w:rPr>
              <w:t> </w:t>
            </w:r>
          </w:p>
          <w:p w14:paraId="6093E79A" w14:textId="77777777" w:rsidR="00AA66B5" w:rsidRPr="00AA66B5" w:rsidRDefault="00AA66B5" w:rsidP="00AA66B5">
            <w:pPr>
              <w:rPr>
                <w:rFonts w:ascii="Calibri" w:eastAsia="Times New Roman" w:hAnsi="Calibri" w:cs="Calibri"/>
                <w:lang w:eastAsia="lv-LV"/>
              </w:rPr>
            </w:pPr>
          </w:p>
          <w:p w14:paraId="2ACC6BCC" w14:textId="77777777" w:rsidR="00AA66B5" w:rsidRPr="00AA66B5" w:rsidRDefault="00AA66B5" w:rsidP="00AA66B5">
            <w:pPr>
              <w:rPr>
                <w:rFonts w:ascii="Calibri" w:eastAsia="Times New Roman" w:hAnsi="Calibri" w:cs="Calibri"/>
                <w:lang w:eastAsia="lv-LV"/>
              </w:rPr>
            </w:pPr>
          </w:p>
          <w:p w14:paraId="43D9FAA9" w14:textId="77777777" w:rsidR="00AA66B5" w:rsidRPr="00AA66B5" w:rsidRDefault="00AA66B5" w:rsidP="00AA66B5">
            <w:pPr>
              <w:rPr>
                <w:rFonts w:ascii="Calibri" w:eastAsia="Times New Roman" w:hAnsi="Calibri" w:cs="Calibri"/>
                <w:lang w:eastAsia="lv-LV"/>
              </w:rPr>
            </w:pPr>
          </w:p>
          <w:p w14:paraId="5B67FD55" w14:textId="77777777" w:rsidR="00AA66B5" w:rsidRPr="00AA66B5" w:rsidRDefault="00AA66B5" w:rsidP="00AA66B5">
            <w:pPr>
              <w:rPr>
                <w:rFonts w:ascii="Calibri" w:eastAsia="Times New Roman" w:hAnsi="Calibri" w:cs="Calibri"/>
                <w:lang w:eastAsia="lv-LV"/>
              </w:rPr>
            </w:pPr>
          </w:p>
          <w:p w14:paraId="0D37C6BE" w14:textId="77777777" w:rsidR="00AA66B5" w:rsidRPr="00AA66B5" w:rsidRDefault="00AA66B5" w:rsidP="00AA66B5">
            <w:pPr>
              <w:rPr>
                <w:rFonts w:ascii="Calibri" w:eastAsia="Times New Roman" w:hAnsi="Calibri" w:cs="Calibri"/>
                <w:lang w:eastAsia="lv-LV"/>
              </w:rPr>
            </w:pPr>
          </w:p>
          <w:p w14:paraId="5F8F5B69" w14:textId="77777777" w:rsidR="00AA66B5" w:rsidRDefault="00AA66B5" w:rsidP="00AA66B5">
            <w:pPr>
              <w:rPr>
                <w:rFonts w:ascii="Times New Roman" w:eastAsia="Times New Roman" w:hAnsi="Times New Roman" w:cs="Times New Roman"/>
                <w:spacing w:val="-2"/>
                <w:sz w:val="24"/>
                <w:szCs w:val="24"/>
                <w:lang w:eastAsia="lv-LV"/>
              </w:rPr>
            </w:pPr>
          </w:p>
          <w:p w14:paraId="78F84044" w14:textId="2FD027B0" w:rsidR="00AA66B5" w:rsidRPr="00AA66B5" w:rsidRDefault="00AA66B5" w:rsidP="00AA66B5">
            <w:pPr>
              <w:ind w:firstLine="720"/>
              <w:rPr>
                <w:rFonts w:ascii="Calibri" w:eastAsia="Times New Roman" w:hAnsi="Calibri" w:cs="Calibri"/>
                <w:lang w:eastAsia="lv-LV"/>
              </w:rPr>
            </w:pPr>
          </w:p>
        </w:tc>
        <w:tc>
          <w:tcPr>
            <w:tcW w:w="3664"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6500505F" w14:textId="3A54AAEB" w:rsidR="009807EA" w:rsidRPr="003C5E4A" w:rsidRDefault="007D3D10" w:rsidP="004542EA">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L</w:t>
            </w:r>
            <w:r w:rsidRPr="007D3D10">
              <w:rPr>
                <w:rFonts w:ascii="Times New Roman" w:eastAsia="Times New Roman" w:hAnsi="Times New Roman" w:cs="Times New Roman"/>
                <w:iCs/>
                <w:sz w:val="24"/>
                <w:szCs w:val="24"/>
                <w:lang w:eastAsia="lv-LV"/>
              </w:rPr>
              <w:t>ikumā "Par norēķinu galīgumu maksājumu un finanšu instrumentu norēķinu sistēmās"</w:t>
            </w:r>
            <w:r w:rsidR="004542EA">
              <w:rPr>
                <w:rFonts w:ascii="Times New Roman" w:eastAsia="Times New Roman" w:hAnsi="Times New Roman" w:cs="Times New Roman"/>
                <w:iCs/>
                <w:sz w:val="24"/>
                <w:szCs w:val="24"/>
                <w:lang w:eastAsia="lv-LV"/>
              </w:rPr>
              <w:t xml:space="preserve"> (turpmāk – likums)</w:t>
            </w:r>
            <w:r w:rsidRPr="007D3D10">
              <w:rPr>
                <w:rFonts w:ascii="Times New Roman" w:eastAsia="Times New Roman" w:hAnsi="Times New Roman" w:cs="Times New Roman"/>
                <w:iCs/>
                <w:sz w:val="24"/>
                <w:szCs w:val="24"/>
                <w:lang w:eastAsia="lv-LV"/>
              </w:rPr>
              <w:t> noteikta</w:t>
            </w:r>
            <w:r w:rsidR="004542EA">
              <w:rPr>
                <w:rFonts w:ascii="Times New Roman" w:eastAsia="Times New Roman" w:hAnsi="Times New Roman" w:cs="Times New Roman"/>
                <w:iCs/>
                <w:sz w:val="24"/>
                <w:szCs w:val="24"/>
                <w:lang w:eastAsia="lv-LV"/>
              </w:rPr>
              <w:t xml:space="preserve"> </w:t>
            </w:r>
            <w:r w:rsidRPr="007D3D10">
              <w:rPr>
                <w:rFonts w:ascii="Times New Roman" w:eastAsia="Times New Roman" w:hAnsi="Times New Roman" w:cs="Times New Roman"/>
                <w:iCs/>
                <w:sz w:val="24"/>
                <w:szCs w:val="24"/>
                <w:lang w:eastAsia="lv-LV"/>
              </w:rPr>
              <w:t>FKTK kompetence attiecīgajā jomā, tādējādi atbilstoši likumprojektam "Latvijas Bankas likums" nepieciešams precizēt tās normas, kas turpmāk attieksies uz Latvijas Banku. </w:t>
            </w:r>
          </w:p>
          <w:p w14:paraId="4A0A102E" w14:textId="77777777" w:rsidR="007D3D10" w:rsidRPr="009807EA" w:rsidRDefault="007D3D10" w:rsidP="009807EA">
            <w:pPr>
              <w:spacing w:after="0" w:line="240" w:lineRule="auto"/>
              <w:jc w:val="both"/>
              <w:rPr>
                <w:rFonts w:ascii="Times New Roman" w:hAnsi="Times New Roman" w:cs="Times New Roman"/>
                <w:sz w:val="24"/>
                <w:szCs w:val="24"/>
                <w:shd w:val="clear" w:color="auto" w:fill="FFFFFF"/>
              </w:rPr>
            </w:pPr>
          </w:p>
          <w:p w14:paraId="519C77AB" w14:textId="6D158103" w:rsidR="008D1A39" w:rsidRPr="008D1A39" w:rsidRDefault="008D1A39" w:rsidP="008D1A39">
            <w:pPr>
              <w:spacing w:after="0" w:line="240" w:lineRule="auto"/>
              <w:jc w:val="both"/>
              <w:rPr>
                <w:rFonts w:ascii="Times New Roman" w:hAnsi="Times New Roman" w:cs="Times New Roman"/>
                <w:sz w:val="24"/>
                <w:szCs w:val="24"/>
                <w:shd w:val="clear" w:color="auto" w:fill="FFFFFF"/>
              </w:rPr>
            </w:pPr>
            <w:r w:rsidRPr="008D1A39">
              <w:rPr>
                <w:rFonts w:ascii="Times New Roman" w:hAnsi="Times New Roman" w:cs="Times New Roman"/>
                <w:sz w:val="24"/>
                <w:szCs w:val="24"/>
                <w:shd w:val="clear" w:color="auto" w:fill="FFFFFF"/>
              </w:rPr>
              <w:t>Likumprojekts regulē šādus jautājumus: </w:t>
            </w:r>
          </w:p>
          <w:p w14:paraId="6B535A4F" w14:textId="510BD940" w:rsidR="00EB7644" w:rsidRDefault="00EB7644" w:rsidP="004C0814">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[1] </w:t>
            </w:r>
            <w:r w:rsidR="00A27EC0" w:rsidRPr="00A27EC0">
              <w:rPr>
                <w:rFonts w:ascii="Times New Roman" w:hAnsi="Times New Roman" w:cs="Times New Roman"/>
                <w:sz w:val="24"/>
                <w:szCs w:val="24"/>
                <w:shd w:val="clear" w:color="auto" w:fill="FFFFFF"/>
              </w:rPr>
              <w:t>Likumprojekta 1. pants, atbilstoši juridiskās tehnikas prasībām un, lai nodrošinātu tiesību normu skaidrību, risina ar FKTK pievienošanu Latvijas Bankai nepieciešamās pārmaiņas likuma</w:t>
            </w:r>
            <w:r w:rsidR="00A27EC0">
              <w:rPr>
                <w:rFonts w:ascii="Times New Roman" w:hAnsi="Times New Roman" w:cs="Times New Roman"/>
                <w:sz w:val="24"/>
                <w:szCs w:val="24"/>
                <w:shd w:val="clear" w:color="auto" w:fill="FFFFFF"/>
              </w:rPr>
              <w:t xml:space="preserve"> </w:t>
            </w:r>
            <w:r w:rsidR="00A27EC0" w:rsidRPr="00A27EC0">
              <w:rPr>
                <w:rFonts w:ascii="Times New Roman" w:hAnsi="Times New Roman" w:cs="Times New Roman"/>
                <w:sz w:val="24"/>
                <w:szCs w:val="24"/>
                <w:shd w:val="clear" w:color="auto" w:fill="FFFFFF"/>
              </w:rPr>
              <w:t xml:space="preserve">tekstā. Minētie panti paredz </w:t>
            </w:r>
            <w:r w:rsidR="00A27EC0">
              <w:rPr>
                <w:rFonts w:ascii="Times New Roman" w:hAnsi="Times New Roman" w:cs="Times New Roman"/>
                <w:sz w:val="24"/>
                <w:szCs w:val="24"/>
                <w:shd w:val="clear" w:color="auto" w:fill="FFFFFF"/>
              </w:rPr>
              <w:t xml:space="preserve">likumā </w:t>
            </w:r>
            <w:r w:rsidR="00A27EC0" w:rsidRPr="00A27EC0">
              <w:rPr>
                <w:rFonts w:ascii="Times New Roman" w:hAnsi="Times New Roman" w:cs="Times New Roman"/>
                <w:sz w:val="24"/>
                <w:szCs w:val="24"/>
                <w:shd w:val="clear" w:color="auto" w:fill="FFFFFF"/>
              </w:rPr>
              <w:t>vārdus "Finanšu un kapitāla tirgus komisija" aizstāt ar vārdiem "Latvijas Banka"</w:t>
            </w:r>
            <w:r w:rsidR="00A27EC0">
              <w:rPr>
                <w:rFonts w:ascii="Times New Roman" w:hAnsi="Times New Roman" w:cs="Times New Roman"/>
                <w:sz w:val="24"/>
                <w:szCs w:val="24"/>
                <w:shd w:val="clear" w:color="auto" w:fill="FFFFFF"/>
              </w:rPr>
              <w:t>.</w:t>
            </w:r>
          </w:p>
          <w:p w14:paraId="426ACC14" w14:textId="47C4A489" w:rsidR="00550EC5" w:rsidRDefault="00550EC5" w:rsidP="004C0814">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[2] </w:t>
            </w:r>
            <w:r w:rsidR="00EA0C87">
              <w:rPr>
                <w:rFonts w:ascii="Times New Roman" w:hAnsi="Times New Roman" w:cs="Times New Roman"/>
                <w:sz w:val="24"/>
                <w:szCs w:val="24"/>
                <w:shd w:val="clear" w:color="auto" w:fill="FFFFFF"/>
              </w:rPr>
              <w:t>Likumprojekta 2</w:t>
            </w:r>
            <w:r w:rsidR="00EA0C87" w:rsidRPr="00A27EC0">
              <w:rPr>
                <w:rFonts w:ascii="Times New Roman" w:hAnsi="Times New Roman" w:cs="Times New Roman"/>
                <w:sz w:val="24"/>
                <w:szCs w:val="24"/>
                <w:shd w:val="clear" w:color="auto" w:fill="FFFFFF"/>
              </w:rPr>
              <w:t>. pants, lai nodrošinātu tiesību normu skaidrību</w:t>
            </w:r>
            <w:r w:rsidR="00EA0C87">
              <w:rPr>
                <w:rFonts w:ascii="Times New Roman" w:hAnsi="Times New Roman" w:cs="Times New Roman"/>
                <w:sz w:val="24"/>
                <w:szCs w:val="24"/>
                <w:shd w:val="clear" w:color="auto" w:fill="FFFFFF"/>
              </w:rPr>
              <w:t xml:space="preserve"> un vienotu terminoloģijas lietošanu ar Kredītiestāžu likumu, paredz vārdu "banka" aizstāt ar vārdu "kredītiestāde".</w:t>
            </w:r>
          </w:p>
          <w:p w14:paraId="5DE8F23C" w14:textId="4E9A45DD" w:rsidR="00EA0C87" w:rsidRDefault="00EA0C87" w:rsidP="004C0814">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[3] </w:t>
            </w:r>
            <w:r w:rsidR="00F926B5">
              <w:rPr>
                <w:rFonts w:ascii="Times New Roman" w:hAnsi="Times New Roman" w:cs="Times New Roman"/>
                <w:sz w:val="24"/>
                <w:szCs w:val="24"/>
                <w:shd w:val="clear" w:color="auto" w:fill="FFFFFF"/>
              </w:rPr>
              <w:t>Likumprojekta 3</w:t>
            </w:r>
            <w:r w:rsidR="00F926B5" w:rsidRPr="00A27EC0">
              <w:rPr>
                <w:rFonts w:ascii="Times New Roman" w:hAnsi="Times New Roman" w:cs="Times New Roman"/>
                <w:sz w:val="24"/>
                <w:szCs w:val="24"/>
                <w:shd w:val="clear" w:color="auto" w:fill="FFFFFF"/>
              </w:rPr>
              <w:t xml:space="preserve">. </w:t>
            </w:r>
            <w:r w:rsidR="00F926B5">
              <w:rPr>
                <w:rFonts w:ascii="Times New Roman" w:hAnsi="Times New Roman" w:cs="Times New Roman"/>
                <w:sz w:val="24"/>
                <w:szCs w:val="24"/>
                <w:shd w:val="clear" w:color="auto" w:fill="FFFFFF"/>
              </w:rPr>
              <w:t>p</w:t>
            </w:r>
            <w:r w:rsidR="00F926B5" w:rsidRPr="00A27EC0">
              <w:rPr>
                <w:rFonts w:ascii="Times New Roman" w:hAnsi="Times New Roman" w:cs="Times New Roman"/>
                <w:sz w:val="24"/>
                <w:szCs w:val="24"/>
                <w:shd w:val="clear" w:color="auto" w:fill="FFFFFF"/>
              </w:rPr>
              <w:t>ants</w:t>
            </w:r>
            <w:r w:rsidR="00737C07">
              <w:rPr>
                <w:rFonts w:ascii="Times New Roman" w:hAnsi="Times New Roman" w:cs="Times New Roman"/>
                <w:sz w:val="24"/>
                <w:szCs w:val="24"/>
                <w:shd w:val="clear" w:color="auto" w:fill="FFFFFF"/>
              </w:rPr>
              <w:t xml:space="preserve"> saistīts ar FKTK pievienošanu Latvijas Banka</w:t>
            </w:r>
            <w:r w:rsidR="00743AF6">
              <w:rPr>
                <w:rFonts w:ascii="Times New Roman" w:hAnsi="Times New Roman" w:cs="Times New Roman"/>
                <w:sz w:val="24"/>
                <w:szCs w:val="24"/>
                <w:shd w:val="clear" w:color="auto" w:fill="FFFFFF"/>
              </w:rPr>
              <w:t>i, jo vairs</w:t>
            </w:r>
            <w:r w:rsidR="00737C07">
              <w:rPr>
                <w:rFonts w:ascii="Times New Roman" w:hAnsi="Times New Roman" w:cs="Times New Roman"/>
                <w:sz w:val="24"/>
                <w:szCs w:val="24"/>
                <w:shd w:val="clear" w:color="auto" w:fill="FFFFFF"/>
              </w:rPr>
              <w:t xml:space="preserve"> nebūs jānodala sistēmas, kuru darbību nodrošina Latvijas Banka, </w:t>
            </w:r>
            <w:r w:rsidR="009D12CB">
              <w:rPr>
                <w:rFonts w:ascii="Times New Roman" w:hAnsi="Times New Roman" w:cs="Times New Roman"/>
                <w:sz w:val="24"/>
                <w:szCs w:val="24"/>
                <w:shd w:val="clear" w:color="auto" w:fill="FFFFFF"/>
              </w:rPr>
              <w:t>un</w:t>
            </w:r>
            <w:r w:rsidR="00737C07">
              <w:rPr>
                <w:rFonts w:ascii="Times New Roman" w:hAnsi="Times New Roman" w:cs="Times New Roman"/>
                <w:sz w:val="24"/>
                <w:szCs w:val="24"/>
                <w:shd w:val="clear" w:color="auto" w:fill="FFFFFF"/>
              </w:rPr>
              <w:t xml:space="preserve"> sistēm</w:t>
            </w:r>
            <w:r w:rsidR="009D12CB">
              <w:rPr>
                <w:rFonts w:ascii="Times New Roman" w:hAnsi="Times New Roman" w:cs="Times New Roman"/>
                <w:sz w:val="24"/>
                <w:szCs w:val="24"/>
                <w:shd w:val="clear" w:color="auto" w:fill="FFFFFF"/>
              </w:rPr>
              <w:t>as</w:t>
            </w:r>
            <w:r w:rsidR="00737C07">
              <w:rPr>
                <w:rFonts w:ascii="Times New Roman" w:hAnsi="Times New Roman" w:cs="Times New Roman"/>
                <w:sz w:val="24"/>
                <w:szCs w:val="24"/>
                <w:shd w:val="clear" w:color="auto" w:fill="FFFFFF"/>
              </w:rPr>
              <w:t>, kuras par tādām atzinusi FKTK</w:t>
            </w:r>
            <w:r w:rsidR="00743AF6">
              <w:rPr>
                <w:rFonts w:ascii="Times New Roman" w:hAnsi="Times New Roman" w:cs="Times New Roman"/>
                <w:sz w:val="24"/>
                <w:szCs w:val="24"/>
                <w:shd w:val="clear" w:color="auto" w:fill="FFFFFF"/>
              </w:rPr>
              <w:t xml:space="preserve">. Turpmāk </w:t>
            </w:r>
            <w:r w:rsidR="00743AF6">
              <w:rPr>
                <w:rFonts w:ascii="Times New Roman" w:hAnsi="Times New Roman" w:cs="Times New Roman"/>
                <w:sz w:val="24"/>
                <w:szCs w:val="24"/>
                <w:shd w:val="clear" w:color="auto" w:fill="FFFFFF"/>
              </w:rPr>
              <w:lastRenderedPageBreak/>
              <w:t xml:space="preserve">Latvijas Banka informēs </w:t>
            </w:r>
            <w:r w:rsidR="00743AF6" w:rsidRPr="00743AF6">
              <w:rPr>
                <w:rFonts w:ascii="Times New Roman" w:hAnsi="Times New Roman" w:cs="Times New Roman"/>
                <w:sz w:val="24"/>
                <w:szCs w:val="24"/>
                <w:shd w:val="clear" w:color="auto" w:fill="FFFFFF"/>
              </w:rPr>
              <w:t>Eiropas Vērtspapīru un tirgu iestādi</w:t>
            </w:r>
            <w:r w:rsidR="00743AF6">
              <w:rPr>
                <w:rFonts w:ascii="Times New Roman" w:hAnsi="Times New Roman" w:cs="Times New Roman"/>
                <w:sz w:val="24"/>
                <w:szCs w:val="24"/>
                <w:shd w:val="clear" w:color="auto" w:fill="FFFFFF"/>
              </w:rPr>
              <w:t xml:space="preserve"> par visām sistēmām, uz kurām attieksies </w:t>
            </w:r>
            <w:r w:rsidR="00743AF6" w:rsidRPr="00743AF6">
              <w:rPr>
                <w:rFonts w:ascii="Times New Roman" w:hAnsi="Times New Roman" w:cs="Times New Roman"/>
                <w:sz w:val="24"/>
                <w:szCs w:val="24"/>
                <w:shd w:val="clear" w:color="auto" w:fill="FFFFFF"/>
              </w:rPr>
              <w:t>likum</w:t>
            </w:r>
            <w:r w:rsidR="004542EA">
              <w:rPr>
                <w:rFonts w:ascii="Times New Roman" w:hAnsi="Times New Roman" w:cs="Times New Roman"/>
                <w:sz w:val="24"/>
                <w:szCs w:val="24"/>
                <w:shd w:val="clear" w:color="auto" w:fill="FFFFFF"/>
              </w:rPr>
              <w:t>ā noteiktais regulējums</w:t>
            </w:r>
            <w:r w:rsidR="00743AF6">
              <w:rPr>
                <w:rFonts w:ascii="Times New Roman" w:hAnsi="Times New Roman" w:cs="Times New Roman"/>
                <w:sz w:val="24"/>
                <w:szCs w:val="24"/>
                <w:shd w:val="clear" w:color="auto" w:fill="FFFFFF"/>
              </w:rPr>
              <w:t>.</w:t>
            </w:r>
          </w:p>
          <w:p w14:paraId="11646AC1" w14:textId="7996D85C" w:rsidR="00102152" w:rsidRDefault="00102152" w:rsidP="004C0814">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[4] </w:t>
            </w:r>
            <w:r w:rsidR="00040757">
              <w:rPr>
                <w:rFonts w:ascii="Times New Roman" w:hAnsi="Times New Roman" w:cs="Times New Roman"/>
                <w:sz w:val="24"/>
                <w:szCs w:val="24"/>
                <w:shd w:val="clear" w:color="auto" w:fill="FFFFFF"/>
              </w:rPr>
              <w:t>Likumprojekta 4</w:t>
            </w:r>
            <w:r w:rsidR="00040757" w:rsidRPr="00A27EC0">
              <w:rPr>
                <w:rFonts w:ascii="Times New Roman" w:hAnsi="Times New Roman" w:cs="Times New Roman"/>
                <w:sz w:val="24"/>
                <w:szCs w:val="24"/>
                <w:shd w:val="clear" w:color="auto" w:fill="FFFFFF"/>
              </w:rPr>
              <w:t xml:space="preserve">. </w:t>
            </w:r>
            <w:r w:rsidR="00040757">
              <w:rPr>
                <w:rFonts w:ascii="Times New Roman" w:hAnsi="Times New Roman" w:cs="Times New Roman"/>
                <w:sz w:val="24"/>
                <w:szCs w:val="24"/>
                <w:shd w:val="clear" w:color="auto" w:fill="FFFFFF"/>
              </w:rPr>
              <w:t>p</w:t>
            </w:r>
            <w:r w:rsidR="00040757" w:rsidRPr="00A27EC0">
              <w:rPr>
                <w:rFonts w:ascii="Times New Roman" w:hAnsi="Times New Roman" w:cs="Times New Roman"/>
                <w:sz w:val="24"/>
                <w:szCs w:val="24"/>
                <w:shd w:val="clear" w:color="auto" w:fill="FFFFFF"/>
              </w:rPr>
              <w:t>ants</w:t>
            </w:r>
            <w:r w:rsidR="00185AFF">
              <w:rPr>
                <w:rFonts w:ascii="Times New Roman" w:hAnsi="Times New Roman" w:cs="Times New Roman"/>
                <w:sz w:val="24"/>
                <w:szCs w:val="24"/>
                <w:shd w:val="clear" w:color="auto" w:fill="FFFFFF"/>
              </w:rPr>
              <w:t xml:space="preserve"> </w:t>
            </w:r>
            <w:r w:rsidR="00A8036B">
              <w:rPr>
                <w:rFonts w:ascii="Times New Roman" w:hAnsi="Times New Roman" w:cs="Times New Roman"/>
                <w:sz w:val="24"/>
                <w:szCs w:val="24"/>
                <w:shd w:val="clear" w:color="auto" w:fill="FFFFFF"/>
              </w:rPr>
              <w:t xml:space="preserve">atbilstoši turpmākajām likumprojektā ietvertajām pārmaiņām </w:t>
            </w:r>
            <w:r w:rsidR="00AA5064" w:rsidRPr="00DC10F0">
              <w:rPr>
                <w:rFonts w:ascii="Times New Roman" w:hAnsi="Times New Roman" w:cs="Times New Roman"/>
                <w:sz w:val="24"/>
                <w:szCs w:val="24"/>
                <w:shd w:val="clear" w:color="auto" w:fill="FFFFFF"/>
              </w:rPr>
              <w:t>precizē sistēmas noteikumos norādāmo prasību attiecībā uz sistēmas darbdienu</w:t>
            </w:r>
            <w:r w:rsidR="00A8036B">
              <w:rPr>
                <w:rFonts w:ascii="Times New Roman" w:hAnsi="Times New Roman" w:cs="Times New Roman"/>
                <w:sz w:val="24"/>
                <w:szCs w:val="24"/>
                <w:shd w:val="clear" w:color="auto" w:fill="FFFFFF"/>
              </w:rPr>
              <w:t>.</w:t>
            </w:r>
          </w:p>
          <w:p w14:paraId="6884A0B7" w14:textId="0F77126B" w:rsidR="00040757" w:rsidRDefault="00040757" w:rsidP="004C0814">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 Likumprojekta 5</w:t>
            </w:r>
            <w:r w:rsidRPr="00A27EC0">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p</w:t>
            </w:r>
            <w:r w:rsidRPr="00A27EC0">
              <w:rPr>
                <w:rFonts w:ascii="Times New Roman" w:hAnsi="Times New Roman" w:cs="Times New Roman"/>
                <w:sz w:val="24"/>
                <w:szCs w:val="24"/>
                <w:shd w:val="clear" w:color="auto" w:fill="FFFFFF"/>
              </w:rPr>
              <w:t>ant</w:t>
            </w:r>
            <w:r w:rsidR="00452E2F">
              <w:rPr>
                <w:rFonts w:ascii="Times New Roman" w:hAnsi="Times New Roman" w:cs="Times New Roman"/>
                <w:sz w:val="24"/>
                <w:szCs w:val="24"/>
                <w:shd w:val="clear" w:color="auto" w:fill="FFFFFF"/>
              </w:rPr>
              <w:t>ā tiek</w:t>
            </w:r>
            <w:r w:rsidR="0089784F">
              <w:rPr>
                <w:rFonts w:ascii="Times New Roman" w:hAnsi="Times New Roman" w:cs="Times New Roman"/>
                <w:sz w:val="24"/>
                <w:szCs w:val="24"/>
                <w:shd w:val="clear" w:color="auto" w:fill="FFFFFF"/>
              </w:rPr>
              <w:t xml:space="preserve"> precizē</w:t>
            </w:r>
            <w:r w:rsidR="00452E2F">
              <w:rPr>
                <w:rFonts w:ascii="Times New Roman" w:hAnsi="Times New Roman" w:cs="Times New Roman"/>
                <w:sz w:val="24"/>
                <w:szCs w:val="24"/>
                <w:shd w:val="clear" w:color="auto" w:fill="FFFFFF"/>
              </w:rPr>
              <w:t>ts</w:t>
            </w:r>
            <w:r w:rsidR="0089784F">
              <w:rPr>
                <w:rFonts w:ascii="Times New Roman" w:hAnsi="Times New Roman" w:cs="Times New Roman"/>
                <w:sz w:val="24"/>
                <w:szCs w:val="24"/>
                <w:shd w:val="clear" w:color="auto" w:fill="FFFFFF"/>
              </w:rPr>
              <w:t xml:space="preserve"> nodaļas nosaukum</w:t>
            </w:r>
            <w:r w:rsidR="00452E2F">
              <w:rPr>
                <w:rFonts w:ascii="Times New Roman" w:hAnsi="Times New Roman" w:cs="Times New Roman"/>
                <w:sz w:val="24"/>
                <w:szCs w:val="24"/>
                <w:shd w:val="clear" w:color="auto" w:fill="FFFFFF"/>
              </w:rPr>
              <w:t xml:space="preserve">s atbilstoši turpmākajos likumprojekta pantos veiktajām pārmaiņām. </w:t>
            </w:r>
          </w:p>
          <w:p w14:paraId="75415B91" w14:textId="6BD8BAD9" w:rsidR="00CC25CD" w:rsidRDefault="00040757" w:rsidP="004542EA">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 Likumprojekta 6</w:t>
            </w:r>
            <w:r w:rsidRPr="00A27EC0">
              <w:rPr>
                <w:rFonts w:ascii="Times New Roman" w:hAnsi="Times New Roman" w:cs="Times New Roman"/>
                <w:sz w:val="24"/>
                <w:szCs w:val="24"/>
                <w:shd w:val="clear" w:color="auto" w:fill="FFFFFF"/>
              </w:rPr>
              <w:t xml:space="preserve">. </w:t>
            </w:r>
            <w:r w:rsidR="00DC10F0">
              <w:rPr>
                <w:rFonts w:ascii="Times New Roman" w:hAnsi="Times New Roman" w:cs="Times New Roman"/>
                <w:sz w:val="24"/>
                <w:szCs w:val="24"/>
                <w:shd w:val="clear" w:color="auto" w:fill="FFFFFF"/>
              </w:rPr>
              <w:t>p</w:t>
            </w:r>
            <w:r w:rsidRPr="00A27EC0">
              <w:rPr>
                <w:rFonts w:ascii="Times New Roman" w:hAnsi="Times New Roman" w:cs="Times New Roman"/>
                <w:sz w:val="24"/>
                <w:szCs w:val="24"/>
                <w:shd w:val="clear" w:color="auto" w:fill="FFFFFF"/>
              </w:rPr>
              <w:t>ants</w:t>
            </w:r>
            <w:r>
              <w:rPr>
                <w:rFonts w:ascii="Times New Roman" w:hAnsi="Times New Roman" w:cs="Times New Roman"/>
                <w:sz w:val="24"/>
                <w:szCs w:val="24"/>
                <w:shd w:val="clear" w:color="auto" w:fill="FFFFFF"/>
              </w:rPr>
              <w:t xml:space="preserve"> </w:t>
            </w:r>
            <w:r w:rsidR="00DC10F0">
              <w:rPr>
                <w:rFonts w:ascii="Times New Roman" w:hAnsi="Times New Roman" w:cs="Times New Roman"/>
                <w:sz w:val="24"/>
                <w:szCs w:val="24"/>
                <w:shd w:val="clear" w:color="auto" w:fill="FFFFFF"/>
              </w:rPr>
              <w:t xml:space="preserve">paredz </w:t>
            </w:r>
            <w:r w:rsidR="00D14B45">
              <w:rPr>
                <w:rFonts w:ascii="Times New Roman" w:hAnsi="Times New Roman" w:cs="Times New Roman"/>
                <w:sz w:val="24"/>
                <w:szCs w:val="24"/>
                <w:shd w:val="clear" w:color="auto" w:fill="FFFFFF"/>
              </w:rPr>
              <w:t>izslēgt</w:t>
            </w:r>
            <w:r w:rsidR="00DC10F0" w:rsidRPr="00DC10F0">
              <w:rPr>
                <w:rFonts w:ascii="Times New Roman" w:hAnsi="Times New Roman" w:cs="Times New Roman"/>
                <w:sz w:val="24"/>
                <w:szCs w:val="24"/>
                <w:shd w:val="clear" w:color="auto" w:fill="FFFFFF"/>
              </w:rPr>
              <w:t xml:space="preserve"> norm</w:t>
            </w:r>
            <w:r w:rsidR="00FE0B3B">
              <w:rPr>
                <w:rFonts w:ascii="Times New Roman" w:hAnsi="Times New Roman" w:cs="Times New Roman"/>
                <w:sz w:val="24"/>
                <w:szCs w:val="24"/>
                <w:shd w:val="clear" w:color="auto" w:fill="FFFFFF"/>
              </w:rPr>
              <w:t>u</w:t>
            </w:r>
            <w:r w:rsidR="00DC10F0" w:rsidRPr="00DC10F0">
              <w:rPr>
                <w:rFonts w:ascii="Times New Roman" w:hAnsi="Times New Roman" w:cs="Times New Roman"/>
                <w:sz w:val="24"/>
                <w:szCs w:val="24"/>
                <w:shd w:val="clear" w:color="auto" w:fill="FFFFFF"/>
              </w:rPr>
              <w:t xml:space="preserve"> par sistēmas noteikumos iekļaujamo informāciju</w:t>
            </w:r>
            <w:r w:rsidR="00AA5064">
              <w:rPr>
                <w:rFonts w:ascii="Times New Roman" w:hAnsi="Times New Roman" w:cs="Times New Roman"/>
                <w:sz w:val="24"/>
                <w:szCs w:val="24"/>
                <w:shd w:val="clear" w:color="auto" w:fill="FFFFFF"/>
              </w:rPr>
              <w:t>,</w:t>
            </w:r>
            <w:r w:rsidR="00DC10F0" w:rsidRPr="00DC10F0">
              <w:rPr>
                <w:rFonts w:ascii="Times New Roman" w:hAnsi="Times New Roman" w:cs="Times New Roman"/>
                <w:sz w:val="24"/>
                <w:szCs w:val="24"/>
                <w:shd w:val="clear" w:color="auto" w:fill="FFFFFF"/>
              </w:rPr>
              <w:t xml:space="preserve"> </w:t>
            </w:r>
            <w:r w:rsidR="00D14B45">
              <w:rPr>
                <w:rFonts w:ascii="Times New Roman" w:hAnsi="Times New Roman" w:cs="Times New Roman"/>
                <w:sz w:val="24"/>
                <w:szCs w:val="24"/>
                <w:shd w:val="clear" w:color="auto" w:fill="FFFFFF"/>
              </w:rPr>
              <w:t xml:space="preserve">kā arī paredz izslēgt </w:t>
            </w:r>
            <w:r w:rsidR="00DC10F0" w:rsidRPr="00DC10F0">
              <w:rPr>
                <w:rFonts w:ascii="Times New Roman" w:hAnsi="Times New Roman" w:cs="Times New Roman"/>
                <w:sz w:val="24"/>
                <w:szCs w:val="24"/>
                <w:shd w:val="clear" w:color="auto" w:fill="FFFFFF"/>
              </w:rPr>
              <w:t>sistēmas uzturētāja pienākumu informēt par sistēmas noteikumiem vai grozījumiem tajos FKTK</w:t>
            </w:r>
            <w:r w:rsidR="00D14B45">
              <w:rPr>
                <w:rFonts w:ascii="Times New Roman" w:hAnsi="Times New Roman" w:cs="Times New Roman"/>
                <w:sz w:val="24"/>
                <w:szCs w:val="24"/>
                <w:shd w:val="clear" w:color="auto" w:fill="FFFFFF"/>
              </w:rPr>
              <w:t>.</w:t>
            </w:r>
          </w:p>
          <w:p w14:paraId="6018C7E0" w14:textId="7484FC6F" w:rsidR="00CC25CD" w:rsidRDefault="00CC25CD" w:rsidP="004542EA">
            <w:pPr>
              <w:spacing w:after="0" w:line="240" w:lineRule="auto"/>
              <w:jc w:val="both"/>
              <w:rPr>
                <w:rFonts w:ascii="Times New Roman" w:hAnsi="Times New Roman" w:cs="Times New Roman"/>
                <w:sz w:val="24"/>
                <w:szCs w:val="24"/>
                <w:shd w:val="clear" w:color="auto" w:fill="FFFFFF"/>
              </w:rPr>
            </w:pPr>
            <w:r w:rsidRPr="00CC25CD">
              <w:rPr>
                <w:rFonts w:ascii="Times New Roman" w:hAnsi="Times New Roman" w:cs="Times New Roman"/>
                <w:sz w:val="24"/>
                <w:szCs w:val="24"/>
                <w:shd w:val="clear" w:color="auto" w:fill="FFFFFF"/>
              </w:rPr>
              <w:t xml:space="preserve">Atsevišķs sistēmas noteikumos iekļaujamās informācijas uzskaitījums nav nepieciešams, jo daļa no izslēgtajām sistēmas noteikumu prasībām jau ir ietvertas citās šī likuma normās un citos tiesību aktos, turklāt Eiropas Parlamenta un Padomes 1998. gada 19. maija direktīvā </w:t>
            </w:r>
            <w:hyperlink r:id="rId11" w:tgtFrame="_blank" w:history="1">
              <w:r w:rsidRPr="005617E3">
                <w:rPr>
                  <w:rStyle w:val="Hyperlink"/>
                  <w:rFonts w:ascii="Times New Roman" w:hAnsi="Times New Roman" w:cs="Times New Roman"/>
                  <w:sz w:val="24"/>
                  <w:szCs w:val="24"/>
                  <w:u w:val="none"/>
                  <w:shd w:val="clear" w:color="auto" w:fill="FFFFFF"/>
                </w:rPr>
                <w:t>98/26/EK</w:t>
              </w:r>
            </w:hyperlink>
            <w:r w:rsidRPr="00CC25CD">
              <w:rPr>
                <w:rFonts w:ascii="Times New Roman" w:hAnsi="Times New Roman" w:cs="Times New Roman"/>
                <w:sz w:val="24"/>
                <w:szCs w:val="24"/>
                <w:shd w:val="clear" w:color="auto" w:fill="FFFFFF"/>
              </w:rPr>
              <w:t xml:space="preserve"> par norēķinu galīgumu maksājumu un vērtspapīru norēķinu sistēmās, kuras normas ir ieviestas šajā likumā, nav noteikta prasība ietvert nacionālajā likumā šādu normu.</w:t>
            </w:r>
          </w:p>
          <w:p w14:paraId="4A44F4B4" w14:textId="68150DAB" w:rsidR="009B5019" w:rsidRDefault="00CC25CD" w:rsidP="004542EA">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Izslēgtās </w:t>
            </w:r>
            <w:r w:rsidR="002A33A4">
              <w:rPr>
                <w:rFonts w:ascii="Times New Roman" w:hAnsi="Times New Roman" w:cs="Times New Roman"/>
                <w:sz w:val="24"/>
                <w:szCs w:val="24"/>
                <w:shd w:val="clear" w:color="auto" w:fill="FFFFFF"/>
              </w:rPr>
              <w:t>sistēmas noteikumu prasīb</w:t>
            </w:r>
            <w:r>
              <w:rPr>
                <w:rFonts w:ascii="Times New Roman" w:hAnsi="Times New Roman" w:cs="Times New Roman"/>
                <w:sz w:val="24"/>
                <w:szCs w:val="24"/>
                <w:shd w:val="clear" w:color="auto" w:fill="FFFFFF"/>
              </w:rPr>
              <w:t>as, kuras</w:t>
            </w:r>
            <w:r w:rsidR="002A33A4">
              <w:rPr>
                <w:rFonts w:ascii="Times New Roman" w:hAnsi="Times New Roman" w:cs="Times New Roman"/>
                <w:sz w:val="24"/>
                <w:szCs w:val="24"/>
                <w:shd w:val="clear" w:color="auto" w:fill="FFFFFF"/>
              </w:rPr>
              <w:t xml:space="preserve"> </w:t>
            </w:r>
            <w:r w:rsidR="00DC10F0" w:rsidRPr="00DC10F0">
              <w:rPr>
                <w:rFonts w:ascii="Times New Roman" w:hAnsi="Times New Roman" w:cs="Times New Roman"/>
                <w:sz w:val="24"/>
                <w:szCs w:val="24"/>
                <w:shd w:val="clear" w:color="auto" w:fill="FFFFFF"/>
              </w:rPr>
              <w:t>ietvertas citās šī likuma normās</w:t>
            </w:r>
            <w:r>
              <w:rPr>
                <w:rFonts w:ascii="Times New Roman" w:hAnsi="Times New Roman" w:cs="Times New Roman"/>
                <w:sz w:val="24"/>
                <w:szCs w:val="24"/>
                <w:shd w:val="clear" w:color="auto" w:fill="FFFFFF"/>
              </w:rPr>
              <w:t xml:space="preserve">: </w:t>
            </w:r>
            <w:r w:rsidR="005617E3">
              <w:rPr>
                <w:rFonts w:ascii="Times New Roman" w:eastAsia="Calibri" w:hAnsi="Times New Roman" w:cs="Times New Roman"/>
                <w:sz w:val="24"/>
                <w:szCs w:val="24"/>
              </w:rPr>
              <w:t>1</w:t>
            </w:r>
            <w:r w:rsidRPr="00E537D9">
              <w:rPr>
                <w:rFonts w:ascii="Times New Roman" w:eastAsia="Calibri" w:hAnsi="Times New Roman" w:cs="Times New Roman"/>
                <w:sz w:val="24"/>
                <w:szCs w:val="24"/>
              </w:rPr>
              <w:t>) pra</w:t>
            </w:r>
            <w:r w:rsidRPr="00CC25CD">
              <w:rPr>
                <w:rFonts w:ascii="Times New Roman" w:eastAsia="Calibri" w:hAnsi="Times New Roman" w:cs="Times New Roman"/>
                <w:sz w:val="24"/>
                <w:szCs w:val="24"/>
              </w:rPr>
              <w:t xml:space="preserve">sība noteikt valsti, saskaņā ar kuras likumiem darbojas sistēma, ietverta likuma 14. pantā; </w:t>
            </w:r>
            <w:r w:rsidR="005617E3">
              <w:rPr>
                <w:rFonts w:ascii="Times New Roman" w:eastAsia="Calibri" w:hAnsi="Times New Roman" w:cs="Times New Roman"/>
                <w:sz w:val="24"/>
                <w:szCs w:val="24"/>
              </w:rPr>
              <w:t>2</w:t>
            </w:r>
            <w:r w:rsidRPr="00CC25CD">
              <w:rPr>
                <w:rFonts w:ascii="Times New Roman" w:eastAsia="Calibri" w:hAnsi="Times New Roman" w:cs="Times New Roman"/>
                <w:sz w:val="24"/>
                <w:szCs w:val="24"/>
              </w:rPr>
              <w:t xml:space="preserve">) prasība noteikt brīdi, kad pārveduma rīkojums tiek ievadīts sistēmā, ietverta likuma 8. panta ceturtajā daļā; </w:t>
            </w:r>
            <w:r w:rsidR="005617E3">
              <w:rPr>
                <w:rFonts w:ascii="Times New Roman" w:eastAsia="Calibri" w:hAnsi="Times New Roman" w:cs="Times New Roman"/>
                <w:sz w:val="24"/>
                <w:szCs w:val="24"/>
              </w:rPr>
              <w:t>3</w:t>
            </w:r>
            <w:r w:rsidRPr="00CC25CD">
              <w:rPr>
                <w:rFonts w:ascii="Times New Roman" w:eastAsia="Calibri" w:hAnsi="Times New Roman" w:cs="Times New Roman"/>
                <w:sz w:val="24"/>
                <w:szCs w:val="24"/>
              </w:rPr>
              <w:t xml:space="preserve">) prasība noteikt brīdi, pēc kura dalībnieks vairs nevar vienpusēji atsaukt pārveduma rīkojumu, ietverta likuma 10. panta pirmajā daļā; </w:t>
            </w:r>
            <w:r w:rsidR="005617E3">
              <w:rPr>
                <w:rFonts w:ascii="Times New Roman" w:eastAsia="Calibri" w:hAnsi="Times New Roman" w:cs="Times New Roman"/>
                <w:sz w:val="24"/>
                <w:szCs w:val="24"/>
              </w:rPr>
              <w:t>4</w:t>
            </w:r>
            <w:r w:rsidRPr="00CC25CD">
              <w:rPr>
                <w:rFonts w:ascii="Times New Roman" w:eastAsia="Calibri" w:hAnsi="Times New Roman" w:cs="Times New Roman"/>
                <w:sz w:val="24"/>
                <w:szCs w:val="24"/>
              </w:rPr>
              <w:t xml:space="preserve">) prasība noteikt brīdi, kad pārveduma rīkojums ir neatsaucams un norēķins ir galīgs, ietverta likuma 10. panta trešajā daļā. </w:t>
            </w:r>
            <w:r>
              <w:rPr>
                <w:rFonts w:ascii="Times New Roman" w:hAnsi="Times New Roman" w:cs="Times New Roman"/>
                <w:sz w:val="24"/>
                <w:szCs w:val="24"/>
                <w:shd w:val="clear" w:color="auto" w:fill="FFFFFF"/>
              </w:rPr>
              <w:t>Savukārt likuma 7.</w:t>
            </w:r>
            <w:r>
              <w:rPr>
                <w:rFonts w:ascii="Times New Roman" w:hAnsi="Times New Roman" w:cs="Times New Roman"/>
                <w:sz w:val="24"/>
                <w:szCs w:val="24"/>
                <w:shd w:val="clear" w:color="auto" w:fill="FFFFFF"/>
                <w:vertAlign w:val="superscript"/>
              </w:rPr>
              <w:t>1</w:t>
            </w:r>
            <w:r>
              <w:rPr>
                <w:rFonts w:ascii="Times New Roman" w:hAnsi="Times New Roman" w:cs="Times New Roman"/>
                <w:sz w:val="24"/>
                <w:szCs w:val="24"/>
                <w:shd w:val="clear" w:color="auto" w:fill="FFFFFF"/>
              </w:rPr>
              <w:t xml:space="preserve"> pants paredz sistēmu uzturētājiem pienākumu sniegt Latvijas Bankai kā sistēmu pārraugam visu nepieciešamo informāciju, līdz ar to likums jau tagad Latvijas Bankai paredz iespēju pieprasīt iesniegt sistēmas noteikumus.</w:t>
            </w:r>
          </w:p>
          <w:p w14:paraId="41CBA8A1" w14:textId="35BA3F3A" w:rsidR="00574E7C" w:rsidRDefault="00CC25CD" w:rsidP="004542EA">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Citi tiesību akti, kur noteiktas </w:t>
            </w:r>
            <w:r w:rsidR="00DC10F0" w:rsidRPr="00DC10F0">
              <w:rPr>
                <w:rFonts w:ascii="Times New Roman" w:hAnsi="Times New Roman" w:cs="Times New Roman"/>
                <w:sz w:val="24"/>
                <w:szCs w:val="24"/>
                <w:shd w:val="clear" w:color="auto" w:fill="FFFFFF"/>
              </w:rPr>
              <w:t>prasības sistēmas noteikumiem un pienākum</w:t>
            </w:r>
            <w:r>
              <w:rPr>
                <w:rFonts w:ascii="Times New Roman" w:hAnsi="Times New Roman" w:cs="Times New Roman"/>
                <w:sz w:val="24"/>
                <w:szCs w:val="24"/>
                <w:shd w:val="clear" w:color="auto" w:fill="FFFFFF"/>
              </w:rPr>
              <w:t>s</w:t>
            </w:r>
            <w:r w:rsidR="00DC10F0" w:rsidRPr="00DC10F0">
              <w:rPr>
                <w:rFonts w:ascii="Times New Roman" w:hAnsi="Times New Roman" w:cs="Times New Roman"/>
                <w:sz w:val="24"/>
                <w:szCs w:val="24"/>
                <w:shd w:val="clear" w:color="auto" w:fill="FFFFFF"/>
              </w:rPr>
              <w:t xml:space="preserve"> par tiem informēt kompetentās iestādes</w:t>
            </w:r>
            <w:r>
              <w:rPr>
                <w:rFonts w:ascii="Times New Roman" w:hAnsi="Times New Roman" w:cs="Times New Roman"/>
                <w:sz w:val="24"/>
                <w:szCs w:val="24"/>
                <w:shd w:val="clear" w:color="auto" w:fill="FFFFFF"/>
              </w:rPr>
              <w:t xml:space="preserve">: 1) </w:t>
            </w:r>
            <w:r w:rsidR="00051369">
              <w:rPr>
                <w:rFonts w:ascii="Times New Roman" w:hAnsi="Times New Roman" w:cs="Times New Roman"/>
                <w:sz w:val="24"/>
                <w:szCs w:val="24"/>
                <w:shd w:val="clear" w:color="auto" w:fill="FFFFFF"/>
              </w:rPr>
              <w:t xml:space="preserve">finanšu instrumentu norēķinu sistēmām – </w:t>
            </w:r>
            <w:r w:rsidR="00DC10F0" w:rsidRPr="00DC10F0">
              <w:rPr>
                <w:rFonts w:ascii="Times New Roman" w:hAnsi="Times New Roman" w:cs="Times New Roman"/>
                <w:sz w:val="24"/>
                <w:szCs w:val="24"/>
                <w:shd w:val="clear" w:color="auto" w:fill="FFFFFF"/>
              </w:rPr>
              <w:t>Eiropas Parlamenta un Padomes  2014. gada 23. jūlija regula (ES) Nr. 909/2014 par vērtspapīru norēķinu uzlabošanu Eiropas Savienībā, centrālajiem vērtspapīru depozitārijiem un grozījumiem Direktīvās 98/26/EK un 2014/65/ES un Regulā (ES) Nr. 236/2012</w:t>
            </w:r>
            <w:r>
              <w:rPr>
                <w:rFonts w:ascii="Times New Roman" w:hAnsi="Times New Roman" w:cs="Times New Roman"/>
                <w:sz w:val="24"/>
                <w:szCs w:val="24"/>
                <w:shd w:val="clear" w:color="auto" w:fill="FFFFFF"/>
              </w:rPr>
              <w:t xml:space="preserve">; </w:t>
            </w:r>
            <w:r w:rsidRPr="00CC25CD">
              <w:rPr>
                <w:rFonts w:ascii="Times New Roman" w:eastAsia="Calibri" w:hAnsi="Times New Roman" w:cs="Times New Roman"/>
                <w:sz w:val="24"/>
                <w:szCs w:val="24"/>
              </w:rPr>
              <w:t>2) sistēmiski nozīmīgām maksājumu sistēmām – Eiropas Centrālās bankas 2014. gada 3. jūlija regula Nr. 795/2014 par sistēmiski nozīmīgu maksājumu sistēmu pārraudzību; 3) neliela apjoma maksājumu sistēmām – Eiropas Parlamenta un Padomes regula</w:t>
            </w:r>
            <w:r w:rsidRPr="00CC25CD">
              <w:rPr>
                <w:rFonts w:ascii="Times New Roman" w:eastAsia="Calibri" w:hAnsi="Times New Roman" w:cs="Times New Roman"/>
                <w:b/>
                <w:bCs/>
                <w:sz w:val="24"/>
                <w:szCs w:val="24"/>
              </w:rPr>
              <w:t xml:space="preserve"> </w:t>
            </w:r>
            <w:r w:rsidRPr="00CC25CD">
              <w:rPr>
                <w:rFonts w:ascii="Times New Roman" w:eastAsia="Calibri" w:hAnsi="Times New Roman" w:cs="Times New Roman"/>
                <w:sz w:val="24"/>
                <w:szCs w:val="24"/>
              </w:rPr>
              <w:t>2012. gada 14. marta regula (ES) Nr.</w:t>
            </w:r>
            <w:r>
              <w:rPr>
                <w:rFonts w:ascii="Times New Roman" w:eastAsia="Calibri" w:hAnsi="Times New Roman" w:cs="Times New Roman"/>
                <w:sz w:val="24"/>
                <w:szCs w:val="24"/>
              </w:rPr>
              <w:t> </w:t>
            </w:r>
            <w:r w:rsidRPr="00CC25CD">
              <w:rPr>
                <w:rFonts w:ascii="Times New Roman" w:eastAsia="Calibri" w:hAnsi="Times New Roman" w:cs="Times New Roman"/>
                <w:sz w:val="24"/>
                <w:szCs w:val="24"/>
              </w:rPr>
              <w:t>260/2012</w:t>
            </w:r>
            <w:r w:rsidRPr="00CC25CD">
              <w:rPr>
                <w:rFonts w:ascii="Times New Roman" w:eastAsia="Calibri" w:hAnsi="Times New Roman" w:cs="Times New Roman"/>
                <w:b/>
                <w:bCs/>
                <w:sz w:val="24"/>
                <w:szCs w:val="24"/>
              </w:rPr>
              <w:t xml:space="preserve"> </w:t>
            </w:r>
            <w:r w:rsidRPr="00CC25CD">
              <w:rPr>
                <w:rFonts w:ascii="Times New Roman" w:eastAsia="Calibri" w:hAnsi="Times New Roman" w:cs="Times New Roman"/>
                <w:sz w:val="24"/>
                <w:szCs w:val="24"/>
              </w:rPr>
              <w:t xml:space="preserve">ar ko nosaka tehniskās un darbības prasības kredīta pārvedumiem un tiešā debeta maksājumiem </w:t>
            </w:r>
            <w:proofErr w:type="spellStart"/>
            <w:r w:rsidRPr="00CC25CD">
              <w:rPr>
                <w:rFonts w:ascii="Times New Roman" w:eastAsia="Calibri" w:hAnsi="Times New Roman" w:cs="Times New Roman"/>
                <w:i/>
                <w:iCs/>
                <w:sz w:val="24"/>
                <w:szCs w:val="24"/>
              </w:rPr>
              <w:t>euro</w:t>
            </w:r>
            <w:proofErr w:type="spellEnd"/>
            <w:r w:rsidRPr="00CC25CD">
              <w:rPr>
                <w:rFonts w:ascii="Times New Roman" w:eastAsia="Calibri" w:hAnsi="Times New Roman" w:cs="Times New Roman"/>
                <w:sz w:val="24"/>
                <w:szCs w:val="24"/>
              </w:rPr>
              <w:t xml:space="preserve"> un groza Regulu (EK) Nr. 924/2009 un</w:t>
            </w:r>
            <w:r w:rsidRPr="00CC25CD">
              <w:rPr>
                <w:rFonts w:ascii="Times New Roman" w:eastAsia="Calibri" w:hAnsi="Times New Roman" w:cs="Times New Roman"/>
                <w:b/>
                <w:bCs/>
                <w:sz w:val="24"/>
                <w:szCs w:val="24"/>
              </w:rPr>
              <w:t xml:space="preserve"> </w:t>
            </w:r>
            <w:r w:rsidRPr="00CC25CD">
              <w:rPr>
                <w:rFonts w:ascii="Times New Roman" w:eastAsia="Calibri" w:hAnsi="Times New Roman" w:cs="Times New Roman"/>
                <w:sz w:val="24"/>
                <w:szCs w:val="24"/>
              </w:rPr>
              <w:t xml:space="preserve">Maksājumu pakalpojumu un elektroniskās naudas likums; 4) centrālajiem darījuma partneriem – Eiropas Parlamenta un Padomes 2012. gada 4. jūlija regula (ES) Nr. 648/2012 par </w:t>
            </w:r>
            <w:proofErr w:type="spellStart"/>
            <w:r w:rsidRPr="00CC25CD">
              <w:rPr>
                <w:rFonts w:ascii="Times New Roman" w:eastAsia="Calibri" w:hAnsi="Times New Roman" w:cs="Times New Roman"/>
                <w:sz w:val="24"/>
                <w:szCs w:val="24"/>
              </w:rPr>
              <w:t>ārpusbiržas</w:t>
            </w:r>
            <w:proofErr w:type="spellEnd"/>
            <w:r w:rsidRPr="00CC25CD">
              <w:rPr>
                <w:rFonts w:ascii="Times New Roman" w:eastAsia="Calibri" w:hAnsi="Times New Roman" w:cs="Times New Roman"/>
                <w:sz w:val="24"/>
                <w:szCs w:val="24"/>
              </w:rPr>
              <w:t xml:space="preserve"> atvasinātajiem instrumentiem, centrālajiem darījumu partneriem un darījumu reģistriem</w:t>
            </w:r>
            <w:r w:rsidR="00DC10F0" w:rsidRPr="00DC10F0">
              <w:rPr>
                <w:rFonts w:ascii="Times New Roman" w:hAnsi="Times New Roman" w:cs="Times New Roman"/>
                <w:sz w:val="24"/>
                <w:szCs w:val="24"/>
                <w:shd w:val="clear" w:color="auto" w:fill="FFFFFF"/>
              </w:rPr>
              <w:t>.</w:t>
            </w:r>
            <w:r w:rsidR="004542EA">
              <w:rPr>
                <w:rFonts w:ascii="Times New Roman" w:hAnsi="Times New Roman" w:cs="Times New Roman"/>
                <w:sz w:val="24"/>
                <w:szCs w:val="24"/>
                <w:shd w:val="clear" w:color="auto" w:fill="FFFFFF"/>
              </w:rPr>
              <w:t xml:space="preserve"> </w:t>
            </w:r>
          </w:p>
          <w:p w14:paraId="48E8765E" w14:textId="39B455A4" w:rsidR="0092120F" w:rsidRDefault="002E6B9F" w:rsidP="004C0814">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[7] Likumprojekta 7</w:t>
            </w:r>
            <w:r w:rsidRPr="00A27EC0">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p</w:t>
            </w:r>
            <w:r w:rsidRPr="00A27EC0">
              <w:rPr>
                <w:rFonts w:ascii="Times New Roman" w:hAnsi="Times New Roman" w:cs="Times New Roman"/>
                <w:sz w:val="24"/>
                <w:szCs w:val="24"/>
                <w:shd w:val="clear" w:color="auto" w:fill="FFFFFF"/>
              </w:rPr>
              <w:t>ants</w:t>
            </w:r>
            <w:r w:rsidR="00574E7C">
              <w:rPr>
                <w:rFonts w:ascii="Times New Roman" w:hAnsi="Times New Roman" w:cs="Times New Roman"/>
                <w:sz w:val="24"/>
                <w:szCs w:val="24"/>
                <w:shd w:val="clear" w:color="auto" w:fill="FFFFFF"/>
              </w:rPr>
              <w:t xml:space="preserve"> saistīts ar FKTK pievienošanu Latvijas Bankai</w:t>
            </w:r>
            <w:r w:rsidR="0092120F">
              <w:rPr>
                <w:rFonts w:ascii="Times New Roman" w:hAnsi="Times New Roman" w:cs="Times New Roman"/>
                <w:sz w:val="24"/>
                <w:szCs w:val="24"/>
                <w:shd w:val="clear" w:color="auto" w:fill="FFFFFF"/>
              </w:rPr>
              <w:t>, jo turpmāk</w:t>
            </w:r>
            <w:r w:rsidR="00051369">
              <w:rPr>
                <w:rFonts w:ascii="Times New Roman" w:hAnsi="Times New Roman" w:cs="Times New Roman"/>
                <w:sz w:val="24"/>
                <w:szCs w:val="24"/>
                <w:shd w:val="clear" w:color="auto" w:fill="FFFFFF"/>
              </w:rPr>
              <w:t xml:space="preserve"> Latvijas Banka noteiks sistēmas, kurām </w:t>
            </w:r>
            <w:r w:rsidR="00051369">
              <w:rPr>
                <w:rFonts w:ascii="Times New Roman" w:hAnsi="Times New Roman" w:cs="Times New Roman"/>
                <w:sz w:val="24"/>
                <w:szCs w:val="24"/>
                <w:shd w:val="clear" w:color="auto" w:fill="FFFFFF"/>
              </w:rPr>
              <w:lastRenderedPageBreak/>
              <w:t>piemērojamas šī likuma normas,</w:t>
            </w:r>
            <w:r w:rsidR="0092120F">
              <w:rPr>
                <w:rFonts w:ascii="Times New Roman" w:hAnsi="Times New Roman" w:cs="Times New Roman"/>
                <w:sz w:val="24"/>
                <w:szCs w:val="24"/>
                <w:shd w:val="clear" w:color="auto" w:fill="FFFFFF"/>
              </w:rPr>
              <w:t xml:space="preserve"> un par to</w:t>
            </w:r>
            <w:r w:rsidR="0092120F" w:rsidRPr="0092120F">
              <w:rPr>
                <w:rFonts w:ascii="Times New Roman" w:hAnsi="Times New Roman" w:cs="Times New Roman"/>
                <w:sz w:val="24"/>
                <w:szCs w:val="24"/>
                <w:shd w:val="clear" w:color="auto" w:fill="FFFFFF"/>
              </w:rPr>
              <w:t xml:space="preserve"> informēs Eiropas Vērtspapīru un tirgu iestādi.</w:t>
            </w:r>
            <w:r w:rsidR="00745390">
              <w:rPr>
                <w:rFonts w:ascii="Times New Roman" w:hAnsi="Times New Roman" w:cs="Times New Roman"/>
                <w:sz w:val="24"/>
                <w:szCs w:val="24"/>
                <w:shd w:val="clear" w:color="auto" w:fill="FFFFFF"/>
              </w:rPr>
              <w:t xml:space="preserve"> Ņemot vērā minēto, vienlaikus tiek izslēgta norma, kas paredz Latvijas Bankai pienākumu sniegt atzinumu FKTK par sistēmas un tās noteikumu atbilstību likumam.</w:t>
            </w:r>
            <w:r w:rsidR="00051369">
              <w:rPr>
                <w:rFonts w:ascii="Times New Roman" w:hAnsi="Times New Roman" w:cs="Times New Roman"/>
                <w:sz w:val="24"/>
                <w:szCs w:val="24"/>
                <w:shd w:val="clear" w:color="auto" w:fill="FFFFFF"/>
              </w:rPr>
              <w:t xml:space="preserve"> </w:t>
            </w:r>
          </w:p>
          <w:p w14:paraId="5BADADDB" w14:textId="77777777" w:rsidR="0092120F" w:rsidRDefault="0092120F" w:rsidP="004C0814">
            <w:pPr>
              <w:spacing w:after="0" w:line="240" w:lineRule="auto"/>
              <w:jc w:val="both"/>
              <w:rPr>
                <w:rFonts w:ascii="Times New Roman" w:hAnsi="Times New Roman" w:cs="Times New Roman"/>
                <w:sz w:val="24"/>
                <w:szCs w:val="24"/>
                <w:shd w:val="clear" w:color="auto" w:fill="FFFFFF"/>
              </w:rPr>
            </w:pPr>
          </w:p>
          <w:p w14:paraId="0DE8AEA6" w14:textId="4F8CBE5A" w:rsidR="002E6B9F" w:rsidRDefault="00745390" w:rsidP="004C0814">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Šobrīd saskaņā ar likumu darbojas </w:t>
            </w:r>
            <w:r w:rsidR="00994417">
              <w:rPr>
                <w:rFonts w:ascii="Times New Roman" w:hAnsi="Times New Roman" w:cs="Times New Roman"/>
                <w:sz w:val="24"/>
                <w:szCs w:val="24"/>
                <w:shd w:val="clear" w:color="auto" w:fill="FFFFFF"/>
              </w:rPr>
              <w:t>trīs</w:t>
            </w:r>
            <w:r>
              <w:rPr>
                <w:rFonts w:ascii="Times New Roman" w:hAnsi="Times New Roman" w:cs="Times New Roman"/>
                <w:sz w:val="24"/>
                <w:szCs w:val="24"/>
                <w:shd w:val="clear" w:color="auto" w:fill="FFFFFF"/>
              </w:rPr>
              <w:t xml:space="preserve"> sistēmas: </w:t>
            </w:r>
            <w:r w:rsidR="00994417">
              <w:rPr>
                <w:rFonts w:ascii="Times New Roman" w:hAnsi="Times New Roman" w:cs="Times New Roman"/>
                <w:sz w:val="24"/>
                <w:szCs w:val="24"/>
                <w:shd w:val="clear" w:color="auto" w:fill="FFFFFF"/>
              </w:rPr>
              <w:t>divas</w:t>
            </w:r>
            <w:r>
              <w:rPr>
                <w:rFonts w:ascii="Times New Roman" w:hAnsi="Times New Roman" w:cs="Times New Roman"/>
                <w:sz w:val="24"/>
                <w:szCs w:val="24"/>
                <w:shd w:val="clear" w:color="auto" w:fill="FFFFFF"/>
              </w:rPr>
              <w:t xml:space="preserve"> maksājumu sistēmas, kuru darbību nodrošina Latvijas Banka (</w:t>
            </w:r>
            <w:r w:rsidR="0092120F" w:rsidRPr="0092120F">
              <w:rPr>
                <w:rFonts w:ascii="Times New Roman" w:hAnsi="Times New Roman" w:cs="Times New Roman"/>
                <w:sz w:val="24"/>
                <w:szCs w:val="24"/>
                <w:shd w:val="clear" w:color="auto" w:fill="FFFFFF"/>
              </w:rPr>
              <w:t xml:space="preserve">TARGET2-Latvija un Elektroniskā klīringa sistēma, kas ietver klīringa servisu un </w:t>
            </w:r>
            <w:proofErr w:type="spellStart"/>
            <w:r w:rsidR="0092120F" w:rsidRPr="0092120F">
              <w:rPr>
                <w:rFonts w:ascii="Times New Roman" w:hAnsi="Times New Roman" w:cs="Times New Roman"/>
                <w:sz w:val="24"/>
                <w:szCs w:val="24"/>
                <w:shd w:val="clear" w:color="auto" w:fill="FFFFFF"/>
              </w:rPr>
              <w:t>zibmaksājumu</w:t>
            </w:r>
            <w:proofErr w:type="spellEnd"/>
            <w:r w:rsidR="0092120F" w:rsidRPr="0092120F">
              <w:rPr>
                <w:rFonts w:ascii="Times New Roman" w:hAnsi="Times New Roman" w:cs="Times New Roman"/>
                <w:sz w:val="24"/>
                <w:szCs w:val="24"/>
                <w:shd w:val="clear" w:color="auto" w:fill="FFFFFF"/>
              </w:rPr>
              <w:t xml:space="preserve"> servisu</w:t>
            </w:r>
            <w:r>
              <w:rPr>
                <w:rFonts w:ascii="Times New Roman" w:hAnsi="Times New Roman" w:cs="Times New Roman"/>
                <w:sz w:val="24"/>
                <w:szCs w:val="24"/>
                <w:shd w:val="clear" w:color="auto" w:fill="FFFFFF"/>
              </w:rPr>
              <w:t>),</w:t>
            </w:r>
            <w:r w:rsidR="0092120F">
              <w:rPr>
                <w:rFonts w:ascii="Times New Roman" w:hAnsi="Times New Roman" w:cs="Times New Roman"/>
                <w:sz w:val="24"/>
                <w:szCs w:val="24"/>
                <w:shd w:val="clear" w:color="auto" w:fill="FFFFFF"/>
              </w:rPr>
              <w:t xml:space="preserve"> un</w:t>
            </w:r>
            <w:r>
              <w:rPr>
                <w:rFonts w:ascii="Times New Roman" w:hAnsi="Times New Roman" w:cs="Times New Roman"/>
                <w:sz w:val="24"/>
                <w:szCs w:val="24"/>
                <w:shd w:val="clear" w:color="auto" w:fill="FFFFFF"/>
              </w:rPr>
              <w:t xml:space="preserve"> </w:t>
            </w:r>
            <w:r w:rsidR="00994417">
              <w:rPr>
                <w:rFonts w:ascii="Times New Roman" w:hAnsi="Times New Roman" w:cs="Times New Roman"/>
                <w:sz w:val="24"/>
                <w:szCs w:val="24"/>
                <w:shd w:val="clear" w:color="auto" w:fill="FFFFFF"/>
              </w:rPr>
              <w:t>viena</w:t>
            </w:r>
            <w:r>
              <w:rPr>
                <w:rFonts w:ascii="Times New Roman" w:hAnsi="Times New Roman" w:cs="Times New Roman"/>
                <w:sz w:val="24"/>
                <w:szCs w:val="24"/>
                <w:shd w:val="clear" w:color="auto" w:fill="FFFFFF"/>
              </w:rPr>
              <w:t xml:space="preserve"> finanšu instrumentu norēķinu sistēma</w:t>
            </w:r>
            <w:r w:rsidR="0092120F" w:rsidRPr="0092120F">
              <w:rPr>
                <w:rFonts w:ascii="Times New Roman" w:eastAsia="Times New Roman" w:hAnsi="Times New Roman" w:cs="Times New Roman"/>
                <w:sz w:val="24"/>
                <w:szCs w:val="24"/>
              </w:rPr>
              <w:t xml:space="preserve"> </w:t>
            </w:r>
            <w:r w:rsidR="00A8036B">
              <w:rPr>
                <w:rFonts w:ascii="Times New Roman" w:eastAsia="Times New Roman" w:hAnsi="Times New Roman" w:cs="Times New Roman"/>
                <w:sz w:val="24"/>
                <w:szCs w:val="24"/>
              </w:rPr>
              <w:t>(</w:t>
            </w:r>
            <w:proofErr w:type="spellStart"/>
            <w:r w:rsidR="0092120F" w:rsidRPr="0092120F">
              <w:rPr>
                <w:rFonts w:ascii="Times New Roman" w:hAnsi="Times New Roman" w:cs="Times New Roman"/>
                <w:sz w:val="24"/>
                <w:szCs w:val="24"/>
                <w:shd w:val="clear" w:color="auto" w:fill="FFFFFF"/>
              </w:rPr>
              <w:t>Nasdaq</w:t>
            </w:r>
            <w:proofErr w:type="spellEnd"/>
            <w:r w:rsidR="0092120F" w:rsidRPr="0092120F">
              <w:rPr>
                <w:rFonts w:ascii="Times New Roman" w:hAnsi="Times New Roman" w:cs="Times New Roman"/>
                <w:sz w:val="24"/>
                <w:szCs w:val="24"/>
                <w:shd w:val="clear" w:color="auto" w:fill="FFFFFF"/>
              </w:rPr>
              <w:t xml:space="preserve"> CSD SE uzturētā Latvijas vērtspapīru norēķinu sistēma</w:t>
            </w:r>
            <w:r w:rsidR="00A8036B">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w:t>
            </w:r>
          </w:p>
          <w:p w14:paraId="581843A6" w14:textId="00322E30" w:rsidR="004437AB" w:rsidRPr="000F3D28" w:rsidRDefault="004437AB">
            <w:pPr>
              <w:spacing w:after="0" w:line="240" w:lineRule="auto"/>
              <w:jc w:val="both"/>
              <w:rPr>
                <w:rFonts w:ascii="Times New Roman" w:eastAsia="Times New Roman" w:hAnsi="Times New Roman" w:cs="Times New Roman"/>
                <w:iCs/>
                <w:sz w:val="24"/>
                <w:szCs w:val="24"/>
                <w:lang w:eastAsia="lv-LV"/>
              </w:rPr>
            </w:pPr>
          </w:p>
        </w:tc>
      </w:tr>
      <w:tr w:rsidR="009807EA" w:rsidRPr="004437AB" w14:paraId="273DBEBF" w14:textId="77777777" w:rsidTr="009807EA">
        <w:trPr>
          <w:tblCellSpacing w:w="15" w:type="dxa"/>
        </w:trPr>
        <w:tc>
          <w:tcPr>
            <w:tcW w:w="204"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21CCD6CA" w14:textId="4CA1D92A" w:rsidR="009807EA" w:rsidRPr="004437AB" w:rsidRDefault="009807EA"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lastRenderedPageBreak/>
              <w:t>3.</w:t>
            </w:r>
          </w:p>
        </w:tc>
        <w:tc>
          <w:tcPr>
            <w:tcW w:w="1068"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4A58CAA4" w14:textId="77777777" w:rsidR="009807EA" w:rsidRPr="004437AB" w:rsidRDefault="009807EA"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Projekta izstrādē iesaistītās institūcijas un publiskas personas kapitālsabiedrības</w:t>
            </w:r>
          </w:p>
        </w:tc>
        <w:tc>
          <w:tcPr>
            <w:tcW w:w="3664"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4B62C574" w14:textId="1348E15D" w:rsidR="009807EA" w:rsidRPr="00997037" w:rsidRDefault="00A40E27" w:rsidP="00C12276">
            <w:pPr>
              <w:spacing w:after="0" w:line="240" w:lineRule="auto"/>
              <w:jc w:val="both"/>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iCs/>
                <w:sz w:val="24"/>
                <w:szCs w:val="24"/>
                <w:lang w:eastAsia="lv-LV"/>
              </w:rPr>
              <w:t>Finanšu ministrija, Latvijas Banka un F</w:t>
            </w:r>
            <w:r w:rsidR="009479F1">
              <w:rPr>
                <w:rFonts w:ascii="Times New Roman" w:eastAsia="Times New Roman" w:hAnsi="Times New Roman" w:cs="Times New Roman"/>
                <w:iCs/>
                <w:sz w:val="24"/>
                <w:szCs w:val="24"/>
                <w:lang w:eastAsia="lv-LV"/>
              </w:rPr>
              <w:t>KTK</w:t>
            </w:r>
          </w:p>
        </w:tc>
      </w:tr>
      <w:tr w:rsidR="004437AB" w:rsidRPr="004437AB" w14:paraId="40C1CC82" w14:textId="77777777" w:rsidTr="009807EA">
        <w:trPr>
          <w:tblCellSpacing w:w="15" w:type="dxa"/>
        </w:trPr>
        <w:tc>
          <w:tcPr>
            <w:tcW w:w="204"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06CB636E" w14:textId="77777777" w:rsidR="004437AB" w:rsidRPr="004437AB" w:rsidRDefault="004437AB"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4.</w:t>
            </w:r>
          </w:p>
        </w:tc>
        <w:tc>
          <w:tcPr>
            <w:tcW w:w="1068"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43B235B9" w14:textId="77777777" w:rsidR="004437AB" w:rsidRPr="004437AB" w:rsidRDefault="004437AB"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Cita informācija</w:t>
            </w:r>
          </w:p>
        </w:tc>
        <w:tc>
          <w:tcPr>
            <w:tcW w:w="3664"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26C3CDFB" w14:textId="5218E669" w:rsidR="004437AB" w:rsidRPr="004437AB" w:rsidRDefault="005C67E0" w:rsidP="007E0B6E">
            <w:pPr>
              <w:spacing w:after="0" w:line="240" w:lineRule="auto"/>
              <w:jc w:val="both"/>
              <w:rPr>
                <w:rFonts w:ascii="Calibri" w:eastAsia="Times New Roman" w:hAnsi="Calibri" w:cs="Calibri"/>
                <w:lang w:eastAsia="lv-LV"/>
              </w:rPr>
            </w:pPr>
            <w:r>
              <w:rPr>
                <w:rFonts w:ascii="Times New Roman" w:eastAsia="Times New Roman" w:hAnsi="Times New Roman" w:cs="Times New Roman"/>
                <w:spacing w:val="-2"/>
                <w:sz w:val="24"/>
                <w:szCs w:val="24"/>
                <w:lang w:eastAsia="lv-LV"/>
              </w:rPr>
              <w:t>Tā kā Latvijas Banka turpmāk pildīs FKTK likumā noteiktos pienākumus, tad par kompetentās iestādes maiņu atbilstoši</w:t>
            </w:r>
            <w:r w:rsidR="00F540DD">
              <w:rPr>
                <w:rFonts w:ascii="Times New Roman" w:eastAsia="Times New Roman" w:hAnsi="Times New Roman" w:cs="Times New Roman"/>
                <w:spacing w:val="-2"/>
                <w:sz w:val="24"/>
                <w:szCs w:val="24"/>
                <w:lang w:eastAsia="lv-LV"/>
              </w:rPr>
              <w:t xml:space="preserve"> </w:t>
            </w:r>
            <w:r w:rsidR="00F540DD" w:rsidRPr="00F540DD">
              <w:rPr>
                <w:rFonts w:ascii="Times New Roman" w:eastAsia="Times New Roman" w:hAnsi="Times New Roman" w:cs="Times New Roman"/>
                <w:spacing w:val="-2"/>
                <w:sz w:val="24"/>
                <w:szCs w:val="24"/>
                <w:lang w:eastAsia="lv-LV"/>
              </w:rPr>
              <w:t xml:space="preserve">Eiropas Parlamenta un Padomes 1998.gada 19.maija direktīvas </w:t>
            </w:r>
            <w:hyperlink r:id="rId12" w:tgtFrame="_blank" w:history="1">
              <w:r w:rsidR="00F540DD" w:rsidRPr="00F540DD">
                <w:rPr>
                  <w:rStyle w:val="Hyperlink"/>
                  <w:rFonts w:ascii="Times New Roman" w:eastAsia="Times New Roman" w:hAnsi="Times New Roman" w:cs="Times New Roman"/>
                  <w:spacing w:val="-2"/>
                  <w:sz w:val="24"/>
                  <w:szCs w:val="24"/>
                  <w:lang w:eastAsia="lv-LV"/>
                </w:rPr>
                <w:t>98/26/EK</w:t>
              </w:r>
            </w:hyperlink>
            <w:r w:rsidR="00F540DD" w:rsidRPr="00F540DD">
              <w:rPr>
                <w:rFonts w:ascii="Times New Roman" w:eastAsia="Times New Roman" w:hAnsi="Times New Roman" w:cs="Times New Roman"/>
                <w:spacing w:val="-2"/>
                <w:sz w:val="24"/>
                <w:szCs w:val="24"/>
                <w:lang w:eastAsia="lv-LV"/>
              </w:rPr>
              <w:t xml:space="preserve"> par norēķinu galīgumu maksājumu un vērtspapīru norēķinu sistēmās</w:t>
            </w:r>
            <w:r w:rsidR="00F540DD">
              <w:rPr>
                <w:rFonts w:ascii="Times New Roman" w:eastAsia="Times New Roman" w:hAnsi="Times New Roman" w:cs="Times New Roman"/>
                <w:spacing w:val="-2"/>
                <w:sz w:val="24"/>
                <w:szCs w:val="24"/>
                <w:lang w:eastAsia="lv-LV"/>
              </w:rPr>
              <w:t xml:space="preserve"> 10. panta 1. punktam</w:t>
            </w:r>
            <w:r>
              <w:rPr>
                <w:rFonts w:ascii="Times New Roman" w:eastAsia="Times New Roman" w:hAnsi="Times New Roman" w:cs="Times New Roman"/>
                <w:spacing w:val="-2"/>
                <w:sz w:val="24"/>
                <w:szCs w:val="24"/>
                <w:lang w:eastAsia="lv-LV"/>
              </w:rPr>
              <w:t xml:space="preserve"> tiks informēta </w:t>
            </w:r>
            <w:r w:rsidRPr="005C67E0">
              <w:rPr>
                <w:rFonts w:ascii="Times New Roman" w:eastAsia="Times New Roman" w:hAnsi="Times New Roman" w:cs="Times New Roman"/>
                <w:spacing w:val="-2"/>
                <w:sz w:val="24"/>
                <w:szCs w:val="24"/>
                <w:lang w:eastAsia="lv-LV"/>
              </w:rPr>
              <w:t>Eiropas Vērtspapīru un tirgu iestād</w:t>
            </w:r>
            <w:r w:rsidR="00F540DD">
              <w:rPr>
                <w:rFonts w:ascii="Times New Roman" w:eastAsia="Times New Roman" w:hAnsi="Times New Roman" w:cs="Times New Roman"/>
                <w:spacing w:val="-2"/>
                <w:sz w:val="24"/>
                <w:szCs w:val="24"/>
                <w:lang w:eastAsia="lv-LV"/>
              </w:rPr>
              <w:t>e.</w:t>
            </w:r>
          </w:p>
        </w:tc>
      </w:tr>
    </w:tbl>
    <w:p w14:paraId="65CF6526" w14:textId="77777777" w:rsidR="004437AB" w:rsidRPr="004437AB" w:rsidRDefault="004437AB" w:rsidP="004437AB">
      <w:pPr>
        <w:shd w:val="clear" w:color="auto" w:fill="FFFFFF"/>
        <w:spacing w:after="0" w:line="240" w:lineRule="auto"/>
        <w:rPr>
          <w:rFonts w:ascii="Calibri" w:eastAsia="Times New Roman" w:hAnsi="Calibri" w:cs="Calibri"/>
          <w:color w:val="000000"/>
          <w:lang w:eastAsia="lv-LV"/>
        </w:rPr>
      </w:pPr>
      <w:r w:rsidRPr="004437AB">
        <w:rPr>
          <w:rFonts w:ascii="Times New Roman" w:eastAsia="Times New Roman" w:hAnsi="Times New Roman" w:cs="Times New Roman"/>
          <w:color w:val="414142"/>
          <w:spacing w:val="-2"/>
          <w:sz w:val="24"/>
          <w:szCs w:val="24"/>
          <w:lang w:eastAsia="lv-LV"/>
        </w:rPr>
        <w:t>                                                                                     </w:t>
      </w:r>
    </w:p>
    <w:tbl>
      <w:tblPr>
        <w:tblW w:w="9350"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26"/>
        <w:gridCol w:w="2885"/>
        <w:gridCol w:w="6039"/>
      </w:tblGrid>
      <w:tr w:rsidR="004437AB" w:rsidRPr="004437AB" w14:paraId="1F211B9C" w14:textId="77777777" w:rsidTr="004437AB">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0685F69" w14:textId="77777777" w:rsidR="004437AB" w:rsidRPr="004437AB" w:rsidRDefault="004437AB" w:rsidP="004437AB">
            <w:pPr>
              <w:spacing w:after="0" w:line="240" w:lineRule="auto"/>
              <w:jc w:val="center"/>
              <w:rPr>
                <w:rFonts w:ascii="Calibri" w:eastAsia="Times New Roman" w:hAnsi="Calibri" w:cs="Calibri"/>
                <w:lang w:eastAsia="lv-LV"/>
              </w:rPr>
            </w:pPr>
            <w:r w:rsidRPr="004437AB">
              <w:rPr>
                <w:rFonts w:ascii="Times New Roman" w:eastAsia="Times New Roman" w:hAnsi="Times New Roman" w:cs="Times New Roman"/>
                <w:b/>
                <w:bCs/>
                <w:spacing w:val="-2"/>
                <w:sz w:val="24"/>
                <w:szCs w:val="24"/>
                <w:lang w:eastAsia="lv-LV"/>
              </w:rPr>
              <w:t>II. Tiesību akta projekta ietekme uz sabiedrību, tautsaimniecības attīstību un administratīvo slogu</w:t>
            </w:r>
          </w:p>
        </w:tc>
      </w:tr>
      <w:tr w:rsidR="004437AB" w:rsidRPr="004437AB" w14:paraId="00E48A5A" w14:textId="77777777" w:rsidTr="009807EA">
        <w:trPr>
          <w:tblCellSpacing w:w="15" w:type="dxa"/>
        </w:trPr>
        <w:tc>
          <w:tcPr>
            <w:tcW w:w="204"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42CE8B1" w14:textId="77777777" w:rsidR="004437AB" w:rsidRPr="004437AB" w:rsidRDefault="004437AB"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1.</w:t>
            </w:r>
          </w:p>
        </w:tc>
        <w:tc>
          <w:tcPr>
            <w:tcW w:w="1527"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9E7B0E8" w14:textId="77777777" w:rsidR="004437AB" w:rsidRPr="004437AB" w:rsidRDefault="004437AB"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 xml:space="preserve">Sabiedrības </w:t>
            </w:r>
            <w:proofErr w:type="spellStart"/>
            <w:r w:rsidRPr="004437AB">
              <w:rPr>
                <w:rFonts w:ascii="Times New Roman" w:eastAsia="Times New Roman" w:hAnsi="Times New Roman" w:cs="Times New Roman"/>
                <w:spacing w:val="-2"/>
                <w:sz w:val="24"/>
                <w:szCs w:val="24"/>
                <w:lang w:eastAsia="lv-LV"/>
              </w:rPr>
              <w:t>mērķgrupas</w:t>
            </w:r>
            <w:proofErr w:type="spellEnd"/>
            <w:r w:rsidRPr="004437AB">
              <w:rPr>
                <w:rFonts w:ascii="Times New Roman" w:eastAsia="Times New Roman" w:hAnsi="Times New Roman" w:cs="Times New Roman"/>
                <w:spacing w:val="-2"/>
                <w:sz w:val="24"/>
                <w:szCs w:val="24"/>
                <w:lang w:eastAsia="lv-LV"/>
              </w:rPr>
              <w:t>, kuras tiesiskais regulējums ietekmē vai varētu ietekmēt</w:t>
            </w:r>
          </w:p>
        </w:tc>
        <w:tc>
          <w:tcPr>
            <w:tcW w:w="3205"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287A8F9F" w14:textId="204C227D" w:rsidR="004437AB" w:rsidRPr="004437AB" w:rsidRDefault="009807EA" w:rsidP="007B2265">
            <w:pPr>
              <w:spacing w:after="0" w:line="240" w:lineRule="auto"/>
              <w:jc w:val="both"/>
              <w:rPr>
                <w:rFonts w:ascii="Calibri" w:eastAsia="Times New Roman" w:hAnsi="Calibri" w:cs="Calibri"/>
                <w:lang w:eastAsia="lv-LV"/>
              </w:rPr>
            </w:pPr>
            <w:r w:rsidRPr="003A210D">
              <w:rPr>
                <w:rFonts w:ascii="Times New Roman" w:eastAsia="Times New Roman" w:hAnsi="Times New Roman" w:cs="Times New Roman"/>
                <w:iCs/>
                <w:sz w:val="24"/>
                <w:szCs w:val="24"/>
                <w:lang w:eastAsia="lv-LV"/>
              </w:rPr>
              <w:t xml:space="preserve">Latvijas Bankas un </w:t>
            </w:r>
            <w:r w:rsidR="00F75682">
              <w:rPr>
                <w:rFonts w:ascii="Times New Roman" w:eastAsia="Times New Roman" w:hAnsi="Times New Roman" w:cs="Times New Roman"/>
                <w:iCs/>
                <w:sz w:val="24"/>
                <w:szCs w:val="24"/>
                <w:lang w:eastAsia="lv-LV"/>
              </w:rPr>
              <w:t>FKTK</w:t>
            </w:r>
            <w:r w:rsidRPr="003A210D">
              <w:rPr>
                <w:rFonts w:ascii="Times New Roman" w:eastAsia="Times New Roman" w:hAnsi="Times New Roman" w:cs="Times New Roman"/>
                <w:iCs/>
                <w:sz w:val="24"/>
                <w:szCs w:val="24"/>
                <w:lang w:eastAsia="lv-LV"/>
              </w:rPr>
              <w:t xml:space="preserve"> amatpersonas un darbinieki, </w:t>
            </w:r>
            <w:r w:rsidRPr="002B75EC">
              <w:rPr>
                <w:rFonts w:ascii="Times New Roman" w:eastAsia="Times New Roman" w:hAnsi="Times New Roman" w:cs="Times New Roman"/>
                <w:iCs/>
                <w:sz w:val="24"/>
                <w:szCs w:val="24"/>
                <w:lang w:eastAsia="lv-LV"/>
              </w:rPr>
              <w:t xml:space="preserve">finanšu tirgus </w:t>
            </w:r>
            <w:r w:rsidRPr="003A210D">
              <w:rPr>
                <w:rFonts w:ascii="Times New Roman" w:eastAsia="Times New Roman" w:hAnsi="Times New Roman" w:cs="Times New Roman"/>
                <w:iCs/>
                <w:sz w:val="24"/>
                <w:szCs w:val="24"/>
                <w:lang w:eastAsia="lv-LV"/>
              </w:rPr>
              <w:t>dalībnieki</w:t>
            </w:r>
            <w:r w:rsidR="007B2265">
              <w:rPr>
                <w:rFonts w:ascii="Times New Roman" w:eastAsia="Times New Roman" w:hAnsi="Times New Roman" w:cs="Times New Roman"/>
                <w:iCs/>
                <w:sz w:val="24"/>
                <w:szCs w:val="24"/>
                <w:lang w:eastAsia="lv-LV"/>
              </w:rPr>
              <w:t>.</w:t>
            </w:r>
          </w:p>
        </w:tc>
      </w:tr>
      <w:tr w:rsidR="009807EA" w:rsidRPr="004437AB" w14:paraId="78F7520B" w14:textId="77777777" w:rsidTr="009807EA">
        <w:trPr>
          <w:tblCellSpacing w:w="15" w:type="dxa"/>
        </w:trPr>
        <w:tc>
          <w:tcPr>
            <w:tcW w:w="204"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A9C4C07" w14:textId="77777777" w:rsidR="009807EA" w:rsidRPr="004437AB" w:rsidRDefault="009807EA"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2.</w:t>
            </w:r>
          </w:p>
        </w:tc>
        <w:tc>
          <w:tcPr>
            <w:tcW w:w="1527"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391D7E43" w14:textId="77777777" w:rsidR="009807EA" w:rsidRPr="004437AB" w:rsidRDefault="009807EA"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Tiesiskā regulējuma ietekme uz tautsaimniecību un administratīvo slogu</w:t>
            </w:r>
          </w:p>
        </w:tc>
        <w:tc>
          <w:tcPr>
            <w:tcW w:w="3205"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3B81ADDA" w14:textId="6D5E4E8C" w:rsidR="009807EA" w:rsidRPr="00674B5B" w:rsidRDefault="009807EA" w:rsidP="00F546B9">
            <w:pPr>
              <w:spacing w:after="0" w:line="240" w:lineRule="auto"/>
              <w:jc w:val="both"/>
              <w:rPr>
                <w:rFonts w:ascii="Times New Roman" w:eastAsia="Times New Roman" w:hAnsi="Times New Roman" w:cs="Times New Roman"/>
                <w:iCs/>
                <w:color w:val="A6A6A6" w:themeColor="background1" w:themeShade="A6"/>
                <w:sz w:val="24"/>
                <w:szCs w:val="24"/>
                <w:highlight w:val="red"/>
                <w:lang w:eastAsia="lv-LV"/>
              </w:rPr>
            </w:pPr>
            <w:r w:rsidRPr="00360C1D">
              <w:rPr>
                <w:rFonts w:ascii="Times New Roman" w:hAnsi="Times New Roman" w:cs="Times New Roman"/>
                <w:sz w:val="24"/>
                <w:szCs w:val="24"/>
                <w:shd w:val="clear" w:color="auto" w:fill="FFFFFF"/>
              </w:rPr>
              <w:t>Administr</w:t>
            </w:r>
            <w:r w:rsidR="00AF3339">
              <w:rPr>
                <w:rFonts w:ascii="Times New Roman" w:hAnsi="Times New Roman" w:cs="Times New Roman"/>
                <w:sz w:val="24"/>
                <w:szCs w:val="24"/>
                <w:shd w:val="clear" w:color="auto" w:fill="FFFFFF"/>
              </w:rPr>
              <w:t>a</w:t>
            </w:r>
            <w:r w:rsidRPr="00360C1D">
              <w:rPr>
                <w:rFonts w:ascii="Times New Roman" w:hAnsi="Times New Roman" w:cs="Times New Roman"/>
                <w:sz w:val="24"/>
                <w:szCs w:val="24"/>
                <w:shd w:val="clear" w:color="auto" w:fill="FFFFFF"/>
              </w:rPr>
              <w:t xml:space="preserve">tīvais slogs nemainās, jo </w:t>
            </w:r>
            <w:r>
              <w:rPr>
                <w:rFonts w:ascii="Times New Roman" w:hAnsi="Times New Roman" w:cs="Times New Roman"/>
                <w:sz w:val="24"/>
                <w:szCs w:val="24"/>
                <w:shd w:val="clear" w:color="auto" w:fill="FFFFFF"/>
              </w:rPr>
              <w:t xml:space="preserve">likumprojekts </w:t>
            </w:r>
            <w:r w:rsidRPr="00360C1D">
              <w:rPr>
                <w:rFonts w:ascii="Times New Roman" w:hAnsi="Times New Roman" w:cs="Times New Roman"/>
                <w:sz w:val="24"/>
                <w:szCs w:val="24"/>
                <w:shd w:val="clear" w:color="auto" w:fill="FFFFFF"/>
              </w:rPr>
              <w:t xml:space="preserve">pēc būtības nemaina </w:t>
            </w:r>
            <w:r w:rsidRPr="002B75EC">
              <w:rPr>
                <w:rFonts w:ascii="Times New Roman" w:hAnsi="Times New Roman" w:cs="Times New Roman"/>
                <w:sz w:val="24"/>
                <w:szCs w:val="24"/>
                <w:shd w:val="clear" w:color="auto" w:fill="FFFFFF"/>
              </w:rPr>
              <w:t>finanšu tirgus dalībnieku tiesīb</w:t>
            </w:r>
            <w:r w:rsidRPr="00360C1D">
              <w:rPr>
                <w:rFonts w:ascii="Times New Roman" w:hAnsi="Times New Roman" w:cs="Times New Roman"/>
                <w:sz w:val="24"/>
                <w:szCs w:val="24"/>
                <w:shd w:val="clear" w:color="auto" w:fill="FFFFFF"/>
              </w:rPr>
              <w:t>as un pienākumus.</w:t>
            </w:r>
          </w:p>
        </w:tc>
      </w:tr>
      <w:tr w:rsidR="004437AB" w:rsidRPr="004437AB" w14:paraId="3EC3EBCA" w14:textId="77777777" w:rsidTr="009807EA">
        <w:trPr>
          <w:tblCellSpacing w:w="15" w:type="dxa"/>
        </w:trPr>
        <w:tc>
          <w:tcPr>
            <w:tcW w:w="204"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431365A2" w14:textId="77777777" w:rsidR="004437AB" w:rsidRPr="004437AB" w:rsidRDefault="004437AB"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3.</w:t>
            </w:r>
          </w:p>
        </w:tc>
        <w:tc>
          <w:tcPr>
            <w:tcW w:w="1527"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A2ED895" w14:textId="77777777" w:rsidR="004437AB" w:rsidRPr="004437AB" w:rsidRDefault="004437AB"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Administratīvo izmaksu monetārs novērtējums</w:t>
            </w:r>
          </w:p>
        </w:tc>
        <w:tc>
          <w:tcPr>
            <w:tcW w:w="3205"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237B913" w14:textId="77777777" w:rsidR="004437AB" w:rsidRPr="004437AB" w:rsidRDefault="004437AB"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Nav attiecināms.</w:t>
            </w:r>
          </w:p>
        </w:tc>
      </w:tr>
      <w:tr w:rsidR="004437AB" w:rsidRPr="004437AB" w14:paraId="3D32409D" w14:textId="77777777" w:rsidTr="009807EA">
        <w:trPr>
          <w:tblCellSpacing w:w="15" w:type="dxa"/>
        </w:trPr>
        <w:tc>
          <w:tcPr>
            <w:tcW w:w="204"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7D396EB5" w14:textId="77777777" w:rsidR="004437AB" w:rsidRPr="004437AB" w:rsidRDefault="004437AB"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4.</w:t>
            </w:r>
          </w:p>
        </w:tc>
        <w:tc>
          <w:tcPr>
            <w:tcW w:w="1527"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1F591D27" w14:textId="77777777" w:rsidR="004437AB" w:rsidRPr="004437AB" w:rsidRDefault="004437AB"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Atbilstības izmaksu monetārs novērtējums</w:t>
            </w:r>
          </w:p>
        </w:tc>
        <w:tc>
          <w:tcPr>
            <w:tcW w:w="3205"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38C01D56" w14:textId="77777777" w:rsidR="004437AB" w:rsidRPr="004437AB" w:rsidRDefault="004437AB"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Nav attiecināms.</w:t>
            </w:r>
          </w:p>
        </w:tc>
      </w:tr>
      <w:tr w:rsidR="004437AB" w:rsidRPr="004437AB" w14:paraId="31D48EE8" w14:textId="77777777" w:rsidTr="009807EA">
        <w:trPr>
          <w:tblCellSpacing w:w="15" w:type="dxa"/>
        </w:trPr>
        <w:tc>
          <w:tcPr>
            <w:tcW w:w="204"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4BE58EBE" w14:textId="77777777" w:rsidR="004437AB" w:rsidRPr="004437AB" w:rsidRDefault="004437AB"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5.</w:t>
            </w:r>
          </w:p>
        </w:tc>
        <w:tc>
          <w:tcPr>
            <w:tcW w:w="1527"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40A1E258" w14:textId="77777777" w:rsidR="004437AB" w:rsidRPr="004437AB" w:rsidRDefault="004437AB"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Cita informācija</w:t>
            </w:r>
          </w:p>
        </w:tc>
        <w:tc>
          <w:tcPr>
            <w:tcW w:w="3205"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1D752336" w14:textId="77777777" w:rsidR="004437AB" w:rsidRPr="004437AB" w:rsidRDefault="004437AB"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Nav.</w:t>
            </w:r>
          </w:p>
        </w:tc>
      </w:tr>
    </w:tbl>
    <w:p w14:paraId="427B2E47" w14:textId="77777777" w:rsidR="004437AB" w:rsidRPr="004437AB" w:rsidRDefault="004437AB" w:rsidP="004437AB">
      <w:pPr>
        <w:shd w:val="clear" w:color="auto" w:fill="FFFFFF"/>
        <w:spacing w:after="0" w:line="240" w:lineRule="auto"/>
        <w:rPr>
          <w:rFonts w:ascii="Calibri" w:eastAsia="Times New Roman" w:hAnsi="Calibri" w:cs="Calibri"/>
          <w:color w:val="000000"/>
          <w:lang w:eastAsia="lv-LV"/>
        </w:rPr>
      </w:pPr>
      <w:r w:rsidRPr="004437AB">
        <w:rPr>
          <w:rFonts w:ascii="Times New Roman" w:eastAsia="Times New Roman" w:hAnsi="Times New Roman" w:cs="Times New Roman"/>
          <w:color w:val="414142"/>
          <w:spacing w:val="-2"/>
          <w:sz w:val="24"/>
          <w:szCs w:val="24"/>
          <w:lang w:eastAsia="lv-LV"/>
        </w:rPr>
        <w:t> </w:t>
      </w:r>
    </w:p>
    <w:tbl>
      <w:tblPr>
        <w:tblW w:w="9350"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350"/>
      </w:tblGrid>
      <w:tr w:rsidR="004437AB" w:rsidRPr="004437AB" w14:paraId="62B818BD" w14:textId="77777777" w:rsidTr="004437A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AAB2506" w14:textId="77777777" w:rsidR="004437AB" w:rsidRPr="004437AB" w:rsidRDefault="004437AB" w:rsidP="004437AB">
            <w:pPr>
              <w:spacing w:after="0" w:line="240" w:lineRule="auto"/>
              <w:jc w:val="center"/>
              <w:rPr>
                <w:rFonts w:ascii="Calibri" w:eastAsia="Times New Roman" w:hAnsi="Calibri" w:cs="Calibri"/>
                <w:lang w:eastAsia="lv-LV"/>
              </w:rPr>
            </w:pPr>
            <w:r w:rsidRPr="004437AB">
              <w:rPr>
                <w:rFonts w:ascii="Times New Roman" w:eastAsia="Times New Roman" w:hAnsi="Times New Roman" w:cs="Times New Roman"/>
                <w:b/>
                <w:bCs/>
                <w:spacing w:val="-2"/>
                <w:sz w:val="24"/>
                <w:szCs w:val="24"/>
                <w:lang w:eastAsia="lv-LV"/>
              </w:rPr>
              <w:t>III. Tiesību akta projekta ietekme uz valsts budžetu un pašvaldību budžetiem</w:t>
            </w:r>
          </w:p>
        </w:tc>
      </w:tr>
      <w:tr w:rsidR="004437AB" w:rsidRPr="004437AB" w14:paraId="6F40B639" w14:textId="77777777" w:rsidTr="004437A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B9A0864" w14:textId="77777777" w:rsidR="004437AB" w:rsidRPr="004437AB" w:rsidRDefault="004437AB" w:rsidP="004437AB">
            <w:pPr>
              <w:spacing w:after="0" w:line="240" w:lineRule="auto"/>
              <w:jc w:val="center"/>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Likumprojekts šo jomu neskar.</w:t>
            </w:r>
          </w:p>
        </w:tc>
      </w:tr>
    </w:tbl>
    <w:p w14:paraId="209B9701" w14:textId="77777777" w:rsidR="004437AB" w:rsidRPr="004437AB" w:rsidRDefault="004437AB" w:rsidP="004437AB">
      <w:pPr>
        <w:shd w:val="clear" w:color="auto" w:fill="FFFFFF"/>
        <w:spacing w:after="0" w:line="240" w:lineRule="auto"/>
        <w:rPr>
          <w:rFonts w:ascii="Calibri" w:eastAsia="Times New Roman" w:hAnsi="Calibri" w:cs="Calibri"/>
          <w:color w:val="000000"/>
          <w:lang w:eastAsia="lv-LV"/>
        </w:rPr>
      </w:pPr>
      <w:r w:rsidRPr="004437AB">
        <w:rPr>
          <w:rFonts w:ascii="Times New Roman" w:eastAsia="Times New Roman" w:hAnsi="Times New Roman" w:cs="Times New Roman"/>
          <w:color w:val="000000"/>
          <w:spacing w:val="-2"/>
          <w:sz w:val="24"/>
          <w:szCs w:val="24"/>
          <w:lang w:eastAsia="lv-LV"/>
        </w:rPr>
        <w:t> </w:t>
      </w:r>
    </w:p>
    <w:tbl>
      <w:tblPr>
        <w:tblW w:w="9350"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24"/>
        <w:gridCol w:w="1858"/>
        <w:gridCol w:w="6968"/>
      </w:tblGrid>
      <w:tr w:rsidR="004437AB" w:rsidRPr="004437AB" w14:paraId="7ADA54F2" w14:textId="77777777" w:rsidTr="004437AB">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BFCC33B" w14:textId="77777777" w:rsidR="004437AB" w:rsidRPr="004437AB" w:rsidRDefault="004437AB" w:rsidP="004437AB">
            <w:pPr>
              <w:spacing w:after="0" w:line="240" w:lineRule="auto"/>
              <w:jc w:val="center"/>
              <w:rPr>
                <w:rFonts w:ascii="Calibri" w:eastAsia="Times New Roman" w:hAnsi="Calibri" w:cs="Calibri"/>
                <w:lang w:eastAsia="lv-LV"/>
              </w:rPr>
            </w:pPr>
            <w:r w:rsidRPr="004437AB">
              <w:rPr>
                <w:rFonts w:ascii="Times New Roman" w:eastAsia="Times New Roman" w:hAnsi="Times New Roman" w:cs="Times New Roman"/>
                <w:b/>
                <w:bCs/>
                <w:spacing w:val="-2"/>
                <w:sz w:val="24"/>
                <w:szCs w:val="24"/>
                <w:lang w:eastAsia="lv-LV"/>
              </w:rPr>
              <w:t>IV. Tiesību akta projekta ietekme uz spēkā esošo tiesību normu sistēmu</w:t>
            </w:r>
          </w:p>
        </w:tc>
      </w:tr>
      <w:tr w:rsidR="004437AB" w:rsidRPr="004437AB" w14:paraId="44FECF1A" w14:textId="77777777" w:rsidTr="004437AB">
        <w:trPr>
          <w:tblCellSpacing w:w="15" w:type="dxa"/>
        </w:trPr>
        <w:tc>
          <w:tcPr>
            <w:tcW w:w="25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24F9AFB1" w14:textId="77777777" w:rsidR="004437AB" w:rsidRPr="004437AB" w:rsidRDefault="004437AB"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1.</w:t>
            </w:r>
          </w:p>
        </w:tc>
        <w:tc>
          <w:tcPr>
            <w:tcW w:w="95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19D5E2CF" w14:textId="77777777" w:rsidR="004437AB" w:rsidRPr="004437AB" w:rsidRDefault="004437AB"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Saistītie tiesību aktu projekti</w:t>
            </w:r>
          </w:p>
        </w:tc>
        <w:tc>
          <w:tcPr>
            <w:tcW w:w="36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1DF43CDF" w14:textId="77777777" w:rsidR="00AA66B5" w:rsidRPr="00AA66B5" w:rsidRDefault="00AA66B5" w:rsidP="00E129F6">
            <w:pPr>
              <w:pStyle w:val="ListParagraph"/>
              <w:ind w:left="523"/>
              <w:rPr>
                <w:rFonts w:ascii="Times New Roman" w:eastAsia="Times New Roman" w:hAnsi="Times New Roman" w:cs="Times New Roman"/>
                <w:spacing w:val="-2"/>
                <w:sz w:val="24"/>
                <w:szCs w:val="24"/>
                <w:lang w:eastAsia="lv-LV"/>
              </w:rPr>
            </w:pPr>
            <w:r w:rsidRPr="00AA66B5">
              <w:rPr>
                <w:rFonts w:ascii="Times New Roman" w:eastAsia="Times New Roman" w:hAnsi="Times New Roman" w:cs="Times New Roman"/>
                <w:spacing w:val="-2"/>
                <w:sz w:val="24"/>
                <w:szCs w:val="24"/>
                <w:lang w:eastAsia="lv-LV"/>
              </w:rPr>
              <w:t>Likumprojekts virzāms vienlaicīgi ar:</w:t>
            </w:r>
          </w:p>
          <w:p w14:paraId="3DCFF14E" w14:textId="77777777" w:rsidR="00AA66B5" w:rsidRPr="00AA66B5" w:rsidRDefault="00AA66B5" w:rsidP="00E129F6">
            <w:pPr>
              <w:pStyle w:val="ListParagraph"/>
              <w:numPr>
                <w:ilvl w:val="1"/>
                <w:numId w:val="5"/>
              </w:numPr>
              <w:ind w:left="523"/>
              <w:rPr>
                <w:rFonts w:ascii="Times New Roman" w:eastAsia="Times New Roman" w:hAnsi="Times New Roman" w:cs="Times New Roman"/>
                <w:spacing w:val="-2"/>
                <w:sz w:val="24"/>
                <w:szCs w:val="24"/>
                <w:lang w:eastAsia="lv-LV"/>
              </w:rPr>
            </w:pPr>
            <w:r w:rsidRPr="00AA66B5">
              <w:rPr>
                <w:rFonts w:ascii="Times New Roman" w:eastAsia="Times New Roman" w:hAnsi="Times New Roman" w:cs="Times New Roman"/>
                <w:spacing w:val="-2"/>
                <w:sz w:val="24"/>
                <w:szCs w:val="24"/>
                <w:lang w:eastAsia="lv-LV"/>
              </w:rPr>
              <w:t>likumprojektu "Latvijas Bankas likums";</w:t>
            </w:r>
          </w:p>
          <w:p w14:paraId="6D692350" w14:textId="77777777" w:rsidR="00AA66B5" w:rsidRPr="00AA66B5" w:rsidRDefault="00AA66B5" w:rsidP="00E129F6">
            <w:pPr>
              <w:pStyle w:val="ListParagraph"/>
              <w:numPr>
                <w:ilvl w:val="1"/>
                <w:numId w:val="5"/>
              </w:numPr>
              <w:ind w:left="523"/>
              <w:rPr>
                <w:rFonts w:ascii="Times New Roman" w:eastAsia="Times New Roman" w:hAnsi="Times New Roman" w:cs="Times New Roman"/>
                <w:spacing w:val="-2"/>
                <w:sz w:val="24"/>
                <w:szCs w:val="24"/>
                <w:lang w:eastAsia="lv-LV"/>
              </w:rPr>
            </w:pPr>
            <w:r w:rsidRPr="00AA66B5">
              <w:rPr>
                <w:rFonts w:ascii="Times New Roman" w:eastAsia="Times New Roman" w:hAnsi="Times New Roman" w:cs="Times New Roman"/>
                <w:spacing w:val="-2"/>
                <w:sz w:val="24"/>
                <w:szCs w:val="24"/>
                <w:lang w:eastAsia="lv-LV"/>
              </w:rPr>
              <w:t>likumprojektu "Grozījumi likumā "Par Latvijas Banku"";</w:t>
            </w:r>
          </w:p>
          <w:p w14:paraId="757C9611" w14:textId="77777777" w:rsidR="00AA66B5" w:rsidRPr="00AA66B5" w:rsidRDefault="00AA66B5" w:rsidP="00E129F6">
            <w:pPr>
              <w:pStyle w:val="ListParagraph"/>
              <w:numPr>
                <w:ilvl w:val="1"/>
                <w:numId w:val="5"/>
              </w:numPr>
              <w:ind w:left="523"/>
              <w:rPr>
                <w:rFonts w:ascii="Times New Roman" w:eastAsia="Times New Roman" w:hAnsi="Times New Roman" w:cs="Times New Roman"/>
                <w:spacing w:val="-2"/>
                <w:sz w:val="24"/>
                <w:szCs w:val="24"/>
                <w:lang w:eastAsia="lv-LV"/>
              </w:rPr>
            </w:pPr>
            <w:r w:rsidRPr="00AA66B5">
              <w:rPr>
                <w:rFonts w:ascii="Times New Roman" w:eastAsia="Times New Roman" w:hAnsi="Times New Roman" w:cs="Times New Roman"/>
                <w:spacing w:val="-2"/>
                <w:sz w:val="24"/>
                <w:szCs w:val="24"/>
                <w:lang w:eastAsia="lv-LV"/>
              </w:rPr>
              <w:t>likumprojektu "Grozījumi Finanšu un kapitāla tirgus komisijas likumā";</w:t>
            </w:r>
          </w:p>
          <w:p w14:paraId="4795FA7E" w14:textId="77777777" w:rsidR="00AA66B5" w:rsidRPr="00AA66B5" w:rsidRDefault="00AA66B5" w:rsidP="00E129F6">
            <w:pPr>
              <w:pStyle w:val="ListParagraph"/>
              <w:numPr>
                <w:ilvl w:val="1"/>
                <w:numId w:val="5"/>
              </w:numPr>
              <w:ind w:left="523"/>
              <w:rPr>
                <w:rFonts w:ascii="Times New Roman" w:eastAsia="Times New Roman" w:hAnsi="Times New Roman" w:cs="Times New Roman"/>
                <w:spacing w:val="-2"/>
                <w:sz w:val="24"/>
                <w:szCs w:val="24"/>
                <w:lang w:eastAsia="lv-LV"/>
              </w:rPr>
            </w:pPr>
            <w:r w:rsidRPr="00AA66B5">
              <w:rPr>
                <w:rFonts w:ascii="Times New Roman" w:eastAsia="Times New Roman" w:hAnsi="Times New Roman" w:cs="Times New Roman"/>
                <w:spacing w:val="-2"/>
                <w:sz w:val="24"/>
                <w:szCs w:val="24"/>
                <w:lang w:eastAsia="lv-LV"/>
              </w:rPr>
              <w:t>likumprojektu "Grozījumi Alternatīvo ieguldījumu fondu un to pārvaldnieku likumā";</w:t>
            </w:r>
          </w:p>
          <w:p w14:paraId="5FB79867" w14:textId="77777777" w:rsidR="00AA66B5" w:rsidRPr="00AA66B5" w:rsidRDefault="00AA66B5" w:rsidP="00E129F6">
            <w:pPr>
              <w:pStyle w:val="ListParagraph"/>
              <w:numPr>
                <w:ilvl w:val="1"/>
                <w:numId w:val="5"/>
              </w:numPr>
              <w:ind w:left="523"/>
              <w:rPr>
                <w:rFonts w:ascii="Times New Roman" w:eastAsia="Times New Roman" w:hAnsi="Times New Roman" w:cs="Times New Roman"/>
                <w:spacing w:val="-2"/>
                <w:sz w:val="24"/>
                <w:szCs w:val="24"/>
                <w:lang w:eastAsia="lv-LV"/>
              </w:rPr>
            </w:pPr>
            <w:r w:rsidRPr="00AA66B5">
              <w:rPr>
                <w:rFonts w:ascii="Times New Roman" w:eastAsia="Times New Roman" w:hAnsi="Times New Roman" w:cs="Times New Roman"/>
                <w:spacing w:val="-2"/>
                <w:sz w:val="24"/>
                <w:szCs w:val="24"/>
                <w:lang w:eastAsia="lv-LV"/>
              </w:rPr>
              <w:t>likumprojektu "Grozījumi Apdrošināšanas un pārapdrošināšanas izplatīšanas likumā";</w:t>
            </w:r>
          </w:p>
          <w:p w14:paraId="215E7F16" w14:textId="77777777" w:rsidR="00AA66B5" w:rsidRPr="00AA66B5" w:rsidRDefault="00AA66B5" w:rsidP="00E129F6">
            <w:pPr>
              <w:pStyle w:val="ListParagraph"/>
              <w:numPr>
                <w:ilvl w:val="1"/>
                <w:numId w:val="5"/>
              </w:numPr>
              <w:ind w:left="523"/>
              <w:rPr>
                <w:rFonts w:ascii="Times New Roman" w:eastAsia="Times New Roman" w:hAnsi="Times New Roman" w:cs="Times New Roman"/>
                <w:spacing w:val="-2"/>
                <w:sz w:val="24"/>
                <w:szCs w:val="24"/>
                <w:lang w:eastAsia="lv-LV"/>
              </w:rPr>
            </w:pPr>
            <w:r w:rsidRPr="00AA66B5">
              <w:rPr>
                <w:rFonts w:ascii="Times New Roman" w:eastAsia="Times New Roman" w:hAnsi="Times New Roman" w:cs="Times New Roman"/>
                <w:spacing w:val="-2"/>
                <w:sz w:val="24"/>
                <w:szCs w:val="24"/>
                <w:lang w:eastAsia="lv-LV"/>
              </w:rPr>
              <w:t>likumprojektu "Grozījumi Apdrošināšanas un pārapdrošināšanas likumā";</w:t>
            </w:r>
          </w:p>
          <w:p w14:paraId="413E3666" w14:textId="77777777" w:rsidR="00AA66B5" w:rsidRPr="00AA66B5" w:rsidRDefault="00AA66B5" w:rsidP="00E129F6">
            <w:pPr>
              <w:pStyle w:val="ListParagraph"/>
              <w:numPr>
                <w:ilvl w:val="1"/>
                <w:numId w:val="5"/>
              </w:numPr>
              <w:ind w:left="523"/>
              <w:rPr>
                <w:rFonts w:ascii="Times New Roman" w:eastAsia="Times New Roman" w:hAnsi="Times New Roman" w:cs="Times New Roman"/>
                <w:spacing w:val="-2"/>
                <w:sz w:val="24"/>
                <w:szCs w:val="24"/>
                <w:lang w:eastAsia="lv-LV"/>
              </w:rPr>
            </w:pPr>
            <w:r w:rsidRPr="00AA66B5">
              <w:rPr>
                <w:rFonts w:ascii="Times New Roman" w:eastAsia="Times New Roman" w:hAnsi="Times New Roman" w:cs="Times New Roman"/>
                <w:spacing w:val="-2"/>
                <w:sz w:val="24"/>
                <w:szCs w:val="24"/>
                <w:lang w:eastAsia="lv-LV"/>
              </w:rPr>
              <w:t>likumprojektu "Grozījums Apsardzes darbības likumā"</w:t>
            </w:r>
          </w:p>
          <w:p w14:paraId="0AB9C4DE" w14:textId="77777777" w:rsidR="00AA66B5" w:rsidRPr="00AA66B5" w:rsidRDefault="00AA66B5" w:rsidP="00E129F6">
            <w:pPr>
              <w:pStyle w:val="ListParagraph"/>
              <w:numPr>
                <w:ilvl w:val="1"/>
                <w:numId w:val="5"/>
              </w:numPr>
              <w:ind w:left="523"/>
              <w:rPr>
                <w:rFonts w:ascii="Times New Roman" w:eastAsia="Times New Roman" w:hAnsi="Times New Roman" w:cs="Times New Roman"/>
                <w:spacing w:val="-2"/>
                <w:sz w:val="24"/>
                <w:szCs w:val="24"/>
                <w:lang w:eastAsia="lv-LV"/>
              </w:rPr>
            </w:pPr>
            <w:r w:rsidRPr="00AA66B5">
              <w:rPr>
                <w:rFonts w:ascii="Times New Roman" w:eastAsia="Times New Roman" w:hAnsi="Times New Roman" w:cs="Times New Roman"/>
                <w:spacing w:val="-2"/>
                <w:sz w:val="24"/>
                <w:szCs w:val="24"/>
                <w:lang w:eastAsia="lv-LV"/>
              </w:rPr>
              <w:t>likumprojektu "Grozījumi Diplomātiskā un konsulārā dienesta likumā";</w:t>
            </w:r>
          </w:p>
          <w:p w14:paraId="13C23C03" w14:textId="77777777" w:rsidR="00AA66B5" w:rsidRPr="00AA66B5" w:rsidRDefault="00AA66B5" w:rsidP="00E129F6">
            <w:pPr>
              <w:pStyle w:val="ListParagraph"/>
              <w:numPr>
                <w:ilvl w:val="1"/>
                <w:numId w:val="5"/>
              </w:numPr>
              <w:ind w:left="523"/>
              <w:rPr>
                <w:rFonts w:ascii="Times New Roman" w:eastAsia="Times New Roman" w:hAnsi="Times New Roman" w:cs="Times New Roman"/>
                <w:spacing w:val="-2"/>
                <w:sz w:val="24"/>
                <w:szCs w:val="24"/>
                <w:lang w:eastAsia="lv-LV"/>
              </w:rPr>
            </w:pPr>
            <w:r w:rsidRPr="00AA66B5">
              <w:rPr>
                <w:rFonts w:ascii="Times New Roman" w:eastAsia="Times New Roman" w:hAnsi="Times New Roman" w:cs="Times New Roman"/>
                <w:spacing w:val="-2"/>
                <w:sz w:val="24"/>
                <w:szCs w:val="24"/>
                <w:lang w:eastAsia="lv-LV"/>
              </w:rPr>
              <w:t>likumprojektu "Grozījumi Finanšu instrumentu tirgus likumā";</w:t>
            </w:r>
          </w:p>
          <w:p w14:paraId="1D84FDE2" w14:textId="77777777" w:rsidR="00AA66B5" w:rsidRPr="00AA66B5" w:rsidRDefault="00AA66B5" w:rsidP="00E129F6">
            <w:pPr>
              <w:pStyle w:val="ListParagraph"/>
              <w:numPr>
                <w:ilvl w:val="1"/>
                <w:numId w:val="5"/>
              </w:numPr>
              <w:ind w:left="523"/>
              <w:rPr>
                <w:rFonts w:ascii="Times New Roman" w:eastAsia="Times New Roman" w:hAnsi="Times New Roman" w:cs="Times New Roman"/>
                <w:spacing w:val="-2"/>
                <w:sz w:val="24"/>
                <w:szCs w:val="24"/>
                <w:lang w:eastAsia="lv-LV"/>
              </w:rPr>
            </w:pPr>
            <w:r w:rsidRPr="00AA66B5">
              <w:rPr>
                <w:rFonts w:ascii="Times New Roman" w:eastAsia="Times New Roman" w:hAnsi="Times New Roman" w:cs="Times New Roman"/>
                <w:spacing w:val="-2"/>
                <w:sz w:val="24"/>
                <w:szCs w:val="24"/>
                <w:lang w:eastAsia="lv-LV"/>
              </w:rPr>
              <w:t>likumprojektu "Grozījumi Ieguldījumu pārvaldes sabiedrību likumā";</w:t>
            </w:r>
          </w:p>
          <w:p w14:paraId="120C82D3" w14:textId="77777777" w:rsidR="00AA66B5" w:rsidRPr="00AA66B5" w:rsidRDefault="00AA66B5" w:rsidP="00E129F6">
            <w:pPr>
              <w:pStyle w:val="ListParagraph"/>
              <w:numPr>
                <w:ilvl w:val="1"/>
                <w:numId w:val="5"/>
              </w:numPr>
              <w:ind w:left="523"/>
              <w:rPr>
                <w:rFonts w:ascii="Times New Roman" w:eastAsia="Times New Roman" w:hAnsi="Times New Roman" w:cs="Times New Roman"/>
                <w:spacing w:val="-2"/>
                <w:sz w:val="24"/>
                <w:szCs w:val="24"/>
                <w:lang w:eastAsia="lv-LV"/>
              </w:rPr>
            </w:pPr>
            <w:r w:rsidRPr="00AA66B5">
              <w:rPr>
                <w:rFonts w:ascii="Times New Roman" w:eastAsia="Times New Roman" w:hAnsi="Times New Roman" w:cs="Times New Roman"/>
                <w:spacing w:val="-2"/>
                <w:sz w:val="24"/>
                <w:szCs w:val="24"/>
                <w:lang w:eastAsia="lv-LV"/>
              </w:rPr>
              <w:t>likumprojektu "Grozījumi Ieguldītāju aizsardzības likumā";</w:t>
            </w:r>
          </w:p>
          <w:p w14:paraId="05038337" w14:textId="704EF15D" w:rsidR="00AA66B5" w:rsidRDefault="00AA66B5" w:rsidP="00E129F6">
            <w:pPr>
              <w:pStyle w:val="ListParagraph"/>
              <w:numPr>
                <w:ilvl w:val="1"/>
                <w:numId w:val="5"/>
              </w:numPr>
              <w:ind w:left="523"/>
              <w:rPr>
                <w:rFonts w:ascii="Times New Roman" w:eastAsia="Times New Roman" w:hAnsi="Times New Roman" w:cs="Times New Roman"/>
                <w:spacing w:val="-2"/>
                <w:sz w:val="24"/>
                <w:szCs w:val="24"/>
                <w:lang w:eastAsia="lv-LV"/>
              </w:rPr>
            </w:pPr>
            <w:r w:rsidRPr="00AA66B5">
              <w:rPr>
                <w:rFonts w:ascii="Times New Roman" w:eastAsia="Times New Roman" w:hAnsi="Times New Roman" w:cs="Times New Roman"/>
                <w:spacing w:val="-2"/>
                <w:sz w:val="24"/>
                <w:szCs w:val="24"/>
                <w:lang w:eastAsia="lv-LV"/>
              </w:rPr>
              <w:t>likumprojektu "Grozījums Ieroču aprites likumā";</w:t>
            </w:r>
          </w:p>
          <w:p w14:paraId="1F8E6756" w14:textId="11AFD37D" w:rsidR="00AA66B5" w:rsidRPr="00AA66B5" w:rsidRDefault="00AA66B5" w:rsidP="00E129F6">
            <w:pPr>
              <w:pStyle w:val="ListParagraph"/>
              <w:numPr>
                <w:ilvl w:val="1"/>
                <w:numId w:val="5"/>
              </w:numPr>
              <w:ind w:left="523"/>
              <w:rPr>
                <w:rFonts w:ascii="Times New Roman" w:eastAsia="Times New Roman" w:hAnsi="Times New Roman" w:cs="Times New Roman"/>
                <w:spacing w:val="-2"/>
                <w:sz w:val="24"/>
                <w:szCs w:val="24"/>
                <w:lang w:eastAsia="lv-LV"/>
              </w:rPr>
            </w:pPr>
            <w:r>
              <w:rPr>
                <w:rFonts w:ascii="Times New Roman" w:eastAsia="Times New Roman" w:hAnsi="Times New Roman" w:cs="Times New Roman"/>
                <w:spacing w:val="-2"/>
                <w:sz w:val="24"/>
                <w:szCs w:val="24"/>
                <w:lang w:eastAsia="lv-LV"/>
              </w:rPr>
              <w:t>likumprojektu “Grozījums Kredītiestāžu likumā”;</w:t>
            </w:r>
          </w:p>
          <w:p w14:paraId="72CD8F0C" w14:textId="77777777" w:rsidR="00AA66B5" w:rsidRPr="00AA66B5" w:rsidRDefault="00AA66B5" w:rsidP="00E129F6">
            <w:pPr>
              <w:pStyle w:val="ListParagraph"/>
              <w:numPr>
                <w:ilvl w:val="1"/>
                <w:numId w:val="5"/>
              </w:numPr>
              <w:ind w:left="523"/>
              <w:rPr>
                <w:rFonts w:ascii="Times New Roman" w:eastAsia="Times New Roman" w:hAnsi="Times New Roman" w:cs="Times New Roman"/>
                <w:spacing w:val="-2"/>
                <w:sz w:val="24"/>
                <w:szCs w:val="24"/>
                <w:lang w:eastAsia="lv-LV"/>
              </w:rPr>
            </w:pPr>
            <w:r w:rsidRPr="00AA66B5">
              <w:rPr>
                <w:rFonts w:ascii="Times New Roman" w:eastAsia="Times New Roman" w:hAnsi="Times New Roman" w:cs="Times New Roman"/>
                <w:spacing w:val="-2"/>
                <w:sz w:val="24"/>
                <w:szCs w:val="24"/>
                <w:lang w:eastAsia="lv-LV"/>
              </w:rPr>
              <w:t>likumprojektu "Grozījumi Krājaizdevu sabiedrību likumā";</w:t>
            </w:r>
          </w:p>
          <w:p w14:paraId="52F5B6CB" w14:textId="77777777" w:rsidR="00AA66B5" w:rsidRPr="00AA66B5" w:rsidRDefault="00AA66B5" w:rsidP="00E129F6">
            <w:pPr>
              <w:pStyle w:val="ListParagraph"/>
              <w:numPr>
                <w:ilvl w:val="1"/>
                <w:numId w:val="5"/>
              </w:numPr>
              <w:ind w:left="523"/>
              <w:rPr>
                <w:rFonts w:ascii="Times New Roman" w:eastAsia="Times New Roman" w:hAnsi="Times New Roman" w:cs="Times New Roman"/>
                <w:spacing w:val="-2"/>
                <w:sz w:val="24"/>
                <w:szCs w:val="24"/>
                <w:lang w:eastAsia="lv-LV"/>
              </w:rPr>
            </w:pPr>
            <w:r w:rsidRPr="00AA66B5">
              <w:rPr>
                <w:rFonts w:ascii="Times New Roman" w:eastAsia="Times New Roman" w:hAnsi="Times New Roman" w:cs="Times New Roman"/>
                <w:spacing w:val="-2"/>
                <w:sz w:val="24"/>
                <w:szCs w:val="24"/>
                <w:lang w:eastAsia="lv-LV"/>
              </w:rPr>
              <w:t>likumprojektu "Grozījumi Kredītiestāžu un ieguldījumu brokeru sabiedrību darbības atjaunošanas un noregulējuma likumā";</w:t>
            </w:r>
          </w:p>
          <w:p w14:paraId="37727844" w14:textId="77777777" w:rsidR="00AA66B5" w:rsidRPr="00AA66B5" w:rsidRDefault="00AA66B5" w:rsidP="00E129F6">
            <w:pPr>
              <w:pStyle w:val="ListParagraph"/>
              <w:numPr>
                <w:ilvl w:val="1"/>
                <w:numId w:val="5"/>
              </w:numPr>
              <w:ind w:left="523"/>
              <w:rPr>
                <w:rFonts w:ascii="Times New Roman" w:eastAsia="Times New Roman" w:hAnsi="Times New Roman" w:cs="Times New Roman"/>
                <w:spacing w:val="-2"/>
                <w:sz w:val="24"/>
                <w:szCs w:val="24"/>
                <w:lang w:eastAsia="lv-LV"/>
              </w:rPr>
            </w:pPr>
            <w:r w:rsidRPr="00AA66B5">
              <w:rPr>
                <w:rFonts w:ascii="Times New Roman" w:eastAsia="Times New Roman" w:hAnsi="Times New Roman" w:cs="Times New Roman"/>
                <w:spacing w:val="-2"/>
                <w:sz w:val="24"/>
                <w:szCs w:val="24"/>
                <w:lang w:eastAsia="lv-LV"/>
              </w:rPr>
              <w:t>likumprojektu "Grozījumi Kredītu reģistra likumā";</w:t>
            </w:r>
          </w:p>
          <w:p w14:paraId="3D7C9F78" w14:textId="77777777" w:rsidR="00AA66B5" w:rsidRPr="00AA66B5" w:rsidRDefault="00AA66B5" w:rsidP="00E129F6">
            <w:pPr>
              <w:pStyle w:val="ListParagraph"/>
              <w:numPr>
                <w:ilvl w:val="1"/>
                <w:numId w:val="5"/>
              </w:numPr>
              <w:ind w:left="523"/>
              <w:rPr>
                <w:rFonts w:ascii="Times New Roman" w:eastAsia="Times New Roman" w:hAnsi="Times New Roman" w:cs="Times New Roman"/>
                <w:spacing w:val="-2"/>
                <w:sz w:val="24"/>
                <w:szCs w:val="24"/>
                <w:lang w:eastAsia="lv-LV"/>
              </w:rPr>
            </w:pPr>
            <w:r w:rsidRPr="00AA66B5">
              <w:rPr>
                <w:rFonts w:ascii="Times New Roman" w:eastAsia="Times New Roman" w:hAnsi="Times New Roman" w:cs="Times New Roman"/>
                <w:spacing w:val="-2"/>
                <w:sz w:val="24"/>
                <w:szCs w:val="24"/>
                <w:lang w:eastAsia="lv-LV"/>
              </w:rPr>
              <w:t>likumprojektu "Grozījums Latvijas Republikas Zemessardzes likumā";</w:t>
            </w:r>
          </w:p>
          <w:p w14:paraId="741ED57E" w14:textId="77777777" w:rsidR="00AA66B5" w:rsidRPr="00AA66B5" w:rsidRDefault="00AA66B5" w:rsidP="00E129F6">
            <w:pPr>
              <w:pStyle w:val="ListParagraph"/>
              <w:numPr>
                <w:ilvl w:val="1"/>
                <w:numId w:val="5"/>
              </w:numPr>
              <w:ind w:left="523"/>
              <w:rPr>
                <w:rFonts w:ascii="Times New Roman" w:eastAsia="Times New Roman" w:hAnsi="Times New Roman" w:cs="Times New Roman"/>
                <w:spacing w:val="-2"/>
                <w:sz w:val="24"/>
                <w:szCs w:val="24"/>
                <w:lang w:eastAsia="lv-LV"/>
              </w:rPr>
            </w:pPr>
            <w:r w:rsidRPr="00AA66B5">
              <w:rPr>
                <w:rFonts w:ascii="Times New Roman" w:eastAsia="Times New Roman" w:hAnsi="Times New Roman" w:cs="Times New Roman"/>
                <w:spacing w:val="-2"/>
                <w:sz w:val="24"/>
                <w:szCs w:val="24"/>
                <w:lang w:eastAsia="lv-LV"/>
              </w:rPr>
              <w:t>likumprojektu "Grozījumi Maksājumu pakalpojumu un elektroniskās naudas likumā";</w:t>
            </w:r>
          </w:p>
          <w:p w14:paraId="5DF12800" w14:textId="77777777" w:rsidR="00AA66B5" w:rsidRPr="00AA66B5" w:rsidRDefault="00AA66B5" w:rsidP="00E129F6">
            <w:pPr>
              <w:pStyle w:val="ListParagraph"/>
              <w:numPr>
                <w:ilvl w:val="1"/>
                <w:numId w:val="5"/>
              </w:numPr>
              <w:ind w:left="523"/>
              <w:rPr>
                <w:rFonts w:ascii="Times New Roman" w:eastAsia="Times New Roman" w:hAnsi="Times New Roman" w:cs="Times New Roman"/>
                <w:spacing w:val="-2"/>
                <w:sz w:val="24"/>
                <w:szCs w:val="24"/>
                <w:lang w:eastAsia="lv-LV"/>
              </w:rPr>
            </w:pPr>
            <w:r w:rsidRPr="00AA66B5">
              <w:rPr>
                <w:rFonts w:ascii="Times New Roman" w:eastAsia="Times New Roman" w:hAnsi="Times New Roman" w:cs="Times New Roman"/>
                <w:spacing w:val="-2"/>
                <w:sz w:val="24"/>
                <w:szCs w:val="24"/>
                <w:lang w:eastAsia="lv-LV"/>
              </w:rPr>
              <w:t>likumprojektu "Grozījumi Noguldījumu garantiju likumā";</w:t>
            </w:r>
          </w:p>
          <w:p w14:paraId="07987121" w14:textId="77777777" w:rsidR="00AA66B5" w:rsidRPr="00AA66B5" w:rsidRDefault="00AA66B5" w:rsidP="00E129F6">
            <w:pPr>
              <w:pStyle w:val="ListParagraph"/>
              <w:numPr>
                <w:ilvl w:val="1"/>
                <w:numId w:val="5"/>
              </w:numPr>
              <w:ind w:left="523"/>
              <w:rPr>
                <w:rFonts w:ascii="Times New Roman" w:eastAsia="Times New Roman" w:hAnsi="Times New Roman" w:cs="Times New Roman"/>
                <w:spacing w:val="-2"/>
                <w:sz w:val="24"/>
                <w:szCs w:val="24"/>
                <w:lang w:eastAsia="lv-LV"/>
              </w:rPr>
            </w:pPr>
            <w:r w:rsidRPr="00AA66B5">
              <w:rPr>
                <w:rFonts w:ascii="Times New Roman" w:eastAsia="Times New Roman" w:hAnsi="Times New Roman" w:cs="Times New Roman"/>
                <w:spacing w:val="-2"/>
                <w:sz w:val="24"/>
                <w:szCs w:val="24"/>
                <w:lang w:eastAsia="lv-LV"/>
              </w:rPr>
              <w:t>likumprojektu "Grozījumi Noziedzīgi iegūtu līdzekļu legalizācijas un terorisma un proliferācijas finansēšanas novēršanas likumā";</w:t>
            </w:r>
          </w:p>
          <w:p w14:paraId="7E38AC64" w14:textId="77777777" w:rsidR="00AA66B5" w:rsidRPr="00AA66B5" w:rsidRDefault="00AA66B5" w:rsidP="00E129F6">
            <w:pPr>
              <w:pStyle w:val="ListParagraph"/>
              <w:numPr>
                <w:ilvl w:val="1"/>
                <w:numId w:val="5"/>
              </w:numPr>
              <w:ind w:left="523"/>
              <w:rPr>
                <w:rFonts w:ascii="Times New Roman" w:eastAsia="Times New Roman" w:hAnsi="Times New Roman" w:cs="Times New Roman"/>
                <w:spacing w:val="-2"/>
                <w:sz w:val="24"/>
                <w:szCs w:val="24"/>
                <w:lang w:eastAsia="lv-LV"/>
              </w:rPr>
            </w:pPr>
            <w:r w:rsidRPr="00AA66B5">
              <w:rPr>
                <w:rFonts w:ascii="Times New Roman" w:eastAsia="Times New Roman" w:hAnsi="Times New Roman" w:cs="Times New Roman"/>
                <w:spacing w:val="-2"/>
                <w:sz w:val="24"/>
                <w:szCs w:val="24"/>
                <w:lang w:eastAsia="lv-LV"/>
              </w:rPr>
              <w:t>likumprojektu "Grozījumi Privāto pensiju fondu likumā";</w:t>
            </w:r>
          </w:p>
          <w:p w14:paraId="5F3A7B60" w14:textId="77777777" w:rsidR="00AA66B5" w:rsidRPr="00AA66B5" w:rsidRDefault="00AA66B5" w:rsidP="00E129F6">
            <w:pPr>
              <w:pStyle w:val="ListParagraph"/>
              <w:numPr>
                <w:ilvl w:val="1"/>
                <w:numId w:val="5"/>
              </w:numPr>
              <w:ind w:left="523"/>
              <w:rPr>
                <w:rFonts w:ascii="Times New Roman" w:eastAsia="Times New Roman" w:hAnsi="Times New Roman" w:cs="Times New Roman"/>
                <w:spacing w:val="-2"/>
                <w:sz w:val="24"/>
                <w:szCs w:val="24"/>
                <w:lang w:eastAsia="lv-LV"/>
              </w:rPr>
            </w:pPr>
            <w:r w:rsidRPr="00AA66B5">
              <w:rPr>
                <w:rFonts w:ascii="Times New Roman" w:eastAsia="Times New Roman" w:hAnsi="Times New Roman" w:cs="Times New Roman"/>
                <w:spacing w:val="-2"/>
                <w:sz w:val="24"/>
                <w:szCs w:val="24"/>
                <w:lang w:eastAsia="lv-LV"/>
              </w:rPr>
              <w:t>likumprojektu "Grozījumi Starptautisko un Latvijas Republikas nacionālo sankciju likumā";</w:t>
            </w:r>
          </w:p>
          <w:p w14:paraId="619C063D" w14:textId="77777777" w:rsidR="00AA66B5" w:rsidRPr="00AA66B5" w:rsidRDefault="00AA66B5" w:rsidP="00E129F6">
            <w:pPr>
              <w:pStyle w:val="ListParagraph"/>
              <w:numPr>
                <w:ilvl w:val="1"/>
                <w:numId w:val="5"/>
              </w:numPr>
              <w:ind w:left="523"/>
              <w:rPr>
                <w:rFonts w:ascii="Times New Roman" w:eastAsia="Times New Roman" w:hAnsi="Times New Roman" w:cs="Times New Roman"/>
                <w:spacing w:val="-2"/>
                <w:sz w:val="24"/>
                <w:szCs w:val="24"/>
                <w:lang w:eastAsia="lv-LV"/>
              </w:rPr>
            </w:pPr>
            <w:r w:rsidRPr="00AA66B5">
              <w:rPr>
                <w:rFonts w:ascii="Times New Roman" w:eastAsia="Times New Roman" w:hAnsi="Times New Roman" w:cs="Times New Roman"/>
                <w:spacing w:val="-2"/>
                <w:sz w:val="24"/>
                <w:szCs w:val="24"/>
                <w:lang w:eastAsia="lv-LV"/>
              </w:rPr>
              <w:t>likumprojektu "Grozījumi Stratēģiskas nozīmes preču aprites likumā";</w:t>
            </w:r>
          </w:p>
          <w:p w14:paraId="39A82F5F" w14:textId="77777777" w:rsidR="00AA66B5" w:rsidRPr="00AA66B5" w:rsidRDefault="00AA66B5" w:rsidP="00E129F6">
            <w:pPr>
              <w:pStyle w:val="ListParagraph"/>
              <w:numPr>
                <w:ilvl w:val="1"/>
                <w:numId w:val="5"/>
              </w:numPr>
              <w:ind w:left="523"/>
              <w:rPr>
                <w:rFonts w:ascii="Times New Roman" w:eastAsia="Times New Roman" w:hAnsi="Times New Roman" w:cs="Times New Roman"/>
                <w:spacing w:val="-2"/>
                <w:sz w:val="24"/>
                <w:szCs w:val="24"/>
                <w:lang w:eastAsia="lv-LV"/>
              </w:rPr>
            </w:pPr>
            <w:r w:rsidRPr="00AA66B5">
              <w:rPr>
                <w:rFonts w:ascii="Times New Roman" w:eastAsia="Times New Roman" w:hAnsi="Times New Roman" w:cs="Times New Roman"/>
                <w:spacing w:val="-2"/>
                <w:sz w:val="24"/>
                <w:szCs w:val="24"/>
                <w:lang w:eastAsia="lv-LV"/>
              </w:rPr>
              <w:t>likumprojektu "Grozījumi Uzņēmumu ienākuma nodokļa likumā";</w:t>
            </w:r>
          </w:p>
          <w:p w14:paraId="042E27DB" w14:textId="77777777" w:rsidR="00AA66B5" w:rsidRPr="00AA66B5" w:rsidRDefault="00AA66B5" w:rsidP="00E129F6">
            <w:pPr>
              <w:pStyle w:val="ListParagraph"/>
              <w:numPr>
                <w:ilvl w:val="1"/>
                <w:numId w:val="5"/>
              </w:numPr>
              <w:ind w:left="523"/>
              <w:rPr>
                <w:rFonts w:ascii="Times New Roman" w:eastAsia="Times New Roman" w:hAnsi="Times New Roman" w:cs="Times New Roman"/>
                <w:spacing w:val="-2"/>
                <w:sz w:val="24"/>
                <w:szCs w:val="24"/>
                <w:lang w:eastAsia="lv-LV"/>
              </w:rPr>
            </w:pPr>
            <w:r w:rsidRPr="00AA66B5">
              <w:rPr>
                <w:rFonts w:ascii="Times New Roman" w:eastAsia="Times New Roman" w:hAnsi="Times New Roman" w:cs="Times New Roman"/>
                <w:spacing w:val="-2"/>
                <w:sz w:val="24"/>
                <w:szCs w:val="24"/>
                <w:lang w:eastAsia="lv-LV"/>
              </w:rPr>
              <w:t>likumprojektu "Grozījumi Valsts fondēto pensiju likumā";</w:t>
            </w:r>
          </w:p>
          <w:p w14:paraId="346C943C" w14:textId="77777777" w:rsidR="004437AB" w:rsidRDefault="00AA66B5" w:rsidP="00E129F6">
            <w:pPr>
              <w:pStyle w:val="ListParagraph"/>
              <w:numPr>
                <w:ilvl w:val="1"/>
                <w:numId w:val="5"/>
              </w:numPr>
              <w:ind w:left="523"/>
              <w:rPr>
                <w:rFonts w:ascii="Times New Roman" w:eastAsia="Times New Roman" w:hAnsi="Times New Roman" w:cs="Times New Roman"/>
                <w:spacing w:val="-2"/>
                <w:sz w:val="24"/>
                <w:szCs w:val="24"/>
                <w:lang w:eastAsia="lv-LV"/>
              </w:rPr>
            </w:pPr>
            <w:r w:rsidRPr="00AA66B5">
              <w:rPr>
                <w:rFonts w:ascii="Times New Roman" w:eastAsia="Times New Roman" w:hAnsi="Times New Roman" w:cs="Times New Roman"/>
                <w:spacing w:val="-2"/>
                <w:sz w:val="24"/>
                <w:szCs w:val="24"/>
                <w:lang w:eastAsia="lv-LV"/>
              </w:rPr>
              <w:t>likumprojektu "Grozījumi Valsts un pašvaldību institūciju amatpersonu un darbinieku atlīdzības likumā".</w:t>
            </w:r>
          </w:p>
          <w:p w14:paraId="4737DBFA" w14:textId="5E2C83EF" w:rsidR="00AA66B5" w:rsidRPr="00AA66B5" w:rsidRDefault="00AA66B5" w:rsidP="00AA66B5">
            <w:pPr>
              <w:rPr>
                <w:rFonts w:ascii="Times New Roman" w:eastAsia="Times New Roman" w:hAnsi="Times New Roman" w:cs="Times New Roman"/>
                <w:spacing w:val="-2"/>
                <w:sz w:val="24"/>
                <w:szCs w:val="24"/>
                <w:lang w:eastAsia="lv-LV"/>
              </w:rPr>
            </w:pPr>
            <w:r w:rsidRPr="00AA66B5">
              <w:rPr>
                <w:rFonts w:ascii="Times New Roman" w:eastAsia="Times New Roman" w:hAnsi="Times New Roman" w:cs="Times New Roman"/>
                <w:spacing w:val="-2"/>
                <w:sz w:val="24"/>
                <w:szCs w:val="24"/>
                <w:lang w:eastAsia="lv-LV"/>
              </w:rPr>
              <w:t>Likumprojekts un pārējie šajā punktā iekļautie likumprojekti vienkopus ir apkopoti un norādīti kā tie ar likumprojektu "Latvijas Bankas likums" saistītie normatīvie akti, kuros nepieciešams veikt attiecīgās izmaiņas.</w:t>
            </w:r>
          </w:p>
        </w:tc>
      </w:tr>
      <w:tr w:rsidR="004437AB" w:rsidRPr="004437AB" w14:paraId="692BFA1F" w14:textId="77777777" w:rsidTr="004437AB">
        <w:trPr>
          <w:tblCellSpacing w:w="15" w:type="dxa"/>
        </w:trPr>
        <w:tc>
          <w:tcPr>
            <w:tcW w:w="25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7E5BE4A5" w14:textId="77777777" w:rsidR="004437AB" w:rsidRPr="004437AB" w:rsidRDefault="004437AB"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2.</w:t>
            </w:r>
          </w:p>
        </w:tc>
        <w:tc>
          <w:tcPr>
            <w:tcW w:w="95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265F83BB" w14:textId="77777777" w:rsidR="004437AB" w:rsidRPr="004437AB" w:rsidRDefault="004437AB"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Atbildīgā institūcija</w:t>
            </w:r>
          </w:p>
        </w:tc>
        <w:tc>
          <w:tcPr>
            <w:tcW w:w="36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394D6517" w14:textId="06D1895A" w:rsidR="004437AB" w:rsidRPr="004437AB" w:rsidRDefault="00C33E4E" w:rsidP="004437AB">
            <w:pPr>
              <w:spacing w:after="0" w:line="240" w:lineRule="auto"/>
              <w:rPr>
                <w:rFonts w:ascii="Calibri" w:eastAsia="Times New Roman" w:hAnsi="Calibri" w:cs="Calibri"/>
                <w:lang w:eastAsia="lv-LV"/>
              </w:rPr>
            </w:pPr>
            <w:r>
              <w:rPr>
                <w:rFonts w:ascii="Times New Roman" w:eastAsia="Times New Roman" w:hAnsi="Times New Roman" w:cs="Times New Roman"/>
                <w:spacing w:val="-2"/>
                <w:sz w:val="24"/>
                <w:szCs w:val="24"/>
                <w:lang w:eastAsia="lv-LV"/>
              </w:rPr>
              <w:t>Finanšu ministrija, Latvijas Banka</w:t>
            </w:r>
            <w:r w:rsidR="007D3D10">
              <w:rPr>
                <w:rFonts w:ascii="Times New Roman" w:eastAsia="Times New Roman" w:hAnsi="Times New Roman" w:cs="Times New Roman"/>
                <w:spacing w:val="-2"/>
                <w:sz w:val="24"/>
                <w:szCs w:val="24"/>
                <w:lang w:eastAsia="lv-LV"/>
              </w:rPr>
              <w:t>, FKTK</w:t>
            </w:r>
          </w:p>
        </w:tc>
      </w:tr>
      <w:tr w:rsidR="004437AB" w:rsidRPr="004437AB" w14:paraId="0F9AA465" w14:textId="77777777" w:rsidTr="004437AB">
        <w:trPr>
          <w:tblCellSpacing w:w="15" w:type="dxa"/>
        </w:trPr>
        <w:tc>
          <w:tcPr>
            <w:tcW w:w="25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7275E23" w14:textId="77777777" w:rsidR="004437AB" w:rsidRPr="004437AB" w:rsidRDefault="004437AB"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3.</w:t>
            </w:r>
          </w:p>
        </w:tc>
        <w:tc>
          <w:tcPr>
            <w:tcW w:w="95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1C534D9E" w14:textId="77777777" w:rsidR="004437AB" w:rsidRPr="004437AB" w:rsidRDefault="004437AB"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Cita informācija</w:t>
            </w:r>
          </w:p>
        </w:tc>
        <w:tc>
          <w:tcPr>
            <w:tcW w:w="36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42D56543" w14:textId="77777777" w:rsidR="004437AB" w:rsidRPr="004437AB" w:rsidRDefault="004437AB"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Nav.</w:t>
            </w:r>
          </w:p>
        </w:tc>
      </w:tr>
    </w:tbl>
    <w:p w14:paraId="3AA15D21" w14:textId="77777777" w:rsidR="004437AB" w:rsidRPr="004437AB" w:rsidRDefault="004437AB" w:rsidP="004437AB">
      <w:pPr>
        <w:shd w:val="clear" w:color="auto" w:fill="FFFFFF"/>
        <w:spacing w:after="0" w:line="240" w:lineRule="auto"/>
        <w:rPr>
          <w:rFonts w:ascii="Calibri" w:eastAsia="Times New Roman" w:hAnsi="Calibri" w:cs="Calibri"/>
          <w:color w:val="000000"/>
          <w:lang w:eastAsia="lv-LV"/>
        </w:rPr>
      </w:pPr>
      <w:r w:rsidRPr="004437AB">
        <w:rPr>
          <w:rFonts w:ascii="Times New Roman" w:eastAsia="Times New Roman" w:hAnsi="Times New Roman" w:cs="Times New Roman"/>
          <w:color w:val="000000"/>
          <w:spacing w:val="-2"/>
          <w:sz w:val="24"/>
          <w:szCs w:val="24"/>
          <w:lang w:eastAsia="lv-LV"/>
        </w:rPr>
        <w:t> </w:t>
      </w:r>
    </w:p>
    <w:tbl>
      <w:tblPr>
        <w:tblW w:w="9261"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16"/>
        <w:gridCol w:w="2312"/>
        <w:gridCol w:w="6433"/>
      </w:tblGrid>
      <w:tr w:rsidR="004437AB" w:rsidRPr="004437AB" w14:paraId="232BAEAA" w14:textId="77777777" w:rsidTr="00AA66B5">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B7E9BCB" w14:textId="77777777" w:rsidR="004437AB" w:rsidRPr="004437AB" w:rsidRDefault="004437AB" w:rsidP="004437AB">
            <w:pPr>
              <w:spacing w:after="0" w:line="240" w:lineRule="auto"/>
              <w:jc w:val="center"/>
              <w:rPr>
                <w:rFonts w:ascii="Calibri" w:eastAsia="Times New Roman" w:hAnsi="Calibri" w:cs="Calibri"/>
                <w:lang w:eastAsia="lv-LV"/>
              </w:rPr>
            </w:pPr>
            <w:r w:rsidRPr="004437AB">
              <w:rPr>
                <w:rFonts w:ascii="Times New Roman" w:eastAsia="Times New Roman" w:hAnsi="Times New Roman" w:cs="Times New Roman"/>
                <w:b/>
                <w:bCs/>
                <w:spacing w:val="-2"/>
                <w:sz w:val="24"/>
                <w:szCs w:val="24"/>
                <w:lang w:eastAsia="lv-LV"/>
              </w:rPr>
              <w:t>V. Tiesību akta projekta atbilstība Latvijas Republikas starptautiskajām saistībām</w:t>
            </w:r>
          </w:p>
        </w:tc>
      </w:tr>
      <w:tr w:rsidR="006F7501" w:rsidRPr="004437AB" w14:paraId="5015BB92" w14:textId="77777777" w:rsidTr="008B2448">
        <w:trPr>
          <w:tblCellSpacing w:w="15" w:type="dxa"/>
        </w:trPr>
        <w:tc>
          <w:tcPr>
            <w:tcW w:w="254"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DD86328" w14:textId="77777777" w:rsidR="006F7501" w:rsidRPr="004437AB" w:rsidRDefault="006F7501"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1.</w:t>
            </w:r>
          </w:p>
        </w:tc>
        <w:tc>
          <w:tcPr>
            <w:tcW w:w="1232"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160E699" w14:textId="77777777" w:rsidR="006F7501" w:rsidRPr="004437AB" w:rsidRDefault="006F7501"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Saistības pret Eiropas Savienību</w:t>
            </w:r>
          </w:p>
        </w:tc>
        <w:tc>
          <w:tcPr>
            <w:tcW w:w="3449"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0D7B5919" w14:textId="4B00DF09" w:rsidR="006F7501" w:rsidRPr="004437AB" w:rsidRDefault="00AA66B5" w:rsidP="00AA66B5">
            <w:pPr>
              <w:spacing w:after="0" w:line="240" w:lineRule="auto"/>
              <w:jc w:val="both"/>
              <w:rPr>
                <w:rFonts w:ascii="Calibri" w:eastAsia="Times New Roman" w:hAnsi="Calibri" w:cs="Calibri"/>
                <w:lang w:eastAsia="lv-LV"/>
              </w:rPr>
            </w:pPr>
            <w:r>
              <w:rPr>
                <w:rFonts w:ascii="Times New Roman" w:eastAsia="Times New Roman" w:hAnsi="Times New Roman" w:cs="Times New Roman"/>
                <w:spacing w:val="-2"/>
                <w:sz w:val="24"/>
                <w:szCs w:val="24"/>
                <w:lang w:eastAsia="lv-LV"/>
              </w:rPr>
              <w:t>Nav.</w:t>
            </w:r>
          </w:p>
        </w:tc>
      </w:tr>
      <w:tr w:rsidR="006F7501" w:rsidRPr="004437AB" w14:paraId="42430847" w14:textId="77777777" w:rsidTr="008B2448">
        <w:trPr>
          <w:tblCellSpacing w:w="15" w:type="dxa"/>
        </w:trPr>
        <w:tc>
          <w:tcPr>
            <w:tcW w:w="254"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6CC99F50" w14:textId="77777777" w:rsidR="006F7501" w:rsidRPr="004437AB" w:rsidRDefault="006F7501"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2.</w:t>
            </w:r>
          </w:p>
        </w:tc>
        <w:tc>
          <w:tcPr>
            <w:tcW w:w="1232"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0DF1A0A6" w14:textId="77777777" w:rsidR="006F7501" w:rsidRPr="004437AB" w:rsidRDefault="006F7501"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Citas starptautiskās saistības</w:t>
            </w:r>
          </w:p>
        </w:tc>
        <w:tc>
          <w:tcPr>
            <w:tcW w:w="3449"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09ACB907" w14:textId="189298E9" w:rsidR="006F7501" w:rsidRPr="004437AB" w:rsidRDefault="00AA66B5" w:rsidP="004437AB">
            <w:pPr>
              <w:spacing w:after="0" w:line="240" w:lineRule="auto"/>
              <w:rPr>
                <w:rFonts w:ascii="Calibri" w:eastAsia="Times New Roman" w:hAnsi="Calibri" w:cs="Calibri"/>
                <w:lang w:eastAsia="lv-LV"/>
              </w:rPr>
            </w:pPr>
            <w:r>
              <w:rPr>
                <w:rFonts w:ascii="Times New Roman" w:eastAsia="Times New Roman" w:hAnsi="Times New Roman" w:cs="Times New Roman"/>
                <w:spacing w:val="-2"/>
                <w:sz w:val="24"/>
                <w:szCs w:val="24"/>
                <w:lang w:eastAsia="lv-LV"/>
              </w:rPr>
              <w:t>Nav.</w:t>
            </w:r>
          </w:p>
        </w:tc>
      </w:tr>
      <w:tr w:rsidR="006F7501" w:rsidRPr="004437AB" w14:paraId="6C2B909C" w14:textId="77777777" w:rsidTr="008B2448">
        <w:trPr>
          <w:tblCellSpacing w:w="15" w:type="dxa"/>
        </w:trPr>
        <w:tc>
          <w:tcPr>
            <w:tcW w:w="254"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20A15141" w14:textId="77777777" w:rsidR="006F7501" w:rsidRPr="004437AB" w:rsidRDefault="006F7501"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3.</w:t>
            </w:r>
          </w:p>
        </w:tc>
        <w:tc>
          <w:tcPr>
            <w:tcW w:w="1232"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67B6ECB3" w14:textId="77777777" w:rsidR="006F7501" w:rsidRPr="004437AB" w:rsidRDefault="006F7501"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Cita informācija</w:t>
            </w:r>
          </w:p>
        </w:tc>
        <w:tc>
          <w:tcPr>
            <w:tcW w:w="3449"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3D6CFE78" w14:textId="2F5E65D5" w:rsidR="00A36C12" w:rsidRDefault="00A36C12" w:rsidP="003C5E4A">
            <w:pPr>
              <w:spacing w:after="0" w:line="240" w:lineRule="auto"/>
              <w:jc w:val="both"/>
              <w:rPr>
                <w:rFonts w:ascii="Times New Roman" w:eastAsia="Times New Roman" w:hAnsi="Times New Roman" w:cs="Times New Roman"/>
                <w:spacing w:val="-2"/>
                <w:sz w:val="24"/>
                <w:szCs w:val="24"/>
                <w:lang w:eastAsia="lv-LV"/>
              </w:rPr>
            </w:pPr>
            <w:r w:rsidRPr="00A36C12">
              <w:rPr>
                <w:rFonts w:ascii="Times New Roman" w:eastAsia="Times New Roman" w:hAnsi="Times New Roman" w:cs="Times New Roman"/>
                <w:spacing w:val="-2"/>
                <w:sz w:val="24"/>
                <w:szCs w:val="24"/>
                <w:lang w:eastAsia="lv-LV"/>
              </w:rPr>
              <w:t xml:space="preserve">Saskaņā ar Līguma par Eiropas Savienības darbību 127. panta 4. punktu, 282. panta 5. punktu un </w:t>
            </w:r>
            <w:r w:rsidR="00AA66B5" w:rsidRPr="00AA66B5">
              <w:rPr>
                <w:rFonts w:ascii="Times New Roman" w:eastAsia="Times New Roman" w:hAnsi="Times New Roman" w:cs="Times New Roman"/>
                <w:spacing w:val="-2"/>
                <w:sz w:val="24"/>
                <w:szCs w:val="24"/>
                <w:lang w:eastAsia="lv-LV"/>
              </w:rPr>
              <w:t>tā 4. protokol</w:t>
            </w:r>
            <w:r w:rsidR="00AA66B5">
              <w:rPr>
                <w:rFonts w:ascii="Times New Roman" w:eastAsia="Times New Roman" w:hAnsi="Times New Roman" w:cs="Times New Roman"/>
                <w:spacing w:val="-2"/>
                <w:sz w:val="24"/>
                <w:szCs w:val="24"/>
                <w:lang w:eastAsia="lv-LV"/>
              </w:rPr>
              <w:t>a</w:t>
            </w:r>
            <w:r w:rsidR="00AA66B5" w:rsidRPr="00AA66B5">
              <w:rPr>
                <w:rFonts w:ascii="Times New Roman" w:eastAsia="Times New Roman" w:hAnsi="Times New Roman" w:cs="Times New Roman"/>
                <w:spacing w:val="-2"/>
                <w:sz w:val="24"/>
                <w:szCs w:val="24"/>
                <w:lang w:eastAsia="lv-LV"/>
              </w:rPr>
              <w:t xml:space="preserve"> "Par Eiropas Centrālo banku sistēmas un Eiropas Centrālās bankas Statūtiem"</w:t>
            </w:r>
            <w:r w:rsidRPr="00A36C12">
              <w:rPr>
                <w:rFonts w:ascii="Times New Roman" w:eastAsia="Times New Roman" w:hAnsi="Times New Roman" w:cs="Times New Roman"/>
                <w:spacing w:val="-2"/>
                <w:sz w:val="24"/>
                <w:szCs w:val="24"/>
                <w:lang w:eastAsia="lv-LV"/>
              </w:rPr>
              <w:t xml:space="preserve"> 4. pantu par likumprojektu "Latvijas Bankas likums" ir nepieciešams saņemt Eiropas Centrālās </w:t>
            </w:r>
            <w:r w:rsidR="00347050">
              <w:rPr>
                <w:rFonts w:ascii="Times New Roman" w:eastAsia="Times New Roman" w:hAnsi="Times New Roman" w:cs="Times New Roman"/>
                <w:spacing w:val="-2"/>
                <w:sz w:val="24"/>
                <w:szCs w:val="24"/>
                <w:lang w:eastAsia="lv-LV"/>
              </w:rPr>
              <w:t>b</w:t>
            </w:r>
            <w:r w:rsidRPr="00A36C12">
              <w:rPr>
                <w:rFonts w:ascii="Times New Roman" w:eastAsia="Times New Roman" w:hAnsi="Times New Roman" w:cs="Times New Roman"/>
                <w:spacing w:val="-2"/>
                <w:sz w:val="24"/>
                <w:szCs w:val="24"/>
                <w:lang w:eastAsia="lv-LV"/>
              </w:rPr>
              <w:t>ankas atzinumu. Ņemot vērā, ka Likumprojekts ir saistīts ar likumprojektu "Latvijas Bankas likums", arī par to ir nepieciešams saņemt Eiropas Centrālās bankas atzinumu.</w:t>
            </w:r>
          </w:p>
          <w:p w14:paraId="6FA370CE" w14:textId="56EF9D46" w:rsidR="006F7501" w:rsidRPr="004437AB" w:rsidRDefault="006F7501" w:rsidP="00A36C12">
            <w:pPr>
              <w:spacing w:after="0" w:line="240" w:lineRule="auto"/>
              <w:rPr>
                <w:rFonts w:ascii="Calibri" w:eastAsia="Times New Roman" w:hAnsi="Calibri" w:cs="Calibri"/>
                <w:lang w:eastAsia="lv-LV"/>
              </w:rPr>
            </w:pPr>
          </w:p>
        </w:tc>
      </w:tr>
    </w:tbl>
    <w:p w14:paraId="1DC49C1A" w14:textId="77777777" w:rsidR="004437AB" w:rsidRPr="004437AB" w:rsidRDefault="004437AB" w:rsidP="004437AB">
      <w:pPr>
        <w:shd w:val="clear" w:color="auto" w:fill="FFFFFF"/>
        <w:spacing w:after="0" w:line="240" w:lineRule="auto"/>
        <w:rPr>
          <w:rFonts w:ascii="Calibri" w:eastAsia="Times New Roman" w:hAnsi="Calibri" w:cs="Calibri"/>
          <w:color w:val="000000"/>
          <w:lang w:eastAsia="lv-LV"/>
        </w:rPr>
      </w:pPr>
      <w:r w:rsidRPr="004437AB">
        <w:rPr>
          <w:rFonts w:ascii="Times New Roman" w:eastAsia="Times New Roman" w:hAnsi="Times New Roman" w:cs="Times New Roman"/>
          <w:color w:val="000000"/>
          <w:spacing w:val="-2"/>
          <w:sz w:val="24"/>
          <w:szCs w:val="24"/>
          <w:lang w:eastAsia="lv-LV"/>
        </w:rPr>
        <w:t> </w:t>
      </w:r>
    </w:p>
    <w:tbl>
      <w:tblPr>
        <w:tblW w:w="9366" w:type="dxa"/>
        <w:tblCellSpacing w:w="15"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373"/>
        <w:gridCol w:w="2063"/>
        <w:gridCol w:w="6930"/>
      </w:tblGrid>
      <w:tr w:rsidR="004437AB" w:rsidRPr="004437AB" w14:paraId="543D41C8" w14:textId="77777777" w:rsidTr="00471793">
        <w:trPr>
          <w:trHeight w:val="280"/>
          <w:tblCellSpacing w:w="15" w:type="dxa"/>
        </w:trPr>
        <w:tc>
          <w:tcPr>
            <w:tcW w:w="9306" w:type="dxa"/>
            <w:gridSpan w:val="3"/>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AA55868" w14:textId="77777777" w:rsidR="004437AB" w:rsidRPr="004437AB" w:rsidRDefault="004437AB" w:rsidP="004437AB">
            <w:pPr>
              <w:spacing w:after="0" w:line="240" w:lineRule="auto"/>
              <w:jc w:val="center"/>
              <w:rPr>
                <w:rFonts w:ascii="Calibri" w:eastAsia="Times New Roman" w:hAnsi="Calibri" w:cs="Calibri"/>
                <w:lang w:eastAsia="lv-LV"/>
              </w:rPr>
            </w:pPr>
            <w:r w:rsidRPr="004437AB">
              <w:rPr>
                <w:rFonts w:ascii="Times New Roman" w:eastAsia="Times New Roman" w:hAnsi="Times New Roman" w:cs="Times New Roman"/>
                <w:b/>
                <w:bCs/>
                <w:spacing w:val="-2"/>
                <w:sz w:val="24"/>
                <w:szCs w:val="24"/>
                <w:lang w:eastAsia="lv-LV"/>
              </w:rPr>
              <w:t>VI. Sabiedrības līdzdalība un komunikācijas aktivitātes</w:t>
            </w:r>
          </w:p>
        </w:tc>
      </w:tr>
      <w:tr w:rsidR="004437AB" w:rsidRPr="004437AB" w14:paraId="6A87A048" w14:textId="77777777" w:rsidTr="00471793">
        <w:trPr>
          <w:trHeight w:val="1660"/>
          <w:tblCellSpacing w:w="15" w:type="dxa"/>
        </w:trPr>
        <w:tc>
          <w:tcPr>
            <w:tcW w:w="32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4D1171BE" w14:textId="77777777" w:rsidR="004437AB" w:rsidRPr="004437AB" w:rsidRDefault="004437AB"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1.</w:t>
            </w:r>
          </w:p>
        </w:tc>
        <w:tc>
          <w:tcPr>
            <w:tcW w:w="203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314568EE" w14:textId="77777777" w:rsidR="004437AB" w:rsidRPr="004437AB" w:rsidRDefault="004437AB"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Plānotās sabiedrības līdzdalības un komunikācijas aktivitātes saistībā ar projektu</w:t>
            </w:r>
          </w:p>
        </w:tc>
        <w:tc>
          <w:tcPr>
            <w:tcW w:w="688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0C7FC085" w14:textId="496FF7C8" w:rsidR="000D599E" w:rsidRPr="000D599E" w:rsidRDefault="000D599E" w:rsidP="000D599E">
            <w:pPr>
              <w:spacing w:after="0" w:line="240" w:lineRule="auto"/>
              <w:jc w:val="both"/>
              <w:rPr>
                <w:rFonts w:ascii="Times New Roman" w:eastAsia="Times New Roman" w:hAnsi="Times New Roman" w:cs="Times New Roman"/>
                <w:spacing w:val="-2"/>
                <w:sz w:val="24"/>
                <w:szCs w:val="24"/>
                <w:lang w:eastAsia="lv-LV"/>
              </w:rPr>
            </w:pPr>
            <w:r w:rsidRPr="000D599E">
              <w:rPr>
                <w:rFonts w:ascii="Times New Roman" w:eastAsia="Times New Roman" w:hAnsi="Times New Roman" w:cs="Times New Roman"/>
                <w:spacing w:val="-2"/>
                <w:sz w:val="24"/>
                <w:szCs w:val="24"/>
                <w:lang w:eastAsia="lv-LV"/>
              </w:rPr>
              <w:t>Likumprojekts ir saistīts ar likumprojektu "Latvijas Bankas likums", pirms kura izstrādes uzsākšanas, Finanšu ministrija, Latvijas Banka un FKTK plānoja izvērtēt FKTK pievienošanu Latvijas Bankai saskaņā ar Saeimas Budžeta un finanšu (nodokļu) komisijas 2019. gada 11. septembra sēdes protokola Nr. 76</w:t>
            </w:r>
            <w:r w:rsidR="00347050">
              <w:rPr>
                <w:rStyle w:val="FootnoteReference"/>
                <w:rFonts w:ascii="Times New Roman" w:eastAsia="Times New Roman" w:hAnsi="Times New Roman" w:cs="Times New Roman"/>
                <w:spacing w:val="-2"/>
                <w:sz w:val="24"/>
                <w:szCs w:val="24"/>
                <w:lang w:eastAsia="lv-LV"/>
              </w:rPr>
              <w:footnoteReference w:id="1"/>
            </w:r>
            <w:r w:rsidRPr="000D599E">
              <w:rPr>
                <w:rFonts w:ascii="Times New Roman" w:eastAsia="Times New Roman" w:hAnsi="Times New Roman" w:cs="Times New Roman"/>
                <w:spacing w:val="-2"/>
                <w:sz w:val="24"/>
                <w:szCs w:val="24"/>
                <w:lang w:eastAsia="lv-LV"/>
              </w:rPr>
              <w:t xml:space="preserve">  1. punktā noteikto, ka līdz 2020. gada 30. jūnijam Finanšu ministrija sadarbībā ar Latvijas Banku un FKTK iesniegs izvērtējumu par paredzēto FKTK pievienošanu Latvijas Bankai, un kuru pēc tam iesniegt Ministru kabinetā, kas savukārt to iesniegtu Saeimas Budžeta un finanšu (nodokļu) komisijai.</w:t>
            </w:r>
          </w:p>
          <w:p w14:paraId="40189346" w14:textId="1C0974AD" w:rsidR="000D599E" w:rsidRDefault="000D599E" w:rsidP="000D599E">
            <w:pPr>
              <w:spacing w:after="0" w:line="240" w:lineRule="auto"/>
              <w:jc w:val="both"/>
              <w:rPr>
                <w:rFonts w:ascii="Times New Roman" w:eastAsia="Times New Roman" w:hAnsi="Times New Roman" w:cs="Times New Roman"/>
                <w:spacing w:val="-2"/>
                <w:sz w:val="24"/>
                <w:szCs w:val="24"/>
                <w:lang w:eastAsia="lv-LV"/>
              </w:rPr>
            </w:pPr>
            <w:r w:rsidRPr="000D599E">
              <w:rPr>
                <w:rFonts w:ascii="Times New Roman" w:eastAsia="Times New Roman" w:hAnsi="Times New Roman" w:cs="Times New Roman"/>
                <w:spacing w:val="-2"/>
                <w:sz w:val="24"/>
                <w:szCs w:val="24"/>
                <w:lang w:eastAsia="lv-LV"/>
              </w:rPr>
              <w:t>Pirms likumprojekta "Latvijas Bankas likums" un ar to saistīto likumprojektu iesniegšanas Ministru kabinetā tika plānots tos prezentēt FKTK konsultatīvajā finanšu un kapitāla tirgus padomē, kurā pārstāvētas visas FKTK uzraudzīto finanšu tirgus dalībnieku asociācijas, tādējādi iesaistot tās sabiedriskā apspriešanā.</w:t>
            </w:r>
          </w:p>
          <w:p w14:paraId="6DA5AB73" w14:textId="5E9BB5B0" w:rsidR="004437AB" w:rsidRDefault="004437AB" w:rsidP="004437AB">
            <w:pPr>
              <w:spacing w:after="0" w:line="240" w:lineRule="auto"/>
              <w:jc w:val="both"/>
              <w:rPr>
                <w:rFonts w:ascii="Times New Roman" w:eastAsia="Times New Roman" w:hAnsi="Times New Roman" w:cs="Times New Roman"/>
                <w:spacing w:val="-2"/>
                <w:sz w:val="24"/>
                <w:szCs w:val="24"/>
                <w:lang w:eastAsia="lv-LV"/>
              </w:rPr>
            </w:pPr>
          </w:p>
          <w:p w14:paraId="07AF48C7" w14:textId="77777777" w:rsidR="006F7501" w:rsidRPr="004437AB" w:rsidRDefault="006F7501" w:rsidP="004437AB">
            <w:pPr>
              <w:spacing w:after="0" w:line="240" w:lineRule="auto"/>
              <w:jc w:val="both"/>
              <w:rPr>
                <w:rFonts w:ascii="Calibri" w:eastAsia="Times New Roman" w:hAnsi="Calibri" w:cs="Calibri"/>
                <w:lang w:eastAsia="lv-LV"/>
              </w:rPr>
            </w:pPr>
          </w:p>
        </w:tc>
      </w:tr>
      <w:tr w:rsidR="004437AB" w:rsidRPr="004437AB" w14:paraId="0C5144E3" w14:textId="77777777" w:rsidTr="00471793">
        <w:trPr>
          <w:trHeight w:val="1389"/>
          <w:tblCellSpacing w:w="15" w:type="dxa"/>
        </w:trPr>
        <w:tc>
          <w:tcPr>
            <w:tcW w:w="32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701CC784" w14:textId="77777777" w:rsidR="004437AB" w:rsidRPr="004437AB" w:rsidRDefault="004437AB"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2.</w:t>
            </w:r>
          </w:p>
        </w:tc>
        <w:tc>
          <w:tcPr>
            <w:tcW w:w="203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1B1EF93C" w14:textId="77777777" w:rsidR="004437AB" w:rsidRPr="004437AB" w:rsidRDefault="004437AB"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Sabiedrības līdzdalība projekta izstrādē</w:t>
            </w:r>
          </w:p>
        </w:tc>
        <w:tc>
          <w:tcPr>
            <w:tcW w:w="688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3185EABD" w14:textId="77777777" w:rsidR="000D599E" w:rsidRPr="000D599E" w:rsidRDefault="000D599E" w:rsidP="000D599E">
            <w:pPr>
              <w:spacing w:after="0" w:line="240" w:lineRule="auto"/>
              <w:jc w:val="both"/>
              <w:rPr>
                <w:rFonts w:ascii="Times New Roman" w:eastAsia="Times New Roman" w:hAnsi="Times New Roman" w:cs="Times New Roman"/>
                <w:spacing w:val="-2"/>
                <w:sz w:val="24"/>
                <w:szCs w:val="24"/>
                <w:lang w:eastAsia="lv-LV"/>
              </w:rPr>
            </w:pPr>
            <w:r w:rsidRPr="000D599E">
              <w:rPr>
                <w:rFonts w:ascii="Times New Roman" w:eastAsia="Times New Roman" w:hAnsi="Times New Roman" w:cs="Times New Roman"/>
                <w:spacing w:val="-2"/>
                <w:sz w:val="24"/>
                <w:szCs w:val="24"/>
                <w:lang w:eastAsia="lv-LV"/>
              </w:rPr>
              <w:t>Finanšu ministrija sadarbībā ar Latvijas Banku un FKTK 2020. gada maijā izstrādāja "Izvērtējumu par Finanšu un kapitāla tirgus komisijas pievienošanu Latvijas Bankai" (turpmāk – Izvērtējums).</w:t>
            </w:r>
          </w:p>
          <w:p w14:paraId="798B28BA" w14:textId="77777777" w:rsidR="000D599E" w:rsidRPr="000D599E" w:rsidRDefault="000D599E" w:rsidP="000D599E">
            <w:pPr>
              <w:spacing w:after="0" w:line="240" w:lineRule="auto"/>
              <w:jc w:val="both"/>
              <w:rPr>
                <w:rFonts w:ascii="Times New Roman" w:eastAsia="Times New Roman" w:hAnsi="Times New Roman" w:cs="Times New Roman"/>
                <w:spacing w:val="-2"/>
                <w:sz w:val="24"/>
                <w:szCs w:val="24"/>
                <w:lang w:eastAsia="lv-LV"/>
              </w:rPr>
            </w:pPr>
            <w:r w:rsidRPr="000D599E">
              <w:rPr>
                <w:rFonts w:ascii="Times New Roman" w:eastAsia="Times New Roman" w:hAnsi="Times New Roman" w:cs="Times New Roman"/>
                <w:spacing w:val="-2"/>
                <w:sz w:val="24"/>
                <w:szCs w:val="24"/>
                <w:lang w:eastAsia="lv-LV"/>
              </w:rPr>
              <w:t>Ministru kabinets 2020. gada 26. maijā izskatīja un konceptuāli atbalstīja Izvērtējumu (Ministru kabineta 2020. gada 26. maija sēdes protokols Nr. 36 27. §), un nosūtīja to atbildīgajai Saeimas komisijai.</w:t>
            </w:r>
          </w:p>
          <w:p w14:paraId="6AA66021" w14:textId="77777777" w:rsidR="000D599E" w:rsidRPr="000D599E" w:rsidRDefault="000D599E" w:rsidP="000D599E">
            <w:pPr>
              <w:spacing w:after="0" w:line="240" w:lineRule="auto"/>
              <w:jc w:val="both"/>
              <w:rPr>
                <w:rFonts w:ascii="Times New Roman" w:eastAsia="Times New Roman" w:hAnsi="Times New Roman" w:cs="Times New Roman"/>
                <w:spacing w:val="-2"/>
                <w:sz w:val="24"/>
                <w:szCs w:val="24"/>
                <w:lang w:eastAsia="lv-LV"/>
              </w:rPr>
            </w:pPr>
            <w:r w:rsidRPr="000D599E">
              <w:rPr>
                <w:rFonts w:ascii="Times New Roman" w:eastAsia="Times New Roman" w:hAnsi="Times New Roman" w:cs="Times New Roman"/>
                <w:spacing w:val="-2"/>
                <w:sz w:val="24"/>
                <w:szCs w:val="24"/>
                <w:lang w:eastAsia="lv-LV"/>
              </w:rPr>
              <w:t>Saeimas Budžeta un finanšu (nodokļu) komisija  2020. gada 2. jūnijā uzklausīja atbildīgo institūciju pārstāvjus par Izvērtējumu un nolēma pieņemt zināšanai, ka tās dotais uzdevums ir izpildīts un turpinās darbs pie likumprojekta izstrādes (Saeimas Budžeta un finanšu (nodokļu) komisijas 2020. gada 2. jūnija sēdes protokols Nr. 165 1. punkts).</w:t>
            </w:r>
          </w:p>
          <w:p w14:paraId="47D9DF1D" w14:textId="1D2BFE21" w:rsidR="004437AB" w:rsidRPr="004437AB" w:rsidRDefault="003939F3" w:rsidP="00402C9F">
            <w:pPr>
              <w:spacing w:after="0" w:line="240" w:lineRule="auto"/>
              <w:jc w:val="both"/>
              <w:rPr>
                <w:rFonts w:ascii="Calibri" w:eastAsia="Times New Roman" w:hAnsi="Calibri" w:cs="Calibri"/>
                <w:lang w:eastAsia="lv-LV"/>
              </w:rPr>
            </w:pPr>
            <w:r w:rsidRPr="003939F3">
              <w:rPr>
                <w:rFonts w:ascii="Times New Roman" w:eastAsia="Times New Roman" w:hAnsi="Times New Roman" w:cs="Times New Roman"/>
                <w:spacing w:val="-2"/>
                <w:sz w:val="24"/>
                <w:szCs w:val="24"/>
                <w:lang w:eastAsia="lv-LV"/>
              </w:rPr>
              <w:t>Pirms likumprojekta "Latvijas Bankas likums" un ar to saistīto likumprojektu iesniegšanas Ministru kabinetā tie 2020. gada 11. novembrī tika prezentēti FKTK konsultatīvajā finanšu un kapitāla tirgus padomē, kurā pārstāvētas visas FKTK uzraudzīto finanšu tirgus dalībnieku asociācijas, tādējādi iesaistot tās likumprojektu apspriešanā.</w:t>
            </w:r>
          </w:p>
        </w:tc>
      </w:tr>
      <w:tr w:rsidR="004437AB" w:rsidRPr="004437AB" w14:paraId="1328A775" w14:textId="77777777" w:rsidTr="00471793">
        <w:trPr>
          <w:trHeight w:val="558"/>
          <w:tblCellSpacing w:w="15" w:type="dxa"/>
        </w:trPr>
        <w:tc>
          <w:tcPr>
            <w:tcW w:w="32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24CC7AC7" w14:textId="77777777" w:rsidR="004437AB" w:rsidRPr="004437AB" w:rsidRDefault="004437AB"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3.</w:t>
            </w:r>
          </w:p>
        </w:tc>
        <w:tc>
          <w:tcPr>
            <w:tcW w:w="203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38EF49D" w14:textId="77777777" w:rsidR="004437AB" w:rsidRPr="004437AB" w:rsidRDefault="004437AB"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Sabiedrības līdzdalības rezultāti</w:t>
            </w:r>
          </w:p>
        </w:tc>
        <w:tc>
          <w:tcPr>
            <w:tcW w:w="688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2E4B2073" w14:textId="00E0B333" w:rsidR="004437AB" w:rsidRPr="004437AB" w:rsidRDefault="003939F3" w:rsidP="004437AB">
            <w:pPr>
              <w:spacing w:after="0" w:line="240" w:lineRule="auto"/>
              <w:jc w:val="both"/>
              <w:rPr>
                <w:rFonts w:ascii="Calibri" w:eastAsia="Times New Roman" w:hAnsi="Calibri" w:cs="Calibri"/>
                <w:lang w:eastAsia="lv-LV"/>
              </w:rPr>
            </w:pPr>
            <w:r w:rsidRPr="009D45B8">
              <w:rPr>
                <w:rFonts w:ascii="Times New Roman" w:eastAsia="Times New Roman" w:hAnsi="Times New Roman" w:cs="Times New Roman"/>
                <w:iCs/>
                <w:sz w:val="24"/>
                <w:szCs w:val="24"/>
                <w:shd w:val="clear" w:color="auto" w:fill="FFFFFF"/>
                <w:lang w:eastAsia="lv-LV"/>
              </w:rPr>
              <w:t>Likumprojektu pēc prezentācijas un tikšanās ar FKTK konsultatīvo finanšu un kapitāla tirgus padomi nebija nepieciešams precizēt, ņemot vērā sabiedrības līdzdalības rezultātus</w:t>
            </w:r>
            <w:r w:rsidRPr="00B05A2F">
              <w:rPr>
                <w:rFonts w:ascii="Times New Roman" w:eastAsia="Times New Roman" w:hAnsi="Times New Roman" w:cs="Times New Roman"/>
                <w:iCs/>
                <w:sz w:val="24"/>
                <w:szCs w:val="24"/>
                <w:shd w:val="clear" w:color="auto" w:fill="FFFFFF"/>
                <w:lang w:eastAsia="lv-LV"/>
              </w:rPr>
              <w:t>.</w:t>
            </w:r>
            <w:r w:rsidRPr="004437AB">
              <w:rPr>
                <w:rFonts w:ascii="Times New Roman" w:eastAsia="Times New Roman" w:hAnsi="Times New Roman" w:cs="Times New Roman"/>
                <w:spacing w:val="-2"/>
                <w:sz w:val="24"/>
                <w:szCs w:val="24"/>
                <w:lang w:eastAsia="lv-LV"/>
              </w:rPr>
              <w:t> </w:t>
            </w:r>
          </w:p>
        </w:tc>
      </w:tr>
      <w:tr w:rsidR="004437AB" w:rsidRPr="004437AB" w14:paraId="13A425F4" w14:textId="77777777" w:rsidTr="00471793">
        <w:trPr>
          <w:trHeight w:val="280"/>
          <w:tblCellSpacing w:w="15" w:type="dxa"/>
        </w:trPr>
        <w:tc>
          <w:tcPr>
            <w:tcW w:w="32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19ACF884" w14:textId="77777777" w:rsidR="004437AB" w:rsidRPr="004437AB" w:rsidRDefault="004437AB"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4.</w:t>
            </w:r>
          </w:p>
        </w:tc>
        <w:tc>
          <w:tcPr>
            <w:tcW w:w="203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1BC69E99" w14:textId="77777777" w:rsidR="004437AB" w:rsidRPr="004437AB" w:rsidRDefault="004437AB"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Cita informācija</w:t>
            </w:r>
          </w:p>
        </w:tc>
        <w:tc>
          <w:tcPr>
            <w:tcW w:w="688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2DBF015D" w14:textId="77777777" w:rsidR="004437AB" w:rsidRPr="004437AB" w:rsidRDefault="004437AB" w:rsidP="004437AB">
            <w:pPr>
              <w:spacing w:after="0" w:line="240" w:lineRule="auto"/>
              <w:jc w:val="both"/>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Nav. </w:t>
            </w:r>
          </w:p>
        </w:tc>
      </w:tr>
    </w:tbl>
    <w:p w14:paraId="1B50BAF7" w14:textId="77777777" w:rsidR="004437AB" w:rsidRPr="004437AB" w:rsidRDefault="004437AB" w:rsidP="004437AB">
      <w:pPr>
        <w:shd w:val="clear" w:color="auto" w:fill="FFFFFF"/>
        <w:spacing w:after="0" w:line="240" w:lineRule="auto"/>
        <w:rPr>
          <w:rFonts w:ascii="Calibri" w:eastAsia="Times New Roman" w:hAnsi="Calibri" w:cs="Calibri"/>
          <w:color w:val="000000"/>
          <w:lang w:eastAsia="lv-LV"/>
        </w:rPr>
      </w:pPr>
      <w:r w:rsidRPr="004437AB">
        <w:rPr>
          <w:rFonts w:ascii="Times New Roman" w:eastAsia="Times New Roman" w:hAnsi="Times New Roman" w:cs="Times New Roman"/>
          <w:color w:val="414142"/>
          <w:spacing w:val="-2"/>
          <w:sz w:val="24"/>
          <w:szCs w:val="24"/>
          <w:lang w:eastAsia="lv-LV"/>
        </w:rPr>
        <w:t> </w:t>
      </w:r>
    </w:p>
    <w:tbl>
      <w:tblPr>
        <w:tblW w:w="9350"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21"/>
        <w:gridCol w:w="3798"/>
        <w:gridCol w:w="5131"/>
      </w:tblGrid>
      <w:tr w:rsidR="004437AB" w:rsidRPr="004437AB" w14:paraId="2EC02AE7" w14:textId="77777777" w:rsidTr="004437AB">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321477D" w14:textId="77777777" w:rsidR="004437AB" w:rsidRPr="004437AB" w:rsidRDefault="004437AB" w:rsidP="004437AB">
            <w:pPr>
              <w:spacing w:after="0" w:line="240" w:lineRule="auto"/>
              <w:jc w:val="center"/>
              <w:rPr>
                <w:rFonts w:ascii="Calibri" w:eastAsia="Times New Roman" w:hAnsi="Calibri" w:cs="Calibri"/>
                <w:lang w:eastAsia="lv-LV"/>
              </w:rPr>
            </w:pPr>
            <w:r w:rsidRPr="004437AB">
              <w:rPr>
                <w:rFonts w:ascii="Times New Roman" w:eastAsia="Times New Roman" w:hAnsi="Times New Roman" w:cs="Times New Roman"/>
                <w:b/>
                <w:bCs/>
                <w:spacing w:val="-2"/>
                <w:sz w:val="24"/>
                <w:szCs w:val="24"/>
                <w:lang w:eastAsia="lv-LV"/>
              </w:rPr>
              <w:t>VII. Tiesību akta projekta izpildes nodrošināšana un tās ietekme uz institūcijām</w:t>
            </w:r>
          </w:p>
        </w:tc>
      </w:tr>
      <w:tr w:rsidR="004437AB" w:rsidRPr="004437AB" w14:paraId="2936A0BC" w14:textId="77777777" w:rsidTr="004437AB">
        <w:trPr>
          <w:tblCellSpacing w:w="15" w:type="dxa"/>
        </w:trPr>
        <w:tc>
          <w:tcPr>
            <w:tcW w:w="2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1D3AA502" w14:textId="77777777" w:rsidR="004437AB" w:rsidRPr="004437AB" w:rsidRDefault="004437AB"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1.</w:t>
            </w:r>
          </w:p>
        </w:tc>
        <w:tc>
          <w:tcPr>
            <w:tcW w:w="20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6DD8F3F9" w14:textId="77777777" w:rsidR="004437AB" w:rsidRPr="004437AB" w:rsidRDefault="004437AB"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Projekta izpildē iesaistītās institūcijas</w:t>
            </w:r>
          </w:p>
        </w:tc>
        <w:tc>
          <w:tcPr>
            <w:tcW w:w="27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371484C7" w14:textId="173D71A8" w:rsidR="004437AB" w:rsidRPr="004437AB" w:rsidRDefault="006F7501" w:rsidP="004437AB">
            <w:pPr>
              <w:spacing w:after="0" w:line="240" w:lineRule="auto"/>
              <w:jc w:val="both"/>
              <w:rPr>
                <w:rFonts w:ascii="Calibri" w:eastAsia="Times New Roman" w:hAnsi="Calibri" w:cs="Calibri"/>
                <w:lang w:eastAsia="lv-LV"/>
              </w:rPr>
            </w:pPr>
            <w:r>
              <w:rPr>
                <w:rFonts w:ascii="Times New Roman" w:eastAsia="Times New Roman" w:hAnsi="Times New Roman" w:cs="Times New Roman"/>
                <w:spacing w:val="-2"/>
                <w:sz w:val="24"/>
                <w:szCs w:val="24"/>
                <w:lang w:eastAsia="lv-LV"/>
              </w:rPr>
              <w:t>Latvijas Banka</w:t>
            </w:r>
            <w:r w:rsidR="00C33E4E">
              <w:rPr>
                <w:rFonts w:ascii="Times New Roman" w:eastAsia="Times New Roman" w:hAnsi="Times New Roman" w:cs="Times New Roman"/>
                <w:spacing w:val="-2"/>
                <w:sz w:val="24"/>
                <w:szCs w:val="24"/>
                <w:lang w:eastAsia="lv-LV"/>
              </w:rPr>
              <w:t xml:space="preserve"> </w:t>
            </w:r>
            <w:r w:rsidR="00C82C4C">
              <w:rPr>
                <w:rFonts w:ascii="Times New Roman" w:eastAsia="Times New Roman" w:hAnsi="Times New Roman" w:cs="Times New Roman"/>
                <w:spacing w:val="-2"/>
                <w:sz w:val="24"/>
                <w:szCs w:val="24"/>
                <w:lang w:eastAsia="lv-LV"/>
              </w:rPr>
              <w:t>un FKTK</w:t>
            </w:r>
          </w:p>
        </w:tc>
      </w:tr>
      <w:tr w:rsidR="004437AB" w:rsidRPr="004437AB" w14:paraId="3AA17369" w14:textId="77777777" w:rsidTr="004437AB">
        <w:trPr>
          <w:tblCellSpacing w:w="15" w:type="dxa"/>
        </w:trPr>
        <w:tc>
          <w:tcPr>
            <w:tcW w:w="2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2FC108FD" w14:textId="77777777" w:rsidR="004437AB" w:rsidRPr="004437AB" w:rsidRDefault="004437AB"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2.</w:t>
            </w:r>
          </w:p>
        </w:tc>
        <w:tc>
          <w:tcPr>
            <w:tcW w:w="20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1B82B0B2" w14:textId="77777777" w:rsidR="004437AB" w:rsidRPr="00402C9F" w:rsidRDefault="004437AB" w:rsidP="004437AB">
            <w:pPr>
              <w:spacing w:after="0" w:line="240" w:lineRule="auto"/>
              <w:rPr>
                <w:rFonts w:ascii="Times New Roman" w:eastAsia="Times New Roman" w:hAnsi="Times New Roman" w:cs="Times New Roman"/>
                <w:sz w:val="24"/>
                <w:szCs w:val="24"/>
                <w:lang w:eastAsia="lv-LV"/>
              </w:rPr>
            </w:pPr>
            <w:r w:rsidRPr="00402C9F">
              <w:rPr>
                <w:rFonts w:ascii="Times New Roman" w:eastAsia="Times New Roman" w:hAnsi="Times New Roman" w:cs="Times New Roman"/>
                <w:spacing w:val="-2"/>
                <w:sz w:val="24"/>
                <w:szCs w:val="24"/>
                <w:lang w:eastAsia="lv-LV"/>
              </w:rPr>
              <w:t>Projekta izpildes ietekme uz pārvaldes funkcijām un institucionālo struktūru.</w:t>
            </w:r>
            <w:r w:rsidRPr="00402C9F">
              <w:rPr>
                <w:rFonts w:ascii="Times New Roman" w:eastAsia="Times New Roman" w:hAnsi="Times New Roman" w:cs="Times New Roman"/>
                <w:spacing w:val="-2"/>
                <w:sz w:val="24"/>
                <w:szCs w:val="24"/>
                <w:lang w:eastAsia="lv-LV"/>
              </w:rPr>
              <w:br/>
              <w:t>Jaunu institūciju izveide, esošu institūciju likvidācija vai reorganizācija, to ietekme uz institūcijas cilvēkresursiem</w:t>
            </w:r>
          </w:p>
        </w:tc>
        <w:tc>
          <w:tcPr>
            <w:tcW w:w="27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3D64F70E" w14:textId="77777777" w:rsidR="00C82C4C" w:rsidRPr="00C82C4C" w:rsidRDefault="00C82C4C" w:rsidP="00C82C4C">
            <w:pPr>
              <w:spacing w:after="0" w:line="240" w:lineRule="auto"/>
              <w:jc w:val="both"/>
              <w:rPr>
                <w:rFonts w:ascii="Times New Roman" w:eastAsia="Times New Roman" w:hAnsi="Times New Roman" w:cs="Times New Roman"/>
                <w:sz w:val="24"/>
                <w:szCs w:val="24"/>
                <w:lang w:eastAsia="lv-LV"/>
              </w:rPr>
            </w:pPr>
            <w:r w:rsidRPr="00C82C4C">
              <w:rPr>
                <w:rFonts w:ascii="Times New Roman" w:eastAsia="Times New Roman" w:hAnsi="Times New Roman" w:cs="Times New Roman"/>
                <w:sz w:val="24"/>
                <w:szCs w:val="24"/>
                <w:lang w:eastAsia="lv-LV"/>
              </w:rPr>
              <w:t>Likumprojekta izpilde tieši neattiecas uz pārvaldes funkcijām un institucionālo struktūru, kā arī jaunu institūciju izveidi, esošu institūciju likvidāciju vai reorganizāciju, to ietekmi uz institūcijas cilvēkresursiem.</w:t>
            </w:r>
          </w:p>
          <w:p w14:paraId="7FC16DE2" w14:textId="45FC054E" w:rsidR="004437AB" w:rsidRPr="00402C9F" w:rsidRDefault="00C82C4C" w:rsidP="00C82C4C">
            <w:pPr>
              <w:spacing w:after="0" w:line="240" w:lineRule="auto"/>
              <w:jc w:val="both"/>
              <w:rPr>
                <w:rFonts w:ascii="Times New Roman" w:eastAsia="Times New Roman" w:hAnsi="Times New Roman" w:cs="Times New Roman"/>
                <w:sz w:val="24"/>
                <w:szCs w:val="24"/>
                <w:lang w:eastAsia="lv-LV"/>
              </w:rPr>
            </w:pPr>
            <w:r w:rsidRPr="00C82C4C">
              <w:rPr>
                <w:rFonts w:ascii="Times New Roman" w:eastAsia="Times New Roman" w:hAnsi="Times New Roman" w:cs="Times New Roman"/>
                <w:sz w:val="24"/>
                <w:szCs w:val="24"/>
                <w:lang w:eastAsia="lv-LV"/>
              </w:rPr>
              <w:t>Taču jāņem vērā to, ka likumprojekts ir saistīts ar likumprojektu "Latvijas Bankas likums", kurš paredz FKTK pievienošanu Latvijas Bankai atbilstoši Valsts pārvaldes iekārtas likuma 15. panta ceturtās daļas 1. punktam. Ar likumprojektu "Latvijas Bankas likums" jaunu institūciju izveide nav paredzēta. FKTK un Latvijas Bankas pievienošanas procesa rezultātā darbinieku skaita samazinājums var sasniegt līdz 30 pilna laika ekvivalentiem.</w:t>
            </w:r>
          </w:p>
        </w:tc>
      </w:tr>
      <w:tr w:rsidR="004437AB" w:rsidRPr="004437AB" w14:paraId="0087A866" w14:textId="77777777" w:rsidTr="00292AB6">
        <w:trPr>
          <w:tblCellSpacing w:w="15" w:type="dxa"/>
        </w:trPr>
        <w:tc>
          <w:tcPr>
            <w:tcW w:w="2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ED543CE" w14:textId="77777777" w:rsidR="004437AB" w:rsidRPr="004437AB" w:rsidRDefault="004437AB"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3.</w:t>
            </w:r>
          </w:p>
        </w:tc>
        <w:tc>
          <w:tcPr>
            <w:tcW w:w="20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36972CAC" w14:textId="77777777" w:rsidR="004437AB" w:rsidRPr="00402C9F" w:rsidRDefault="004437AB" w:rsidP="004437AB">
            <w:pPr>
              <w:spacing w:after="0" w:line="240" w:lineRule="auto"/>
              <w:rPr>
                <w:rFonts w:ascii="Times New Roman" w:eastAsia="Times New Roman" w:hAnsi="Times New Roman" w:cs="Times New Roman"/>
                <w:sz w:val="24"/>
                <w:szCs w:val="24"/>
                <w:lang w:eastAsia="lv-LV"/>
              </w:rPr>
            </w:pPr>
            <w:r w:rsidRPr="00402C9F">
              <w:rPr>
                <w:rFonts w:ascii="Times New Roman" w:eastAsia="Times New Roman" w:hAnsi="Times New Roman" w:cs="Times New Roman"/>
                <w:spacing w:val="-2"/>
                <w:sz w:val="24"/>
                <w:szCs w:val="24"/>
                <w:lang w:eastAsia="lv-LV"/>
              </w:rPr>
              <w:t>Cita informācija</w:t>
            </w:r>
          </w:p>
        </w:tc>
        <w:tc>
          <w:tcPr>
            <w:tcW w:w="27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14:paraId="60999F78" w14:textId="77777777" w:rsidR="004437AB" w:rsidRPr="00402C9F" w:rsidRDefault="00C33E4E" w:rsidP="004437AB">
            <w:pPr>
              <w:spacing w:after="0" w:line="240" w:lineRule="auto"/>
              <w:jc w:val="both"/>
              <w:rPr>
                <w:rFonts w:ascii="Times New Roman" w:eastAsia="Times New Roman" w:hAnsi="Times New Roman" w:cs="Times New Roman"/>
                <w:sz w:val="24"/>
                <w:szCs w:val="24"/>
                <w:lang w:eastAsia="lv-LV"/>
              </w:rPr>
            </w:pPr>
            <w:r w:rsidRPr="00402C9F">
              <w:rPr>
                <w:rFonts w:ascii="Times New Roman" w:eastAsia="Times New Roman" w:hAnsi="Times New Roman" w:cs="Times New Roman"/>
                <w:sz w:val="24"/>
                <w:szCs w:val="24"/>
                <w:lang w:eastAsia="lv-LV"/>
              </w:rPr>
              <w:t xml:space="preserve">Nav </w:t>
            </w:r>
          </w:p>
        </w:tc>
      </w:tr>
    </w:tbl>
    <w:p w14:paraId="59066AB3" w14:textId="77777777" w:rsidR="00E76261" w:rsidRDefault="00E76261" w:rsidP="00E76261">
      <w:pPr>
        <w:tabs>
          <w:tab w:val="left" w:pos="6521"/>
        </w:tabs>
        <w:spacing w:after="0" w:line="240" w:lineRule="auto"/>
        <w:ind w:firstLine="720"/>
        <w:rPr>
          <w:rFonts w:ascii="Times New Roman" w:hAnsi="Times New Roman" w:cs="Times New Roman"/>
          <w:sz w:val="28"/>
          <w:szCs w:val="28"/>
        </w:rPr>
      </w:pPr>
    </w:p>
    <w:p w14:paraId="66383652" w14:textId="77777777" w:rsidR="00E76261" w:rsidRDefault="00E76261" w:rsidP="00E76261">
      <w:pPr>
        <w:tabs>
          <w:tab w:val="left" w:pos="6521"/>
        </w:tabs>
        <w:spacing w:after="0" w:line="240" w:lineRule="auto"/>
        <w:ind w:firstLine="720"/>
        <w:rPr>
          <w:rFonts w:ascii="Times New Roman" w:hAnsi="Times New Roman" w:cs="Times New Roman"/>
          <w:sz w:val="28"/>
          <w:szCs w:val="28"/>
        </w:rPr>
      </w:pPr>
    </w:p>
    <w:p w14:paraId="1588CF7E" w14:textId="77777777" w:rsidR="00E76261" w:rsidRDefault="00E76261" w:rsidP="00E76261">
      <w:pPr>
        <w:tabs>
          <w:tab w:val="left" w:pos="6521"/>
        </w:tabs>
        <w:spacing w:after="0" w:line="240" w:lineRule="auto"/>
        <w:ind w:firstLine="720"/>
        <w:rPr>
          <w:rFonts w:ascii="Times New Roman" w:hAnsi="Times New Roman" w:cs="Times New Roman"/>
          <w:sz w:val="28"/>
          <w:szCs w:val="28"/>
        </w:rPr>
      </w:pPr>
    </w:p>
    <w:p w14:paraId="023C49BE" w14:textId="26850B12" w:rsidR="00C33E4E" w:rsidRPr="00997037" w:rsidRDefault="00C33E4E" w:rsidP="00E76261">
      <w:pPr>
        <w:tabs>
          <w:tab w:val="left" w:pos="6521"/>
        </w:tabs>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Finanšu</w:t>
      </w:r>
      <w:r w:rsidRPr="00997037">
        <w:rPr>
          <w:rFonts w:ascii="Times New Roman" w:hAnsi="Times New Roman" w:cs="Times New Roman"/>
          <w:sz w:val="28"/>
          <w:szCs w:val="28"/>
        </w:rPr>
        <w:t xml:space="preserve"> ministrs</w:t>
      </w:r>
      <w:r w:rsidR="00E76261">
        <w:rPr>
          <w:rFonts w:ascii="Times New Roman" w:hAnsi="Times New Roman" w:cs="Times New Roman"/>
          <w:sz w:val="28"/>
          <w:szCs w:val="28"/>
        </w:rPr>
        <w:tab/>
      </w:r>
      <w:r>
        <w:rPr>
          <w:rFonts w:ascii="Times New Roman" w:hAnsi="Times New Roman" w:cs="Times New Roman"/>
          <w:sz w:val="28"/>
          <w:szCs w:val="28"/>
        </w:rPr>
        <w:t>J. Reirs</w:t>
      </w:r>
    </w:p>
    <w:p w14:paraId="5DE5B47F" w14:textId="77777777" w:rsidR="00C33E4E" w:rsidRPr="00997037" w:rsidRDefault="00C33E4E" w:rsidP="00C33E4E">
      <w:pPr>
        <w:spacing w:after="0" w:line="240" w:lineRule="auto"/>
        <w:ind w:firstLine="720"/>
        <w:rPr>
          <w:rFonts w:ascii="Times New Roman" w:hAnsi="Times New Roman" w:cs="Times New Roman"/>
          <w:sz w:val="28"/>
          <w:szCs w:val="28"/>
        </w:rPr>
      </w:pPr>
    </w:p>
    <w:p w14:paraId="7234B381" w14:textId="77777777" w:rsidR="00C33E4E" w:rsidRPr="00997037" w:rsidRDefault="00C33E4E" w:rsidP="003939F3">
      <w:pPr>
        <w:tabs>
          <w:tab w:val="left" w:pos="6237"/>
        </w:tabs>
        <w:spacing w:after="0" w:line="240" w:lineRule="auto"/>
        <w:rPr>
          <w:rFonts w:ascii="Times New Roman" w:hAnsi="Times New Roman" w:cs="Times New Roman"/>
          <w:sz w:val="28"/>
          <w:szCs w:val="28"/>
        </w:rPr>
      </w:pPr>
    </w:p>
    <w:p w14:paraId="766DC733" w14:textId="77777777" w:rsidR="00AA66B5" w:rsidRDefault="00AA66B5" w:rsidP="00347050">
      <w:pPr>
        <w:tabs>
          <w:tab w:val="left" w:pos="6237"/>
        </w:tabs>
        <w:spacing w:after="0" w:line="240" w:lineRule="auto"/>
        <w:rPr>
          <w:rFonts w:ascii="Times New Roman" w:hAnsi="Times New Roman" w:cs="Times New Roman"/>
          <w:sz w:val="20"/>
          <w:szCs w:val="20"/>
        </w:rPr>
      </w:pPr>
      <w:bookmarkStart w:id="1" w:name="_Hlk58226967"/>
    </w:p>
    <w:p w14:paraId="3C587D07" w14:textId="7B79458A" w:rsidR="00347050" w:rsidRDefault="00347050" w:rsidP="00347050">
      <w:pPr>
        <w:tabs>
          <w:tab w:val="left" w:pos="6237"/>
        </w:tabs>
        <w:spacing w:after="0" w:line="240" w:lineRule="auto"/>
        <w:rPr>
          <w:rFonts w:ascii="Times New Roman" w:hAnsi="Times New Roman" w:cs="Times New Roman"/>
          <w:sz w:val="20"/>
          <w:szCs w:val="20"/>
        </w:rPr>
      </w:pPr>
      <w:r>
        <w:rPr>
          <w:rFonts w:ascii="Times New Roman" w:hAnsi="Times New Roman" w:cs="Times New Roman"/>
          <w:sz w:val="20"/>
          <w:szCs w:val="20"/>
        </w:rPr>
        <w:t>Cerbulis, 67774817</w:t>
      </w:r>
    </w:p>
    <w:p w14:paraId="5D863EA9" w14:textId="6E679DE6" w:rsidR="00EE7314" w:rsidRPr="003939F3" w:rsidRDefault="00347050" w:rsidP="00347050">
      <w:pPr>
        <w:tabs>
          <w:tab w:val="left" w:pos="6237"/>
        </w:tabs>
        <w:spacing w:after="0" w:line="240" w:lineRule="auto"/>
        <w:rPr>
          <w:rFonts w:ascii="Times New Roman" w:hAnsi="Times New Roman" w:cs="Times New Roman"/>
          <w:sz w:val="20"/>
          <w:szCs w:val="20"/>
        </w:rPr>
      </w:pPr>
      <w:r>
        <w:rPr>
          <w:rFonts w:ascii="Times New Roman" w:hAnsi="Times New Roman" w:cs="Times New Roman"/>
          <w:sz w:val="20"/>
          <w:szCs w:val="20"/>
        </w:rPr>
        <w:t>Guntis.Cerbulis@fktk.lv</w:t>
      </w:r>
    </w:p>
    <w:p w14:paraId="647637A2" w14:textId="6C7FEA55" w:rsidR="00EE7314" w:rsidRPr="003C5E4A" w:rsidRDefault="00EE7314" w:rsidP="00347050">
      <w:pPr>
        <w:tabs>
          <w:tab w:val="left" w:pos="6237"/>
        </w:tabs>
        <w:spacing w:after="0" w:line="240" w:lineRule="auto"/>
        <w:rPr>
          <w:rFonts w:ascii="Times New Roman" w:hAnsi="Times New Roman" w:cs="Times New Roman"/>
          <w:sz w:val="20"/>
          <w:szCs w:val="20"/>
        </w:rPr>
      </w:pPr>
      <w:r w:rsidRPr="003C5E4A">
        <w:rPr>
          <w:rFonts w:ascii="Times New Roman" w:hAnsi="Times New Roman" w:cs="Times New Roman"/>
          <w:sz w:val="20"/>
          <w:szCs w:val="20"/>
        </w:rPr>
        <w:t>Krastiņa, 67022367</w:t>
      </w:r>
    </w:p>
    <w:p w14:paraId="6AD75B64" w14:textId="54FD6769" w:rsidR="00C33E4E" w:rsidRDefault="00E76261" w:rsidP="003939F3">
      <w:pPr>
        <w:tabs>
          <w:tab w:val="left" w:pos="6237"/>
        </w:tabs>
        <w:spacing w:after="0" w:line="240" w:lineRule="auto"/>
        <w:rPr>
          <w:rFonts w:ascii="Times New Roman" w:hAnsi="Times New Roman" w:cs="Times New Roman"/>
          <w:sz w:val="20"/>
          <w:szCs w:val="20"/>
        </w:rPr>
      </w:pPr>
      <w:hyperlink r:id="rId13" w:history="1">
        <w:r w:rsidRPr="0045489E">
          <w:rPr>
            <w:rStyle w:val="Hyperlink"/>
            <w:rFonts w:ascii="Times New Roman" w:hAnsi="Times New Roman" w:cs="Times New Roman"/>
            <w:sz w:val="20"/>
            <w:szCs w:val="20"/>
          </w:rPr>
          <w:t>Iveta.Krastina@bank.lv</w:t>
        </w:r>
      </w:hyperlink>
      <w:bookmarkStart w:id="2" w:name="_GoBack"/>
      <w:bookmarkEnd w:id="1"/>
      <w:bookmarkEnd w:id="2"/>
    </w:p>
    <w:p w14:paraId="3C8CD73C" w14:textId="77777777" w:rsidR="00E76261" w:rsidRDefault="00E76261" w:rsidP="003939F3">
      <w:pPr>
        <w:tabs>
          <w:tab w:val="left" w:pos="6237"/>
        </w:tabs>
        <w:spacing w:after="0" w:line="240" w:lineRule="auto"/>
        <w:rPr>
          <w:rFonts w:ascii="Times New Roman" w:hAnsi="Times New Roman" w:cs="Times New Roman"/>
          <w:sz w:val="20"/>
          <w:szCs w:val="20"/>
        </w:rPr>
      </w:pPr>
    </w:p>
    <w:p w14:paraId="187507A8" w14:textId="77777777" w:rsidR="00E76261" w:rsidRDefault="00E76261" w:rsidP="003939F3">
      <w:pPr>
        <w:tabs>
          <w:tab w:val="left" w:pos="6237"/>
        </w:tabs>
        <w:spacing w:after="0" w:line="240" w:lineRule="auto"/>
        <w:rPr>
          <w:rFonts w:ascii="Times New Roman" w:hAnsi="Times New Roman" w:cs="Times New Roman"/>
          <w:sz w:val="20"/>
          <w:szCs w:val="20"/>
        </w:rPr>
      </w:pPr>
    </w:p>
    <w:p w14:paraId="36AA6046" w14:textId="77777777" w:rsidR="00E76261" w:rsidRDefault="00E76261" w:rsidP="003939F3">
      <w:pPr>
        <w:tabs>
          <w:tab w:val="left" w:pos="6237"/>
        </w:tabs>
        <w:spacing w:after="0" w:line="240" w:lineRule="auto"/>
        <w:rPr>
          <w:rFonts w:ascii="Times New Roman" w:hAnsi="Times New Roman" w:cs="Times New Roman"/>
          <w:sz w:val="20"/>
          <w:szCs w:val="20"/>
        </w:rPr>
      </w:pPr>
    </w:p>
    <w:p w14:paraId="694A243B" w14:textId="57500344" w:rsidR="00E76261" w:rsidRPr="005A3098" w:rsidRDefault="00E76261" w:rsidP="00E76261">
      <w:pPr>
        <w:pStyle w:val="Footer"/>
        <w:rPr>
          <w:rFonts w:ascii="Times New Roman" w:hAnsi="Times New Roman"/>
          <w:sz w:val="16"/>
          <w:szCs w:val="16"/>
        </w:rPr>
      </w:pPr>
      <w:proofErr w:type="spellStart"/>
      <w:r w:rsidRPr="008709C1">
        <w:rPr>
          <w:rFonts w:ascii="Times New Roman" w:hAnsi="Times New Roman"/>
          <w:sz w:val="16"/>
          <w:szCs w:val="16"/>
        </w:rPr>
        <w:t>v_sk</w:t>
      </w:r>
      <w:proofErr w:type="spellEnd"/>
      <w:r w:rsidRPr="008709C1">
        <w:rPr>
          <w:rFonts w:ascii="Times New Roman" w:hAnsi="Times New Roman"/>
          <w:sz w:val="16"/>
          <w:szCs w:val="16"/>
        </w:rPr>
        <w:t xml:space="preserve">. = </w:t>
      </w:r>
      <w:r>
        <w:rPr>
          <w:rFonts w:ascii="Times New Roman" w:hAnsi="Times New Roman"/>
          <w:sz w:val="16"/>
          <w:szCs w:val="16"/>
        </w:rPr>
        <w:t>1799</w:t>
      </w:r>
    </w:p>
    <w:sectPr w:rsidR="00E76261" w:rsidRPr="005A3098" w:rsidSect="003939F3">
      <w:headerReference w:type="default" r:id="rId14"/>
      <w:footerReference w:type="default" r:id="rId15"/>
      <w:footerReference w:type="first" r:id="rId16"/>
      <w:pgSz w:w="11906" w:h="16838"/>
      <w:pgMar w:top="709"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867ACF" w14:textId="77777777" w:rsidR="00322E52" w:rsidRDefault="00322E52" w:rsidP="00BE14B3">
      <w:pPr>
        <w:spacing w:after="0" w:line="240" w:lineRule="auto"/>
      </w:pPr>
      <w:r>
        <w:separator/>
      </w:r>
    </w:p>
  </w:endnote>
  <w:endnote w:type="continuationSeparator" w:id="0">
    <w:p w14:paraId="05455D6B" w14:textId="77777777" w:rsidR="00322E52" w:rsidRDefault="00322E52" w:rsidP="00BE1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5FB843" w14:textId="77777777" w:rsidR="00E76261" w:rsidRPr="004964FA" w:rsidRDefault="00E76261" w:rsidP="00E76261">
    <w:pPr>
      <w:pStyle w:val="Footer"/>
      <w:rPr>
        <w:rFonts w:ascii="Times New Roman" w:hAnsi="Times New Roman" w:cs="Times New Roman"/>
        <w:sz w:val="20"/>
        <w:szCs w:val="20"/>
      </w:rPr>
    </w:pPr>
    <w:r w:rsidRPr="004964FA">
      <w:rPr>
        <w:rFonts w:ascii="Times New Roman" w:hAnsi="Times New Roman" w:cs="Times New Roman"/>
        <w:sz w:val="20"/>
        <w:szCs w:val="20"/>
      </w:rPr>
      <w:t>FMAnot_</w:t>
    </w:r>
    <w:r>
      <w:rPr>
        <w:rFonts w:ascii="Times New Roman" w:hAnsi="Times New Roman" w:cs="Times New Roman"/>
        <w:sz w:val="20"/>
        <w:szCs w:val="20"/>
      </w:rPr>
      <w:t>110221_Nor_gal_groz  (TA-363)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440BF" w14:textId="5DA8C73E" w:rsidR="004964FA" w:rsidRPr="004964FA" w:rsidRDefault="004964FA" w:rsidP="004964FA">
    <w:pPr>
      <w:pStyle w:val="Footer"/>
      <w:rPr>
        <w:rFonts w:ascii="Times New Roman" w:hAnsi="Times New Roman" w:cs="Times New Roman"/>
        <w:sz w:val="20"/>
        <w:szCs w:val="20"/>
      </w:rPr>
    </w:pPr>
    <w:r w:rsidRPr="004964FA">
      <w:rPr>
        <w:rFonts w:ascii="Times New Roman" w:hAnsi="Times New Roman" w:cs="Times New Roman"/>
        <w:sz w:val="20"/>
        <w:szCs w:val="20"/>
      </w:rPr>
      <w:t>FMAnot_</w:t>
    </w:r>
    <w:r w:rsidR="00AA66B5">
      <w:rPr>
        <w:rFonts w:ascii="Times New Roman" w:hAnsi="Times New Roman" w:cs="Times New Roman"/>
        <w:sz w:val="20"/>
        <w:szCs w:val="20"/>
      </w:rPr>
      <w:t>110221</w:t>
    </w:r>
    <w:r w:rsidR="0002053B">
      <w:rPr>
        <w:rFonts w:ascii="Times New Roman" w:hAnsi="Times New Roman" w:cs="Times New Roman"/>
        <w:sz w:val="20"/>
        <w:szCs w:val="20"/>
      </w:rPr>
      <w:t>_Nor_gal_groz</w:t>
    </w:r>
    <w:r w:rsidR="00E76261">
      <w:rPr>
        <w:rFonts w:ascii="Times New Roman" w:hAnsi="Times New Roman" w:cs="Times New Roman"/>
        <w:sz w:val="20"/>
        <w:szCs w:val="20"/>
      </w:rPr>
      <w:t xml:space="preserve">  (TA-363)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C9D6CF" w14:textId="77777777" w:rsidR="00322E52" w:rsidRDefault="00322E52" w:rsidP="00BE14B3">
      <w:pPr>
        <w:spacing w:after="0" w:line="240" w:lineRule="auto"/>
      </w:pPr>
      <w:r>
        <w:separator/>
      </w:r>
    </w:p>
  </w:footnote>
  <w:footnote w:type="continuationSeparator" w:id="0">
    <w:p w14:paraId="6538C72A" w14:textId="77777777" w:rsidR="00322E52" w:rsidRDefault="00322E52" w:rsidP="00BE14B3">
      <w:pPr>
        <w:spacing w:after="0" w:line="240" w:lineRule="auto"/>
      </w:pPr>
      <w:r>
        <w:continuationSeparator/>
      </w:r>
    </w:p>
  </w:footnote>
  <w:footnote w:id="1">
    <w:p w14:paraId="4F070DEC" w14:textId="77777777" w:rsidR="00347050" w:rsidRPr="00347050" w:rsidRDefault="00347050" w:rsidP="00347050">
      <w:pPr>
        <w:pStyle w:val="FootnoteText"/>
      </w:pPr>
      <w:r>
        <w:rPr>
          <w:rStyle w:val="FootnoteReference"/>
        </w:rPr>
        <w:footnoteRef/>
      </w:r>
      <w:r>
        <w:t xml:space="preserve"> </w:t>
      </w:r>
      <w:r w:rsidRPr="00347050">
        <w:rPr>
          <w:iCs/>
        </w:rPr>
        <w:t xml:space="preserve">Saeimas </w:t>
      </w:r>
      <w:r w:rsidRPr="00347050">
        <w:rPr>
          <w:bCs/>
          <w:iCs/>
        </w:rPr>
        <w:t>Budžeta un finanšu (nodokļu) komisijas 2019. gada 11. septembra sēdes protokols Nr. 76 (Pieejams:</w:t>
      </w:r>
      <w:hyperlink r:id="rId1" w:history="1">
        <w:r w:rsidRPr="00347050">
          <w:rPr>
            <w:rStyle w:val="Hyperlink"/>
          </w:rPr>
          <w:t>http://titania.saeima.lv/livs/saeimasnotikumi.nsf/0/9C20CA1B3F315AFBC225846D00248CFD?OpenDocument&amp;prevCat=13|Bud%C5%BEeta%20un%20finan%C5%A1u%20(nodok%C4%BCu)%20komisija</w:t>
        </w:r>
      </w:hyperlink>
      <w:r w:rsidRPr="00347050">
        <w:t xml:space="preserve"> ).</w:t>
      </w:r>
    </w:p>
    <w:p w14:paraId="67819908" w14:textId="5CAE045A" w:rsidR="00347050" w:rsidRDefault="00347050">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1402149"/>
      <w:docPartObj>
        <w:docPartGallery w:val="Page Numbers (Top of Page)"/>
        <w:docPartUnique/>
      </w:docPartObj>
    </w:sdtPr>
    <w:sdtEndPr>
      <w:rPr>
        <w:rFonts w:ascii="Times New Roman" w:hAnsi="Times New Roman" w:cs="Times New Roman"/>
        <w:noProof/>
        <w:sz w:val="24"/>
        <w:szCs w:val="24"/>
      </w:rPr>
    </w:sdtEndPr>
    <w:sdtContent>
      <w:p w14:paraId="49CF406D" w14:textId="0162B994" w:rsidR="00E76261" w:rsidRDefault="00E76261">
        <w:pPr>
          <w:pStyle w:val="Header"/>
          <w:jc w:val="center"/>
          <w:rPr>
            <w:rFonts w:ascii="Times New Roman" w:hAnsi="Times New Roman" w:cs="Times New Roman"/>
            <w:noProof/>
            <w:sz w:val="24"/>
            <w:szCs w:val="24"/>
          </w:rPr>
        </w:pPr>
        <w:r w:rsidRPr="00E76261">
          <w:rPr>
            <w:rFonts w:ascii="Times New Roman" w:hAnsi="Times New Roman" w:cs="Times New Roman"/>
            <w:sz w:val="24"/>
            <w:szCs w:val="24"/>
          </w:rPr>
          <w:fldChar w:fldCharType="begin"/>
        </w:r>
        <w:r w:rsidRPr="00E76261">
          <w:rPr>
            <w:rFonts w:ascii="Times New Roman" w:hAnsi="Times New Roman" w:cs="Times New Roman"/>
            <w:sz w:val="24"/>
            <w:szCs w:val="24"/>
          </w:rPr>
          <w:instrText xml:space="preserve"> PAGE   \* MERGEFORMAT </w:instrText>
        </w:r>
        <w:r w:rsidRPr="00E76261">
          <w:rPr>
            <w:rFonts w:ascii="Times New Roman" w:hAnsi="Times New Roman" w:cs="Times New Roman"/>
            <w:sz w:val="24"/>
            <w:szCs w:val="24"/>
          </w:rPr>
          <w:fldChar w:fldCharType="separate"/>
        </w:r>
        <w:r>
          <w:rPr>
            <w:rFonts w:ascii="Times New Roman" w:hAnsi="Times New Roman" w:cs="Times New Roman"/>
            <w:noProof/>
            <w:sz w:val="24"/>
            <w:szCs w:val="24"/>
          </w:rPr>
          <w:t>6</w:t>
        </w:r>
        <w:r w:rsidRPr="00E76261">
          <w:rPr>
            <w:rFonts w:ascii="Times New Roman" w:hAnsi="Times New Roman" w:cs="Times New Roman"/>
            <w:noProof/>
            <w:sz w:val="24"/>
            <w:szCs w:val="24"/>
          </w:rPr>
          <w:fldChar w:fldCharType="end"/>
        </w:r>
      </w:p>
    </w:sdtContent>
  </w:sdt>
  <w:p w14:paraId="5FAF9255" w14:textId="77777777" w:rsidR="00E76261" w:rsidRPr="00E76261" w:rsidRDefault="00E76261">
    <w:pPr>
      <w:pStyle w:val="Header"/>
      <w:jc w:val="cent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B0DB3"/>
    <w:multiLevelType w:val="hybridMultilevel"/>
    <w:tmpl w:val="E7AAFB08"/>
    <w:lvl w:ilvl="0" w:tplc="0426000F">
      <w:start w:val="1"/>
      <w:numFmt w:val="decimal"/>
      <w:lvlText w:val="%1."/>
      <w:lvlJc w:val="left"/>
      <w:pPr>
        <w:ind w:left="720" w:hanging="360"/>
      </w:pPr>
    </w:lvl>
    <w:lvl w:ilvl="1" w:tplc="0F92D0CE">
      <w:start w:val="1"/>
      <w:numFmt w:val="decimal"/>
      <w:lvlText w:val="%2)"/>
      <w:lvlJc w:val="left"/>
      <w:pPr>
        <w:ind w:left="1440" w:hanging="360"/>
      </w:pPr>
      <w:rPr>
        <w:rFonts w:ascii="Times New Roman" w:eastAsia="Times New Roman" w:hAnsi="Times New Roman" w:cs="Times New Roman"/>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54A2060"/>
    <w:multiLevelType w:val="multilevel"/>
    <w:tmpl w:val="94086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5B338E"/>
    <w:multiLevelType w:val="hybridMultilevel"/>
    <w:tmpl w:val="330CC09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A5F2CB4"/>
    <w:multiLevelType w:val="hybridMultilevel"/>
    <w:tmpl w:val="2DA8D776"/>
    <w:lvl w:ilvl="0" w:tplc="E550B86A">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83B36A8"/>
    <w:multiLevelType w:val="hybridMultilevel"/>
    <w:tmpl w:val="229E6C8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7AB"/>
    <w:rsid w:val="00005935"/>
    <w:rsid w:val="0000752A"/>
    <w:rsid w:val="0002053B"/>
    <w:rsid w:val="00035F07"/>
    <w:rsid w:val="00040757"/>
    <w:rsid w:val="00051369"/>
    <w:rsid w:val="00052C89"/>
    <w:rsid w:val="00095946"/>
    <w:rsid w:val="00096273"/>
    <w:rsid w:val="000A6AEE"/>
    <w:rsid w:val="000D10DC"/>
    <w:rsid w:val="000D599E"/>
    <w:rsid w:val="000D77F9"/>
    <w:rsid w:val="000F0404"/>
    <w:rsid w:val="000F3D28"/>
    <w:rsid w:val="000F7E42"/>
    <w:rsid w:val="00102152"/>
    <w:rsid w:val="0011132A"/>
    <w:rsid w:val="00185AFF"/>
    <w:rsid w:val="001A2B9C"/>
    <w:rsid w:val="00234F79"/>
    <w:rsid w:val="0026605C"/>
    <w:rsid w:val="00292AB6"/>
    <w:rsid w:val="002A33A4"/>
    <w:rsid w:val="002E2ACA"/>
    <w:rsid w:val="002E612C"/>
    <w:rsid w:val="002E6B9F"/>
    <w:rsid w:val="002F030B"/>
    <w:rsid w:val="002F5ED2"/>
    <w:rsid w:val="00322E52"/>
    <w:rsid w:val="003329A9"/>
    <w:rsid w:val="00347050"/>
    <w:rsid w:val="00377D4B"/>
    <w:rsid w:val="003939F3"/>
    <w:rsid w:val="003C5E4A"/>
    <w:rsid w:val="003C5E66"/>
    <w:rsid w:val="003D7761"/>
    <w:rsid w:val="00402C9F"/>
    <w:rsid w:val="00407D96"/>
    <w:rsid w:val="004437AB"/>
    <w:rsid w:val="00447D09"/>
    <w:rsid w:val="00452E2F"/>
    <w:rsid w:val="004542EA"/>
    <w:rsid w:val="00471793"/>
    <w:rsid w:val="00483476"/>
    <w:rsid w:val="00495736"/>
    <w:rsid w:val="004964FA"/>
    <w:rsid w:val="004A43C6"/>
    <w:rsid w:val="004A771C"/>
    <w:rsid w:val="004C0814"/>
    <w:rsid w:val="004D28B2"/>
    <w:rsid w:val="004D57A0"/>
    <w:rsid w:val="00507353"/>
    <w:rsid w:val="00510FD5"/>
    <w:rsid w:val="00540C93"/>
    <w:rsid w:val="00550EC5"/>
    <w:rsid w:val="00554DC2"/>
    <w:rsid w:val="005617E3"/>
    <w:rsid w:val="005651B2"/>
    <w:rsid w:val="00574E7C"/>
    <w:rsid w:val="00584AB8"/>
    <w:rsid w:val="005B1A30"/>
    <w:rsid w:val="005C67E0"/>
    <w:rsid w:val="005E0786"/>
    <w:rsid w:val="005E3DCA"/>
    <w:rsid w:val="006104A7"/>
    <w:rsid w:val="006A7503"/>
    <w:rsid w:val="006B566B"/>
    <w:rsid w:val="006F7501"/>
    <w:rsid w:val="007153C2"/>
    <w:rsid w:val="00733DED"/>
    <w:rsid w:val="00737C07"/>
    <w:rsid w:val="00743AF6"/>
    <w:rsid w:val="00745390"/>
    <w:rsid w:val="00763D2C"/>
    <w:rsid w:val="00771CEA"/>
    <w:rsid w:val="00780740"/>
    <w:rsid w:val="00796C91"/>
    <w:rsid w:val="007B2265"/>
    <w:rsid w:val="007C003D"/>
    <w:rsid w:val="007D1286"/>
    <w:rsid w:val="007D3D10"/>
    <w:rsid w:val="007E0B6E"/>
    <w:rsid w:val="00831B38"/>
    <w:rsid w:val="0086781C"/>
    <w:rsid w:val="0089784F"/>
    <w:rsid w:val="008B2448"/>
    <w:rsid w:val="008D1A39"/>
    <w:rsid w:val="0091567E"/>
    <w:rsid w:val="00920708"/>
    <w:rsid w:val="0092120F"/>
    <w:rsid w:val="009254F6"/>
    <w:rsid w:val="009479F1"/>
    <w:rsid w:val="009807EA"/>
    <w:rsid w:val="00994417"/>
    <w:rsid w:val="009B5019"/>
    <w:rsid w:val="009C6426"/>
    <w:rsid w:val="009C7277"/>
    <w:rsid w:val="009D12CB"/>
    <w:rsid w:val="009F562A"/>
    <w:rsid w:val="00A06CA6"/>
    <w:rsid w:val="00A135A9"/>
    <w:rsid w:val="00A27EC0"/>
    <w:rsid w:val="00A36C12"/>
    <w:rsid w:val="00A36EE3"/>
    <w:rsid w:val="00A40E27"/>
    <w:rsid w:val="00A8036B"/>
    <w:rsid w:val="00A94191"/>
    <w:rsid w:val="00AA5064"/>
    <w:rsid w:val="00AA66B5"/>
    <w:rsid w:val="00AB291F"/>
    <w:rsid w:val="00AF1D0E"/>
    <w:rsid w:val="00AF3339"/>
    <w:rsid w:val="00B123F9"/>
    <w:rsid w:val="00B51706"/>
    <w:rsid w:val="00B52B92"/>
    <w:rsid w:val="00B55BBE"/>
    <w:rsid w:val="00B87611"/>
    <w:rsid w:val="00BB7C59"/>
    <w:rsid w:val="00BE14B3"/>
    <w:rsid w:val="00BE6E30"/>
    <w:rsid w:val="00C13B95"/>
    <w:rsid w:val="00C33E4E"/>
    <w:rsid w:val="00C82C4C"/>
    <w:rsid w:val="00C91FA5"/>
    <w:rsid w:val="00CC25CD"/>
    <w:rsid w:val="00CC7CEE"/>
    <w:rsid w:val="00CD0188"/>
    <w:rsid w:val="00CD1A23"/>
    <w:rsid w:val="00CE7527"/>
    <w:rsid w:val="00D04B0D"/>
    <w:rsid w:val="00D14B45"/>
    <w:rsid w:val="00D96F4E"/>
    <w:rsid w:val="00DC0344"/>
    <w:rsid w:val="00DC10F0"/>
    <w:rsid w:val="00E129F6"/>
    <w:rsid w:val="00E537D9"/>
    <w:rsid w:val="00E7404C"/>
    <w:rsid w:val="00E7511D"/>
    <w:rsid w:val="00E76261"/>
    <w:rsid w:val="00E80192"/>
    <w:rsid w:val="00E94C4F"/>
    <w:rsid w:val="00E973F5"/>
    <w:rsid w:val="00EA0C87"/>
    <w:rsid w:val="00EB7644"/>
    <w:rsid w:val="00EE7314"/>
    <w:rsid w:val="00F121CF"/>
    <w:rsid w:val="00F2446C"/>
    <w:rsid w:val="00F254D5"/>
    <w:rsid w:val="00F258BE"/>
    <w:rsid w:val="00F26D57"/>
    <w:rsid w:val="00F540DD"/>
    <w:rsid w:val="00F546B9"/>
    <w:rsid w:val="00F75682"/>
    <w:rsid w:val="00F926B5"/>
    <w:rsid w:val="00FA5510"/>
    <w:rsid w:val="00FE0B3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1FFEC07"/>
  <w15:docId w15:val="{A7F36A5E-B98B-47E5-A8CA-B9AA12853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37AB"/>
    <w:rPr>
      <w:color w:val="0000FF"/>
      <w:u w:val="single"/>
    </w:rPr>
  </w:style>
  <w:style w:type="paragraph" w:styleId="ListParagraph">
    <w:name w:val="List Paragraph"/>
    <w:basedOn w:val="Normal"/>
    <w:uiPriority w:val="34"/>
    <w:qFormat/>
    <w:rsid w:val="009807EA"/>
    <w:pPr>
      <w:spacing w:after="160" w:line="259" w:lineRule="auto"/>
      <w:ind w:left="720"/>
      <w:contextualSpacing/>
    </w:pPr>
  </w:style>
  <w:style w:type="character" w:styleId="CommentReference">
    <w:name w:val="annotation reference"/>
    <w:basedOn w:val="DefaultParagraphFont"/>
    <w:uiPriority w:val="99"/>
    <w:semiHidden/>
    <w:unhideWhenUsed/>
    <w:rsid w:val="00C33E4E"/>
    <w:rPr>
      <w:sz w:val="16"/>
      <w:szCs w:val="16"/>
    </w:rPr>
  </w:style>
  <w:style w:type="paragraph" w:styleId="CommentText">
    <w:name w:val="annotation text"/>
    <w:basedOn w:val="Normal"/>
    <w:link w:val="CommentTextChar"/>
    <w:uiPriority w:val="99"/>
    <w:unhideWhenUsed/>
    <w:rsid w:val="00C33E4E"/>
    <w:pPr>
      <w:spacing w:after="160" w:line="240" w:lineRule="auto"/>
    </w:pPr>
    <w:rPr>
      <w:sz w:val="20"/>
      <w:szCs w:val="20"/>
    </w:rPr>
  </w:style>
  <w:style w:type="character" w:customStyle="1" w:styleId="CommentTextChar">
    <w:name w:val="Comment Text Char"/>
    <w:basedOn w:val="DefaultParagraphFont"/>
    <w:link w:val="CommentText"/>
    <w:uiPriority w:val="99"/>
    <w:rsid w:val="00C33E4E"/>
    <w:rPr>
      <w:sz w:val="20"/>
      <w:szCs w:val="20"/>
    </w:rPr>
  </w:style>
  <w:style w:type="paragraph" w:styleId="BalloonText">
    <w:name w:val="Balloon Text"/>
    <w:basedOn w:val="Normal"/>
    <w:link w:val="BalloonTextChar"/>
    <w:uiPriority w:val="99"/>
    <w:semiHidden/>
    <w:unhideWhenUsed/>
    <w:rsid w:val="00C33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E4E"/>
    <w:rPr>
      <w:rFonts w:ascii="Tahoma" w:hAnsi="Tahoma" w:cs="Tahoma"/>
      <w:sz w:val="16"/>
      <w:szCs w:val="16"/>
    </w:rPr>
  </w:style>
  <w:style w:type="paragraph" w:styleId="Header">
    <w:name w:val="header"/>
    <w:basedOn w:val="Normal"/>
    <w:link w:val="HeaderChar"/>
    <w:uiPriority w:val="99"/>
    <w:unhideWhenUsed/>
    <w:rsid w:val="00BE14B3"/>
    <w:pPr>
      <w:tabs>
        <w:tab w:val="center" w:pos="4320"/>
        <w:tab w:val="right" w:pos="8640"/>
      </w:tabs>
      <w:spacing w:after="0" w:line="240" w:lineRule="auto"/>
    </w:pPr>
  </w:style>
  <w:style w:type="character" w:customStyle="1" w:styleId="HeaderChar">
    <w:name w:val="Header Char"/>
    <w:basedOn w:val="DefaultParagraphFont"/>
    <w:link w:val="Header"/>
    <w:uiPriority w:val="99"/>
    <w:rsid w:val="00BE14B3"/>
  </w:style>
  <w:style w:type="paragraph" w:styleId="Footer">
    <w:name w:val="footer"/>
    <w:basedOn w:val="Normal"/>
    <w:link w:val="FooterChar"/>
    <w:uiPriority w:val="99"/>
    <w:unhideWhenUsed/>
    <w:rsid w:val="00BE14B3"/>
    <w:pPr>
      <w:tabs>
        <w:tab w:val="center" w:pos="4320"/>
        <w:tab w:val="right" w:pos="8640"/>
      </w:tabs>
      <w:spacing w:after="0" w:line="240" w:lineRule="auto"/>
    </w:pPr>
  </w:style>
  <w:style w:type="character" w:customStyle="1" w:styleId="FooterChar">
    <w:name w:val="Footer Char"/>
    <w:basedOn w:val="DefaultParagraphFont"/>
    <w:link w:val="Footer"/>
    <w:uiPriority w:val="99"/>
    <w:rsid w:val="00BE14B3"/>
  </w:style>
  <w:style w:type="paragraph" w:styleId="FootnoteText">
    <w:name w:val="footnote text"/>
    <w:basedOn w:val="Normal"/>
    <w:link w:val="FootnoteTextChar"/>
    <w:uiPriority w:val="99"/>
    <w:semiHidden/>
    <w:unhideWhenUsed/>
    <w:rsid w:val="003470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7050"/>
    <w:rPr>
      <w:sz w:val="20"/>
      <w:szCs w:val="20"/>
    </w:rPr>
  </w:style>
  <w:style w:type="character" w:styleId="FootnoteReference">
    <w:name w:val="footnote reference"/>
    <w:basedOn w:val="DefaultParagraphFont"/>
    <w:uiPriority w:val="99"/>
    <w:semiHidden/>
    <w:unhideWhenUsed/>
    <w:rsid w:val="00347050"/>
    <w:rPr>
      <w:vertAlign w:val="superscript"/>
    </w:rPr>
  </w:style>
  <w:style w:type="character" w:customStyle="1" w:styleId="Neatrisintapieminana1">
    <w:name w:val="Neatrisināta pieminēšana1"/>
    <w:basedOn w:val="DefaultParagraphFont"/>
    <w:uiPriority w:val="99"/>
    <w:semiHidden/>
    <w:unhideWhenUsed/>
    <w:rsid w:val="00347050"/>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F254D5"/>
    <w:pPr>
      <w:spacing w:after="200"/>
    </w:pPr>
    <w:rPr>
      <w:b/>
      <w:bCs/>
    </w:rPr>
  </w:style>
  <w:style w:type="character" w:customStyle="1" w:styleId="CommentSubjectChar">
    <w:name w:val="Comment Subject Char"/>
    <w:basedOn w:val="CommentTextChar"/>
    <w:link w:val="CommentSubject"/>
    <w:uiPriority w:val="99"/>
    <w:semiHidden/>
    <w:rsid w:val="00F254D5"/>
    <w:rPr>
      <w:b/>
      <w:bCs/>
      <w:sz w:val="20"/>
      <w:szCs w:val="20"/>
    </w:rPr>
  </w:style>
  <w:style w:type="paragraph" w:styleId="NormalWeb">
    <w:name w:val="Normal (Web)"/>
    <w:basedOn w:val="Normal"/>
    <w:uiPriority w:val="99"/>
    <w:semiHidden/>
    <w:unhideWhenUsed/>
    <w:rsid w:val="00D96F4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
    <w:name w:val="Unresolved Mention"/>
    <w:basedOn w:val="DefaultParagraphFont"/>
    <w:uiPriority w:val="99"/>
    <w:semiHidden/>
    <w:unhideWhenUsed/>
    <w:rsid w:val="00CC25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312056">
      <w:bodyDiv w:val="1"/>
      <w:marLeft w:val="0"/>
      <w:marRight w:val="0"/>
      <w:marTop w:val="0"/>
      <w:marBottom w:val="0"/>
      <w:divBdr>
        <w:top w:val="none" w:sz="0" w:space="0" w:color="auto"/>
        <w:left w:val="none" w:sz="0" w:space="0" w:color="auto"/>
        <w:bottom w:val="none" w:sz="0" w:space="0" w:color="auto"/>
        <w:right w:val="none" w:sz="0" w:space="0" w:color="auto"/>
      </w:divBdr>
      <w:divsChild>
        <w:div w:id="1792742944">
          <w:marLeft w:val="0"/>
          <w:marRight w:val="0"/>
          <w:marTop w:val="0"/>
          <w:marBottom w:val="0"/>
          <w:divBdr>
            <w:top w:val="none" w:sz="0" w:space="0" w:color="auto"/>
            <w:left w:val="none" w:sz="0" w:space="0" w:color="auto"/>
            <w:bottom w:val="none" w:sz="0" w:space="0" w:color="auto"/>
            <w:right w:val="none" w:sz="0" w:space="0" w:color="auto"/>
          </w:divBdr>
        </w:div>
        <w:div w:id="1264143256">
          <w:marLeft w:val="0"/>
          <w:marRight w:val="0"/>
          <w:marTop w:val="0"/>
          <w:marBottom w:val="0"/>
          <w:divBdr>
            <w:top w:val="none" w:sz="0" w:space="0" w:color="auto"/>
            <w:left w:val="none" w:sz="0" w:space="0" w:color="auto"/>
            <w:bottom w:val="none" w:sz="0" w:space="0" w:color="auto"/>
            <w:right w:val="none" w:sz="0" w:space="0" w:color="auto"/>
          </w:divBdr>
        </w:div>
      </w:divsChild>
    </w:div>
    <w:div w:id="461581421">
      <w:bodyDiv w:val="1"/>
      <w:marLeft w:val="0"/>
      <w:marRight w:val="0"/>
      <w:marTop w:val="0"/>
      <w:marBottom w:val="0"/>
      <w:divBdr>
        <w:top w:val="none" w:sz="0" w:space="0" w:color="auto"/>
        <w:left w:val="none" w:sz="0" w:space="0" w:color="auto"/>
        <w:bottom w:val="none" w:sz="0" w:space="0" w:color="auto"/>
        <w:right w:val="none" w:sz="0" w:space="0" w:color="auto"/>
      </w:divBdr>
    </w:div>
    <w:div w:id="519587411">
      <w:bodyDiv w:val="1"/>
      <w:marLeft w:val="0"/>
      <w:marRight w:val="0"/>
      <w:marTop w:val="0"/>
      <w:marBottom w:val="0"/>
      <w:divBdr>
        <w:top w:val="none" w:sz="0" w:space="0" w:color="auto"/>
        <w:left w:val="none" w:sz="0" w:space="0" w:color="auto"/>
        <w:bottom w:val="none" w:sz="0" w:space="0" w:color="auto"/>
        <w:right w:val="none" w:sz="0" w:space="0" w:color="auto"/>
      </w:divBdr>
      <w:divsChild>
        <w:div w:id="1570774869">
          <w:marLeft w:val="0"/>
          <w:marRight w:val="0"/>
          <w:marTop w:val="0"/>
          <w:marBottom w:val="0"/>
          <w:divBdr>
            <w:top w:val="none" w:sz="0" w:space="0" w:color="auto"/>
            <w:left w:val="none" w:sz="0" w:space="0" w:color="auto"/>
            <w:bottom w:val="none" w:sz="0" w:space="0" w:color="auto"/>
            <w:right w:val="none" w:sz="0" w:space="0" w:color="auto"/>
          </w:divBdr>
        </w:div>
        <w:div w:id="435559910">
          <w:marLeft w:val="0"/>
          <w:marRight w:val="0"/>
          <w:marTop w:val="0"/>
          <w:marBottom w:val="0"/>
          <w:divBdr>
            <w:top w:val="none" w:sz="0" w:space="0" w:color="auto"/>
            <w:left w:val="none" w:sz="0" w:space="0" w:color="auto"/>
            <w:bottom w:val="none" w:sz="0" w:space="0" w:color="auto"/>
            <w:right w:val="none" w:sz="0" w:space="0" w:color="auto"/>
          </w:divBdr>
        </w:div>
        <w:div w:id="1912302085">
          <w:marLeft w:val="0"/>
          <w:marRight w:val="0"/>
          <w:marTop w:val="0"/>
          <w:marBottom w:val="0"/>
          <w:divBdr>
            <w:top w:val="none" w:sz="0" w:space="0" w:color="auto"/>
            <w:left w:val="none" w:sz="0" w:space="0" w:color="auto"/>
            <w:bottom w:val="none" w:sz="0" w:space="0" w:color="auto"/>
            <w:right w:val="none" w:sz="0" w:space="0" w:color="auto"/>
          </w:divBdr>
        </w:div>
        <w:div w:id="1811558050">
          <w:marLeft w:val="0"/>
          <w:marRight w:val="0"/>
          <w:marTop w:val="0"/>
          <w:marBottom w:val="0"/>
          <w:divBdr>
            <w:top w:val="none" w:sz="0" w:space="0" w:color="auto"/>
            <w:left w:val="none" w:sz="0" w:space="0" w:color="auto"/>
            <w:bottom w:val="none" w:sz="0" w:space="0" w:color="auto"/>
            <w:right w:val="none" w:sz="0" w:space="0" w:color="auto"/>
          </w:divBdr>
        </w:div>
      </w:divsChild>
    </w:div>
    <w:div w:id="596794688">
      <w:bodyDiv w:val="1"/>
      <w:marLeft w:val="0"/>
      <w:marRight w:val="0"/>
      <w:marTop w:val="0"/>
      <w:marBottom w:val="0"/>
      <w:divBdr>
        <w:top w:val="none" w:sz="0" w:space="0" w:color="auto"/>
        <w:left w:val="none" w:sz="0" w:space="0" w:color="auto"/>
        <w:bottom w:val="none" w:sz="0" w:space="0" w:color="auto"/>
        <w:right w:val="none" w:sz="0" w:space="0" w:color="auto"/>
      </w:divBdr>
    </w:div>
    <w:div w:id="744912497">
      <w:bodyDiv w:val="1"/>
      <w:marLeft w:val="0"/>
      <w:marRight w:val="0"/>
      <w:marTop w:val="0"/>
      <w:marBottom w:val="0"/>
      <w:divBdr>
        <w:top w:val="none" w:sz="0" w:space="0" w:color="auto"/>
        <w:left w:val="none" w:sz="0" w:space="0" w:color="auto"/>
        <w:bottom w:val="none" w:sz="0" w:space="0" w:color="auto"/>
        <w:right w:val="none" w:sz="0" w:space="0" w:color="auto"/>
      </w:divBdr>
    </w:div>
    <w:div w:id="1068042084">
      <w:bodyDiv w:val="1"/>
      <w:marLeft w:val="0"/>
      <w:marRight w:val="0"/>
      <w:marTop w:val="0"/>
      <w:marBottom w:val="0"/>
      <w:divBdr>
        <w:top w:val="none" w:sz="0" w:space="0" w:color="auto"/>
        <w:left w:val="none" w:sz="0" w:space="0" w:color="auto"/>
        <w:bottom w:val="none" w:sz="0" w:space="0" w:color="auto"/>
        <w:right w:val="none" w:sz="0" w:space="0" w:color="auto"/>
      </w:divBdr>
    </w:div>
    <w:div w:id="1406688943">
      <w:bodyDiv w:val="1"/>
      <w:marLeft w:val="0"/>
      <w:marRight w:val="0"/>
      <w:marTop w:val="0"/>
      <w:marBottom w:val="0"/>
      <w:divBdr>
        <w:top w:val="none" w:sz="0" w:space="0" w:color="auto"/>
        <w:left w:val="none" w:sz="0" w:space="0" w:color="auto"/>
        <w:bottom w:val="none" w:sz="0" w:space="0" w:color="auto"/>
        <w:right w:val="none" w:sz="0" w:space="0" w:color="auto"/>
      </w:divBdr>
    </w:div>
    <w:div w:id="1711538618">
      <w:bodyDiv w:val="1"/>
      <w:marLeft w:val="0"/>
      <w:marRight w:val="0"/>
      <w:marTop w:val="0"/>
      <w:marBottom w:val="0"/>
      <w:divBdr>
        <w:top w:val="none" w:sz="0" w:space="0" w:color="auto"/>
        <w:left w:val="none" w:sz="0" w:space="0" w:color="auto"/>
        <w:bottom w:val="none" w:sz="0" w:space="0" w:color="auto"/>
        <w:right w:val="none" w:sz="0" w:space="0" w:color="auto"/>
      </w:divBdr>
    </w:div>
    <w:div w:id="1868987535">
      <w:bodyDiv w:val="1"/>
      <w:marLeft w:val="0"/>
      <w:marRight w:val="0"/>
      <w:marTop w:val="0"/>
      <w:marBottom w:val="0"/>
      <w:divBdr>
        <w:top w:val="none" w:sz="0" w:space="0" w:color="auto"/>
        <w:left w:val="none" w:sz="0" w:space="0" w:color="auto"/>
        <w:bottom w:val="none" w:sz="0" w:space="0" w:color="auto"/>
        <w:right w:val="none" w:sz="0" w:space="0" w:color="auto"/>
      </w:divBdr>
      <w:divsChild>
        <w:div w:id="660235694">
          <w:marLeft w:val="0"/>
          <w:marRight w:val="0"/>
          <w:marTop w:val="0"/>
          <w:marBottom w:val="0"/>
          <w:divBdr>
            <w:top w:val="none" w:sz="0" w:space="0" w:color="auto"/>
            <w:left w:val="none" w:sz="0" w:space="0" w:color="auto"/>
            <w:bottom w:val="none" w:sz="0" w:space="0" w:color="auto"/>
            <w:right w:val="none" w:sz="0" w:space="0" w:color="auto"/>
          </w:divBdr>
          <w:divsChild>
            <w:div w:id="352074153">
              <w:marLeft w:val="0"/>
              <w:marRight w:val="0"/>
              <w:marTop w:val="0"/>
              <w:marBottom w:val="0"/>
              <w:divBdr>
                <w:top w:val="none" w:sz="0" w:space="0" w:color="auto"/>
                <w:left w:val="none" w:sz="0" w:space="0" w:color="auto"/>
                <w:bottom w:val="none" w:sz="0" w:space="0" w:color="auto"/>
                <w:right w:val="none" w:sz="0" w:space="0" w:color="auto"/>
              </w:divBdr>
              <w:divsChild>
                <w:div w:id="1126503766">
                  <w:marLeft w:val="0"/>
                  <w:marRight w:val="0"/>
                  <w:marTop w:val="0"/>
                  <w:marBottom w:val="0"/>
                  <w:divBdr>
                    <w:top w:val="none" w:sz="0" w:space="0" w:color="auto"/>
                    <w:left w:val="none" w:sz="0" w:space="0" w:color="auto"/>
                    <w:bottom w:val="none" w:sz="0" w:space="0" w:color="auto"/>
                    <w:right w:val="none" w:sz="0" w:space="0" w:color="auto"/>
                  </w:divBdr>
                  <w:divsChild>
                    <w:div w:id="64305218">
                      <w:marLeft w:val="-150"/>
                      <w:marRight w:val="-150"/>
                      <w:marTop w:val="0"/>
                      <w:marBottom w:val="0"/>
                      <w:divBdr>
                        <w:top w:val="none" w:sz="0" w:space="0" w:color="auto"/>
                        <w:left w:val="none" w:sz="0" w:space="0" w:color="auto"/>
                        <w:bottom w:val="none" w:sz="0" w:space="0" w:color="auto"/>
                        <w:right w:val="none" w:sz="0" w:space="0" w:color="auto"/>
                      </w:divBdr>
                      <w:divsChild>
                        <w:div w:id="1125386344">
                          <w:marLeft w:val="0"/>
                          <w:marRight w:val="0"/>
                          <w:marTop w:val="0"/>
                          <w:marBottom w:val="0"/>
                          <w:divBdr>
                            <w:top w:val="none" w:sz="0" w:space="0" w:color="auto"/>
                            <w:left w:val="none" w:sz="0" w:space="0" w:color="auto"/>
                            <w:bottom w:val="none" w:sz="0" w:space="0" w:color="auto"/>
                            <w:right w:val="none" w:sz="0" w:space="0" w:color="auto"/>
                          </w:divBdr>
                          <w:divsChild>
                            <w:div w:id="1381520165">
                              <w:marLeft w:val="0"/>
                              <w:marRight w:val="0"/>
                              <w:marTop w:val="0"/>
                              <w:marBottom w:val="0"/>
                              <w:divBdr>
                                <w:top w:val="none" w:sz="0" w:space="0" w:color="auto"/>
                                <w:left w:val="none" w:sz="0" w:space="0" w:color="auto"/>
                                <w:bottom w:val="none" w:sz="0" w:space="0" w:color="auto"/>
                                <w:right w:val="none" w:sz="0" w:space="0" w:color="auto"/>
                              </w:divBdr>
                              <w:divsChild>
                                <w:div w:id="972517262">
                                  <w:marLeft w:val="0"/>
                                  <w:marRight w:val="0"/>
                                  <w:marTop w:val="0"/>
                                  <w:marBottom w:val="300"/>
                                  <w:divBdr>
                                    <w:top w:val="none" w:sz="0" w:space="0" w:color="auto"/>
                                    <w:left w:val="none" w:sz="0" w:space="0" w:color="auto"/>
                                    <w:bottom w:val="none" w:sz="0" w:space="0" w:color="auto"/>
                                    <w:right w:val="none" w:sz="0" w:space="0" w:color="auto"/>
                                  </w:divBdr>
                                  <w:divsChild>
                                    <w:div w:id="1936012440">
                                      <w:marLeft w:val="0"/>
                                      <w:marRight w:val="0"/>
                                      <w:marTop w:val="0"/>
                                      <w:marBottom w:val="0"/>
                                      <w:divBdr>
                                        <w:top w:val="none" w:sz="0" w:space="0" w:color="auto"/>
                                        <w:left w:val="none" w:sz="0" w:space="0" w:color="auto"/>
                                        <w:bottom w:val="none" w:sz="0" w:space="0" w:color="auto"/>
                                        <w:right w:val="none" w:sz="0" w:space="0" w:color="auto"/>
                                      </w:divBdr>
                                      <w:divsChild>
                                        <w:div w:id="1734770683">
                                          <w:marLeft w:val="0"/>
                                          <w:marRight w:val="0"/>
                                          <w:marTop w:val="0"/>
                                          <w:marBottom w:val="0"/>
                                          <w:divBdr>
                                            <w:top w:val="none" w:sz="0" w:space="0" w:color="auto"/>
                                            <w:left w:val="none" w:sz="0" w:space="0" w:color="auto"/>
                                            <w:bottom w:val="none" w:sz="0" w:space="0" w:color="auto"/>
                                            <w:right w:val="none" w:sz="0" w:space="0" w:color="auto"/>
                                          </w:divBdr>
                                          <w:divsChild>
                                            <w:div w:id="779300563">
                                              <w:marLeft w:val="0"/>
                                              <w:marRight w:val="0"/>
                                              <w:marTop w:val="0"/>
                                              <w:marBottom w:val="0"/>
                                              <w:divBdr>
                                                <w:top w:val="none" w:sz="0" w:space="0" w:color="auto"/>
                                                <w:left w:val="none" w:sz="0" w:space="0" w:color="auto"/>
                                                <w:bottom w:val="none" w:sz="0" w:space="0" w:color="auto"/>
                                                <w:right w:val="none" w:sz="0" w:space="0" w:color="auto"/>
                                              </w:divBdr>
                                              <w:divsChild>
                                                <w:div w:id="2081365455">
                                                  <w:marLeft w:val="0"/>
                                                  <w:marRight w:val="0"/>
                                                  <w:marTop w:val="0"/>
                                                  <w:marBottom w:val="0"/>
                                                  <w:divBdr>
                                                    <w:top w:val="none" w:sz="0" w:space="0" w:color="auto"/>
                                                    <w:left w:val="none" w:sz="0" w:space="0" w:color="auto"/>
                                                    <w:bottom w:val="none" w:sz="0" w:space="0" w:color="auto"/>
                                                    <w:right w:val="none" w:sz="0" w:space="0" w:color="auto"/>
                                                  </w:divBdr>
                                                  <w:divsChild>
                                                    <w:div w:id="953630210">
                                                      <w:marLeft w:val="0"/>
                                                      <w:marRight w:val="0"/>
                                                      <w:marTop w:val="0"/>
                                                      <w:marBottom w:val="0"/>
                                                      <w:divBdr>
                                                        <w:top w:val="none" w:sz="0" w:space="0" w:color="auto"/>
                                                        <w:left w:val="none" w:sz="0" w:space="0" w:color="auto"/>
                                                        <w:bottom w:val="none" w:sz="0" w:space="0" w:color="auto"/>
                                                        <w:right w:val="none" w:sz="0" w:space="0" w:color="auto"/>
                                                      </w:divBdr>
                                                      <w:divsChild>
                                                        <w:div w:id="687679555">
                                                          <w:marLeft w:val="0"/>
                                                          <w:marRight w:val="0"/>
                                                          <w:marTop w:val="0"/>
                                                          <w:marBottom w:val="0"/>
                                                          <w:divBdr>
                                                            <w:top w:val="none" w:sz="0" w:space="0" w:color="auto"/>
                                                            <w:left w:val="none" w:sz="0" w:space="0" w:color="auto"/>
                                                            <w:bottom w:val="none" w:sz="0" w:space="0" w:color="auto"/>
                                                            <w:right w:val="none" w:sz="0" w:space="0" w:color="auto"/>
                                                          </w:divBdr>
                                                          <w:divsChild>
                                                            <w:div w:id="35770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6929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veta.Krastina@bank.l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ur-lex.europa.eu/eli/dir/1998/26/oj/?locale=L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ur-lex.europa.eu/eli/dir/1998/26/oj/?locale=L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titania.saeima.lv/livs/saeimasnotikumi.nsf/0/9C20CA1B3F315AFBC225846D00248CFD?OpenDocument&amp;prevCat=13|Bud%C5%BEeta%20un%20finan%C5%A1u%20(nodok%C4%BCu)%20komisi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DFA3B9E3858C4585228C67CA7FA7FB" ma:contentTypeVersion="2" ma:contentTypeDescription="Create a new document." ma:contentTypeScope="" ma:versionID="6f22d94efec647cb1d370e6d16549369">
  <xsd:schema xmlns:xsd="http://www.w3.org/2001/XMLSchema" xmlns:xs="http://www.w3.org/2001/XMLSchema" xmlns:p="http://schemas.microsoft.com/office/2006/metadata/properties" xmlns:ns2="f3241674-c65f-447c-bd19-db5c958b5697" targetNamespace="http://schemas.microsoft.com/office/2006/metadata/properties" ma:root="true" ma:fieldsID="a16181a45e86e80624a2549dcafcb11c" ns2:_="">
    <xsd:import namespace="f3241674-c65f-447c-bd19-db5c958b569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241674-c65f-447c-bd19-db5c958b56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2A9E9-8A81-47EC-8957-909CD9510F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241674-c65f-447c-bd19-db5c958b56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FB7522-B553-45A9-9E34-D2A58037FF05}">
  <ds:schemaRefs>
    <ds:schemaRef ds:uri="http://schemas.microsoft.com/sharepoint/v3/contenttype/forms"/>
  </ds:schemaRefs>
</ds:datastoreItem>
</file>

<file path=customXml/itemProps3.xml><?xml version="1.0" encoding="utf-8"?>
<ds:datastoreItem xmlns:ds="http://schemas.openxmlformats.org/officeDocument/2006/customXml" ds:itemID="{1584AF6F-0FBF-4720-A1F7-87C0FFAD2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2DA8ECA-2DCA-424C-A86D-7CEFF6454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2001</Words>
  <Characters>12547</Characters>
  <Application>Microsoft Office Word</Application>
  <DocSecurity>0</DocSecurity>
  <Lines>432</Lines>
  <Paragraphs>213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"Grozījumi likumā "Par norēķinu galīgumu maksājumu un finanšu instrumentu norēķinu sistēmās"" sākotnējās ietekmes novērtējuma ziņojums (anotācija)</vt:lpstr>
      <vt:lpstr>Likumprojekta "Grozījumi likumā "Par norēķinu galīgumu maksājumu un finanšu instrumentu norēķinu sistēmās"" sākotnējās ietekmes novērtējuma ziņojums (anotācija)</vt:lpstr>
    </vt:vector>
  </TitlesOfParts>
  <Company>FKTK</Company>
  <LinksUpToDate>false</LinksUpToDate>
  <CharactersWithSpaces>14335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likumā "Par norēķinu galīgumu maksājumu un finanšu instrumentu norēķinu sistēmās"" sākotnējās ietekmes novērtējuma ziņojums (anotācija)</dc:title>
  <dc:subject>Anotācija</dc:subject>
  <dc:creator>Guntis Cerbulis</dc:creator>
  <dc:description>Cerbulis, 67774817_x000d_
Guntis.Cerbulis@fktk.lv</dc:description>
  <cp:lastModifiedBy>User</cp:lastModifiedBy>
  <cp:revision>5</cp:revision>
  <cp:lastPrinted>2020-09-01T09:37:00Z</cp:lastPrinted>
  <dcterms:created xsi:type="dcterms:W3CDTF">2021-02-11T13:00:00Z</dcterms:created>
  <dcterms:modified xsi:type="dcterms:W3CDTF">2021-02-23T18:26:00Z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0x0101003FDFA3B9E3858C4585228C67CA7FA7FB</vt:lpwstr>
  </property>
</Properties>
</file>