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C30F2" w14:textId="77777777" w:rsidR="00022A62" w:rsidRPr="00D50B22"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bookmarkStart w:id="7" w:name="_GoBack"/>
      <w:bookmarkEnd w:id="7"/>
      <w:r w:rsidRPr="00D50B22">
        <w:rPr>
          <w:rFonts w:ascii="Times New Roman" w:eastAsia="Times New Roman" w:hAnsi="Times New Roman" w:cs="Times New Roman"/>
          <w:sz w:val="20"/>
          <w:lang w:eastAsia="lv-LV"/>
        </w:rPr>
        <w:t>Izziņa par atzinumos sniegtajiem iebildumiem</w:t>
      </w:r>
      <w:bookmarkEnd w:id="0"/>
      <w:bookmarkEnd w:id="1"/>
    </w:p>
    <w:p w14:paraId="1DBE9C37" w14:textId="77777777" w:rsidR="00022A62" w:rsidRPr="00D50B22"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D50B22" w14:paraId="0A2E2B50"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347BBDD4" w14:textId="77777777" w:rsidR="00022A62" w:rsidRPr="00D50B22" w:rsidRDefault="00AB400A" w:rsidP="002A328C">
            <w:pPr>
              <w:spacing w:before="100" w:beforeAutospacing="1" w:after="0" w:line="240" w:lineRule="auto"/>
              <w:jc w:val="center"/>
              <w:rPr>
                <w:rFonts w:ascii="Times New Roman" w:eastAsia="Times New Roman" w:hAnsi="Times New Roman" w:cs="Times New Roman"/>
                <w:sz w:val="28"/>
                <w:szCs w:val="28"/>
              </w:rPr>
            </w:pPr>
            <w:r w:rsidRPr="00D50B22">
              <w:rPr>
                <w:rFonts w:ascii="Times New Roman" w:hAnsi="Times New Roman"/>
                <w:iCs/>
                <w:sz w:val="20"/>
                <w:szCs w:val="24"/>
                <w:lang w:eastAsia="lv-LV"/>
              </w:rPr>
              <w:t>Likum</w:t>
            </w:r>
            <w:r w:rsidR="007D7E64" w:rsidRPr="00D50B22">
              <w:rPr>
                <w:rFonts w:ascii="Times New Roman" w:hAnsi="Times New Roman"/>
                <w:iCs/>
                <w:sz w:val="20"/>
                <w:szCs w:val="24"/>
                <w:lang w:eastAsia="lv-LV"/>
              </w:rPr>
              <w:t>projekts "</w:t>
            </w:r>
            <w:r w:rsidR="00103E4D" w:rsidRPr="00D50B22">
              <w:rPr>
                <w:rFonts w:ascii="Times New Roman" w:hAnsi="Times New Roman"/>
                <w:iCs/>
                <w:sz w:val="20"/>
                <w:szCs w:val="24"/>
                <w:lang w:eastAsia="lv-LV"/>
              </w:rPr>
              <w:t xml:space="preserve">Grozījumi </w:t>
            </w:r>
            <w:r w:rsidR="002A328C" w:rsidRPr="00D50B22">
              <w:rPr>
                <w:rFonts w:ascii="Times New Roman" w:eastAsia="Times New Roman" w:hAnsi="Times New Roman" w:cs="Times New Roman"/>
                <w:sz w:val="20"/>
                <w:szCs w:val="20"/>
              </w:rPr>
              <w:t>Apdrošināšanas un pārapdrošināšanas likumā</w:t>
            </w:r>
            <w:r w:rsidR="007D7E64" w:rsidRPr="00D50B22">
              <w:rPr>
                <w:rFonts w:ascii="Times New Roman" w:hAnsi="Times New Roman"/>
                <w:iCs/>
                <w:sz w:val="20"/>
                <w:szCs w:val="24"/>
                <w:lang w:eastAsia="lv-LV"/>
              </w:rPr>
              <w:t>"  (VSS-</w:t>
            </w:r>
            <w:r w:rsidR="00EB3E93" w:rsidRPr="00D50B22">
              <w:rPr>
                <w:rFonts w:ascii="Times New Roman" w:hAnsi="Times New Roman"/>
                <w:iCs/>
                <w:sz w:val="20"/>
                <w:szCs w:val="24"/>
                <w:lang w:eastAsia="lv-LV"/>
              </w:rPr>
              <w:t>4</w:t>
            </w:r>
            <w:r w:rsidR="00DA470C" w:rsidRPr="00D50B22">
              <w:rPr>
                <w:rFonts w:ascii="Times New Roman" w:hAnsi="Times New Roman"/>
                <w:iCs/>
                <w:sz w:val="20"/>
                <w:szCs w:val="24"/>
                <w:lang w:eastAsia="lv-LV"/>
              </w:rPr>
              <w:t>2</w:t>
            </w:r>
            <w:r w:rsidR="002A328C" w:rsidRPr="00D50B22">
              <w:rPr>
                <w:rFonts w:ascii="Times New Roman" w:hAnsi="Times New Roman"/>
                <w:iCs/>
                <w:sz w:val="20"/>
                <w:szCs w:val="24"/>
                <w:lang w:eastAsia="lv-LV"/>
              </w:rPr>
              <w:t>3</w:t>
            </w:r>
            <w:r w:rsidR="007D7E64" w:rsidRPr="00D50B22">
              <w:rPr>
                <w:rFonts w:ascii="Times New Roman" w:hAnsi="Times New Roman"/>
                <w:iCs/>
                <w:sz w:val="20"/>
                <w:szCs w:val="24"/>
                <w:lang w:eastAsia="lv-LV"/>
              </w:rPr>
              <w:t>)</w:t>
            </w:r>
          </w:p>
        </w:tc>
      </w:tr>
    </w:tbl>
    <w:bookmarkEnd w:id="5"/>
    <w:bookmarkEnd w:id="6"/>
    <w:p w14:paraId="28403F81" w14:textId="77777777" w:rsidR="00022A62" w:rsidRPr="00D50B22" w:rsidRDefault="00022A62" w:rsidP="00D60CB6">
      <w:pPr>
        <w:spacing w:after="0" w:line="240" w:lineRule="auto"/>
        <w:jc w:val="center"/>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(dokumenta veids un nosaukums)</w:t>
      </w:r>
    </w:p>
    <w:p w14:paraId="43D10E7B" w14:textId="77777777" w:rsidR="00022A62" w:rsidRPr="00D50B22" w:rsidRDefault="00022A62" w:rsidP="00D60CB6">
      <w:pPr>
        <w:spacing w:after="0" w:line="240" w:lineRule="auto"/>
        <w:jc w:val="both"/>
        <w:rPr>
          <w:rFonts w:ascii="Times New Roman" w:eastAsia="Times New Roman" w:hAnsi="Times New Roman" w:cs="Times New Roman"/>
          <w:sz w:val="20"/>
          <w:lang w:eastAsia="lv-LV"/>
        </w:rPr>
      </w:pPr>
    </w:p>
    <w:p w14:paraId="46255DA0" w14:textId="77777777" w:rsidR="00A33F1F" w:rsidRPr="00D50B22" w:rsidRDefault="00A33F1F" w:rsidP="00D60CB6">
      <w:pPr>
        <w:spacing w:after="0" w:line="240" w:lineRule="auto"/>
        <w:jc w:val="center"/>
        <w:rPr>
          <w:rFonts w:ascii="Times New Roman" w:eastAsia="Times New Roman" w:hAnsi="Times New Roman" w:cs="Times New Roman"/>
          <w:sz w:val="20"/>
        </w:rPr>
      </w:pPr>
      <w:r w:rsidRPr="00D50B22">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D50B22" w14:paraId="45B69736"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22858DE8" w14:textId="77777777" w:rsidR="00A33F1F" w:rsidRPr="00D50B22" w:rsidRDefault="00A33F1F" w:rsidP="00D60CB6">
            <w:pPr>
              <w:spacing w:after="0" w:line="240" w:lineRule="auto"/>
              <w:jc w:val="center"/>
              <w:rPr>
                <w:rFonts w:ascii="Times New Roman" w:eastAsia="Times New Roman" w:hAnsi="Times New Roman" w:cs="Times New Roman"/>
                <w:sz w:val="20"/>
              </w:rPr>
            </w:pPr>
            <w:r w:rsidRPr="00D50B22">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A1BB65" w14:textId="77777777" w:rsidR="00A33F1F" w:rsidRPr="00D50B22" w:rsidRDefault="00A33F1F" w:rsidP="00D60CB6">
            <w:pPr>
              <w:spacing w:after="0" w:line="240" w:lineRule="auto"/>
              <w:jc w:val="center"/>
              <w:rPr>
                <w:rFonts w:ascii="Times New Roman" w:eastAsia="Times New Roman" w:hAnsi="Times New Roman" w:cs="Times New Roman"/>
                <w:sz w:val="20"/>
              </w:rPr>
            </w:pPr>
            <w:r w:rsidRPr="00D50B22">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6F9F01C8" w14:textId="77777777" w:rsidR="00A33F1F" w:rsidRPr="00D50B22" w:rsidRDefault="00A33F1F" w:rsidP="00D60CB6">
            <w:pPr>
              <w:spacing w:after="0" w:line="240" w:lineRule="auto"/>
              <w:jc w:val="center"/>
              <w:rPr>
                <w:rFonts w:ascii="Times New Roman" w:eastAsia="Times New Roman" w:hAnsi="Times New Roman" w:cs="Times New Roman"/>
                <w:sz w:val="20"/>
              </w:rPr>
            </w:pPr>
            <w:r w:rsidRPr="00D50B22">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42144BAB" w14:textId="77777777" w:rsidR="00A33F1F" w:rsidRPr="00D50B22" w:rsidRDefault="00A33F1F" w:rsidP="00D60CB6">
            <w:pPr>
              <w:spacing w:after="0" w:line="240" w:lineRule="auto"/>
              <w:jc w:val="center"/>
              <w:rPr>
                <w:rFonts w:ascii="Times New Roman" w:eastAsia="Times New Roman" w:hAnsi="Times New Roman" w:cs="Times New Roman"/>
                <w:sz w:val="20"/>
              </w:rPr>
            </w:pPr>
            <w:r w:rsidRPr="00D50B22">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FA7BC42" w14:textId="77777777" w:rsidR="00A33F1F" w:rsidRPr="00D50B22" w:rsidRDefault="00A33F1F" w:rsidP="00D60CB6">
            <w:pPr>
              <w:spacing w:after="0" w:line="240" w:lineRule="auto"/>
              <w:jc w:val="center"/>
              <w:rPr>
                <w:rFonts w:ascii="Times New Roman" w:eastAsia="Times New Roman" w:hAnsi="Times New Roman" w:cs="Times New Roman"/>
                <w:sz w:val="20"/>
              </w:rPr>
            </w:pPr>
            <w:r w:rsidRPr="00D50B22">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00EE015A" w14:textId="77777777" w:rsidR="00A33F1F" w:rsidRPr="00D50B22" w:rsidRDefault="00A33F1F" w:rsidP="00D60CB6">
            <w:pPr>
              <w:tabs>
                <w:tab w:val="left" w:pos="3822"/>
              </w:tabs>
              <w:spacing w:after="0" w:line="240" w:lineRule="auto"/>
              <w:jc w:val="center"/>
              <w:rPr>
                <w:rFonts w:ascii="Times New Roman" w:eastAsia="Times New Roman" w:hAnsi="Times New Roman" w:cs="Times New Roman"/>
                <w:sz w:val="20"/>
              </w:rPr>
            </w:pPr>
            <w:r w:rsidRPr="00D50B22">
              <w:rPr>
                <w:rFonts w:ascii="Times New Roman" w:eastAsia="Times New Roman" w:hAnsi="Times New Roman" w:cs="Times New Roman"/>
                <w:sz w:val="20"/>
              </w:rPr>
              <w:t>Projekta attiecīgā punkta (panta) galīgā redakcija</w:t>
            </w:r>
          </w:p>
        </w:tc>
      </w:tr>
      <w:tr w:rsidR="00A33F1F" w:rsidRPr="00D50B22" w14:paraId="4112593C"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08D3D155" w14:textId="77777777" w:rsidR="00A33F1F" w:rsidRPr="00D50B22" w:rsidRDefault="00A33F1F" w:rsidP="00D60CB6">
            <w:pPr>
              <w:spacing w:after="0" w:line="240" w:lineRule="auto"/>
              <w:jc w:val="center"/>
              <w:rPr>
                <w:rFonts w:ascii="Times New Roman" w:eastAsia="Times New Roman" w:hAnsi="Times New Roman" w:cs="Times New Roman"/>
                <w:color w:val="000000"/>
                <w:sz w:val="20"/>
                <w:lang w:eastAsia="lv-LV"/>
              </w:rPr>
            </w:pPr>
            <w:r w:rsidRPr="00D50B22">
              <w:rPr>
                <w:rFonts w:ascii="Times New Roman" w:eastAsia="Times New Roman" w:hAnsi="Times New Roman" w:cs="Times New Roman"/>
                <w:color w:val="000000"/>
                <w:sz w:val="20"/>
                <w:lang w:eastAsia="lv-LV"/>
              </w:rPr>
              <w:t>Nav nesaskaņotu iebildumu</w:t>
            </w:r>
          </w:p>
        </w:tc>
      </w:tr>
    </w:tbl>
    <w:p w14:paraId="77F624D7" w14:textId="77777777" w:rsidR="00A33F1F" w:rsidRPr="00D50B22" w:rsidRDefault="00A33F1F" w:rsidP="00D60CB6">
      <w:pPr>
        <w:pStyle w:val="naisf"/>
        <w:spacing w:before="0" w:after="0"/>
        <w:ind w:firstLine="0"/>
        <w:rPr>
          <w:sz w:val="20"/>
          <w:szCs w:val="22"/>
        </w:rPr>
      </w:pPr>
    </w:p>
    <w:p w14:paraId="38F04856" w14:textId="77777777" w:rsidR="00022A62" w:rsidRPr="00D50B22" w:rsidRDefault="00022A62" w:rsidP="00D60CB6">
      <w:pPr>
        <w:spacing w:after="0" w:line="240" w:lineRule="auto"/>
        <w:jc w:val="both"/>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Informācija par starpministriju (starpinstitūciju) sanāksmi vai elektronisko saskaņošanu</w:t>
      </w:r>
    </w:p>
    <w:p w14:paraId="7513EB5F" w14:textId="77777777" w:rsidR="00022A62" w:rsidRPr="00D50B22"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D50B22" w14:paraId="0BE82DCA" w14:textId="77777777" w:rsidTr="0001655E">
        <w:trPr>
          <w:gridAfter w:val="1"/>
          <w:wAfter w:w="1425" w:type="dxa"/>
        </w:trPr>
        <w:tc>
          <w:tcPr>
            <w:tcW w:w="8505" w:type="dxa"/>
            <w:hideMark/>
          </w:tcPr>
          <w:p w14:paraId="18399D71" w14:textId="77777777" w:rsidR="00022A62" w:rsidRPr="00D50B22" w:rsidRDefault="00022A62" w:rsidP="00D60CB6">
            <w:pPr>
              <w:spacing w:after="0" w:line="240" w:lineRule="auto"/>
              <w:jc w:val="both"/>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7559AA53" w14:textId="77777777" w:rsidR="00022A62" w:rsidRPr="00D50B22" w:rsidRDefault="002217A5" w:rsidP="00550BD1">
            <w:pPr>
              <w:spacing w:after="0" w:line="240" w:lineRule="auto"/>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w:t>
            </w:r>
            <w:r w:rsidR="009C2762" w:rsidRPr="00D50B22">
              <w:rPr>
                <w:rFonts w:ascii="Times New Roman" w:eastAsia="Times New Roman" w:hAnsi="Times New Roman" w:cs="Times New Roman"/>
                <w:sz w:val="20"/>
                <w:lang w:eastAsia="lv-LV"/>
              </w:rPr>
              <w:t xml:space="preserve">VSS </w:t>
            </w:r>
            <w:r w:rsidR="00A071FF" w:rsidRPr="00D50B22">
              <w:rPr>
                <w:rFonts w:ascii="Times New Roman" w:eastAsia="Times New Roman" w:hAnsi="Times New Roman" w:cs="Times New Roman"/>
                <w:sz w:val="20"/>
                <w:lang w:eastAsia="lv-LV"/>
              </w:rPr>
              <w:t>2</w:t>
            </w:r>
            <w:r w:rsidR="00DA470C" w:rsidRPr="00D50B22">
              <w:rPr>
                <w:rFonts w:ascii="Times New Roman" w:eastAsia="Times New Roman" w:hAnsi="Times New Roman" w:cs="Times New Roman"/>
                <w:sz w:val="20"/>
                <w:lang w:eastAsia="lv-LV"/>
              </w:rPr>
              <w:t>8</w:t>
            </w:r>
            <w:r w:rsidR="00AB400A" w:rsidRPr="00D50B22">
              <w:rPr>
                <w:rFonts w:ascii="Times New Roman" w:eastAsia="Times New Roman" w:hAnsi="Times New Roman" w:cs="Times New Roman"/>
                <w:sz w:val="20"/>
                <w:lang w:eastAsia="lv-LV"/>
              </w:rPr>
              <w:t>.05.2020</w:t>
            </w:r>
            <w:r w:rsidR="000F5839" w:rsidRPr="00D50B22">
              <w:rPr>
                <w:rFonts w:ascii="Times New Roman" w:eastAsia="Times New Roman" w:hAnsi="Times New Roman" w:cs="Times New Roman"/>
                <w:sz w:val="20"/>
                <w:lang w:eastAsia="lv-LV"/>
              </w:rPr>
              <w:t xml:space="preserve">, saskaņošana </w:t>
            </w:r>
            <w:r w:rsidR="00550BD1">
              <w:rPr>
                <w:rFonts w:ascii="Times New Roman" w:eastAsia="Times New Roman" w:hAnsi="Times New Roman" w:cs="Times New Roman"/>
                <w:sz w:val="20"/>
                <w:lang w:eastAsia="lv-LV"/>
              </w:rPr>
              <w:t>26</w:t>
            </w:r>
            <w:r w:rsidR="000F5839" w:rsidRPr="00D50B22">
              <w:rPr>
                <w:rFonts w:ascii="Times New Roman" w:eastAsia="Times New Roman" w:hAnsi="Times New Roman" w:cs="Times New Roman"/>
                <w:sz w:val="20"/>
                <w:lang w:eastAsia="lv-LV"/>
              </w:rPr>
              <w:t>.</w:t>
            </w:r>
            <w:r w:rsidR="00AB400A" w:rsidRPr="00D50B22">
              <w:rPr>
                <w:rFonts w:ascii="Times New Roman" w:eastAsia="Times New Roman" w:hAnsi="Times New Roman" w:cs="Times New Roman"/>
                <w:sz w:val="20"/>
                <w:lang w:eastAsia="lv-LV"/>
              </w:rPr>
              <w:t>0</w:t>
            </w:r>
            <w:r w:rsidR="00DA470C" w:rsidRPr="00D50B22">
              <w:rPr>
                <w:rFonts w:ascii="Times New Roman" w:eastAsia="Times New Roman" w:hAnsi="Times New Roman" w:cs="Times New Roman"/>
                <w:sz w:val="20"/>
                <w:lang w:eastAsia="lv-LV"/>
              </w:rPr>
              <w:t>8</w:t>
            </w:r>
            <w:r w:rsidR="000F5839" w:rsidRPr="00D50B22">
              <w:rPr>
                <w:rFonts w:ascii="Times New Roman" w:eastAsia="Times New Roman" w:hAnsi="Times New Roman" w:cs="Times New Roman"/>
                <w:sz w:val="20"/>
                <w:lang w:eastAsia="lv-LV"/>
              </w:rPr>
              <w:t>.20</w:t>
            </w:r>
            <w:r w:rsidR="00AB400A" w:rsidRPr="00D50B22">
              <w:rPr>
                <w:rFonts w:ascii="Times New Roman" w:eastAsia="Times New Roman" w:hAnsi="Times New Roman" w:cs="Times New Roman"/>
                <w:sz w:val="20"/>
                <w:lang w:eastAsia="lv-LV"/>
              </w:rPr>
              <w:t>20</w:t>
            </w:r>
            <w:r w:rsidR="00D27532" w:rsidRPr="00D50B22">
              <w:rPr>
                <w:rFonts w:ascii="Times New Roman" w:eastAsia="Times New Roman" w:hAnsi="Times New Roman" w:cs="Times New Roman"/>
                <w:sz w:val="20"/>
                <w:lang w:eastAsia="lv-LV"/>
              </w:rPr>
              <w:t>)</w:t>
            </w:r>
          </w:p>
        </w:tc>
      </w:tr>
      <w:tr w:rsidR="00022A62" w:rsidRPr="00D50B22" w14:paraId="516C06CA" w14:textId="77777777" w:rsidTr="0001655E">
        <w:trPr>
          <w:gridAfter w:val="1"/>
          <w:wAfter w:w="1425" w:type="dxa"/>
        </w:trPr>
        <w:tc>
          <w:tcPr>
            <w:tcW w:w="8505" w:type="dxa"/>
          </w:tcPr>
          <w:p w14:paraId="653146C4" w14:textId="77777777" w:rsidR="00022A62" w:rsidRPr="00D50B22"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2E74C9BC" w14:textId="77777777" w:rsidR="00022A62" w:rsidRPr="00D50B22" w:rsidRDefault="00022A62" w:rsidP="00D60CB6">
            <w:pPr>
              <w:spacing w:after="0" w:line="240" w:lineRule="auto"/>
              <w:rPr>
                <w:rFonts w:ascii="Times New Roman" w:eastAsia="Times New Roman" w:hAnsi="Times New Roman" w:cs="Times New Roman"/>
                <w:sz w:val="20"/>
                <w:lang w:eastAsia="lv-LV"/>
              </w:rPr>
            </w:pPr>
          </w:p>
        </w:tc>
      </w:tr>
      <w:tr w:rsidR="00022A62" w:rsidRPr="00D50B22" w14:paraId="688B9F85" w14:textId="77777777" w:rsidTr="0001655E">
        <w:trPr>
          <w:gridAfter w:val="1"/>
          <w:wAfter w:w="1425" w:type="dxa"/>
        </w:trPr>
        <w:tc>
          <w:tcPr>
            <w:tcW w:w="8505" w:type="dxa"/>
            <w:hideMark/>
          </w:tcPr>
          <w:p w14:paraId="384D56E3" w14:textId="77777777" w:rsidR="00022A62" w:rsidRPr="00D50B22" w:rsidRDefault="00022A62" w:rsidP="00D60CB6">
            <w:pPr>
              <w:spacing w:after="0" w:line="240" w:lineRule="auto"/>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Saskaņošanas dalībnieki</w:t>
            </w:r>
          </w:p>
        </w:tc>
        <w:tc>
          <w:tcPr>
            <w:tcW w:w="5401" w:type="dxa"/>
            <w:gridSpan w:val="2"/>
            <w:hideMark/>
          </w:tcPr>
          <w:p w14:paraId="0A0B24B3" w14:textId="77777777" w:rsidR="00022A62" w:rsidRPr="00D50B22" w:rsidRDefault="009A1FED" w:rsidP="00243584">
            <w:pPr>
              <w:spacing w:after="0" w:line="240" w:lineRule="auto"/>
              <w:jc w:val="both"/>
              <w:rPr>
                <w:rFonts w:ascii="Times New Roman" w:hAnsi="Times New Roman" w:cs="Times New Roman"/>
                <w:sz w:val="20"/>
                <w:highlight w:val="yellow"/>
              </w:rPr>
            </w:pPr>
            <w:r w:rsidRPr="00D50B22">
              <w:rPr>
                <w:rFonts w:ascii="Times New Roman" w:eastAsia="Times New Roman" w:hAnsi="Times New Roman" w:cs="Times New Roman"/>
                <w:sz w:val="20"/>
                <w:lang w:eastAsia="lv-LV"/>
              </w:rPr>
              <w:t>Tieslietu ministrij</w:t>
            </w:r>
            <w:r w:rsidR="00AB400A" w:rsidRPr="00D50B22">
              <w:rPr>
                <w:rFonts w:ascii="Times New Roman" w:eastAsia="Times New Roman" w:hAnsi="Times New Roman" w:cs="Times New Roman"/>
                <w:sz w:val="20"/>
                <w:lang w:eastAsia="lv-LV"/>
              </w:rPr>
              <w:t>a</w:t>
            </w:r>
            <w:r w:rsidR="000B2BA8" w:rsidRPr="00D50B22">
              <w:rPr>
                <w:rFonts w:ascii="Times New Roman" w:eastAsia="Times New Roman" w:hAnsi="Times New Roman" w:cs="Times New Roman"/>
                <w:sz w:val="20"/>
                <w:lang w:eastAsia="lv-LV"/>
              </w:rPr>
              <w:t xml:space="preserve">, Finanšu un kapitāla tirgus </w:t>
            </w:r>
            <w:r w:rsidR="00243584">
              <w:rPr>
                <w:rFonts w:ascii="Times New Roman" w:eastAsia="Times New Roman" w:hAnsi="Times New Roman" w:cs="Times New Roman"/>
                <w:sz w:val="20"/>
                <w:lang w:eastAsia="lv-LV"/>
              </w:rPr>
              <w:t>komisija</w:t>
            </w:r>
            <w:r w:rsidR="000B2BA8" w:rsidRPr="00D50B22">
              <w:rPr>
                <w:rFonts w:ascii="Times New Roman" w:eastAsia="Times New Roman" w:hAnsi="Times New Roman" w:cs="Times New Roman"/>
                <w:sz w:val="20"/>
                <w:lang w:eastAsia="lv-LV"/>
              </w:rPr>
              <w:t>, Latvijas Banka, Valsts kase</w:t>
            </w:r>
          </w:p>
        </w:tc>
      </w:tr>
      <w:tr w:rsidR="00022A62" w:rsidRPr="00D50B22" w14:paraId="0A2FB6BE" w14:textId="77777777" w:rsidTr="0001655E">
        <w:trPr>
          <w:trHeight w:val="80"/>
        </w:trPr>
        <w:tc>
          <w:tcPr>
            <w:tcW w:w="8505" w:type="dxa"/>
          </w:tcPr>
          <w:p w14:paraId="4F73AFDF" w14:textId="77777777" w:rsidR="00022A62" w:rsidRPr="00D50B22"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242ECFD6" w14:textId="77777777" w:rsidR="00022A62" w:rsidRPr="00D50B22"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32E805B5" w14:textId="77777777" w:rsidR="00022A62" w:rsidRPr="00D50B22" w:rsidRDefault="00022A62" w:rsidP="00D60CB6">
            <w:pPr>
              <w:spacing w:after="0" w:line="240" w:lineRule="auto"/>
              <w:jc w:val="both"/>
              <w:rPr>
                <w:rFonts w:ascii="Times New Roman" w:eastAsia="Times New Roman" w:hAnsi="Times New Roman" w:cs="Times New Roman"/>
                <w:sz w:val="20"/>
                <w:lang w:eastAsia="lv-LV"/>
              </w:rPr>
            </w:pPr>
          </w:p>
        </w:tc>
      </w:tr>
      <w:tr w:rsidR="00022A62" w:rsidRPr="00D50B22" w14:paraId="2E5CEC02" w14:textId="77777777" w:rsidTr="0001655E">
        <w:trPr>
          <w:trHeight w:val="501"/>
        </w:trPr>
        <w:tc>
          <w:tcPr>
            <w:tcW w:w="8505" w:type="dxa"/>
            <w:hideMark/>
          </w:tcPr>
          <w:p w14:paraId="63823D29" w14:textId="77777777" w:rsidR="00022A62" w:rsidRPr="00D50B22" w:rsidRDefault="00022A62" w:rsidP="00D60CB6">
            <w:pPr>
              <w:spacing w:after="0" w:line="240" w:lineRule="auto"/>
              <w:jc w:val="both"/>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16713932" w14:textId="77777777" w:rsidR="00022A62" w:rsidRPr="00D50B22"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10ABEAD7" w14:textId="77777777" w:rsidR="00022A62" w:rsidRPr="00D50B22"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D50B22" w14:paraId="6026B340" w14:textId="77777777" w:rsidTr="003B1A15">
        <w:trPr>
          <w:gridAfter w:val="1"/>
          <w:wAfter w:w="1425" w:type="dxa"/>
          <w:trHeight w:val="679"/>
        </w:trPr>
        <w:tc>
          <w:tcPr>
            <w:tcW w:w="8505" w:type="dxa"/>
            <w:hideMark/>
          </w:tcPr>
          <w:p w14:paraId="3DD6E184" w14:textId="77777777" w:rsidR="00114194" w:rsidRPr="00D50B22" w:rsidRDefault="00022A62" w:rsidP="00D60CB6">
            <w:pPr>
              <w:spacing w:after="0" w:line="240" w:lineRule="auto"/>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77966828" w14:textId="77777777" w:rsidR="00022A62" w:rsidRPr="00D50B22" w:rsidRDefault="004D66B7" w:rsidP="00D60CB6">
            <w:pPr>
              <w:spacing w:after="0" w:line="240" w:lineRule="auto"/>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w:t>
            </w:r>
          </w:p>
        </w:tc>
      </w:tr>
    </w:tbl>
    <w:p w14:paraId="47B78DAB" w14:textId="77777777" w:rsidR="00022A62" w:rsidRPr="00D50B22" w:rsidRDefault="00A33F1F" w:rsidP="00D60CB6">
      <w:pPr>
        <w:pStyle w:val="naisf"/>
        <w:spacing w:before="0" w:after="0"/>
        <w:ind w:left="360" w:firstLine="0"/>
        <w:jc w:val="center"/>
        <w:rPr>
          <w:sz w:val="20"/>
          <w:szCs w:val="22"/>
        </w:rPr>
      </w:pPr>
      <w:r w:rsidRPr="00D50B22">
        <w:rPr>
          <w:sz w:val="20"/>
          <w:szCs w:val="22"/>
        </w:rPr>
        <w:t xml:space="preserve">II </w:t>
      </w:r>
      <w:r w:rsidR="00022A62" w:rsidRPr="00D50B22">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243"/>
        <w:gridCol w:w="1023"/>
        <w:gridCol w:w="3496"/>
        <w:gridCol w:w="2620"/>
        <w:gridCol w:w="401"/>
        <w:gridCol w:w="3220"/>
      </w:tblGrid>
      <w:tr w:rsidR="001A4587" w:rsidRPr="00D50B22" w14:paraId="6D9B9EF9"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67C2B6C8" w14:textId="77777777" w:rsidR="000239F9" w:rsidRPr="00D50B22" w:rsidRDefault="000239F9" w:rsidP="00D60CB6">
            <w:pPr>
              <w:spacing w:after="0" w:line="240" w:lineRule="auto"/>
              <w:jc w:val="center"/>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33EAF272" w14:textId="77777777" w:rsidR="000239F9" w:rsidRPr="00D50B22" w:rsidRDefault="000239F9" w:rsidP="002C1589">
            <w:pPr>
              <w:spacing w:after="0" w:line="240" w:lineRule="auto"/>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Saskaņošanai nosūtītā projekta redakcija (konkrēta punkta (panta) redakcija)</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5763C672" w14:textId="77777777" w:rsidR="000239F9" w:rsidRPr="00D50B22" w:rsidRDefault="000239F9" w:rsidP="00D60CB6">
            <w:pPr>
              <w:spacing w:after="0" w:line="240" w:lineRule="auto"/>
              <w:ind w:right="3"/>
              <w:jc w:val="center"/>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1228" w:type="pct"/>
            <w:gridSpan w:val="2"/>
            <w:tcBorders>
              <w:top w:val="single" w:sz="6" w:space="0" w:color="000000"/>
              <w:left w:val="single" w:sz="6" w:space="0" w:color="000000"/>
              <w:bottom w:val="single" w:sz="6" w:space="0" w:color="000000"/>
              <w:right w:val="single" w:sz="6" w:space="0" w:color="000000"/>
            </w:tcBorders>
            <w:vAlign w:val="center"/>
            <w:hideMark/>
          </w:tcPr>
          <w:p w14:paraId="29C0E4BF" w14:textId="77777777" w:rsidR="000239F9" w:rsidRPr="00D50B22" w:rsidRDefault="000239F9" w:rsidP="00D60CB6">
            <w:pPr>
              <w:spacing w:after="0" w:line="240" w:lineRule="auto"/>
              <w:jc w:val="center"/>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712" w:type="pct"/>
            <w:tcBorders>
              <w:top w:val="single" w:sz="4" w:space="0" w:color="auto"/>
              <w:left w:val="single" w:sz="4" w:space="0" w:color="auto"/>
              <w:bottom w:val="single" w:sz="4" w:space="0" w:color="auto"/>
              <w:right w:val="single" w:sz="4" w:space="0" w:color="auto"/>
            </w:tcBorders>
            <w:vAlign w:val="center"/>
            <w:hideMark/>
          </w:tcPr>
          <w:p w14:paraId="68144B5A" w14:textId="77777777" w:rsidR="000239F9" w:rsidRPr="00D50B22" w:rsidRDefault="000239F9" w:rsidP="00D60CB6">
            <w:pPr>
              <w:spacing w:after="0" w:line="240" w:lineRule="auto"/>
              <w:jc w:val="center"/>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Projekta attiecīgā punkta (panta) galīgā redakcija</w:t>
            </w:r>
          </w:p>
        </w:tc>
      </w:tr>
      <w:tr w:rsidR="001A4587" w:rsidRPr="00D50B22" w14:paraId="39E78616"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062EAA26" w14:textId="77777777" w:rsidR="000239F9" w:rsidRPr="00D50B22" w:rsidRDefault="000239F9" w:rsidP="00D60CB6">
            <w:pPr>
              <w:spacing w:after="0" w:line="240" w:lineRule="auto"/>
              <w:jc w:val="center"/>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474238AA" w14:textId="77777777" w:rsidR="000239F9" w:rsidRPr="00D50B22" w:rsidRDefault="000239F9" w:rsidP="002C1589">
            <w:pPr>
              <w:spacing w:after="0" w:line="240" w:lineRule="auto"/>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2</w:t>
            </w:r>
          </w:p>
        </w:tc>
        <w:tc>
          <w:tcPr>
            <w:tcW w:w="1153" w:type="pct"/>
            <w:tcBorders>
              <w:top w:val="single" w:sz="6" w:space="0" w:color="000000"/>
              <w:left w:val="single" w:sz="6" w:space="0" w:color="000000"/>
              <w:bottom w:val="single" w:sz="6" w:space="0" w:color="000000"/>
              <w:right w:val="single" w:sz="6" w:space="0" w:color="000000"/>
            </w:tcBorders>
            <w:hideMark/>
          </w:tcPr>
          <w:p w14:paraId="5284A8D3" w14:textId="77777777" w:rsidR="000239F9" w:rsidRPr="00D50B22" w:rsidRDefault="000239F9" w:rsidP="00D60CB6">
            <w:pPr>
              <w:spacing w:after="0" w:line="240" w:lineRule="auto"/>
              <w:jc w:val="center"/>
              <w:rPr>
                <w:rFonts w:ascii="Times New Roman" w:eastAsia="Times New Roman" w:hAnsi="Times New Roman" w:cs="Times New Roman"/>
                <w:sz w:val="20"/>
                <w:szCs w:val="20"/>
                <w:lang w:eastAsia="lv-LV"/>
              </w:rPr>
            </w:pPr>
            <w:r w:rsidRPr="00D50B22">
              <w:rPr>
                <w:rFonts w:ascii="Times New Roman" w:eastAsia="Times New Roman" w:hAnsi="Times New Roman" w:cs="Times New Roman"/>
                <w:sz w:val="20"/>
                <w:szCs w:val="20"/>
                <w:lang w:eastAsia="lv-LV"/>
              </w:rPr>
              <w:t>3</w:t>
            </w:r>
          </w:p>
        </w:tc>
        <w:tc>
          <w:tcPr>
            <w:tcW w:w="1228" w:type="pct"/>
            <w:gridSpan w:val="2"/>
            <w:tcBorders>
              <w:top w:val="single" w:sz="6" w:space="0" w:color="000000"/>
              <w:left w:val="single" w:sz="6" w:space="0" w:color="000000"/>
              <w:bottom w:val="single" w:sz="6" w:space="0" w:color="000000"/>
              <w:right w:val="single" w:sz="6" w:space="0" w:color="000000"/>
            </w:tcBorders>
            <w:hideMark/>
          </w:tcPr>
          <w:p w14:paraId="464D830A" w14:textId="77777777" w:rsidR="000239F9" w:rsidRPr="00D50B22" w:rsidRDefault="000239F9" w:rsidP="00D60CB6">
            <w:pPr>
              <w:spacing w:after="0" w:line="240" w:lineRule="auto"/>
              <w:jc w:val="center"/>
              <w:rPr>
                <w:rFonts w:ascii="Times New Roman" w:eastAsia="Times New Roman" w:hAnsi="Times New Roman" w:cs="Times New Roman"/>
                <w:sz w:val="20"/>
                <w:szCs w:val="20"/>
                <w:lang w:eastAsia="lv-LV"/>
              </w:rPr>
            </w:pPr>
            <w:r w:rsidRPr="00D50B22">
              <w:rPr>
                <w:rFonts w:ascii="Times New Roman" w:eastAsia="Times New Roman" w:hAnsi="Times New Roman" w:cs="Times New Roman"/>
                <w:sz w:val="20"/>
                <w:szCs w:val="20"/>
                <w:lang w:eastAsia="lv-LV"/>
              </w:rPr>
              <w:t>4</w:t>
            </w:r>
          </w:p>
        </w:tc>
        <w:tc>
          <w:tcPr>
            <w:tcW w:w="712" w:type="pct"/>
            <w:tcBorders>
              <w:top w:val="single" w:sz="4" w:space="0" w:color="auto"/>
              <w:left w:val="single" w:sz="4" w:space="0" w:color="auto"/>
              <w:bottom w:val="single" w:sz="4" w:space="0" w:color="auto"/>
              <w:right w:val="single" w:sz="4" w:space="0" w:color="auto"/>
            </w:tcBorders>
            <w:hideMark/>
          </w:tcPr>
          <w:p w14:paraId="26A8EF0D" w14:textId="77777777" w:rsidR="000239F9" w:rsidRPr="00D50B22" w:rsidRDefault="000239F9" w:rsidP="00D60CB6">
            <w:pPr>
              <w:spacing w:after="0" w:line="240" w:lineRule="auto"/>
              <w:jc w:val="center"/>
              <w:rPr>
                <w:rFonts w:ascii="Times New Roman" w:eastAsia="Times New Roman" w:hAnsi="Times New Roman" w:cs="Times New Roman"/>
                <w:sz w:val="20"/>
                <w:szCs w:val="20"/>
                <w:lang w:eastAsia="lv-LV"/>
              </w:rPr>
            </w:pPr>
            <w:r w:rsidRPr="00D50B22">
              <w:rPr>
                <w:rFonts w:ascii="Times New Roman" w:eastAsia="Times New Roman" w:hAnsi="Times New Roman" w:cs="Times New Roman"/>
                <w:sz w:val="20"/>
                <w:szCs w:val="20"/>
                <w:lang w:eastAsia="lv-LV"/>
              </w:rPr>
              <w:t>5</w:t>
            </w:r>
          </w:p>
        </w:tc>
      </w:tr>
      <w:tr w:rsidR="0037478B" w:rsidRPr="00D50B22" w14:paraId="3469821D" w14:textId="77777777" w:rsidTr="00FF4CFC">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shd w:val="clear" w:color="auto" w:fill="auto"/>
          </w:tcPr>
          <w:p w14:paraId="020FD4F6" w14:textId="77777777" w:rsidR="0037478B" w:rsidRPr="00D50B22" w:rsidRDefault="00067C91" w:rsidP="00214A1C">
            <w:pPr>
              <w:spacing w:after="0" w:line="240" w:lineRule="auto"/>
              <w:jc w:val="center"/>
              <w:rPr>
                <w:rFonts w:ascii="Times New Roman" w:hAnsi="Times New Roman" w:cs="Times New Roman"/>
                <w:b/>
                <w:sz w:val="20"/>
                <w:szCs w:val="20"/>
              </w:rPr>
            </w:pPr>
            <w:r w:rsidRPr="00D50B22">
              <w:rPr>
                <w:rFonts w:ascii="Times New Roman" w:hAnsi="Times New Roman" w:cs="Times New Roman"/>
                <w:b/>
                <w:sz w:val="20"/>
                <w:szCs w:val="20"/>
              </w:rPr>
              <w:t>Ti</w:t>
            </w:r>
            <w:r w:rsidR="00D50B22">
              <w:rPr>
                <w:rFonts w:ascii="Times New Roman" w:hAnsi="Times New Roman" w:cs="Times New Roman"/>
                <w:b/>
                <w:sz w:val="20"/>
                <w:szCs w:val="20"/>
              </w:rPr>
              <w:t>e</w:t>
            </w:r>
            <w:r w:rsidRPr="00D50B22">
              <w:rPr>
                <w:rFonts w:ascii="Times New Roman" w:hAnsi="Times New Roman" w:cs="Times New Roman"/>
                <w:b/>
                <w:sz w:val="20"/>
                <w:szCs w:val="20"/>
              </w:rPr>
              <w:t>slietu ministrijas</w:t>
            </w:r>
            <w:r w:rsidR="0037478B" w:rsidRPr="00D50B22">
              <w:rPr>
                <w:rFonts w:ascii="Times New Roman" w:hAnsi="Times New Roman" w:cs="Times New Roman"/>
                <w:b/>
                <w:sz w:val="20"/>
                <w:szCs w:val="20"/>
              </w:rPr>
              <w:t xml:space="preserve"> </w:t>
            </w:r>
            <w:r w:rsidRPr="00D50B22">
              <w:rPr>
                <w:rFonts w:ascii="Times New Roman" w:hAnsi="Times New Roman" w:cs="Times New Roman"/>
                <w:b/>
                <w:sz w:val="20"/>
                <w:szCs w:val="20"/>
              </w:rPr>
              <w:t>20</w:t>
            </w:r>
            <w:r w:rsidR="00DA470C" w:rsidRPr="00D50B22">
              <w:rPr>
                <w:rFonts w:ascii="Times New Roman" w:hAnsi="Times New Roman" w:cs="Times New Roman"/>
                <w:b/>
                <w:sz w:val="20"/>
                <w:szCs w:val="20"/>
              </w:rPr>
              <w:t>.07.2020</w:t>
            </w:r>
            <w:r w:rsidR="003D33F2" w:rsidRPr="00D50B22">
              <w:rPr>
                <w:rFonts w:ascii="Times New Roman" w:hAnsi="Times New Roman" w:cs="Times New Roman"/>
                <w:b/>
                <w:sz w:val="20"/>
                <w:szCs w:val="20"/>
              </w:rPr>
              <w:t>.</w:t>
            </w:r>
            <w:r w:rsidR="0037478B" w:rsidRPr="00D50B22">
              <w:rPr>
                <w:rFonts w:ascii="Times New Roman" w:hAnsi="Times New Roman" w:cs="Times New Roman"/>
                <w:b/>
                <w:sz w:val="20"/>
                <w:szCs w:val="20"/>
              </w:rPr>
              <w:t xml:space="preserve"> atzinumā </w:t>
            </w:r>
            <w:r w:rsidR="00A15096" w:rsidRPr="00D50B22">
              <w:rPr>
                <w:rFonts w:ascii="Times New Roman" w:hAnsi="Times New Roman" w:cs="Times New Roman"/>
                <w:b/>
                <w:sz w:val="20"/>
                <w:szCs w:val="20"/>
              </w:rPr>
              <w:t xml:space="preserve">Nr. </w:t>
            </w:r>
            <w:r w:rsidRPr="00D50B22">
              <w:rPr>
                <w:rFonts w:ascii="Times New Roman" w:hAnsi="Times New Roman" w:cs="Times New Roman"/>
                <w:b/>
                <w:sz w:val="20"/>
                <w:szCs w:val="20"/>
              </w:rPr>
              <w:t>1-9.1/7</w:t>
            </w:r>
            <w:r w:rsidR="00214A1C" w:rsidRPr="00D50B22">
              <w:rPr>
                <w:rFonts w:ascii="Times New Roman" w:hAnsi="Times New Roman" w:cs="Times New Roman"/>
                <w:b/>
                <w:sz w:val="20"/>
                <w:szCs w:val="20"/>
              </w:rPr>
              <w:t>7</w:t>
            </w:r>
            <w:r w:rsidRPr="00D50B22">
              <w:rPr>
                <w:rFonts w:ascii="Times New Roman" w:hAnsi="Times New Roman" w:cs="Times New Roman"/>
                <w:b/>
                <w:sz w:val="20"/>
                <w:szCs w:val="20"/>
              </w:rPr>
              <w:t>3</w:t>
            </w:r>
            <w:r w:rsidR="00A15096" w:rsidRPr="00D50B22">
              <w:rPr>
                <w:rFonts w:ascii="Times New Roman" w:hAnsi="Times New Roman" w:cs="Times New Roman"/>
                <w:b/>
                <w:sz w:val="20"/>
                <w:szCs w:val="20"/>
              </w:rPr>
              <w:t xml:space="preserve"> </w:t>
            </w:r>
            <w:r w:rsidR="0037478B" w:rsidRPr="00D50B22">
              <w:rPr>
                <w:rFonts w:ascii="Times New Roman" w:hAnsi="Times New Roman" w:cs="Times New Roman"/>
                <w:b/>
                <w:sz w:val="20"/>
                <w:szCs w:val="20"/>
              </w:rPr>
              <w:t>izteiktie iebildumi</w:t>
            </w:r>
          </w:p>
        </w:tc>
      </w:tr>
      <w:tr w:rsidR="0037478B" w:rsidRPr="00D50B22" w14:paraId="187875CA" w14:textId="77777777" w:rsidTr="00FF4CFC">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EB15479" w14:textId="77777777" w:rsidR="0037478B" w:rsidRPr="00D50B22" w:rsidRDefault="0037478B"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40290CF" w14:textId="77777777" w:rsidR="00FF4CFC" w:rsidRPr="00D50B22" w:rsidRDefault="00FF4CFC" w:rsidP="00FF4CFC">
            <w:pPr>
              <w:pStyle w:val="NormalWeb"/>
              <w:spacing w:before="0" w:after="0"/>
              <w:ind w:right="13"/>
              <w:jc w:val="both"/>
              <w:rPr>
                <w:sz w:val="20"/>
                <w:szCs w:val="20"/>
              </w:rPr>
            </w:pPr>
            <w:r w:rsidRPr="00D50B22">
              <w:rPr>
                <w:sz w:val="20"/>
                <w:szCs w:val="20"/>
              </w:rPr>
              <w:t>Likumprojekta 2.pants</w:t>
            </w:r>
            <w:r w:rsidR="00266A43" w:rsidRPr="00D50B22">
              <w:rPr>
                <w:sz w:val="20"/>
                <w:szCs w:val="20"/>
              </w:rPr>
              <w:t>:</w:t>
            </w:r>
            <w:r w:rsidRPr="00D50B22">
              <w:rPr>
                <w:sz w:val="20"/>
                <w:szCs w:val="20"/>
              </w:rPr>
              <w:t xml:space="preserve"> „papildināt 3.pantu ar trešo daļu šādā redakcijā:</w:t>
            </w:r>
          </w:p>
          <w:p w14:paraId="717A096C" w14:textId="77777777" w:rsidR="00FF4CFC" w:rsidRPr="00D50B22" w:rsidRDefault="00FF4CFC" w:rsidP="00FF4CFC">
            <w:pPr>
              <w:pStyle w:val="NormalWeb"/>
              <w:spacing w:before="0" w:after="0"/>
              <w:ind w:right="13"/>
              <w:jc w:val="both"/>
              <w:rPr>
                <w:sz w:val="20"/>
                <w:szCs w:val="20"/>
              </w:rPr>
            </w:pPr>
            <w:r w:rsidRPr="00D50B22">
              <w:rPr>
                <w:sz w:val="20"/>
                <w:szCs w:val="20"/>
              </w:rPr>
              <w:t xml:space="preserve">„Šā likuma noteikumi attiecībā uz apdrošināšanas vai pārapdrošināšanas sabiedrības noslēgtajiem finanšu nodrošinājuma darījumiem un noslēgtajiem atvasinātajiem finanšu </w:t>
            </w:r>
            <w:r w:rsidRPr="00D50B22">
              <w:rPr>
                <w:sz w:val="20"/>
                <w:szCs w:val="20"/>
              </w:rPr>
              <w:lastRenderedPageBreak/>
              <w:t>instrumentu darījumiem piemērojami tiktāl, ciktāl Finanšu nodrošinājuma likumā un Izslēdzošā ieskaita piemērošanas atvasināto finanšu instrumentu darījumos likumā nav noteikts citādi.”.</w:t>
            </w:r>
          </w:p>
          <w:p w14:paraId="71C86539" w14:textId="77777777" w:rsidR="00067C91" w:rsidRPr="00D50B22" w:rsidRDefault="00067C91" w:rsidP="008D735B">
            <w:pPr>
              <w:shd w:val="clear" w:color="auto" w:fill="FFFFFF"/>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shd w:val="clear" w:color="auto" w:fill="auto"/>
          </w:tcPr>
          <w:p w14:paraId="2FE0389D" w14:textId="77777777" w:rsidR="00FF4CFC" w:rsidRPr="00D50B22" w:rsidRDefault="00FF4CFC" w:rsidP="00002D08">
            <w:pPr>
              <w:pStyle w:val="NormalWeb"/>
              <w:spacing w:before="0" w:after="0"/>
              <w:ind w:right="13" w:firstLine="330"/>
              <w:jc w:val="both"/>
              <w:rPr>
                <w:sz w:val="20"/>
                <w:szCs w:val="20"/>
              </w:rPr>
            </w:pPr>
            <w:r w:rsidRPr="00D50B22">
              <w:rPr>
                <w:sz w:val="20"/>
                <w:szCs w:val="20"/>
              </w:rPr>
              <w:lastRenderedPageBreak/>
              <w:t xml:space="preserve">Tieslietu ministrijas ieskatā minētā tiesību norma nerisina iespējamos kolīziju jautājumus un tiesību sistēmas saskaņotību. Ja Likumprojekts “Izslēdzošā ieskaita piemērošanas atvasināto finanšu instrumentu darījumos likums” (Izslēdzošā ieskaita likumprojekts) un Finanšu nodrošinājuma likums ir attiecīgie normatīvie akti, kas regulē izslēdzošā ieskaita piemērošanu konkrētajām darījumu kategorijām un tajos noteikto nav nepieciešams mainīt Apdrošināšanas </w:t>
            </w:r>
            <w:r w:rsidRPr="00D50B22">
              <w:rPr>
                <w:sz w:val="20"/>
                <w:szCs w:val="20"/>
              </w:rPr>
              <w:lastRenderedPageBreak/>
              <w:t xml:space="preserve">likuma regulējumā, nav skaidrs, kādēļ vispār ir nepieciešamas norādes normas. Ja Apdrošināšanas likumā paredzētajiem noteikumiem ir jāatbilst minētajos likumos ietvertajai sistēmai, Apdrošināšanas likuma regulējuma normas par attiecīgajam darījumiem vienkārši ir saskaņojamas ar konkrētajos likumos ietverto modeli. Savukārt savstarpējas norādes normas, kas dod norādi uz otru likumu, rada neskaidrības par to, kas tad ir uzskatāms par vispārējo regulējumu un kas par speciālo un kas konkrētā dzīves gadījumā ir piemērojams. </w:t>
            </w:r>
          </w:p>
          <w:p w14:paraId="47E8B115" w14:textId="77777777" w:rsidR="00FF4CFC" w:rsidRPr="00D50B22" w:rsidRDefault="00FF4CFC" w:rsidP="00002D08">
            <w:pPr>
              <w:pStyle w:val="NormalWeb"/>
              <w:spacing w:before="0" w:after="0"/>
              <w:ind w:right="13" w:firstLine="330"/>
              <w:jc w:val="both"/>
              <w:rPr>
                <w:sz w:val="20"/>
                <w:szCs w:val="20"/>
              </w:rPr>
            </w:pPr>
            <w:r w:rsidRPr="00D50B22">
              <w:rPr>
                <w:sz w:val="20"/>
                <w:szCs w:val="20"/>
              </w:rPr>
              <w:t>Saglabājot šo normu, veidotos sistēma, ka Izslēdzošā ieskaita likumprojekts paredz, ka tas tiek piemērots tiktāl, ciktāl Apdrošināšanas likumā nav noteikts citādi. Savukārt Apdrošināšanas likums paredzētu, ka attiecībā uz Izslēdzošā ieskaita piemērošanas jomu tas ir piemērojams tiktāl, ciktāl Izslēdzošā ieskaita likumprojekts neparedz citādi. T.i., abi likumi atsaucas uz otra piemērošanu. Ja Izslēdzošā ieskaita likumprojektu ir paredzēts piemērot plašākam tiesisko attiecību lokam, būtu apsverama minētā likumprojekta tvēruma paplašināšana. Savukārt, ja konkrētos darījumu veidos ir paredzēts, ka Apdrošināšanas likuma noteikumi nepārkāpj Izslēdzošā ieskaita likumprojektā paredzēto, Apdrošināšanas likuma noteikumi vienkārši ir saskaņojami ar konkrētā likumprojekta noteikumiem. Tādējādi ir iespējams izvairīties no savstarpējām norādes normām, kuru ietvaros ir ļoti grūti identificēt to tvērumu un atšķetināt no tām izrietošo pretrunu.</w:t>
            </w:r>
          </w:p>
          <w:p w14:paraId="44DE487F" w14:textId="77777777" w:rsidR="00FF4CFC" w:rsidRPr="00D50B22" w:rsidRDefault="00FF4CFC" w:rsidP="00002D08">
            <w:pPr>
              <w:pStyle w:val="NormalWeb"/>
              <w:spacing w:before="0" w:after="0"/>
              <w:ind w:right="13" w:firstLine="330"/>
              <w:jc w:val="both"/>
              <w:rPr>
                <w:sz w:val="20"/>
                <w:szCs w:val="20"/>
              </w:rPr>
            </w:pPr>
            <w:r w:rsidRPr="00D50B22">
              <w:rPr>
                <w:sz w:val="20"/>
                <w:szCs w:val="20"/>
              </w:rPr>
              <w:t xml:space="preserve">Ievērojot minēto, </w:t>
            </w:r>
            <w:r w:rsidRPr="00D50B22">
              <w:rPr>
                <w:sz w:val="20"/>
                <w:szCs w:val="20"/>
                <w:u w:val="single"/>
              </w:rPr>
              <w:t>lūdzam izvērtēt Likumprojekta 2. panta redakciju, nepieciešamības gadījumā to precizējot, kā arī papildināt Likumprojekta anotāciju ar skaidrojumu ar izstrādātāja redzējumu par izslēdzošam ieskaitam piemērojamām tiesību normām dažādās situācijās.</w:t>
            </w:r>
          </w:p>
          <w:p w14:paraId="1E90101F" w14:textId="77777777" w:rsidR="00FF4CFC" w:rsidRPr="00D50B22" w:rsidRDefault="00FF4CFC" w:rsidP="00FF4CFC">
            <w:pPr>
              <w:rPr>
                <w:rFonts w:eastAsia="Times New Roman"/>
                <w:bCs/>
                <w:sz w:val="20"/>
                <w:szCs w:val="20"/>
              </w:rPr>
            </w:pPr>
          </w:p>
          <w:p w14:paraId="17C742E4" w14:textId="77777777" w:rsidR="0037478B" w:rsidRPr="00D50B22" w:rsidRDefault="0037478B" w:rsidP="002E1134">
            <w:pPr>
              <w:suppressAutoHyphens/>
              <w:spacing w:after="0" w:line="240" w:lineRule="auto"/>
              <w:jc w:val="both"/>
              <w:rPr>
                <w:rFonts w:ascii="Times New Roman" w:hAnsi="Times New Roman" w:cs="Times New Roman"/>
                <w:iCs/>
                <w:sz w:val="20"/>
                <w:szCs w:val="20"/>
              </w:rPr>
            </w:pPr>
          </w:p>
        </w:tc>
        <w:tc>
          <w:tcPr>
            <w:tcW w:w="1228" w:type="pct"/>
            <w:gridSpan w:val="2"/>
            <w:tcBorders>
              <w:top w:val="single" w:sz="6" w:space="0" w:color="000000"/>
              <w:left w:val="single" w:sz="6" w:space="0" w:color="000000"/>
              <w:bottom w:val="single" w:sz="6" w:space="0" w:color="000000"/>
              <w:right w:val="single" w:sz="6" w:space="0" w:color="000000"/>
            </w:tcBorders>
          </w:tcPr>
          <w:p w14:paraId="525DDF32" w14:textId="77777777" w:rsidR="0037478B" w:rsidRPr="00D50B22" w:rsidRDefault="002B7D4D" w:rsidP="00D31A0D">
            <w:pPr>
              <w:spacing w:after="0" w:line="240" w:lineRule="auto"/>
              <w:jc w:val="both"/>
              <w:rPr>
                <w:rFonts w:ascii="Times New Roman" w:eastAsia="Times New Roman" w:hAnsi="Times New Roman" w:cs="Times New Roman"/>
                <w:b/>
                <w:bCs/>
                <w:sz w:val="20"/>
                <w:lang w:eastAsia="lv-LV"/>
              </w:rPr>
            </w:pPr>
            <w:r w:rsidRPr="00D50B22">
              <w:rPr>
                <w:rFonts w:ascii="Times New Roman" w:eastAsia="Times New Roman" w:hAnsi="Times New Roman" w:cs="Times New Roman"/>
                <w:b/>
                <w:bCs/>
                <w:sz w:val="20"/>
                <w:lang w:eastAsia="lv-LV"/>
              </w:rPr>
              <w:lastRenderedPageBreak/>
              <w:t>Iebildums ņemts vērā.</w:t>
            </w:r>
          </w:p>
          <w:p w14:paraId="76486E1B" w14:textId="77777777" w:rsidR="00DB5275" w:rsidRPr="00D50B22" w:rsidRDefault="00DB5275" w:rsidP="00002D08">
            <w:pPr>
              <w:spacing w:after="0" w:line="240" w:lineRule="auto"/>
              <w:ind w:firstLine="341"/>
              <w:jc w:val="both"/>
              <w:rPr>
                <w:rFonts w:ascii="Times New Roman" w:hAnsi="Times New Roman" w:cs="Times New Roman"/>
                <w:sz w:val="20"/>
                <w:szCs w:val="20"/>
                <w:shd w:val="clear" w:color="auto" w:fill="FFFFFF"/>
              </w:rPr>
            </w:pPr>
            <w:r w:rsidRPr="00D50B22">
              <w:rPr>
                <w:rFonts w:ascii="Times New Roman" w:hAnsi="Times New Roman" w:cs="Times New Roman"/>
                <w:sz w:val="20"/>
                <w:szCs w:val="20"/>
                <w:shd w:val="clear" w:color="auto" w:fill="FFFFFF"/>
              </w:rPr>
              <w:t>Attiecībā par likumprojekta „Izslēdzošā ieskaita piemērošan</w:t>
            </w:r>
            <w:r w:rsidR="00D50B22">
              <w:rPr>
                <w:rFonts w:ascii="Times New Roman" w:hAnsi="Times New Roman" w:cs="Times New Roman"/>
                <w:sz w:val="20"/>
                <w:szCs w:val="20"/>
                <w:shd w:val="clear" w:color="auto" w:fill="FFFFFF"/>
              </w:rPr>
              <w:t>a</w:t>
            </w:r>
            <w:r w:rsidRPr="00D50B22">
              <w:rPr>
                <w:rFonts w:ascii="Times New Roman" w:hAnsi="Times New Roman" w:cs="Times New Roman"/>
                <w:sz w:val="20"/>
                <w:szCs w:val="20"/>
                <w:shd w:val="clear" w:color="auto" w:fill="FFFFFF"/>
              </w:rPr>
              <w:t>s kvalificētajiem finanšu darījumiem” mijiedarbību ar Apdrošināšanas un pārapdrošināšanas likumu norādām tālāk minēto.</w:t>
            </w:r>
          </w:p>
          <w:p w14:paraId="53B5060E" w14:textId="77777777" w:rsidR="00FF4CFC" w:rsidRPr="00D50B22" w:rsidRDefault="00FF4CFC" w:rsidP="00002D08">
            <w:pPr>
              <w:spacing w:after="0" w:line="240" w:lineRule="auto"/>
              <w:ind w:firstLine="341"/>
              <w:jc w:val="both"/>
              <w:rPr>
                <w:rFonts w:ascii="Times New Roman" w:hAnsi="Times New Roman" w:cs="Times New Roman"/>
                <w:sz w:val="20"/>
                <w:szCs w:val="20"/>
                <w:shd w:val="clear" w:color="auto" w:fill="FFFFFF"/>
              </w:rPr>
            </w:pPr>
            <w:r w:rsidRPr="00D50B22">
              <w:rPr>
                <w:rFonts w:ascii="Times New Roman" w:hAnsi="Times New Roman" w:cs="Times New Roman"/>
                <w:sz w:val="20"/>
                <w:szCs w:val="20"/>
                <w:shd w:val="clear" w:color="auto" w:fill="FFFFFF"/>
              </w:rPr>
              <w:t xml:space="preserve">Saskaņā ar Maksātnespējas likuma 2.panta ceturto daļu apdrošināšanas sabiedrības maksātnespējas procesam piemērojamas Maksātnespējas likuma normas, ciktāl Apdrošināšanas un pārapdrošināšanas likums neparedz citādi. Tādējādi apdrošināšanas </w:t>
            </w:r>
            <w:r w:rsidRPr="00D50B22">
              <w:rPr>
                <w:rFonts w:ascii="Times New Roman" w:hAnsi="Times New Roman" w:cs="Times New Roman"/>
                <w:sz w:val="20"/>
                <w:szCs w:val="20"/>
                <w:shd w:val="clear" w:color="auto" w:fill="FFFFFF"/>
              </w:rPr>
              <w:lastRenderedPageBreak/>
              <w:t xml:space="preserve">sabiedrību maksātnespējas gadījumā pastāv tie paši izslēdzošā ieskaita piemērošanas ierobežojumi, kas citos gadījumos, proti, </w:t>
            </w:r>
            <w:r w:rsidRPr="00D50B22">
              <w:rPr>
                <w:rFonts w:ascii="Times New Roman" w:hAnsi="Times New Roman" w:cs="Times New Roman"/>
                <w:sz w:val="20"/>
                <w:szCs w:val="20"/>
              </w:rPr>
              <w:t xml:space="preserve">visu kreditoru vienlīdzības princips, </w:t>
            </w:r>
            <w:r w:rsidRPr="00D50B22">
              <w:rPr>
                <w:rFonts w:ascii="Times New Roman" w:hAnsi="Times New Roman" w:cs="Times New Roman"/>
                <w:sz w:val="20"/>
                <w:szCs w:val="20"/>
                <w:shd w:val="clear" w:color="auto" w:fill="FFFFFF"/>
              </w:rPr>
              <w:t xml:space="preserve">ieskaita aizliegums, tiesības </w:t>
            </w:r>
            <w:r w:rsidR="00173DC7">
              <w:rPr>
                <w:rFonts w:ascii="Times New Roman" w:hAnsi="Times New Roman" w:cs="Times New Roman"/>
                <w:sz w:val="20"/>
                <w:szCs w:val="20"/>
                <w:shd w:val="clear" w:color="auto" w:fill="FFFFFF"/>
              </w:rPr>
              <w:t xml:space="preserve">maksātnespējas procesa </w:t>
            </w:r>
            <w:r w:rsidRPr="00D50B22">
              <w:rPr>
                <w:rFonts w:ascii="Times New Roman" w:hAnsi="Times New Roman" w:cs="Times New Roman"/>
                <w:sz w:val="20"/>
                <w:szCs w:val="20"/>
                <w:shd w:val="clear" w:color="auto" w:fill="FFFFFF"/>
              </w:rPr>
              <w:t>administratoram vienpusēji atkāpties no līguma.</w:t>
            </w:r>
          </w:p>
          <w:p w14:paraId="62B637DA" w14:textId="77777777" w:rsidR="00FF4CFC" w:rsidRPr="00D50B22" w:rsidRDefault="00FF4CFC" w:rsidP="00002D08">
            <w:pPr>
              <w:spacing w:after="0" w:line="240" w:lineRule="auto"/>
              <w:ind w:firstLine="341"/>
              <w:jc w:val="both"/>
              <w:rPr>
                <w:rFonts w:ascii="Times New Roman" w:hAnsi="Times New Roman" w:cs="Times New Roman"/>
                <w:sz w:val="20"/>
                <w:szCs w:val="20"/>
                <w:shd w:val="clear" w:color="auto" w:fill="FFFFFF"/>
              </w:rPr>
            </w:pPr>
            <w:r w:rsidRPr="00D50B22">
              <w:rPr>
                <w:rFonts w:ascii="Times New Roman" w:hAnsi="Times New Roman" w:cs="Times New Roman"/>
                <w:sz w:val="20"/>
                <w:szCs w:val="20"/>
                <w:shd w:val="clear" w:color="auto" w:fill="FFFFFF"/>
              </w:rPr>
              <w:t xml:space="preserve">Izslēdzošā ieskaita piemērošana attiecībā uz apdrošināšanas sabiedrībām ir pieļaujama gadījumos, kad ir sniegts finanšu nodrošinājums, jo </w:t>
            </w:r>
            <w:r w:rsidRPr="00D50B22">
              <w:rPr>
                <w:rFonts w:ascii="Times New Roman" w:hAnsi="Times New Roman" w:cs="Times New Roman"/>
                <w:sz w:val="20"/>
                <w:szCs w:val="20"/>
              </w:rPr>
              <w:t>Finanšu nodrošinājuma likuma 3.panta pirmās daļas 4.punkta c) apakšpunktā apdrošināšanas sabiedrības ir minētas kā šā likuma subjekti. Apdrošināšanas un pārapdrošināšanas likumā nav iekļautas nekādas atsauces normas, kas paskaidrotu šā likuma mijiedarbību ar Maksātnespējas likumu vai Finanšu nodrošinājuma likumu. Taču Finanšu nodrošinājuma likuma 9.panta trešās daļas 1.punkts noteic, ka „</w:t>
            </w:r>
            <w:r w:rsidRPr="00D50B22">
              <w:rPr>
                <w:rFonts w:ascii="Times New Roman" w:hAnsi="Times New Roman" w:cs="Times New Roman"/>
                <w:i/>
                <w:sz w:val="20"/>
                <w:szCs w:val="20"/>
              </w:rPr>
              <w:t>Izslēdzošo ieskaitu var piemērot un tā izpildi neietekmē: finanšu nodrošinājuma devēja vai finanšu nodrošinājuma ņēmēja likvidācijas process vai maksātnespējas procesa pasākumi”</w:t>
            </w:r>
            <w:r w:rsidRPr="00D50B22">
              <w:rPr>
                <w:rFonts w:ascii="Times New Roman" w:hAnsi="Times New Roman" w:cs="Times New Roman"/>
                <w:sz w:val="20"/>
                <w:szCs w:val="20"/>
              </w:rPr>
              <w:t xml:space="preserve">, kā arī šā likuma 10.pants regulē </w:t>
            </w:r>
            <w:r w:rsidRPr="00D50B22">
              <w:rPr>
                <w:rFonts w:ascii="Times New Roman" w:hAnsi="Times New Roman" w:cs="Times New Roman"/>
                <w:bCs/>
                <w:sz w:val="20"/>
                <w:szCs w:val="20"/>
              </w:rPr>
              <w:t xml:space="preserve">atsevišķu likvidācijas procesu un maksātnespējas procesa pasākumus regulējošo tiesību normu nepiemērošanu. </w:t>
            </w:r>
            <w:r w:rsidRPr="00D50B22">
              <w:rPr>
                <w:rFonts w:ascii="Times New Roman" w:hAnsi="Times New Roman" w:cs="Times New Roman"/>
                <w:sz w:val="20"/>
                <w:szCs w:val="20"/>
              </w:rPr>
              <w:t>Līdz ar to apdrošināšanas sabied</w:t>
            </w:r>
            <w:r w:rsidR="00D50B22">
              <w:rPr>
                <w:rFonts w:ascii="Times New Roman" w:hAnsi="Times New Roman" w:cs="Times New Roman"/>
                <w:sz w:val="20"/>
                <w:szCs w:val="20"/>
              </w:rPr>
              <w:t>r</w:t>
            </w:r>
            <w:r w:rsidRPr="00D50B22">
              <w:rPr>
                <w:rFonts w:ascii="Times New Roman" w:hAnsi="Times New Roman" w:cs="Times New Roman"/>
                <w:sz w:val="20"/>
                <w:szCs w:val="20"/>
              </w:rPr>
              <w:t>ības maksātnespējas procesā izslēdzošais ieskaits ir piemērojams, ja ir sniegts finanšu nodrošinājums.</w:t>
            </w:r>
          </w:p>
          <w:p w14:paraId="03898E33" w14:textId="77777777" w:rsidR="00FF4CFC" w:rsidRPr="00D50B22" w:rsidRDefault="00FF4CFC" w:rsidP="00002D08">
            <w:pPr>
              <w:spacing w:after="0" w:line="240" w:lineRule="auto"/>
              <w:ind w:firstLine="341"/>
              <w:jc w:val="both"/>
              <w:rPr>
                <w:rFonts w:ascii="Times New Roman" w:hAnsi="Times New Roman" w:cs="Times New Roman"/>
                <w:sz w:val="20"/>
                <w:szCs w:val="20"/>
                <w:shd w:val="clear" w:color="auto" w:fill="FFFFFF"/>
              </w:rPr>
            </w:pPr>
            <w:r w:rsidRPr="00D50B22">
              <w:rPr>
                <w:rFonts w:ascii="Times New Roman" w:hAnsi="Times New Roman" w:cs="Times New Roman"/>
                <w:sz w:val="20"/>
                <w:szCs w:val="20"/>
                <w:shd w:val="clear" w:color="auto" w:fill="FFFFFF"/>
              </w:rPr>
              <w:t xml:space="preserve">Apdrošināšanas un pārapdrošināšanas likumā ir divas normas, kurās kopumā pieminēts izslēdzošais ieskaits. Šā likuma 1.panta pirmās daļas 49.punktā ir sniegta termina „prasījumu un saistību neto ieskaits” definīcija. Savukārt </w:t>
            </w:r>
            <w:r w:rsidRPr="00D50B22">
              <w:rPr>
                <w:rFonts w:ascii="Times New Roman" w:hAnsi="Times New Roman" w:cs="Times New Roman"/>
                <w:sz w:val="20"/>
                <w:szCs w:val="20"/>
              </w:rPr>
              <w:t xml:space="preserve">273.panta pirmajā daļā ir atrunāts tas, ka </w:t>
            </w:r>
            <w:r w:rsidRPr="00D50B22">
              <w:rPr>
                <w:rFonts w:ascii="Times New Roman" w:hAnsi="Times New Roman" w:cs="Times New Roman"/>
                <w:sz w:val="20"/>
                <w:szCs w:val="20"/>
                <w:shd w:val="clear" w:color="auto" w:fill="FFFFFF"/>
              </w:rPr>
              <w:t xml:space="preserve">reorganizācijas pasākumu vai likvidācijas veikšana attiecībā uz apdrošināšanas sabiedrību neietekmē prasījumu un saistību neto ieskaita (t.i., izslēdzošā ieskaita) piemērošanu, ja šādas darbības pieļauj likums, kas piemērojams attiecīgajiem prasījumiem. Minētā norma ir līdzīga Kredītiestāžu likuma 158.panta pirmās daļas regulējumam, proti, tā vispārīgi pieļauj izslēdzošā ieskaita piemērošanu apdrošināšanas sabiedrības reorganizācijas vai likvidācijas gadījumā, bet tikai tad, ja to pieļauj </w:t>
            </w:r>
            <w:r w:rsidRPr="00D50B22">
              <w:rPr>
                <w:rFonts w:ascii="Times New Roman" w:hAnsi="Times New Roman" w:cs="Times New Roman"/>
                <w:sz w:val="20"/>
                <w:szCs w:val="20"/>
                <w:shd w:val="clear" w:color="auto" w:fill="FFFFFF"/>
              </w:rPr>
              <w:lastRenderedPageBreak/>
              <w:t>likums. Pašlaik likums to pieļauj, ja ir sniegts finanšu nodrošinājums. Tāpat šī norma pieļaus izslēdzošā ieskaita piemērošanu attiecībā uz tā saucamajiem kvalificētajiem finanšu darījumiem, ja tiks pieņemts likumprojekts „Izslēdzošā ieskaita piemērošanas kvalificētajiem finanšu darījumiem likums”.</w:t>
            </w:r>
          </w:p>
          <w:p w14:paraId="4F20F280" w14:textId="77777777" w:rsidR="00DB5275" w:rsidRPr="00D50B22" w:rsidRDefault="00FF4CFC" w:rsidP="00DB5275">
            <w:pPr>
              <w:spacing w:after="0" w:line="240" w:lineRule="auto"/>
              <w:ind w:firstLine="341"/>
              <w:jc w:val="both"/>
              <w:rPr>
                <w:rFonts w:ascii="Times New Roman" w:hAnsi="Times New Roman" w:cs="Times New Roman"/>
                <w:sz w:val="20"/>
                <w:szCs w:val="20"/>
                <w:shd w:val="clear" w:color="auto" w:fill="FFFFFF"/>
              </w:rPr>
            </w:pPr>
            <w:r w:rsidRPr="00D50B22">
              <w:rPr>
                <w:rFonts w:ascii="Times New Roman" w:hAnsi="Times New Roman" w:cs="Times New Roman"/>
                <w:sz w:val="20"/>
                <w:szCs w:val="20"/>
                <w:shd w:val="clear" w:color="auto" w:fill="FFFFFF"/>
              </w:rPr>
              <w:t>Precizētajā likumprojektā „Izslēdzošā ieskaita piemērošanas kvalificētajiem finanšu darījumiem likums” 3.pantā ir izslēgta atsauces norma uz Apdrošināšanas un pārapdrošināšanas likumu, jo abu likumu piemērošanas jomas jau pietiekami skaidri ir noteiktas likumprojekta „Izslēdzošā ieskaita piemērošanas kvalificētajiem finanšu darījumiem likums” 8.panta pirmajā un otrajā daļā, kā arī 9.pantā.</w:t>
            </w:r>
            <w:r w:rsidR="00D23059" w:rsidRPr="00D50B22">
              <w:rPr>
                <w:rFonts w:ascii="Times New Roman" w:hAnsi="Times New Roman" w:cs="Times New Roman"/>
                <w:sz w:val="20"/>
                <w:szCs w:val="20"/>
                <w:shd w:val="clear" w:color="auto" w:fill="FFFFFF"/>
              </w:rPr>
              <w:t xml:space="preserve"> Šādas atsauces normas izslēgtas, ņemot vērā to, ka </w:t>
            </w:r>
            <w:r w:rsidRPr="00D50B22">
              <w:rPr>
                <w:rFonts w:ascii="Times New Roman" w:hAnsi="Times New Roman" w:cs="Times New Roman"/>
                <w:sz w:val="20"/>
                <w:szCs w:val="20"/>
                <w:shd w:val="clear" w:color="auto" w:fill="FFFFFF"/>
              </w:rPr>
              <w:t xml:space="preserve"> </w:t>
            </w:r>
            <w:r w:rsidR="00266A43" w:rsidRPr="00D50B22">
              <w:rPr>
                <w:rFonts w:ascii="Times New Roman" w:hAnsi="Times New Roman" w:cs="Times New Roman"/>
                <w:sz w:val="20"/>
                <w:szCs w:val="20"/>
                <w:shd w:val="clear" w:color="auto" w:fill="FFFFFF"/>
              </w:rPr>
              <w:t>ir sagatavots</w:t>
            </w:r>
            <w:r w:rsidR="00D23059" w:rsidRPr="00D50B22">
              <w:rPr>
                <w:rFonts w:ascii="Times New Roman" w:hAnsi="Times New Roman" w:cs="Times New Roman"/>
                <w:sz w:val="20"/>
                <w:szCs w:val="20"/>
                <w:shd w:val="clear" w:color="auto" w:fill="FFFFFF"/>
              </w:rPr>
              <w:t xml:space="preserve"> </w:t>
            </w:r>
            <w:r w:rsidR="00DB5275" w:rsidRPr="00D50B22">
              <w:rPr>
                <w:rFonts w:ascii="Times New Roman" w:hAnsi="Times New Roman" w:cs="Times New Roman"/>
                <w:sz w:val="20"/>
                <w:szCs w:val="20"/>
                <w:shd w:val="clear" w:color="auto" w:fill="FFFFFF"/>
              </w:rPr>
              <w:t xml:space="preserve">un vienlaikus ar šo likumprojektu tiek virzīts </w:t>
            </w:r>
            <w:r w:rsidR="00D23059" w:rsidRPr="00D50B22">
              <w:rPr>
                <w:rFonts w:ascii="Times New Roman" w:hAnsi="Times New Roman" w:cs="Times New Roman"/>
                <w:sz w:val="20"/>
                <w:szCs w:val="20"/>
                <w:shd w:val="clear" w:color="auto" w:fill="FFFFFF"/>
              </w:rPr>
              <w:t>likumprojekt</w:t>
            </w:r>
            <w:r w:rsidR="00266A43" w:rsidRPr="00D50B22">
              <w:rPr>
                <w:rFonts w:ascii="Times New Roman" w:hAnsi="Times New Roman" w:cs="Times New Roman"/>
                <w:sz w:val="20"/>
                <w:szCs w:val="20"/>
                <w:shd w:val="clear" w:color="auto" w:fill="FFFFFF"/>
              </w:rPr>
              <w:t>s</w:t>
            </w:r>
            <w:r w:rsidR="00D23059" w:rsidRPr="00D50B22">
              <w:rPr>
                <w:rFonts w:ascii="Times New Roman" w:hAnsi="Times New Roman" w:cs="Times New Roman"/>
                <w:sz w:val="20"/>
                <w:szCs w:val="20"/>
                <w:shd w:val="clear" w:color="auto" w:fill="FFFFFF"/>
              </w:rPr>
              <w:t xml:space="preserve"> „Grozījum</w:t>
            </w:r>
            <w:r w:rsidR="00534595">
              <w:rPr>
                <w:rFonts w:ascii="Times New Roman" w:hAnsi="Times New Roman" w:cs="Times New Roman"/>
                <w:sz w:val="20"/>
                <w:szCs w:val="20"/>
                <w:shd w:val="clear" w:color="auto" w:fill="FFFFFF"/>
              </w:rPr>
              <w:t>s</w:t>
            </w:r>
            <w:r w:rsidR="00D23059" w:rsidRPr="00D50B22">
              <w:rPr>
                <w:rFonts w:ascii="Times New Roman" w:hAnsi="Times New Roman" w:cs="Times New Roman"/>
                <w:sz w:val="20"/>
                <w:szCs w:val="20"/>
                <w:shd w:val="clear" w:color="auto" w:fill="FFFFFF"/>
              </w:rPr>
              <w:t xml:space="preserve"> Maksātnespējas likumā”</w:t>
            </w:r>
            <w:r w:rsidR="00266A43" w:rsidRPr="00D50B22">
              <w:rPr>
                <w:rFonts w:ascii="Times New Roman" w:hAnsi="Times New Roman" w:cs="Times New Roman"/>
                <w:sz w:val="20"/>
                <w:szCs w:val="20"/>
                <w:shd w:val="clear" w:color="auto" w:fill="FFFFFF"/>
              </w:rPr>
              <w:t>, kas paredz Maksā</w:t>
            </w:r>
            <w:r w:rsidR="00D50B22">
              <w:rPr>
                <w:rFonts w:ascii="Times New Roman" w:hAnsi="Times New Roman" w:cs="Times New Roman"/>
                <w:sz w:val="20"/>
                <w:szCs w:val="20"/>
                <w:shd w:val="clear" w:color="auto" w:fill="FFFFFF"/>
              </w:rPr>
              <w:t>t</w:t>
            </w:r>
            <w:r w:rsidR="00266A43" w:rsidRPr="00D50B22">
              <w:rPr>
                <w:rFonts w:ascii="Times New Roman" w:hAnsi="Times New Roman" w:cs="Times New Roman"/>
                <w:sz w:val="20"/>
                <w:szCs w:val="20"/>
                <w:shd w:val="clear" w:color="auto" w:fill="FFFFFF"/>
              </w:rPr>
              <w:t xml:space="preserve">nespējas likuma </w:t>
            </w:r>
            <w:r w:rsidRPr="00D50B22">
              <w:rPr>
                <w:rFonts w:ascii="Times New Roman" w:hAnsi="Times New Roman" w:cs="Times New Roman"/>
                <w:sz w:val="20"/>
                <w:szCs w:val="20"/>
                <w:shd w:val="clear" w:color="auto" w:fill="FFFFFF"/>
              </w:rPr>
              <w:t>2.pant</w:t>
            </w:r>
            <w:r w:rsidR="00266A43" w:rsidRPr="00D50B22">
              <w:rPr>
                <w:rFonts w:ascii="Times New Roman" w:hAnsi="Times New Roman" w:cs="Times New Roman"/>
                <w:sz w:val="20"/>
                <w:szCs w:val="20"/>
                <w:shd w:val="clear" w:color="auto" w:fill="FFFFFF"/>
              </w:rPr>
              <w:t>u</w:t>
            </w:r>
            <w:r w:rsidRPr="00D50B22">
              <w:rPr>
                <w:rFonts w:ascii="Times New Roman" w:hAnsi="Times New Roman" w:cs="Times New Roman"/>
                <w:sz w:val="20"/>
                <w:szCs w:val="20"/>
                <w:shd w:val="clear" w:color="auto" w:fill="FFFFFF"/>
              </w:rPr>
              <w:t xml:space="preserve"> </w:t>
            </w:r>
            <w:r w:rsidR="00266A43" w:rsidRPr="00D50B22">
              <w:rPr>
                <w:rFonts w:ascii="Times New Roman" w:hAnsi="Times New Roman" w:cs="Times New Roman"/>
                <w:sz w:val="20"/>
                <w:szCs w:val="20"/>
                <w:shd w:val="clear" w:color="auto" w:fill="FFFFFF"/>
              </w:rPr>
              <w:t>papildināt ar sesto daļu un kas satur</w:t>
            </w:r>
            <w:r w:rsidRPr="00D50B22">
              <w:rPr>
                <w:rFonts w:ascii="Times New Roman" w:hAnsi="Times New Roman" w:cs="Times New Roman"/>
                <w:sz w:val="20"/>
                <w:szCs w:val="20"/>
                <w:shd w:val="clear" w:color="auto" w:fill="FFFFFF"/>
              </w:rPr>
              <w:t xml:space="preserve"> atsauces normu uz likumprojektu „Izslēdzošā ieskaita piemērošanas </w:t>
            </w:r>
            <w:r w:rsidR="00D23059" w:rsidRPr="00D50B22">
              <w:rPr>
                <w:rFonts w:ascii="Times New Roman" w:hAnsi="Times New Roman" w:cs="Times New Roman"/>
                <w:sz w:val="20"/>
                <w:szCs w:val="20"/>
                <w:shd w:val="clear" w:color="auto" w:fill="FFFFFF"/>
              </w:rPr>
              <w:t>kvalificētajiem</w:t>
            </w:r>
            <w:r w:rsidRPr="00D50B22">
              <w:rPr>
                <w:rFonts w:ascii="Times New Roman" w:hAnsi="Times New Roman" w:cs="Times New Roman"/>
                <w:sz w:val="20"/>
                <w:szCs w:val="20"/>
                <w:shd w:val="clear" w:color="auto" w:fill="FFFFFF"/>
              </w:rPr>
              <w:t xml:space="preserve"> finanšu darījumiem likums”. </w:t>
            </w:r>
            <w:r w:rsidR="00D23059" w:rsidRPr="00D50B22">
              <w:rPr>
                <w:rFonts w:ascii="Times New Roman" w:hAnsi="Times New Roman" w:cs="Times New Roman"/>
                <w:sz w:val="20"/>
                <w:szCs w:val="20"/>
                <w:shd w:val="clear" w:color="auto" w:fill="FFFFFF"/>
              </w:rPr>
              <w:t>Līdz ar to</w:t>
            </w:r>
            <w:r w:rsidRPr="00D50B22">
              <w:rPr>
                <w:rFonts w:ascii="Times New Roman" w:hAnsi="Times New Roman" w:cs="Times New Roman"/>
                <w:sz w:val="20"/>
                <w:szCs w:val="20"/>
                <w:shd w:val="clear" w:color="auto" w:fill="FFFFFF"/>
              </w:rPr>
              <w:t xml:space="preserve"> Apdrošināšanas un pārapdrošināšanas likumā citas atsauces</w:t>
            </w:r>
            <w:r w:rsidR="00D23059" w:rsidRPr="00D50B22">
              <w:rPr>
                <w:rFonts w:ascii="Times New Roman" w:hAnsi="Times New Roman" w:cs="Times New Roman"/>
                <w:sz w:val="20"/>
                <w:szCs w:val="20"/>
                <w:shd w:val="clear" w:color="auto" w:fill="FFFFFF"/>
              </w:rPr>
              <w:t xml:space="preserve"> normas vairs nav nepieciešamas. Ievērojot minēto,</w:t>
            </w:r>
            <w:r w:rsidRPr="00D50B22">
              <w:rPr>
                <w:rFonts w:ascii="Times New Roman" w:hAnsi="Times New Roman" w:cs="Times New Roman"/>
                <w:sz w:val="20"/>
                <w:szCs w:val="20"/>
                <w:shd w:val="clear" w:color="auto" w:fill="FFFFFF"/>
              </w:rPr>
              <w:t xml:space="preserve"> </w:t>
            </w:r>
            <w:r w:rsidR="00D23059" w:rsidRPr="00D50B22">
              <w:rPr>
                <w:rFonts w:ascii="Times New Roman" w:hAnsi="Times New Roman" w:cs="Times New Roman"/>
                <w:sz w:val="20"/>
                <w:szCs w:val="20"/>
                <w:shd w:val="clear" w:color="auto" w:fill="FFFFFF"/>
              </w:rPr>
              <w:t>ir svītrots</w:t>
            </w:r>
            <w:r w:rsidRPr="00D50B22">
              <w:rPr>
                <w:rFonts w:ascii="Times New Roman" w:hAnsi="Times New Roman" w:cs="Times New Roman"/>
                <w:sz w:val="20"/>
                <w:szCs w:val="20"/>
                <w:shd w:val="clear" w:color="auto" w:fill="FFFFFF"/>
              </w:rPr>
              <w:t xml:space="preserve"> likumprojekta „Grozījumi Apdrošināšanas un pārapdrošināšanas likumā” 2.pa</w:t>
            </w:r>
            <w:r w:rsidR="00D23059" w:rsidRPr="00D50B22">
              <w:rPr>
                <w:rFonts w:ascii="Times New Roman" w:hAnsi="Times New Roman" w:cs="Times New Roman"/>
                <w:sz w:val="20"/>
                <w:szCs w:val="20"/>
                <w:shd w:val="clear" w:color="auto" w:fill="FFFFFF"/>
              </w:rPr>
              <w:t>nts, bet šā likumprojekta 3.pantam mainīta numerācija.</w:t>
            </w:r>
          </w:p>
          <w:p w14:paraId="3E03E647" w14:textId="77777777" w:rsidR="002B7D4D" w:rsidRPr="00D50B22" w:rsidRDefault="00266A43" w:rsidP="00DB5275">
            <w:pPr>
              <w:spacing w:after="0" w:line="240" w:lineRule="auto"/>
              <w:ind w:firstLine="341"/>
              <w:jc w:val="both"/>
              <w:rPr>
                <w:rFonts w:ascii="Times New Roman" w:eastAsia="Times New Roman" w:hAnsi="Times New Roman" w:cs="Times New Roman"/>
                <w:bCs/>
                <w:sz w:val="20"/>
                <w:lang w:eastAsia="lv-LV"/>
              </w:rPr>
            </w:pPr>
            <w:r w:rsidRPr="00D50B22">
              <w:rPr>
                <w:rFonts w:ascii="Times New Roman" w:hAnsi="Times New Roman" w:cs="Times New Roman"/>
                <w:sz w:val="20"/>
                <w:szCs w:val="20"/>
                <w:shd w:val="clear" w:color="auto" w:fill="FFFFFF"/>
              </w:rPr>
              <w:t xml:space="preserve">Skaidrojums par likumprojekta „Izslēdzošā ieskaita piemērošanas kvalificētajiem finanšu darījumiem likums” </w:t>
            </w:r>
            <w:r w:rsidR="00DB5275" w:rsidRPr="00D50B22">
              <w:rPr>
                <w:rFonts w:ascii="Times New Roman" w:hAnsi="Times New Roman" w:cs="Times New Roman"/>
                <w:sz w:val="20"/>
                <w:szCs w:val="20"/>
                <w:shd w:val="clear" w:color="auto" w:fill="FFFFFF"/>
              </w:rPr>
              <w:t xml:space="preserve">mijiedarbību </w:t>
            </w:r>
            <w:r w:rsidRPr="00D50B22">
              <w:rPr>
                <w:rFonts w:ascii="Times New Roman" w:hAnsi="Times New Roman" w:cs="Times New Roman"/>
                <w:sz w:val="20"/>
                <w:szCs w:val="20"/>
                <w:shd w:val="clear" w:color="auto" w:fill="FFFFFF"/>
              </w:rPr>
              <w:t>ar citiem tiesību aktiem</w:t>
            </w:r>
            <w:r w:rsidR="00DB5275" w:rsidRPr="00D50B22">
              <w:rPr>
                <w:rFonts w:ascii="Times New Roman" w:hAnsi="Times New Roman" w:cs="Times New Roman"/>
                <w:sz w:val="20"/>
                <w:szCs w:val="20"/>
                <w:shd w:val="clear" w:color="auto" w:fill="FFFFFF"/>
              </w:rPr>
              <w:t>, ir sniegts likumprojekta „Izslēdzošā ieskaita piemērošanas kvalificētajiem finanšu darījumiem likums” anotācijā pie 3.panta, kas regulē minētā likuma darbības jomu.</w:t>
            </w:r>
          </w:p>
        </w:tc>
        <w:tc>
          <w:tcPr>
            <w:tcW w:w="712" w:type="pct"/>
            <w:tcBorders>
              <w:top w:val="single" w:sz="4" w:space="0" w:color="auto"/>
              <w:left w:val="single" w:sz="4" w:space="0" w:color="auto"/>
              <w:bottom w:val="single" w:sz="4" w:space="0" w:color="auto"/>
              <w:right w:val="single" w:sz="4" w:space="0" w:color="auto"/>
            </w:tcBorders>
          </w:tcPr>
          <w:p w14:paraId="36A5FA1A" w14:textId="77777777" w:rsidR="0006235E" w:rsidRPr="00D50B22" w:rsidRDefault="00D23059" w:rsidP="00067C91">
            <w:pPr>
              <w:shd w:val="clear" w:color="auto" w:fill="FFFFFF"/>
              <w:spacing w:after="0" w:line="240" w:lineRule="auto"/>
              <w:jc w:val="both"/>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lastRenderedPageBreak/>
              <w:t>Svītrots likumprojekta 2.pants.</w:t>
            </w:r>
          </w:p>
        </w:tc>
      </w:tr>
      <w:tr w:rsidR="006C2417" w:rsidRPr="00D50B22" w14:paraId="39D20FB0" w14:textId="77777777" w:rsidTr="00E11749">
        <w:trPr>
          <w:trHeight w:val="140"/>
        </w:trPr>
        <w:tc>
          <w:tcPr>
            <w:tcW w:w="2354" w:type="pct"/>
            <w:gridSpan w:val="4"/>
            <w:tcBorders>
              <w:top w:val="nil"/>
              <w:left w:val="nil"/>
              <w:bottom w:val="nil"/>
              <w:right w:val="nil"/>
            </w:tcBorders>
          </w:tcPr>
          <w:p w14:paraId="604B7EA7" w14:textId="77777777" w:rsidR="006C2417" w:rsidRPr="00D50B22" w:rsidRDefault="006C2417" w:rsidP="006C2417">
            <w:pPr>
              <w:spacing w:after="0" w:line="240" w:lineRule="auto"/>
              <w:rPr>
                <w:rFonts w:ascii="Times New Roman" w:eastAsia="Times New Roman" w:hAnsi="Times New Roman" w:cs="Times New Roman"/>
                <w:sz w:val="20"/>
                <w:lang w:eastAsia="lv-LV"/>
              </w:rPr>
            </w:pPr>
          </w:p>
          <w:p w14:paraId="4B46B651" w14:textId="77777777" w:rsidR="006C2417" w:rsidRPr="00D50B22" w:rsidRDefault="006C2417" w:rsidP="006C2417">
            <w:pPr>
              <w:spacing w:after="0" w:line="240" w:lineRule="auto"/>
              <w:jc w:val="center"/>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Atbildīgā amatpersona</w:t>
            </w:r>
          </w:p>
        </w:tc>
        <w:tc>
          <w:tcPr>
            <w:tcW w:w="950" w:type="pct"/>
            <w:tcBorders>
              <w:top w:val="nil"/>
              <w:left w:val="nil"/>
              <w:bottom w:val="nil"/>
              <w:right w:val="nil"/>
            </w:tcBorders>
          </w:tcPr>
          <w:p w14:paraId="72CD1F9C" w14:textId="77777777" w:rsidR="006C2417" w:rsidRPr="00D50B22" w:rsidRDefault="006C2417" w:rsidP="006C2417">
            <w:pPr>
              <w:spacing w:after="0" w:line="240" w:lineRule="auto"/>
              <w:rPr>
                <w:rFonts w:ascii="Times New Roman" w:eastAsia="Times New Roman" w:hAnsi="Times New Roman" w:cs="Times New Roman"/>
                <w:sz w:val="20"/>
                <w:lang w:eastAsia="lv-LV"/>
              </w:rPr>
            </w:pPr>
          </w:p>
        </w:tc>
        <w:tc>
          <w:tcPr>
            <w:tcW w:w="821" w:type="pct"/>
            <w:gridSpan w:val="2"/>
          </w:tcPr>
          <w:p w14:paraId="424289E0" w14:textId="77777777" w:rsidR="006C2417" w:rsidRPr="00D50B22" w:rsidRDefault="006C2417" w:rsidP="006C2417">
            <w:pPr>
              <w:spacing w:after="0" w:line="240" w:lineRule="auto"/>
              <w:rPr>
                <w:rFonts w:ascii="Times New Roman" w:eastAsia="Calibri" w:hAnsi="Times New Roman" w:cs="Times New Roman"/>
                <w:sz w:val="20"/>
                <w:lang w:eastAsia="lv-LV"/>
              </w:rPr>
            </w:pPr>
          </w:p>
        </w:tc>
        <w:tc>
          <w:tcPr>
            <w:tcW w:w="875" w:type="pct"/>
          </w:tcPr>
          <w:p w14:paraId="0DB026ED" w14:textId="77777777" w:rsidR="006C2417" w:rsidRPr="00D50B22" w:rsidRDefault="006C2417" w:rsidP="006C2417">
            <w:pPr>
              <w:spacing w:after="0" w:line="240" w:lineRule="auto"/>
              <w:jc w:val="center"/>
              <w:rPr>
                <w:rFonts w:ascii="Times New Roman" w:eastAsia="Times New Roman" w:hAnsi="Times New Roman" w:cs="Times New Roman"/>
                <w:sz w:val="20"/>
                <w:highlight w:val="yellow"/>
                <w:lang w:eastAsia="lv-LV"/>
              </w:rPr>
            </w:pPr>
          </w:p>
        </w:tc>
      </w:tr>
      <w:tr w:rsidR="006C2417" w:rsidRPr="00D50B22" w14:paraId="45097AD8" w14:textId="77777777" w:rsidTr="00E11749">
        <w:trPr>
          <w:gridAfter w:val="3"/>
          <w:wAfter w:w="1696" w:type="pct"/>
          <w:trHeight w:val="140"/>
        </w:trPr>
        <w:tc>
          <w:tcPr>
            <w:tcW w:w="2354" w:type="pct"/>
            <w:gridSpan w:val="4"/>
            <w:tcBorders>
              <w:top w:val="nil"/>
              <w:left w:val="nil"/>
              <w:bottom w:val="nil"/>
              <w:right w:val="nil"/>
            </w:tcBorders>
          </w:tcPr>
          <w:p w14:paraId="4AB0B89D" w14:textId="77777777" w:rsidR="006C2417" w:rsidRPr="00D50B22" w:rsidRDefault="006C2417" w:rsidP="006C2417">
            <w:pPr>
              <w:spacing w:after="0" w:line="240" w:lineRule="auto"/>
              <w:jc w:val="center"/>
              <w:rPr>
                <w:rFonts w:ascii="Times New Roman" w:eastAsia="Times New Roman" w:hAnsi="Times New Roman" w:cs="Times New Roman"/>
                <w:sz w:val="20"/>
                <w:lang w:eastAsia="lv-LV"/>
              </w:rPr>
            </w:pPr>
          </w:p>
        </w:tc>
        <w:tc>
          <w:tcPr>
            <w:tcW w:w="950" w:type="pct"/>
            <w:tcBorders>
              <w:top w:val="single" w:sz="6" w:space="0" w:color="000000"/>
              <w:left w:val="nil"/>
              <w:bottom w:val="single" w:sz="6" w:space="0" w:color="000000"/>
              <w:right w:val="nil"/>
            </w:tcBorders>
            <w:hideMark/>
          </w:tcPr>
          <w:p w14:paraId="78A74B87" w14:textId="77777777" w:rsidR="006C2417" w:rsidRPr="00D50B22" w:rsidRDefault="006C2417" w:rsidP="006C2417">
            <w:pPr>
              <w:spacing w:after="0" w:line="240" w:lineRule="auto"/>
              <w:jc w:val="center"/>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(paraksts)*</w:t>
            </w:r>
          </w:p>
        </w:tc>
      </w:tr>
    </w:tbl>
    <w:p w14:paraId="17BA939A" w14:textId="77777777" w:rsidR="000239F9" w:rsidRPr="00D50B22" w:rsidRDefault="000239F9" w:rsidP="00D60CB6">
      <w:pPr>
        <w:spacing w:after="0" w:line="240" w:lineRule="auto"/>
        <w:jc w:val="both"/>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6BBD3A55" w14:textId="77777777" w:rsidR="000239F9" w:rsidRPr="00D50B22"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ab/>
      </w:r>
    </w:p>
    <w:p w14:paraId="5573C258" w14:textId="77777777" w:rsidR="000239F9" w:rsidRPr="00D50B22" w:rsidRDefault="008867B9" w:rsidP="00D60CB6">
      <w:pPr>
        <w:tabs>
          <w:tab w:val="left" w:pos="6330"/>
        </w:tabs>
        <w:spacing w:after="0" w:line="240" w:lineRule="auto"/>
        <w:jc w:val="both"/>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Gunvaldis Davidovičs</w:t>
      </w:r>
      <w:r w:rsidR="004153CD" w:rsidRPr="00D50B22">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D50B22" w14:paraId="6320D66E" w14:textId="77777777" w:rsidTr="007831E5">
        <w:trPr>
          <w:trHeight w:val="731"/>
        </w:trPr>
        <w:tc>
          <w:tcPr>
            <w:tcW w:w="9214" w:type="dxa"/>
            <w:tcBorders>
              <w:top w:val="nil"/>
              <w:left w:val="nil"/>
              <w:bottom w:val="single" w:sz="4" w:space="0" w:color="000000"/>
              <w:right w:val="nil"/>
            </w:tcBorders>
            <w:hideMark/>
          </w:tcPr>
          <w:p w14:paraId="54F3805C" w14:textId="77777777" w:rsidR="000239F9" w:rsidRPr="00D50B22" w:rsidRDefault="00EE17EF" w:rsidP="00D60CB6">
            <w:pPr>
              <w:spacing w:after="0" w:line="240" w:lineRule="auto"/>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lastRenderedPageBreak/>
              <w:t>Finanšu</w:t>
            </w:r>
            <w:r w:rsidR="000239F9" w:rsidRPr="00D50B22">
              <w:rPr>
                <w:rFonts w:ascii="Times New Roman" w:eastAsia="Times New Roman" w:hAnsi="Times New Roman" w:cs="Times New Roman"/>
                <w:sz w:val="20"/>
                <w:lang w:eastAsia="lv-LV"/>
              </w:rPr>
              <w:t xml:space="preserve"> ministrijas</w:t>
            </w:r>
          </w:p>
          <w:p w14:paraId="1C9033D3" w14:textId="77777777" w:rsidR="000239F9" w:rsidRPr="00D50B22" w:rsidRDefault="00EE17EF" w:rsidP="008867B9">
            <w:pPr>
              <w:spacing w:after="0" w:line="240" w:lineRule="auto"/>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Finanšu tirgus politikas</w:t>
            </w:r>
            <w:r w:rsidR="001B77D1" w:rsidRPr="00D50B22">
              <w:rPr>
                <w:rFonts w:ascii="Times New Roman" w:eastAsia="Times New Roman" w:hAnsi="Times New Roman" w:cs="Times New Roman"/>
                <w:sz w:val="20"/>
                <w:lang w:eastAsia="lv-LV"/>
              </w:rPr>
              <w:t xml:space="preserve"> </w:t>
            </w:r>
            <w:r w:rsidR="000239F9" w:rsidRPr="00D50B22">
              <w:rPr>
                <w:rFonts w:ascii="Times New Roman" w:eastAsia="Times New Roman" w:hAnsi="Times New Roman" w:cs="Times New Roman"/>
                <w:sz w:val="20"/>
                <w:lang w:eastAsia="lv-LV"/>
              </w:rPr>
              <w:t xml:space="preserve">departamenta </w:t>
            </w:r>
            <w:r w:rsidR="008867B9" w:rsidRPr="00D50B22">
              <w:rPr>
                <w:rFonts w:ascii="Times New Roman" w:eastAsia="Times New Roman" w:hAnsi="Times New Roman" w:cs="Times New Roman"/>
                <w:sz w:val="20"/>
                <w:lang w:eastAsia="lv-LV"/>
              </w:rPr>
              <w:t>jurists</w:t>
            </w:r>
          </w:p>
        </w:tc>
      </w:tr>
      <w:tr w:rsidR="000239F9" w:rsidRPr="00D50B22" w14:paraId="0DA480B9" w14:textId="77777777" w:rsidTr="007831E5">
        <w:trPr>
          <w:trHeight w:val="229"/>
        </w:trPr>
        <w:tc>
          <w:tcPr>
            <w:tcW w:w="9214" w:type="dxa"/>
            <w:tcBorders>
              <w:top w:val="single" w:sz="4" w:space="0" w:color="000000"/>
              <w:left w:val="nil"/>
              <w:bottom w:val="nil"/>
              <w:right w:val="nil"/>
            </w:tcBorders>
            <w:hideMark/>
          </w:tcPr>
          <w:p w14:paraId="7DCF1D50" w14:textId="77777777" w:rsidR="000239F9" w:rsidRPr="00D50B22" w:rsidRDefault="000239F9" w:rsidP="00D60CB6">
            <w:pPr>
              <w:spacing w:after="0" w:line="240" w:lineRule="auto"/>
              <w:jc w:val="center"/>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(amats)</w:t>
            </w:r>
          </w:p>
        </w:tc>
      </w:tr>
      <w:tr w:rsidR="000239F9" w:rsidRPr="00D50B22" w14:paraId="2386703A" w14:textId="77777777" w:rsidTr="007831E5">
        <w:trPr>
          <w:trHeight w:val="243"/>
        </w:trPr>
        <w:tc>
          <w:tcPr>
            <w:tcW w:w="9214" w:type="dxa"/>
            <w:tcBorders>
              <w:top w:val="nil"/>
              <w:left w:val="nil"/>
              <w:bottom w:val="single" w:sz="4" w:space="0" w:color="000000"/>
              <w:right w:val="nil"/>
            </w:tcBorders>
            <w:hideMark/>
          </w:tcPr>
          <w:p w14:paraId="7AEAFA04" w14:textId="77777777" w:rsidR="000239F9" w:rsidRPr="00D50B22" w:rsidRDefault="000239F9" w:rsidP="008867B9">
            <w:pPr>
              <w:spacing w:after="0" w:line="240" w:lineRule="auto"/>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 xml:space="preserve">tālr. </w:t>
            </w:r>
            <w:r w:rsidR="00AF20BA" w:rsidRPr="00D50B22">
              <w:rPr>
                <w:rFonts w:ascii="Times New Roman" w:eastAsia="Times New Roman" w:hAnsi="Times New Roman" w:cs="Times New Roman"/>
                <w:sz w:val="20"/>
                <w:lang w:eastAsia="lv-LV"/>
              </w:rPr>
              <w:t>670</w:t>
            </w:r>
            <w:r w:rsidR="008867B9" w:rsidRPr="00D50B22">
              <w:rPr>
                <w:rFonts w:ascii="Times New Roman" w:eastAsia="Times New Roman" w:hAnsi="Times New Roman" w:cs="Times New Roman"/>
                <w:sz w:val="20"/>
                <w:lang w:eastAsia="lv-LV"/>
              </w:rPr>
              <w:t>83931</w:t>
            </w:r>
          </w:p>
        </w:tc>
      </w:tr>
      <w:tr w:rsidR="000239F9" w:rsidRPr="00D50B22" w14:paraId="58F9571C" w14:textId="77777777" w:rsidTr="007831E5">
        <w:trPr>
          <w:trHeight w:val="243"/>
        </w:trPr>
        <w:tc>
          <w:tcPr>
            <w:tcW w:w="9214" w:type="dxa"/>
            <w:tcBorders>
              <w:top w:val="single" w:sz="4" w:space="0" w:color="000000"/>
              <w:left w:val="nil"/>
              <w:bottom w:val="nil"/>
              <w:right w:val="nil"/>
            </w:tcBorders>
            <w:hideMark/>
          </w:tcPr>
          <w:p w14:paraId="778C35D0" w14:textId="77777777" w:rsidR="000239F9" w:rsidRPr="00D50B22" w:rsidRDefault="000239F9" w:rsidP="00D60CB6">
            <w:pPr>
              <w:spacing w:after="0" w:line="240" w:lineRule="auto"/>
              <w:jc w:val="center"/>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(tālruņa un faksa numurs)</w:t>
            </w:r>
          </w:p>
        </w:tc>
      </w:tr>
      <w:tr w:rsidR="000239F9" w:rsidRPr="00D50B22" w14:paraId="53BBDC1A" w14:textId="77777777" w:rsidTr="007831E5">
        <w:trPr>
          <w:trHeight w:val="229"/>
        </w:trPr>
        <w:tc>
          <w:tcPr>
            <w:tcW w:w="9214" w:type="dxa"/>
            <w:tcBorders>
              <w:top w:val="nil"/>
              <w:left w:val="nil"/>
              <w:bottom w:val="single" w:sz="4" w:space="0" w:color="000000"/>
              <w:right w:val="nil"/>
            </w:tcBorders>
            <w:hideMark/>
          </w:tcPr>
          <w:p w14:paraId="708FB266" w14:textId="77777777" w:rsidR="000239F9" w:rsidRPr="00D50B22" w:rsidRDefault="00011F97" w:rsidP="008867B9">
            <w:pPr>
              <w:spacing w:after="0" w:line="240" w:lineRule="auto"/>
              <w:rPr>
                <w:rFonts w:ascii="Times New Roman" w:eastAsia="Times New Roman" w:hAnsi="Times New Roman" w:cs="Times New Roman"/>
                <w:sz w:val="20"/>
                <w:szCs w:val="24"/>
                <w:lang w:eastAsia="lv-LV"/>
              </w:rPr>
            </w:pPr>
            <w:hyperlink r:id="rId8" w:history="1">
              <w:r w:rsidR="008867B9" w:rsidRPr="00D50B22">
                <w:rPr>
                  <w:rStyle w:val="Hyperlink"/>
                  <w:rFonts w:ascii="Times New Roman" w:hAnsi="Times New Roman" w:cs="Times New Roman"/>
                  <w:sz w:val="20"/>
                  <w:szCs w:val="24"/>
                </w:rPr>
                <w:t xml:space="preserve">Gunvaldis.Davidovics </w:t>
              </w:r>
              <w:r w:rsidR="00EE17EF" w:rsidRPr="00D50B22">
                <w:rPr>
                  <w:rStyle w:val="Hyperlink"/>
                  <w:rFonts w:ascii="Times New Roman" w:hAnsi="Times New Roman" w:cs="Times New Roman"/>
                  <w:sz w:val="20"/>
                  <w:szCs w:val="24"/>
                </w:rPr>
                <w:t>@fm.gov.lv</w:t>
              </w:r>
            </w:hyperlink>
            <w:r w:rsidR="00EE17EF" w:rsidRPr="00D50B22">
              <w:rPr>
                <w:rFonts w:ascii="Times New Roman" w:hAnsi="Times New Roman" w:cs="Times New Roman"/>
                <w:sz w:val="20"/>
                <w:szCs w:val="24"/>
              </w:rPr>
              <w:t xml:space="preserve"> </w:t>
            </w:r>
            <w:r w:rsidR="006F0C0E" w:rsidRPr="00D50B22">
              <w:rPr>
                <w:rFonts w:ascii="Times New Roman" w:hAnsi="Times New Roman"/>
                <w:sz w:val="20"/>
                <w:szCs w:val="24"/>
              </w:rPr>
              <w:t xml:space="preserve"> </w:t>
            </w:r>
          </w:p>
        </w:tc>
      </w:tr>
      <w:tr w:rsidR="000239F9" w:rsidRPr="00D50B22" w14:paraId="04443539" w14:textId="77777777" w:rsidTr="007831E5">
        <w:trPr>
          <w:trHeight w:val="243"/>
        </w:trPr>
        <w:tc>
          <w:tcPr>
            <w:tcW w:w="9214" w:type="dxa"/>
            <w:tcBorders>
              <w:top w:val="single" w:sz="4" w:space="0" w:color="000000"/>
              <w:left w:val="nil"/>
              <w:bottom w:val="nil"/>
              <w:right w:val="nil"/>
            </w:tcBorders>
            <w:hideMark/>
          </w:tcPr>
          <w:p w14:paraId="68F7C4C2" w14:textId="77777777" w:rsidR="000239F9" w:rsidRPr="00D50B22" w:rsidRDefault="000239F9" w:rsidP="00D60CB6">
            <w:pPr>
              <w:spacing w:after="0" w:line="240" w:lineRule="auto"/>
              <w:jc w:val="center"/>
              <w:rPr>
                <w:rFonts w:ascii="Times New Roman" w:eastAsia="Times New Roman" w:hAnsi="Times New Roman" w:cs="Times New Roman"/>
                <w:sz w:val="20"/>
                <w:lang w:eastAsia="lv-LV"/>
              </w:rPr>
            </w:pPr>
            <w:r w:rsidRPr="00D50B22">
              <w:rPr>
                <w:rFonts w:ascii="Times New Roman" w:eastAsia="Times New Roman" w:hAnsi="Times New Roman" w:cs="Times New Roman"/>
                <w:sz w:val="20"/>
                <w:lang w:eastAsia="lv-LV"/>
              </w:rPr>
              <w:t>(e-pasta adrese)</w:t>
            </w:r>
          </w:p>
        </w:tc>
      </w:tr>
    </w:tbl>
    <w:p w14:paraId="47BA9104" w14:textId="77777777" w:rsidR="00726C06" w:rsidRPr="00D50B22" w:rsidRDefault="002F5D9C" w:rsidP="00D60CB6">
      <w:pPr>
        <w:spacing w:after="0" w:line="240" w:lineRule="auto"/>
        <w:jc w:val="both"/>
        <w:rPr>
          <w:rFonts w:ascii="Times New Roman" w:hAnsi="Times New Roman" w:cs="Times New Roman"/>
          <w:sz w:val="20"/>
          <w:szCs w:val="20"/>
        </w:rPr>
      </w:pPr>
      <w:r w:rsidRPr="00D50B22">
        <w:rPr>
          <w:rFonts w:ascii="Times New Roman" w:eastAsia="Times New Roman" w:hAnsi="Times New Roman" w:cs="Times New Roman"/>
          <w:sz w:val="20"/>
          <w:lang w:eastAsia="lv-LV"/>
        </w:rPr>
        <w:br w:type="textWrapping" w:clear="all"/>
      </w:r>
      <w:r w:rsidR="008867B9" w:rsidRPr="00D50B22">
        <w:rPr>
          <w:rFonts w:ascii="Times New Roman" w:hAnsi="Times New Roman" w:cs="Times New Roman"/>
          <w:sz w:val="20"/>
          <w:szCs w:val="20"/>
        </w:rPr>
        <w:t>Gunvaldis Davidovičs</w:t>
      </w:r>
    </w:p>
    <w:p w14:paraId="5B5A20F7" w14:textId="77777777" w:rsidR="00726C06" w:rsidRPr="00D50B22" w:rsidRDefault="00726C06" w:rsidP="00D60CB6">
      <w:pPr>
        <w:spacing w:after="0" w:line="240" w:lineRule="auto"/>
        <w:rPr>
          <w:rFonts w:ascii="Times New Roman" w:hAnsi="Times New Roman" w:cs="Times New Roman"/>
          <w:sz w:val="20"/>
          <w:szCs w:val="20"/>
        </w:rPr>
      </w:pPr>
      <w:r w:rsidRPr="00D50B22">
        <w:rPr>
          <w:rFonts w:ascii="Times New Roman" w:hAnsi="Times New Roman" w:cs="Times New Roman"/>
          <w:sz w:val="20"/>
          <w:szCs w:val="20"/>
        </w:rPr>
        <w:t>6</w:t>
      </w:r>
      <w:r w:rsidR="00EE17EF" w:rsidRPr="00D50B22">
        <w:rPr>
          <w:rFonts w:ascii="Times New Roman" w:hAnsi="Times New Roman" w:cs="Times New Roman"/>
          <w:sz w:val="20"/>
          <w:szCs w:val="20"/>
        </w:rPr>
        <w:t>70</w:t>
      </w:r>
      <w:r w:rsidR="008867B9" w:rsidRPr="00D50B22">
        <w:rPr>
          <w:rFonts w:ascii="Times New Roman" w:hAnsi="Times New Roman" w:cs="Times New Roman"/>
          <w:sz w:val="20"/>
          <w:szCs w:val="20"/>
        </w:rPr>
        <w:t>83931</w:t>
      </w:r>
      <w:r w:rsidRPr="00D50B22">
        <w:rPr>
          <w:rFonts w:ascii="Times New Roman" w:hAnsi="Times New Roman" w:cs="Times New Roman"/>
          <w:sz w:val="20"/>
          <w:szCs w:val="20"/>
        </w:rPr>
        <w:t xml:space="preserve">, </w:t>
      </w:r>
      <w:hyperlink r:id="rId9" w:history="1">
        <w:r w:rsidR="008867B9" w:rsidRPr="00D50B22">
          <w:rPr>
            <w:rStyle w:val="Hyperlink"/>
            <w:rFonts w:ascii="Times New Roman" w:hAnsi="Times New Roman" w:cs="Times New Roman"/>
            <w:sz w:val="20"/>
            <w:szCs w:val="20"/>
          </w:rPr>
          <w:t>Gunvaldis.Davidovics@fm.gov.lv</w:t>
        </w:r>
      </w:hyperlink>
      <w:r w:rsidRPr="00D50B22">
        <w:rPr>
          <w:rFonts w:ascii="Times New Roman" w:hAnsi="Times New Roman" w:cs="Times New Roman"/>
          <w:sz w:val="20"/>
          <w:szCs w:val="20"/>
        </w:rPr>
        <w:t xml:space="preserve"> </w:t>
      </w:r>
    </w:p>
    <w:p w14:paraId="2BAF8DC1" w14:textId="77777777" w:rsidR="00614A9A" w:rsidRPr="00D50B22" w:rsidRDefault="00614A9A" w:rsidP="00D60CB6">
      <w:pPr>
        <w:spacing w:after="0" w:line="240" w:lineRule="auto"/>
        <w:rPr>
          <w:rFonts w:ascii="Times New Roman" w:hAnsi="Times New Roman" w:cs="Times New Roman"/>
          <w:sz w:val="20"/>
        </w:rPr>
      </w:pPr>
    </w:p>
    <w:sectPr w:rsidR="00614A9A" w:rsidRPr="00D50B22" w:rsidSect="00C93A6E">
      <w:headerReference w:type="default" r:id="rId10"/>
      <w:footerReference w:type="default" r:id="rId11"/>
      <w:footerReference w:type="first" r:id="rId12"/>
      <w:pgSz w:w="16838" w:h="11906" w:orient="landscape"/>
      <w:pgMar w:top="1152" w:right="821" w:bottom="864"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FD06" w14:textId="77777777" w:rsidR="00011F97" w:rsidRDefault="00011F97" w:rsidP="003A0F64">
      <w:pPr>
        <w:spacing w:after="0" w:line="240" w:lineRule="auto"/>
      </w:pPr>
      <w:r>
        <w:separator/>
      </w:r>
    </w:p>
  </w:endnote>
  <w:endnote w:type="continuationSeparator" w:id="0">
    <w:p w14:paraId="5663FBA9" w14:textId="77777777" w:rsidR="00011F97" w:rsidRDefault="00011F97"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23BB" w14:textId="77777777" w:rsidR="00CC4D63" w:rsidRPr="00F66122" w:rsidRDefault="00021CE5" w:rsidP="0095381B">
    <w:pPr>
      <w:pStyle w:val="Footer"/>
      <w:tabs>
        <w:tab w:val="clear" w:pos="4153"/>
        <w:tab w:val="clear" w:pos="8306"/>
        <w:tab w:val="left" w:pos="1860"/>
        <w:tab w:val="left" w:pos="4230"/>
      </w:tabs>
      <w:rPr>
        <w:sz w:val="20"/>
      </w:rPr>
    </w:pPr>
    <w:fldSimple w:instr=" FILENAME   \* MERGEFORMAT ">
      <w:r w:rsidR="00CC4D63">
        <w:rPr>
          <w:noProof/>
          <w:sz w:val="20"/>
        </w:rPr>
        <w:t>FMIzz_1</w:t>
      </w:r>
      <w:r w:rsidR="00C23F93">
        <w:rPr>
          <w:noProof/>
          <w:sz w:val="20"/>
        </w:rPr>
        <w:t>8</w:t>
      </w:r>
      <w:r w:rsidR="00CC4D63">
        <w:rPr>
          <w:noProof/>
          <w:sz w:val="20"/>
        </w:rPr>
        <w:t>0820_</w:t>
      </w:r>
      <w:r w:rsidR="00B629BB">
        <w:rPr>
          <w:noProof/>
          <w:sz w:val="20"/>
        </w:rPr>
        <w:t>AP</w:t>
      </w:r>
      <w:r w:rsidR="00D265C9">
        <w:rPr>
          <w:noProof/>
          <w:sz w:val="20"/>
        </w:rPr>
        <w:t>L</w:t>
      </w:r>
      <w:r w:rsidR="00CC4D63" w:rsidRPr="006649AD">
        <w:rPr>
          <w:noProof/>
          <w:sz w:val="20"/>
        </w:rPr>
        <w:t>.docx</w:t>
      </w:r>
    </w:fldSimple>
    <w:r w:rsidR="00CC4D63">
      <w:rPr>
        <w:sz w:val="20"/>
      </w:rPr>
      <w:tab/>
    </w:r>
    <w:r w:rsidR="00CC4D63">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F819" w14:textId="6FE92B00" w:rsidR="00C23F93" w:rsidRDefault="00011F97">
    <w:pPr>
      <w:pStyle w:val="Footer"/>
    </w:pPr>
    <w:r>
      <w:fldChar w:fldCharType="begin"/>
    </w:r>
    <w:r>
      <w:instrText xml:space="preserve"> FILENAME   \* MERGEFORMAT </w:instrText>
    </w:r>
    <w:r>
      <w:fldChar w:fldCharType="separate"/>
    </w:r>
    <w:r w:rsidR="00C93A6E">
      <w:rPr>
        <w:noProof/>
        <w:sz w:val="20"/>
      </w:rPr>
      <w:t>FMIzz_180820_APL</w:t>
    </w:r>
    <w:r w:rsidR="00C93A6E" w:rsidRPr="006649AD">
      <w:rPr>
        <w:noProof/>
        <w:sz w:val="20"/>
      </w:rPr>
      <w:t>.docx</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83EC" w14:textId="77777777" w:rsidR="00011F97" w:rsidRDefault="00011F97" w:rsidP="003A0F64">
      <w:pPr>
        <w:spacing w:after="0" w:line="240" w:lineRule="auto"/>
      </w:pPr>
      <w:r>
        <w:separator/>
      </w:r>
    </w:p>
  </w:footnote>
  <w:footnote w:type="continuationSeparator" w:id="0">
    <w:p w14:paraId="15C39614" w14:textId="77777777" w:rsidR="00011F97" w:rsidRDefault="00011F97"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4BFC" w14:textId="5C22C8B9" w:rsidR="00CC4D63" w:rsidRDefault="00590D2C">
    <w:pPr>
      <w:pStyle w:val="Header"/>
      <w:jc w:val="center"/>
    </w:pPr>
    <w:r>
      <w:fldChar w:fldCharType="begin"/>
    </w:r>
    <w:r w:rsidR="005C6BC8">
      <w:instrText xml:space="preserve"> PAGE   \* MERGEFORMAT </w:instrText>
    </w:r>
    <w:r>
      <w:fldChar w:fldCharType="separate"/>
    </w:r>
    <w:r w:rsidR="000C3549">
      <w:rPr>
        <w:noProof/>
      </w:rPr>
      <w:t>2</w:t>
    </w:r>
    <w:r>
      <w:rPr>
        <w:noProof/>
      </w:rPr>
      <w:fldChar w:fldCharType="end"/>
    </w:r>
  </w:p>
  <w:p w14:paraId="5CBAC71B" w14:textId="77777777" w:rsidR="00CC4D63" w:rsidRDefault="00CC4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4554AF"/>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C58100E"/>
    <w:multiLevelType w:val="hybridMultilevel"/>
    <w:tmpl w:val="4E64DCAA"/>
    <w:lvl w:ilvl="0" w:tplc="9B14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84C19"/>
    <w:multiLevelType w:val="hybridMultilevel"/>
    <w:tmpl w:val="4640526E"/>
    <w:lvl w:ilvl="0" w:tplc="AFFAB170">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A587A98"/>
    <w:multiLevelType w:val="hybridMultilevel"/>
    <w:tmpl w:val="A518079E"/>
    <w:lvl w:ilvl="0" w:tplc="691E4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7"/>
  </w:num>
  <w:num w:numId="5">
    <w:abstractNumId w:val="13"/>
  </w:num>
  <w:num w:numId="6">
    <w:abstractNumId w:val="10"/>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5"/>
  </w:num>
  <w:num w:numId="12">
    <w:abstractNumId w:val="0"/>
  </w:num>
  <w:num w:numId="13">
    <w:abstractNumId w:val="7"/>
  </w:num>
  <w:num w:numId="14">
    <w:abstractNumId w:val="6"/>
  </w:num>
  <w:num w:numId="15">
    <w:abstractNumId w:val="4"/>
  </w:num>
  <w:num w:numId="16">
    <w:abstractNumId w:val="1"/>
  </w:num>
  <w:num w:numId="17">
    <w:abstractNumId w:val="14"/>
  </w:num>
  <w:num w:numId="18">
    <w:abstractNumId w:val="3"/>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2D08"/>
    <w:rsid w:val="000037B2"/>
    <w:rsid w:val="00004235"/>
    <w:rsid w:val="00006B72"/>
    <w:rsid w:val="000076BF"/>
    <w:rsid w:val="00010C2D"/>
    <w:rsid w:val="00011F97"/>
    <w:rsid w:val="00013FAE"/>
    <w:rsid w:val="00014318"/>
    <w:rsid w:val="0001655E"/>
    <w:rsid w:val="00016DB6"/>
    <w:rsid w:val="0001736A"/>
    <w:rsid w:val="000173D9"/>
    <w:rsid w:val="00020398"/>
    <w:rsid w:val="00020499"/>
    <w:rsid w:val="00020ECF"/>
    <w:rsid w:val="000216B7"/>
    <w:rsid w:val="00021CE5"/>
    <w:rsid w:val="00022A62"/>
    <w:rsid w:val="000238E4"/>
    <w:rsid w:val="000239F9"/>
    <w:rsid w:val="000255B2"/>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27FB"/>
    <w:rsid w:val="0004377E"/>
    <w:rsid w:val="000440AD"/>
    <w:rsid w:val="00044557"/>
    <w:rsid w:val="00045B37"/>
    <w:rsid w:val="00045C75"/>
    <w:rsid w:val="00047E7B"/>
    <w:rsid w:val="0005115E"/>
    <w:rsid w:val="00051883"/>
    <w:rsid w:val="000544C0"/>
    <w:rsid w:val="00054B74"/>
    <w:rsid w:val="000565A6"/>
    <w:rsid w:val="0005797F"/>
    <w:rsid w:val="00062272"/>
    <w:rsid w:val="0006235E"/>
    <w:rsid w:val="00062702"/>
    <w:rsid w:val="00063B77"/>
    <w:rsid w:val="000657C1"/>
    <w:rsid w:val="000661D9"/>
    <w:rsid w:val="00067911"/>
    <w:rsid w:val="00067C91"/>
    <w:rsid w:val="00070EA0"/>
    <w:rsid w:val="0007183A"/>
    <w:rsid w:val="0007212A"/>
    <w:rsid w:val="00072558"/>
    <w:rsid w:val="0007292A"/>
    <w:rsid w:val="00073EA9"/>
    <w:rsid w:val="0007514E"/>
    <w:rsid w:val="00075666"/>
    <w:rsid w:val="000757A0"/>
    <w:rsid w:val="00081ABA"/>
    <w:rsid w:val="000821FA"/>
    <w:rsid w:val="00082A4B"/>
    <w:rsid w:val="00082C90"/>
    <w:rsid w:val="000850C8"/>
    <w:rsid w:val="00085B3E"/>
    <w:rsid w:val="00086627"/>
    <w:rsid w:val="000869D8"/>
    <w:rsid w:val="00086A01"/>
    <w:rsid w:val="000902C7"/>
    <w:rsid w:val="00091A67"/>
    <w:rsid w:val="00092D7E"/>
    <w:rsid w:val="00094919"/>
    <w:rsid w:val="000966F8"/>
    <w:rsid w:val="00097F38"/>
    <w:rsid w:val="000A00C2"/>
    <w:rsid w:val="000A3B3C"/>
    <w:rsid w:val="000A514A"/>
    <w:rsid w:val="000A58A5"/>
    <w:rsid w:val="000A5935"/>
    <w:rsid w:val="000B1513"/>
    <w:rsid w:val="000B2084"/>
    <w:rsid w:val="000B2BA8"/>
    <w:rsid w:val="000B3145"/>
    <w:rsid w:val="000B6293"/>
    <w:rsid w:val="000B7F63"/>
    <w:rsid w:val="000C04D5"/>
    <w:rsid w:val="000C0829"/>
    <w:rsid w:val="000C0E26"/>
    <w:rsid w:val="000C2916"/>
    <w:rsid w:val="000C2B97"/>
    <w:rsid w:val="000C3549"/>
    <w:rsid w:val="000C3CDB"/>
    <w:rsid w:val="000C4A2F"/>
    <w:rsid w:val="000D1B4A"/>
    <w:rsid w:val="000D653D"/>
    <w:rsid w:val="000D6EBF"/>
    <w:rsid w:val="000E0B1D"/>
    <w:rsid w:val="000E106B"/>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2989"/>
    <w:rsid w:val="00103E4D"/>
    <w:rsid w:val="00106DE8"/>
    <w:rsid w:val="00107345"/>
    <w:rsid w:val="00107644"/>
    <w:rsid w:val="00107F48"/>
    <w:rsid w:val="00110561"/>
    <w:rsid w:val="0011191B"/>
    <w:rsid w:val="0011331D"/>
    <w:rsid w:val="00114194"/>
    <w:rsid w:val="00116F6A"/>
    <w:rsid w:val="001178CA"/>
    <w:rsid w:val="001217A7"/>
    <w:rsid w:val="00124809"/>
    <w:rsid w:val="0012591F"/>
    <w:rsid w:val="001318E8"/>
    <w:rsid w:val="00133256"/>
    <w:rsid w:val="001333AA"/>
    <w:rsid w:val="001334B3"/>
    <w:rsid w:val="00136A24"/>
    <w:rsid w:val="00137304"/>
    <w:rsid w:val="001406A8"/>
    <w:rsid w:val="001407C1"/>
    <w:rsid w:val="00141AA2"/>
    <w:rsid w:val="00141E33"/>
    <w:rsid w:val="00141E46"/>
    <w:rsid w:val="001420BE"/>
    <w:rsid w:val="00144377"/>
    <w:rsid w:val="00144F85"/>
    <w:rsid w:val="00145700"/>
    <w:rsid w:val="00153401"/>
    <w:rsid w:val="001536A4"/>
    <w:rsid w:val="0015613E"/>
    <w:rsid w:val="00157742"/>
    <w:rsid w:val="00157818"/>
    <w:rsid w:val="0016151A"/>
    <w:rsid w:val="0016242F"/>
    <w:rsid w:val="00162B5F"/>
    <w:rsid w:val="00163694"/>
    <w:rsid w:val="00164E9E"/>
    <w:rsid w:val="00170174"/>
    <w:rsid w:val="0017079F"/>
    <w:rsid w:val="0017126A"/>
    <w:rsid w:val="00173DC7"/>
    <w:rsid w:val="00174428"/>
    <w:rsid w:val="00176AE3"/>
    <w:rsid w:val="00176D2C"/>
    <w:rsid w:val="00177A8A"/>
    <w:rsid w:val="00180FA4"/>
    <w:rsid w:val="00183CDD"/>
    <w:rsid w:val="00187CF8"/>
    <w:rsid w:val="00191955"/>
    <w:rsid w:val="00191C7A"/>
    <w:rsid w:val="00191D9F"/>
    <w:rsid w:val="0019374E"/>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387A"/>
    <w:rsid w:val="001B640E"/>
    <w:rsid w:val="001B77D1"/>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112A"/>
    <w:rsid w:val="001F3BFD"/>
    <w:rsid w:val="001F505E"/>
    <w:rsid w:val="001F51BE"/>
    <w:rsid w:val="001F6122"/>
    <w:rsid w:val="0020004D"/>
    <w:rsid w:val="00200813"/>
    <w:rsid w:val="00201C55"/>
    <w:rsid w:val="00201CDC"/>
    <w:rsid w:val="00203B25"/>
    <w:rsid w:val="002042F9"/>
    <w:rsid w:val="00204E04"/>
    <w:rsid w:val="00204E3F"/>
    <w:rsid w:val="00204EB8"/>
    <w:rsid w:val="002078C0"/>
    <w:rsid w:val="00207D0D"/>
    <w:rsid w:val="00210573"/>
    <w:rsid w:val="002105A3"/>
    <w:rsid w:val="002127A7"/>
    <w:rsid w:val="00212A53"/>
    <w:rsid w:val="00212BAE"/>
    <w:rsid w:val="00214A1C"/>
    <w:rsid w:val="002217A5"/>
    <w:rsid w:val="00221B68"/>
    <w:rsid w:val="00222054"/>
    <w:rsid w:val="00223389"/>
    <w:rsid w:val="00224BBA"/>
    <w:rsid w:val="00225E19"/>
    <w:rsid w:val="00230539"/>
    <w:rsid w:val="00231143"/>
    <w:rsid w:val="0023141B"/>
    <w:rsid w:val="00236E42"/>
    <w:rsid w:val="00242094"/>
    <w:rsid w:val="00243584"/>
    <w:rsid w:val="0024396C"/>
    <w:rsid w:val="0024488C"/>
    <w:rsid w:val="002454E4"/>
    <w:rsid w:val="00245E6E"/>
    <w:rsid w:val="002461B2"/>
    <w:rsid w:val="00247248"/>
    <w:rsid w:val="0024763B"/>
    <w:rsid w:val="002513AF"/>
    <w:rsid w:val="002536EE"/>
    <w:rsid w:val="00253A1A"/>
    <w:rsid w:val="00253A44"/>
    <w:rsid w:val="002544AA"/>
    <w:rsid w:val="00254F0E"/>
    <w:rsid w:val="00256A45"/>
    <w:rsid w:val="00256F49"/>
    <w:rsid w:val="002603CB"/>
    <w:rsid w:val="00261095"/>
    <w:rsid w:val="00261E94"/>
    <w:rsid w:val="00262000"/>
    <w:rsid w:val="002621FD"/>
    <w:rsid w:val="00263352"/>
    <w:rsid w:val="0026519A"/>
    <w:rsid w:val="00266A43"/>
    <w:rsid w:val="0026758B"/>
    <w:rsid w:val="00267655"/>
    <w:rsid w:val="002705C7"/>
    <w:rsid w:val="00271858"/>
    <w:rsid w:val="002720F3"/>
    <w:rsid w:val="00272267"/>
    <w:rsid w:val="00272FC8"/>
    <w:rsid w:val="00274913"/>
    <w:rsid w:val="0027536B"/>
    <w:rsid w:val="00276883"/>
    <w:rsid w:val="00277910"/>
    <w:rsid w:val="00281A31"/>
    <w:rsid w:val="00282E2B"/>
    <w:rsid w:val="00282E95"/>
    <w:rsid w:val="002831AA"/>
    <w:rsid w:val="0028353B"/>
    <w:rsid w:val="00283C4D"/>
    <w:rsid w:val="00285C51"/>
    <w:rsid w:val="00285FE2"/>
    <w:rsid w:val="00286D88"/>
    <w:rsid w:val="00287651"/>
    <w:rsid w:val="00291241"/>
    <w:rsid w:val="00291A7C"/>
    <w:rsid w:val="002A0DE6"/>
    <w:rsid w:val="002A24FA"/>
    <w:rsid w:val="002A328C"/>
    <w:rsid w:val="002A4955"/>
    <w:rsid w:val="002A61D5"/>
    <w:rsid w:val="002A704E"/>
    <w:rsid w:val="002A7878"/>
    <w:rsid w:val="002B1949"/>
    <w:rsid w:val="002B20F1"/>
    <w:rsid w:val="002B28E0"/>
    <w:rsid w:val="002B3DB2"/>
    <w:rsid w:val="002B5135"/>
    <w:rsid w:val="002B5646"/>
    <w:rsid w:val="002B7D4D"/>
    <w:rsid w:val="002C1589"/>
    <w:rsid w:val="002C27F5"/>
    <w:rsid w:val="002C3A79"/>
    <w:rsid w:val="002C4C90"/>
    <w:rsid w:val="002C51F4"/>
    <w:rsid w:val="002C7BB3"/>
    <w:rsid w:val="002D0EA2"/>
    <w:rsid w:val="002D1A6E"/>
    <w:rsid w:val="002D23C7"/>
    <w:rsid w:val="002D52B8"/>
    <w:rsid w:val="002D5A4D"/>
    <w:rsid w:val="002D5C5F"/>
    <w:rsid w:val="002E0113"/>
    <w:rsid w:val="002E023D"/>
    <w:rsid w:val="002E0A02"/>
    <w:rsid w:val="002E0E19"/>
    <w:rsid w:val="002E1134"/>
    <w:rsid w:val="002E1D87"/>
    <w:rsid w:val="002E324F"/>
    <w:rsid w:val="002E36E6"/>
    <w:rsid w:val="002E4D35"/>
    <w:rsid w:val="002E59B7"/>
    <w:rsid w:val="002F2399"/>
    <w:rsid w:val="002F31A8"/>
    <w:rsid w:val="002F3470"/>
    <w:rsid w:val="002F3D28"/>
    <w:rsid w:val="002F4727"/>
    <w:rsid w:val="002F57E7"/>
    <w:rsid w:val="002F5D9C"/>
    <w:rsid w:val="00301231"/>
    <w:rsid w:val="0030306B"/>
    <w:rsid w:val="0030344D"/>
    <w:rsid w:val="00306A91"/>
    <w:rsid w:val="003108FC"/>
    <w:rsid w:val="0031277A"/>
    <w:rsid w:val="00314EA3"/>
    <w:rsid w:val="00314FE0"/>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30CF9"/>
    <w:rsid w:val="0033143A"/>
    <w:rsid w:val="0033336C"/>
    <w:rsid w:val="00334629"/>
    <w:rsid w:val="003370C7"/>
    <w:rsid w:val="00337DAC"/>
    <w:rsid w:val="00340A2B"/>
    <w:rsid w:val="00345ED9"/>
    <w:rsid w:val="00347533"/>
    <w:rsid w:val="00347F90"/>
    <w:rsid w:val="003525A6"/>
    <w:rsid w:val="00352A82"/>
    <w:rsid w:val="00352A8E"/>
    <w:rsid w:val="00354EB2"/>
    <w:rsid w:val="00355939"/>
    <w:rsid w:val="00356C65"/>
    <w:rsid w:val="0036433B"/>
    <w:rsid w:val="00364B78"/>
    <w:rsid w:val="003657D6"/>
    <w:rsid w:val="00366FDC"/>
    <w:rsid w:val="00370670"/>
    <w:rsid w:val="00370A1F"/>
    <w:rsid w:val="00370E5E"/>
    <w:rsid w:val="00372B82"/>
    <w:rsid w:val="00373EC5"/>
    <w:rsid w:val="0037478B"/>
    <w:rsid w:val="00376221"/>
    <w:rsid w:val="003777FB"/>
    <w:rsid w:val="003811A2"/>
    <w:rsid w:val="00382BC8"/>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18"/>
    <w:rsid w:val="003A5057"/>
    <w:rsid w:val="003A6A50"/>
    <w:rsid w:val="003A6CBD"/>
    <w:rsid w:val="003A6DE6"/>
    <w:rsid w:val="003B191F"/>
    <w:rsid w:val="003B1A15"/>
    <w:rsid w:val="003B2BF5"/>
    <w:rsid w:val="003B4026"/>
    <w:rsid w:val="003B45DF"/>
    <w:rsid w:val="003B6361"/>
    <w:rsid w:val="003B7BF8"/>
    <w:rsid w:val="003C02D4"/>
    <w:rsid w:val="003C0BC2"/>
    <w:rsid w:val="003C19C8"/>
    <w:rsid w:val="003C2199"/>
    <w:rsid w:val="003C3455"/>
    <w:rsid w:val="003C408A"/>
    <w:rsid w:val="003C45B7"/>
    <w:rsid w:val="003C6BA5"/>
    <w:rsid w:val="003C7996"/>
    <w:rsid w:val="003D1CA2"/>
    <w:rsid w:val="003D33F2"/>
    <w:rsid w:val="003D4281"/>
    <w:rsid w:val="003D4AB0"/>
    <w:rsid w:val="003D739B"/>
    <w:rsid w:val="003D7474"/>
    <w:rsid w:val="003D7955"/>
    <w:rsid w:val="003D7C28"/>
    <w:rsid w:val="003D7EA5"/>
    <w:rsid w:val="003E106A"/>
    <w:rsid w:val="003E10BA"/>
    <w:rsid w:val="003E15CB"/>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5687"/>
    <w:rsid w:val="003F56E3"/>
    <w:rsid w:val="003F7052"/>
    <w:rsid w:val="003F7D8F"/>
    <w:rsid w:val="004029AA"/>
    <w:rsid w:val="004050BA"/>
    <w:rsid w:val="004059FD"/>
    <w:rsid w:val="00405C03"/>
    <w:rsid w:val="004101F0"/>
    <w:rsid w:val="00411035"/>
    <w:rsid w:val="004119FA"/>
    <w:rsid w:val="00415117"/>
    <w:rsid w:val="004153CD"/>
    <w:rsid w:val="004168AA"/>
    <w:rsid w:val="00417060"/>
    <w:rsid w:val="00417D3D"/>
    <w:rsid w:val="0042154C"/>
    <w:rsid w:val="004221C2"/>
    <w:rsid w:val="004247FE"/>
    <w:rsid w:val="00430739"/>
    <w:rsid w:val="00434C96"/>
    <w:rsid w:val="00434E63"/>
    <w:rsid w:val="00435605"/>
    <w:rsid w:val="00437BCE"/>
    <w:rsid w:val="00443583"/>
    <w:rsid w:val="00446D63"/>
    <w:rsid w:val="004474A0"/>
    <w:rsid w:val="00447BBC"/>
    <w:rsid w:val="0045015E"/>
    <w:rsid w:val="00450931"/>
    <w:rsid w:val="00450C65"/>
    <w:rsid w:val="00451E91"/>
    <w:rsid w:val="00451EBA"/>
    <w:rsid w:val="00455240"/>
    <w:rsid w:val="004564E1"/>
    <w:rsid w:val="00457345"/>
    <w:rsid w:val="004576BE"/>
    <w:rsid w:val="00460511"/>
    <w:rsid w:val="00462D80"/>
    <w:rsid w:val="00465678"/>
    <w:rsid w:val="00467AB5"/>
    <w:rsid w:val="00471459"/>
    <w:rsid w:val="004715F3"/>
    <w:rsid w:val="00471E10"/>
    <w:rsid w:val="004727D8"/>
    <w:rsid w:val="00476DD6"/>
    <w:rsid w:val="00482CB7"/>
    <w:rsid w:val="00487A35"/>
    <w:rsid w:val="00492807"/>
    <w:rsid w:val="00493C9B"/>
    <w:rsid w:val="004940C0"/>
    <w:rsid w:val="0049449B"/>
    <w:rsid w:val="00494726"/>
    <w:rsid w:val="00496A6D"/>
    <w:rsid w:val="00497CAE"/>
    <w:rsid w:val="004A3921"/>
    <w:rsid w:val="004A490E"/>
    <w:rsid w:val="004A4CE9"/>
    <w:rsid w:val="004B24A4"/>
    <w:rsid w:val="004B2571"/>
    <w:rsid w:val="004B2EE1"/>
    <w:rsid w:val="004B2FA5"/>
    <w:rsid w:val="004B57D2"/>
    <w:rsid w:val="004B6E67"/>
    <w:rsid w:val="004C07EB"/>
    <w:rsid w:val="004C0DEF"/>
    <w:rsid w:val="004C2784"/>
    <w:rsid w:val="004C28AB"/>
    <w:rsid w:val="004C3223"/>
    <w:rsid w:val="004C622E"/>
    <w:rsid w:val="004C6C18"/>
    <w:rsid w:val="004D0C3B"/>
    <w:rsid w:val="004D1251"/>
    <w:rsid w:val="004D1A5B"/>
    <w:rsid w:val="004D66B7"/>
    <w:rsid w:val="004D7395"/>
    <w:rsid w:val="004D7CC5"/>
    <w:rsid w:val="004E02D2"/>
    <w:rsid w:val="004E1D8B"/>
    <w:rsid w:val="004E22DD"/>
    <w:rsid w:val="004E282D"/>
    <w:rsid w:val="004E35B1"/>
    <w:rsid w:val="004E36BD"/>
    <w:rsid w:val="004E43A0"/>
    <w:rsid w:val="004E568D"/>
    <w:rsid w:val="004E67CE"/>
    <w:rsid w:val="004F00AC"/>
    <w:rsid w:val="004F099C"/>
    <w:rsid w:val="004F0E53"/>
    <w:rsid w:val="004F300C"/>
    <w:rsid w:val="004F517E"/>
    <w:rsid w:val="004F64B1"/>
    <w:rsid w:val="004F6704"/>
    <w:rsid w:val="004F7986"/>
    <w:rsid w:val="00500C79"/>
    <w:rsid w:val="00503731"/>
    <w:rsid w:val="005046FE"/>
    <w:rsid w:val="005068CD"/>
    <w:rsid w:val="0050695F"/>
    <w:rsid w:val="00506B61"/>
    <w:rsid w:val="005074E0"/>
    <w:rsid w:val="0050777D"/>
    <w:rsid w:val="00510D04"/>
    <w:rsid w:val="00515BD8"/>
    <w:rsid w:val="00515E68"/>
    <w:rsid w:val="005216EF"/>
    <w:rsid w:val="005225B4"/>
    <w:rsid w:val="00522770"/>
    <w:rsid w:val="005229CE"/>
    <w:rsid w:val="00523C48"/>
    <w:rsid w:val="00524987"/>
    <w:rsid w:val="00525501"/>
    <w:rsid w:val="005267E6"/>
    <w:rsid w:val="00526D17"/>
    <w:rsid w:val="00530174"/>
    <w:rsid w:val="0053044B"/>
    <w:rsid w:val="00531071"/>
    <w:rsid w:val="0053194A"/>
    <w:rsid w:val="00534029"/>
    <w:rsid w:val="00534595"/>
    <w:rsid w:val="00534933"/>
    <w:rsid w:val="00534C23"/>
    <w:rsid w:val="00534F52"/>
    <w:rsid w:val="005363E0"/>
    <w:rsid w:val="0053792C"/>
    <w:rsid w:val="005401F0"/>
    <w:rsid w:val="00540FDB"/>
    <w:rsid w:val="00541AC0"/>
    <w:rsid w:val="005422A1"/>
    <w:rsid w:val="005464D4"/>
    <w:rsid w:val="00550B2A"/>
    <w:rsid w:val="00550BD1"/>
    <w:rsid w:val="00553923"/>
    <w:rsid w:val="00562ADD"/>
    <w:rsid w:val="00562BD4"/>
    <w:rsid w:val="00563C44"/>
    <w:rsid w:val="005647A9"/>
    <w:rsid w:val="0056742D"/>
    <w:rsid w:val="00567CC1"/>
    <w:rsid w:val="00567CC8"/>
    <w:rsid w:val="00570619"/>
    <w:rsid w:val="00571F8E"/>
    <w:rsid w:val="0057381A"/>
    <w:rsid w:val="00573DFC"/>
    <w:rsid w:val="00575741"/>
    <w:rsid w:val="00575C10"/>
    <w:rsid w:val="0057655B"/>
    <w:rsid w:val="0058133C"/>
    <w:rsid w:val="00584EFF"/>
    <w:rsid w:val="005855DC"/>
    <w:rsid w:val="0058592F"/>
    <w:rsid w:val="005865AD"/>
    <w:rsid w:val="00586871"/>
    <w:rsid w:val="00590D2C"/>
    <w:rsid w:val="00591381"/>
    <w:rsid w:val="00591BAF"/>
    <w:rsid w:val="00593240"/>
    <w:rsid w:val="00593F17"/>
    <w:rsid w:val="00594A85"/>
    <w:rsid w:val="005956E9"/>
    <w:rsid w:val="00595761"/>
    <w:rsid w:val="00596AB5"/>
    <w:rsid w:val="005972B7"/>
    <w:rsid w:val="00597617"/>
    <w:rsid w:val="005A03DB"/>
    <w:rsid w:val="005A2ABD"/>
    <w:rsid w:val="005A2FCC"/>
    <w:rsid w:val="005A47D2"/>
    <w:rsid w:val="005A741E"/>
    <w:rsid w:val="005A7830"/>
    <w:rsid w:val="005B132B"/>
    <w:rsid w:val="005B19BA"/>
    <w:rsid w:val="005B2097"/>
    <w:rsid w:val="005B30B9"/>
    <w:rsid w:val="005B31B7"/>
    <w:rsid w:val="005B4887"/>
    <w:rsid w:val="005B5364"/>
    <w:rsid w:val="005B79B1"/>
    <w:rsid w:val="005C534F"/>
    <w:rsid w:val="005C6BC8"/>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F1D6E"/>
    <w:rsid w:val="005F1DB5"/>
    <w:rsid w:val="005F2D77"/>
    <w:rsid w:val="005F32C7"/>
    <w:rsid w:val="005F36A2"/>
    <w:rsid w:val="005F39A9"/>
    <w:rsid w:val="005F5EAD"/>
    <w:rsid w:val="005F71F9"/>
    <w:rsid w:val="005F78BF"/>
    <w:rsid w:val="00600646"/>
    <w:rsid w:val="00603296"/>
    <w:rsid w:val="006038F2"/>
    <w:rsid w:val="00603D50"/>
    <w:rsid w:val="00606036"/>
    <w:rsid w:val="00606F7E"/>
    <w:rsid w:val="0060769C"/>
    <w:rsid w:val="00607885"/>
    <w:rsid w:val="00610233"/>
    <w:rsid w:val="006108ED"/>
    <w:rsid w:val="00610FC1"/>
    <w:rsid w:val="006114A6"/>
    <w:rsid w:val="0061225A"/>
    <w:rsid w:val="00612345"/>
    <w:rsid w:val="0061302E"/>
    <w:rsid w:val="0061382C"/>
    <w:rsid w:val="0061456E"/>
    <w:rsid w:val="00614A9A"/>
    <w:rsid w:val="00614FD3"/>
    <w:rsid w:val="00615AEF"/>
    <w:rsid w:val="00615CA2"/>
    <w:rsid w:val="00616F85"/>
    <w:rsid w:val="006200E6"/>
    <w:rsid w:val="006232B2"/>
    <w:rsid w:val="00624F89"/>
    <w:rsid w:val="00626F82"/>
    <w:rsid w:val="00630A43"/>
    <w:rsid w:val="006310D7"/>
    <w:rsid w:val="00634457"/>
    <w:rsid w:val="006403D1"/>
    <w:rsid w:val="00641C04"/>
    <w:rsid w:val="00642218"/>
    <w:rsid w:val="006439C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422E"/>
    <w:rsid w:val="00675267"/>
    <w:rsid w:val="0067609D"/>
    <w:rsid w:val="00680FD5"/>
    <w:rsid w:val="0068178B"/>
    <w:rsid w:val="00681AB9"/>
    <w:rsid w:val="0068277E"/>
    <w:rsid w:val="00687339"/>
    <w:rsid w:val="00687971"/>
    <w:rsid w:val="00691047"/>
    <w:rsid w:val="00691566"/>
    <w:rsid w:val="00691E45"/>
    <w:rsid w:val="00691EE7"/>
    <w:rsid w:val="00693806"/>
    <w:rsid w:val="0069528D"/>
    <w:rsid w:val="00695F14"/>
    <w:rsid w:val="0069635D"/>
    <w:rsid w:val="006964A5"/>
    <w:rsid w:val="006A0227"/>
    <w:rsid w:val="006A1E48"/>
    <w:rsid w:val="006A2D1D"/>
    <w:rsid w:val="006A53FA"/>
    <w:rsid w:val="006A6380"/>
    <w:rsid w:val="006A71B7"/>
    <w:rsid w:val="006B122C"/>
    <w:rsid w:val="006B3E41"/>
    <w:rsid w:val="006B63CB"/>
    <w:rsid w:val="006B77C7"/>
    <w:rsid w:val="006C1ADE"/>
    <w:rsid w:val="006C2417"/>
    <w:rsid w:val="006C496F"/>
    <w:rsid w:val="006C5061"/>
    <w:rsid w:val="006C60C3"/>
    <w:rsid w:val="006D2305"/>
    <w:rsid w:val="006D5042"/>
    <w:rsid w:val="006D5ACD"/>
    <w:rsid w:val="006E02A8"/>
    <w:rsid w:val="006E0EFC"/>
    <w:rsid w:val="006E1950"/>
    <w:rsid w:val="006E32B3"/>
    <w:rsid w:val="006E4A9A"/>
    <w:rsid w:val="006E67F0"/>
    <w:rsid w:val="006F0082"/>
    <w:rsid w:val="006F04DD"/>
    <w:rsid w:val="006F0C0E"/>
    <w:rsid w:val="006F1245"/>
    <w:rsid w:val="006F1254"/>
    <w:rsid w:val="006F2506"/>
    <w:rsid w:val="006F3C83"/>
    <w:rsid w:val="006F6DFE"/>
    <w:rsid w:val="0070094A"/>
    <w:rsid w:val="00700ACE"/>
    <w:rsid w:val="00701335"/>
    <w:rsid w:val="00701491"/>
    <w:rsid w:val="0070165C"/>
    <w:rsid w:val="00701E1C"/>
    <w:rsid w:val="00703486"/>
    <w:rsid w:val="00703922"/>
    <w:rsid w:val="00703F14"/>
    <w:rsid w:val="00706590"/>
    <w:rsid w:val="00707370"/>
    <w:rsid w:val="0070770C"/>
    <w:rsid w:val="00710C8E"/>
    <w:rsid w:val="00711F92"/>
    <w:rsid w:val="007143B2"/>
    <w:rsid w:val="00714567"/>
    <w:rsid w:val="0071557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BBC"/>
    <w:rsid w:val="007375A5"/>
    <w:rsid w:val="00741522"/>
    <w:rsid w:val="00741EFF"/>
    <w:rsid w:val="007424B4"/>
    <w:rsid w:val="0074255A"/>
    <w:rsid w:val="00743900"/>
    <w:rsid w:val="0074452D"/>
    <w:rsid w:val="00744DD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565A6"/>
    <w:rsid w:val="00763174"/>
    <w:rsid w:val="00763C45"/>
    <w:rsid w:val="0076573A"/>
    <w:rsid w:val="0076624F"/>
    <w:rsid w:val="00766E03"/>
    <w:rsid w:val="00771E25"/>
    <w:rsid w:val="007727DF"/>
    <w:rsid w:val="0077611A"/>
    <w:rsid w:val="007778E8"/>
    <w:rsid w:val="00777925"/>
    <w:rsid w:val="0078055F"/>
    <w:rsid w:val="007831E5"/>
    <w:rsid w:val="0078371C"/>
    <w:rsid w:val="00784523"/>
    <w:rsid w:val="00790052"/>
    <w:rsid w:val="00791F30"/>
    <w:rsid w:val="00793E28"/>
    <w:rsid w:val="00795F14"/>
    <w:rsid w:val="0079781E"/>
    <w:rsid w:val="00797ABE"/>
    <w:rsid w:val="007A1BFB"/>
    <w:rsid w:val="007A3EBB"/>
    <w:rsid w:val="007A4D39"/>
    <w:rsid w:val="007A6AAD"/>
    <w:rsid w:val="007B1A04"/>
    <w:rsid w:val="007B241A"/>
    <w:rsid w:val="007B3BCB"/>
    <w:rsid w:val="007B4933"/>
    <w:rsid w:val="007B6390"/>
    <w:rsid w:val="007C2415"/>
    <w:rsid w:val="007C2688"/>
    <w:rsid w:val="007C3F0F"/>
    <w:rsid w:val="007C41A6"/>
    <w:rsid w:val="007C51AA"/>
    <w:rsid w:val="007C58BE"/>
    <w:rsid w:val="007C6C3F"/>
    <w:rsid w:val="007D0938"/>
    <w:rsid w:val="007D0AAC"/>
    <w:rsid w:val="007D1397"/>
    <w:rsid w:val="007D36BE"/>
    <w:rsid w:val="007D48CF"/>
    <w:rsid w:val="007D654A"/>
    <w:rsid w:val="007D7E64"/>
    <w:rsid w:val="007E3426"/>
    <w:rsid w:val="007E3BA5"/>
    <w:rsid w:val="007E4545"/>
    <w:rsid w:val="007E47DD"/>
    <w:rsid w:val="007E777A"/>
    <w:rsid w:val="007F1048"/>
    <w:rsid w:val="007F24B7"/>
    <w:rsid w:val="007F3072"/>
    <w:rsid w:val="007F3BA6"/>
    <w:rsid w:val="007F3C2E"/>
    <w:rsid w:val="007F4177"/>
    <w:rsid w:val="007F4219"/>
    <w:rsid w:val="007F4AE6"/>
    <w:rsid w:val="007F5E64"/>
    <w:rsid w:val="007F67BC"/>
    <w:rsid w:val="008016B3"/>
    <w:rsid w:val="0080378D"/>
    <w:rsid w:val="008050B9"/>
    <w:rsid w:val="0080538A"/>
    <w:rsid w:val="00806DAF"/>
    <w:rsid w:val="0081136C"/>
    <w:rsid w:val="0081143D"/>
    <w:rsid w:val="00812682"/>
    <w:rsid w:val="00815199"/>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27BE"/>
    <w:rsid w:val="00833007"/>
    <w:rsid w:val="00833240"/>
    <w:rsid w:val="00835DB0"/>
    <w:rsid w:val="00836FE9"/>
    <w:rsid w:val="00841895"/>
    <w:rsid w:val="00842A8A"/>
    <w:rsid w:val="0084303B"/>
    <w:rsid w:val="008443AF"/>
    <w:rsid w:val="00844718"/>
    <w:rsid w:val="00847C9F"/>
    <w:rsid w:val="00850545"/>
    <w:rsid w:val="00852BF3"/>
    <w:rsid w:val="00852C9D"/>
    <w:rsid w:val="008562AC"/>
    <w:rsid w:val="0086169C"/>
    <w:rsid w:val="0086169E"/>
    <w:rsid w:val="008623EB"/>
    <w:rsid w:val="00863493"/>
    <w:rsid w:val="008638F3"/>
    <w:rsid w:val="00864CA3"/>
    <w:rsid w:val="00867E01"/>
    <w:rsid w:val="008704A3"/>
    <w:rsid w:val="00870ED2"/>
    <w:rsid w:val="008735CD"/>
    <w:rsid w:val="008770CC"/>
    <w:rsid w:val="008775F9"/>
    <w:rsid w:val="00882C3A"/>
    <w:rsid w:val="008832CF"/>
    <w:rsid w:val="00884687"/>
    <w:rsid w:val="008867B9"/>
    <w:rsid w:val="008871B9"/>
    <w:rsid w:val="00887929"/>
    <w:rsid w:val="0089245B"/>
    <w:rsid w:val="00893075"/>
    <w:rsid w:val="00894A4A"/>
    <w:rsid w:val="00897079"/>
    <w:rsid w:val="008A1DDF"/>
    <w:rsid w:val="008A2C3C"/>
    <w:rsid w:val="008A321C"/>
    <w:rsid w:val="008A3232"/>
    <w:rsid w:val="008A61F5"/>
    <w:rsid w:val="008B31E7"/>
    <w:rsid w:val="008B6867"/>
    <w:rsid w:val="008B6B8E"/>
    <w:rsid w:val="008C0DA9"/>
    <w:rsid w:val="008C2651"/>
    <w:rsid w:val="008C2E86"/>
    <w:rsid w:val="008C3FD4"/>
    <w:rsid w:val="008C4FA8"/>
    <w:rsid w:val="008C56F2"/>
    <w:rsid w:val="008C6C65"/>
    <w:rsid w:val="008D0A3C"/>
    <w:rsid w:val="008D23B2"/>
    <w:rsid w:val="008D5268"/>
    <w:rsid w:val="008D546F"/>
    <w:rsid w:val="008D6EE4"/>
    <w:rsid w:val="008D735B"/>
    <w:rsid w:val="008E15FF"/>
    <w:rsid w:val="008E174E"/>
    <w:rsid w:val="008E1842"/>
    <w:rsid w:val="008E36C2"/>
    <w:rsid w:val="008E4CE6"/>
    <w:rsid w:val="008E51CA"/>
    <w:rsid w:val="008E5434"/>
    <w:rsid w:val="008E5D73"/>
    <w:rsid w:val="008F15A9"/>
    <w:rsid w:val="008F26F6"/>
    <w:rsid w:val="008F3C74"/>
    <w:rsid w:val="008F43B1"/>
    <w:rsid w:val="008F5017"/>
    <w:rsid w:val="009001F9"/>
    <w:rsid w:val="00900A53"/>
    <w:rsid w:val="0090111A"/>
    <w:rsid w:val="009012DE"/>
    <w:rsid w:val="0090190C"/>
    <w:rsid w:val="00901CB6"/>
    <w:rsid w:val="00906E96"/>
    <w:rsid w:val="009101EE"/>
    <w:rsid w:val="00910B16"/>
    <w:rsid w:val="0091487E"/>
    <w:rsid w:val="00920754"/>
    <w:rsid w:val="00924053"/>
    <w:rsid w:val="0092554C"/>
    <w:rsid w:val="009259E9"/>
    <w:rsid w:val="00926CA1"/>
    <w:rsid w:val="00927044"/>
    <w:rsid w:val="00927FD3"/>
    <w:rsid w:val="00930288"/>
    <w:rsid w:val="00931257"/>
    <w:rsid w:val="009315EB"/>
    <w:rsid w:val="00931BA4"/>
    <w:rsid w:val="00931FCF"/>
    <w:rsid w:val="00932015"/>
    <w:rsid w:val="0093357C"/>
    <w:rsid w:val="00933CB5"/>
    <w:rsid w:val="00933FC4"/>
    <w:rsid w:val="009362A7"/>
    <w:rsid w:val="0093631C"/>
    <w:rsid w:val="00937D1D"/>
    <w:rsid w:val="009419F0"/>
    <w:rsid w:val="00943D6E"/>
    <w:rsid w:val="00943DFF"/>
    <w:rsid w:val="009442F4"/>
    <w:rsid w:val="009456A2"/>
    <w:rsid w:val="009515D3"/>
    <w:rsid w:val="0095176B"/>
    <w:rsid w:val="0095199B"/>
    <w:rsid w:val="00952245"/>
    <w:rsid w:val="0095381B"/>
    <w:rsid w:val="009538A3"/>
    <w:rsid w:val="00953B2E"/>
    <w:rsid w:val="00953F9E"/>
    <w:rsid w:val="009570D3"/>
    <w:rsid w:val="00961229"/>
    <w:rsid w:val="009626FE"/>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5F33"/>
    <w:rsid w:val="009877B5"/>
    <w:rsid w:val="009925C1"/>
    <w:rsid w:val="009927B8"/>
    <w:rsid w:val="00992FB6"/>
    <w:rsid w:val="00993EA7"/>
    <w:rsid w:val="0099549D"/>
    <w:rsid w:val="0099651A"/>
    <w:rsid w:val="009A0751"/>
    <w:rsid w:val="009A1FED"/>
    <w:rsid w:val="009A2CF2"/>
    <w:rsid w:val="009A37C4"/>
    <w:rsid w:val="009A41A8"/>
    <w:rsid w:val="009A60F6"/>
    <w:rsid w:val="009A6E34"/>
    <w:rsid w:val="009A734F"/>
    <w:rsid w:val="009B00E6"/>
    <w:rsid w:val="009B3CC5"/>
    <w:rsid w:val="009B66F0"/>
    <w:rsid w:val="009B6992"/>
    <w:rsid w:val="009B6FEE"/>
    <w:rsid w:val="009B7393"/>
    <w:rsid w:val="009C0B6B"/>
    <w:rsid w:val="009C2762"/>
    <w:rsid w:val="009C4344"/>
    <w:rsid w:val="009C6599"/>
    <w:rsid w:val="009C73B6"/>
    <w:rsid w:val="009D1ADC"/>
    <w:rsid w:val="009D48E4"/>
    <w:rsid w:val="009D4A9C"/>
    <w:rsid w:val="009D53B5"/>
    <w:rsid w:val="009D7132"/>
    <w:rsid w:val="009E0ECB"/>
    <w:rsid w:val="009E50A9"/>
    <w:rsid w:val="009F00FE"/>
    <w:rsid w:val="009F14D3"/>
    <w:rsid w:val="009F3233"/>
    <w:rsid w:val="009F6102"/>
    <w:rsid w:val="009F643F"/>
    <w:rsid w:val="009F6647"/>
    <w:rsid w:val="009F6DAD"/>
    <w:rsid w:val="009F7C58"/>
    <w:rsid w:val="00A00FC9"/>
    <w:rsid w:val="00A01269"/>
    <w:rsid w:val="00A01C2E"/>
    <w:rsid w:val="00A03B45"/>
    <w:rsid w:val="00A03D36"/>
    <w:rsid w:val="00A05CC6"/>
    <w:rsid w:val="00A071FF"/>
    <w:rsid w:val="00A10416"/>
    <w:rsid w:val="00A11E4D"/>
    <w:rsid w:val="00A132CE"/>
    <w:rsid w:val="00A1349B"/>
    <w:rsid w:val="00A140D4"/>
    <w:rsid w:val="00A145B4"/>
    <w:rsid w:val="00A15096"/>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3F1F"/>
    <w:rsid w:val="00A34CB3"/>
    <w:rsid w:val="00A35DFD"/>
    <w:rsid w:val="00A37749"/>
    <w:rsid w:val="00A37D12"/>
    <w:rsid w:val="00A37F2F"/>
    <w:rsid w:val="00A40F52"/>
    <w:rsid w:val="00A41766"/>
    <w:rsid w:val="00A43F62"/>
    <w:rsid w:val="00A47064"/>
    <w:rsid w:val="00A51FE9"/>
    <w:rsid w:val="00A53EC3"/>
    <w:rsid w:val="00A548B0"/>
    <w:rsid w:val="00A56EF2"/>
    <w:rsid w:val="00A6031C"/>
    <w:rsid w:val="00A6072C"/>
    <w:rsid w:val="00A620AD"/>
    <w:rsid w:val="00A628E3"/>
    <w:rsid w:val="00A62B2C"/>
    <w:rsid w:val="00A63AFB"/>
    <w:rsid w:val="00A64F0C"/>
    <w:rsid w:val="00A64F97"/>
    <w:rsid w:val="00A66073"/>
    <w:rsid w:val="00A673F5"/>
    <w:rsid w:val="00A6740F"/>
    <w:rsid w:val="00A72FC0"/>
    <w:rsid w:val="00A7324E"/>
    <w:rsid w:val="00A7330E"/>
    <w:rsid w:val="00A736CF"/>
    <w:rsid w:val="00A73B0D"/>
    <w:rsid w:val="00A74BD0"/>
    <w:rsid w:val="00A74BEB"/>
    <w:rsid w:val="00A758A1"/>
    <w:rsid w:val="00A758B7"/>
    <w:rsid w:val="00A76EE3"/>
    <w:rsid w:val="00A7702B"/>
    <w:rsid w:val="00A776E9"/>
    <w:rsid w:val="00A814D1"/>
    <w:rsid w:val="00A82C04"/>
    <w:rsid w:val="00A832BD"/>
    <w:rsid w:val="00A8708E"/>
    <w:rsid w:val="00A87C83"/>
    <w:rsid w:val="00A906B4"/>
    <w:rsid w:val="00A91109"/>
    <w:rsid w:val="00A911D5"/>
    <w:rsid w:val="00A928BA"/>
    <w:rsid w:val="00A94082"/>
    <w:rsid w:val="00A94729"/>
    <w:rsid w:val="00A976AB"/>
    <w:rsid w:val="00AA1AB0"/>
    <w:rsid w:val="00AA2523"/>
    <w:rsid w:val="00AA2A55"/>
    <w:rsid w:val="00AA2F3C"/>
    <w:rsid w:val="00AA4451"/>
    <w:rsid w:val="00AA5450"/>
    <w:rsid w:val="00AA5C5D"/>
    <w:rsid w:val="00AB39A3"/>
    <w:rsid w:val="00AB400A"/>
    <w:rsid w:val="00AB60D6"/>
    <w:rsid w:val="00AB7F98"/>
    <w:rsid w:val="00AC05AE"/>
    <w:rsid w:val="00AC0DAB"/>
    <w:rsid w:val="00AC130B"/>
    <w:rsid w:val="00AC13EA"/>
    <w:rsid w:val="00AC2AB4"/>
    <w:rsid w:val="00AC356B"/>
    <w:rsid w:val="00AC4283"/>
    <w:rsid w:val="00AC497E"/>
    <w:rsid w:val="00AC4D0C"/>
    <w:rsid w:val="00AC6D1F"/>
    <w:rsid w:val="00AC72D4"/>
    <w:rsid w:val="00AC7ABE"/>
    <w:rsid w:val="00AD3D1D"/>
    <w:rsid w:val="00AD5546"/>
    <w:rsid w:val="00AD5D2E"/>
    <w:rsid w:val="00AE2BE8"/>
    <w:rsid w:val="00AE38FE"/>
    <w:rsid w:val="00AE42D8"/>
    <w:rsid w:val="00AE4914"/>
    <w:rsid w:val="00AE4E6F"/>
    <w:rsid w:val="00AE7BF2"/>
    <w:rsid w:val="00AE7C7E"/>
    <w:rsid w:val="00AF0D63"/>
    <w:rsid w:val="00AF20BA"/>
    <w:rsid w:val="00AF28B6"/>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2DA1"/>
    <w:rsid w:val="00B14634"/>
    <w:rsid w:val="00B15A64"/>
    <w:rsid w:val="00B17415"/>
    <w:rsid w:val="00B17A79"/>
    <w:rsid w:val="00B17E72"/>
    <w:rsid w:val="00B20060"/>
    <w:rsid w:val="00B2199A"/>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3A96"/>
    <w:rsid w:val="00B55154"/>
    <w:rsid w:val="00B55692"/>
    <w:rsid w:val="00B55958"/>
    <w:rsid w:val="00B57E4A"/>
    <w:rsid w:val="00B629BB"/>
    <w:rsid w:val="00B62DF8"/>
    <w:rsid w:val="00B67A16"/>
    <w:rsid w:val="00B70CFB"/>
    <w:rsid w:val="00B7269B"/>
    <w:rsid w:val="00B72DD2"/>
    <w:rsid w:val="00B73881"/>
    <w:rsid w:val="00B7421F"/>
    <w:rsid w:val="00B7602E"/>
    <w:rsid w:val="00B80743"/>
    <w:rsid w:val="00B8090F"/>
    <w:rsid w:val="00B80C6C"/>
    <w:rsid w:val="00B80D88"/>
    <w:rsid w:val="00B82761"/>
    <w:rsid w:val="00B82B01"/>
    <w:rsid w:val="00B84183"/>
    <w:rsid w:val="00B8463F"/>
    <w:rsid w:val="00B856F2"/>
    <w:rsid w:val="00B8598D"/>
    <w:rsid w:val="00B86ABF"/>
    <w:rsid w:val="00B86F24"/>
    <w:rsid w:val="00B9223E"/>
    <w:rsid w:val="00B94268"/>
    <w:rsid w:val="00BA0508"/>
    <w:rsid w:val="00BA1FBC"/>
    <w:rsid w:val="00BA213A"/>
    <w:rsid w:val="00BA5D8A"/>
    <w:rsid w:val="00BA5F8E"/>
    <w:rsid w:val="00BA65C8"/>
    <w:rsid w:val="00BB0F95"/>
    <w:rsid w:val="00BB2048"/>
    <w:rsid w:val="00BB5BE0"/>
    <w:rsid w:val="00BB697D"/>
    <w:rsid w:val="00BC24E1"/>
    <w:rsid w:val="00BC28EE"/>
    <w:rsid w:val="00BC5CAC"/>
    <w:rsid w:val="00BC75A2"/>
    <w:rsid w:val="00BD2100"/>
    <w:rsid w:val="00BD2388"/>
    <w:rsid w:val="00BD3623"/>
    <w:rsid w:val="00BD4C1A"/>
    <w:rsid w:val="00BD6CB9"/>
    <w:rsid w:val="00BD7C5A"/>
    <w:rsid w:val="00BE1781"/>
    <w:rsid w:val="00BE2C54"/>
    <w:rsid w:val="00BE3B61"/>
    <w:rsid w:val="00BE4081"/>
    <w:rsid w:val="00BE4393"/>
    <w:rsid w:val="00BF5543"/>
    <w:rsid w:val="00BF5593"/>
    <w:rsid w:val="00BF6A50"/>
    <w:rsid w:val="00BF7B9B"/>
    <w:rsid w:val="00C01C4E"/>
    <w:rsid w:val="00C05A59"/>
    <w:rsid w:val="00C078F4"/>
    <w:rsid w:val="00C10EA6"/>
    <w:rsid w:val="00C13072"/>
    <w:rsid w:val="00C149CA"/>
    <w:rsid w:val="00C14DD1"/>
    <w:rsid w:val="00C1675B"/>
    <w:rsid w:val="00C20C52"/>
    <w:rsid w:val="00C21216"/>
    <w:rsid w:val="00C21CDF"/>
    <w:rsid w:val="00C23288"/>
    <w:rsid w:val="00C23647"/>
    <w:rsid w:val="00C23F93"/>
    <w:rsid w:val="00C24EAB"/>
    <w:rsid w:val="00C267AF"/>
    <w:rsid w:val="00C26FC7"/>
    <w:rsid w:val="00C31FD8"/>
    <w:rsid w:val="00C327EB"/>
    <w:rsid w:val="00C32E65"/>
    <w:rsid w:val="00C34D85"/>
    <w:rsid w:val="00C36099"/>
    <w:rsid w:val="00C37BB2"/>
    <w:rsid w:val="00C40E33"/>
    <w:rsid w:val="00C46A13"/>
    <w:rsid w:val="00C46C10"/>
    <w:rsid w:val="00C50132"/>
    <w:rsid w:val="00C51070"/>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61E6"/>
    <w:rsid w:val="00C76299"/>
    <w:rsid w:val="00C76C59"/>
    <w:rsid w:val="00C76EE8"/>
    <w:rsid w:val="00C80799"/>
    <w:rsid w:val="00C8092C"/>
    <w:rsid w:val="00C816F0"/>
    <w:rsid w:val="00C82EDD"/>
    <w:rsid w:val="00C82FA8"/>
    <w:rsid w:val="00C843B5"/>
    <w:rsid w:val="00C8645E"/>
    <w:rsid w:val="00C91C19"/>
    <w:rsid w:val="00C93A6E"/>
    <w:rsid w:val="00C9606A"/>
    <w:rsid w:val="00CA276B"/>
    <w:rsid w:val="00CA2E88"/>
    <w:rsid w:val="00CA4B23"/>
    <w:rsid w:val="00CA5357"/>
    <w:rsid w:val="00CA58A7"/>
    <w:rsid w:val="00CA6521"/>
    <w:rsid w:val="00CA653F"/>
    <w:rsid w:val="00CB2DFA"/>
    <w:rsid w:val="00CB4182"/>
    <w:rsid w:val="00CB4E2F"/>
    <w:rsid w:val="00CB5B38"/>
    <w:rsid w:val="00CB60F9"/>
    <w:rsid w:val="00CB75BA"/>
    <w:rsid w:val="00CC0EED"/>
    <w:rsid w:val="00CC12F5"/>
    <w:rsid w:val="00CC36CA"/>
    <w:rsid w:val="00CC4D63"/>
    <w:rsid w:val="00CC7DDC"/>
    <w:rsid w:val="00CD0455"/>
    <w:rsid w:val="00CD0BA6"/>
    <w:rsid w:val="00CD1FED"/>
    <w:rsid w:val="00CD265A"/>
    <w:rsid w:val="00CD3C84"/>
    <w:rsid w:val="00CD58AF"/>
    <w:rsid w:val="00CD70A6"/>
    <w:rsid w:val="00CE07DC"/>
    <w:rsid w:val="00CE6D45"/>
    <w:rsid w:val="00CE795C"/>
    <w:rsid w:val="00CF1E32"/>
    <w:rsid w:val="00CF406C"/>
    <w:rsid w:val="00CF447D"/>
    <w:rsid w:val="00CF47EB"/>
    <w:rsid w:val="00CF5287"/>
    <w:rsid w:val="00CF5C80"/>
    <w:rsid w:val="00D005D8"/>
    <w:rsid w:val="00D00C95"/>
    <w:rsid w:val="00D022B1"/>
    <w:rsid w:val="00D05185"/>
    <w:rsid w:val="00D05BF0"/>
    <w:rsid w:val="00D05E6A"/>
    <w:rsid w:val="00D10BE8"/>
    <w:rsid w:val="00D12097"/>
    <w:rsid w:val="00D12184"/>
    <w:rsid w:val="00D17C15"/>
    <w:rsid w:val="00D21A8C"/>
    <w:rsid w:val="00D23059"/>
    <w:rsid w:val="00D23FE8"/>
    <w:rsid w:val="00D265C9"/>
    <w:rsid w:val="00D27532"/>
    <w:rsid w:val="00D27FF1"/>
    <w:rsid w:val="00D31A0D"/>
    <w:rsid w:val="00D3420F"/>
    <w:rsid w:val="00D352DC"/>
    <w:rsid w:val="00D35DD7"/>
    <w:rsid w:val="00D41E0C"/>
    <w:rsid w:val="00D41FEB"/>
    <w:rsid w:val="00D42003"/>
    <w:rsid w:val="00D44C80"/>
    <w:rsid w:val="00D47875"/>
    <w:rsid w:val="00D50B22"/>
    <w:rsid w:val="00D50D64"/>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4DC1"/>
    <w:rsid w:val="00D84ECD"/>
    <w:rsid w:val="00D861D9"/>
    <w:rsid w:val="00D86EE7"/>
    <w:rsid w:val="00D87E93"/>
    <w:rsid w:val="00D900E7"/>
    <w:rsid w:val="00D94186"/>
    <w:rsid w:val="00D94731"/>
    <w:rsid w:val="00D95F61"/>
    <w:rsid w:val="00D96D52"/>
    <w:rsid w:val="00D973FA"/>
    <w:rsid w:val="00D97924"/>
    <w:rsid w:val="00DA1D9C"/>
    <w:rsid w:val="00DA418A"/>
    <w:rsid w:val="00DA470C"/>
    <w:rsid w:val="00DA55A2"/>
    <w:rsid w:val="00DA56A4"/>
    <w:rsid w:val="00DA6FFC"/>
    <w:rsid w:val="00DB0483"/>
    <w:rsid w:val="00DB3EBB"/>
    <w:rsid w:val="00DB5275"/>
    <w:rsid w:val="00DB7B3F"/>
    <w:rsid w:val="00DC1EB6"/>
    <w:rsid w:val="00DC3172"/>
    <w:rsid w:val="00DC32FB"/>
    <w:rsid w:val="00DC438D"/>
    <w:rsid w:val="00DC441B"/>
    <w:rsid w:val="00DC466C"/>
    <w:rsid w:val="00DC4F83"/>
    <w:rsid w:val="00DC623F"/>
    <w:rsid w:val="00DC66F9"/>
    <w:rsid w:val="00DD236C"/>
    <w:rsid w:val="00DD24AF"/>
    <w:rsid w:val="00DD373A"/>
    <w:rsid w:val="00DD4E44"/>
    <w:rsid w:val="00DE04E2"/>
    <w:rsid w:val="00DE101A"/>
    <w:rsid w:val="00DE22CC"/>
    <w:rsid w:val="00DE66CC"/>
    <w:rsid w:val="00DF0E6A"/>
    <w:rsid w:val="00DF2C5E"/>
    <w:rsid w:val="00DF6779"/>
    <w:rsid w:val="00DF6F10"/>
    <w:rsid w:val="00E0025D"/>
    <w:rsid w:val="00E0041D"/>
    <w:rsid w:val="00E00CC3"/>
    <w:rsid w:val="00E01452"/>
    <w:rsid w:val="00E015DF"/>
    <w:rsid w:val="00E03E18"/>
    <w:rsid w:val="00E06F93"/>
    <w:rsid w:val="00E079E3"/>
    <w:rsid w:val="00E109FF"/>
    <w:rsid w:val="00E11749"/>
    <w:rsid w:val="00E12380"/>
    <w:rsid w:val="00E12869"/>
    <w:rsid w:val="00E13C2C"/>
    <w:rsid w:val="00E13DF8"/>
    <w:rsid w:val="00E21233"/>
    <w:rsid w:val="00E219D6"/>
    <w:rsid w:val="00E22185"/>
    <w:rsid w:val="00E245F8"/>
    <w:rsid w:val="00E25A3E"/>
    <w:rsid w:val="00E26F98"/>
    <w:rsid w:val="00E275C7"/>
    <w:rsid w:val="00E326F8"/>
    <w:rsid w:val="00E342BD"/>
    <w:rsid w:val="00E35560"/>
    <w:rsid w:val="00E3653B"/>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88"/>
    <w:rsid w:val="00E665E9"/>
    <w:rsid w:val="00E6700A"/>
    <w:rsid w:val="00E720FF"/>
    <w:rsid w:val="00E72523"/>
    <w:rsid w:val="00E73385"/>
    <w:rsid w:val="00E748F7"/>
    <w:rsid w:val="00E80286"/>
    <w:rsid w:val="00E802E2"/>
    <w:rsid w:val="00E80BF3"/>
    <w:rsid w:val="00E84229"/>
    <w:rsid w:val="00E84888"/>
    <w:rsid w:val="00E9388A"/>
    <w:rsid w:val="00E94C68"/>
    <w:rsid w:val="00E96ACA"/>
    <w:rsid w:val="00EA1AC4"/>
    <w:rsid w:val="00EA2161"/>
    <w:rsid w:val="00EA4FC7"/>
    <w:rsid w:val="00EA61F6"/>
    <w:rsid w:val="00EB21FA"/>
    <w:rsid w:val="00EB32ED"/>
    <w:rsid w:val="00EB3E93"/>
    <w:rsid w:val="00EB4366"/>
    <w:rsid w:val="00EB43C5"/>
    <w:rsid w:val="00EB682C"/>
    <w:rsid w:val="00EC01AE"/>
    <w:rsid w:val="00EC18F1"/>
    <w:rsid w:val="00EC233A"/>
    <w:rsid w:val="00EC29AB"/>
    <w:rsid w:val="00EC325B"/>
    <w:rsid w:val="00EC3717"/>
    <w:rsid w:val="00EC7513"/>
    <w:rsid w:val="00ED02C9"/>
    <w:rsid w:val="00ED359B"/>
    <w:rsid w:val="00ED4F15"/>
    <w:rsid w:val="00ED7211"/>
    <w:rsid w:val="00ED772E"/>
    <w:rsid w:val="00EE17EF"/>
    <w:rsid w:val="00EE4A34"/>
    <w:rsid w:val="00EE565A"/>
    <w:rsid w:val="00EE7EF3"/>
    <w:rsid w:val="00EF0E7D"/>
    <w:rsid w:val="00EF28B4"/>
    <w:rsid w:val="00EF371B"/>
    <w:rsid w:val="00EF3ECF"/>
    <w:rsid w:val="00EF42AF"/>
    <w:rsid w:val="00EF4FEA"/>
    <w:rsid w:val="00EF5F79"/>
    <w:rsid w:val="00EF6AF8"/>
    <w:rsid w:val="00F00234"/>
    <w:rsid w:val="00F02372"/>
    <w:rsid w:val="00F07647"/>
    <w:rsid w:val="00F07A80"/>
    <w:rsid w:val="00F07D0B"/>
    <w:rsid w:val="00F12A23"/>
    <w:rsid w:val="00F144F9"/>
    <w:rsid w:val="00F1497F"/>
    <w:rsid w:val="00F15A88"/>
    <w:rsid w:val="00F15FA8"/>
    <w:rsid w:val="00F1604B"/>
    <w:rsid w:val="00F164E2"/>
    <w:rsid w:val="00F17C09"/>
    <w:rsid w:val="00F204CE"/>
    <w:rsid w:val="00F20781"/>
    <w:rsid w:val="00F211F8"/>
    <w:rsid w:val="00F22E92"/>
    <w:rsid w:val="00F2346C"/>
    <w:rsid w:val="00F24328"/>
    <w:rsid w:val="00F26113"/>
    <w:rsid w:val="00F30589"/>
    <w:rsid w:val="00F306AA"/>
    <w:rsid w:val="00F307C4"/>
    <w:rsid w:val="00F3168D"/>
    <w:rsid w:val="00F36DD4"/>
    <w:rsid w:val="00F4097C"/>
    <w:rsid w:val="00F41F57"/>
    <w:rsid w:val="00F42066"/>
    <w:rsid w:val="00F43A6F"/>
    <w:rsid w:val="00F44223"/>
    <w:rsid w:val="00F449B3"/>
    <w:rsid w:val="00F45F35"/>
    <w:rsid w:val="00F477B6"/>
    <w:rsid w:val="00F510C1"/>
    <w:rsid w:val="00F5155A"/>
    <w:rsid w:val="00F5240E"/>
    <w:rsid w:val="00F5697A"/>
    <w:rsid w:val="00F62C9F"/>
    <w:rsid w:val="00F64103"/>
    <w:rsid w:val="00F65033"/>
    <w:rsid w:val="00F66122"/>
    <w:rsid w:val="00F66D0A"/>
    <w:rsid w:val="00F70CE6"/>
    <w:rsid w:val="00F7286F"/>
    <w:rsid w:val="00F72974"/>
    <w:rsid w:val="00F739CB"/>
    <w:rsid w:val="00F76C88"/>
    <w:rsid w:val="00F7722C"/>
    <w:rsid w:val="00F77CB8"/>
    <w:rsid w:val="00F817CB"/>
    <w:rsid w:val="00F82AFA"/>
    <w:rsid w:val="00F83C76"/>
    <w:rsid w:val="00F855A5"/>
    <w:rsid w:val="00F864E0"/>
    <w:rsid w:val="00F865CA"/>
    <w:rsid w:val="00F91109"/>
    <w:rsid w:val="00F9180E"/>
    <w:rsid w:val="00F91A47"/>
    <w:rsid w:val="00F921CF"/>
    <w:rsid w:val="00F95F8A"/>
    <w:rsid w:val="00F977A9"/>
    <w:rsid w:val="00FA1453"/>
    <w:rsid w:val="00FA22A8"/>
    <w:rsid w:val="00FA2AD8"/>
    <w:rsid w:val="00FA5421"/>
    <w:rsid w:val="00FA5EC4"/>
    <w:rsid w:val="00FB0B18"/>
    <w:rsid w:val="00FB3952"/>
    <w:rsid w:val="00FB6A60"/>
    <w:rsid w:val="00FC6B1B"/>
    <w:rsid w:val="00FC73EF"/>
    <w:rsid w:val="00FC7FE3"/>
    <w:rsid w:val="00FD0B7B"/>
    <w:rsid w:val="00FD1519"/>
    <w:rsid w:val="00FD2634"/>
    <w:rsid w:val="00FD2736"/>
    <w:rsid w:val="00FD3524"/>
    <w:rsid w:val="00FD7F83"/>
    <w:rsid w:val="00FE0147"/>
    <w:rsid w:val="00FE1C67"/>
    <w:rsid w:val="00FE269C"/>
    <w:rsid w:val="00FE2F49"/>
    <w:rsid w:val="00FE30C7"/>
    <w:rsid w:val="00FE3F58"/>
    <w:rsid w:val="00FF00BE"/>
    <w:rsid w:val="00FF3A63"/>
    <w:rsid w:val="00FF4CFC"/>
    <w:rsid w:val="00FF5039"/>
    <w:rsid w:val="00FF7218"/>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D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DA470C"/>
    <w:pPr>
      <w:spacing w:before="75" w:after="75"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04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valdis.Davidovic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2415-B4C9-41B3-B109-1E6C7F71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5757</Words>
  <Characters>3283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"Grozījumi Apdrošināšanas un pārapdrošināšanas likumā"</vt:lpstr>
      <vt:lpstr>Izziņa par atzinumos sniegtajiem iebildumiem par likumprojektu "Grozījumi Apdrošināšanas un pārapdrošināšanas likumā"</vt:lpstr>
    </vt:vector>
  </TitlesOfParts>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Apdrošināšanas un pārapdrošināšanas likumā"</dc:title>
  <dc:creator/>
  <dc:description>gunvaldis.davidovics@fm.gov.lv, 67083931</dc:description>
  <cp:lastModifiedBy/>
  <cp:revision>1</cp:revision>
  <dcterms:created xsi:type="dcterms:W3CDTF">2020-12-23T09:57:00Z</dcterms:created>
  <dcterms:modified xsi:type="dcterms:W3CDTF">2020-12-23T09:57:00Z</dcterms:modified>
</cp:coreProperties>
</file>