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0B31" w14:textId="77777777" w:rsidR="002636E7" w:rsidRDefault="00FB68BD" w:rsidP="001A7FF9">
      <w:pPr>
        <w:jc w:val="center"/>
        <w:rPr>
          <w:b/>
          <w:bCs/>
        </w:rPr>
      </w:pPr>
      <w:smartTag w:uri="schemas-tilde-lv/tildestengine" w:element="veidnes">
        <w:smartTagPr>
          <w:attr w:name="text" w:val="Izziņa"/>
          <w:attr w:name="baseform" w:val="Izziņa"/>
          <w:attr w:name="id" w:val="-1"/>
        </w:smartTagPr>
        <w:r w:rsidRPr="005F5C7A">
          <w:rPr>
            <w:b/>
            <w:bCs/>
          </w:rPr>
          <w:t>Izziņa</w:t>
        </w:r>
      </w:smartTag>
      <w:r w:rsidRPr="005F5C7A">
        <w:rPr>
          <w:b/>
          <w:bCs/>
        </w:rPr>
        <w:t xml:space="preserve"> par atzinumos sniegtajiem</w:t>
      </w:r>
      <w:r w:rsidR="000E6A5D" w:rsidRPr="005F5C7A">
        <w:rPr>
          <w:b/>
          <w:bCs/>
        </w:rPr>
        <w:t xml:space="preserve"> iebildumiem </w:t>
      </w:r>
    </w:p>
    <w:p w14:paraId="010A0C9A" w14:textId="1E600F6E" w:rsidR="00F00A89" w:rsidRPr="005F5C7A" w:rsidRDefault="000E6A5D" w:rsidP="001A7FF9">
      <w:pPr>
        <w:jc w:val="center"/>
        <w:rPr>
          <w:b/>
          <w:bCs/>
        </w:rPr>
      </w:pPr>
      <w:r w:rsidRPr="005F5C7A">
        <w:rPr>
          <w:b/>
          <w:bCs/>
        </w:rPr>
        <w:t xml:space="preserve">par </w:t>
      </w:r>
      <w:r w:rsidR="00B11ED5">
        <w:rPr>
          <w:b/>
          <w:bCs/>
        </w:rPr>
        <w:t>Ministru kabineta rīkojuma</w:t>
      </w:r>
      <w:r w:rsidR="005F5C7A">
        <w:rPr>
          <w:b/>
          <w:bCs/>
        </w:rPr>
        <w:t xml:space="preserve"> projektu</w:t>
      </w:r>
      <w:r w:rsidR="001A7FF9">
        <w:rPr>
          <w:b/>
          <w:bCs/>
        </w:rPr>
        <w:t xml:space="preserve"> </w:t>
      </w:r>
      <w:r w:rsidR="001A7FF9" w:rsidRPr="001A7FF9">
        <w:rPr>
          <w:b/>
          <w:bCs/>
        </w:rPr>
        <w:t>„</w:t>
      </w:r>
      <w:r w:rsidR="00B11ED5">
        <w:rPr>
          <w:b/>
          <w:bCs/>
        </w:rPr>
        <w:t>Par kopējām valsts pārvaldē auditējamām prioritātēm 202</w:t>
      </w:r>
      <w:r w:rsidR="0018038F">
        <w:rPr>
          <w:b/>
          <w:bCs/>
        </w:rPr>
        <w:t>1</w:t>
      </w:r>
      <w:r w:rsidR="00B11ED5">
        <w:rPr>
          <w:b/>
          <w:bCs/>
        </w:rPr>
        <w:t>.gadam</w:t>
      </w:r>
      <w:r w:rsidR="001A7FF9" w:rsidRPr="001A7FF9">
        <w:rPr>
          <w:b/>
          <w:bCs/>
        </w:rPr>
        <w:t>”</w:t>
      </w:r>
      <w:r w:rsidR="004202C8">
        <w:rPr>
          <w:b/>
          <w:bCs/>
        </w:rPr>
        <w:t xml:space="preserve"> </w:t>
      </w:r>
      <w:r w:rsidR="004202C8" w:rsidRPr="004202C8">
        <w:rPr>
          <w:b/>
          <w:bCs/>
        </w:rPr>
        <w:t>(VSS-976)</w:t>
      </w:r>
    </w:p>
    <w:p w14:paraId="79923374" w14:textId="77777777" w:rsidR="00FB68BD" w:rsidRPr="00FB036F" w:rsidRDefault="00FB68BD" w:rsidP="0045657B">
      <w:pPr>
        <w:jc w:val="center"/>
        <w:rPr>
          <w:b/>
        </w:rPr>
      </w:pPr>
    </w:p>
    <w:p w14:paraId="78CCDC3A" w14:textId="77777777" w:rsidR="00FB68BD" w:rsidRDefault="00FB68BD" w:rsidP="0027231B">
      <w:pPr>
        <w:pStyle w:val="naisf"/>
        <w:spacing w:before="0" w:after="0"/>
        <w:ind w:firstLine="0"/>
        <w:jc w:val="center"/>
        <w:rPr>
          <w:b/>
        </w:rPr>
      </w:pPr>
      <w:r w:rsidRPr="00FB036F">
        <w:rPr>
          <w:b/>
        </w:rPr>
        <w:t>I.</w:t>
      </w:r>
      <w:r w:rsidR="00B46348" w:rsidRPr="00FB036F">
        <w:rPr>
          <w:b/>
        </w:rPr>
        <w:t xml:space="preserve"> </w:t>
      </w:r>
      <w:r w:rsidRPr="00FB036F">
        <w:rPr>
          <w:b/>
        </w:rPr>
        <w:t> Jautājumi, par kuriem saskaņošanā vienošanās nav panākta</w:t>
      </w:r>
    </w:p>
    <w:p w14:paraId="6629A8CF" w14:textId="77777777" w:rsidR="0027231B" w:rsidRPr="00A9425C" w:rsidRDefault="0027231B" w:rsidP="0027231B">
      <w:pPr>
        <w:tabs>
          <w:tab w:val="center" w:pos="4153"/>
          <w:tab w:val="right" w:pos="8306"/>
        </w:tabs>
        <w:jc w:val="center"/>
        <w:rPr>
          <w:bCs/>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2644"/>
        <w:gridCol w:w="3260"/>
        <w:gridCol w:w="2835"/>
        <w:gridCol w:w="1984"/>
        <w:gridCol w:w="2978"/>
      </w:tblGrid>
      <w:tr w:rsidR="0027231B" w:rsidRPr="00A9425C" w14:paraId="037F2456" w14:textId="77777777" w:rsidTr="00AB6D4D">
        <w:tc>
          <w:tcPr>
            <w:tcW w:w="758" w:type="dxa"/>
            <w:shd w:val="clear" w:color="auto" w:fill="FFFFFF"/>
            <w:vAlign w:val="center"/>
          </w:tcPr>
          <w:p w14:paraId="673E0442" w14:textId="77777777" w:rsidR="0027231B" w:rsidRPr="00A9425C" w:rsidRDefault="0027231B" w:rsidP="00B473D1">
            <w:pPr>
              <w:jc w:val="center"/>
            </w:pPr>
            <w:r w:rsidRPr="00A9425C">
              <w:t>Nr.</w:t>
            </w:r>
          </w:p>
          <w:p w14:paraId="513649DE" w14:textId="77777777" w:rsidR="0027231B" w:rsidRPr="00A9425C" w:rsidRDefault="0027231B" w:rsidP="00B473D1">
            <w:pPr>
              <w:jc w:val="center"/>
            </w:pPr>
            <w:r w:rsidRPr="00A9425C">
              <w:t>p.k.</w:t>
            </w:r>
          </w:p>
        </w:tc>
        <w:tc>
          <w:tcPr>
            <w:tcW w:w="2644" w:type="dxa"/>
            <w:shd w:val="clear" w:color="auto" w:fill="FFFFFF"/>
            <w:vAlign w:val="center"/>
          </w:tcPr>
          <w:p w14:paraId="2ABCA716" w14:textId="77777777" w:rsidR="0027231B" w:rsidRPr="00A9425C" w:rsidRDefault="0027231B" w:rsidP="00B473D1">
            <w:pPr>
              <w:jc w:val="center"/>
            </w:pPr>
            <w:r w:rsidRPr="00A9425C">
              <w:t>Saskaņošanai nosūtītā projekta redakcija</w:t>
            </w:r>
          </w:p>
          <w:p w14:paraId="2262BDE0" w14:textId="77777777" w:rsidR="0027231B" w:rsidRPr="00A9425C" w:rsidRDefault="0027231B" w:rsidP="00B473D1">
            <w:pPr>
              <w:jc w:val="center"/>
            </w:pPr>
            <w:r w:rsidRPr="00A9425C">
              <w:t>(konkrēta punkta (panta) redakcija)</w:t>
            </w:r>
          </w:p>
        </w:tc>
        <w:tc>
          <w:tcPr>
            <w:tcW w:w="3260" w:type="dxa"/>
            <w:shd w:val="clear" w:color="auto" w:fill="FFFFFF"/>
            <w:vAlign w:val="center"/>
          </w:tcPr>
          <w:p w14:paraId="411B0DC5" w14:textId="77777777" w:rsidR="0027231B" w:rsidRPr="00A9425C" w:rsidRDefault="0027231B" w:rsidP="00B473D1">
            <w:pPr>
              <w:jc w:val="center"/>
            </w:pPr>
            <w:r w:rsidRPr="00A9425C">
              <w:t>Atzinumā norādītais</w:t>
            </w:r>
          </w:p>
          <w:p w14:paraId="02F1A601" w14:textId="77777777" w:rsidR="0027231B" w:rsidRDefault="0027231B" w:rsidP="00B473D1">
            <w:pPr>
              <w:jc w:val="center"/>
            </w:pPr>
            <w:r w:rsidRPr="00A9425C">
              <w:t>ministrijas (citas institūcijas) iebildums, kā arī saskaņošanā papildus izteiktais iebildums par projekta konkrēto punktu (pantu)</w:t>
            </w:r>
          </w:p>
          <w:p w14:paraId="45EC1EC6" w14:textId="31396C04" w:rsidR="00B21C45" w:rsidRPr="00B21C45" w:rsidRDefault="00B21C45" w:rsidP="00B21C45"/>
        </w:tc>
        <w:tc>
          <w:tcPr>
            <w:tcW w:w="2835" w:type="dxa"/>
            <w:shd w:val="clear" w:color="auto" w:fill="FFFFFF"/>
            <w:vAlign w:val="center"/>
          </w:tcPr>
          <w:p w14:paraId="0E657477" w14:textId="77777777" w:rsidR="0027231B" w:rsidRPr="00A9425C" w:rsidRDefault="0027231B" w:rsidP="00B473D1">
            <w:pPr>
              <w:jc w:val="center"/>
            </w:pPr>
            <w:r w:rsidRPr="00A9425C">
              <w:t>Atbildīgās ministrijas pamatojums iebilduma noraidījumam</w:t>
            </w:r>
          </w:p>
        </w:tc>
        <w:tc>
          <w:tcPr>
            <w:tcW w:w="1984" w:type="dxa"/>
            <w:shd w:val="clear" w:color="auto" w:fill="FFFFFF"/>
            <w:vAlign w:val="center"/>
          </w:tcPr>
          <w:p w14:paraId="6531A73C" w14:textId="77777777" w:rsidR="0027231B" w:rsidRPr="00A9425C" w:rsidRDefault="0027231B" w:rsidP="00B473D1">
            <w:pPr>
              <w:jc w:val="center"/>
            </w:pPr>
          </w:p>
          <w:p w14:paraId="3CE996DE" w14:textId="77777777" w:rsidR="0027231B" w:rsidRPr="00A9425C" w:rsidRDefault="0027231B" w:rsidP="00B473D1">
            <w:pPr>
              <w:jc w:val="center"/>
            </w:pPr>
            <w:r w:rsidRPr="00A9425C">
              <w:t>Atzinuma sniedzēja uzturētais iebildums, ja tas atšķiras no atzinumā norādītā iebilduma pamatojuma</w:t>
            </w:r>
          </w:p>
        </w:tc>
        <w:tc>
          <w:tcPr>
            <w:tcW w:w="2978" w:type="dxa"/>
            <w:shd w:val="clear" w:color="auto" w:fill="FFFFFF"/>
            <w:vAlign w:val="center"/>
          </w:tcPr>
          <w:p w14:paraId="684D95F7" w14:textId="77777777" w:rsidR="0027231B" w:rsidRPr="00A9425C" w:rsidRDefault="0027231B" w:rsidP="00B473D1">
            <w:pPr>
              <w:jc w:val="center"/>
            </w:pPr>
            <w:r w:rsidRPr="00A9425C">
              <w:t>Projekta attiecīgā punkta (panta) galīgā redakcija</w:t>
            </w:r>
          </w:p>
        </w:tc>
      </w:tr>
      <w:tr w:rsidR="0027231B" w:rsidRPr="00A9425C" w14:paraId="45CC4E71" w14:textId="77777777" w:rsidTr="00AB6D4D">
        <w:tc>
          <w:tcPr>
            <w:tcW w:w="758" w:type="dxa"/>
            <w:shd w:val="clear" w:color="auto" w:fill="FFFFFF"/>
            <w:vAlign w:val="center"/>
          </w:tcPr>
          <w:p w14:paraId="3FA1B788" w14:textId="77777777" w:rsidR="0027231B" w:rsidRPr="00A9425C" w:rsidRDefault="0027231B" w:rsidP="00B473D1">
            <w:pPr>
              <w:jc w:val="center"/>
            </w:pPr>
            <w:r w:rsidRPr="00A9425C">
              <w:t>1</w:t>
            </w:r>
          </w:p>
        </w:tc>
        <w:tc>
          <w:tcPr>
            <w:tcW w:w="2644" w:type="dxa"/>
            <w:shd w:val="clear" w:color="auto" w:fill="FFFFFF"/>
            <w:vAlign w:val="center"/>
          </w:tcPr>
          <w:p w14:paraId="3A0AB067" w14:textId="77777777" w:rsidR="0027231B" w:rsidRPr="00A9425C" w:rsidRDefault="0027231B" w:rsidP="00B473D1">
            <w:pPr>
              <w:jc w:val="center"/>
            </w:pPr>
            <w:r w:rsidRPr="00A9425C">
              <w:t>2</w:t>
            </w:r>
          </w:p>
        </w:tc>
        <w:tc>
          <w:tcPr>
            <w:tcW w:w="3260" w:type="dxa"/>
            <w:shd w:val="clear" w:color="auto" w:fill="FFFFFF"/>
            <w:vAlign w:val="center"/>
          </w:tcPr>
          <w:p w14:paraId="471E2AA5" w14:textId="77777777" w:rsidR="0027231B" w:rsidRPr="00A9425C" w:rsidRDefault="0027231B" w:rsidP="00B473D1">
            <w:pPr>
              <w:jc w:val="center"/>
            </w:pPr>
            <w:r w:rsidRPr="00A9425C">
              <w:t>3</w:t>
            </w:r>
          </w:p>
        </w:tc>
        <w:tc>
          <w:tcPr>
            <w:tcW w:w="2835" w:type="dxa"/>
            <w:shd w:val="clear" w:color="auto" w:fill="FFFFFF"/>
            <w:vAlign w:val="center"/>
          </w:tcPr>
          <w:p w14:paraId="6B56E3DD" w14:textId="77777777" w:rsidR="0027231B" w:rsidRPr="00A9425C" w:rsidRDefault="0027231B" w:rsidP="00B473D1">
            <w:pPr>
              <w:jc w:val="center"/>
            </w:pPr>
            <w:r w:rsidRPr="00A9425C">
              <w:t>4</w:t>
            </w:r>
          </w:p>
        </w:tc>
        <w:tc>
          <w:tcPr>
            <w:tcW w:w="1984" w:type="dxa"/>
            <w:shd w:val="clear" w:color="auto" w:fill="FFFFFF"/>
            <w:vAlign w:val="center"/>
          </w:tcPr>
          <w:p w14:paraId="7F709303" w14:textId="77777777" w:rsidR="0027231B" w:rsidRPr="00A9425C" w:rsidRDefault="0027231B" w:rsidP="00B473D1">
            <w:pPr>
              <w:jc w:val="center"/>
            </w:pPr>
            <w:r w:rsidRPr="00A9425C">
              <w:t>5</w:t>
            </w:r>
          </w:p>
        </w:tc>
        <w:tc>
          <w:tcPr>
            <w:tcW w:w="2978" w:type="dxa"/>
            <w:shd w:val="clear" w:color="auto" w:fill="FFFFFF"/>
            <w:vAlign w:val="center"/>
          </w:tcPr>
          <w:p w14:paraId="1CC4D281" w14:textId="77777777" w:rsidR="0027231B" w:rsidRPr="00A9425C" w:rsidRDefault="0027231B" w:rsidP="00B473D1">
            <w:pPr>
              <w:jc w:val="center"/>
            </w:pPr>
            <w:r w:rsidRPr="00A9425C">
              <w:t>6</w:t>
            </w:r>
          </w:p>
        </w:tc>
      </w:tr>
      <w:tr w:rsidR="004202C8" w:rsidRPr="00A9425C" w14:paraId="7C6CA78A" w14:textId="77777777" w:rsidTr="00220395">
        <w:tc>
          <w:tcPr>
            <w:tcW w:w="14459" w:type="dxa"/>
            <w:gridSpan w:val="6"/>
            <w:shd w:val="clear" w:color="auto" w:fill="FFFFFF"/>
            <w:vAlign w:val="center"/>
          </w:tcPr>
          <w:p w14:paraId="1AA9BAB6" w14:textId="0E499D6D" w:rsidR="004202C8" w:rsidRPr="00A9425C" w:rsidRDefault="004202C8" w:rsidP="00B473D1">
            <w:pPr>
              <w:jc w:val="center"/>
            </w:pPr>
            <w:r>
              <w:t>Nav nesaskaņotu iebildumu</w:t>
            </w:r>
          </w:p>
        </w:tc>
      </w:tr>
    </w:tbl>
    <w:p w14:paraId="6F6447A6" w14:textId="77777777" w:rsidR="00E8562C" w:rsidRDefault="00E8562C" w:rsidP="00E8562C">
      <w:pPr>
        <w:tabs>
          <w:tab w:val="center" w:pos="4153"/>
          <w:tab w:val="right" w:pos="8306"/>
        </w:tabs>
        <w:rPr>
          <w:b/>
          <w:bCs/>
        </w:rPr>
      </w:pPr>
    </w:p>
    <w:p w14:paraId="751DA882" w14:textId="77777777" w:rsidR="00B00657" w:rsidRDefault="00B00657" w:rsidP="00E8562C">
      <w:pPr>
        <w:tabs>
          <w:tab w:val="center" w:pos="4153"/>
          <w:tab w:val="right" w:pos="8306"/>
        </w:tabs>
        <w:rPr>
          <w:b/>
          <w:bCs/>
        </w:rPr>
      </w:pPr>
    </w:p>
    <w:p w14:paraId="0DD67126" w14:textId="77777777" w:rsidR="0027231B" w:rsidRPr="002D19D8" w:rsidRDefault="0027231B" w:rsidP="00E8562C">
      <w:pPr>
        <w:tabs>
          <w:tab w:val="center" w:pos="4153"/>
          <w:tab w:val="right" w:pos="8306"/>
        </w:tabs>
        <w:rPr>
          <w:b/>
          <w:bCs/>
        </w:rPr>
      </w:pPr>
      <w:r w:rsidRPr="00A9425C">
        <w:rPr>
          <w:b/>
          <w:bCs/>
        </w:rPr>
        <w:t xml:space="preserve">Informācija par </w:t>
      </w:r>
      <w:proofErr w:type="spellStart"/>
      <w:r w:rsidRPr="00A9425C">
        <w:rPr>
          <w:b/>
          <w:bCs/>
        </w:rPr>
        <w:t>starpministriju</w:t>
      </w:r>
      <w:proofErr w:type="spellEnd"/>
      <w:r w:rsidRPr="00A9425C">
        <w:rPr>
          <w:b/>
          <w:bCs/>
        </w:rPr>
        <w:t xml:space="preserve"> (starpinstitūciju) sanāksmi vai </w:t>
      </w:r>
      <w:r w:rsidRPr="00FF2624">
        <w:rPr>
          <w:b/>
          <w:bCs/>
          <w:u w:val="single"/>
        </w:rPr>
        <w:t>elektronisko saskaņošanu</w:t>
      </w:r>
    </w:p>
    <w:p w14:paraId="76BF8443" w14:textId="77777777" w:rsidR="0027231B" w:rsidRDefault="0027231B" w:rsidP="0027231B">
      <w:pPr>
        <w:tabs>
          <w:tab w:val="center" w:pos="4153"/>
          <w:tab w:val="right" w:pos="8306"/>
        </w:tabs>
        <w:rPr>
          <w:b/>
          <w:bCs/>
        </w:rPr>
      </w:pPr>
    </w:p>
    <w:tbl>
      <w:tblPr>
        <w:tblW w:w="26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
        <w:gridCol w:w="5418"/>
        <w:gridCol w:w="8726"/>
        <w:gridCol w:w="11938"/>
      </w:tblGrid>
      <w:tr w:rsidR="00E8562C" w:rsidRPr="003D697F" w14:paraId="621BA769" w14:textId="77777777" w:rsidTr="00FF0042">
        <w:trPr>
          <w:gridAfter w:val="1"/>
          <w:wAfter w:w="11938" w:type="dxa"/>
        </w:trPr>
        <w:tc>
          <w:tcPr>
            <w:tcW w:w="5560" w:type="dxa"/>
            <w:gridSpan w:val="2"/>
            <w:tcBorders>
              <w:top w:val="nil"/>
              <w:left w:val="nil"/>
              <w:bottom w:val="nil"/>
              <w:right w:val="nil"/>
            </w:tcBorders>
            <w:shd w:val="clear" w:color="auto" w:fill="auto"/>
          </w:tcPr>
          <w:p w14:paraId="2C41E6CB" w14:textId="77777777" w:rsidR="00E8562C" w:rsidRPr="000970AF" w:rsidRDefault="00E8562C" w:rsidP="00D25A4F">
            <w:pPr>
              <w:spacing w:before="100" w:beforeAutospacing="1" w:after="100" w:afterAutospacing="1"/>
              <w:jc w:val="both"/>
              <w:rPr>
                <w:b/>
                <w:bCs/>
              </w:rPr>
            </w:pPr>
            <w:r w:rsidRPr="000970AF">
              <w:t>Datums</w:t>
            </w:r>
          </w:p>
        </w:tc>
        <w:tc>
          <w:tcPr>
            <w:tcW w:w="8726" w:type="dxa"/>
            <w:tcBorders>
              <w:top w:val="nil"/>
              <w:left w:val="nil"/>
              <w:right w:val="nil"/>
            </w:tcBorders>
            <w:shd w:val="clear" w:color="auto" w:fill="auto"/>
          </w:tcPr>
          <w:p w14:paraId="773FB550" w14:textId="79344AD9" w:rsidR="00E8562C" w:rsidRPr="000970AF" w:rsidRDefault="008C5BE8" w:rsidP="000970AF">
            <w:pPr>
              <w:spacing w:before="100" w:beforeAutospacing="1" w:after="100" w:afterAutospacing="1"/>
              <w:jc w:val="both"/>
              <w:rPr>
                <w:b/>
                <w:bCs/>
              </w:rPr>
            </w:pPr>
            <w:r w:rsidRPr="000970AF">
              <w:rPr>
                <w:b/>
                <w:bCs/>
              </w:rPr>
              <w:t>2</w:t>
            </w:r>
            <w:r w:rsidR="002558E8" w:rsidRPr="000970AF">
              <w:rPr>
                <w:b/>
                <w:bCs/>
              </w:rPr>
              <w:t>1</w:t>
            </w:r>
            <w:r w:rsidR="0018038F" w:rsidRPr="000970AF">
              <w:rPr>
                <w:b/>
                <w:bCs/>
              </w:rPr>
              <w:t>.1</w:t>
            </w:r>
            <w:r w:rsidR="002558E8" w:rsidRPr="000970AF">
              <w:rPr>
                <w:b/>
                <w:bCs/>
              </w:rPr>
              <w:t>2</w:t>
            </w:r>
            <w:r w:rsidR="00E8562C" w:rsidRPr="000970AF">
              <w:rPr>
                <w:b/>
                <w:bCs/>
              </w:rPr>
              <w:t>.20</w:t>
            </w:r>
            <w:r w:rsidR="0018038F" w:rsidRPr="000970AF">
              <w:rPr>
                <w:b/>
                <w:bCs/>
              </w:rPr>
              <w:t>20</w:t>
            </w:r>
            <w:r w:rsidR="00E8562C" w:rsidRPr="000970AF">
              <w:rPr>
                <w:b/>
                <w:bCs/>
              </w:rPr>
              <w:t xml:space="preserve">. – </w:t>
            </w:r>
            <w:r w:rsidR="0030514A" w:rsidRPr="000970AF">
              <w:rPr>
                <w:b/>
                <w:bCs/>
              </w:rPr>
              <w:t>2</w:t>
            </w:r>
            <w:r w:rsidR="000970AF" w:rsidRPr="000970AF">
              <w:rPr>
                <w:b/>
                <w:bCs/>
              </w:rPr>
              <w:t>3</w:t>
            </w:r>
            <w:r w:rsidR="00E8562C" w:rsidRPr="000970AF">
              <w:rPr>
                <w:b/>
                <w:bCs/>
              </w:rPr>
              <w:t>.</w:t>
            </w:r>
            <w:r w:rsidR="0018038F" w:rsidRPr="000970AF">
              <w:rPr>
                <w:b/>
                <w:bCs/>
              </w:rPr>
              <w:t>12</w:t>
            </w:r>
            <w:r w:rsidR="00E8562C" w:rsidRPr="000970AF">
              <w:rPr>
                <w:b/>
                <w:bCs/>
              </w:rPr>
              <w:t>.20</w:t>
            </w:r>
            <w:r w:rsidR="0018038F" w:rsidRPr="000970AF">
              <w:rPr>
                <w:b/>
                <w:bCs/>
              </w:rPr>
              <w:t>20</w:t>
            </w:r>
            <w:r w:rsidR="00E8562C" w:rsidRPr="000970AF">
              <w:rPr>
                <w:b/>
                <w:bCs/>
              </w:rPr>
              <w:t xml:space="preserve">. </w:t>
            </w:r>
            <w:r w:rsidR="00E8562C" w:rsidRPr="000970AF">
              <w:rPr>
                <w:bCs/>
              </w:rPr>
              <w:t>(elektroniskā saskaņošana)</w:t>
            </w:r>
          </w:p>
        </w:tc>
      </w:tr>
      <w:tr w:rsidR="00E8562C" w:rsidRPr="003D697F" w14:paraId="4E000913" w14:textId="77777777" w:rsidTr="00FF0042">
        <w:trPr>
          <w:gridAfter w:val="1"/>
          <w:wAfter w:w="11938" w:type="dxa"/>
        </w:trPr>
        <w:tc>
          <w:tcPr>
            <w:tcW w:w="5560" w:type="dxa"/>
            <w:gridSpan w:val="2"/>
            <w:tcBorders>
              <w:top w:val="nil"/>
              <w:left w:val="nil"/>
              <w:bottom w:val="nil"/>
              <w:right w:val="nil"/>
            </w:tcBorders>
            <w:shd w:val="clear" w:color="auto" w:fill="auto"/>
          </w:tcPr>
          <w:p w14:paraId="59F24FF8" w14:textId="77777777" w:rsidR="008F1201" w:rsidRDefault="00E8562C" w:rsidP="00D25A4F">
            <w:pPr>
              <w:spacing w:before="100" w:beforeAutospacing="1" w:after="100" w:afterAutospacing="1"/>
              <w:jc w:val="both"/>
              <w:rPr>
                <w:b/>
                <w:bCs/>
              </w:rPr>
            </w:pPr>
            <w:r w:rsidRPr="003D697F">
              <w:t>Saskaņošanas dalībnieki</w:t>
            </w:r>
          </w:p>
          <w:p w14:paraId="3FF2BB5B" w14:textId="77777777" w:rsidR="00E8562C" w:rsidRPr="008F1201" w:rsidRDefault="00E8562C" w:rsidP="008F1201">
            <w:pPr>
              <w:jc w:val="center"/>
            </w:pPr>
          </w:p>
        </w:tc>
        <w:tc>
          <w:tcPr>
            <w:tcW w:w="8726" w:type="dxa"/>
            <w:tcBorders>
              <w:left w:val="nil"/>
              <w:right w:val="nil"/>
            </w:tcBorders>
            <w:shd w:val="clear" w:color="auto" w:fill="auto"/>
          </w:tcPr>
          <w:p w14:paraId="5E0A58DD" w14:textId="77777777" w:rsidR="00E8562C" w:rsidRPr="003D697F" w:rsidRDefault="00E8562C" w:rsidP="00C36851">
            <w:pPr>
              <w:jc w:val="both"/>
              <w:rPr>
                <w:bCs/>
              </w:rPr>
            </w:pPr>
            <w:r w:rsidRPr="009B434F">
              <w:t xml:space="preserve">Tieslietu ministrija, Aizsardzības ministrija, Ārlietu ministrija, Ekonomikas ministrija, </w:t>
            </w:r>
            <w:proofErr w:type="spellStart"/>
            <w:r w:rsidRPr="009B434F">
              <w:t>Iekšlietu</w:t>
            </w:r>
            <w:proofErr w:type="spellEnd"/>
            <w:r w:rsidRPr="009B434F">
              <w:t xml:space="preserve"> ministrija, Izglītības un zinātnes ministrija, Kultūras ministrija, Labklājības ministrija, Satiksmes ministrija, Veselības ministrija, Vides aizsardzības un reģionālās attīstības ministrija, Zemkopības ministrija,</w:t>
            </w:r>
            <w:r w:rsidR="00515588">
              <w:t xml:space="preserve"> </w:t>
            </w:r>
            <w:proofErr w:type="spellStart"/>
            <w:r w:rsidR="00515588">
              <w:t>Pārresoru</w:t>
            </w:r>
            <w:proofErr w:type="spellEnd"/>
            <w:r w:rsidR="00515588">
              <w:t xml:space="preserve"> koordinācijas centrs,</w:t>
            </w:r>
            <w:r w:rsidRPr="009B434F">
              <w:t xml:space="preserve"> </w:t>
            </w:r>
            <w:r w:rsidR="00515588" w:rsidRPr="00D964B0">
              <w:t>Valsts kanceleja,</w:t>
            </w:r>
            <w:r w:rsidR="00515588" w:rsidRPr="009B434F">
              <w:t xml:space="preserve"> </w:t>
            </w:r>
            <w:r w:rsidRPr="009B434F">
              <w:t xml:space="preserve">Korupcijas novēršanas un apkarošanas birojs, Latvijas Brīvo arodbiedrību savienība, </w:t>
            </w:r>
            <w:r w:rsidR="00BA0096" w:rsidRPr="00BA0096">
              <w:t>Lat</w:t>
            </w:r>
            <w:r w:rsidR="00BA0096">
              <w:t xml:space="preserve">vijas Darba devēju konfederācija, </w:t>
            </w:r>
            <w:r w:rsidR="00BA0096" w:rsidRPr="00BA0096">
              <w:t>biedrība "Latvijas Pilsoniskā alianse"</w:t>
            </w:r>
            <w:r w:rsidR="00BA0096">
              <w:t xml:space="preserve">.  </w:t>
            </w:r>
          </w:p>
        </w:tc>
      </w:tr>
      <w:tr w:rsidR="00E8562C" w:rsidRPr="003D697F" w14:paraId="046A3FE6" w14:textId="77777777" w:rsidTr="00FF0042">
        <w:trPr>
          <w:gridAfter w:val="1"/>
          <w:wAfter w:w="11938" w:type="dxa"/>
        </w:trPr>
        <w:tc>
          <w:tcPr>
            <w:tcW w:w="5560" w:type="dxa"/>
            <w:gridSpan w:val="2"/>
            <w:tcBorders>
              <w:top w:val="nil"/>
              <w:left w:val="nil"/>
              <w:bottom w:val="nil"/>
              <w:right w:val="nil"/>
            </w:tcBorders>
            <w:shd w:val="clear" w:color="auto" w:fill="auto"/>
          </w:tcPr>
          <w:p w14:paraId="7269023B" w14:textId="77777777" w:rsidR="00E8562C" w:rsidRPr="003D697F" w:rsidRDefault="00E8562C" w:rsidP="00D25A4F">
            <w:pPr>
              <w:spacing w:before="100" w:beforeAutospacing="1" w:after="100" w:afterAutospacing="1"/>
              <w:jc w:val="both"/>
              <w:rPr>
                <w:b/>
                <w:bCs/>
              </w:rPr>
            </w:pPr>
            <w:r w:rsidRPr="003D697F">
              <w:t>Saskaņošanas sanāksmes dalībnieki izskatīja šādu ministriju (citu institūciju) iebildumus</w:t>
            </w:r>
          </w:p>
        </w:tc>
        <w:tc>
          <w:tcPr>
            <w:tcW w:w="8726" w:type="dxa"/>
            <w:tcBorders>
              <w:left w:val="nil"/>
              <w:right w:val="nil"/>
            </w:tcBorders>
            <w:shd w:val="clear" w:color="auto" w:fill="auto"/>
            <w:vAlign w:val="bottom"/>
          </w:tcPr>
          <w:p w14:paraId="41877397" w14:textId="77777777" w:rsidR="00E8562C" w:rsidRPr="003D697F" w:rsidRDefault="002E4CEC" w:rsidP="00E8562C">
            <w:pPr>
              <w:spacing w:before="100" w:beforeAutospacing="1" w:after="100" w:afterAutospacing="1"/>
              <w:rPr>
                <w:b/>
                <w:bCs/>
              </w:rPr>
            </w:pPr>
            <w:r>
              <w:rPr>
                <w:b/>
                <w:bCs/>
              </w:rPr>
              <w:t>Valsts kanceleja</w:t>
            </w:r>
          </w:p>
        </w:tc>
      </w:tr>
      <w:tr w:rsidR="00E8562C" w:rsidRPr="003D697F" w14:paraId="1E220F4A" w14:textId="77777777" w:rsidTr="00FF0042">
        <w:trPr>
          <w:gridAfter w:val="1"/>
          <w:wAfter w:w="11938" w:type="dxa"/>
        </w:trPr>
        <w:tc>
          <w:tcPr>
            <w:tcW w:w="5560" w:type="dxa"/>
            <w:gridSpan w:val="2"/>
            <w:tcBorders>
              <w:top w:val="nil"/>
              <w:left w:val="nil"/>
              <w:bottom w:val="nil"/>
              <w:right w:val="nil"/>
            </w:tcBorders>
            <w:shd w:val="clear" w:color="auto" w:fill="auto"/>
          </w:tcPr>
          <w:p w14:paraId="7B221E70" w14:textId="77777777" w:rsidR="00E8562C" w:rsidRPr="003D697F" w:rsidRDefault="00E8562C" w:rsidP="00D25A4F">
            <w:pPr>
              <w:spacing w:before="100" w:beforeAutospacing="1" w:after="100" w:afterAutospacing="1"/>
              <w:jc w:val="both"/>
              <w:rPr>
                <w:b/>
                <w:bCs/>
              </w:rPr>
            </w:pPr>
            <w:r w:rsidRPr="003D697F">
              <w:t>Ministrijas (citas institūcijas), kuras nav ieradušās uz sanāksmi vai kuras nav atbildējušas uz uzaicinājumu piedalīties elektroniskajā saskaņošanā</w:t>
            </w:r>
          </w:p>
        </w:tc>
        <w:tc>
          <w:tcPr>
            <w:tcW w:w="8726" w:type="dxa"/>
            <w:tcBorders>
              <w:left w:val="nil"/>
              <w:right w:val="nil"/>
            </w:tcBorders>
            <w:shd w:val="clear" w:color="auto" w:fill="auto"/>
            <w:vAlign w:val="bottom"/>
          </w:tcPr>
          <w:p w14:paraId="66F69E41" w14:textId="77777777" w:rsidR="00E8562C" w:rsidRPr="003D697F" w:rsidRDefault="00E8562C" w:rsidP="00D25A4F">
            <w:pPr>
              <w:spacing w:before="100" w:beforeAutospacing="1" w:after="100" w:afterAutospacing="1"/>
              <w:ind w:left="175"/>
              <w:rPr>
                <w:b/>
                <w:bCs/>
              </w:rPr>
            </w:pPr>
          </w:p>
        </w:tc>
      </w:tr>
      <w:tr w:rsidR="0027231B" w:rsidRPr="00A9425C" w14:paraId="62685F1F" w14:textId="77777777" w:rsidTr="00FF0042">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42" w:type="dxa"/>
          <w:tblCellSpacing w:w="0" w:type="dxa"/>
        </w:trPr>
        <w:tc>
          <w:tcPr>
            <w:tcW w:w="26082" w:type="dxa"/>
            <w:gridSpan w:val="3"/>
          </w:tcPr>
          <w:p w14:paraId="79A5A2ED" w14:textId="77777777" w:rsidR="0027231B" w:rsidRPr="00A9425C" w:rsidRDefault="0027231B" w:rsidP="0027231B">
            <w:pPr>
              <w:spacing w:before="100" w:beforeAutospacing="1" w:after="100" w:afterAutospacing="1"/>
            </w:pPr>
          </w:p>
        </w:tc>
      </w:tr>
    </w:tbl>
    <w:p w14:paraId="5916205F" w14:textId="77777777" w:rsidR="001801C2" w:rsidRPr="001801C2" w:rsidRDefault="001801C2" w:rsidP="001801C2">
      <w:pPr>
        <w:jc w:val="center"/>
        <w:rPr>
          <w:b/>
        </w:rPr>
      </w:pPr>
      <w:r w:rsidRPr="001801C2">
        <w:rPr>
          <w:b/>
        </w:rPr>
        <w:t>II. Jautājumi, par kuriem saskaņošanā vienošanās ir panākta</w:t>
      </w:r>
    </w:p>
    <w:p w14:paraId="40E4BCDF" w14:textId="77777777" w:rsidR="001801C2" w:rsidRPr="001801C2" w:rsidRDefault="001801C2" w:rsidP="001801C2">
      <w:pPr>
        <w:jc w:val="both"/>
      </w:pPr>
    </w:p>
    <w:tbl>
      <w:tblPr>
        <w:tblW w:w="14317"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261"/>
        <w:gridCol w:w="3260"/>
        <w:gridCol w:w="3685"/>
        <w:gridCol w:w="3544"/>
      </w:tblGrid>
      <w:tr w:rsidR="001801C2" w:rsidRPr="005C7AB2" w14:paraId="0D6A8E3D" w14:textId="77777777" w:rsidTr="00DD79BC">
        <w:tc>
          <w:tcPr>
            <w:tcW w:w="567" w:type="dxa"/>
            <w:tcBorders>
              <w:top w:val="single" w:sz="4" w:space="0" w:color="auto"/>
              <w:left w:val="single" w:sz="4" w:space="0" w:color="auto"/>
              <w:bottom w:val="single" w:sz="4" w:space="0" w:color="auto"/>
              <w:right w:val="single" w:sz="6" w:space="0" w:color="000000"/>
            </w:tcBorders>
            <w:vAlign w:val="center"/>
          </w:tcPr>
          <w:p w14:paraId="222E811E" w14:textId="77777777" w:rsidR="001801C2" w:rsidRPr="005C7AB2" w:rsidRDefault="001801C2" w:rsidP="00600CB3">
            <w:pPr>
              <w:jc w:val="center"/>
              <w:rPr>
                <w:sz w:val="22"/>
                <w:szCs w:val="22"/>
              </w:rPr>
            </w:pPr>
            <w:r w:rsidRPr="005C7AB2">
              <w:rPr>
                <w:sz w:val="22"/>
                <w:szCs w:val="22"/>
              </w:rPr>
              <w:t>Nr. p.k.</w:t>
            </w:r>
          </w:p>
        </w:tc>
        <w:tc>
          <w:tcPr>
            <w:tcW w:w="3261" w:type="dxa"/>
            <w:tcBorders>
              <w:top w:val="single" w:sz="4" w:space="0" w:color="auto"/>
              <w:left w:val="single" w:sz="6" w:space="0" w:color="000000"/>
              <w:bottom w:val="single" w:sz="4" w:space="0" w:color="auto"/>
              <w:right w:val="single" w:sz="6" w:space="0" w:color="000000"/>
            </w:tcBorders>
            <w:vAlign w:val="center"/>
          </w:tcPr>
          <w:p w14:paraId="6D1C2806" w14:textId="77777777" w:rsidR="001801C2" w:rsidRPr="005C7AB2" w:rsidRDefault="001801C2" w:rsidP="001801C2">
            <w:pPr>
              <w:jc w:val="center"/>
              <w:rPr>
                <w:sz w:val="22"/>
                <w:szCs w:val="22"/>
              </w:rPr>
            </w:pPr>
            <w:r w:rsidRPr="005C7AB2">
              <w:rPr>
                <w:sz w:val="22"/>
                <w:szCs w:val="22"/>
              </w:rPr>
              <w:t>Saskaņošanai nosūtītā projekta redakcija (konkrēta punkta (panta) redakcija)</w:t>
            </w:r>
          </w:p>
        </w:tc>
        <w:tc>
          <w:tcPr>
            <w:tcW w:w="3260" w:type="dxa"/>
            <w:tcBorders>
              <w:top w:val="single" w:sz="4" w:space="0" w:color="auto"/>
              <w:left w:val="single" w:sz="6" w:space="0" w:color="000000"/>
              <w:bottom w:val="single" w:sz="4" w:space="0" w:color="auto"/>
              <w:right w:val="single" w:sz="6" w:space="0" w:color="000000"/>
            </w:tcBorders>
            <w:vAlign w:val="center"/>
          </w:tcPr>
          <w:p w14:paraId="6C385CFF" w14:textId="77777777" w:rsidR="001801C2" w:rsidRPr="005C7AB2" w:rsidRDefault="001801C2" w:rsidP="001801C2">
            <w:pPr>
              <w:ind w:right="3"/>
              <w:jc w:val="center"/>
              <w:rPr>
                <w:sz w:val="22"/>
                <w:szCs w:val="22"/>
              </w:rPr>
            </w:pPr>
            <w:r w:rsidRPr="005C7AB2">
              <w:rPr>
                <w:sz w:val="22"/>
                <w:szCs w:val="22"/>
              </w:rPr>
              <w:t>Atzinumā norādītais ministrijas (citas institūcijas) iebildums, kā arī saskaņošanā papildus izteiktais iebildums par projekta konkrēto punktu (pantu)</w:t>
            </w:r>
          </w:p>
        </w:tc>
        <w:tc>
          <w:tcPr>
            <w:tcW w:w="3685" w:type="dxa"/>
            <w:tcBorders>
              <w:top w:val="single" w:sz="4" w:space="0" w:color="auto"/>
              <w:left w:val="single" w:sz="6" w:space="0" w:color="000000"/>
              <w:bottom w:val="single" w:sz="4" w:space="0" w:color="auto"/>
              <w:right w:val="single" w:sz="6" w:space="0" w:color="000000"/>
            </w:tcBorders>
            <w:vAlign w:val="center"/>
          </w:tcPr>
          <w:p w14:paraId="4954955A" w14:textId="77777777" w:rsidR="001801C2" w:rsidRPr="005C7AB2" w:rsidRDefault="001801C2" w:rsidP="001801C2">
            <w:pPr>
              <w:jc w:val="center"/>
              <w:rPr>
                <w:sz w:val="22"/>
                <w:szCs w:val="22"/>
              </w:rPr>
            </w:pPr>
            <w:r w:rsidRPr="005C7AB2">
              <w:rPr>
                <w:sz w:val="22"/>
                <w:szCs w:val="22"/>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tcBorders>
            <w:vAlign w:val="center"/>
          </w:tcPr>
          <w:p w14:paraId="4CF27B21" w14:textId="77777777" w:rsidR="001801C2" w:rsidRPr="005C7AB2" w:rsidRDefault="001801C2" w:rsidP="001801C2">
            <w:pPr>
              <w:jc w:val="center"/>
              <w:rPr>
                <w:sz w:val="22"/>
                <w:szCs w:val="22"/>
              </w:rPr>
            </w:pPr>
            <w:r w:rsidRPr="005C7AB2">
              <w:rPr>
                <w:sz w:val="22"/>
                <w:szCs w:val="22"/>
              </w:rPr>
              <w:t>Projekta attiecīgā punkta (panta) galīgā redakcija</w:t>
            </w:r>
          </w:p>
        </w:tc>
      </w:tr>
      <w:tr w:rsidR="001801C2" w:rsidRPr="005C7AB2" w14:paraId="4527AEF4" w14:textId="77777777" w:rsidTr="00DD79BC">
        <w:tc>
          <w:tcPr>
            <w:tcW w:w="567" w:type="dxa"/>
            <w:tcBorders>
              <w:top w:val="single" w:sz="4" w:space="0" w:color="auto"/>
              <w:left w:val="single" w:sz="6" w:space="0" w:color="000000"/>
              <w:bottom w:val="single" w:sz="6" w:space="0" w:color="000000"/>
              <w:right w:val="single" w:sz="6" w:space="0" w:color="000000"/>
            </w:tcBorders>
            <w:vAlign w:val="center"/>
          </w:tcPr>
          <w:p w14:paraId="4BDF6731" w14:textId="77777777" w:rsidR="001801C2" w:rsidRPr="00576907" w:rsidRDefault="001801C2" w:rsidP="00576907">
            <w:pPr>
              <w:jc w:val="center"/>
              <w:rPr>
                <w:sz w:val="22"/>
                <w:szCs w:val="22"/>
              </w:rPr>
            </w:pPr>
            <w:r w:rsidRPr="00576907">
              <w:rPr>
                <w:sz w:val="22"/>
                <w:szCs w:val="22"/>
              </w:rPr>
              <w:t>1</w:t>
            </w:r>
          </w:p>
        </w:tc>
        <w:tc>
          <w:tcPr>
            <w:tcW w:w="3261" w:type="dxa"/>
            <w:tcBorders>
              <w:top w:val="single" w:sz="4" w:space="0" w:color="auto"/>
              <w:left w:val="single" w:sz="6" w:space="0" w:color="000000"/>
              <w:bottom w:val="single" w:sz="6" w:space="0" w:color="000000"/>
              <w:right w:val="single" w:sz="6" w:space="0" w:color="000000"/>
            </w:tcBorders>
          </w:tcPr>
          <w:p w14:paraId="5486A302" w14:textId="77777777" w:rsidR="001801C2" w:rsidRPr="005C7AB2" w:rsidRDefault="001801C2" w:rsidP="001801C2">
            <w:pPr>
              <w:jc w:val="center"/>
              <w:rPr>
                <w:sz w:val="20"/>
                <w:szCs w:val="22"/>
              </w:rPr>
            </w:pPr>
            <w:r w:rsidRPr="005C7AB2">
              <w:rPr>
                <w:sz w:val="20"/>
                <w:szCs w:val="22"/>
              </w:rPr>
              <w:t>2</w:t>
            </w:r>
          </w:p>
        </w:tc>
        <w:tc>
          <w:tcPr>
            <w:tcW w:w="3260" w:type="dxa"/>
            <w:tcBorders>
              <w:top w:val="single" w:sz="4" w:space="0" w:color="auto"/>
              <w:left w:val="single" w:sz="6" w:space="0" w:color="000000"/>
              <w:bottom w:val="single" w:sz="6" w:space="0" w:color="000000"/>
              <w:right w:val="single" w:sz="6" w:space="0" w:color="000000"/>
            </w:tcBorders>
          </w:tcPr>
          <w:p w14:paraId="4C286642" w14:textId="77777777" w:rsidR="001801C2" w:rsidRPr="005C7AB2" w:rsidRDefault="001801C2" w:rsidP="001801C2">
            <w:pPr>
              <w:jc w:val="center"/>
              <w:rPr>
                <w:sz w:val="20"/>
                <w:szCs w:val="22"/>
              </w:rPr>
            </w:pPr>
            <w:r w:rsidRPr="005C7AB2">
              <w:rPr>
                <w:sz w:val="20"/>
                <w:szCs w:val="22"/>
              </w:rPr>
              <w:t>3</w:t>
            </w:r>
          </w:p>
        </w:tc>
        <w:tc>
          <w:tcPr>
            <w:tcW w:w="3685" w:type="dxa"/>
            <w:tcBorders>
              <w:top w:val="single" w:sz="4" w:space="0" w:color="auto"/>
              <w:left w:val="single" w:sz="6" w:space="0" w:color="000000"/>
              <w:bottom w:val="single" w:sz="6" w:space="0" w:color="000000"/>
              <w:right w:val="single" w:sz="6" w:space="0" w:color="000000"/>
            </w:tcBorders>
          </w:tcPr>
          <w:p w14:paraId="44E7C659" w14:textId="77777777" w:rsidR="001801C2" w:rsidRPr="005C7AB2" w:rsidRDefault="001801C2" w:rsidP="001801C2">
            <w:pPr>
              <w:jc w:val="center"/>
              <w:rPr>
                <w:sz w:val="20"/>
                <w:szCs w:val="22"/>
              </w:rPr>
            </w:pPr>
            <w:r w:rsidRPr="005C7AB2">
              <w:rPr>
                <w:sz w:val="20"/>
                <w:szCs w:val="22"/>
              </w:rPr>
              <w:t>4</w:t>
            </w:r>
          </w:p>
        </w:tc>
        <w:tc>
          <w:tcPr>
            <w:tcW w:w="3544" w:type="dxa"/>
            <w:tcBorders>
              <w:top w:val="single" w:sz="4" w:space="0" w:color="auto"/>
              <w:left w:val="single" w:sz="4" w:space="0" w:color="auto"/>
              <w:bottom w:val="single" w:sz="4" w:space="0" w:color="auto"/>
            </w:tcBorders>
          </w:tcPr>
          <w:p w14:paraId="0AB10C0B" w14:textId="77777777" w:rsidR="001801C2" w:rsidRPr="005C7AB2" w:rsidRDefault="001801C2" w:rsidP="001801C2">
            <w:pPr>
              <w:jc w:val="center"/>
              <w:rPr>
                <w:sz w:val="20"/>
                <w:szCs w:val="22"/>
              </w:rPr>
            </w:pPr>
            <w:r w:rsidRPr="005C7AB2">
              <w:rPr>
                <w:sz w:val="20"/>
                <w:szCs w:val="22"/>
              </w:rPr>
              <w:t>5</w:t>
            </w:r>
          </w:p>
        </w:tc>
      </w:tr>
      <w:tr w:rsidR="00BD3BCB" w:rsidRPr="005C7AB2" w14:paraId="76D46466" w14:textId="77777777" w:rsidTr="00DD79BC">
        <w:tc>
          <w:tcPr>
            <w:tcW w:w="567" w:type="dxa"/>
            <w:tcBorders>
              <w:top w:val="single" w:sz="4" w:space="0" w:color="auto"/>
              <w:left w:val="single" w:sz="6" w:space="0" w:color="000000"/>
              <w:bottom w:val="single" w:sz="6" w:space="0" w:color="000000"/>
              <w:right w:val="single" w:sz="6" w:space="0" w:color="000000"/>
            </w:tcBorders>
            <w:vAlign w:val="center"/>
          </w:tcPr>
          <w:p w14:paraId="1E6F9FE2" w14:textId="77777777" w:rsidR="00BD3BCB" w:rsidRPr="006F0F2B" w:rsidRDefault="00BD3BCB" w:rsidP="00BD3BCB">
            <w:pPr>
              <w:jc w:val="center"/>
              <w:rPr>
                <w:sz w:val="22"/>
                <w:szCs w:val="22"/>
              </w:rPr>
            </w:pPr>
            <w:r w:rsidRPr="006F0F2B">
              <w:rPr>
                <w:sz w:val="22"/>
                <w:szCs w:val="22"/>
              </w:rPr>
              <w:t>1.</w:t>
            </w:r>
          </w:p>
        </w:tc>
        <w:tc>
          <w:tcPr>
            <w:tcW w:w="3261" w:type="dxa"/>
            <w:tcBorders>
              <w:top w:val="single" w:sz="4" w:space="0" w:color="auto"/>
              <w:left w:val="single" w:sz="6" w:space="0" w:color="000000"/>
              <w:bottom w:val="single" w:sz="4" w:space="0" w:color="auto"/>
              <w:right w:val="single" w:sz="6" w:space="0" w:color="000000"/>
            </w:tcBorders>
          </w:tcPr>
          <w:p w14:paraId="3B556164" w14:textId="77777777" w:rsidR="00BD3BCB" w:rsidRDefault="00BD3BCB" w:rsidP="00BD3BCB">
            <w:pPr>
              <w:jc w:val="both"/>
              <w:rPr>
                <w:sz w:val="22"/>
                <w:szCs w:val="22"/>
                <w:u w:val="single"/>
              </w:rPr>
            </w:pPr>
            <w:r>
              <w:rPr>
                <w:sz w:val="22"/>
                <w:szCs w:val="22"/>
                <w:u w:val="single"/>
              </w:rPr>
              <w:t>Rīkojuma projekta 3. punkts</w:t>
            </w:r>
          </w:p>
          <w:p w14:paraId="55860D52" w14:textId="77777777" w:rsidR="00621A60" w:rsidRDefault="00621A60" w:rsidP="00BD3BCB">
            <w:pPr>
              <w:jc w:val="both"/>
              <w:rPr>
                <w:sz w:val="22"/>
                <w:szCs w:val="22"/>
                <w:u w:val="single"/>
              </w:rPr>
            </w:pPr>
          </w:p>
          <w:p w14:paraId="12B9F462" w14:textId="77777777" w:rsidR="00BD3BCB" w:rsidRPr="00237595" w:rsidRDefault="00BD3BCB" w:rsidP="00BD3BCB">
            <w:pPr>
              <w:jc w:val="both"/>
              <w:rPr>
                <w:sz w:val="22"/>
                <w:szCs w:val="22"/>
              </w:rPr>
            </w:pPr>
            <w:r w:rsidRPr="00237595">
              <w:rPr>
                <w:sz w:val="22"/>
                <w:szCs w:val="22"/>
              </w:rPr>
              <w:t xml:space="preserve">Finanšu ministrijai sadarbībā ar Valsts kanceleju un Vides aizsardzības un reģionālās attīstības ministriju izstrādāt un līdz 2020.gada </w:t>
            </w:r>
            <w:r w:rsidRPr="005E57EF">
              <w:rPr>
                <w:sz w:val="22"/>
                <w:szCs w:val="22"/>
              </w:rPr>
              <w:t xml:space="preserve">15.decembrim </w:t>
            </w:r>
            <w:r w:rsidRPr="00237595">
              <w:rPr>
                <w:sz w:val="22"/>
                <w:szCs w:val="22"/>
              </w:rPr>
              <w:t xml:space="preserve">elektroniski nosūtīt ministriju un iestāžu iekšējā audita struktūrvienībām audita vai konsultācijas apjomu un ieteicamos principus risku vadības valsts pārvaldes pakalpojumu sniegšanā iekšējā audita (konsultācijas) iekļaušanai iekšējā audita stratēģiskajā un gada plānā, kā arī līdz 2021. gada 15. februārim elektroniski nosūtīt risku vadības valsts pārvaldes pakalpojumu sniegšanā iekšējā audita vai konsultācijas vadlīnijas (turpmāk - vadlīnijas). Vadlīnijās iekļaut pārskata struktūru, kādā sniedzama informācija par šā rīkojuma 1. un 2. punktā minēto uzdevumu izpildi.  </w:t>
            </w:r>
          </w:p>
        </w:tc>
        <w:tc>
          <w:tcPr>
            <w:tcW w:w="3260" w:type="dxa"/>
            <w:tcBorders>
              <w:top w:val="single" w:sz="4" w:space="0" w:color="auto"/>
              <w:left w:val="single" w:sz="6" w:space="0" w:color="000000"/>
              <w:bottom w:val="single" w:sz="4" w:space="0" w:color="auto"/>
              <w:right w:val="single" w:sz="6" w:space="0" w:color="000000"/>
            </w:tcBorders>
          </w:tcPr>
          <w:p w14:paraId="02E1152B" w14:textId="77777777" w:rsidR="00BD3BCB" w:rsidRPr="006F00B5" w:rsidRDefault="00BD3BCB" w:rsidP="00FF4CF1">
            <w:pPr>
              <w:jc w:val="center"/>
              <w:rPr>
                <w:b/>
                <w:sz w:val="22"/>
                <w:szCs w:val="22"/>
              </w:rPr>
            </w:pPr>
            <w:r w:rsidRPr="006F00B5">
              <w:rPr>
                <w:b/>
                <w:sz w:val="22"/>
                <w:szCs w:val="22"/>
              </w:rPr>
              <w:t>Valsts kanceleja:</w:t>
            </w:r>
          </w:p>
          <w:p w14:paraId="0FF5C3A1" w14:textId="77777777" w:rsidR="00BD3BCB" w:rsidRPr="00BD3BCB" w:rsidRDefault="00BD3BCB" w:rsidP="00BD3BCB">
            <w:pPr>
              <w:jc w:val="center"/>
              <w:rPr>
                <w:i/>
                <w:sz w:val="22"/>
                <w:szCs w:val="22"/>
                <w:highlight w:val="yellow"/>
              </w:rPr>
            </w:pPr>
            <w:r w:rsidRPr="00BD3BCB">
              <w:rPr>
                <w:i/>
                <w:sz w:val="22"/>
                <w:szCs w:val="22"/>
              </w:rPr>
              <w:t>(iebildums)</w:t>
            </w:r>
          </w:p>
          <w:p w14:paraId="625EA306" w14:textId="77777777" w:rsidR="006F00B5" w:rsidRDefault="006F00B5" w:rsidP="00BD3BCB">
            <w:pPr>
              <w:ind w:firstLine="314"/>
              <w:jc w:val="both"/>
              <w:rPr>
                <w:sz w:val="22"/>
                <w:szCs w:val="22"/>
              </w:rPr>
            </w:pPr>
          </w:p>
          <w:p w14:paraId="63A0FC1D" w14:textId="77777777" w:rsidR="00BD3BCB" w:rsidRPr="00107D93" w:rsidRDefault="00BD3BCB" w:rsidP="006F00B5">
            <w:pPr>
              <w:ind w:firstLine="31"/>
              <w:jc w:val="both"/>
              <w:rPr>
                <w:sz w:val="22"/>
                <w:szCs w:val="22"/>
              </w:rPr>
            </w:pPr>
            <w:r w:rsidRPr="00107D93">
              <w:rPr>
                <w:sz w:val="22"/>
                <w:szCs w:val="22"/>
              </w:rPr>
              <w:t xml:space="preserve">Lai gan prasības noteikt, analizēt un novērtēt riskus kā iekšējās kontroles sistēmas pamatprasības, ir spēkā kopš 2012. gada (2012. gada 8. maija MK noteikumi Nr.326 "Noteikumi par iekšējās kontroles sistēmu tiešās pārvaldes iestādēs"), risku vadība pašlaik ir ieviesta (t.sk. ar normatīviem aktiem) tikai atsevišķajās jomās, procesos (piemēram, korupcijas risku novēršana, struktūrfondu apgūšana), taču lielākai daļai valsts pārvaldes institūciju risku vadība nav izveidota un nedarbojas (anotācijas 1. sadaļas 2. punkta 2. lpp.). Līdz ar to, aicinām pārskatīt rīkojuma projekta 3. punktā paredzēto uzdevumu “līdz 2020. gada 15. decembrim elektroniski nosūtīt ministriju un iestāžu iekšējā audita struktūrvienībām audita vai </w:t>
            </w:r>
            <w:r w:rsidRPr="00107D93">
              <w:rPr>
                <w:sz w:val="22"/>
                <w:szCs w:val="22"/>
              </w:rPr>
              <w:lastRenderedPageBreak/>
              <w:t xml:space="preserve">konsultācijas apjomu un ieteicamos principus risku vadības iekšējā audita (konsultācijas) iekļaušanai iekšējā audita stratēģiskajā un gada plānā”. </w:t>
            </w:r>
          </w:p>
          <w:p w14:paraId="31F4C3B2" w14:textId="77777777" w:rsidR="006F00B5" w:rsidRDefault="006F00B5" w:rsidP="006F00B5">
            <w:pPr>
              <w:jc w:val="both"/>
              <w:rPr>
                <w:sz w:val="22"/>
                <w:szCs w:val="22"/>
              </w:rPr>
            </w:pPr>
          </w:p>
          <w:p w14:paraId="3EB2447C" w14:textId="77777777" w:rsidR="00BD3BCB" w:rsidRPr="00107D93" w:rsidRDefault="00BD3BCB" w:rsidP="006F00B5">
            <w:pPr>
              <w:jc w:val="both"/>
              <w:rPr>
                <w:sz w:val="22"/>
                <w:szCs w:val="22"/>
              </w:rPr>
            </w:pPr>
            <w:r w:rsidRPr="00107D93">
              <w:rPr>
                <w:sz w:val="22"/>
                <w:szCs w:val="22"/>
              </w:rPr>
              <w:t>Saskaņā ar MK 2003. gada 29. aprīļa noteikumu Nr.239 “Finanšu ministrijas nolikums” 5.1. apakšpunktu funkciju izpildei FM izstrādā un īsteno iekšējā audita politiku. Iekšējā audita profesionālās prakses starptautiskie standarti (2120 Risku vadīšana) nosaka, ka iekšējā audita struktūrvienībai jāizvērtē risku vadības procesu efektivitāte un jāveicina to pilnveidošana. Anotācijā noteikts, ka “...Ministrijās un iestādēs bieži vien ir formāla pieeja risku vadībai un tā pēc būtības nav iedzīvināta ikdienas procesos, jo pastāv atšķirīga izpratne par veicamo pasākumu apjomu un pieeju, lai Ministru kabineta  noteiktās prasības par risku vadību ieviestu praksē. Ņemot vērā, ka pienācīgi ieviesta risku vadības sistēma kalpo par pamatu efektīvai iekšējās kontroles sistēmai un procesiem, valsts pārvaldē būtu jāievieš dzīvotspējīga risku vadība”.</w:t>
            </w:r>
          </w:p>
          <w:p w14:paraId="57FA31DF" w14:textId="77777777" w:rsidR="006F00B5" w:rsidRDefault="006F00B5" w:rsidP="006F00B5">
            <w:pPr>
              <w:ind w:firstLine="31"/>
              <w:jc w:val="both"/>
              <w:rPr>
                <w:sz w:val="22"/>
                <w:szCs w:val="22"/>
              </w:rPr>
            </w:pPr>
          </w:p>
          <w:p w14:paraId="34581646" w14:textId="77777777" w:rsidR="00BD3BCB" w:rsidRDefault="00BD3BCB" w:rsidP="006F00B5">
            <w:pPr>
              <w:jc w:val="both"/>
              <w:rPr>
                <w:sz w:val="22"/>
                <w:szCs w:val="22"/>
              </w:rPr>
            </w:pPr>
            <w:r w:rsidRPr="00107D93">
              <w:rPr>
                <w:sz w:val="22"/>
                <w:szCs w:val="22"/>
              </w:rPr>
              <w:lastRenderedPageBreak/>
              <w:t>Uzskatām, ka esošajā stadijā lietderīgāk būtu veikt risku vadības diagnosticējošo ārējo novērtējumu, lai neatkarīgi un objektīvi noskaidrotu, kādā apjomā risku vadības principi faktiski ir iev</w:t>
            </w:r>
            <w:r>
              <w:rPr>
                <w:sz w:val="22"/>
                <w:szCs w:val="22"/>
              </w:rPr>
              <w:t>iesti valsts pārvaldes iestādē.</w:t>
            </w:r>
          </w:p>
          <w:p w14:paraId="325B423D" w14:textId="77777777" w:rsidR="00BD3BCB" w:rsidRDefault="00BD3BCB" w:rsidP="00BD3BCB">
            <w:pPr>
              <w:ind w:firstLine="720"/>
              <w:jc w:val="both"/>
              <w:rPr>
                <w:sz w:val="22"/>
                <w:szCs w:val="22"/>
              </w:rPr>
            </w:pPr>
          </w:p>
          <w:p w14:paraId="34DCE042" w14:textId="77777777" w:rsidR="00BD3BCB" w:rsidRPr="00BD3BCB" w:rsidRDefault="00BD3BCB" w:rsidP="00BD3BCB">
            <w:pPr>
              <w:ind w:firstLine="720"/>
              <w:jc w:val="both"/>
              <w:rPr>
                <w:i/>
                <w:sz w:val="22"/>
                <w:szCs w:val="22"/>
              </w:rPr>
            </w:pPr>
            <w:r w:rsidRPr="00BD3BCB">
              <w:rPr>
                <w:i/>
                <w:sz w:val="22"/>
                <w:szCs w:val="22"/>
              </w:rPr>
              <w:t>(iebildums)</w:t>
            </w:r>
          </w:p>
          <w:p w14:paraId="18940970" w14:textId="77777777" w:rsidR="00BD3BCB" w:rsidRPr="00107D93" w:rsidRDefault="00BD3BCB" w:rsidP="006F00B5">
            <w:pPr>
              <w:jc w:val="both"/>
              <w:rPr>
                <w:sz w:val="22"/>
                <w:szCs w:val="22"/>
              </w:rPr>
            </w:pPr>
            <w:r w:rsidRPr="000876B9">
              <w:rPr>
                <w:sz w:val="22"/>
                <w:szCs w:val="22"/>
              </w:rPr>
              <w:t>Aicinām pārskatīt rīkojuma projekta 3.punktā paredzētā uzdevuma “līdz 2021. gada 15. februārim elektroniski nosūtīt risku vadības iekšējā audita vai konsultācijas vadlīnijas” izpildes termiņu, jo esošajā stadijā šim uzdevumam nav steidzamības pamatojums, taču pastāv riski tā jēgpilnai īstenošanai. Uzskatām, ka attiecībā uz risku vadību uzdevumi ir jānosaka loģiskajā secībā, sākot ar šo iekšējās kontroles sistēmas prasību ieviešanu. Līdz ar to, ierosinām noteikt jēgpilnu izpildes termiņu šim uzdevumam.</w:t>
            </w:r>
          </w:p>
        </w:tc>
        <w:tc>
          <w:tcPr>
            <w:tcW w:w="3685" w:type="dxa"/>
            <w:tcBorders>
              <w:top w:val="single" w:sz="4" w:space="0" w:color="auto"/>
              <w:left w:val="single" w:sz="6" w:space="0" w:color="000000"/>
              <w:bottom w:val="single" w:sz="6" w:space="0" w:color="000000"/>
              <w:right w:val="single" w:sz="6" w:space="0" w:color="000000"/>
            </w:tcBorders>
          </w:tcPr>
          <w:p w14:paraId="6E336A85" w14:textId="77777777" w:rsidR="00836BC8" w:rsidRPr="006F00B5" w:rsidRDefault="00836BC8" w:rsidP="00836BC8">
            <w:pPr>
              <w:ind w:firstLine="284"/>
              <w:jc w:val="center"/>
              <w:rPr>
                <w:b/>
                <w:sz w:val="22"/>
                <w:szCs w:val="22"/>
              </w:rPr>
            </w:pPr>
            <w:r w:rsidRPr="006F00B5">
              <w:rPr>
                <w:b/>
                <w:sz w:val="22"/>
                <w:szCs w:val="22"/>
              </w:rPr>
              <w:lastRenderedPageBreak/>
              <w:t>Ņemts vērā</w:t>
            </w:r>
          </w:p>
          <w:p w14:paraId="79C73826" w14:textId="473FAEBF" w:rsidR="004A4B6D" w:rsidRPr="004A4B6D" w:rsidRDefault="004A4B6D" w:rsidP="00C15E90">
            <w:pPr>
              <w:jc w:val="both"/>
              <w:rPr>
                <w:b/>
                <w:sz w:val="22"/>
                <w:szCs w:val="22"/>
              </w:rPr>
            </w:pPr>
            <w:r w:rsidRPr="004A4B6D">
              <w:rPr>
                <w:b/>
                <w:sz w:val="22"/>
                <w:szCs w:val="22"/>
              </w:rPr>
              <w:t xml:space="preserve">Panākta vienošanās pirms </w:t>
            </w:r>
            <w:r>
              <w:rPr>
                <w:b/>
                <w:sz w:val="22"/>
                <w:szCs w:val="22"/>
              </w:rPr>
              <w:t xml:space="preserve">2020.gada </w:t>
            </w:r>
            <w:r w:rsidRPr="004A4B6D">
              <w:rPr>
                <w:b/>
                <w:sz w:val="22"/>
                <w:szCs w:val="22"/>
              </w:rPr>
              <w:t>21.</w:t>
            </w:r>
            <w:r>
              <w:rPr>
                <w:b/>
                <w:sz w:val="22"/>
                <w:szCs w:val="22"/>
              </w:rPr>
              <w:t>decembra</w:t>
            </w:r>
            <w:r w:rsidRPr="004A4B6D">
              <w:rPr>
                <w:b/>
                <w:sz w:val="22"/>
                <w:szCs w:val="22"/>
              </w:rPr>
              <w:t xml:space="preserve"> elektroniskās saskaņošanas.</w:t>
            </w:r>
          </w:p>
          <w:p w14:paraId="30352B80" w14:textId="4B078006" w:rsidR="00875B25" w:rsidRDefault="00875B25" w:rsidP="00C15E90">
            <w:pPr>
              <w:jc w:val="both"/>
              <w:rPr>
                <w:sz w:val="22"/>
                <w:szCs w:val="22"/>
              </w:rPr>
            </w:pPr>
            <w:r>
              <w:rPr>
                <w:sz w:val="22"/>
                <w:szCs w:val="22"/>
              </w:rPr>
              <w:t>Pr</w:t>
            </w:r>
            <w:r w:rsidRPr="00F4584C">
              <w:rPr>
                <w:sz w:val="22"/>
                <w:szCs w:val="22"/>
              </w:rPr>
              <w:t>ecizēts iekšējiem auditoriem paredzēto vadlīniju izstrādes</w:t>
            </w:r>
            <w:r w:rsidR="006F6D44">
              <w:rPr>
                <w:sz w:val="22"/>
                <w:szCs w:val="22"/>
              </w:rPr>
              <w:t xml:space="preserve"> un prioritātes īstenošanas rezultātu iesniegšanas</w:t>
            </w:r>
            <w:r w:rsidRPr="00F4584C">
              <w:rPr>
                <w:sz w:val="22"/>
                <w:szCs w:val="22"/>
              </w:rPr>
              <w:t xml:space="preserve"> termiņš, vadlīniju sagatavošanā iesaistītās institūcijas, svītrojot Valsts kanceleju, kā arī </w:t>
            </w:r>
            <w:r w:rsidR="00076329">
              <w:rPr>
                <w:sz w:val="22"/>
                <w:szCs w:val="22"/>
              </w:rPr>
              <w:t xml:space="preserve">precizēta un </w:t>
            </w:r>
            <w:r w:rsidRPr="00F4584C">
              <w:rPr>
                <w:sz w:val="22"/>
                <w:szCs w:val="22"/>
              </w:rPr>
              <w:t>papildināta anotācija</w:t>
            </w:r>
            <w:r w:rsidR="00076329">
              <w:rPr>
                <w:sz w:val="22"/>
                <w:szCs w:val="22"/>
              </w:rPr>
              <w:t>.</w:t>
            </w:r>
            <w:r w:rsidR="00B74D8A">
              <w:rPr>
                <w:sz w:val="22"/>
                <w:szCs w:val="22"/>
              </w:rPr>
              <w:t xml:space="preserve"> Papildus skaidrots, ka 2021.gada prioritāte ir</w:t>
            </w:r>
            <w:r w:rsidR="00B74D8A" w:rsidRPr="00B74D8A">
              <w:rPr>
                <w:sz w:val="22"/>
                <w:szCs w:val="22"/>
              </w:rPr>
              <w:t xml:space="preserve"> īstenojama kā pilotprojekts un ir viena no kompleksa risinājuma komponentēm risku vadības procesu stiprināšanai un brieduma līmeņa paaugstināšanai valsts pārvaldē.</w:t>
            </w:r>
          </w:p>
          <w:p w14:paraId="0538F720" w14:textId="77777777" w:rsidR="006F6D44" w:rsidRDefault="006F6D44" w:rsidP="00C15E90">
            <w:pPr>
              <w:jc w:val="both"/>
              <w:rPr>
                <w:sz w:val="22"/>
                <w:szCs w:val="22"/>
              </w:rPr>
            </w:pPr>
          </w:p>
          <w:p w14:paraId="537F403C" w14:textId="6408D016" w:rsidR="006F6D44" w:rsidRDefault="006F6D44" w:rsidP="006F6D44">
            <w:pPr>
              <w:jc w:val="both"/>
              <w:rPr>
                <w:sz w:val="22"/>
                <w:szCs w:val="22"/>
              </w:rPr>
            </w:pPr>
            <w:r>
              <w:rPr>
                <w:sz w:val="22"/>
                <w:szCs w:val="22"/>
              </w:rPr>
              <w:t xml:space="preserve">Finanšu ministrija vērš uzmanību, ka tiesiskā regulējuma </w:t>
            </w:r>
            <w:r w:rsidR="00B74D8A">
              <w:rPr>
                <w:sz w:val="22"/>
                <w:szCs w:val="22"/>
              </w:rPr>
              <w:t xml:space="preserve">pilnvarojums un </w:t>
            </w:r>
            <w:r>
              <w:rPr>
                <w:sz w:val="22"/>
                <w:szCs w:val="22"/>
              </w:rPr>
              <w:t xml:space="preserve">mērķis ir </w:t>
            </w:r>
            <w:r w:rsidRPr="00551CC0">
              <w:rPr>
                <w:sz w:val="22"/>
                <w:szCs w:val="22"/>
              </w:rPr>
              <w:t>noteikt</w:t>
            </w:r>
            <w:r>
              <w:rPr>
                <w:sz w:val="22"/>
                <w:szCs w:val="22"/>
              </w:rPr>
              <w:t xml:space="preserve"> valsts pārvaldes</w:t>
            </w:r>
            <w:r w:rsidRPr="00551CC0">
              <w:rPr>
                <w:sz w:val="22"/>
                <w:szCs w:val="22"/>
              </w:rPr>
              <w:t xml:space="preserve"> </w:t>
            </w:r>
            <w:r w:rsidRPr="00B74D8A">
              <w:rPr>
                <w:sz w:val="22"/>
                <w:szCs w:val="22"/>
                <w:u w:val="single"/>
              </w:rPr>
              <w:t>iekšējā audita struktūrvienībām</w:t>
            </w:r>
            <w:r>
              <w:rPr>
                <w:sz w:val="22"/>
                <w:szCs w:val="22"/>
              </w:rPr>
              <w:t xml:space="preserve"> veicamos uzdevumus, īstenojot tos esošo budžeta līdzekļu ietvaros. </w:t>
            </w:r>
          </w:p>
          <w:p w14:paraId="6C7F36B0" w14:textId="77777777" w:rsidR="006F6D44" w:rsidRDefault="006F6D44" w:rsidP="00C15E90">
            <w:pPr>
              <w:jc w:val="both"/>
              <w:rPr>
                <w:sz w:val="22"/>
                <w:szCs w:val="22"/>
              </w:rPr>
            </w:pPr>
          </w:p>
          <w:p w14:paraId="537CC684" w14:textId="530A6FF4" w:rsidR="00725D9E" w:rsidRDefault="00725D9E" w:rsidP="00725D9E">
            <w:pPr>
              <w:jc w:val="both"/>
              <w:rPr>
                <w:sz w:val="22"/>
                <w:szCs w:val="22"/>
              </w:rPr>
            </w:pPr>
            <w:r w:rsidRPr="00894111">
              <w:rPr>
                <w:sz w:val="22"/>
                <w:szCs w:val="22"/>
              </w:rPr>
              <w:lastRenderedPageBreak/>
              <w:t xml:space="preserve">Finanšu ministrija </w:t>
            </w:r>
            <w:r w:rsidR="009553E2">
              <w:rPr>
                <w:sz w:val="22"/>
                <w:szCs w:val="22"/>
              </w:rPr>
              <w:t xml:space="preserve">kopējo valsts pārvaldē auditējamo prioritāšu </w:t>
            </w:r>
            <w:r w:rsidRPr="00894111">
              <w:rPr>
                <w:sz w:val="22"/>
                <w:szCs w:val="22"/>
              </w:rPr>
              <w:t xml:space="preserve">īstenošanu </w:t>
            </w:r>
            <w:r w:rsidR="009553E2" w:rsidRPr="00894111">
              <w:rPr>
                <w:sz w:val="22"/>
                <w:szCs w:val="22"/>
              </w:rPr>
              <w:t xml:space="preserve">organizē </w:t>
            </w:r>
            <w:r w:rsidRPr="00894111">
              <w:rPr>
                <w:sz w:val="22"/>
                <w:szCs w:val="22"/>
              </w:rPr>
              <w:t>kopš 2010.gad</w:t>
            </w:r>
            <w:r>
              <w:rPr>
                <w:sz w:val="22"/>
                <w:szCs w:val="22"/>
              </w:rPr>
              <w:t>a</w:t>
            </w:r>
            <w:r w:rsidRPr="00894111">
              <w:rPr>
                <w:sz w:val="22"/>
                <w:szCs w:val="22"/>
              </w:rPr>
              <w:t>. Termiņi rīkojumā ir noteikti, balstoties uz Finanšu ministrijas pie</w:t>
            </w:r>
            <w:r>
              <w:rPr>
                <w:sz w:val="22"/>
                <w:szCs w:val="22"/>
              </w:rPr>
              <w:t>redzi prioritāro auditu metodiku</w:t>
            </w:r>
            <w:r w:rsidRPr="00894111">
              <w:rPr>
                <w:sz w:val="22"/>
                <w:szCs w:val="22"/>
              </w:rPr>
              <w:t xml:space="preserve"> izstrād</w:t>
            </w:r>
            <w:r>
              <w:rPr>
                <w:sz w:val="22"/>
                <w:szCs w:val="22"/>
              </w:rPr>
              <w:t>ē</w:t>
            </w:r>
            <w:r w:rsidR="009553E2">
              <w:rPr>
                <w:sz w:val="22"/>
                <w:szCs w:val="22"/>
              </w:rPr>
              <w:t>.</w:t>
            </w:r>
            <w:r w:rsidRPr="00894111">
              <w:rPr>
                <w:sz w:val="22"/>
                <w:szCs w:val="22"/>
              </w:rPr>
              <w:t xml:space="preserve"> </w:t>
            </w:r>
          </w:p>
          <w:p w14:paraId="503A6D3D" w14:textId="51697A49" w:rsidR="006F00B5" w:rsidRDefault="005F220C" w:rsidP="006F00B5">
            <w:pPr>
              <w:jc w:val="both"/>
              <w:rPr>
                <w:sz w:val="22"/>
                <w:szCs w:val="22"/>
              </w:rPr>
            </w:pPr>
            <w:r>
              <w:rPr>
                <w:sz w:val="22"/>
                <w:szCs w:val="22"/>
              </w:rPr>
              <w:t>I</w:t>
            </w:r>
            <w:r w:rsidR="006F00B5" w:rsidRPr="006F00B5">
              <w:rPr>
                <w:sz w:val="22"/>
                <w:szCs w:val="22"/>
              </w:rPr>
              <w:t xml:space="preserve">ekšējā audita prioritāte 2021.gadam </w:t>
            </w:r>
            <w:r w:rsidR="00A92EC2">
              <w:rPr>
                <w:sz w:val="22"/>
                <w:szCs w:val="22"/>
              </w:rPr>
              <w:t xml:space="preserve">ir </w:t>
            </w:r>
            <w:r w:rsidR="006F00B5" w:rsidRPr="006F00B5">
              <w:rPr>
                <w:sz w:val="22"/>
                <w:szCs w:val="22"/>
              </w:rPr>
              <w:t xml:space="preserve">noteikta, balstoties uz valsts pārvaldes iestāžu vadītāju </w:t>
            </w:r>
            <w:r w:rsidR="00B21C45">
              <w:rPr>
                <w:sz w:val="22"/>
                <w:szCs w:val="22"/>
              </w:rPr>
              <w:t xml:space="preserve">un </w:t>
            </w:r>
            <w:r w:rsidR="00B21C45" w:rsidRPr="006F00B5">
              <w:rPr>
                <w:sz w:val="22"/>
                <w:szCs w:val="22"/>
              </w:rPr>
              <w:t xml:space="preserve">iekšējo auditu struktūrvienību </w:t>
            </w:r>
            <w:r w:rsidR="006F00B5" w:rsidRPr="006F00B5">
              <w:rPr>
                <w:sz w:val="22"/>
                <w:szCs w:val="22"/>
              </w:rPr>
              <w:t>aptaujas rezultātiem 2019.gadā un 2020.gadā</w:t>
            </w:r>
            <w:r w:rsidR="002B63A8">
              <w:rPr>
                <w:sz w:val="22"/>
                <w:szCs w:val="22"/>
              </w:rPr>
              <w:t>, kā arī citas informācijas analīzi.</w:t>
            </w:r>
            <w:r w:rsidR="006F00B5" w:rsidRPr="006F00B5">
              <w:rPr>
                <w:sz w:val="22"/>
                <w:szCs w:val="22"/>
              </w:rPr>
              <w:t xml:space="preserve"> </w:t>
            </w:r>
            <w:r w:rsidR="009A61BF">
              <w:rPr>
                <w:sz w:val="22"/>
                <w:szCs w:val="22"/>
              </w:rPr>
              <w:t xml:space="preserve">Pirms </w:t>
            </w:r>
            <w:r w:rsidR="009553E2">
              <w:rPr>
                <w:sz w:val="22"/>
                <w:szCs w:val="22"/>
              </w:rPr>
              <w:t xml:space="preserve">Ministru kabineta </w:t>
            </w:r>
            <w:r w:rsidR="009A61BF">
              <w:rPr>
                <w:sz w:val="22"/>
                <w:szCs w:val="22"/>
              </w:rPr>
              <w:t xml:space="preserve">rīkojuma projekta virzības </w:t>
            </w:r>
            <w:r w:rsidR="009553E2">
              <w:rPr>
                <w:sz w:val="22"/>
                <w:szCs w:val="22"/>
              </w:rPr>
              <w:t xml:space="preserve">uz VSS un MK </w:t>
            </w:r>
            <w:r w:rsidR="009A61BF">
              <w:rPr>
                <w:sz w:val="22"/>
                <w:szCs w:val="22"/>
              </w:rPr>
              <w:t>tika saņemts iesaistīto pušu</w:t>
            </w:r>
            <w:r w:rsidR="00B74D8A">
              <w:rPr>
                <w:sz w:val="22"/>
                <w:szCs w:val="22"/>
              </w:rPr>
              <w:t xml:space="preserve"> (ministriju, vadītāju, auditoru)</w:t>
            </w:r>
            <w:r w:rsidR="009A61BF">
              <w:rPr>
                <w:sz w:val="22"/>
                <w:szCs w:val="22"/>
              </w:rPr>
              <w:t xml:space="preserve"> atbalsts 2021.gada prioritātes īstenošanai</w:t>
            </w:r>
            <w:r w:rsidR="00614407">
              <w:rPr>
                <w:sz w:val="22"/>
                <w:szCs w:val="22"/>
              </w:rPr>
              <w:t>, ieskaitot vadlīniju sagatavošanu</w:t>
            </w:r>
            <w:r w:rsidR="009A61BF">
              <w:rPr>
                <w:sz w:val="22"/>
                <w:szCs w:val="22"/>
              </w:rPr>
              <w:t xml:space="preserve">. </w:t>
            </w:r>
          </w:p>
          <w:p w14:paraId="448323E9" w14:textId="77777777" w:rsidR="005F220C" w:rsidRDefault="005F220C" w:rsidP="006F00B5">
            <w:pPr>
              <w:jc w:val="both"/>
              <w:rPr>
                <w:sz w:val="22"/>
                <w:szCs w:val="22"/>
              </w:rPr>
            </w:pPr>
          </w:p>
          <w:p w14:paraId="6F6A52F9" w14:textId="33204160" w:rsidR="00D57EBE" w:rsidRDefault="006F6D44" w:rsidP="006F00B5">
            <w:pPr>
              <w:jc w:val="both"/>
              <w:rPr>
                <w:sz w:val="22"/>
                <w:szCs w:val="22"/>
              </w:rPr>
            </w:pPr>
            <w:r>
              <w:rPr>
                <w:sz w:val="22"/>
                <w:szCs w:val="22"/>
              </w:rPr>
              <w:t xml:space="preserve">Atbilstoši Iekšējā audita likumam iekšējais audits ir </w:t>
            </w:r>
            <w:r w:rsidRPr="0052457F">
              <w:rPr>
                <w:sz w:val="22"/>
                <w:szCs w:val="22"/>
              </w:rPr>
              <w:t>iekšējā auditora neatkarīga un objektīva darbība, kuras rezultātā tiek sniegts iekšējās kontroles sistēmas darbības novērtējums, lai pilnveidotu iekšējās kontroles sistēmas darbību ministrijā un iestādē</w:t>
            </w:r>
            <w:r>
              <w:rPr>
                <w:sz w:val="22"/>
                <w:szCs w:val="22"/>
              </w:rPr>
              <w:t xml:space="preserve">. </w:t>
            </w:r>
            <w:r w:rsidR="00B74D8A">
              <w:rPr>
                <w:sz w:val="22"/>
                <w:szCs w:val="22"/>
              </w:rPr>
              <w:t>Vienlaikus iekšējie auditori pilda arī padomdevēja funkcijas, sniedzot konsultatīvos pakalpojumus. Abos gadījumos i</w:t>
            </w:r>
            <w:r w:rsidR="00D57EBE" w:rsidRPr="00D57EBE">
              <w:rPr>
                <w:sz w:val="22"/>
                <w:szCs w:val="22"/>
              </w:rPr>
              <w:t>ekšējā audita darbība</w:t>
            </w:r>
            <w:r w:rsidR="005F220C">
              <w:rPr>
                <w:sz w:val="22"/>
                <w:szCs w:val="22"/>
              </w:rPr>
              <w:t>i jābūt</w:t>
            </w:r>
            <w:r w:rsidR="00D57EBE" w:rsidRPr="00D57EBE">
              <w:rPr>
                <w:sz w:val="22"/>
                <w:szCs w:val="22"/>
              </w:rPr>
              <w:t xml:space="preserve"> pārdomāta</w:t>
            </w:r>
            <w:r w:rsidR="005F220C">
              <w:rPr>
                <w:sz w:val="22"/>
                <w:szCs w:val="22"/>
              </w:rPr>
              <w:t>i</w:t>
            </w:r>
            <w:r w:rsidR="00D57EBE" w:rsidRPr="00D57EBE">
              <w:rPr>
                <w:sz w:val="22"/>
                <w:szCs w:val="22"/>
              </w:rPr>
              <w:t xml:space="preserve"> un uz nākotni vērsta</w:t>
            </w:r>
            <w:r w:rsidR="005F220C">
              <w:rPr>
                <w:sz w:val="22"/>
                <w:szCs w:val="22"/>
              </w:rPr>
              <w:t>i</w:t>
            </w:r>
            <w:r w:rsidR="00D57EBE" w:rsidRPr="00D57EBE">
              <w:rPr>
                <w:sz w:val="22"/>
                <w:szCs w:val="22"/>
              </w:rPr>
              <w:t xml:space="preserve">. Iekšējā audita uzticamība un vērtība tiek vairota, ja auditora darbības ir </w:t>
            </w:r>
            <w:proofErr w:type="spellStart"/>
            <w:r w:rsidR="00D57EBE" w:rsidRPr="00D57EBE">
              <w:rPr>
                <w:sz w:val="22"/>
                <w:szCs w:val="22"/>
              </w:rPr>
              <w:t>proaktīvas</w:t>
            </w:r>
            <w:proofErr w:type="spellEnd"/>
            <w:r w:rsidR="00D57EBE" w:rsidRPr="00D57EBE">
              <w:rPr>
                <w:sz w:val="22"/>
                <w:szCs w:val="22"/>
              </w:rPr>
              <w:t xml:space="preserve"> un novērojumi piedāvā jaunu skatījumu.</w:t>
            </w:r>
          </w:p>
          <w:p w14:paraId="07776408" w14:textId="11541FD1" w:rsidR="006F00B5" w:rsidRDefault="006F00B5" w:rsidP="006F00B5">
            <w:pPr>
              <w:jc w:val="both"/>
              <w:rPr>
                <w:sz w:val="22"/>
                <w:szCs w:val="22"/>
              </w:rPr>
            </w:pPr>
            <w:r w:rsidRPr="006F00B5">
              <w:rPr>
                <w:sz w:val="22"/>
                <w:szCs w:val="22"/>
              </w:rPr>
              <w:lastRenderedPageBreak/>
              <w:t xml:space="preserve">Ņemot vērā, ka iekšējā audita funkcijas </w:t>
            </w:r>
            <w:r w:rsidR="0006570F">
              <w:rPr>
                <w:sz w:val="22"/>
                <w:szCs w:val="22"/>
              </w:rPr>
              <w:t>uzdevumi</w:t>
            </w:r>
            <w:r w:rsidRPr="006F00B5">
              <w:rPr>
                <w:sz w:val="22"/>
                <w:szCs w:val="22"/>
              </w:rPr>
              <w:t xml:space="preserve"> ir ne </w:t>
            </w:r>
            <w:r w:rsidR="005F220C">
              <w:rPr>
                <w:sz w:val="22"/>
                <w:szCs w:val="22"/>
              </w:rPr>
              <w:t>vien</w:t>
            </w:r>
            <w:r w:rsidRPr="006F00B5">
              <w:rPr>
                <w:sz w:val="22"/>
                <w:szCs w:val="22"/>
              </w:rPr>
              <w:t xml:space="preserve"> </w:t>
            </w:r>
            <w:r w:rsidR="005F220C">
              <w:rPr>
                <w:sz w:val="22"/>
                <w:szCs w:val="22"/>
              </w:rPr>
              <w:t>sniegt pārliecības pakalpojumus un novērtēt iekšējās kontroles sistēmas darbības efektivitāti (veikt iekšējos auditus)</w:t>
            </w:r>
            <w:r w:rsidRPr="006F00B5">
              <w:rPr>
                <w:sz w:val="22"/>
                <w:szCs w:val="22"/>
              </w:rPr>
              <w:t xml:space="preserve">, bet arī konsultēt, </w:t>
            </w:r>
            <w:r w:rsidR="005F220C">
              <w:rPr>
                <w:sz w:val="22"/>
                <w:szCs w:val="22"/>
              </w:rPr>
              <w:t>2021.gada auditējamās prioritātes īstenošanā iekšējie auditori atbilstoši situācijai attiecīgajā audita vidē varēs izvēlēties, vai sniegt konsultāciju, vai veikt iekšējo auditu</w:t>
            </w:r>
            <w:r w:rsidR="006F6D44">
              <w:rPr>
                <w:sz w:val="22"/>
                <w:szCs w:val="22"/>
              </w:rPr>
              <w:t xml:space="preserve"> (vadlīnijās tiks </w:t>
            </w:r>
            <w:r w:rsidR="005F220C">
              <w:rPr>
                <w:sz w:val="22"/>
                <w:szCs w:val="22"/>
              </w:rPr>
              <w:t xml:space="preserve">ietverti </w:t>
            </w:r>
            <w:r w:rsidR="006F6D44">
              <w:rPr>
                <w:sz w:val="22"/>
                <w:szCs w:val="22"/>
              </w:rPr>
              <w:t>attiecīgi</w:t>
            </w:r>
            <w:r w:rsidR="005F220C">
              <w:rPr>
                <w:sz w:val="22"/>
                <w:szCs w:val="22"/>
              </w:rPr>
              <w:t xml:space="preserve"> varianti</w:t>
            </w:r>
            <w:r w:rsidR="006F6D44">
              <w:rPr>
                <w:sz w:val="22"/>
                <w:szCs w:val="22"/>
              </w:rPr>
              <w:t>, tostarp, rīcības gadījumos kad šāds audits iestādē jau ir veikts iepriekš, kā arī vadlīnijās tiks</w:t>
            </w:r>
            <w:r w:rsidR="006F6D44" w:rsidRPr="006F00B5">
              <w:rPr>
                <w:sz w:val="22"/>
                <w:szCs w:val="22"/>
              </w:rPr>
              <w:t xml:space="preserve">  piedāvā</w:t>
            </w:r>
            <w:r w:rsidR="006F6D44">
              <w:rPr>
                <w:sz w:val="22"/>
                <w:szCs w:val="22"/>
              </w:rPr>
              <w:t>ta</w:t>
            </w:r>
            <w:r w:rsidR="006F6D44" w:rsidRPr="006F00B5">
              <w:rPr>
                <w:sz w:val="22"/>
                <w:szCs w:val="22"/>
              </w:rPr>
              <w:t xml:space="preserve"> vienota metodika</w:t>
            </w:r>
            <w:r w:rsidR="006F6D44">
              <w:rPr>
                <w:sz w:val="22"/>
                <w:szCs w:val="22"/>
              </w:rPr>
              <w:t xml:space="preserve"> visiem posmiem)</w:t>
            </w:r>
            <w:r w:rsidR="005F220C">
              <w:rPr>
                <w:sz w:val="22"/>
                <w:szCs w:val="22"/>
              </w:rPr>
              <w:t xml:space="preserve">. </w:t>
            </w:r>
          </w:p>
          <w:p w14:paraId="5729191E" w14:textId="522416DC" w:rsidR="0010784B" w:rsidRPr="0010784B" w:rsidRDefault="0010784B" w:rsidP="0010784B">
            <w:pPr>
              <w:jc w:val="both"/>
              <w:rPr>
                <w:sz w:val="22"/>
                <w:szCs w:val="22"/>
              </w:rPr>
            </w:pPr>
            <w:r>
              <w:rPr>
                <w:sz w:val="22"/>
                <w:szCs w:val="22"/>
              </w:rPr>
              <w:t xml:space="preserve">2021.gada prioritātes īstenošanas ietvaros </w:t>
            </w:r>
            <w:r w:rsidRPr="0010784B">
              <w:rPr>
                <w:sz w:val="22"/>
                <w:szCs w:val="22"/>
              </w:rPr>
              <w:t>tiks:</w:t>
            </w:r>
          </w:p>
          <w:p w14:paraId="5EB574EE" w14:textId="77777777" w:rsidR="0010784B" w:rsidRPr="0010784B" w:rsidRDefault="0010784B" w:rsidP="0010784B">
            <w:pPr>
              <w:jc w:val="both"/>
              <w:rPr>
                <w:sz w:val="22"/>
                <w:szCs w:val="22"/>
              </w:rPr>
            </w:pPr>
            <w:r w:rsidRPr="0010784B">
              <w:rPr>
                <w:sz w:val="22"/>
                <w:szCs w:val="22"/>
              </w:rPr>
              <w:t>-</w:t>
            </w:r>
            <w:r w:rsidRPr="0010784B">
              <w:rPr>
                <w:sz w:val="22"/>
                <w:szCs w:val="22"/>
              </w:rPr>
              <w:tab/>
              <w:t>horizontālā līmenī identificētas kopējās raksturīgākās problēmas un nepilnības, kas kavē ieviest integrētu risku vadības pieeju, kā arī apkopota informācija par valsts pārvaldē pastāvošo labo praksi risku vadības jomā, tādējādi palīdzot noskaidrot, kādā apjomā risku vadības principi faktiski ir ieviesti;</w:t>
            </w:r>
          </w:p>
          <w:p w14:paraId="0E452663" w14:textId="7253B0EA" w:rsidR="0010784B" w:rsidRDefault="0010784B" w:rsidP="0010784B">
            <w:pPr>
              <w:jc w:val="both"/>
              <w:rPr>
                <w:sz w:val="22"/>
                <w:szCs w:val="22"/>
              </w:rPr>
            </w:pPr>
            <w:r w:rsidRPr="0010784B">
              <w:rPr>
                <w:sz w:val="22"/>
                <w:szCs w:val="22"/>
              </w:rPr>
              <w:t>-</w:t>
            </w:r>
            <w:r w:rsidRPr="0010784B">
              <w:rPr>
                <w:sz w:val="22"/>
                <w:szCs w:val="22"/>
              </w:rPr>
              <w:tab/>
              <w:t>veicināta risku vadības praktiskā pielietošana valsts pārvaldē, nevis tikai tās pastāvēšana formālā procesa veidā.</w:t>
            </w:r>
          </w:p>
          <w:p w14:paraId="28AD3A9E" w14:textId="77777777" w:rsidR="0010784B" w:rsidRPr="006F00B5" w:rsidRDefault="0010784B" w:rsidP="006F00B5">
            <w:pPr>
              <w:jc w:val="both"/>
              <w:rPr>
                <w:sz w:val="22"/>
                <w:szCs w:val="22"/>
              </w:rPr>
            </w:pPr>
          </w:p>
          <w:p w14:paraId="11C1FF60" w14:textId="77777777" w:rsidR="00B14094" w:rsidRDefault="00B14094" w:rsidP="006F00B5">
            <w:pPr>
              <w:jc w:val="both"/>
              <w:rPr>
                <w:sz w:val="22"/>
                <w:szCs w:val="22"/>
              </w:rPr>
            </w:pPr>
          </w:p>
          <w:p w14:paraId="6570475E" w14:textId="37089D8B" w:rsidR="00B85C97" w:rsidRPr="006F00B5" w:rsidRDefault="00B85C97" w:rsidP="00D4168E">
            <w:pPr>
              <w:jc w:val="both"/>
              <w:rPr>
                <w:sz w:val="22"/>
                <w:szCs w:val="22"/>
              </w:rPr>
            </w:pPr>
            <w:r>
              <w:rPr>
                <w:sz w:val="22"/>
                <w:szCs w:val="22"/>
              </w:rPr>
              <w:t xml:space="preserve"> </w:t>
            </w:r>
          </w:p>
        </w:tc>
        <w:tc>
          <w:tcPr>
            <w:tcW w:w="3544" w:type="dxa"/>
            <w:tcBorders>
              <w:top w:val="single" w:sz="4" w:space="0" w:color="auto"/>
              <w:left w:val="single" w:sz="4" w:space="0" w:color="auto"/>
              <w:bottom w:val="single" w:sz="4" w:space="0" w:color="auto"/>
            </w:tcBorders>
          </w:tcPr>
          <w:p w14:paraId="272444AA" w14:textId="75431380" w:rsidR="0053483D" w:rsidRPr="00A934C0" w:rsidRDefault="0053483D" w:rsidP="0053483D">
            <w:pPr>
              <w:jc w:val="both"/>
              <w:rPr>
                <w:sz w:val="22"/>
                <w:szCs w:val="22"/>
              </w:rPr>
            </w:pPr>
            <w:r w:rsidRPr="00A934C0">
              <w:rPr>
                <w:sz w:val="22"/>
                <w:szCs w:val="22"/>
              </w:rPr>
              <w:lastRenderedPageBreak/>
              <w:t xml:space="preserve">Rīkojuma </w:t>
            </w:r>
            <w:r w:rsidR="00A934C0" w:rsidRPr="00A934C0">
              <w:rPr>
                <w:sz w:val="22"/>
                <w:szCs w:val="22"/>
              </w:rPr>
              <w:t>4</w:t>
            </w:r>
            <w:r w:rsidRPr="00A934C0">
              <w:rPr>
                <w:sz w:val="22"/>
                <w:szCs w:val="22"/>
              </w:rPr>
              <w:t>.punktu izteikt šādā redakcijā:</w:t>
            </w:r>
          </w:p>
          <w:p w14:paraId="0D3772A9" w14:textId="36124095" w:rsidR="005242A1" w:rsidRDefault="00A934C0" w:rsidP="005242A1">
            <w:pPr>
              <w:jc w:val="both"/>
              <w:rPr>
                <w:sz w:val="22"/>
                <w:szCs w:val="22"/>
              </w:rPr>
            </w:pPr>
            <w:r w:rsidRPr="00A934C0">
              <w:rPr>
                <w:sz w:val="22"/>
                <w:szCs w:val="22"/>
              </w:rPr>
              <w:t xml:space="preserve">Finanšu ministrijai sadarbībā ar Vides aizsardzības un reģionālās attīstības ministriju izstrādāt un līdz 2021. gada 15. aprīlim elektroniski nosūtīt ministriju un iestāžu iekšējā audita struktūrvienībām risku vadības iekšējā audita un konsultācijas vadlīnijas (turpmāk - vadlīnijas). Vadlīnijās iekļaut pārskata struktūru, kādā sniedzama informācija par šā rīkojuma 1.punktā minētā uzdevuma izpildi.  </w:t>
            </w:r>
          </w:p>
          <w:p w14:paraId="622C67B2" w14:textId="77777777" w:rsidR="00A934C0" w:rsidRPr="00425420" w:rsidRDefault="00A934C0" w:rsidP="005242A1">
            <w:pPr>
              <w:jc w:val="both"/>
              <w:rPr>
                <w:sz w:val="22"/>
                <w:szCs w:val="22"/>
                <w:highlight w:val="yellow"/>
              </w:rPr>
            </w:pPr>
          </w:p>
          <w:p w14:paraId="1AAA16E8" w14:textId="2B8F42FC" w:rsidR="005242A1" w:rsidRPr="00A934C0" w:rsidRDefault="005242A1" w:rsidP="005242A1">
            <w:pPr>
              <w:jc w:val="both"/>
              <w:rPr>
                <w:sz w:val="22"/>
                <w:szCs w:val="22"/>
              </w:rPr>
            </w:pPr>
            <w:r w:rsidRPr="00A934C0">
              <w:rPr>
                <w:sz w:val="22"/>
                <w:szCs w:val="22"/>
              </w:rPr>
              <w:t xml:space="preserve">Rīkojuma </w:t>
            </w:r>
            <w:r w:rsidR="00A934C0" w:rsidRPr="00A934C0">
              <w:rPr>
                <w:sz w:val="22"/>
                <w:szCs w:val="22"/>
              </w:rPr>
              <w:t>6</w:t>
            </w:r>
            <w:r w:rsidRPr="00A934C0">
              <w:rPr>
                <w:sz w:val="22"/>
                <w:szCs w:val="22"/>
              </w:rPr>
              <w:t>.punktu izteikt šādā redakcijā:</w:t>
            </w:r>
          </w:p>
          <w:p w14:paraId="58282ACB" w14:textId="03F02DC2" w:rsidR="005242A1" w:rsidRDefault="00A934C0" w:rsidP="0053483D">
            <w:pPr>
              <w:jc w:val="both"/>
              <w:rPr>
                <w:sz w:val="22"/>
                <w:szCs w:val="22"/>
              </w:rPr>
            </w:pPr>
            <w:r w:rsidRPr="00A934C0">
              <w:rPr>
                <w:sz w:val="22"/>
                <w:szCs w:val="22"/>
              </w:rPr>
              <w:t>Ministriju un iestāžu iekšējā audita struktūrvienībām līdz 2022. gada 30. martam iesniegt Finanšu ministrijā risku vadības iekšējā audita ziņojumu (konsultācijas pārskatu), ieteikumu ieviešanas grafiku un pārskatu par šā rīkojuma 4.punkta izpildi, kas sagatavots atbilstoši vadlīnijās noteiktajai struktūrai.</w:t>
            </w:r>
          </w:p>
          <w:p w14:paraId="301817C3" w14:textId="77777777" w:rsidR="00A934C0" w:rsidRPr="005242A1" w:rsidRDefault="00A934C0" w:rsidP="0053483D">
            <w:pPr>
              <w:jc w:val="both"/>
              <w:rPr>
                <w:rFonts w:eastAsia="Calibri"/>
                <w:sz w:val="18"/>
                <w:szCs w:val="18"/>
                <w:lang w:eastAsia="en-US"/>
              </w:rPr>
            </w:pPr>
          </w:p>
          <w:p w14:paraId="1F6EC04F" w14:textId="0424E760" w:rsidR="00A934C0" w:rsidRPr="000435E0" w:rsidRDefault="000435E0" w:rsidP="00A934C0">
            <w:pPr>
              <w:pStyle w:val="naisvisr"/>
              <w:tabs>
                <w:tab w:val="left" w:pos="364"/>
              </w:tabs>
              <w:spacing w:before="0" w:beforeAutospacing="0" w:after="0" w:afterAutospacing="0"/>
              <w:ind w:right="135"/>
              <w:jc w:val="both"/>
              <w:rPr>
                <w:b w:val="0"/>
                <w:bCs w:val="0"/>
                <w:sz w:val="20"/>
                <w:szCs w:val="22"/>
              </w:rPr>
            </w:pPr>
            <w:r w:rsidRPr="00924574">
              <w:rPr>
                <w:b w:val="0"/>
                <w:bCs w:val="0"/>
                <w:sz w:val="22"/>
                <w:szCs w:val="24"/>
              </w:rPr>
              <w:t>Skatīt precizēto anotāciju.</w:t>
            </w:r>
          </w:p>
        </w:tc>
      </w:tr>
      <w:tr w:rsidR="006F00B5" w:rsidRPr="005C7AB2" w14:paraId="525694AC" w14:textId="77777777" w:rsidTr="00DD79BC">
        <w:tc>
          <w:tcPr>
            <w:tcW w:w="567" w:type="dxa"/>
            <w:tcBorders>
              <w:top w:val="single" w:sz="4" w:space="0" w:color="auto"/>
              <w:left w:val="single" w:sz="6" w:space="0" w:color="000000"/>
              <w:bottom w:val="single" w:sz="6" w:space="0" w:color="000000"/>
              <w:right w:val="single" w:sz="6" w:space="0" w:color="000000"/>
            </w:tcBorders>
            <w:vAlign w:val="center"/>
          </w:tcPr>
          <w:p w14:paraId="4D1C84C1" w14:textId="5931933C" w:rsidR="006F00B5" w:rsidRPr="006F0F2B" w:rsidRDefault="00836BC8" w:rsidP="006F00B5">
            <w:pPr>
              <w:jc w:val="center"/>
              <w:rPr>
                <w:sz w:val="22"/>
                <w:szCs w:val="22"/>
              </w:rPr>
            </w:pPr>
            <w:r>
              <w:rPr>
                <w:sz w:val="22"/>
                <w:szCs w:val="22"/>
              </w:rPr>
              <w:lastRenderedPageBreak/>
              <w:t>2.</w:t>
            </w:r>
          </w:p>
        </w:tc>
        <w:tc>
          <w:tcPr>
            <w:tcW w:w="3261" w:type="dxa"/>
            <w:tcBorders>
              <w:top w:val="single" w:sz="4" w:space="0" w:color="auto"/>
              <w:left w:val="single" w:sz="6" w:space="0" w:color="000000"/>
              <w:bottom w:val="single" w:sz="4" w:space="0" w:color="auto"/>
              <w:right w:val="single" w:sz="6" w:space="0" w:color="000000"/>
            </w:tcBorders>
          </w:tcPr>
          <w:p w14:paraId="5A1DC8F0" w14:textId="592A4083" w:rsidR="006F00B5" w:rsidRDefault="006F00B5" w:rsidP="006F00B5">
            <w:pPr>
              <w:jc w:val="both"/>
              <w:rPr>
                <w:sz w:val="22"/>
                <w:szCs w:val="22"/>
                <w:u w:val="single"/>
              </w:rPr>
            </w:pPr>
          </w:p>
        </w:tc>
        <w:tc>
          <w:tcPr>
            <w:tcW w:w="3260" w:type="dxa"/>
            <w:tcBorders>
              <w:top w:val="single" w:sz="4" w:space="0" w:color="auto"/>
              <w:left w:val="single" w:sz="6" w:space="0" w:color="000000"/>
              <w:bottom w:val="single" w:sz="4" w:space="0" w:color="auto"/>
              <w:right w:val="single" w:sz="6" w:space="0" w:color="000000"/>
            </w:tcBorders>
          </w:tcPr>
          <w:p w14:paraId="43B27D73" w14:textId="77777777" w:rsidR="006F00B5" w:rsidRPr="006F00B5" w:rsidRDefault="006F00B5" w:rsidP="006F00B5">
            <w:pPr>
              <w:jc w:val="center"/>
              <w:rPr>
                <w:b/>
                <w:sz w:val="22"/>
                <w:szCs w:val="22"/>
              </w:rPr>
            </w:pPr>
            <w:r w:rsidRPr="006F00B5">
              <w:rPr>
                <w:b/>
                <w:sz w:val="22"/>
                <w:szCs w:val="22"/>
              </w:rPr>
              <w:t>Valsts kanceleja:</w:t>
            </w:r>
          </w:p>
          <w:p w14:paraId="31836B96" w14:textId="77777777" w:rsidR="006F00B5" w:rsidRPr="00BD3BCB" w:rsidRDefault="006F00B5" w:rsidP="006F00B5">
            <w:pPr>
              <w:ind w:firstLine="31"/>
              <w:jc w:val="center"/>
              <w:rPr>
                <w:i/>
                <w:sz w:val="22"/>
                <w:szCs w:val="22"/>
                <w:highlight w:val="yellow"/>
              </w:rPr>
            </w:pPr>
            <w:r w:rsidRPr="00BD3BCB">
              <w:rPr>
                <w:i/>
                <w:sz w:val="22"/>
                <w:szCs w:val="22"/>
              </w:rPr>
              <w:t>(iebildums)</w:t>
            </w:r>
          </w:p>
          <w:p w14:paraId="19C325EC" w14:textId="77777777" w:rsidR="006F00B5" w:rsidRPr="00002655" w:rsidRDefault="006F00B5" w:rsidP="006F00B5">
            <w:pPr>
              <w:ind w:firstLine="314"/>
              <w:jc w:val="both"/>
              <w:rPr>
                <w:sz w:val="22"/>
                <w:szCs w:val="22"/>
              </w:rPr>
            </w:pPr>
            <w:r w:rsidRPr="00002655">
              <w:rPr>
                <w:sz w:val="22"/>
                <w:szCs w:val="22"/>
              </w:rPr>
              <w:lastRenderedPageBreak/>
              <w:t>Uzskatām, ka pašreizējā stadijā būtu jāsāk ar metodikas (vadlīniju) un ieteikumiem praktiski pielietojamas risku vadības iedzīvināšanai valsts pārvaldē, kā arī valsts pārvaldē nodarbināto izglītošanu risku pārvaldības jomā, tāpēc aicinām papildināt rīkojuma projektu ar uzdevumu “Izstrādāt metodiku (vadlīnijas) risku vadības ieviešanai valsts pārvaldē”, nosakot tam reāli izpildāmo termiņu.</w:t>
            </w:r>
          </w:p>
        </w:tc>
        <w:tc>
          <w:tcPr>
            <w:tcW w:w="3685" w:type="dxa"/>
          </w:tcPr>
          <w:p w14:paraId="6E928CB3" w14:textId="2BCF8E94" w:rsidR="005F23B3" w:rsidRPr="003041E2" w:rsidRDefault="005F23B3" w:rsidP="005F23B3">
            <w:pPr>
              <w:ind w:firstLine="284"/>
              <w:jc w:val="center"/>
              <w:rPr>
                <w:b/>
                <w:sz w:val="22"/>
                <w:szCs w:val="22"/>
              </w:rPr>
            </w:pPr>
            <w:r w:rsidRPr="003041E2">
              <w:rPr>
                <w:b/>
                <w:sz w:val="22"/>
                <w:szCs w:val="22"/>
              </w:rPr>
              <w:lastRenderedPageBreak/>
              <w:t xml:space="preserve">Ņemts vērā  </w:t>
            </w:r>
          </w:p>
          <w:p w14:paraId="6AE4A86E" w14:textId="77777777" w:rsidR="004A4B6D" w:rsidRPr="004A4B6D" w:rsidRDefault="004A4B6D" w:rsidP="004A4B6D">
            <w:pPr>
              <w:jc w:val="both"/>
              <w:rPr>
                <w:b/>
                <w:sz w:val="22"/>
                <w:szCs w:val="22"/>
              </w:rPr>
            </w:pPr>
            <w:r w:rsidRPr="004A4B6D">
              <w:rPr>
                <w:b/>
                <w:sz w:val="22"/>
                <w:szCs w:val="22"/>
              </w:rPr>
              <w:lastRenderedPageBreak/>
              <w:t xml:space="preserve">Panākta vienošanās pirms </w:t>
            </w:r>
            <w:r>
              <w:rPr>
                <w:b/>
                <w:sz w:val="22"/>
                <w:szCs w:val="22"/>
              </w:rPr>
              <w:t xml:space="preserve">2020.gada </w:t>
            </w:r>
            <w:r w:rsidRPr="004A4B6D">
              <w:rPr>
                <w:b/>
                <w:sz w:val="22"/>
                <w:szCs w:val="22"/>
              </w:rPr>
              <w:t>21.</w:t>
            </w:r>
            <w:r>
              <w:rPr>
                <w:b/>
                <w:sz w:val="22"/>
                <w:szCs w:val="22"/>
              </w:rPr>
              <w:t>decembra</w:t>
            </w:r>
            <w:r w:rsidRPr="004A4B6D">
              <w:rPr>
                <w:b/>
                <w:sz w:val="22"/>
                <w:szCs w:val="22"/>
              </w:rPr>
              <w:t xml:space="preserve"> elektroniskās saskaņošanas.</w:t>
            </w:r>
          </w:p>
          <w:p w14:paraId="06C41CB0" w14:textId="02FFA872" w:rsidR="001B27B7" w:rsidRDefault="00166258" w:rsidP="00166258">
            <w:pPr>
              <w:pStyle w:val="CommentText"/>
              <w:spacing w:after="0"/>
              <w:jc w:val="both"/>
              <w:rPr>
                <w:rFonts w:ascii="Times New Roman" w:hAnsi="Times New Roman"/>
                <w:sz w:val="22"/>
                <w:szCs w:val="22"/>
                <w:lang w:val="lv-LV"/>
              </w:rPr>
            </w:pPr>
            <w:r w:rsidRPr="00F4584C">
              <w:rPr>
                <w:rFonts w:ascii="Times New Roman" w:hAnsi="Times New Roman"/>
                <w:sz w:val="22"/>
                <w:szCs w:val="22"/>
                <w:lang w:val="lv-LV"/>
              </w:rPr>
              <w:t xml:space="preserve"> </w:t>
            </w:r>
            <w:r>
              <w:rPr>
                <w:rFonts w:ascii="Times New Roman" w:hAnsi="Times New Roman"/>
                <w:sz w:val="22"/>
                <w:szCs w:val="22"/>
                <w:lang w:val="lv-LV"/>
              </w:rPr>
              <w:t>Pr</w:t>
            </w:r>
            <w:r w:rsidRPr="00F4584C">
              <w:rPr>
                <w:rFonts w:ascii="Times New Roman" w:hAnsi="Times New Roman"/>
                <w:sz w:val="22"/>
                <w:szCs w:val="22"/>
                <w:lang w:val="lv-LV"/>
              </w:rPr>
              <w:t>ecizēts iekšējiem auditoriem paredzēto vadlīniju izstrādes termiņš, vadlīniju sagatavošanā iesaistītās institūcijas, svītrojot Valsts kanceleju, kā arī papildināta anotācija.</w:t>
            </w:r>
          </w:p>
          <w:p w14:paraId="0D1FE776" w14:textId="77777777" w:rsidR="001B27B7" w:rsidRDefault="001B27B7" w:rsidP="00166258">
            <w:pPr>
              <w:pStyle w:val="CommentText"/>
              <w:spacing w:after="0"/>
              <w:jc w:val="both"/>
              <w:rPr>
                <w:rFonts w:ascii="Times New Roman" w:hAnsi="Times New Roman"/>
                <w:sz w:val="22"/>
                <w:szCs w:val="22"/>
                <w:lang w:val="lv-LV"/>
              </w:rPr>
            </w:pPr>
          </w:p>
          <w:p w14:paraId="2CE01BE4" w14:textId="34684D1A" w:rsidR="001B27B7" w:rsidRPr="00F4584C" w:rsidRDefault="001B27B7" w:rsidP="001B27B7">
            <w:pPr>
              <w:pStyle w:val="CommentText"/>
              <w:spacing w:after="0"/>
              <w:jc w:val="both"/>
              <w:rPr>
                <w:rFonts w:ascii="Times New Roman" w:hAnsi="Times New Roman"/>
                <w:sz w:val="22"/>
                <w:szCs w:val="22"/>
                <w:lang w:val="lv-LV"/>
              </w:rPr>
            </w:pPr>
            <w:r>
              <w:rPr>
                <w:rFonts w:ascii="Times New Roman" w:hAnsi="Times New Roman"/>
                <w:sz w:val="22"/>
                <w:szCs w:val="22"/>
                <w:lang w:val="lv-LV"/>
              </w:rPr>
              <w:t xml:space="preserve">Finanšu ministrija vērš uzmanību, ka </w:t>
            </w:r>
            <w:r w:rsidR="00875B25">
              <w:rPr>
                <w:rFonts w:ascii="Times New Roman" w:hAnsi="Times New Roman"/>
                <w:sz w:val="22"/>
                <w:szCs w:val="22"/>
                <w:lang w:val="lv-LV"/>
              </w:rPr>
              <w:t>tā</w:t>
            </w:r>
            <w:r>
              <w:rPr>
                <w:rFonts w:ascii="Times New Roman" w:hAnsi="Times New Roman"/>
                <w:sz w:val="22"/>
                <w:szCs w:val="22"/>
                <w:lang w:val="lv-LV"/>
              </w:rPr>
              <w:t xml:space="preserve"> sniedz metodoloģisko atbalstu valsts pārvaldes iekšējiem auditoriem.</w:t>
            </w:r>
            <w:r w:rsidR="00875B25">
              <w:rPr>
                <w:rFonts w:ascii="Times New Roman" w:hAnsi="Times New Roman"/>
                <w:sz w:val="22"/>
                <w:szCs w:val="22"/>
                <w:lang w:val="lv-LV"/>
              </w:rPr>
              <w:t xml:space="preserve"> </w:t>
            </w:r>
            <w:r>
              <w:rPr>
                <w:rFonts w:ascii="Times New Roman" w:hAnsi="Times New Roman"/>
                <w:sz w:val="22"/>
                <w:szCs w:val="22"/>
                <w:lang w:val="lv-LV"/>
              </w:rPr>
              <w:t>Auditējamās prioritātes īstenošana (konsultācija vai audits)</w:t>
            </w:r>
            <w:r w:rsidR="00875B25">
              <w:rPr>
                <w:rFonts w:ascii="Times New Roman" w:hAnsi="Times New Roman"/>
                <w:sz w:val="22"/>
                <w:szCs w:val="22"/>
                <w:lang w:val="lv-LV"/>
              </w:rPr>
              <w:t xml:space="preserve"> nodrošinās metodoloģiskās bāzes sagatavošanu iekšējiem auditoriem,</w:t>
            </w:r>
            <w:r>
              <w:rPr>
                <w:rFonts w:ascii="Times New Roman" w:hAnsi="Times New Roman"/>
                <w:sz w:val="22"/>
                <w:szCs w:val="22"/>
                <w:lang w:val="lv-LV"/>
              </w:rPr>
              <w:t xml:space="preserve"> palīdzēs iegūt informāciju</w:t>
            </w:r>
            <w:r w:rsidR="00875B25">
              <w:rPr>
                <w:rFonts w:ascii="Times New Roman" w:hAnsi="Times New Roman"/>
                <w:sz w:val="22"/>
                <w:szCs w:val="22"/>
                <w:lang w:val="lv-LV"/>
              </w:rPr>
              <w:t xml:space="preserve"> par esošo brieduma līmeni</w:t>
            </w:r>
            <w:r>
              <w:rPr>
                <w:rFonts w:ascii="Times New Roman" w:hAnsi="Times New Roman"/>
                <w:sz w:val="22"/>
                <w:szCs w:val="22"/>
                <w:lang w:val="lv-LV"/>
              </w:rPr>
              <w:t xml:space="preserve">, </w:t>
            </w:r>
            <w:r w:rsidR="00875B25">
              <w:rPr>
                <w:rFonts w:ascii="Times New Roman" w:hAnsi="Times New Roman"/>
                <w:sz w:val="22"/>
                <w:szCs w:val="22"/>
                <w:lang w:val="lv-LV"/>
              </w:rPr>
              <w:t xml:space="preserve">kā arī rezultātu apkopojums sniegs pamatu tālākai diskusijai un  starpinstitūciju sadarbībai, tostarp, </w:t>
            </w:r>
            <w:r>
              <w:rPr>
                <w:rFonts w:ascii="Times New Roman" w:hAnsi="Times New Roman"/>
                <w:sz w:val="22"/>
                <w:szCs w:val="22"/>
                <w:lang w:val="lv-LV"/>
              </w:rPr>
              <w:t>attiecīgi kompetent</w:t>
            </w:r>
            <w:r w:rsidR="00875B25">
              <w:rPr>
                <w:rFonts w:ascii="Times New Roman" w:hAnsi="Times New Roman"/>
                <w:sz w:val="22"/>
                <w:szCs w:val="22"/>
                <w:lang w:val="lv-LV"/>
              </w:rPr>
              <w:t>u</w:t>
            </w:r>
            <w:r>
              <w:rPr>
                <w:rFonts w:ascii="Times New Roman" w:hAnsi="Times New Roman"/>
                <w:sz w:val="22"/>
                <w:szCs w:val="22"/>
                <w:lang w:val="lv-LV"/>
              </w:rPr>
              <w:t xml:space="preserve"> institūcij</w:t>
            </w:r>
            <w:r w:rsidR="00875B25">
              <w:rPr>
                <w:rFonts w:ascii="Times New Roman" w:hAnsi="Times New Roman"/>
                <w:sz w:val="22"/>
                <w:szCs w:val="22"/>
                <w:lang w:val="lv-LV"/>
              </w:rPr>
              <w:t>u</w:t>
            </w:r>
            <w:r>
              <w:rPr>
                <w:rFonts w:ascii="Times New Roman" w:hAnsi="Times New Roman"/>
                <w:sz w:val="22"/>
                <w:szCs w:val="22"/>
                <w:lang w:val="lv-LV"/>
              </w:rPr>
              <w:t xml:space="preserve"> </w:t>
            </w:r>
            <w:r w:rsidR="00875B25">
              <w:rPr>
                <w:rFonts w:ascii="Times New Roman" w:hAnsi="Times New Roman"/>
                <w:sz w:val="22"/>
                <w:szCs w:val="22"/>
                <w:lang w:val="lv-LV"/>
              </w:rPr>
              <w:t>turpmākajām rīcībām visai valsts pārvaldei adresētu vadlīniju sagatavošanā un valsts pārvaldē nodarbināto izglītošanā</w:t>
            </w:r>
            <w:r>
              <w:rPr>
                <w:rFonts w:ascii="Times New Roman" w:hAnsi="Times New Roman"/>
                <w:sz w:val="22"/>
                <w:szCs w:val="22"/>
                <w:lang w:val="lv-LV"/>
              </w:rPr>
              <w:t xml:space="preserve">. </w:t>
            </w:r>
          </w:p>
          <w:p w14:paraId="0E2A12BC" w14:textId="77777777" w:rsidR="00166258" w:rsidRPr="00F4584C" w:rsidRDefault="00166258" w:rsidP="00166258">
            <w:pPr>
              <w:pStyle w:val="CommentText"/>
              <w:spacing w:after="0"/>
              <w:jc w:val="both"/>
              <w:rPr>
                <w:rFonts w:ascii="Times New Roman" w:hAnsi="Times New Roman"/>
                <w:sz w:val="22"/>
                <w:szCs w:val="22"/>
                <w:lang w:val="lv-LV"/>
              </w:rPr>
            </w:pPr>
          </w:p>
          <w:p w14:paraId="72886669" w14:textId="77777777" w:rsidR="00166258" w:rsidRPr="00F4584C" w:rsidRDefault="00166258" w:rsidP="00166258">
            <w:pPr>
              <w:pStyle w:val="CommentText"/>
              <w:spacing w:after="0"/>
              <w:jc w:val="both"/>
              <w:rPr>
                <w:rFonts w:ascii="Times New Roman" w:hAnsi="Times New Roman"/>
                <w:sz w:val="22"/>
                <w:szCs w:val="22"/>
                <w:lang w:val="lv-LV"/>
              </w:rPr>
            </w:pPr>
            <w:r w:rsidRPr="00F4584C">
              <w:rPr>
                <w:rFonts w:ascii="Times New Roman" w:hAnsi="Times New Roman"/>
                <w:sz w:val="22"/>
                <w:szCs w:val="22"/>
                <w:lang w:val="lv-LV"/>
              </w:rPr>
              <w:t xml:space="preserve">Auditējamā prioritāte risku vadības jomā ir </w:t>
            </w:r>
            <w:r>
              <w:rPr>
                <w:rFonts w:ascii="Times New Roman" w:hAnsi="Times New Roman"/>
                <w:sz w:val="22"/>
                <w:szCs w:val="22"/>
                <w:lang w:val="lv-LV"/>
              </w:rPr>
              <w:t>plānota</w:t>
            </w:r>
            <w:r w:rsidRPr="00F4584C">
              <w:rPr>
                <w:rFonts w:ascii="Times New Roman" w:hAnsi="Times New Roman"/>
                <w:sz w:val="22"/>
                <w:szCs w:val="22"/>
                <w:lang w:val="lv-LV"/>
              </w:rPr>
              <w:t xml:space="preserve"> kā pilotprojekts un </w:t>
            </w:r>
            <w:r>
              <w:rPr>
                <w:rFonts w:ascii="Times New Roman" w:hAnsi="Times New Roman"/>
                <w:sz w:val="22"/>
                <w:szCs w:val="22"/>
                <w:lang w:val="lv-LV"/>
              </w:rPr>
              <w:t xml:space="preserve">kā </w:t>
            </w:r>
            <w:r w:rsidRPr="00F4584C">
              <w:rPr>
                <w:rFonts w:ascii="Times New Roman" w:hAnsi="Times New Roman"/>
                <w:sz w:val="22"/>
                <w:szCs w:val="22"/>
                <w:lang w:val="lv-LV"/>
              </w:rPr>
              <w:t xml:space="preserve">viena no kompleksa risinājuma komponentēm risku vadības procesu stiprināšanai un brieduma līmeņa paaugstināšanai valsts pārvaldē. Auditējamās prioritātes īstenošanai sagatavotā metodika un auditu un konsultāciju rezultāti sniegs pamatu </w:t>
            </w:r>
            <w:r w:rsidRPr="00F4584C">
              <w:rPr>
                <w:rFonts w:ascii="Times New Roman" w:hAnsi="Times New Roman"/>
                <w:sz w:val="22"/>
                <w:szCs w:val="22"/>
                <w:lang w:val="lv-LV"/>
              </w:rPr>
              <w:lastRenderedPageBreak/>
              <w:t xml:space="preserve">turpmākām </w:t>
            </w:r>
            <w:r>
              <w:rPr>
                <w:rFonts w:ascii="Times New Roman" w:hAnsi="Times New Roman"/>
                <w:sz w:val="22"/>
                <w:szCs w:val="22"/>
                <w:lang w:val="lv-LV"/>
              </w:rPr>
              <w:t>starpinstitūciju</w:t>
            </w:r>
            <w:r w:rsidRPr="00F4584C">
              <w:rPr>
                <w:rFonts w:ascii="Times New Roman" w:hAnsi="Times New Roman"/>
                <w:sz w:val="22"/>
                <w:szCs w:val="22"/>
                <w:lang w:val="lv-LV"/>
              </w:rPr>
              <w:t xml:space="preserve"> diskusijām un darba grupu veidošanai, lai attīstītu iekšējās kontroles pamatprasības, metodiku (vadlīnijas) un ieteikumus praktiski pielietojamas risku vadības iedzīvināšanai valsts pārvaldē, kā arī valsts pārvaldē nodarbināto izglītošanu risku pārvaldības jomā.</w:t>
            </w:r>
          </w:p>
          <w:p w14:paraId="221D2573" w14:textId="23EDEEFC" w:rsidR="00C06659" w:rsidRPr="00EC107C" w:rsidRDefault="00C06659" w:rsidP="00E12655">
            <w:pPr>
              <w:pStyle w:val="CommentText"/>
              <w:spacing w:after="0"/>
              <w:jc w:val="both"/>
              <w:rPr>
                <w:rFonts w:ascii="Times New Roman" w:hAnsi="Times New Roman"/>
                <w:sz w:val="22"/>
                <w:szCs w:val="22"/>
                <w:highlight w:val="yellow"/>
                <w:lang w:val="lv-LV"/>
              </w:rPr>
            </w:pPr>
          </w:p>
        </w:tc>
        <w:tc>
          <w:tcPr>
            <w:tcW w:w="3544" w:type="dxa"/>
            <w:tcBorders>
              <w:top w:val="single" w:sz="4" w:space="0" w:color="auto"/>
              <w:left w:val="single" w:sz="4" w:space="0" w:color="auto"/>
              <w:bottom w:val="single" w:sz="4" w:space="0" w:color="auto"/>
            </w:tcBorders>
          </w:tcPr>
          <w:p w14:paraId="04483DB1" w14:textId="77777777" w:rsidR="00680848" w:rsidRPr="00A934C0" w:rsidRDefault="00680848" w:rsidP="00680848">
            <w:pPr>
              <w:jc w:val="both"/>
              <w:rPr>
                <w:sz w:val="22"/>
                <w:szCs w:val="22"/>
              </w:rPr>
            </w:pPr>
            <w:r w:rsidRPr="00A934C0">
              <w:rPr>
                <w:sz w:val="22"/>
                <w:szCs w:val="22"/>
              </w:rPr>
              <w:lastRenderedPageBreak/>
              <w:t>Rīkojuma 4.punktu izteikt šādā redakcijā:</w:t>
            </w:r>
          </w:p>
          <w:p w14:paraId="627366AC" w14:textId="711409ED" w:rsidR="00680848" w:rsidRDefault="00680848" w:rsidP="00680848">
            <w:pPr>
              <w:jc w:val="both"/>
              <w:rPr>
                <w:sz w:val="22"/>
                <w:szCs w:val="22"/>
              </w:rPr>
            </w:pPr>
            <w:r w:rsidRPr="00A934C0">
              <w:rPr>
                <w:sz w:val="22"/>
                <w:szCs w:val="22"/>
              </w:rPr>
              <w:lastRenderedPageBreak/>
              <w:t xml:space="preserve">Finanšu ministrijai sadarbībā ar Vides aizsardzības un reģionālās attīstības ministriju izstrādāt un līdz 2021. gada 15. aprīlim elektroniski nosūtīt ministriju un iestāžu iekšējā audita struktūrvienībām risku vadības iekšējā audita un konsultācijas vadlīnijas (turpmāk - vadlīnijas). Vadlīnijās iekļaut pārskata struktūru, kādā sniedzama informācija par šā rīkojuma 1.punktā minētā uzdevuma izpildi.  </w:t>
            </w:r>
          </w:p>
          <w:p w14:paraId="0036B73E" w14:textId="77777777" w:rsidR="00680848" w:rsidRPr="00924574" w:rsidRDefault="00680848" w:rsidP="00680848">
            <w:pPr>
              <w:jc w:val="both"/>
              <w:rPr>
                <w:highlight w:val="yellow"/>
              </w:rPr>
            </w:pPr>
          </w:p>
          <w:p w14:paraId="533278F1" w14:textId="1FE8098B" w:rsidR="00A93544" w:rsidRPr="00EC107C" w:rsidRDefault="00680848" w:rsidP="00680848">
            <w:pPr>
              <w:jc w:val="both"/>
              <w:rPr>
                <w:sz w:val="20"/>
                <w:szCs w:val="22"/>
                <w:highlight w:val="yellow"/>
              </w:rPr>
            </w:pPr>
            <w:r w:rsidRPr="00924574">
              <w:rPr>
                <w:sz w:val="22"/>
              </w:rPr>
              <w:t>Skatīt precizēto anotāciju.</w:t>
            </w:r>
          </w:p>
        </w:tc>
      </w:tr>
      <w:tr w:rsidR="006F00B5" w:rsidRPr="005C7AB2" w14:paraId="228F9880" w14:textId="77777777" w:rsidTr="00DD79BC">
        <w:tc>
          <w:tcPr>
            <w:tcW w:w="567" w:type="dxa"/>
            <w:tcBorders>
              <w:top w:val="single" w:sz="4" w:space="0" w:color="auto"/>
              <w:left w:val="single" w:sz="6" w:space="0" w:color="000000"/>
              <w:bottom w:val="single" w:sz="6" w:space="0" w:color="000000"/>
              <w:right w:val="single" w:sz="6" w:space="0" w:color="000000"/>
            </w:tcBorders>
            <w:vAlign w:val="center"/>
          </w:tcPr>
          <w:p w14:paraId="5E9267D8" w14:textId="7D88EF5C" w:rsidR="006F00B5" w:rsidRPr="006F0F2B" w:rsidRDefault="00836BC8" w:rsidP="006F00B5">
            <w:pPr>
              <w:jc w:val="center"/>
              <w:rPr>
                <w:sz w:val="22"/>
                <w:szCs w:val="22"/>
              </w:rPr>
            </w:pPr>
            <w:r>
              <w:rPr>
                <w:sz w:val="22"/>
                <w:szCs w:val="22"/>
              </w:rPr>
              <w:lastRenderedPageBreak/>
              <w:t>3.</w:t>
            </w:r>
          </w:p>
        </w:tc>
        <w:tc>
          <w:tcPr>
            <w:tcW w:w="3261" w:type="dxa"/>
            <w:tcBorders>
              <w:top w:val="single" w:sz="4" w:space="0" w:color="auto"/>
              <w:left w:val="single" w:sz="6" w:space="0" w:color="000000"/>
              <w:bottom w:val="single" w:sz="6" w:space="0" w:color="000000"/>
              <w:right w:val="single" w:sz="6" w:space="0" w:color="000000"/>
            </w:tcBorders>
          </w:tcPr>
          <w:p w14:paraId="31A6AFBF" w14:textId="0EB97FC3" w:rsidR="006F00B5" w:rsidRPr="00495BF8" w:rsidRDefault="006F00B5" w:rsidP="00495BF8">
            <w:pPr>
              <w:jc w:val="both"/>
              <w:rPr>
                <w:sz w:val="22"/>
                <w:szCs w:val="22"/>
              </w:rPr>
            </w:pPr>
          </w:p>
        </w:tc>
        <w:tc>
          <w:tcPr>
            <w:tcW w:w="3260" w:type="dxa"/>
            <w:tcBorders>
              <w:top w:val="single" w:sz="4" w:space="0" w:color="auto"/>
              <w:left w:val="single" w:sz="6" w:space="0" w:color="000000"/>
              <w:bottom w:val="single" w:sz="6" w:space="0" w:color="000000"/>
              <w:right w:val="single" w:sz="6" w:space="0" w:color="000000"/>
            </w:tcBorders>
          </w:tcPr>
          <w:p w14:paraId="62B109E7" w14:textId="77777777" w:rsidR="006F00B5" w:rsidRPr="006F00B5" w:rsidRDefault="006F00B5" w:rsidP="006F00B5">
            <w:pPr>
              <w:jc w:val="center"/>
              <w:rPr>
                <w:b/>
                <w:sz w:val="22"/>
                <w:szCs w:val="22"/>
              </w:rPr>
            </w:pPr>
            <w:r w:rsidRPr="006F00B5">
              <w:rPr>
                <w:b/>
                <w:sz w:val="22"/>
                <w:szCs w:val="22"/>
              </w:rPr>
              <w:t>Valsts kanceleja:</w:t>
            </w:r>
          </w:p>
          <w:p w14:paraId="3CD5C2C0" w14:textId="77777777" w:rsidR="006F00B5" w:rsidRPr="00BD3BCB" w:rsidRDefault="006F00B5" w:rsidP="006F00B5">
            <w:pPr>
              <w:ind w:firstLine="31"/>
              <w:jc w:val="center"/>
              <w:rPr>
                <w:i/>
                <w:sz w:val="22"/>
                <w:szCs w:val="22"/>
                <w:highlight w:val="yellow"/>
              </w:rPr>
            </w:pPr>
            <w:r w:rsidRPr="00BD3BCB">
              <w:rPr>
                <w:i/>
                <w:sz w:val="22"/>
                <w:szCs w:val="22"/>
              </w:rPr>
              <w:t>(iebildums)</w:t>
            </w:r>
          </w:p>
          <w:p w14:paraId="6F9D25CD" w14:textId="77777777" w:rsidR="006F00B5" w:rsidRPr="00F17BE0" w:rsidRDefault="006F00B5" w:rsidP="006F00B5">
            <w:pPr>
              <w:ind w:firstLine="314"/>
              <w:jc w:val="both"/>
              <w:rPr>
                <w:sz w:val="22"/>
                <w:szCs w:val="22"/>
              </w:rPr>
            </w:pPr>
            <w:r w:rsidRPr="00F71BE1">
              <w:rPr>
                <w:sz w:val="22"/>
                <w:szCs w:val="22"/>
              </w:rPr>
              <w:t>Lūdzam papildināt rīkojuma projektu ar uzdevumu “Nodrošināt metodoloģisku atbalstu un apmācības, lai veicinātu valsts pārvaldes vadītāju, darbinieku un auditoru izpratni par iespējamiem ieguvumiem no sistematizētas risku vadības”.</w:t>
            </w:r>
          </w:p>
        </w:tc>
        <w:tc>
          <w:tcPr>
            <w:tcW w:w="3685" w:type="dxa"/>
            <w:tcBorders>
              <w:top w:val="single" w:sz="4" w:space="0" w:color="auto"/>
              <w:left w:val="single" w:sz="6" w:space="0" w:color="000000"/>
              <w:bottom w:val="single" w:sz="6" w:space="0" w:color="000000"/>
              <w:right w:val="single" w:sz="6" w:space="0" w:color="000000"/>
            </w:tcBorders>
          </w:tcPr>
          <w:p w14:paraId="7AC01272" w14:textId="0597EE79" w:rsidR="005F23B3" w:rsidRPr="00F4584C" w:rsidRDefault="005F23B3" w:rsidP="005F23B3">
            <w:pPr>
              <w:ind w:firstLine="284"/>
              <w:jc w:val="center"/>
              <w:rPr>
                <w:b/>
                <w:sz w:val="22"/>
                <w:szCs w:val="22"/>
              </w:rPr>
            </w:pPr>
            <w:r w:rsidRPr="00F4584C">
              <w:rPr>
                <w:b/>
                <w:sz w:val="22"/>
                <w:szCs w:val="22"/>
              </w:rPr>
              <w:t>Ņemts vērā</w:t>
            </w:r>
          </w:p>
          <w:p w14:paraId="352EDC47" w14:textId="77777777" w:rsidR="004A4B6D" w:rsidRPr="004A4B6D" w:rsidRDefault="004A4B6D" w:rsidP="00E12655">
            <w:pPr>
              <w:pStyle w:val="CommentText"/>
              <w:spacing w:after="0"/>
              <w:jc w:val="both"/>
              <w:rPr>
                <w:rFonts w:ascii="Times New Roman" w:hAnsi="Times New Roman"/>
                <w:b/>
                <w:sz w:val="22"/>
                <w:szCs w:val="22"/>
                <w:lang w:val="lv-LV"/>
              </w:rPr>
            </w:pPr>
            <w:r w:rsidRPr="004A4B6D">
              <w:rPr>
                <w:rFonts w:ascii="Times New Roman" w:hAnsi="Times New Roman"/>
                <w:b/>
                <w:sz w:val="22"/>
                <w:szCs w:val="22"/>
                <w:lang w:val="lv-LV"/>
              </w:rPr>
              <w:t>Panākta vienošanās pirms 2020.gada 21.decembra elektroniskās saskaņošanas.</w:t>
            </w:r>
          </w:p>
          <w:p w14:paraId="1CC67AC3" w14:textId="3F623242" w:rsidR="001B27B7" w:rsidRDefault="00166258" w:rsidP="00E12655">
            <w:pPr>
              <w:pStyle w:val="CommentText"/>
              <w:spacing w:after="0"/>
              <w:jc w:val="both"/>
              <w:rPr>
                <w:rFonts w:ascii="Times New Roman" w:hAnsi="Times New Roman"/>
                <w:sz w:val="22"/>
                <w:szCs w:val="22"/>
                <w:lang w:val="lv-LV"/>
              </w:rPr>
            </w:pPr>
            <w:r>
              <w:rPr>
                <w:rFonts w:ascii="Times New Roman" w:hAnsi="Times New Roman"/>
                <w:sz w:val="22"/>
                <w:szCs w:val="22"/>
                <w:lang w:val="lv-LV"/>
              </w:rPr>
              <w:t>P</w:t>
            </w:r>
            <w:r w:rsidR="00E12655" w:rsidRPr="00F4584C">
              <w:rPr>
                <w:rFonts w:ascii="Times New Roman" w:hAnsi="Times New Roman"/>
                <w:sz w:val="22"/>
                <w:szCs w:val="22"/>
                <w:lang w:val="lv-LV"/>
              </w:rPr>
              <w:t>recizēts iekšējiem auditoriem paredzēt</w:t>
            </w:r>
            <w:r w:rsidR="00C138FB" w:rsidRPr="00F4584C">
              <w:rPr>
                <w:rFonts w:ascii="Times New Roman" w:hAnsi="Times New Roman"/>
                <w:sz w:val="22"/>
                <w:szCs w:val="22"/>
                <w:lang w:val="lv-LV"/>
              </w:rPr>
              <w:t>o</w:t>
            </w:r>
            <w:r w:rsidR="00E12655" w:rsidRPr="00F4584C">
              <w:rPr>
                <w:rFonts w:ascii="Times New Roman" w:hAnsi="Times New Roman"/>
                <w:sz w:val="22"/>
                <w:szCs w:val="22"/>
                <w:lang w:val="lv-LV"/>
              </w:rPr>
              <w:t xml:space="preserve"> vadlīniju izstrādes termiņš, </w:t>
            </w:r>
            <w:r w:rsidR="00C138FB" w:rsidRPr="00F4584C">
              <w:rPr>
                <w:rFonts w:ascii="Times New Roman" w:hAnsi="Times New Roman"/>
                <w:sz w:val="22"/>
                <w:szCs w:val="22"/>
                <w:lang w:val="lv-LV"/>
              </w:rPr>
              <w:t>vadlīniju sagatavošanā iesaistītās institūcijas,</w:t>
            </w:r>
            <w:r w:rsidR="00C125F6" w:rsidRPr="00F4584C">
              <w:rPr>
                <w:rFonts w:ascii="Times New Roman" w:hAnsi="Times New Roman"/>
                <w:sz w:val="22"/>
                <w:szCs w:val="22"/>
                <w:lang w:val="lv-LV"/>
              </w:rPr>
              <w:t xml:space="preserve"> svītrojot Valsts kanceleju,</w:t>
            </w:r>
            <w:r w:rsidR="00C138FB" w:rsidRPr="00F4584C">
              <w:rPr>
                <w:rFonts w:ascii="Times New Roman" w:hAnsi="Times New Roman"/>
                <w:sz w:val="22"/>
                <w:szCs w:val="22"/>
                <w:lang w:val="lv-LV"/>
              </w:rPr>
              <w:t xml:space="preserve"> </w:t>
            </w:r>
            <w:r w:rsidR="00E12655" w:rsidRPr="00F4584C">
              <w:rPr>
                <w:rFonts w:ascii="Times New Roman" w:hAnsi="Times New Roman"/>
                <w:sz w:val="22"/>
                <w:szCs w:val="22"/>
                <w:lang w:val="lv-LV"/>
              </w:rPr>
              <w:t>kā arī papildināta anotācija.</w:t>
            </w:r>
          </w:p>
          <w:p w14:paraId="1D0BC064" w14:textId="77777777" w:rsidR="001B27B7" w:rsidRDefault="001B27B7" w:rsidP="00E12655">
            <w:pPr>
              <w:pStyle w:val="CommentText"/>
              <w:spacing w:after="0"/>
              <w:jc w:val="both"/>
              <w:rPr>
                <w:rFonts w:ascii="Times New Roman" w:hAnsi="Times New Roman"/>
                <w:sz w:val="22"/>
                <w:szCs w:val="22"/>
                <w:lang w:val="lv-LV"/>
              </w:rPr>
            </w:pPr>
          </w:p>
          <w:p w14:paraId="49B584BE" w14:textId="6CEF7700" w:rsidR="00E12655" w:rsidRPr="00F4584C" w:rsidRDefault="00D440C1" w:rsidP="00E12655">
            <w:pPr>
              <w:pStyle w:val="CommentText"/>
              <w:spacing w:after="0"/>
              <w:jc w:val="both"/>
              <w:rPr>
                <w:rFonts w:ascii="Times New Roman" w:hAnsi="Times New Roman"/>
                <w:sz w:val="22"/>
                <w:szCs w:val="22"/>
                <w:lang w:val="lv-LV"/>
              </w:rPr>
            </w:pPr>
            <w:r>
              <w:rPr>
                <w:rFonts w:ascii="Times New Roman" w:hAnsi="Times New Roman"/>
                <w:sz w:val="22"/>
                <w:szCs w:val="22"/>
                <w:lang w:val="lv-LV"/>
              </w:rPr>
              <w:t>Finanšu ministrija vērš uzmanību, ka s</w:t>
            </w:r>
            <w:r w:rsidR="0064066C">
              <w:rPr>
                <w:rFonts w:ascii="Times New Roman" w:hAnsi="Times New Roman"/>
                <w:sz w:val="22"/>
                <w:szCs w:val="22"/>
                <w:lang w:val="lv-LV"/>
              </w:rPr>
              <w:t xml:space="preserve">ākotnēji metodoloģiskais atbalsts tiks sniegts iekšējiem auditoriem, savukārt vadītāju un iestādēs nodarbināto izpratne tiks veicināta īstenojot auditējamo prioritāti </w:t>
            </w:r>
            <w:r w:rsidR="001B27B7">
              <w:rPr>
                <w:rFonts w:ascii="Times New Roman" w:hAnsi="Times New Roman"/>
                <w:sz w:val="22"/>
                <w:szCs w:val="22"/>
                <w:lang w:val="lv-LV"/>
              </w:rPr>
              <w:t xml:space="preserve">(vērtējot brieduma līmeni un attiecīgi veicot konsultāciju vai auditu) </w:t>
            </w:r>
            <w:r w:rsidR="0064066C">
              <w:rPr>
                <w:rFonts w:ascii="Times New Roman" w:hAnsi="Times New Roman"/>
                <w:sz w:val="22"/>
                <w:szCs w:val="22"/>
                <w:lang w:val="lv-LV"/>
              </w:rPr>
              <w:t xml:space="preserve">- gan tās darba uzdevumu laikā sniedzot informāciju, gan pēc tās rezultātu apkopošanas </w:t>
            </w:r>
            <w:r>
              <w:rPr>
                <w:rFonts w:ascii="Times New Roman" w:hAnsi="Times New Roman"/>
                <w:sz w:val="22"/>
                <w:szCs w:val="22"/>
                <w:lang w:val="lv-LV"/>
              </w:rPr>
              <w:t>diskutējot</w:t>
            </w:r>
            <w:r w:rsidR="0064066C">
              <w:rPr>
                <w:rFonts w:ascii="Times New Roman" w:hAnsi="Times New Roman"/>
                <w:sz w:val="22"/>
                <w:szCs w:val="22"/>
                <w:lang w:val="lv-LV"/>
              </w:rPr>
              <w:t xml:space="preserve"> par turpmākajām rīcībām</w:t>
            </w:r>
            <w:r>
              <w:rPr>
                <w:rFonts w:ascii="Times New Roman" w:hAnsi="Times New Roman"/>
                <w:sz w:val="22"/>
                <w:szCs w:val="22"/>
                <w:lang w:val="lv-LV"/>
              </w:rPr>
              <w:t xml:space="preserve"> un attiecīgi kompetentajām institūcijām to īstenošanai</w:t>
            </w:r>
            <w:r w:rsidR="0064066C">
              <w:rPr>
                <w:rFonts w:ascii="Times New Roman" w:hAnsi="Times New Roman"/>
                <w:sz w:val="22"/>
                <w:szCs w:val="22"/>
                <w:lang w:val="lv-LV"/>
              </w:rPr>
              <w:t xml:space="preserve">. </w:t>
            </w:r>
          </w:p>
          <w:p w14:paraId="45828575" w14:textId="521E94A9" w:rsidR="00C125F6" w:rsidRPr="00F4584C" w:rsidRDefault="00C125F6" w:rsidP="00E12655">
            <w:pPr>
              <w:pStyle w:val="CommentText"/>
              <w:spacing w:after="0"/>
              <w:jc w:val="both"/>
              <w:rPr>
                <w:rFonts w:ascii="Times New Roman" w:hAnsi="Times New Roman"/>
                <w:sz w:val="22"/>
                <w:szCs w:val="22"/>
                <w:lang w:val="lv-LV"/>
              </w:rPr>
            </w:pPr>
            <w:r w:rsidRPr="00F4584C">
              <w:rPr>
                <w:rFonts w:ascii="Times New Roman" w:hAnsi="Times New Roman"/>
                <w:sz w:val="22"/>
                <w:szCs w:val="22"/>
                <w:lang w:val="lv-LV"/>
              </w:rPr>
              <w:t xml:space="preserve">Auditējamā prioritāte risku vadības jomā ir </w:t>
            </w:r>
            <w:r w:rsidR="00F4584C">
              <w:rPr>
                <w:rFonts w:ascii="Times New Roman" w:hAnsi="Times New Roman"/>
                <w:sz w:val="22"/>
                <w:szCs w:val="22"/>
                <w:lang w:val="lv-LV"/>
              </w:rPr>
              <w:t>plānota</w:t>
            </w:r>
            <w:r w:rsidRPr="00F4584C">
              <w:rPr>
                <w:rFonts w:ascii="Times New Roman" w:hAnsi="Times New Roman"/>
                <w:sz w:val="22"/>
                <w:szCs w:val="22"/>
                <w:lang w:val="lv-LV"/>
              </w:rPr>
              <w:t xml:space="preserve"> kā pilotprojekts un </w:t>
            </w:r>
            <w:r w:rsidR="00F4584C">
              <w:rPr>
                <w:rFonts w:ascii="Times New Roman" w:hAnsi="Times New Roman"/>
                <w:sz w:val="22"/>
                <w:szCs w:val="22"/>
                <w:lang w:val="lv-LV"/>
              </w:rPr>
              <w:t xml:space="preserve">kā </w:t>
            </w:r>
            <w:r w:rsidRPr="00F4584C">
              <w:rPr>
                <w:rFonts w:ascii="Times New Roman" w:hAnsi="Times New Roman"/>
                <w:sz w:val="22"/>
                <w:szCs w:val="22"/>
                <w:lang w:val="lv-LV"/>
              </w:rPr>
              <w:t xml:space="preserve">viena no kompleksa risinājuma </w:t>
            </w:r>
            <w:r w:rsidRPr="00F4584C">
              <w:rPr>
                <w:rFonts w:ascii="Times New Roman" w:hAnsi="Times New Roman"/>
                <w:sz w:val="22"/>
                <w:szCs w:val="22"/>
                <w:lang w:val="lv-LV"/>
              </w:rPr>
              <w:lastRenderedPageBreak/>
              <w:t xml:space="preserve">komponentēm risku vadības procesu stiprināšanai un brieduma līmeņa paaugstināšanai valsts pārvaldē. Auditējamās prioritātes īstenošanai sagatavotā metodika un auditu un konsultāciju rezultāti sniegs pamatu turpmākām </w:t>
            </w:r>
            <w:r w:rsidR="00F4584C">
              <w:rPr>
                <w:rFonts w:ascii="Times New Roman" w:hAnsi="Times New Roman"/>
                <w:sz w:val="22"/>
                <w:szCs w:val="22"/>
                <w:lang w:val="lv-LV"/>
              </w:rPr>
              <w:t>starpinstitūciju</w:t>
            </w:r>
            <w:r w:rsidR="00F4584C" w:rsidRPr="00F4584C">
              <w:rPr>
                <w:rFonts w:ascii="Times New Roman" w:hAnsi="Times New Roman"/>
                <w:sz w:val="22"/>
                <w:szCs w:val="22"/>
                <w:lang w:val="lv-LV"/>
              </w:rPr>
              <w:t xml:space="preserve"> </w:t>
            </w:r>
            <w:r w:rsidRPr="00F4584C">
              <w:rPr>
                <w:rFonts w:ascii="Times New Roman" w:hAnsi="Times New Roman"/>
                <w:sz w:val="22"/>
                <w:szCs w:val="22"/>
                <w:lang w:val="lv-LV"/>
              </w:rPr>
              <w:t>diskusijām un darba grupu veidošanai, lai attīstītu iekšējās kontroles pamatprasības, metodiku (vadlīnijas) un ieteikumus praktiski pielietojamas risku vadības iedzīvināšanai valsts pārvaldē, kā arī valsts pārvaldē nodarbināto izglītošanu risku pārvaldības jomā.</w:t>
            </w:r>
          </w:p>
          <w:p w14:paraId="273B693B" w14:textId="77777777" w:rsidR="00F4584C" w:rsidRPr="00F4584C" w:rsidRDefault="00F4584C" w:rsidP="00E12655">
            <w:pPr>
              <w:pStyle w:val="CommentText"/>
              <w:spacing w:after="0"/>
              <w:jc w:val="both"/>
              <w:rPr>
                <w:rFonts w:ascii="Times New Roman" w:hAnsi="Times New Roman"/>
                <w:sz w:val="22"/>
                <w:szCs w:val="22"/>
                <w:lang w:val="lv-LV"/>
              </w:rPr>
            </w:pPr>
          </w:p>
          <w:p w14:paraId="3E8BB8BE" w14:textId="4473C57F" w:rsidR="006F00B5" w:rsidRPr="00F4584C" w:rsidRDefault="00E12655" w:rsidP="00F4584C">
            <w:pPr>
              <w:jc w:val="both"/>
              <w:rPr>
                <w:sz w:val="22"/>
                <w:szCs w:val="22"/>
                <w:highlight w:val="yellow"/>
              </w:rPr>
            </w:pPr>
            <w:r w:rsidRPr="00F4584C">
              <w:rPr>
                <w:rFonts w:eastAsia="Calibri"/>
                <w:sz w:val="22"/>
                <w:szCs w:val="22"/>
                <w:lang w:eastAsia="en-US"/>
              </w:rPr>
              <w:t>Vēršam uzmanību, ka Finanšu ministrija koordinē iekšējo auditoru</w:t>
            </w:r>
            <w:r w:rsidRPr="00F4584C">
              <w:rPr>
                <w:sz w:val="22"/>
                <w:szCs w:val="22"/>
              </w:rPr>
              <w:t xml:space="preserve"> mācības un profesionālās kvalifikācijas paaugstināšanu. Finanšu ministrija plāno organizēt diskusijas, kā arī pamatojoties uz pieejamiem resursiem, plāno organizēt apmācības par prioritārā audita vadlīnijām un to piemērošanu. Sadarbībā ar V</w:t>
            </w:r>
            <w:r w:rsidR="00F4584C" w:rsidRPr="00F4584C">
              <w:rPr>
                <w:sz w:val="22"/>
                <w:szCs w:val="22"/>
              </w:rPr>
              <w:t>alsts administrācijas skolu</w:t>
            </w:r>
            <w:r w:rsidRPr="00F4584C">
              <w:rPr>
                <w:sz w:val="22"/>
                <w:szCs w:val="22"/>
              </w:rPr>
              <w:t xml:space="preserve"> un pamatojoties uz 2021.gada prioritā</w:t>
            </w:r>
            <w:r w:rsidR="00F4584C" w:rsidRPr="00F4584C">
              <w:rPr>
                <w:sz w:val="22"/>
                <w:szCs w:val="22"/>
              </w:rPr>
              <w:t>tes (konsultāciju un auditu)</w:t>
            </w:r>
            <w:r w:rsidRPr="00F4584C">
              <w:rPr>
                <w:sz w:val="22"/>
                <w:szCs w:val="22"/>
              </w:rPr>
              <w:t xml:space="preserve"> rezultātā gūtajām atziņām, papildus plānots attīstīt sadarbību un informācijas apmaiņu, lai organizētu valsts pārvaldes iestāžu darbinieku, tostarp, iekšējo auditoru, apmācības risku vadības jomā (iekļaujot praktiskos piemērus).  </w:t>
            </w:r>
          </w:p>
        </w:tc>
        <w:tc>
          <w:tcPr>
            <w:tcW w:w="3544" w:type="dxa"/>
            <w:tcBorders>
              <w:top w:val="single" w:sz="4" w:space="0" w:color="auto"/>
              <w:left w:val="single" w:sz="4" w:space="0" w:color="auto"/>
              <w:bottom w:val="single" w:sz="4" w:space="0" w:color="auto"/>
            </w:tcBorders>
          </w:tcPr>
          <w:p w14:paraId="3492E2DC" w14:textId="77777777" w:rsidR="00C138FB" w:rsidRPr="00A934C0" w:rsidRDefault="00C138FB" w:rsidP="00C138FB">
            <w:pPr>
              <w:jc w:val="both"/>
              <w:rPr>
                <w:sz w:val="22"/>
                <w:szCs w:val="22"/>
              </w:rPr>
            </w:pPr>
            <w:r w:rsidRPr="00A934C0">
              <w:rPr>
                <w:sz w:val="22"/>
                <w:szCs w:val="22"/>
              </w:rPr>
              <w:lastRenderedPageBreak/>
              <w:t>Rīkojuma 4.punktu izteikt šādā redakcijā:</w:t>
            </w:r>
          </w:p>
          <w:p w14:paraId="0215ED7D" w14:textId="77777777" w:rsidR="00C138FB" w:rsidRDefault="00C138FB" w:rsidP="00C138FB">
            <w:pPr>
              <w:jc w:val="both"/>
              <w:rPr>
                <w:sz w:val="22"/>
                <w:szCs w:val="22"/>
              </w:rPr>
            </w:pPr>
            <w:r w:rsidRPr="00A934C0">
              <w:rPr>
                <w:sz w:val="22"/>
                <w:szCs w:val="22"/>
              </w:rPr>
              <w:t xml:space="preserve">Finanšu ministrijai sadarbībā ar Vides aizsardzības un reģionālās attīstības ministriju izstrādāt un līdz 2021. gada 15. aprīlim elektroniski nosūtīt ministriju un iestāžu iekšējā audita struktūrvienībām risku vadības iekšējā audita un konsultācijas vadlīnijas (turpmāk - vadlīnijas). Vadlīnijās iekļaut pārskata struktūru, kādā sniedzama informācija par šā rīkojuma 1.punktā minētā uzdevuma izpildi.  </w:t>
            </w:r>
          </w:p>
          <w:p w14:paraId="7A151565" w14:textId="77777777" w:rsidR="00C138FB" w:rsidRDefault="00C138FB" w:rsidP="006F00B5">
            <w:pPr>
              <w:jc w:val="both"/>
              <w:rPr>
                <w:sz w:val="22"/>
              </w:rPr>
            </w:pPr>
          </w:p>
          <w:p w14:paraId="62854716" w14:textId="77777777" w:rsidR="00C138FB" w:rsidRDefault="00C138FB" w:rsidP="006F00B5">
            <w:pPr>
              <w:jc w:val="both"/>
              <w:rPr>
                <w:sz w:val="22"/>
              </w:rPr>
            </w:pPr>
          </w:p>
          <w:p w14:paraId="113B1489" w14:textId="4AC429D2" w:rsidR="006F00B5" w:rsidRPr="005C7AB2" w:rsidRDefault="00621FA9" w:rsidP="006F00B5">
            <w:pPr>
              <w:jc w:val="both"/>
              <w:rPr>
                <w:sz w:val="20"/>
                <w:szCs w:val="22"/>
              </w:rPr>
            </w:pPr>
            <w:r w:rsidRPr="00924574">
              <w:rPr>
                <w:sz w:val="22"/>
              </w:rPr>
              <w:t>Skatīt precizēto anotāciju.</w:t>
            </w:r>
          </w:p>
        </w:tc>
      </w:tr>
      <w:tr w:rsidR="008C0617" w:rsidRPr="005C7AB2" w14:paraId="0EF9C578" w14:textId="77777777" w:rsidTr="00DD79BC">
        <w:tc>
          <w:tcPr>
            <w:tcW w:w="567" w:type="dxa"/>
            <w:tcBorders>
              <w:top w:val="single" w:sz="4" w:space="0" w:color="auto"/>
              <w:left w:val="single" w:sz="6" w:space="0" w:color="000000"/>
              <w:bottom w:val="single" w:sz="6" w:space="0" w:color="000000"/>
              <w:right w:val="single" w:sz="6" w:space="0" w:color="000000"/>
            </w:tcBorders>
            <w:vAlign w:val="center"/>
          </w:tcPr>
          <w:p w14:paraId="79DA19F9" w14:textId="65E36C5C" w:rsidR="008C0617" w:rsidRPr="006F0F2B" w:rsidRDefault="00836BC8" w:rsidP="008C0617">
            <w:pPr>
              <w:jc w:val="center"/>
              <w:rPr>
                <w:sz w:val="22"/>
                <w:szCs w:val="22"/>
              </w:rPr>
            </w:pPr>
            <w:r>
              <w:rPr>
                <w:sz w:val="22"/>
                <w:szCs w:val="22"/>
              </w:rPr>
              <w:t>4.</w:t>
            </w:r>
          </w:p>
        </w:tc>
        <w:tc>
          <w:tcPr>
            <w:tcW w:w="3261" w:type="dxa"/>
            <w:tcBorders>
              <w:top w:val="single" w:sz="4" w:space="0" w:color="auto"/>
              <w:left w:val="single" w:sz="6" w:space="0" w:color="000000"/>
              <w:bottom w:val="single" w:sz="6" w:space="0" w:color="000000"/>
              <w:right w:val="single" w:sz="6" w:space="0" w:color="000000"/>
            </w:tcBorders>
          </w:tcPr>
          <w:p w14:paraId="3F235D7E" w14:textId="77777777" w:rsidR="008C0617" w:rsidRDefault="008C0617" w:rsidP="008C0617">
            <w:pPr>
              <w:jc w:val="both"/>
              <w:rPr>
                <w:sz w:val="22"/>
                <w:szCs w:val="22"/>
                <w:u w:val="single"/>
              </w:rPr>
            </w:pPr>
            <w:r w:rsidRPr="003A04D5">
              <w:rPr>
                <w:sz w:val="22"/>
                <w:szCs w:val="22"/>
                <w:u w:val="single"/>
              </w:rPr>
              <w:t>Anotācijas I. sadaļas 2. punkts</w:t>
            </w:r>
          </w:p>
          <w:p w14:paraId="4AC68450" w14:textId="77777777" w:rsidR="008C0617" w:rsidRDefault="008C0617" w:rsidP="008C0617">
            <w:pPr>
              <w:jc w:val="both"/>
              <w:rPr>
                <w:sz w:val="22"/>
                <w:szCs w:val="22"/>
                <w:u w:val="single"/>
              </w:rPr>
            </w:pPr>
          </w:p>
          <w:p w14:paraId="3CCECD3A" w14:textId="77777777" w:rsidR="008C0617" w:rsidRPr="003A1931" w:rsidRDefault="008C0617" w:rsidP="008C0617">
            <w:pPr>
              <w:jc w:val="both"/>
            </w:pPr>
            <w:r w:rsidRPr="003A1931">
              <w:lastRenderedPageBreak/>
              <w:t>…</w:t>
            </w:r>
          </w:p>
          <w:p w14:paraId="64A3ED94" w14:textId="6EF12B18" w:rsidR="003A1931" w:rsidRPr="003A1931" w:rsidRDefault="003A1931" w:rsidP="003A1931">
            <w:pPr>
              <w:jc w:val="both"/>
              <w:rPr>
                <w:sz w:val="22"/>
                <w:szCs w:val="22"/>
              </w:rPr>
            </w:pPr>
            <w:r w:rsidRPr="003A1931">
              <w:rPr>
                <w:sz w:val="22"/>
                <w:szCs w:val="22"/>
              </w:rPr>
              <w:t>Publisko pakalpojumu pārvaldības pilnveidošana ir būtiska valsts pārvaldes modernizācijas un valsts pārvaldes strukturālo reformu sastāvdaļa, kā arī ir viens no valdības prioritārajiem rīcības virzieniem tautsaimniecības attīstībā. Valsts pārvaldē turpinās darbs pie valsts pārvaldes publisko pakalpojumu kvalitātes uzlabošanas, administratīvā sloga samazināšanas iedzīvotājiem un komersantiem, valsts pārvaldes institūciju darba organizācijas pilnveides.</w:t>
            </w:r>
          </w:p>
          <w:p w14:paraId="7FDE39DA" w14:textId="77777777" w:rsidR="003A1931" w:rsidRPr="003A1931" w:rsidRDefault="003A1931" w:rsidP="003A1931">
            <w:pPr>
              <w:jc w:val="both"/>
              <w:rPr>
                <w:sz w:val="22"/>
                <w:szCs w:val="22"/>
              </w:rPr>
            </w:pPr>
            <w:r w:rsidRPr="003A1931">
              <w:rPr>
                <w:sz w:val="22"/>
                <w:szCs w:val="22"/>
              </w:rPr>
              <w:t xml:space="preserve">2017.gadā atbilstoši Ministru kabineta 26.10.2016. rīkojumam Nr.625 “Par kopējām valsts pārvaldē auditējamām prioritātēm 2017.gadam” valsts pārvaldē tika veikts prioritārais iekšējais audits par valsts pārvaldes pakalpojumiem, t.sk. šo pakalpojumu elektronizācijas jeb e-pakalpojumu jomu. Valsts pārvaldes iekšējie auditori, pamatojoties uz Finanšu ministrijas un Vides aizsardzības un reģionālās attīstības ministrijas (turpmāk - VARAM) izstrādātajām vadlīnijām un organizētajām apmācībām, prioritārā audita ietvaros novērtēja resoros izveidoto iekšējās </w:t>
            </w:r>
            <w:r w:rsidRPr="003A1931">
              <w:rPr>
                <w:sz w:val="22"/>
                <w:szCs w:val="22"/>
              </w:rPr>
              <w:lastRenderedPageBreak/>
              <w:t>kontroles sistēmu darbību un efektivitāti valsts pārvaldes pakalpojumu, t.sk., e-pakalpojumu sniegšanā, cita starpā novērtējot:</w:t>
            </w:r>
          </w:p>
          <w:p w14:paraId="0B5E6067" w14:textId="77777777" w:rsidR="003A1931" w:rsidRPr="003A1931" w:rsidRDefault="003A1931" w:rsidP="003A1931">
            <w:pPr>
              <w:jc w:val="both"/>
              <w:rPr>
                <w:sz w:val="22"/>
                <w:szCs w:val="22"/>
              </w:rPr>
            </w:pPr>
            <w:r w:rsidRPr="003A1931">
              <w:rPr>
                <w:sz w:val="22"/>
                <w:szCs w:val="22"/>
              </w:rPr>
              <w:t>1)</w:t>
            </w:r>
            <w:r w:rsidRPr="003A1931">
              <w:rPr>
                <w:sz w:val="22"/>
                <w:szCs w:val="22"/>
              </w:rPr>
              <w:tab/>
              <w:t>Valsts pārvaldes iekārtas likumā nostiprināto principu pakalpojumu sniegšanā, piem., labas pārvaldības un vienas pieturas aģentūras principa īstenošanu (informācijas un pakalpojuma pieejamība jebkurā Latvijas vietā e-veidā, kā arī vienotajos klientu apkalpošanas centros, t.sk., pakalpojumu apjoma un klientu pieprasījuma samērīgumu reģionālās attīstības kontekstā, dažādu pakalpojumu sniegšanas veidu (pilnībā elektroniski, daļēji elektroniski, klātienes pakalpojumi) samērīgumu un kurš no veidiem ir ekonomiski izdevīgāks;</w:t>
            </w:r>
          </w:p>
          <w:p w14:paraId="3EA4FACD" w14:textId="77777777" w:rsidR="003A1931" w:rsidRPr="003A1931" w:rsidRDefault="003A1931" w:rsidP="003A1931">
            <w:pPr>
              <w:jc w:val="both"/>
              <w:rPr>
                <w:sz w:val="22"/>
                <w:szCs w:val="22"/>
              </w:rPr>
            </w:pPr>
            <w:r w:rsidRPr="003A1931">
              <w:rPr>
                <w:sz w:val="22"/>
                <w:szCs w:val="22"/>
              </w:rPr>
              <w:t>2)</w:t>
            </w:r>
            <w:r w:rsidRPr="003A1931">
              <w:rPr>
                <w:sz w:val="22"/>
                <w:szCs w:val="22"/>
              </w:rPr>
              <w:tab/>
              <w:t>sniegto pakalpojumu atbilstību sabiedrības vajadzībām (atvērta, demokrātiska valsts pārvalde);</w:t>
            </w:r>
          </w:p>
          <w:p w14:paraId="5A366AD4" w14:textId="2AD03068" w:rsidR="003A1931" w:rsidRPr="003A1931" w:rsidRDefault="003A1931" w:rsidP="003A1931">
            <w:pPr>
              <w:jc w:val="both"/>
              <w:rPr>
                <w:sz w:val="22"/>
                <w:szCs w:val="22"/>
              </w:rPr>
            </w:pPr>
            <w:r w:rsidRPr="003A1931">
              <w:rPr>
                <w:sz w:val="22"/>
                <w:szCs w:val="22"/>
              </w:rPr>
              <w:t>3)</w:t>
            </w:r>
            <w:r w:rsidRPr="003A1931">
              <w:rPr>
                <w:sz w:val="22"/>
                <w:szCs w:val="22"/>
              </w:rPr>
              <w:tab/>
              <w:t>iespējas samazināt administratīvo slogu jeb prasību samērīguma analīzi, pirmkārt, jomās, kurās Latvijai ir zemi reitingu rādītāji (piem., “</w:t>
            </w:r>
            <w:proofErr w:type="spellStart"/>
            <w:r w:rsidRPr="003A1931">
              <w:rPr>
                <w:sz w:val="22"/>
                <w:szCs w:val="22"/>
              </w:rPr>
              <w:t>Doing</w:t>
            </w:r>
            <w:proofErr w:type="spellEnd"/>
            <w:r w:rsidRPr="003A1931">
              <w:rPr>
                <w:sz w:val="22"/>
                <w:szCs w:val="22"/>
              </w:rPr>
              <w:t xml:space="preserve"> </w:t>
            </w:r>
            <w:proofErr w:type="spellStart"/>
            <w:r w:rsidRPr="003A1931">
              <w:rPr>
                <w:sz w:val="22"/>
                <w:szCs w:val="22"/>
              </w:rPr>
              <w:t>business</w:t>
            </w:r>
            <w:proofErr w:type="spellEnd"/>
            <w:r w:rsidRPr="003A1931">
              <w:rPr>
                <w:sz w:val="22"/>
                <w:szCs w:val="22"/>
              </w:rPr>
              <w:t>”) (procesu/procedūru skaita samazinājums, laika un izmaksu samazinājums, procedūru vienkāršošana);</w:t>
            </w:r>
          </w:p>
          <w:p w14:paraId="74AD377B" w14:textId="77777777" w:rsidR="003A1931" w:rsidRPr="003A1931" w:rsidRDefault="003A1931" w:rsidP="003A1931">
            <w:pPr>
              <w:jc w:val="both"/>
              <w:rPr>
                <w:sz w:val="22"/>
                <w:szCs w:val="22"/>
              </w:rPr>
            </w:pPr>
            <w:r w:rsidRPr="003A1931">
              <w:rPr>
                <w:sz w:val="22"/>
                <w:szCs w:val="22"/>
              </w:rPr>
              <w:lastRenderedPageBreak/>
              <w:t>4)</w:t>
            </w:r>
            <w:r w:rsidRPr="003A1931">
              <w:rPr>
                <w:sz w:val="22"/>
                <w:szCs w:val="22"/>
              </w:rPr>
              <w:tab/>
              <w:t xml:space="preserve">pakalpojumu elektroniskās apkalpošanas kanālu attīstīšanu un </w:t>
            </w:r>
            <w:proofErr w:type="spellStart"/>
            <w:r w:rsidRPr="003A1931">
              <w:rPr>
                <w:sz w:val="22"/>
                <w:szCs w:val="22"/>
              </w:rPr>
              <w:t>prioritizēšanu</w:t>
            </w:r>
            <w:proofErr w:type="spellEnd"/>
            <w:r w:rsidRPr="003A1931">
              <w:rPr>
                <w:sz w:val="22"/>
                <w:szCs w:val="22"/>
              </w:rPr>
              <w:t>, piem., e-pakalpojumu popularizēšanu, klātienes apkalpošanas samazināšanas iespējas, IKT funkcionalitātes izmantošanas pilnīgumu (esošo IKT risinājumu izmantošanas pakāpi, noskaidrojot, kāpēc esošie IKT risinājumi netiek izmantoti vai tiek izmantoti daļēji, pakalpojumu saņemšanas ērtumu, ātrumu, pakalpojumu savstarpējā sasaisti); e-pakalpojuma organizāciju no tehnoloģiskā viedokļa (cik lielā mērā tiek izmantoti koplietošanas risinājumi, iespējas savienot dažādu valsts nozīmes reģistru tehniskos risinājumus datu apmaiņai), e-pakalpojumu un koplietošanas risinājumu ieguvumus;</w:t>
            </w:r>
          </w:p>
          <w:p w14:paraId="34365C2D" w14:textId="77777777" w:rsidR="003A1931" w:rsidRPr="003A1931" w:rsidRDefault="003A1931" w:rsidP="003A1931">
            <w:pPr>
              <w:jc w:val="both"/>
              <w:rPr>
                <w:sz w:val="22"/>
                <w:szCs w:val="22"/>
              </w:rPr>
            </w:pPr>
            <w:r w:rsidRPr="003A1931">
              <w:rPr>
                <w:sz w:val="22"/>
                <w:szCs w:val="22"/>
              </w:rPr>
              <w:t>5)</w:t>
            </w:r>
            <w:r w:rsidRPr="003A1931">
              <w:rPr>
                <w:sz w:val="22"/>
                <w:szCs w:val="22"/>
              </w:rPr>
              <w:tab/>
              <w:t>vai tika īstenota resursu (personāla, finanšu) pārstrukturizācija e-pakalpojumu ieviešanas rezultātā;</w:t>
            </w:r>
          </w:p>
          <w:p w14:paraId="247AF2CE" w14:textId="77777777" w:rsidR="003A1931" w:rsidRPr="003A1931" w:rsidRDefault="003A1931" w:rsidP="003A1931">
            <w:pPr>
              <w:jc w:val="both"/>
              <w:rPr>
                <w:sz w:val="22"/>
                <w:szCs w:val="22"/>
              </w:rPr>
            </w:pPr>
            <w:r w:rsidRPr="003A1931">
              <w:rPr>
                <w:sz w:val="22"/>
                <w:szCs w:val="22"/>
              </w:rPr>
              <w:t>6)</w:t>
            </w:r>
            <w:r w:rsidRPr="003A1931">
              <w:rPr>
                <w:sz w:val="22"/>
                <w:szCs w:val="22"/>
              </w:rPr>
              <w:tab/>
              <w:t>klientu apkalpošanas centru (KAC) noslodzes vērtējumu.</w:t>
            </w:r>
          </w:p>
          <w:p w14:paraId="1BC1951E" w14:textId="77777777" w:rsidR="003A1931" w:rsidRPr="003A1931" w:rsidRDefault="003A1931" w:rsidP="003A1931">
            <w:pPr>
              <w:jc w:val="both"/>
              <w:rPr>
                <w:sz w:val="22"/>
                <w:szCs w:val="22"/>
              </w:rPr>
            </w:pPr>
          </w:p>
          <w:p w14:paraId="6C824FED" w14:textId="77777777" w:rsidR="003A1931" w:rsidRPr="003A1931" w:rsidRDefault="003A1931" w:rsidP="003A1931">
            <w:pPr>
              <w:jc w:val="both"/>
              <w:rPr>
                <w:sz w:val="22"/>
                <w:szCs w:val="22"/>
              </w:rPr>
            </w:pPr>
            <w:r w:rsidRPr="003A1931">
              <w:rPr>
                <w:sz w:val="22"/>
                <w:szCs w:val="22"/>
              </w:rPr>
              <w:t xml:space="preserve"> Lai valsts pārvalde darbotos saskaņā ar sabiedrības interesēm un vajadzībām, valsts pārvaldes </w:t>
            </w:r>
            <w:r w:rsidRPr="003A1931">
              <w:rPr>
                <w:sz w:val="22"/>
                <w:szCs w:val="22"/>
              </w:rPr>
              <w:lastRenderedPageBreak/>
              <w:t>pakalpojumus nepieciešams pastāvīgi attīstīt un uzlabot. Valsts pārvaldes pakalpojumu pārvaldības sistēmas pilnveidošana ir aktuāla, ņemot vērā sabiedrības digitālās transformācijas izaicinājumus. Digitālās transformācijas definīcija ir: “Digitālā transformācija  ir digitālo tehnoloģiju pielietošana, lai būtiski uzlabotu sabiedrības attīstības mērķu īstenošanu, veidos, kas nebūtu iespējami bez šo digitālo tehnoloģiju izmantošanas”. Tomēr jāņem vērā, ka:</w:t>
            </w:r>
          </w:p>
          <w:p w14:paraId="5E41217F" w14:textId="77777777" w:rsidR="003A1931" w:rsidRPr="003A1931" w:rsidRDefault="003A1931" w:rsidP="003A1931">
            <w:pPr>
              <w:jc w:val="both"/>
              <w:rPr>
                <w:sz w:val="22"/>
                <w:szCs w:val="22"/>
              </w:rPr>
            </w:pPr>
            <w:r w:rsidRPr="003A1931">
              <w:rPr>
                <w:sz w:val="22"/>
                <w:szCs w:val="22"/>
              </w:rPr>
              <w:t>-</w:t>
            </w:r>
            <w:r w:rsidRPr="003A1931">
              <w:rPr>
                <w:sz w:val="22"/>
                <w:szCs w:val="22"/>
              </w:rPr>
              <w:tab/>
              <w:t>digitālā transformācija pati nav mērķis, bet gan līdzeklis, lai īstenotu valsts un sabiedrības mērķus;</w:t>
            </w:r>
          </w:p>
          <w:p w14:paraId="03AEDC48" w14:textId="77777777" w:rsidR="003A1931" w:rsidRPr="003A1931" w:rsidRDefault="003A1931" w:rsidP="003A1931">
            <w:pPr>
              <w:jc w:val="both"/>
              <w:rPr>
                <w:sz w:val="22"/>
                <w:szCs w:val="22"/>
              </w:rPr>
            </w:pPr>
            <w:r w:rsidRPr="003A1931">
              <w:rPr>
                <w:sz w:val="22"/>
                <w:szCs w:val="22"/>
              </w:rPr>
              <w:t>-</w:t>
            </w:r>
            <w:r w:rsidRPr="003A1931">
              <w:rPr>
                <w:sz w:val="22"/>
                <w:szCs w:val="22"/>
              </w:rPr>
              <w:tab/>
              <w:t>digitālā transformācija nav tikai digitālo tehnoloģiju pielietošana, bet ietver arī:</w:t>
            </w:r>
          </w:p>
          <w:p w14:paraId="66457325" w14:textId="77777777" w:rsidR="003A1931" w:rsidRPr="003A1931" w:rsidRDefault="003A1931" w:rsidP="003A1931">
            <w:pPr>
              <w:jc w:val="both"/>
              <w:rPr>
                <w:sz w:val="22"/>
                <w:szCs w:val="22"/>
              </w:rPr>
            </w:pPr>
            <w:r w:rsidRPr="003A1931">
              <w:rPr>
                <w:sz w:val="22"/>
                <w:szCs w:val="22"/>
              </w:rPr>
              <w:t>•</w:t>
            </w:r>
            <w:r w:rsidRPr="003A1931">
              <w:rPr>
                <w:sz w:val="22"/>
                <w:szCs w:val="22"/>
              </w:rPr>
              <w:tab/>
              <w:t>jauna veida attīstības mērķus, politikas, stratēģijas;</w:t>
            </w:r>
          </w:p>
          <w:p w14:paraId="115F4D1A" w14:textId="77777777" w:rsidR="003A1931" w:rsidRPr="003A1931" w:rsidRDefault="003A1931" w:rsidP="003A1931">
            <w:pPr>
              <w:jc w:val="both"/>
              <w:rPr>
                <w:sz w:val="22"/>
                <w:szCs w:val="22"/>
              </w:rPr>
            </w:pPr>
            <w:r w:rsidRPr="003A1931">
              <w:rPr>
                <w:sz w:val="22"/>
                <w:szCs w:val="22"/>
              </w:rPr>
              <w:t>•</w:t>
            </w:r>
            <w:r w:rsidRPr="003A1931">
              <w:rPr>
                <w:sz w:val="22"/>
                <w:szCs w:val="22"/>
              </w:rPr>
              <w:tab/>
              <w:t>jauna veida vajadzības un tām atbilstošus  pakalpojumus (d-pakalpojumus);</w:t>
            </w:r>
          </w:p>
          <w:p w14:paraId="101D9F30" w14:textId="77777777" w:rsidR="003A1931" w:rsidRPr="003A1931" w:rsidRDefault="003A1931" w:rsidP="003A1931">
            <w:pPr>
              <w:jc w:val="both"/>
              <w:rPr>
                <w:sz w:val="22"/>
                <w:szCs w:val="22"/>
              </w:rPr>
            </w:pPr>
            <w:r w:rsidRPr="003A1931">
              <w:rPr>
                <w:sz w:val="22"/>
                <w:szCs w:val="22"/>
              </w:rPr>
              <w:t>•</w:t>
            </w:r>
            <w:r w:rsidRPr="003A1931">
              <w:rPr>
                <w:sz w:val="22"/>
                <w:szCs w:val="22"/>
              </w:rPr>
              <w:tab/>
              <w:t>izmaiņas kultūrā, vērtībās, domāšanā;</w:t>
            </w:r>
          </w:p>
          <w:p w14:paraId="5B70A584" w14:textId="77777777" w:rsidR="003A1931" w:rsidRPr="003A1931" w:rsidRDefault="003A1931" w:rsidP="003A1931">
            <w:pPr>
              <w:jc w:val="both"/>
              <w:rPr>
                <w:sz w:val="22"/>
                <w:szCs w:val="22"/>
              </w:rPr>
            </w:pPr>
            <w:r w:rsidRPr="003A1931">
              <w:rPr>
                <w:sz w:val="22"/>
                <w:szCs w:val="22"/>
              </w:rPr>
              <w:t>•</w:t>
            </w:r>
            <w:r w:rsidRPr="003A1931">
              <w:rPr>
                <w:sz w:val="22"/>
                <w:szCs w:val="22"/>
              </w:rPr>
              <w:tab/>
              <w:t>nepieciešamību pēc jaunām kompetencēm, izmaiņas profesiju pieprasījumā, arī sociālo jautājumu risināšanu;</w:t>
            </w:r>
          </w:p>
          <w:p w14:paraId="0B8A91D2" w14:textId="77777777" w:rsidR="003A1931" w:rsidRPr="003A1931" w:rsidRDefault="003A1931" w:rsidP="003A1931">
            <w:pPr>
              <w:jc w:val="both"/>
              <w:rPr>
                <w:sz w:val="22"/>
                <w:szCs w:val="22"/>
              </w:rPr>
            </w:pPr>
            <w:r w:rsidRPr="003A1931">
              <w:rPr>
                <w:sz w:val="22"/>
                <w:szCs w:val="22"/>
              </w:rPr>
              <w:lastRenderedPageBreak/>
              <w:t>•</w:t>
            </w:r>
            <w:r w:rsidRPr="003A1931">
              <w:rPr>
                <w:sz w:val="22"/>
                <w:szCs w:val="22"/>
              </w:rPr>
              <w:tab/>
              <w:t>izmaiņas darba organizācijā, jauna veida organizatoriskās pārvaldības sistēmas, no iepriekšējiem atšķirīgus darbības procesus, atšķirīgu sadarbību ar partneriem;</w:t>
            </w:r>
          </w:p>
          <w:p w14:paraId="5E08E919" w14:textId="77777777" w:rsidR="003A1931" w:rsidRPr="003A1931" w:rsidRDefault="003A1931" w:rsidP="003A1931">
            <w:pPr>
              <w:jc w:val="both"/>
              <w:rPr>
                <w:sz w:val="22"/>
                <w:szCs w:val="22"/>
              </w:rPr>
            </w:pPr>
            <w:r w:rsidRPr="003A1931">
              <w:rPr>
                <w:sz w:val="22"/>
                <w:szCs w:val="22"/>
              </w:rPr>
              <w:t>•</w:t>
            </w:r>
            <w:r w:rsidRPr="003A1931">
              <w:rPr>
                <w:sz w:val="22"/>
                <w:szCs w:val="22"/>
              </w:rPr>
              <w:tab/>
              <w:t>izmaiņas un papildinājumus likumdošanā;</w:t>
            </w:r>
          </w:p>
          <w:p w14:paraId="16E34CAF" w14:textId="77777777" w:rsidR="003A1931" w:rsidRPr="003A1931" w:rsidRDefault="003A1931" w:rsidP="003A1931">
            <w:pPr>
              <w:jc w:val="both"/>
              <w:rPr>
                <w:sz w:val="22"/>
                <w:szCs w:val="22"/>
              </w:rPr>
            </w:pPr>
            <w:r w:rsidRPr="003A1931">
              <w:rPr>
                <w:sz w:val="22"/>
                <w:szCs w:val="22"/>
              </w:rPr>
              <w:t>•</w:t>
            </w:r>
            <w:r w:rsidRPr="003A1931">
              <w:rPr>
                <w:sz w:val="22"/>
                <w:szCs w:val="22"/>
              </w:rPr>
              <w:tab/>
              <w:t>izmaiņas tehnoloģiskajā nodrošinājumā (it sevišķi IKT – digitālās tehnoloģijas).</w:t>
            </w:r>
          </w:p>
          <w:p w14:paraId="29019EEE" w14:textId="77777777" w:rsidR="003A1931" w:rsidRPr="003A1931" w:rsidRDefault="003A1931" w:rsidP="003A1931">
            <w:pPr>
              <w:jc w:val="both"/>
              <w:rPr>
                <w:sz w:val="22"/>
                <w:szCs w:val="22"/>
              </w:rPr>
            </w:pPr>
            <w:r w:rsidRPr="003A1931">
              <w:rPr>
                <w:sz w:val="22"/>
                <w:szCs w:val="22"/>
              </w:rPr>
              <w:t xml:space="preserve">Tas nozīmē būtiskas izmaiņas arī valsts pārvaldes pakalpojumos gan no pārvaldības viedokļa, gan no satura viedokļa. </w:t>
            </w:r>
          </w:p>
          <w:p w14:paraId="3E3AE3A2" w14:textId="77777777" w:rsidR="003A1931" w:rsidRPr="003A1931" w:rsidRDefault="003A1931" w:rsidP="003A1931">
            <w:pPr>
              <w:jc w:val="both"/>
              <w:rPr>
                <w:sz w:val="22"/>
                <w:szCs w:val="22"/>
              </w:rPr>
            </w:pPr>
            <w:r w:rsidRPr="003A1931">
              <w:rPr>
                <w:sz w:val="22"/>
                <w:szCs w:val="22"/>
              </w:rPr>
              <w:t>Ar vien vairāk rodas jauna veida pakalpojumi – digitālie pakalpojumi (d-pakalpojumi), kuru būtiskā atšķirība no jau ierastajiem un plaši izplatītajiem e-pakalpojumiem ir tā, ka tie jau no dzimšanas “dzīvo” tikai elektroniskā vidē, un tiem nepastāv citi sniegšanas kanāli.</w:t>
            </w:r>
          </w:p>
          <w:p w14:paraId="743B8927" w14:textId="77777777" w:rsidR="003A1931" w:rsidRPr="003A1931" w:rsidRDefault="003A1931" w:rsidP="003A1931">
            <w:pPr>
              <w:jc w:val="both"/>
              <w:rPr>
                <w:sz w:val="22"/>
                <w:szCs w:val="22"/>
              </w:rPr>
            </w:pPr>
            <w:r w:rsidRPr="003A1931">
              <w:rPr>
                <w:sz w:val="22"/>
                <w:szCs w:val="22"/>
              </w:rPr>
              <w:t>Tiek pilnveidota arī valsts pārvaldes pakalpojumu pārvaldības sistēma, tiek pārlikti akcenti no paša pakalpojuma uz sabiedrības vajadzību nodrošināšanu, kas nozīmē, ka pakalpojums nav “galvenais”, bet tas ir līdzeklis pakalpojumu saņēmēju – sabiedrības vajadzību apmierināšanai.</w:t>
            </w:r>
          </w:p>
          <w:p w14:paraId="2B098C10" w14:textId="77777777" w:rsidR="003A1931" w:rsidRPr="003A1931" w:rsidRDefault="003A1931" w:rsidP="003A1931">
            <w:pPr>
              <w:jc w:val="both"/>
              <w:rPr>
                <w:sz w:val="22"/>
                <w:szCs w:val="22"/>
              </w:rPr>
            </w:pPr>
            <w:r w:rsidRPr="003A1931">
              <w:rPr>
                <w:sz w:val="22"/>
                <w:szCs w:val="22"/>
              </w:rPr>
              <w:lastRenderedPageBreak/>
              <w:t xml:space="preserve">Lai mērķtiecīgi, plānveidīgi, efektīvi un rezultatīvi pārvaldītu pakalpojumus gan īstermiņā, gan ilgtermiņā, tas jādara visos pakalpojumu dzīves cikla posmos: plānošanā, izstrādē, ieviešanā, sniegšanā un uzturēšanā, pārtraukšanā kā arī nemitīgā pilnveidē. </w:t>
            </w:r>
          </w:p>
          <w:p w14:paraId="284F150F" w14:textId="77777777" w:rsidR="003A1931" w:rsidRPr="003A1931" w:rsidRDefault="003A1931" w:rsidP="003A1931">
            <w:pPr>
              <w:jc w:val="both"/>
              <w:rPr>
                <w:sz w:val="22"/>
                <w:szCs w:val="22"/>
              </w:rPr>
            </w:pPr>
          </w:p>
          <w:p w14:paraId="7CE7B2B8" w14:textId="77777777" w:rsidR="003A1931" w:rsidRPr="003A1931" w:rsidRDefault="003A1931" w:rsidP="003A1931">
            <w:pPr>
              <w:jc w:val="both"/>
              <w:rPr>
                <w:sz w:val="22"/>
                <w:szCs w:val="22"/>
              </w:rPr>
            </w:pPr>
            <w:r w:rsidRPr="003A1931">
              <w:rPr>
                <w:sz w:val="22"/>
                <w:szCs w:val="22"/>
              </w:rPr>
              <w:t>Ņemot vērā iepriekšminēto, kā arī pamatojoties uz auditējamās iestādes mērķi, 2021.gada prioritārā audita ietvaros audita struktūrvienības varēs izvēlēties:</w:t>
            </w:r>
          </w:p>
          <w:p w14:paraId="5FC0279D" w14:textId="77777777" w:rsidR="003A1931" w:rsidRPr="003A1931" w:rsidRDefault="003A1931" w:rsidP="003A1931">
            <w:pPr>
              <w:jc w:val="both"/>
              <w:rPr>
                <w:sz w:val="22"/>
                <w:szCs w:val="22"/>
              </w:rPr>
            </w:pPr>
            <w:r w:rsidRPr="003A1931">
              <w:rPr>
                <w:sz w:val="22"/>
                <w:szCs w:val="22"/>
              </w:rPr>
              <w:t>-</w:t>
            </w:r>
            <w:r w:rsidRPr="003A1931">
              <w:rPr>
                <w:sz w:val="22"/>
                <w:szCs w:val="22"/>
              </w:rPr>
              <w:tab/>
              <w:t>vai sniegt novērtējumu par iekšējās kontroles sistēmas darbību risku vadībā;</w:t>
            </w:r>
          </w:p>
          <w:p w14:paraId="69BCAC17" w14:textId="77777777" w:rsidR="008C0617" w:rsidRPr="003A1931" w:rsidRDefault="003A1931" w:rsidP="003A1931">
            <w:pPr>
              <w:jc w:val="both"/>
              <w:rPr>
                <w:sz w:val="22"/>
                <w:szCs w:val="22"/>
              </w:rPr>
            </w:pPr>
            <w:r w:rsidRPr="003A1931">
              <w:rPr>
                <w:sz w:val="22"/>
                <w:szCs w:val="22"/>
              </w:rPr>
              <w:t>-</w:t>
            </w:r>
            <w:r w:rsidRPr="003A1931">
              <w:rPr>
                <w:sz w:val="22"/>
                <w:szCs w:val="22"/>
              </w:rPr>
              <w:tab/>
              <w:t>vai sniegt risku vadības konsultatīvo pakalpojumu - padomu sniegšanu risku vadības integrēšanā, pielietošanā, novērtēšanā.</w:t>
            </w:r>
          </w:p>
          <w:p w14:paraId="0622EA71" w14:textId="77777777" w:rsidR="008C0617" w:rsidRPr="007677CA" w:rsidRDefault="008C0617" w:rsidP="008C0617">
            <w:pPr>
              <w:jc w:val="both"/>
            </w:pPr>
            <w:r>
              <w:t>…</w:t>
            </w:r>
          </w:p>
          <w:p w14:paraId="04889CBD" w14:textId="77777777" w:rsidR="008C0617" w:rsidRPr="003A04D5" w:rsidRDefault="008C0617" w:rsidP="008C0617">
            <w:pPr>
              <w:jc w:val="both"/>
              <w:rPr>
                <w:sz w:val="22"/>
                <w:szCs w:val="22"/>
              </w:rPr>
            </w:pPr>
          </w:p>
        </w:tc>
        <w:tc>
          <w:tcPr>
            <w:tcW w:w="3260" w:type="dxa"/>
            <w:tcBorders>
              <w:top w:val="single" w:sz="4" w:space="0" w:color="auto"/>
              <w:left w:val="single" w:sz="6" w:space="0" w:color="000000"/>
              <w:bottom w:val="single" w:sz="6" w:space="0" w:color="000000"/>
              <w:right w:val="single" w:sz="6" w:space="0" w:color="000000"/>
            </w:tcBorders>
          </w:tcPr>
          <w:p w14:paraId="07F1AE2B" w14:textId="77777777" w:rsidR="008C0617" w:rsidRPr="006F00B5" w:rsidRDefault="008C0617" w:rsidP="008C0617">
            <w:pPr>
              <w:jc w:val="center"/>
              <w:rPr>
                <w:b/>
                <w:sz w:val="22"/>
                <w:szCs w:val="22"/>
              </w:rPr>
            </w:pPr>
            <w:r w:rsidRPr="006F00B5">
              <w:rPr>
                <w:b/>
                <w:sz w:val="22"/>
                <w:szCs w:val="22"/>
              </w:rPr>
              <w:lastRenderedPageBreak/>
              <w:t>Valsts kanceleja:</w:t>
            </w:r>
          </w:p>
          <w:p w14:paraId="5DB3613D" w14:textId="77777777" w:rsidR="008C0617" w:rsidRPr="00BD3BCB" w:rsidRDefault="008C0617" w:rsidP="008C0617">
            <w:pPr>
              <w:ind w:firstLine="31"/>
              <w:jc w:val="center"/>
              <w:rPr>
                <w:i/>
                <w:sz w:val="22"/>
                <w:szCs w:val="22"/>
                <w:highlight w:val="yellow"/>
              </w:rPr>
            </w:pPr>
            <w:r w:rsidRPr="00BD3BCB">
              <w:rPr>
                <w:i/>
                <w:sz w:val="22"/>
                <w:szCs w:val="22"/>
              </w:rPr>
              <w:t>(iebildums)</w:t>
            </w:r>
          </w:p>
          <w:p w14:paraId="45A65526" w14:textId="77777777" w:rsidR="008C0617" w:rsidRPr="00293362" w:rsidRDefault="008C0617" w:rsidP="008C0617">
            <w:pPr>
              <w:ind w:firstLine="314"/>
              <w:jc w:val="both"/>
              <w:rPr>
                <w:sz w:val="22"/>
                <w:szCs w:val="22"/>
              </w:rPr>
            </w:pPr>
            <w:r w:rsidRPr="00293362">
              <w:rPr>
                <w:sz w:val="22"/>
                <w:szCs w:val="22"/>
              </w:rPr>
              <w:lastRenderedPageBreak/>
              <w:t xml:space="preserve">Aicinām kritiski pārskatīt un optimizēt anotācijas I. sadaļas 2. punkta saturu, fokusējoties uz datiem, kas sniedz būtisku </w:t>
            </w:r>
            <w:r w:rsidRPr="0098083E">
              <w:rPr>
                <w:sz w:val="22"/>
                <w:szCs w:val="22"/>
              </w:rPr>
              <w:t>informāciju izpratnei par rīkojuma tēmu, piemēram, konkretizējot, kādā veidā apraksts par 2017. gadā audita jomām, vai digitālās transformācijas definīcija un tās aspektu uzskaitījums uzlabo izpratni par risku vadības nozīmi valsts pārvaldē.</w:t>
            </w:r>
          </w:p>
        </w:tc>
        <w:tc>
          <w:tcPr>
            <w:tcW w:w="3685" w:type="dxa"/>
          </w:tcPr>
          <w:p w14:paraId="191D738A" w14:textId="350F3C58" w:rsidR="008C0617" w:rsidRPr="006F00B5" w:rsidRDefault="008C0617" w:rsidP="008C0617">
            <w:pPr>
              <w:ind w:firstLine="284"/>
              <w:jc w:val="center"/>
              <w:rPr>
                <w:b/>
                <w:sz w:val="22"/>
                <w:szCs w:val="22"/>
              </w:rPr>
            </w:pPr>
            <w:r w:rsidRPr="006F00B5">
              <w:rPr>
                <w:b/>
                <w:sz w:val="22"/>
                <w:szCs w:val="22"/>
              </w:rPr>
              <w:lastRenderedPageBreak/>
              <w:t>Ņemts vērā</w:t>
            </w:r>
            <w:r>
              <w:rPr>
                <w:b/>
                <w:sz w:val="22"/>
                <w:szCs w:val="22"/>
              </w:rPr>
              <w:t xml:space="preserve">  </w:t>
            </w:r>
          </w:p>
          <w:p w14:paraId="22FF0D07" w14:textId="53234BD3" w:rsidR="00DC2D77" w:rsidRDefault="00DC2D77" w:rsidP="00EF0291">
            <w:pPr>
              <w:pStyle w:val="CommentText"/>
              <w:spacing w:after="0"/>
              <w:jc w:val="both"/>
              <w:rPr>
                <w:rFonts w:ascii="Times New Roman" w:hAnsi="Times New Roman"/>
                <w:sz w:val="22"/>
                <w:szCs w:val="22"/>
                <w:lang w:val="lv-LV"/>
              </w:rPr>
            </w:pPr>
            <w:r>
              <w:rPr>
                <w:rFonts w:ascii="Times New Roman" w:hAnsi="Times New Roman"/>
                <w:sz w:val="22"/>
                <w:szCs w:val="22"/>
                <w:lang w:val="lv-LV"/>
              </w:rPr>
              <w:t>Precizēta anotācija.</w:t>
            </w:r>
            <w:r w:rsidR="00456B54">
              <w:rPr>
                <w:rFonts w:ascii="Times New Roman" w:hAnsi="Times New Roman"/>
                <w:sz w:val="22"/>
                <w:szCs w:val="22"/>
                <w:lang w:val="lv-LV"/>
              </w:rPr>
              <w:t xml:space="preserve"> Samazināts apjoms </w:t>
            </w:r>
            <w:r w:rsidR="00456B54">
              <w:rPr>
                <w:rFonts w:ascii="Times New Roman" w:hAnsi="Times New Roman"/>
                <w:sz w:val="22"/>
                <w:szCs w:val="22"/>
                <w:lang w:val="lv-LV"/>
              </w:rPr>
              <w:lastRenderedPageBreak/>
              <w:t xml:space="preserve">un </w:t>
            </w:r>
            <w:r w:rsidR="00887204">
              <w:rPr>
                <w:rFonts w:ascii="Times New Roman" w:hAnsi="Times New Roman"/>
                <w:sz w:val="22"/>
                <w:szCs w:val="22"/>
                <w:lang w:val="lv-LV"/>
              </w:rPr>
              <w:t>papildināts</w:t>
            </w:r>
            <w:r w:rsidR="00456B54">
              <w:rPr>
                <w:rFonts w:ascii="Times New Roman" w:hAnsi="Times New Roman"/>
                <w:sz w:val="22"/>
                <w:szCs w:val="22"/>
                <w:lang w:val="lv-LV"/>
              </w:rPr>
              <w:t xml:space="preserve"> skaidrojums, ka valsts pārvaldes pakalpojumu pārvaldība (t.sk., digitālā transformācija) ir viena no sistēmām, kurā var nov</w:t>
            </w:r>
            <w:r w:rsidR="00887204">
              <w:rPr>
                <w:rFonts w:ascii="Times New Roman" w:hAnsi="Times New Roman"/>
                <w:sz w:val="22"/>
                <w:szCs w:val="22"/>
                <w:lang w:val="lv-LV"/>
              </w:rPr>
              <w:t>ērtēt praktisko risku vadību un</w:t>
            </w:r>
            <w:r w:rsidR="00456B54">
              <w:rPr>
                <w:rFonts w:ascii="Times New Roman" w:hAnsi="Times New Roman"/>
                <w:sz w:val="22"/>
                <w:szCs w:val="22"/>
                <w:lang w:val="lv-LV"/>
              </w:rPr>
              <w:t xml:space="preserve"> par kur</w:t>
            </w:r>
            <w:r w:rsidR="00C138FB">
              <w:rPr>
                <w:rFonts w:ascii="Times New Roman" w:hAnsi="Times New Roman"/>
                <w:sz w:val="22"/>
                <w:szCs w:val="22"/>
                <w:lang w:val="lv-LV"/>
              </w:rPr>
              <w:t>u</w:t>
            </w:r>
            <w:r w:rsidR="00456B54">
              <w:rPr>
                <w:rFonts w:ascii="Times New Roman" w:hAnsi="Times New Roman"/>
                <w:sz w:val="22"/>
                <w:szCs w:val="22"/>
                <w:lang w:val="lv-LV"/>
              </w:rPr>
              <w:t xml:space="preserve"> vadlīnijās tiks sniegti piemēri.  </w:t>
            </w:r>
            <w:r>
              <w:rPr>
                <w:rFonts w:ascii="Times New Roman" w:hAnsi="Times New Roman"/>
                <w:sz w:val="22"/>
                <w:szCs w:val="22"/>
                <w:lang w:val="lv-LV"/>
              </w:rPr>
              <w:t xml:space="preserve"> </w:t>
            </w:r>
          </w:p>
          <w:p w14:paraId="3126C292" w14:textId="6138B856" w:rsidR="008C0617" w:rsidRPr="00894111" w:rsidRDefault="008C0617" w:rsidP="0011073A">
            <w:pPr>
              <w:pStyle w:val="CommentText"/>
              <w:spacing w:after="0"/>
              <w:jc w:val="both"/>
              <w:rPr>
                <w:rFonts w:ascii="Times New Roman" w:hAnsi="Times New Roman"/>
                <w:sz w:val="22"/>
                <w:szCs w:val="22"/>
                <w:lang w:val="lv-LV"/>
              </w:rPr>
            </w:pPr>
          </w:p>
        </w:tc>
        <w:tc>
          <w:tcPr>
            <w:tcW w:w="3544" w:type="dxa"/>
            <w:tcBorders>
              <w:top w:val="single" w:sz="4" w:space="0" w:color="auto"/>
              <w:left w:val="single" w:sz="4" w:space="0" w:color="auto"/>
              <w:bottom w:val="single" w:sz="4" w:space="0" w:color="auto"/>
            </w:tcBorders>
          </w:tcPr>
          <w:p w14:paraId="04AFC18C" w14:textId="77777777" w:rsidR="00621FA9" w:rsidRPr="005242A1" w:rsidRDefault="00621FA9" w:rsidP="00621FA9">
            <w:pPr>
              <w:jc w:val="both"/>
              <w:rPr>
                <w:rFonts w:eastAsia="Calibri"/>
                <w:sz w:val="18"/>
                <w:szCs w:val="18"/>
                <w:lang w:eastAsia="en-US"/>
              </w:rPr>
            </w:pPr>
          </w:p>
          <w:p w14:paraId="370326F1" w14:textId="65A0B7DA" w:rsidR="00777F78" w:rsidRPr="00621FA9" w:rsidRDefault="00621FA9" w:rsidP="00621FA9">
            <w:pPr>
              <w:jc w:val="both"/>
              <w:rPr>
                <w:sz w:val="20"/>
                <w:szCs w:val="22"/>
              </w:rPr>
            </w:pPr>
            <w:r w:rsidRPr="00924574">
              <w:rPr>
                <w:sz w:val="22"/>
              </w:rPr>
              <w:t>Skatīt precizēto anotāciju.</w:t>
            </w:r>
          </w:p>
        </w:tc>
      </w:tr>
      <w:tr w:rsidR="008C0617" w:rsidRPr="006977EA" w14:paraId="1B145221" w14:textId="77777777" w:rsidTr="00DD79BC">
        <w:tc>
          <w:tcPr>
            <w:tcW w:w="567" w:type="dxa"/>
            <w:tcBorders>
              <w:top w:val="single" w:sz="6" w:space="0" w:color="000000"/>
              <w:left w:val="single" w:sz="6" w:space="0" w:color="000000"/>
              <w:bottom w:val="single" w:sz="6" w:space="0" w:color="000000"/>
              <w:right w:val="single" w:sz="6" w:space="0" w:color="000000"/>
            </w:tcBorders>
          </w:tcPr>
          <w:p w14:paraId="1F193EDF" w14:textId="62A67A7C" w:rsidR="008C0617" w:rsidRPr="006F0F2B" w:rsidRDefault="00836BC8" w:rsidP="008C0617">
            <w:pPr>
              <w:pStyle w:val="naisc"/>
              <w:numPr>
                <w:ilvl w:val="0"/>
                <w:numId w:val="37"/>
              </w:numPr>
              <w:spacing w:before="0" w:after="0"/>
              <w:ind w:left="-246"/>
              <w:jc w:val="left"/>
              <w:rPr>
                <w:sz w:val="22"/>
                <w:szCs w:val="22"/>
              </w:rPr>
            </w:pPr>
            <w:r>
              <w:rPr>
                <w:sz w:val="22"/>
                <w:szCs w:val="22"/>
              </w:rPr>
              <w:lastRenderedPageBreak/>
              <w:t>5.</w:t>
            </w:r>
          </w:p>
        </w:tc>
        <w:tc>
          <w:tcPr>
            <w:tcW w:w="3261" w:type="dxa"/>
            <w:tcBorders>
              <w:top w:val="single" w:sz="6" w:space="0" w:color="000000"/>
              <w:left w:val="single" w:sz="6" w:space="0" w:color="000000"/>
              <w:bottom w:val="single" w:sz="6" w:space="0" w:color="000000"/>
              <w:right w:val="single" w:sz="6" w:space="0" w:color="000000"/>
            </w:tcBorders>
          </w:tcPr>
          <w:p w14:paraId="268DC648" w14:textId="77777777" w:rsidR="008C0617" w:rsidRPr="006977EA" w:rsidRDefault="008C0617" w:rsidP="008C0617">
            <w:pPr>
              <w:pStyle w:val="naisc"/>
              <w:spacing w:before="0" w:after="0"/>
              <w:jc w:val="both"/>
              <w:rPr>
                <w:sz w:val="22"/>
                <w:szCs w:val="22"/>
                <w:highlight w:val="yellow"/>
                <w:u w:val="single"/>
              </w:rPr>
            </w:pPr>
            <w:r>
              <w:rPr>
                <w:sz w:val="22"/>
                <w:szCs w:val="22"/>
                <w:u w:val="single"/>
              </w:rPr>
              <w:t>Anotācijas I. sadaļas 2. punkta</w:t>
            </w:r>
            <w:r w:rsidRPr="00293362">
              <w:rPr>
                <w:sz w:val="22"/>
                <w:szCs w:val="22"/>
                <w:u w:val="single"/>
              </w:rPr>
              <w:t xml:space="preserve"> 10 lpp. 2. rindkopas pirm</w:t>
            </w:r>
            <w:r>
              <w:rPr>
                <w:sz w:val="22"/>
                <w:szCs w:val="22"/>
                <w:u w:val="single"/>
              </w:rPr>
              <w:t>ais</w:t>
            </w:r>
            <w:r w:rsidRPr="00293362">
              <w:rPr>
                <w:sz w:val="22"/>
                <w:szCs w:val="22"/>
                <w:u w:val="single"/>
              </w:rPr>
              <w:t xml:space="preserve"> </w:t>
            </w:r>
            <w:r w:rsidRPr="007F2D60">
              <w:rPr>
                <w:sz w:val="22"/>
                <w:szCs w:val="22"/>
                <w:u w:val="single"/>
              </w:rPr>
              <w:t>teikums:</w:t>
            </w:r>
          </w:p>
          <w:p w14:paraId="27FC86C2" w14:textId="77777777" w:rsidR="008C0617" w:rsidRPr="007F2D60" w:rsidRDefault="008C0617" w:rsidP="008C0617">
            <w:pPr>
              <w:jc w:val="both"/>
              <w:rPr>
                <w:sz w:val="22"/>
                <w:szCs w:val="22"/>
              </w:rPr>
            </w:pPr>
            <w:r w:rsidRPr="007F2D60">
              <w:rPr>
                <w:sz w:val="22"/>
                <w:szCs w:val="22"/>
              </w:rPr>
              <w:t xml:space="preserve">Rīkojuma projekta 2.punkta prasība par efektivitātes aspektu novērtēšanu iekšējo auditu ietvaros turpina 2018.gadā  iesākto praksi šādu aspektu novērtēšanai, kas palīdzēja sasniegt arī Valsts pārvaldes reformu plānā 2020  noteiktos mērķus – efektīva, </w:t>
            </w:r>
            <w:r w:rsidRPr="007F2D60">
              <w:rPr>
                <w:sz w:val="22"/>
                <w:szCs w:val="22"/>
              </w:rPr>
              <w:lastRenderedPageBreak/>
              <w:t>atbildīga un elastīga valsts pārvaldet.sk.:</w:t>
            </w:r>
          </w:p>
          <w:p w14:paraId="1DCA88B6" w14:textId="77777777" w:rsidR="008C0617" w:rsidRPr="007F2D60" w:rsidRDefault="008C0617" w:rsidP="008C0617">
            <w:pPr>
              <w:jc w:val="both"/>
              <w:rPr>
                <w:sz w:val="22"/>
                <w:szCs w:val="22"/>
              </w:rPr>
            </w:pPr>
            <w:r w:rsidRPr="007F2D60">
              <w:rPr>
                <w:sz w:val="22"/>
                <w:szCs w:val="22"/>
              </w:rPr>
              <w:t>-</w:t>
            </w:r>
            <w:r w:rsidRPr="007F2D60">
              <w:rPr>
                <w:sz w:val="22"/>
                <w:szCs w:val="22"/>
              </w:rPr>
              <w:tab/>
              <w:t>centralizēt atbalsta funkcijas, izvērtējot radniecisku funkciju apvienošanas iespējas, kā arī mazo iestāžu darbības lietderību (4.pasākums);</w:t>
            </w:r>
          </w:p>
          <w:p w14:paraId="7DEB657C" w14:textId="77777777" w:rsidR="008C0617" w:rsidRPr="007F2D60" w:rsidRDefault="008C0617" w:rsidP="008C0617">
            <w:pPr>
              <w:jc w:val="both"/>
              <w:rPr>
                <w:sz w:val="22"/>
                <w:szCs w:val="22"/>
              </w:rPr>
            </w:pPr>
            <w:r w:rsidRPr="007F2D60">
              <w:rPr>
                <w:sz w:val="22"/>
                <w:szCs w:val="22"/>
              </w:rPr>
              <w:t>-</w:t>
            </w:r>
            <w:r w:rsidRPr="007F2D60">
              <w:rPr>
                <w:sz w:val="22"/>
                <w:szCs w:val="22"/>
              </w:rPr>
              <w:tab/>
              <w:t>veikt regulāru izdevumu pārskatīšanu valsts budžeta finansētajās iestādēs (5.pasākums);</w:t>
            </w:r>
          </w:p>
          <w:p w14:paraId="4AA14F2A" w14:textId="77777777" w:rsidR="008C0617" w:rsidRPr="007F2D60" w:rsidRDefault="008C0617" w:rsidP="008C0617">
            <w:pPr>
              <w:jc w:val="both"/>
              <w:rPr>
                <w:sz w:val="22"/>
                <w:szCs w:val="22"/>
              </w:rPr>
            </w:pPr>
            <w:r w:rsidRPr="007F2D60">
              <w:rPr>
                <w:sz w:val="22"/>
                <w:szCs w:val="22"/>
              </w:rPr>
              <w:t>-</w:t>
            </w:r>
            <w:r w:rsidRPr="007F2D60">
              <w:rPr>
                <w:sz w:val="22"/>
                <w:szCs w:val="22"/>
              </w:rPr>
              <w:tab/>
              <w:t xml:space="preserve">virzīties uz “nulles birokrātiju”, attīstot labāka regulējuma politiku un stiprinot lietderības un efektivitātes auditus (8.pasākums). </w:t>
            </w:r>
          </w:p>
          <w:p w14:paraId="2966E7AF" w14:textId="77777777" w:rsidR="008C0617" w:rsidRPr="006977EA" w:rsidRDefault="008C0617" w:rsidP="00F31843">
            <w:pPr>
              <w:jc w:val="both"/>
              <w:rPr>
                <w:sz w:val="22"/>
                <w:szCs w:val="22"/>
                <w:highlight w:val="yellow"/>
              </w:rPr>
            </w:pPr>
            <w:r w:rsidRPr="007F2D60">
              <w:rPr>
                <w:sz w:val="22"/>
                <w:szCs w:val="22"/>
              </w:rPr>
              <w:t>-</w:t>
            </w:r>
            <w:r w:rsidRPr="007F2D60">
              <w:rPr>
                <w:sz w:val="22"/>
                <w:szCs w:val="22"/>
              </w:rPr>
              <w:tab/>
              <w:t>līdzīgs redzējums resorā, standartizācijas iespējas, labākās prakses pārņemšana, ievērojot resoru specifiku.</w:t>
            </w:r>
          </w:p>
        </w:tc>
        <w:tc>
          <w:tcPr>
            <w:tcW w:w="3260" w:type="dxa"/>
            <w:tcBorders>
              <w:top w:val="single" w:sz="6" w:space="0" w:color="000000"/>
              <w:left w:val="single" w:sz="6" w:space="0" w:color="000000"/>
              <w:bottom w:val="single" w:sz="6" w:space="0" w:color="000000"/>
              <w:right w:val="single" w:sz="6" w:space="0" w:color="000000"/>
            </w:tcBorders>
          </w:tcPr>
          <w:p w14:paraId="6BD2EDDA" w14:textId="77777777" w:rsidR="008C0617" w:rsidRPr="006F00B5" w:rsidRDefault="008C0617" w:rsidP="008C0617">
            <w:pPr>
              <w:jc w:val="center"/>
              <w:rPr>
                <w:b/>
                <w:sz w:val="22"/>
                <w:szCs w:val="22"/>
              </w:rPr>
            </w:pPr>
            <w:r w:rsidRPr="006F00B5">
              <w:rPr>
                <w:b/>
                <w:sz w:val="22"/>
                <w:szCs w:val="22"/>
              </w:rPr>
              <w:lastRenderedPageBreak/>
              <w:t>Valsts kanceleja:</w:t>
            </w:r>
          </w:p>
          <w:p w14:paraId="15FBB6C3" w14:textId="77777777" w:rsidR="008C0617" w:rsidRPr="00BD3BCB" w:rsidRDefault="008C0617" w:rsidP="008C0617">
            <w:pPr>
              <w:ind w:firstLine="31"/>
              <w:jc w:val="center"/>
              <w:rPr>
                <w:i/>
                <w:sz w:val="22"/>
                <w:szCs w:val="22"/>
                <w:highlight w:val="yellow"/>
              </w:rPr>
            </w:pPr>
            <w:r w:rsidRPr="00BD3BCB">
              <w:rPr>
                <w:i/>
                <w:sz w:val="22"/>
                <w:szCs w:val="22"/>
              </w:rPr>
              <w:t>(iebildums)</w:t>
            </w:r>
          </w:p>
          <w:p w14:paraId="749F2656" w14:textId="77777777" w:rsidR="008C0617" w:rsidRDefault="008C0617" w:rsidP="008C0617">
            <w:pPr>
              <w:ind w:firstLine="314"/>
              <w:jc w:val="both"/>
              <w:rPr>
                <w:sz w:val="22"/>
                <w:szCs w:val="22"/>
                <w:highlight w:val="yellow"/>
              </w:rPr>
            </w:pPr>
            <w:r w:rsidRPr="00293362">
              <w:rPr>
                <w:sz w:val="22"/>
                <w:szCs w:val="22"/>
              </w:rPr>
              <w:t xml:space="preserve">Lūdzam precizēt anotācijas I. sadaļas 2. punktā 10 lpp. 2. rindkopas pirmo teikumu, lai novērstu maldīgu priekšstatu, ka Valsts pārvaldes reformu plānā 2020 nospraustie mērķi jau tika sasniegti, proti teikumā “Rīkojuma projekta 2.punkta prasība par </w:t>
            </w:r>
            <w:r w:rsidRPr="00293362">
              <w:rPr>
                <w:sz w:val="22"/>
                <w:szCs w:val="22"/>
              </w:rPr>
              <w:lastRenderedPageBreak/>
              <w:t>efektivitātes aspektu novērtēšanu iekšējo auditu ietvaros turpina 2018. gadā iesākto praksi šādu aspektu novērtēšanai, kas palīdzēja sasniegt arī Valsts pārvaldes reformu plānā 2020 noteiktos mērķus – efektīva, atbildīga un elastīga valsts pārvalde”, aizstāt vārdus “palīdzēja sasniegt” ar “sniedz ieguldījumu” vai “veicina” tagadnes formā, jo minētais plāns tiek joprojām īstenots.</w:t>
            </w:r>
          </w:p>
          <w:p w14:paraId="188EA6BC" w14:textId="2870331E" w:rsidR="008C0617" w:rsidRPr="006977EA" w:rsidRDefault="008C0617" w:rsidP="00560E09">
            <w:pPr>
              <w:pStyle w:val="naisc"/>
              <w:tabs>
                <w:tab w:val="left" w:pos="2269"/>
              </w:tabs>
              <w:spacing w:before="0" w:after="0"/>
              <w:jc w:val="both"/>
              <w:rPr>
                <w:b/>
                <w:sz w:val="22"/>
                <w:szCs w:val="22"/>
                <w:highlight w:val="yellow"/>
              </w:rPr>
            </w:pPr>
          </w:p>
        </w:tc>
        <w:tc>
          <w:tcPr>
            <w:tcW w:w="3685" w:type="dxa"/>
            <w:tcBorders>
              <w:top w:val="single" w:sz="6" w:space="0" w:color="000000"/>
              <w:left w:val="single" w:sz="6" w:space="0" w:color="000000"/>
              <w:bottom w:val="single" w:sz="6" w:space="0" w:color="000000"/>
              <w:right w:val="single" w:sz="6" w:space="0" w:color="000000"/>
            </w:tcBorders>
          </w:tcPr>
          <w:p w14:paraId="339F2695" w14:textId="77777777" w:rsidR="008C0617" w:rsidRPr="006F00B5" w:rsidRDefault="008C0617" w:rsidP="008C0617">
            <w:pPr>
              <w:ind w:firstLine="284"/>
              <w:jc w:val="center"/>
              <w:rPr>
                <w:b/>
                <w:sz w:val="22"/>
                <w:szCs w:val="22"/>
              </w:rPr>
            </w:pPr>
            <w:r w:rsidRPr="006F00B5">
              <w:rPr>
                <w:b/>
                <w:sz w:val="22"/>
                <w:szCs w:val="22"/>
              </w:rPr>
              <w:lastRenderedPageBreak/>
              <w:t>Ņemts vērā</w:t>
            </w:r>
          </w:p>
          <w:p w14:paraId="7B97E303" w14:textId="77777777" w:rsidR="008C0617" w:rsidRDefault="008C0617" w:rsidP="008C0617">
            <w:pPr>
              <w:ind w:firstLine="284"/>
              <w:jc w:val="center"/>
              <w:rPr>
                <w:b/>
                <w:sz w:val="22"/>
                <w:szCs w:val="22"/>
              </w:rPr>
            </w:pPr>
          </w:p>
          <w:p w14:paraId="799FBD13" w14:textId="69C90A6E" w:rsidR="008C0617" w:rsidRPr="00894111" w:rsidRDefault="00166258" w:rsidP="008C0617">
            <w:pPr>
              <w:pStyle w:val="CommentText"/>
              <w:jc w:val="both"/>
              <w:rPr>
                <w:rFonts w:ascii="Times New Roman" w:hAnsi="Times New Roman"/>
                <w:sz w:val="22"/>
                <w:szCs w:val="22"/>
                <w:lang w:val="lv-LV"/>
              </w:rPr>
            </w:pPr>
            <w:r>
              <w:rPr>
                <w:rFonts w:ascii="Times New Roman" w:hAnsi="Times New Roman"/>
                <w:sz w:val="22"/>
                <w:szCs w:val="22"/>
                <w:lang w:val="lv-LV"/>
              </w:rPr>
              <w:t>P</w:t>
            </w:r>
            <w:r w:rsidR="008C0617">
              <w:rPr>
                <w:rFonts w:ascii="Times New Roman" w:hAnsi="Times New Roman"/>
                <w:sz w:val="22"/>
                <w:szCs w:val="22"/>
                <w:lang w:val="lv-LV"/>
              </w:rPr>
              <w:t>recizēt</w:t>
            </w:r>
            <w:r w:rsidR="008C0617" w:rsidRPr="00894111">
              <w:rPr>
                <w:rFonts w:ascii="Times New Roman" w:hAnsi="Times New Roman"/>
                <w:sz w:val="22"/>
                <w:szCs w:val="22"/>
                <w:lang w:val="lv-LV"/>
              </w:rPr>
              <w:t>a redakcija, aiz</w:t>
            </w:r>
            <w:r w:rsidR="008C0617">
              <w:rPr>
                <w:rFonts w:ascii="Times New Roman" w:hAnsi="Times New Roman"/>
                <w:sz w:val="22"/>
                <w:szCs w:val="22"/>
                <w:lang w:val="lv-LV"/>
              </w:rPr>
              <w:t>stājot</w:t>
            </w:r>
            <w:r w:rsidR="008C0617" w:rsidRPr="00894111">
              <w:rPr>
                <w:rFonts w:ascii="Times New Roman" w:hAnsi="Times New Roman"/>
                <w:sz w:val="22"/>
                <w:szCs w:val="22"/>
                <w:lang w:val="lv-LV"/>
              </w:rPr>
              <w:t xml:space="preserve"> vārdus “</w:t>
            </w:r>
            <w:r w:rsidR="008C0617" w:rsidRPr="00894111">
              <w:rPr>
                <w:rFonts w:ascii="Times New Roman" w:hAnsi="Times New Roman"/>
                <w:i/>
                <w:sz w:val="22"/>
                <w:szCs w:val="22"/>
                <w:shd w:val="clear" w:color="auto" w:fill="FFFFFF"/>
                <w:lang w:val="lv-LV"/>
              </w:rPr>
              <w:t>palīdzēja sasniegt</w:t>
            </w:r>
            <w:r w:rsidR="008C0617" w:rsidRPr="00894111">
              <w:rPr>
                <w:rFonts w:ascii="Times New Roman" w:hAnsi="Times New Roman"/>
                <w:sz w:val="22"/>
                <w:szCs w:val="22"/>
                <w:lang w:val="lv-LV"/>
              </w:rPr>
              <w:t>” ar “</w:t>
            </w:r>
            <w:r w:rsidR="008C0617" w:rsidRPr="00C837D5">
              <w:rPr>
                <w:rFonts w:ascii="Times New Roman" w:eastAsia="Times New Roman" w:hAnsi="Times New Roman"/>
                <w:i/>
                <w:sz w:val="22"/>
                <w:szCs w:val="22"/>
                <w:lang w:val="lv-LV" w:eastAsia="lv-LV"/>
              </w:rPr>
              <w:t>sniedz ieguldījumu</w:t>
            </w:r>
            <w:r w:rsidR="008C0617" w:rsidRPr="00894111">
              <w:rPr>
                <w:rFonts w:ascii="Times New Roman" w:hAnsi="Times New Roman"/>
                <w:sz w:val="22"/>
                <w:szCs w:val="22"/>
                <w:lang w:val="lv-LV"/>
              </w:rPr>
              <w:t>”.</w:t>
            </w:r>
          </w:p>
          <w:p w14:paraId="002573CC" w14:textId="77777777" w:rsidR="008C0617" w:rsidRPr="00293362" w:rsidRDefault="008C0617" w:rsidP="008C0617">
            <w:pPr>
              <w:ind w:firstLine="284"/>
              <w:jc w:val="center"/>
              <w:rPr>
                <w:b/>
                <w:sz w:val="22"/>
                <w:szCs w:val="22"/>
              </w:rPr>
            </w:pPr>
          </w:p>
          <w:p w14:paraId="37D8102F" w14:textId="77777777" w:rsidR="008C0617" w:rsidRPr="006977EA" w:rsidRDefault="008C0617" w:rsidP="008C0617">
            <w:pPr>
              <w:jc w:val="both"/>
              <w:rPr>
                <w:sz w:val="22"/>
                <w:szCs w:val="22"/>
                <w:highlight w:val="yellow"/>
              </w:rPr>
            </w:pPr>
          </w:p>
        </w:tc>
        <w:tc>
          <w:tcPr>
            <w:tcW w:w="3544" w:type="dxa"/>
            <w:tcBorders>
              <w:top w:val="single" w:sz="6" w:space="0" w:color="000000"/>
              <w:left w:val="single" w:sz="6" w:space="0" w:color="000000"/>
              <w:bottom w:val="single" w:sz="4" w:space="0" w:color="auto"/>
              <w:right w:val="single" w:sz="6" w:space="0" w:color="000000"/>
            </w:tcBorders>
          </w:tcPr>
          <w:p w14:paraId="0B10B59F" w14:textId="4DD62C89" w:rsidR="008C0617" w:rsidRPr="006977EA" w:rsidRDefault="00164ABF" w:rsidP="00164ABF">
            <w:pPr>
              <w:pStyle w:val="naisc"/>
              <w:spacing w:before="0" w:after="0"/>
              <w:ind w:firstLine="12"/>
              <w:jc w:val="both"/>
              <w:rPr>
                <w:i/>
                <w:sz w:val="22"/>
                <w:szCs w:val="22"/>
                <w:highlight w:val="yellow"/>
              </w:rPr>
            </w:pPr>
            <w:r>
              <w:rPr>
                <w:rFonts w:eastAsia="Calibri"/>
                <w:sz w:val="22"/>
                <w:szCs w:val="22"/>
                <w:lang w:eastAsia="en-US"/>
              </w:rPr>
              <w:t>Skatīt precizēto anotāciju.</w:t>
            </w:r>
          </w:p>
        </w:tc>
      </w:tr>
    </w:tbl>
    <w:p w14:paraId="759F8CC2" w14:textId="77777777" w:rsidR="001801C2" w:rsidRDefault="001801C2" w:rsidP="005F5C7A">
      <w:pPr>
        <w:pStyle w:val="naisf"/>
        <w:spacing w:before="0" w:after="0"/>
        <w:ind w:firstLine="0"/>
        <w:jc w:val="center"/>
        <w:rPr>
          <w:rFonts w:eastAsia="SimSun"/>
          <w:lang w:eastAsia="zh-CN" w:bidi="he-IL"/>
        </w:rPr>
      </w:pPr>
    </w:p>
    <w:tbl>
      <w:tblPr>
        <w:tblW w:w="14283" w:type="dxa"/>
        <w:tblInd w:w="-96" w:type="dxa"/>
        <w:tblLayout w:type="fixed"/>
        <w:tblLook w:val="00A0" w:firstRow="1" w:lastRow="0" w:firstColumn="1" w:lastColumn="0" w:noHBand="0" w:noVBand="0"/>
      </w:tblPr>
      <w:tblGrid>
        <w:gridCol w:w="12712"/>
        <w:gridCol w:w="1571"/>
      </w:tblGrid>
      <w:tr w:rsidR="001801C2" w:rsidRPr="00FB036F" w14:paraId="4FA2A7A2" w14:textId="77777777" w:rsidTr="00357EE5">
        <w:trPr>
          <w:gridAfter w:val="1"/>
          <w:wAfter w:w="1571" w:type="dxa"/>
        </w:trPr>
        <w:tc>
          <w:tcPr>
            <w:tcW w:w="12712" w:type="dxa"/>
          </w:tcPr>
          <w:tbl>
            <w:tblPr>
              <w:tblW w:w="5000" w:type="pct"/>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124"/>
              <w:gridCol w:w="8372"/>
            </w:tblGrid>
            <w:tr w:rsidR="00270EC8" w:rsidRPr="00270EC8" w14:paraId="62780D6D" w14:textId="77777777" w:rsidTr="00270EC8">
              <w:trPr>
                <w:trHeight w:val="450"/>
              </w:trPr>
              <w:tc>
                <w:tcPr>
                  <w:tcW w:w="1650" w:type="pct"/>
                  <w:tcBorders>
                    <w:top w:val="nil"/>
                    <w:left w:val="nil"/>
                    <w:bottom w:val="nil"/>
                    <w:right w:val="nil"/>
                  </w:tcBorders>
                  <w:shd w:val="clear" w:color="auto" w:fill="FFFFFF"/>
                  <w:noWrap/>
                  <w:vAlign w:val="bottom"/>
                  <w:hideMark/>
                </w:tcPr>
                <w:p w14:paraId="4053FF7B" w14:textId="77777777" w:rsidR="00270EC8" w:rsidRPr="00270EC8" w:rsidRDefault="00270EC8" w:rsidP="00270EC8">
                  <w:r w:rsidRPr="00270EC8">
                    <w:t>Atbildīgā amatpersona</w:t>
                  </w:r>
                </w:p>
              </w:tc>
              <w:tc>
                <w:tcPr>
                  <w:tcW w:w="3350" w:type="pct"/>
                  <w:tcBorders>
                    <w:top w:val="nil"/>
                    <w:left w:val="nil"/>
                    <w:bottom w:val="single" w:sz="6" w:space="0" w:color="414142"/>
                    <w:right w:val="nil"/>
                  </w:tcBorders>
                  <w:shd w:val="clear" w:color="auto" w:fill="FFFFFF"/>
                  <w:hideMark/>
                </w:tcPr>
                <w:p w14:paraId="717CF962" w14:textId="77777777" w:rsidR="00270EC8" w:rsidRPr="00270EC8" w:rsidRDefault="00270EC8" w:rsidP="00270EC8">
                  <w:r w:rsidRPr="00270EC8">
                    <w:t>  </w:t>
                  </w:r>
                </w:p>
              </w:tc>
            </w:tr>
            <w:tr w:rsidR="00270EC8" w:rsidRPr="00270EC8" w14:paraId="06558E41" w14:textId="77777777" w:rsidTr="00270EC8">
              <w:tc>
                <w:tcPr>
                  <w:tcW w:w="1650" w:type="pct"/>
                  <w:tcBorders>
                    <w:top w:val="nil"/>
                    <w:left w:val="nil"/>
                    <w:bottom w:val="nil"/>
                    <w:right w:val="nil"/>
                  </w:tcBorders>
                  <w:shd w:val="clear" w:color="auto" w:fill="FFFFFF"/>
                  <w:hideMark/>
                </w:tcPr>
                <w:p w14:paraId="32A7ECEF" w14:textId="77777777" w:rsidR="00270EC8" w:rsidRPr="00270EC8" w:rsidRDefault="00270EC8" w:rsidP="00270EC8">
                  <w:r w:rsidRPr="00270EC8">
                    <w:t> </w:t>
                  </w:r>
                </w:p>
              </w:tc>
              <w:tc>
                <w:tcPr>
                  <w:tcW w:w="3350" w:type="pct"/>
                  <w:tcBorders>
                    <w:top w:val="single" w:sz="6" w:space="0" w:color="414142"/>
                    <w:left w:val="nil"/>
                    <w:bottom w:val="nil"/>
                    <w:right w:val="nil"/>
                  </w:tcBorders>
                  <w:shd w:val="clear" w:color="auto" w:fill="FFFFFF"/>
                  <w:hideMark/>
                </w:tcPr>
                <w:p w14:paraId="6F395A99" w14:textId="77777777" w:rsidR="00270EC8" w:rsidRPr="00270EC8" w:rsidRDefault="00270EC8" w:rsidP="00270EC8">
                  <w:pPr>
                    <w:jc w:val="center"/>
                  </w:pPr>
                  <w:r w:rsidRPr="00270EC8">
                    <w:t>(paraksts)*</w:t>
                  </w:r>
                </w:p>
              </w:tc>
            </w:tr>
          </w:tbl>
          <w:p w14:paraId="1B3F1208" w14:textId="77777777" w:rsidR="00270EC8" w:rsidRPr="00270EC8" w:rsidRDefault="00270EC8" w:rsidP="00270EC8">
            <w:pPr>
              <w:pStyle w:val="tvhtml"/>
              <w:shd w:val="clear" w:color="auto" w:fill="FFFFFF"/>
              <w:spacing w:line="293" w:lineRule="atLeast"/>
              <w:ind w:firstLine="300"/>
            </w:pPr>
            <w:r w:rsidRPr="00270EC8">
              <w:t>Piezīme. * Dokumenta rekvizītu "paraksts" neaizpilda, ja elektroniskais dokuments ir sagatavots atbilstoši normatīvajiem aktiem par elektronisko dokumentu noformēšanu.</w:t>
            </w:r>
          </w:p>
          <w:tbl>
            <w:tblPr>
              <w:tblW w:w="5000" w:type="pct"/>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382"/>
              <w:gridCol w:w="114"/>
            </w:tblGrid>
            <w:tr w:rsidR="00270EC8" w:rsidRPr="00270EC8" w14:paraId="696D14A7" w14:textId="77777777" w:rsidTr="00270EC8">
              <w:trPr>
                <w:trHeight w:val="300"/>
              </w:trPr>
              <w:tc>
                <w:tcPr>
                  <w:tcW w:w="13005" w:type="dxa"/>
                  <w:tcBorders>
                    <w:top w:val="nil"/>
                    <w:left w:val="nil"/>
                    <w:bottom w:val="single" w:sz="6" w:space="0" w:color="414142"/>
                    <w:right w:val="nil"/>
                  </w:tcBorders>
                  <w:shd w:val="clear" w:color="auto" w:fill="FFFFFF"/>
                  <w:hideMark/>
                </w:tcPr>
                <w:p w14:paraId="5DA37C25" w14:textId="5A77904C" w:rsidR="00270EC8" w:rsidRPr="00270EC8" w:rsidRDefault="00270EC8" w:rsidP="00270EC8">
                  <w:r w:rsidRPr="00270EC8">
                    <w:t>Jūlija Adamoviča</w:t>
                  </w:r>
                  <w:r w:rsidRPr="00270EC8">
                    <w:t> </w:t>
                  </w:r>
                </w:p>
              </w:tc>
              <w:tc>
                <w:tcPr>
                  <w:tcW w:w="116" w:type="dxa"/>
                  <w:tcBorders>
                    <w:top w:val="nil"/>
                    <w:left w:val="nil"/>
                    <w:bottom w:val="nil"/>
                    <w:right w:val="nil"/>
                  </w:tcBorders>
                  <w:shd w:val="clear" w:color="auto" w:fill="FFFFFF"/>
                  <w:hideMark/>
                </w:tcPr>
                <w:p w14:paraId="63DE7CF8" w14:textId="77777777" w:rsidR="00270EC8" w:rsidRPr="00270EC8" w:rsidRDefault="00270EC8" w:rsidP="00270EC8">
                  <w:r w:rsidRPr="00270EC8">
                    <w:t> </w:t>
                  </w:r>
                </w:p>
              </w:tc>
            </w:tr>
            <w:tr w:rsidR="00270EC8" w:rsidRPr="00270EC8" w14:paraId="3F86000B" w14:textId="77777777" w:rsidTr="00270EC8">
              <w:trPr>
                <w:trHeight w:val="300"/>
              </w:trPr>
              <w:tc>
                <w:tcPr>
                  <w:tcW w:w="13005" w:type="dxa"/>
                  <w:tcBorders>
                    <w:top w:val="single" w:sz="6" w:space="0" w:color="414142"/>
                    <w:left w:val="nil"/>
                    <w:bottom w:val="nil"/>
                    <w:right w:val="nil"/>
                  </w:tcBorders>
                  <w:shd w:val="clear" w:color="auto" w:fill="FFFFFF"/>
                  <w:hideMark/>
                </w:tcPr>
                <w:p w14:paraId="18BE2D5A" w14:textId="77777777" w:rsidR="00270EC8" w:rsidRPr="00270EC8" w:rsidRDefault="00270EC8" w:rsidP="00270EC8">
                  <w:pPr>
                    <w:jc w:val="center"/>
                  </w:pPr>
                  <w:r w:rsidRPr="00270EC8">
                    <w:t>(par projektu atbildīgās amatpersonas vārds un uzvārds)</w:t>
                  </w:r>
                </w:p>
              </w:tc>
              <w:tc>
                <w:tcPr>
                  <w:tcW w:w="116" w:type="dxa"/>
                  <w:tcBorders>
                    <w:top w:val="nil"/>
                    <w:left w:val="nil"/>
                    <w:bottom w:val="nil"/>
                    <w:right w:val="nil"/>
                  </w:tcBorders>
                  <w:shd w:val="clear" w:color="auto" w:fill="FFFFFF"/>
                  <w:hideMark/>
                </w:tcPr>
                <w:p w14:paraId="52DE91A3" w14:textId="77777777" w:rsidR="00270EC8" w:rsidRPr="00270EC8" w:rsidRDefault="00270EC8" w:rsidP="00270EC8">
                  <w:r w:rsidRPr="00270EC8">
                    <w:t> </w:t>
                  </w:r>
                </w:p>
              </w:tc>
            </w:tr>
            <w:tr w:rsidR="00270EC8" w:rsidRPr="00270EC8" w14:paraId="19B21052" w14:textId="77777777" w:rsidTr="00270EC8">
              <w:trPr>
                <w:trHeight w:val="300"/>
              </w:trPr>
              <w:tc>
                <w:tcPr>
                  <w:tcW w:w="13005" w:type="dxa"/>
                  <w:tcBorders>
                    <w:top w:val="nil"/>
                    <w:left w:val="nil"/>
                    <w:bottom w:val="single" w:sz="6" w:space="0" w:color="414142"/>
                    <w:right w:val="nil"/>
                  </w:tcBorders>
                  <w:shd w:val="clear" w:color="auto" w:fill="FFFFFF"/>
                  <w:hideMark/>
                </w:tcPr>
                <w:p w14:paraId="12BC7A12" w14:textId="210586A7" w:rsidR="00270EC8" w:rsidRPr="00270EC8" w:rsidRDefault="00270EC8" w:rsidP="00270EC8">
                  <w:r w:rsidRPr="00270EC8">
                    <w:t>Iekšējā audita departamenta Iekšējā audita politikas plānošanas nodaļas vecākā eksperte</w:t>
                  </w:r>
                  <w:r w:rsidRPr="00270EC8">
                    <w:t> </w:t>
                  </w:r>
                </w:p>
              </w:tc>
              <w:tc>
                <w:tcPr>
                  <w:tcW w:w="116" w:type="dxa"/>
                  <w:tcBorders>
                    <w:top w:val="nil"/>
                    <w:left w:val="nil"/>
                    <w:bottom w:val="nil"/>
                    <w:right w:val="nil"/>
                  </w:tcBorders>
                  <w:shd w:val="clear" w:color="auto" w:fill="FFFFFF"/>
                  <w:hideMark/>
                </w:tcPr>
                <w:p w14:paraId="63A3B05F" w14:textId="77777777" w:rsidR="00270EC8" w:rsidRPr="00270EC8" w:rsidRDefault="00270EC8" w:rsidP="00270EC8">
                  <w:r w:rsidRPr="00270EC8">
                    <w:t> </w:t>
                  </w:r>
                </w:p>
              </w:tc>
            </w:tr>
            <w:tr w:rsidR="00270EC8" w:rsidRPr="00270EC8" w14:paraId="16715654" w14:textId="77777777" w:rsidTr="00270EC8">
              <w:trPr>
                <w:trHeight w:val="300"/>
              </w:trPr>
              <w:tc>
                <w:tcPr>
                  <w:tcW w:w="13005" w:type="dxa"/>
                  <w:tcBorders>
                    <w:top w:val="single" w:sz="6" w:space="0" w:color="414142"/>
                    <w:left w:val="nil"/>
                    <w:bottom w:val="nil"/>
                    <w:right w:val="nil"/>
                  </w:tcBorders>
                  <w:shd w:val="clear" w:color="auto" w:fill="FFFFFF"/>
                  <w:hideMark/>
                </w:tcPr>
                <w:p w14:paraId="5F28CB2A" w14:textId="77777777" w:rsidR="00270EC8" w:rsidRPr="00270EC8" w:rsidRDefault="00270EC8" w:rsidP="00270EC8">
                  <w:pPr>
                    <w:jc w:val="center"/>
                  </w:pPr>
                  <w:r w:rsidRPr="00270EC8">
                    <w:t>(amats)</w:t>
                  </w:r>
                </w:p>
              </w:tc>
              <w:tc>
                <w:tcPr>
                  <w:tcW w:w="116" w:type="dxa"/>
                  <w:tcBorders>
                    <w:top w:val="nil"/>
                    <w:left w:val="nil"/>
                    <w:bottom w:val="nil"/>
                    <w:right w:val="nil"/>
                  </w:tcBorders>
                  <w:shd w:val="clear" w:color="auto" w:fill="FFFFFF"/>
                  <w:hideMark/>
                </w:tcPr>
                <w:p w14:paraId="3B06FEFF" w14:textId="77777777" w:rsidR="00270EC8" w:rsidRPr="00270EC8" w:rsidRDefault="00270EC8" w:rsidP="00270EC8">
                  <w:r w:rsidRPr="00270EC8">
                    <w:t> </w:t>
                  </w:r>
                </w:p>
              </w:tc>
            </w:tr>
            <w:tr w:rsidR="00270EC8" w:rsidRPr="00270EC8" w14:paraId="49E89B94" w14:textId="77777777" w:rsidTr="00270EC8">
              <w:trPr>
                <w:trHeight w:val="300"/>
              </w:trPr>
              <w:tc>
                <w:tcPr>
                  <w:tcW w:w="13005" w:type="dxa"/>
                  <w:tcBorders>
                    <w:top w:val="nil"/>
                    <w:left w:val="nil"/>
                    <w:bottom w:val="single" w:sz="6" w:space="0" w:color="414142"/>
                    <w:right w:val="nil"/>
                  </w:tcBorders>
                  <w:shd w:val="clear" w:color="auto" w:fill="FFFFFF"/>
                  <w:hideMark/>
                </w:tcPr>
                <w:p w14:paraId="15099841" w14:textId="3AF42995" w:rsidR="00270EC8" w:rsidRPr="00270EC8" w:rsidRDefault="00270EC8" w:rsidP="00270EC8">
                  <w:r w:rsidRPr="00270EC8">
                    <w:lastRenderedPageBreak/>
                    <w:t>67095488</w:t>
                  </w:r>
                </w:p>
              </w:tc>
              <w:tc>
                <w:tcPr>
                  <w:tcW w:w="116" w:type="dxa"/>
                  <w:tcBorders>
                    <w:top w:val="nil"/>
                    <w:left w:val="nil"/>
                    <w:bottom w:val="nil"/>
                    <w:right w:val="nil"/>
                  </w:tcBorders>
                  <w:shd w:val="clear" w:color="auto" w:fill="FFFFFF"/>
                  <w:hideMark/>
                </w:tcPr>
                <w:p w14:paraId="2C22B0E2" w14:textId="77777777" w:rsidR="00270EC8" w:rsidRPr="00270EC8" w:rsidRDefault="00270EC8" w:rsidP="00270EC8">
                  <w:r w:rsidRPr="00270EC8">
                    <w:t> </w:t>
                  </w:r>
                </w:p>
              </w:tc>
            </w:tr>
            <w:tr w:rsidR="00270EC8" w:rsidRPr="00270EC8" w14:paraId="226019DA" w14:textId="77777777" w:rsidTr="00270EC8">
              <w:trPr>
                <w:trHeight w:val="300"/>
              </w:trPr>
              <w:tc>
                <w:tcPr>
                  <w:tcW w:w="13005" w:type="dxa"/>
                  <w:tcBorders>
                    <w:top w:val="single" w:sz="6" w:space="0" w:color="414142"/>
                    <w:left w:val="nil"/>
                    <w:bottom w:val="nil"/>
                    <w:right w:val="nil"/>
                  </w:tcBorders>
                  <w:shd w:val="clear" w:color="auto" w:fill="FFFFFF"/>
                  <w:hideMark/>
                </w:tcPr>
                <w:p w14:paraId="7BA54F8F" w14:textId="77777777" w:rsidR="00270EC8" w:rsidRPr="00270EC8" w:rsidRDefault="00270EC8" w:rsidP="00270EC8">
                  <w:pPr>
                    <w:jc w:val="center"/>
                  </w:pPr>
                  <w:r w:rsidRPr="00270EC8">
                    <w:t>(tālruņa un faksa numurs)</w:t>
                  </w:r>
                </w:p>
              </w:tc>
              <w:tc>
                <w:tcPr>
                  <w:tcW w:w="116" w:type="dxa"/>
                  <w:tcBorders>
                    <w:top w:val="nil"/>
                    <w:left w:val="nil"/>
                    <w:bottom w:val="nil"/>
                    <w:right w:val="nil"/>
                  </w:tcBorders>
                  <w:shd w:val="clear" w:color="auto" w:fill="FFFFFF"/>
                  <w:hideMark/>
                </w:tcPr>
                <w:p w14:paraId="0FEA1624" w14:textId="77777777" w:rsidR="00270EC8" w:rsidRPr="00270EC8" w:rsidRDefault="00270EC8" w:rsidP="00270EC8">
                  <w:r w:rsidRPr="00270EC8">
                    <w:t> </w:t>
                  </w:r>
                </w:p>
              </w:tc>
            </w:tr>
            <w:tr w:rsidR="00270EC8" w:rsidRPr="00270EC8" w14:paraId="63D4654B" w14:textId="77777777" w:rsidTr="00270EC8">
              <w:trPr>
                <w:trHeight w:val="300"/>
              </w:trPr>
              <w:tc>
                <w:tcPr>
                  <w:tcW w:w="13005" w:type="dxa"/>
                  <w:tcBorders>
                    <w:top w:val="nil"/>
                    <w:left w:val="nil"/>
                    <w:bottom w:val="single" w:sz="6" w:space="0" w:color="414142"/>
                    <w:right w:val="nil"/>
                  </w:tcBorders>
                  <w:shd w:val="clear" w:color="auto" w:fill="FFFFFF"/>
                  <w:hideMark/>
                </w:tcPr>
                <w:p w14:paraId="5BCC9191" w14:textId="11C0D228" w:rsidR="00270EC8" w:rsidRPr="00270EC8" w:rsidRDefault="00270EC8" w:rsidP="00270EC8">
                  <w:hyperlink r:id="rId8" w:history="1">
                    <w:r w:rsidRPr="002A53BF">
                      <w:rPr>
                        <w:rStyle w:val="Hyperlink"/>
                      </w:rPr>
                      <w:t>julija.adamovica@fm.gov.lv</w:t>
                    </w:r>
                  </w:hyperlink>
                  <w:r>
                    <w:t xml:space="preserve"> </w:t>
                  </w:r>
                  <w:r w:rsidRPr="00270EC8">
                    <w:t> </w:t>
                  </w:r>
                </w:p>
              </w:tc>
              <w:tc>
                <w:tcPr>
                  <w:tcW w:w="116" w:type="dxa"/>
                  <w:tcBorders>
                    <w:top w:val="nil"/>
                    <w:left w:val="nil"/>
                    <w:bottom w:val="nil"/>
                    <w:right w:val="nil"/>
                  </w:tcBorders>
                  <w:shd w:val="clear" w:color="auto" w:fill="FFFFFF"/>
                  <w:hideMark/>
                </w:tcPr>
                <w:p w14:paraId="51F94B8E" w14:textId="77777777" w:rsidR="00270EC8" w:rsidRPr="00270EC8" w:rsidRDefault="00270EC8" w:rsidP="00270EC8">
                  <w:r w:rsidRPr="00270EC8">
                    <w:t> </w:t>
                  </w:r>
                </w:p>
              </w:tc>
            </w:tr>
            <w:tr w:rsidR="00270EC8" w:rsidRPr="00270EC8" w14:paraId="20DFA2E9" w14:textId="77777777" w:rsidTr="00270EC8">
              <w:trPr>
                <w:trHeight w:val="300"/>
              </w:trPr>
              <w:tc>
                <w:tcPr>
                  <w:tcW w:w="13005" w:type="dxa"/>
                  <w:tcBorders>
                    <w:top w:val="single" w:sz="6" w:space="0" w:color="414142"/>
                    <w:left w:val="nil"/>
                    <w:bottom w:val="nil"/>
                    <w:right w:val="nil"/>
                  </w:tcBorders>
                  <w:shd w:val="clear" w:color="auto" w:fill="FFFFFF"/>
                  <w:hideMark/>
                </w:tcPr>
                <w:p w14:paraId="663EDEDC" w14:textId="77777777" w:rsidR="00270EC8" w:rsidRPr="00270EC8" w:rsidRDefault="00270EC8" w:rsidP="00270EC8">
                  <w:pPr>
                    <w:jc w:val="center"/>
                  </w:pPr>
                  <w:r w:rsidRPr="00270EC8">
                    <w:t>(e-pasta adrese)</w:t>
                  </w:r>
                </w:p>
              </w:tc>
              <w:tc>
                <w:tcPr>
                  <w:tcW w:w="116" w:type="dxa"/>
                  <w:shd w:val="clear" w:color="auto" w:fill="FFFFFF"/>
                  <w:vAlign w:val="center"/>
                  <w:hideMark/>
                </w:tcPr>
                <w:p w14:paraId="14F89E5A" w14:textId="77777777" w:rsidR="00270EC8" w:rsidRPr="00270EC8" w:rsidRDefault="00270EC8" w:rsidP="00270EC8"/>
              </w:tc>
            </w:tr>
          </w:tbl>
          <w:p w14:paraId="04E7E757" w14:textId="2CB63649" w:rsidR="00837492" w:rsidRPr="00FB036F" w:rsidRDefault="00837492" w:rsidP="00B23211">
            <w:pPr>
              <w:pStyle w:val="naiskr"/>
              <w:spacing w:before="0" w:after="0"/>
            </w:pPr>
          </w:p>
        </w:tc>
      </w:tr>
      <w:tr w:rsidR="001801C2" w:rsidRPr="00FB036F" w14:paraId="69300ACB" w14:textId="77777777" w:rsidTr="00357EE5">
        <w:trPr>
          <w:gridAfter w:val="1"/>
          <w:wAfter w:w="1571" w:type="dxa"/>
        </w:trPr>
        <w:tc>
          <w:tcPr>
            <w:tcW w:w="12712" w:type="dxa"/>
          </w:tcPr>
          <w:p w14:paraId="2DA68B05" w14:textId="77777777" w:rsidR="00837492" w:rsidRPr="00FB036F" w:rsidRDefault="00837492" w:rsidP="00BD7CE0">
            <w:pPr>
              <w:pStyle w:val="naiskr"/>
              <w:spacing w:before="0" w:after="0"/>
            </w:pPr>
          </w:p>
        </w:tc>
      </w:tr>
      <w:tr w:rsidR="001801C2" w:rsidRPr="00FB036F" w14:paraId="311D7DF8" w14:textId="77777777" w:rsidTr="00B23211">
        <w:trPr>
          <w:trHeight w:val="262"/>
        </w:trPr>
        <w:tc>
          <w:tcPr>
            <w:tcW w:w="14283" w:type="dxa"/>
            <w:gridSpan w:val="2"/>
          </w:tcPr>
          <w:p w14:paraId="294AAEB7" w14:textId="5FC7755F" w:rsidR="00721253" w:rsidRPr="00721253" w:rsidRDefault="00721253" w:rsidP="00341930">
            <w:pPr>
              <w:rPr>
                <w:sz w:val="20"/>
                <w:szCs w:val="20"/>
                <w:u w:val="single"/>
              </w:rPr>
            </w:pPr>
          </w:p>
        </w:tc>
      </w:tr>
    </w:tbl>
    <w:p w14:paraId="5376649D" w14:textId="77777777" w:rsidR="001801C2" w:rsidRPr="00FB036F" w:rsidRDefault="001801C2" w:rsidP="00341930">
      <w:pPr>
        <w:pStyle w:val="naisf"/>
        <w:spacing w:before="0" w:after="0"/>
        <w:ind w:firstLine="0"/>
        <w:rPr>
          <w:rFonts w:eastAsia="SimSun"/>
          <w:lang w:eastAsia="zh-CN" w:bidi="he-IL"/>
        </w:rPr>
      </w:pPr>
    </w:p>
    <w:sectPr w:rsidR="001801C2" w:rsidRPr="00FB036F" w:rsidSect="00F67DF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45908" w14:textId="77777777" w:rsidR="00D921C8" w:rsidRDefault="00D921C8">
      <w:r>
        <w:separator/>
      </w:r>
    </w:p>
  </w:endnote>
  <w:endnote w:type="continuationSeparator" w:id="0">
    <w:p w14:paraId="2B9AF047" w14:textId="77777777" w:rsidR="00D921C8" w:rsidRDefault="00D9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A433" w14:textId="77777777" w:rsidR="005F5A20" w:rsidRDefault="005F5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7DBD" w14:textId="04A82793" w:rsidR="00AD291C" w:rsidRPr="008C41C0" w:rsidRDefault="00D964B0" w:rsidP="00A61696">
    <w:pPr>
      <w:jc w:val="both"/>
      <w:rPr>
        <w:sz w:val="20"/>
        <w:szCs w:val="20"/>
      </w:rPr>
    </w:pPr>
    <w:r>
      <w:rPr>
        <w:sz w:val="20"/>
        <w:szCs w:val="20"/>
      </w:rPr>
      <w:t>FMIzz_</w:t>
    </w:r>
    <w:r w:rsidR="005F5A20">
      <w:rPr>
        <w:sz w:val="20"/>
        <w:szCs w:val="20"/>
      </w:rPr>
      <w:t>2</w:t>
    </w:r>
    <w:r w:rsidR="00791831">
      <w:rPr>
        <w:sz w:val="20"/>
        <w:szCs w:val="20"/>
      </w:rPr>
      <w:t>8</w:t>
    </w:r>
    <w:r w:rsidR="00F97A89" w:rsidRPr="00F97A89">
      <w:rPr>
        <w:sz w:val="20"/>
        <w:szCs w:val="20"/>
      </w:rPr>
      <w:t>1220</w:t>
    </w:r>
    <w:r w:rsidR="00A61696" w:rsidRPr="008C41C0">
      <w:rPr>
        <w:sz w:val="20"/>
        <w:szCs w:val="20"/>
      </w:rPr>
      <w:t>_MKprior</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64265" w14:textId="43F15D07" w:rsidR="00AD291C" w:rsidRPr="00CA42B5" w:rsidRDefault="00C23753" w:rsidP="009E241E">
    <w:pPr>
      <w:jc w:val="both"/>
      <w:rPr>
        <w:sz w:val="20"/>
        <w:szCs w:val="20"/>
      </w:rPr>
    </w:pPr>
    <w:r>
      <w:rPr>
        <w:sz w:val="20"/>
        <w:szCs w:val="20"/>
      </w:rPr>
      <w:t>FM</w:t>
    </w:r>
    <w:r w:rsidR="00AD291C">
      <w:rPr>
        <w:sz w:val="20"/>
        <w:szCs w:val="20"/>
      </w:rPr>
      <w:t>Izz_</w:t>
    </w:r>
    <w:r w:rsidR="008C5BE8">
      <w:rPr>
        <w:sz w:val="20"/>
        <w:szCs w:val="20"/>
      </w:rPr>
      <w:t>2</w:t>
    </w:r>
    <w:r w:rsidR="00791831">
      <w:rPr>
        <w:sz w:val="20"/>
        <w:szCs w:val="20"/>
      </w:rPr>
      <w:t>8</w:t>
    </w:r>
    <w:r w:rsidR="00F97A89" w:rsidRPr="00F97A89">
      <w:rPr>
        <w:sz w:val="20"/>
        <w:szCs w:val="20"/>
      </w:rPr>
      <w:t>1220</w:t>
    </w:r>
    <w:r w:rsidR="00AD291C">
      <w:rPr>
        <w:sz w:val="20"/>
        <w:szCs w:val="20"/>
      </w:rPr>
      <w:t>_</w:t>
    </w:r>
    <w:r w:rsidR="00B11ED5">
      <w:rPr>
        <w:sz w:val="20"/>
        <w:szCs w:val="20"/>
      </w:rPr>
      <w:t>MKprior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37D7D" w14:textId="77777777" w:rsidR="00D921C8" w:rsidRDefault="00D921C8">
      <w:r>
        <w:separator/>
      </w:r>
    </w:p>
  </w:footnote>
  <w:footnote w:type="continuationSeparator" w:id="0">
    <w:p w14:paraId="7880A9B0" w14:textId="77777777" w:rsidR="00D921C8" w:rsidRDefault="00D9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946E7" w14:textId="77777777"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20DEB" w14:textId="77777777" w:rsidR="00AD291C" w:rsidRDefault="00AD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9E4" w14:textId="33020B0C" w:rsidR="00AD291C" w:rsidRDefault="00AD291C"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831">
      <w:rPr>
        <w:rStyle w:val="PageNumber"/>
        <w:noProof/>
      </w:rPr>
      <w:t>3</w:t>
    </w:r>
    <w:r>
      <w:rPr>
        <w:rStyle w:val="PageNumber"/>
      </w:rPr>
      <w:fldChar w:fldCharType="end"/>
    </w:r>
  </w:p>
  <w:p w14:paraId="3E453182" w14:textId="77777777" w:rsidR="00AD291C" w:rsidRDefault="00AD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36EC" w14:textId="77777777" w:rsidR="005F5A20" w:rsidRDefault="005F5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AF"/>
    <w:multiLevelType w:val="hybridMultilevel"/>
    <w:tmpl w:val="A2E83BF6"/>
    <w:lvl w:ilvl="0" w:tplc="89FCF0D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250D5C"/>
    <w:multiLevelType w:val="hybridMultilevel"/>
    <w:tmpl w:val="8C3E9D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1351B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210B66"/>
    <w:multiLevelType w:val="multilevel"/>
    <w:tmpl w:val="B85AC45A"/>
    <w:lvl w:ilvl="0">
      <w:start w:val="1"/>
      <w:numFmt w:val="decimal"/>
      <w:lvlText w:val="%1."/>
      <w:lvlJc w:val="left"/>
      <w:pPr>
        <w:tabs>
          <w:tab w:val="num" w:pos="502"/>
        </w:tabs>
        <w:ind w:left="502" w:hanging="360"/>
      </w:pPr>
      <w:rPr>
        <w:color w:val="auto"/>
        <w:sz w:val="28"/>
        <w:szCs w:val="28"/>
      </w:rPr>
    </w:lvl>
    <w:lvl w:ilvl="1">
      <w:start w:val="1"/>
      <w:numFmt w:val="decimal"/>
      <w:lvlText w:val="%1.%2."/>
      <w:lvlJc w:val="left"/>
      <w:pPr>
        <w:tabs>
          <w:tab w:val="num" w:pos="716"/>
        </w:tabs>
        <w:ind w:left="716"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1801687"/>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FB1BCB"/>
    <w:multiLevelType w:val="hybridMultilevel"/>
    <w:tmpl w:val="AFC0C74C"/>
    <w:lvl w:ilvl="0" w:tplc="0426000F">
      <w:start w:val="1"/>
      <w:numFmt w:val="decimal"/>
      <w:lvlText w:val="%1."/>
      <w:lvlJc w:val="left"/>
      <w:pPr>
        <w:ind w:left="80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6C1331"/>
    <w:multiLevelType w:val="multilevel"/>
    <w:tmpl w:val="DB28362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F752A5"/>
    <w:multiLevelType w:val="multilevel"/>
    <w:tmpl w:val="6924F182"/>
    <w:lvl w:ilvl="0">
      <w:start w:val="30"/>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BBB78CD"/>
    <w:multiLevelType w:val="hybridMultilevel"/>
    <w:tmpl w:val="361E851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3" w15:restartNumberingAfterBreak="0">
    <w:nsid w:val="1D7D093F"/>
    <w:multiLevelType w:val="multilevel"/>
    <w:tmpl w:val="CA76AEC0"/>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5"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52A69F9"/>
    <w:multiLevelType w:val="multilevel"/>
    <w:tmpl w:val="8564DE24"/>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53B062A"/>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3A3358D"/>
    <w:multiLevelType w:val="hybridMultilevel"/>
    <w:tmpl w:val="17522766"/>
    <w:lvl w:ilvl="0" w:tplc="B4580EC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6051A85"/>
    <w:multiLevelType w:val="hybridMultilevel"/>
    <w:tmpl w:val="0DACBE98"/>
    <w:lvl w:ilvl="0" w:tplc="65F62AAA">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A6598"/>
    <w:multiLevelType w:val="multilevel"/>
    <w:tmpl w:val="93E0964E"/>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25A76"/>
    <w:multiLevelType w:val="multilevel"/>
    <w:tmpl w:val="D958AE56"/>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4FD7364"/>
    <w:multiLevelType w:val="hybridMultilevel"/>
    <w:tmpl w:val="3BA6C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060232"/>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B570822"/>
    <w:multiLevelType w:val="hybridMultilevel"/>
    <w:tmpl w:val="F2BEEE6E"/>
    <w:lvl w:ilvl="0" w:tplc="ABD497CC">
      <w:start w:val="2018"/>
      <w:numFmt w:val="bullet"/>
      <w:lvlText w:val="-"/>
      <w:lvlJc w:val="left"/>
      <w:pPr>
        <w:ind w:left="1053" w:hanging="360"/>
      </w:pPr>
      <w:rPr>
        <w:rFonts w:ascii="Times New Roman" w:eastAsia="Calibri" w:hAnsi="Times New Roman" w:cs="Times New Roman" w:hint="default"/>
      </w:rPr>
    </w:lvl>
    <w:lvl w:ilvl="1" w:tplc="04260003" w:tentative="1">
      <w:start w:val="1"/>
      <w:numFmt w:val="bullet"/>
      <w:lvlText w:val="o"/>
      <w:lvlJc w:val="left"/>
      <w:pPr>
        <w:ind w:left="1773" w:hanging="360"/>
      </w:pPr>
      <w:rPr>
        <w:rFonts w:ascii="Courier New" w:hAnsi="Courier New" w:cs="Courier New" w:hint="default"/>
      </w:rPr>
    </w:lvl>
    <w:lvl w:ilvl="2" w:tplc="04260005" w:tentative="1">
      <w:start w:val="1"/>
      <w:numFmt w:val="bullet"/>
      <w:lvlText w:val=""/>
      <w:lvlJc w:val="left"/>
      <w:pPr>
        <w:ind w:left="2493" w:hanging="360"/>
      </w:pPr>
      <w:rPr>
        <w:rFonts w:ascii="Wingdings" w:hAnsi="Wingdings" w:hint="default"/>
      </w:rPr>
    </w:lvl>
    <w:lvl w:ilvl="3" w:tplc="04260001" w:tentative="1">
      <w:start w:val="1"/>
      <w:numFmt w:val="bullet"/>
      <w:lvlText w:val=""/>
      <w:lvlJc w:val="left"/>
      <w:pPr>
        <w:ind w:left="3213" w:hanging="360"/>
      </w:pPr>
      <w:rPr>
        <w:rFonts w:ascii="Symbol" w:hAnsi="Symbol" w:hint="default"/>
      </w:rPr>
    </w:lvl>
    <w:lvl w:ilvl="4" w:tplc="04260003" w:tentative="1">
      <w:start w:val="1"/>
      <w:numFmt w:val="bullet"/>
      <w:lvlText w:val="o"/>
      <w:lvlJc w:val="left"/>
      <w:pPr>
        <w:ind w:left="3933" w:hanging="360"/>
      </w:pPr>
      <w:rPr>
        <w:rFonts w:ascii="Courier New" w:hAnsi="Courier New" w:cs="Courier New" w:hint="default"/>
      </w:rPr>
    </w:lvl>
    <w:lvl w:ilvl="5" w:tplc="04260005" w:tentative="1">
      <w:start w:val="1"/>
      <w:numFmt w:val="bullet"/>
      <w:lvlText w:val=""/>
      <w:lvlJc w:val="left"/>
      <w:pPr>
        <w:ind w:left="4653" w:hanging="360"/>
      </w:pPr>
      <w:rPr>
        <w:rFonts w:ascii="Wingdings" w:hAnsi="Wingdings" w:hint="default"/>
      </w:rPr>
    </w:lvl>
    <w:lvl w:ilvl="6" w:tplc="04260001" w:tentative="1">
      <w:start w:val="1"/>
      <w:numFmt w:val="bullet"/>
      <w:lvlText w:val=""/>
      <w:lvlJc w:val="left"/>
      <w:pPr>
        <w:ind w:left="5373" w:hanging="360"/>
      </w:pPr>
      <w:rPr>
        <w:rFonts w:ascii="Symbol" w:hAnsi="Symbol" w:hint="default"/>
      </w:rPr>
    </w:lvl>
    <w:lvl w:ilvl="7" w:tplc="04260003" w:tentative="1">
      <w:start w:val="1"/>
      <w:numFmt w:val="bullet"/>
      <w:lvlText w:val="o"/>
      <w:lvlJc w:val="left"/>
      <w:pPr>
        <w:ind w:left="6093" w:hanging="360"/>
      </w:pPr>
      <w:rPr>
        <w:rFonts w:ascii="Courier New" w:hAnsi="Courier New" w:cs="Courier New" w:hint="default"/>
      </w:rPr>
    </w:lvl>
    <w:lvl w:ilvl="8" w:tplc="04260005" w:tentative="1">
      <w:start w:val="1"/>
      <w:numFmt w:val="bullet"/>
      <w:lvlText w:val=""/>
      <w:lvlJc w:val="left"/>
      <w:pPr>
        <w:ind w:left="6813" w:hanging="360"/>
      </w:pPr>
      <w:rPr>
        <w:rFonts w:ascii="Wingdings" w:hAnsi="Wingdings" w:hint="default"/>
      </w:rPr>
    </w:lvl>
  </w:abstractNum>
  <w:abstractNum w:abstractNumId="29"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4FCD2EE2"/>
    <w:multiLevelType w:val="hybridMultilevel"/>
    <w:tmpl w:val="3F8C665E"/>
    <w:lvl w:ilvl="0" w:tplc="422ABB10">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1" w15:restartNumberingAfterBreak="0">
    <w:nsid w:val="532D3E9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3510638"/>
    <w:multiLevelType w:val="hybridMultilevel"/>
    <w:tmpl w:val="F648E2D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4870A22"/>
    <w:multiLevelType w:val="multilevel"/>
    <w:tmpl w:val="BA087620"/>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5" w15:restartNumberingAfterBreak="0">
    <w:nsid w:val="5EE007AA"/>
    <w:multiLevelType w:val="hybridMultilevel"/>
    <w:tmpl w:val="52A2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8F5216"/>
    <w:multiLevelType w:val="multilevel"/>
    <w:tmpl w:val="B41E5226"/>
    <w:lvl w:ilvl="0">
      <w:start w:val="2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829497F"/>
    <w:multiLevelType w:val="hybridMultilevel"/>
    <w:tmpl w:val="425EA3D8"/>
    <w:lvl w:ilvl="0" w:tplc="A8AEA1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C537E87"/>
    <w:multiLevelType w:val="multilevel"/>
    <w:tmpl w:val="AAE45D52"/>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6DD43547"/>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6FCF3AD1"/>
    <w:multiLevelType w:val="hybridMultilevel"/>
    <w:tmpl w:val="21DA0268"/>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39154C8"/>
    <w:multiLevelType w:val="hybridMultilevel"/>
    <w:tmpl w:val="D6D659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E4E576B"/>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8"/>
  </w:num>
  <w:num w:numId="2">
    <w:abstractNumId w:val="38"/>
  </w:num>
  <w:num w:numId="3">
    <w:abstractNumId w:val="3"/>
  </w:num>
  <w:num w:numId="4">
    <w:abstractNumId w:val="19"/>
  </w:num>
  <w:num w:numId="5">
    <w:abstractNumId w:val="14"/>
  </w:num>
  <w:num w:numId="6">
    <w:abstractNumId w:val="22"/>
  </w:num>
  <w:num w:numId="7">
    <w:abstractNumId w:val="24"/>
  </w:num>
  <w:num w:numId="8">
    <w:abstractNumId w:val="34"/>
  </w:num>
  <w:num w:numId="9">
    <w:abstractNumId w:val="2"/>
  </w:num>
  <w:num w:numId="10">
    <w:abstractNumId w:val="15"/>
  </w:num>
  <w:num w:numId="11">
    <w:abstractNumId w:val="8"/>
  </w:num>
  <w:num w:numId="12">
    <w:abstractNumId w:val="31"/>
  </w:num>
  <w:num w:numId="13">
    <w:abstractNumId w:val="40"/>
  </w:num>
  <w:num w:numId="14">
    <w:abstractNumId w:val="4"/>
  </w:num>
  <w:num w:numId="15">
    <w:abstractNumId w:val="43"/>
  </w:num>
  <w:num w:numId="16">
    <w:abstractNumId w:val="17"/>
  </w:num>
  <w:num w:numId="17">
    <w:abstractNumId w:val="37"/>
  </w:num>
  <w:num w:numId="18">
    <w:abstractNumId w:val="12"/>
  </w:num>
  <w:num w:numId="19">
    <w:abstractNumId w:val="5"/>
  </w:num>
  <w:num w:numId="20">
    <w:abstractNumId w:val="20"/>
  </w:num>
  <w:num w:numId="21">
    <w:abstractNumId w:val="33"/>
  </w:num>
  <w:num w:numId="22">
    <w:abstractNumId w:val="16"/>
  </w:num>
  <w:num w:numId="23">
    <w:abstractNumId w:val="13"/>
  </w:num>
  <w:num w:numId="24">
    <w:abstractNumId w:val="36"/>
  </w:num>
  <w:num w:numId="25">
    <w:abstractNumId w:val="30"/>
  </w:num>
  <w:num w:numId="26">
    <w:abstractNumId w:val="23"/>
  </w:num>
  <w:num w:numId="27">
    <w:abstractNumId w:val="27"/>
  </w:num>
  <w:num w:numId="28">
    <w:abstractNumId w:val="6"/>
  </w:num>
  <w:num w:numId="29">
    <w:abstractNumId w:val="25"/>
  </w:num>
  <w:num w:numId="30">
    <w:abstractNumId w:val="39"/>
  </w:num>
  <w:num w:numId="31">
    <w:abstractNumId w:val="11"/>
  </w:num>
  <w:num w:numId="32">
    <w:abstractNumId w:val="29"/>
  </w:num>
  <w:num w:numId="33">
    <w:abstractNumId w:val="0"/>
  </w:num>
  <w:num w:numId="34">
    <w:abstractNumId w:val="26"/>
  </w:num>
  <w:num w:numId="35">
    <w:abstractNumId w:val="35"/>
  </w:num>
  <w:num w:numId="36">
    <w:abstractNumId w:val="32"/>
  </w:num>
  <w:num w:numId="37">
    <w:abstractNumId w:val="21"/>
  </w:num>
  <w:num w:numId="38">
    <w:abstractNumId w:val="10"/>
  </w:num>
  <w:num w:numId="39">
    <w:abstractNumId w:val="9"/>
  </w:num>
  <w:num w:numId="40">
    <w:abstractNumId w:val="4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655"/>
    <w:rsid w:val="000027FC"/>
    <w:rsid w:val="00003AAA"/>
    <w:rsid w:val="0000411A"/>
    <w:rsid w:val="00004272"/>
    <w:rsid w:val="00004DDC"/>
    <w:rsid w:val="0000513E"/>
    <w:rsid w:val="00005344"/>
    <w:rsid w:val="00006DD3"/>
    <w:rsid w:val="00007004"/>
    <w:rsid w:val="00013193"/>
    <w:rsid w:val="0001436C"/>
    <w:rsid w:val="000148B4"/>
    <w:rsid w:val="00021FA4"/>
    <w:rsid w:val="00022E36"/>
    <w:rsid w:val="00024C1E"/>
    <w:rsid w:val="000253C9"/>
    <w:rsid w:val="000263F1"/>
    <w:rsid w:val="00026861"/>
    <w:rsid w:val="00027859"/>
    <w:rsid w:val="000328C0"/>
    <w:rsid w:val="00033045"/>
    <w:rsid w:val="00035898"/>
    <w:rsid w:val="000361CD"/>
    <w:rsid w:val="00037D92"/>
    <w:rsid w:val="00037DA2"/>
    <w:rsid w:val="00040B79"/>
    <w:rsid w:val="000414A8"/>
    <w:rsid w:val="000435E0"/>
    <w:rsid w:val="00043D41"/>
    <w:rsid w:val="000522DD"/>
    <w:rsid w:val="00061DD9"/>
    <w:rsid w:val="0006246C"/>
    <w:rsid w:val="0006570F"/>
    <w:rsid w:val="00073FD4"/>
    <w:rsid w:val="00076329"/>
    <w:rsid w:val="00076AF7"/>
    <w:rsid w:val="00080393"/>
    <w:rsid w:val="00081169"/>
    <w:rsid w:val="00082CDC"/>
    <w:rsid w:val="00084C7C"/>
    <w:rsid w:val="00084FB8"/>
    <w:rsid w:val="000876B9"/>
    <w:rsid w:val="000908A8"/>
    <w:rsid w:val="00094533"/>
    <w:rsid w:val="0009535C"/>
    <w:rsid w:val="0009555C"/>
    <w:rsid w:val="000970AF"/>
    <w:rsid w:val="00097A7D"/>
    <w:rsid w:val="000A107B"/>
    <w:rsid w:val="000A27C2"/>
    <w:rsid w:val="000A3B76"/>
    <w:rsid w:val="000A4E59"/>
    <w:rsid w:val="000A5210"/>
    <w:rsid w:val="000A65CF"/>
    <w:rsid w:val="000A7FBD"/>
    <w:rsid w:val="000A7FC0"/>
    <w:rsid w:val="000B0183"/>
    <w:rsid w:val="000B0731"/>
    <w:rsid w:val="000B1D14"/>
    <w:rsid w:val="000B38CA"/>
    <w:rsid w:val="000B3A61"/>
    <w:rsid w:val="000B46D0"/>
    <w:rsid w:val="000B46E3"/>
    <w:rsid w:val="000B4D4E"/>
    <w:rsid w:val="000B5521"/>
    <w:rsid w:val="000B5DA2"/>
    <w:rsid w:val="000B6096"/>
    <w:rsid w:val="000C28E4"/>
    <w:rsid w:val="000C2E1D"/>
    <w:rsid w:val="000C3DEE"/>
    <w:rsid w:val="000C526B"/>
    <w:rsid w:val="000C54CD"/>
    <w:rsid w:val="000C6C10"/>
    <w:rsid w:val="000C7225"/>
    <w:rsid w:val="000D1956"/>
    <w:rsid w:val="000D33F1"/>
    <w:rsid w:val="000D708E"/>
    <w:rsid w:val="000D784C"/>
    <w:rsid w:val="000D79F2"/>
    <w:rsid w:val="000E3E48"/>
    <w:rsid w:val="000E3F69"/>
    <w:rsid w:val="000E555E"/>
    <w:rsid w:val="000E6A5D"/>
    <w:rsid w:val="000F23DA"/>
    <w:rsid w:val="000F2CE5"/>
    <w:rsid w:val="000F34C8"/>
    <w:rsid w:val="000F4DC5"/>
    <w:rsid w:val="000F52EC"/>
    <w:rsid w:val="000F62FD"/>
    <w:rsid w:val="00105302"/>
    <w:rsid w:val="00105573"/>
    <w:rsid w:val="00106CD6"/>
    <w:rsid w:val="0010784B"/>
    <w:rsid w:val="00107D93"/>
    <w:rsid w:val="001104AF"/>
    <w:rsid w:val="00110520"/>
    <w:rsid w:val="0011073A"/>
    <w:rsid w:val="00115187"/>
    <w:rsid w:val="00115CCB"/>
    <w:rsid w:val="00120AA9"/>
    <w:rsid w:val="00122889"/>
    <w:rsid w:val="00122AD6"/>
    <w:rsid w:val="001253B2"/>
    <w:rsid w:val="00127497"/>
    <w:rsid w:val="001321A3"/>
    <w:rsid w:val="001323F7"/>
    <w:rsid w:val="0013314F"/>
    <w:rsid w:val="00133A70"/>
    <w:rsid w:val="0013507E"/>
    <w:rsid w:val="00136B8F"/>
    <w:rsid w:val="00137094"/>
    <w:rsid w:val="00137AC9"/>
    <w:rsid w:val="00142B8D"/>
    <w:rsid w:val="001438CF"/>
    <w:rsid w:val="00146A4C"/>
    <w:rsid w:val="00146BEF"/>
    <w:rsid w:val="00151817"/>
    <w:rsid w:val="00152846"/>
    <w:rsid w:val="00153C51"/>
    <w:rsid w:val="0015406B"/>
    <w:rsid w:val="00156D22"/>
    <w:rsid w:val="0016317A"/>
    <w:rsid w:val="0016499B"/>
    <w:rsid w:val="00164ABF"/>
    <w:rsid w:val="00166258"/>
    <w:rsid w:val="001662C3"/>
    <w:rsid w:val="00167477"/>
    <w:rsid w:val="00167BEF"/>
    <w:rsid w:val="00171A3D"/>
    <w:rsid w:val="00172A21"/>
    <w:rsid w:val="00174412"/>
    <w:rsid w:val="001747CE"/>
    <w:rsid w:val="001749CA"/>
    <w:rsid w:val="0017685C"/>
    <w:rsid w:val="001801C2"/>
    <w:rsid w:val="0018038F"/>
    <w:rsid w:val="00185CB8"/>
    <w:rsid w:val="00195798"/>
    <w:rsid w:val="00196047"/>
    <w:rsid w:val="001A0B19"/>
    <w:rsid w:val="001A2DEC"/>
    <w:rsid w:val="001A4ED2"/>
    <w:rsid w:val="001A58AC"/>
    <w:rsid w:val="001A5E1D"/>
    <w:rsid w:val="001A6313"/>
    <w:rsid w:val="001A7CC0"/>
    <w:rsid w:val="001A7FF9"/>
    <w:rsid w:val="001B24F4"/>
    <w:rsid w:val="001B27B7"/>
    <w:rsid w:val="001B2883"/>
    <w:rsid w:val="001B79ED"/>
    <w:rsid w:val="001C2EFC"/>
    <w:rsid w:val="001D12DC"/>
    <w:rsid w:val="001D2334"/>
    <w:rsid w:val="001D40D6"/>
    <w:rsid w:val="001D557E"/>
    <w:rsid w:val="001E186C"/>
    <w:rsid w:val="001E242E"/>
    <w:rsid w:val="001E2CA4"/>
    <w:rsid w:val="001E3FE1"/>
    <w:rsid w:val="001E51F0"/>
    <w:rsid w:val="001E5648"/>
    <w:rsid w:val="001F02FE"/>
    <w:rsid w:val="001F03F7"/>
    <w:rsid w:val="001F1EEA"/>
    <w:rsid w:val="001F35CE"/>
    <w:rsid w:val="001F3E6F"/>
    <w:rsid w:val="001F656B"/>
    <w:rsid w:val="002013A2"/>
    <w:rsid w:val="00201DB1"/>
    <w:rsid w:val="002028A1"/>
    <w:rsid w:val="00203652"/>
    <w:rsid w:val="0020444C"/>
    <w:rsid w:val="00205A9B"/>
    <w:rsid w:val="00205E80"/>
    <w:rsid w:val="0020707B"/>
    <w:rsid w:val="002119F5"/>
    <w:rsid w:val="002139D0"/>
    <w:rsid w:val="00214726"/>
    <w:rsid w:val="00215446"/>
    <w:rsid w:val="00216795"/>
    <w:rsid w:val="00217206"/>
    <w:rsid w:val="00217C48"/>
    <w:rsid w:val="00223C61"/>
    <w:rsid w:val="002257EC"/>
    <w:rsid w:val="00226FC8"/>
    <w:rsid w:val="00227E0A"/>
    <w:rsid w:val="002314D5"/>
    <w:rsid w:val="002359FC"/>
    <w:rsid w:val="00237595"/>
    <w:rsid w:val="002406F8"/>
    <w:rsid w:val="00240B06"/>
    <w:rsid w:val="0024188B"/>
    <w:rsid w:val="002453E1"/>
    <w:rsid w:val="0024559D"/>
    <w:rsid w:val="002455C6"/>
    <w:rsid w:val="002468F0"/>
    <w:rsid w:val="00247147"/>
    <w:rsid w:val="00252B37"/>
    <w:rsid w:val="0025539F"/>
    <w:rsid w:val="002558E8"/>
    <w:rsid w:val="00257B1C"/>
    <w:rsid w:val="00261453"/>
    <w:rsid w:val="002620B7"/>
    <w:rsid w:val="002636E7"/>
    <w:rsid w:val="00263D99"/>
    <w:rsid w:val="00263FCD"/>
    <w:rsid w:val="002649A9"/>
    <w:rsid w:val="00265C72"/>
    <w:rsid w:val="00267F61"/>
    <w:rsid w:val="00270EC8"/>
    <w:rsid w:val="00270EF5"/>
    <w:rsid w:val="002718FE"/>
    <w:rsid w:val="0027231B"/>
    <w:rsid w:val="002754A9"/>
    <w:rsid w:val="00275566"/>
    <w:rsid w:val="00277F0C"/>
    <w:rsid w:val="00281835"/>
    <w:rsid w:val="00281CEE"/>
    <w:rsid w:val="00283939"/>
    <w:rsid w:val="002900AB"/>
    <w:rsid w:val="00290D73"/>
    <w:rsid w:val="00292005"/>
    <w:rsid w:val="00293362"/>
    <w:rsid w:val="002935D5"/>
    <w:rsid w:val="00293AD4"/>
    <w:rsid w:val="0029412C"/>
    <w:rsid w:val="002966CA"/>
    <w:rsid w:val="002968AB"/>
    <w:rsid w:val="0029723D"/>
    <w:rsid w:val="002A0253"/>
    <w:rsid w:val="002A0E24"/>
    <w:rsid w:val="002A331A"/>
    <w:rsid w:val="002A4F3D"/>
    <w:rsid w:val="002A61A5"/>
    <w:rsid w:val="002A6B79"/>
    <w:rsid w:val="002B031C"/>
    <w:rsid w:val="002B0FDF"/>
    <w:rsid w:val="002B1498"/>
    <w:rsid w:val="002B424E"/>
    <w:rsid w:val="002B45A6"/>
    <w:rsid w:val="002B5CBF"/>
    <w:rsid w:val="002B63A8"/>
    <w:rsid w:val="002B6540"/>
    <w:rsid w:val="002B7206"/>
    <w:rsid w:val="002C11A1"/>
    <w:rsid w:val="002C1DEA"/>
    <w:rsid w:val="002C20A2"/>
    <w:rsid w:val="002C22AA"/>
    <w:rsid w:val="002C48FD"/>
    <w:rsid w:val="002C6685"/>
    <w:rsid w:val="002C7B68"/>
    <w:rsid w:val="002D1747"/>
    <w:rsid w:val="002D20D2"/>
    <w:rsid w:val="002D4B24"/>
    <w:rsid w:val="002D65A2"/>
    <w:rsid w:val="002D72D0"/>
    <w:rsid w:val="002D742E"/>
    <w:rsid w:val="002E0869"/>
    <w:rsid w:val="002E4CEC"/>
    <w:rsid w:val="002E5E81"/>
    <w:rsid w:val="002F0705"/>
    <w:rsid w:val="002F1601"/>
    <w:rsid w:val="002F435C"/>
    <w:rsid w:val="002F4C7F"/>
    <w:rsid w:val="002F7197"/>
    <w:rsid w:val="0030124E"/>
    <w:rsid w:val="00301DEE"/>
    <w:rsid w:val="00302F56"/>
    <w:rsid w:val="00303BC3"/>
    <w:rsid w:val="003041E2"/>
    <w:rsid w:val="00304D94"/>
    <w:rsid w:val="0030514A"/>
    <w:rsid w:val="00306155"/>
    <w:rsid w:val="00306229"/>
    <w:rsid w:val="003068DE"/>
    <w:rsid w:val="003118FA"/>
    <w:rsid w:val="00312409"/>
    <w:rsid w:val="0031351F"/>
    <w:rsid w:val="00320B11"/>
    <w:rsid w:val="003220F9"/>
    <w:rsid w:val="00322F7C"/>
    <w:rsid w:val="003269EF"/>
    <w:rsid w:val="003271E0"/>
    <w:rsid w:val="00331E9C"/>
    <w:rsid w:val="003333E1"/>
    <w:rsid w:val="00334E25"/>
    <w:rsid w:val="0034080C"/>
    <w:rsid w:val="00341930"/>
    <w:rsid w:val="0034354F"/>
    <w:rsid w:val="00344F5D"/>
    <w:rsid w:val="00347157"/>
    <w:rsid w:val="003474C2"/>
    <w:rsid w:val="00351ACA"/>
    <w:rsid w:val="0035556B"/>
    <w:rsid w:val="00355ABF"/>
    <w:rsid w:val="00355BBF"/>
    <w:rsid w:val="00357EE5"/>
    <w:rsid w:val="003624D8"/>
    <w:rsid w:val="003655B9"/>
    <w:rsid w:val="00365F8E"/>
    <w:rsid w:val="00366BAD"/>
    <w:rsid w:val="00367774"/>
    <w:rsid w:val="00370AF7"/>
    <w:rsid w:val="00373C81"/>
    <w:rsid w:val="003811BB"/>
    <w:rsid w:val="00383ECB"/>
    <w:rsid w:val="0038642B"/>
    <w:rsid w:val="003908FB"/>
    <w:rsid w:val="003915F8"/>
    <w:rsid w:val="003919D6"/>
    <w:rsid w:val="0039215C"/>
    <w:rsid w:val="00395E1B"/>
    <w:rsid w:val="003A04D5"/>
    <w:rsid w:val="003A1931"/>
    <w:rsid w:val="003A30DE"/>
    <w:rsid w:val="003A3F78"/>
    <w:rsid w:val="003A51AF"/>
    <w:rsid w:val="003A7B9F"/>
    <w:rsid w:val="003B0C50"/>
    <w:rsid w:val="003B1B5D"/>
    <w:rsid w:val="003B1FDC"/>
    <w:rsid w:val="003B349B"/>
    <w:rsid w:val="003B36B3"/>
    <w:rsid w:val="003B40C3"/>
    <w:rsid w:val="003C0E4F"/>
    <w:rsid w:val="003C1F95"/>
    <w:rsid w:val="003C1FBE"/>
    <w:rsid w:val="003C2E3F"/>
    <w:rsid w:val="003C32D8"/>
    <w:rsid w:val="003C388D"/>
    <w:rsid w:val="003C3E7E"/>
    <w:rsid w:val="003C4022"/>
    <w:rsid w:val="003C510B"/>
    <w:rsid w:val="003D2572"/>
    <w:rsid w:val="003D2B2E"/>
    <w:rsid w:val="003D7B8F"/>
    <w:rsid w:val="003E0327"/>
    <w:rsid w:val="003E05D1"/>
    <w:rsid w:val="003E06EB"/>
    <w:rsid w:val="003E1463"/>
    <w:rsid w:val="003E27B3"/>
    <w:rsid w:val="003E6D0D"/>
    <w:rsid w:val="003F15E2"/>
    <w:rsid w:val="003F2313"/>
    <w:rsid w:val="003F2B91"/>
    <w:rsid w:val="003F3E7D"/>
    <w:rsid w:val="003F4F74"/>
    <w:rsid w:val="003F5AE3"/>
    <w:rsid w:val="003F6045"/>
    <w:rsid w:val="003F627F"/>
    <w:rsid w:val="003F67E6"/>
    <w:rsid w:val="0040018E"/>
    <w:rsid w:val="00404967"/>
    <w:rsid w:val="004074B7"/>
    <w:rsid w:val="00407936"/>
    <w:rsid w:val="00412898"/>
    <w:rsid w:val="00412C63"/>
    <w:rsid w:val="004202C8"/>
    <w:rsid w:val="004210E6"/>
    <w:rsid w:val="00423BFD"/>
    <w:rsid w:val="00425420"/>
    <w:rsid w:val="0042781D"/>
    <w:rsid w:val="00430935"/>
    <w:rsid w:val="00431763"/>
    <w:rsid w:val="00440D83"/>
    <w:rsid w:val="004410F5"/>
    <w:rsid w:val="00441B30"/>
    <w:rsid w:val="0044472B"/>
    <w:rsid w:val="00447C31"/>
    <w:rsid w:val="0045098A"/>
    <w:rsid w:val="0045657B"/>
    <w:rsid w:val="00456B54"/>
    <w:rsid w:val="00456C38"/>
    <w:rsid w:val="00457A41"/>
    <w:rsid w:val="00460711"/>
    <w:rsid w:val="0046071D"/>
    <w:rsid w:val="004633EB"/>
    <w:rsid w:val="00464460"/>
    <w:rsid w:val="00472C82"/>
    <w:rsid w:val="00474FDF"/>
    <w:rsid w:val="00475F57"/>
    <w:rsid w:val="00481593"/>
    <w:rsid w:val="00483B2B"/>
    <w:rsid w:val="00485189"/>
    <w:rsid w:val="004871D6"/>
    <w:rsid w:val="00487214"/>
    <w:rsid w:val="00490261"/>
    <w:rsid w:val="00493750"/>
    <w:rsid w:val="00495BF8"/>
    <w:rsid w:val="00495D5F"/>
    <w:rsid w:val="0049634A"/>
    <w:rsid w:val="00496894"/>
    <w:rsid w:val="004A00D6"/>
    <w:rsid w:val="004A030A"/>
    <w:rsid w:val="004A253D"/>
    <w:rsid w:val="004A26E1"/>
    <w:rsid w:val="004A4B6D"/>
    <w:rsid w:val="004A5EAB"/>
    <w:rsid w:val="004B08BF"/>
    <w:rsid w:val="004B4680"/>
    <w:rsid w:val="004B6002"/>
    <w:rsid w:val="004C0A13"/>
    <w:rsid w:val="004C325E"/>
    <w:rsid w:val="004C44FD"/>
    <w:rsid w:val="004C5563"/>
    <w:rsid w:val="004D0764"/>
    <w:rsid w:val="004D28A5"/>
    <w:rsid w:val="004D46EF"/>
    <w:rsid w:val="004D5871"/>
    <w:rsid w:val="004D6A6D"/>
    <w:rsid w:val="004E16FA"/>
    <w:rsid w:val="004E359B"/>
    <w:rsid w:val="004E3A80"/>
    <w:rsid w:val="004E694D"/>
    <w:rsid w:val="004E69B4"/>
    <w:rsid w:val="004F2173"/>
    <w:rsid w:val="004F2C77"/>
    <w:rsid w:val="004F2E69"/>
    <w:rsid w:val="004F4BC0"/>
    <w:rsid w:val="004F4E4B"/>
    <w:rsid w:val="004F7896"/>
    <w:rsid w:val="005008CF"/>
    <w:rsid w:val="00500DEE"/>
    <w:rsid w:val="00504D1C"/>
    <w:rsid w:val="00510332"/>
    <w:rsid w:val="00510AC3"/>
    <w:rsid w:val="00512318"/>
    <w:rsid w:val="00512AC8"/>
    <w:rsid w:val="00513B18"/>
    <w:rsid w:val="0051481F"/>
    <w:rsid w:val="00515588"/>
    <w:rsid w:val="00520A47"/>
    <w:rsid w:val="005226EC"/>
    <w:rsid w:val="00523ABA"/>
    <w:rsid w:val="005242A1"/>
    <w:rsid w:val="0052457F"/>
    <w:rsid w:val="0052467C"/>
    <w:rsid w:val="00526062"/>
    <w:rsid w:val="00526B4C"/>
    <w:rsid w:val="00532025"/>
    <w:rsid w:val="00533A38"/>
    <w:rsid w:val="00533C3A"/>
    <w:rsid w:val="00534424"/>
    <w:rsid w:val="0053483D"/>
    <w:rsid w:val="00540116"/>
    <w:rsid w:val="00544604"/>
    <w:rsid w:val="0054770F"/>
    <w:rsid w:val="00547CD0"/>
    <w:rsid w:val="00550055"/>
    <w:rsid w:val="00550DA7"/>
    <w:rsid w:val="00551CC0"/>
    <w:rsid w:val="00556E83"/>
    <w:rsid w:val="00560D66"/>
    <w:rsid w:val="00560E09"/>
    <w:rsid w:val="0056350C"/>
    <w:rsid w:val="00564C4D"/>
    <w:rsid w:val="00566568"/>
    <w:rsid w:val="00567E64"/>
    <w:rsid w:val="00570F2F"/>
    <w:rsid w:val="0057552D"/>
    <w:rsid w:val="0057677D"/>
    <w:rsid w:val="00576907"/>
    <w:rsid w:val="00577A47"/>
    <w:rsid w:val="00580576"/>
    <w:rsid w:val="00583E0C"/>
    <w:rsid w:val="00586A78"/>
    <w:rsid w:val="00586EA2"/>
    <w:rsid w:val="005919A5"/>
    <w:rsid w:val="00591ABE"/>
    <w:rsid w:val="005926A0"/>
    <w:rsid w:val="005A05E7"/>
    <w:rsid w:val="005A1CA7"/>
    <w:rsid w:val="005A2246"/>
    <w:rsid w:val="005A2B18"/>
    <w:rsid w:val="005A325E"/>
    <w:rsid w:val="005A3523"/>
    <w:rsid w:val="005A3A5B"/>
    <w:rsid w:val="005A616E"/>
    <w:rsid w:val="005A6CAA"/>
    <w:rsid w:val="005B24DC"/>
    <w:rsid w:val="005B5323"/>
    <w:rsid w:val="005C0031"/>
    <w:rsid w:val="005C05C7"/>
    <w:rsid w:val="005C446D"/>
    <w:rsid w:val="005C5BE4"/>
    <w:rsid w:val="005C64D2"/>
    <w:rsid w:val="005C7AB2"/>
    <w:rsid w:val="005D2EED"/>
    <w:rsid w:val="005D38C9"/>
    <w:rsid w:val="005D44F6"/>
    <w:rsid w:val="005D57D7"/>
    <w:rsid w:val="005E1A52"/>
    <w:rsid w:val="005E41A2"/>
    <w:rsid w:val="005E51DF"/>
    <w:rsid w:val="005E57EF"/>
    <w:rsid w:val="005E6A66"/>
    <w:rsid w:val="005E724A"/>
    <w:rsid w:val="005E742D"/>
    <w:rsid w:val="005F15E2"/>
    <w:rsid w:val="005F220C"/>
    <w:rsid w:val="005F23B3"/>
    <w:rsid w:val="005F36EA"/>
    <w:rsid w:val="005F5A20"/>
    <w:rsid w:val="005F5C53"/>
    <w:rsid w:val="005F5C7A"/>
    <w:rsid w:val="005F6D3E"/>
    <w:rsid w:val="00600655"/>
    <w:rsid w:val="00600CB3"/>
    <w:rsid w:val="00601E09"/>
    <w:rsid w:val="00603DB4"/>
    <w:rsid w:val="00604E7A"/>
    <w:rsid w:val="0060632D"/>
    <w:rsid w:val="00607BE0"/>
    <w:rsid w:val="0061081B"/>
    <w:rsid w:val="006132A5"/>
    <w:rsid w:val="00614407"/>
    <w:rsid w:val="0061467F"/>
    <w:rsid w:val="00616E37"/>
    <w:rsid w:val="00616FF2"/>
    <w:rsid w:val="00617AE3"/>
    <w:rsid w:val="00620A62"/>
    <w:rsid w:val="00620F9A"/>
    <w:rsid w:val="00620FB9"/>
    <w:rsid w:val="00621A60"/>
    <w:rsid w:val="00621EDF"/>
    <w:rsid w:val="00621FA9"/>
    <w:rsid w:val="0062604A"/>
    <w:rsid w:val="00631F92"/>
    <w:rsid w:val="00632AD3"/>
    <w:rsid w:val="00632F04"/>
    <w:rsid w:val="006338F3"/>
    <w:rsid w:val="0063545A"/>
    <w:rsid w:val="006357E2"/>
    <w:rsid w:val="0064066C"/>
    <w:rsid w:val="0064079E"/>
    <w:rsid w:val="00640F22"/>
    <w:rsid w:val="00641148"/>
    <w:rsid w:val="00641A02"/>
    <w:rsid w:val="00642684"/>
    <w:rsid w:val="00643609"/>
    <w:rsid w:val="00644527"/>
    <w:rsid w:val="00644734"/>
    <w:rsid w:val="00646082"/>
    <w:rsid w:val="00647741"/>
    <w:rsid w:val="00650DA2"/>
    <w:rsid w:val="0065482F"/>
    <w:rsid w:val="00655347"/>
    <w:rsid w:val="00660704"/>
    <w:rsid w:val="00660CA4"/>
    <w:rsid w:val="00663B04"/>
    <w:rsid w:val="006649DC"/>
    <w:rsid w:val="006656B8"/>
    <w:rsid w:val="00665B0A"/>
    <w:rsid w:val="006670AF"/>
    <w:rsid w:val="00670C0B"/>
    <w:rsid w:val="0067318A"/>
    <w:rsid w:val="006759EE"/>
    <w:rsid w:val="00676B6E"/>
    <w:rsid w:val="00680848"/>
    <w:rsid w:val="006833BF"/>
    <w:rsid w:val="006833E2"/>
    <w:rsid w:val="00683ECE"/>
    <w:rsid w:val="0068631A"/>
    <w:rsid w:val="00687FAC"/>
    <w:rsid w:val="00690FB6"/>
    <w:rsid w:val="006938E2"/>
    <w:rsid w:val="00693CEC"/>
    <w:rsid w:val="00697418"/>
    <w:rsid w:val="006977EA"/>
    <w:rsid w:val="00697C5A"/>
    <w:rsid w:val="006A0AC8"/>
    <w:rsid w:val="006A1EB9"/>
    <w:rsid w:val="006A3A8D"/>
    <w:rsid w:val="006A6C19"/>
    <w:rsid w:val="006B00C9"/>
    <w:rsid w:val="006B3E16"/>
    <w:rsid w:val="006B433F"/>
    <w:rsid w:val="006B5320"/>
    <w:rsid w:val="006B5EB7"/>
    <w:rsid w:val="006B60C8"/>
    <w:rsid w:val="006B7F86"/>
    <w:rsid w:val="006D0627"/>
    <w:rsid w:val="006D1973"/>
    <w:rsid w:val="006D2341"/>
    <w:rsid w:val="006D4117"/>
    <w:rsid w:val="006D5360"/>
    <w:rsid w:val="006D7D92"/>
    <w:rsid w:val="006E16A2"/>
    <w:rsid w:val="006E20C9"/>
    <w:rsid w:val="006E2AE7"/>
    <w:rsid w:val="006E3B61"/>
    <w:rsid w:val="006E518A"/>
    <w:rsid w:val="006E57EE"/>
    <w:rsid w:val="006E633D"/>
    <w:rsid w:val="006E7570"/>
    <w:rsid w:val="006E7FAA"/>
    <w:rsid w:val="006F00B5"/>
    <w:rsid w:val="006F0F2B"/>
    <w:rsid w:val="006F57E1"/>
    <w:rsid w:val="006F6B7C"/>
    <w:rsid w:val="006F6D44"/>
    <w:rsid w:val="0070019A"/>
    <w:rsid w:val="007007BF"/>
    <w:rsid w:val="00700A7D"/>
    <w:rsid w:val="0070679B"/>
    <w:rsid w:val="00707458"/>
    <w:rsid w:val="0070774F"/>
    <w:rsid w:val="007113DF"/>
    <w:rsid w:val="007206A9"/>
    <w:rsid w:val="00720FF2"/>
    <w:rsid w:val="00721253"/>
    <w:rsid w:val="00721E51"/>
    <w:rsid w:val="00722CBD"/>
    <w:rsid w:val="00725D9E"/>
    <w:rsid w:val="007300A9"/>
    <w:rsid w:val="00730308"/>
    <w:rsid w:val="00730EE7"/>
    <w:rsid w:val="007314D3"/>
    <w:rsid w:val="00732788"/>
    <w:rsid w:val="007339AC"/>
    <w:rsid w:val="007357C0"/>
    <w:rsid w:val="007369FB"/>
    <w:rsid w:val="00740703"/>
    <w:rsid w:val="00745849"/>
    <w:rsid w:val="00746455"/>
    <w:rsid w:val="007535A9"/>
    <w:rsid w:val="00754F72"/>
    <w:rsid w:val="00763568"/>
    <w:rsid w:val="0076588A"/>
    <w:rsid w:val="007676D3"/>
    <w:rsid w:val="007677CA"/>
    <w:rsid w:val="007719EE"/>
    <w:rsid w:val="00772D5A"/>
    <w:rsid w:val="007759E1"/>
    <w:rsid w:val="007764B5"/>
    <w:rsid w:val="00777F78"/>
    <w:rsid w:val="007860FF"/>
    <w:rsid w:val="00786DDB"/>
    <w:rsid w:val="007913D5"/>
    <w:rsid w:val="00791831"/>
    <w:rsid w:val="0079354C"/>
    <w:rsid w:val="007937C7"/>
    <w:rsid w:val="00795F94"/>
    <w:rsid w:val="00796591"/>
    <w:rsid w:val="00797953"/>
    <w:rsid w:val="007A125C"/>
    <w:rsid w:val="007A1814"/>
    <w:rsid w:val="007A1F56"/>
    <w:rsid w:val="007A2ED6"/>
    <w:rsid w:val="007A75E5"/>
    <w:rsid w:val="007B0A8A"/>
    <w:rsid w:val="007B15B6"/>
    <w:rsid w:val="007B2CFC"/>
    <w:rsid w:val="007B5C24"/>
    <w:rsid w:val="007C3A03"/>
    <w:rsid w:val="007C574F"/>
    <w:rsid w:val="007C7720"/>
    <w:rsid w:val="007D04CC"/>
    <w:rsid w:val="007D1A3D"/>
    <w:rsid w:val="007D28FD"/>
    <w:rsid w:val="007D3ACB"/>
    <w:rsid w:val="007D4F29"/>
    <w:rsid w:val="007D7D41"/>
    <w:rsid w:val="007E0A62"/>
    <w:rsid w:val="007E2795"/>
    <w:rsid w:val="007E36CB"/>
    <w:rsid w:val="007E36F9"/>
    <w:rsid w:val="007E389E"/>
    <w:rsid w:val="007E38C6"/>
    <w:rsid w:val="007E396C"/>
    <w:rsid w:val="007E5972"/>
    <w:rsid w:val="007E59A9"/>
    <w:rsid w:val="007E5CA8"/>
    <w:rsid w:val="007E7433"/>
    <w:rsid w:val="007F0794"/>
    <w:rsid w:val="007F2D60"/>
    <w:rsid w:val="007F3B86"/>
    <w:rsid w:val="007F5D7D"/>
    <w:rsid w:val="007F6135"/>
    <w:rsid w:val="007F6C73"/>
    <w:rsid w:val="0080170F"/>
    <w:rsid w:val="00801DC7"/>
    <w:rsid w:val="0080265E"/>
    <w:rsid w:val="008041BF"/>
    <w:rsid w:val="00804227"/>
    <w:rsid w:val="00805E70"/>
    <w:rsid w:val="00806032"/>
    <w:rsid w:val="00810BA5"/>
    <w:rsid w:val="0081149D"/>
    <w:rsid w:val="0081202A"/>
    <w:rsid w:val="00813B09"/>
    <w:rsid w:val="0081411C"/>
    <w:rsid w:val="008146FD"/>
    <w:rsid w:val="00815FC3"/>
    <w:rsid w:val="00817503"/>
    <w:rsid w:val="00820674"/>
    <w:rsid w:val="0082174A"/>
    <w:rsid w:val="0082330B"/>
    <w:rsid w:val="00824224"/>
    <w:rsid w:val="008244B8"/>
    <w:rsid w:val="00826F59"/>
    <w:rsid w:val="008273D6"/>
    <w:rsid w:val="008333A5"/>
    <w:rsid w:val="00833E01"/>
    <w:rsid w:val="008366C8"/>
    <w:rsid w:val="00836BC8"/>
    <w:rsid w:val="00837492"/>
    <w:rsid w:val="00837A4F"/>
    <w:rsid w:val="00842441"/>
    <w:rsid w:val="00842D50"/>
    <w:rsid w:val="00844534"/>
    <w:rsid w:val="00845A70"/>
    <w:rsid w:val="00845DDF"/>
    <w:rsid w:val="0084620A"/>
    <w:rsid w:val="00846A40"/>
    <w:rsid w:val="00847614"/>
    <w:rsid w:val="008508D4"/>
    <w:rsid w:val="00851E38"/>
    <w:rsid w:val="00852206"/>
    <w:rsid w:val="0085246E"/>
    <w:rsid w:val="00854315"/>
    <w:rsid w:val="008549BE"/>
    <w:rsid w:val="00855012"/>
    <w:rsid w:val="00855404"/>
    <w:rsid w:val="0085566A"/>
    <w:rsid w:val="00855D71"/>
    <w:rsid w:val="0086059D"/>
    <w:rsid w:val="008606C4"/>
    <w:rsid w:val="00860B9E"/>
    <w:rsid w:val="00865777"/>
    <w:rsid w:val="00865DC7"/>
    <w:rsid w:val="00866F91"/>
    <w:rsid w:val="008679CB"/>
    <w:rsid w:val="00867C5E"/>
    <w:rsid w:val="00867FEB"/>
    <w:rsid w:val="00871D82"/>
    <w:rsid w:val="00873A1E"/>
    <w:rsid w:val="0087516C"/>
    <w:rsid w:val="00875B25"/>
    <w:rsid w:val="008763D9"/>
    <w:rsid w:val="0087668D"/>
    <w:rsid w:val="008766FD"/>
    <w:rsid w:val="00876906"/>
    <w:rsid w:val="00887204"/>
    <w:rsid w:val="0088758C"/>
    <w:rsid w:val="0089186A"/>
    <w:rsid w:val="00894321"/>
    <w:rsid w:val="00897199"/>
    <w:rsid w:val="00897502"/>
    <w:rsid w:val="008A011B"/>
    <w:rsid w:val="008A19EC"/>
    <w:rsid w:val="008A3C47"/>
    <w:rsid w:val="008A6F48"/>
    <w:rsid w:val="008B0DCE"/>
    <w:rsid w:val="008C0617"/>
    <w:rsid w:val="008C17DF"/>
    <w:rsid w:val="008C2ACB"/>
    <w:rsid w:val="008C41C0"/>
    <w:rsid w:val="008C4E5E"/>
    <w:rsid w:val="008C585E"/>
    <w:rsid w:val="008C5BE8"/>
    <w:rsid w:val="008C60BC"/>
    <w:rsid w:val="008D0971"/>
    <w:rsid w:val="008D18C3"/>
    <w:rsid w:val="008D3214"/>
    <w:rsid w:val="008D36EB"/>
    <w:rsid w:val="008D623F"/>
    <w:rsid w:val="008D63B6"/>
    <w:rsid w:val="008E17C8"/>
    <w:rsid w:val="008E2040"/>
    <w:rsid w:val="008E240F"/>
    <w:rsid w:val="008E284D"/>
    <w:rsid w:val="008E3807"/>
    <w:rsid w:val="008F1201"/>
    <w:rsid w:val="008F1984"/>
    <w:rsid w:val="008F241B"/>
    <w:rsid w:val="008F348F"/>
    <w:rsid w:val="008F4E11"/>
    <w:rsid w:val="008F6979"/>
    <w:rsid w:val="0090189C"/>
    <w:rsid w:val="00902974"/>
    <w:rsid w:val="0090512F"/>
    <w:rsid w:val="009054E6"/>
    <w:rsid w:val="00905789"/>
    <w:rsid w:val="00906C59"/>
    <w:rsid w:val="0090777A"/>
    <w:rsid w:val="009105A2"/>
    <w:rsid w:val="00910722"/>
    <w:rsid w:val="00910B67"/>
    <w:rsid w:val="0091320E"/>
    <w:rsid w:val="00913499"/>
    <w:rsid w:val="00914617"/>
    <w:rsid w:val="00915DE0"/>
    <w:rsid w:val="00916350"/>
    <w:rsid w:val="009163C6"/>
    <w:rsid w:val="00922D46"/>
    <w:rsid w:val="009233F5"/>
    <w:rsid w:val="00923723"/>
    <w:rsid w:val="00924574"/>
    <w:rsid w:val="00924D07"/>
    <w:rsid w:val="00927A40"/>
    <w:rsid w:val="009305F1"/>
    <w:rsid w:val="0093182B"/>
    <w:rsid w:val="0093274A"/>
    <w:rsid w:val="00933EBE"/>
    <w:rsid w:val="00934D37"/>
    <w:rsid w:val="00935A05"/>
    <w:rsid w:val="00941585"/>
    <w:rsid w:val="0094341C"/>
    <w:rsid w:val="00944703"/>
    <w:rsid w:val="00944959"/>
    <w:rsid w:val="00945AC2"/>
    <w:rsid w:val="00945F9F"/>
    <w:rsid w:val="009461EA"/>
    <w:rsid w:val="00946D3C"/>
    <w:rsid w:val="00947C8F"/>
    <w:rsid w:val="00950B1C"/>
    <w:rsid w:val="009553E2"/>
    <w:rsid w:val="00957F8F"/>
    <w:rsid w:val="009633BE"/>
    <w:rsid w:val="00964BC0"/>
    <w:rsid w:val="00966C7E"/>
    <w:rsid w:val="00970886"/>
    <w:rsid w:val="00970DC9"/>
    <w:rsid w:val="0097134D"/>
    <w:rsid w:val="00972B0F"/>
    <w:rsid w:val="00972FC1"/>
    <w:rsid w:val="00975572"/>
    <w:rsid w:val="009772BD"/>
    <w:rsid w:val="00977585"/>
    <w:rsid w:val="0098083E"/>
    <w:rsid w:val="00983FA6"/>
    <w:rsid w:val="00984229"/>
    <w:rsid w:val="009871E8"/>
    <w:rsid w:val="009874F2"/>
    <w:rsid w:val="00993080"/>
    <w:rsid w:val="00993534"/>
    <w:rsid w:val="00993AAD"/>
    <w:rsid w:val="00995FF2"/>
    <w:rsid w:val="009963A9"/>
    <w:rsid w:val="00997994"/>
    <w:rsid w:val="009A225B"/>
    <w:rsid w:val="009A2A11"/>
    <w:rsid w:val="009A2AA3"/>
    <w:rsid w:val="009A3642"/>
    <w:rsid w:val="009A61BF"/>
    <w:rsid w:val="009B25C4"/>
    <w:rsid w:val="009B434F"/>
    <w:rsid w:val="009B5049"/>
    <w:rsid w:val="009B60A6"/>
    <w:rsid w:val="009C1271"/>
    <w:rsid w:val="009C39B6"/>
    <w:rsid w:val="009C44D1"/>
    <w:rsid w:val="009C4CFB"/>
    <w:rsid w:val="009C4DD1"/>
    <w:rsid w:val="009C5720"/>
    <w:rsid w:val="009C7169"/>
    <w:rsid w:val="009C7CE1"/>
    <w:rsid w:val="009D0BE3"/>
    <w:rsid w:val="009D3834"/>
    <w:rsid w:val="009D4492"/>
    <w:rsid w:val="009D49E0"/>
    <w:rsid w:val="009D5162"/>
    <w:rsid w:val="009D5EF4"/>
    <w:rsid w:val="009D6A52"/>
    <w:rsid w:val="009D76B1"/>
    <w:rsid w:val="009E1665"/>
    <w:rsid w:val="009E241E"/>
    <w:rsid w:val="009E3B70"/>
    <w:rsid w:val="009E4FD9"/>
    <w:rsid w:val="009E59EE"/>
    <w:rsid w:val="009F0CC0"/>
    <w:rsid w:val="009F1379"/>
    <w:rsid w:val="009F2B87"/>
    <w:rsid w:val="009F388A"/>
    <w:rsid w:val="009F5ED0"/>
    <w:rsid w:val="009F6550"/>
    <w:rsid w:val="00A04B2B"/>
    <w:rsid w:val="00A11EB8"/>
    <w:rsid w:val="00A11F57"/>
    <w:rsid w:val="00A124A1"/>
    <w:rsid w:val="00A12AEE"/>
    <w:rsid w:val="00A1301E"/>
    <w:rsid w:val="00A14850"/>
    <w:rsid w:val="00A16FBF"/>
    <w:rsid w:val="00A217BE"/>
    <w:rsid w:val="00A2323F"/>
    <w:rsid w:val="00A23BC6"/>
    <w:rsid w:val="00A23E0F"/>
    <w:rsid w:val="00A26A35"/>
    <w:rsid w:val="00A342BB"/>
    <w:rsid w:val="00A35439"/>
    <w:rsid w:val="00A3558D"/>
    <w:rsid w:val="00A37489"/>
    <w:rsid w:val="00A4614B"/>
    <w:rsid w:val="00A46826"/>
    <w:rsid w:val="00A54316"/>
    <w:rsid w:val="00A57118"/>
    <w:rsid w:val="00A60B14"/>
    <w:rsid w:val="00A61696"/>
    <w:rsid w:val="00A62436"/>
    <w:rsid w:val="00A64267"/>
    <w:rsid w:val="00A649BA"/>
    <w:rsid w:val="00A674B9"/>
    <w:rsid w:val="00A676B7"/>
    <w:rsid w:val="00A736CC"/>
    <w:rsid w:val="00A73DDA"/>
    <w:rsid w:val="00A74316"/>
    <w:rsid w:val="00A75259"/>
    <w:rsid w:val="00A75C12"/>
    <w:rsid w:val="00A76AC2"/>
    <w:rsid w:val="00A8145C"/>
    <w:rsid w:val="00A86C3D"/>
    <w:rsid w:val="00A8707A"/>
    <w:rsid w:val="00A91B0D"/>
    <w:rsid w:val="00A91FBA"/>
    <w:rsid w:val="00A92EC2"/>
    <w:rsid w:val="00A934C0"/>
    <w:rsid w:val="00A93544"/>
    <w:rsid w:val="00A95A0A"/>
    <w:rsid w:val="00AA1782"/>
    <w:rsid w:val="00AA5DEB"/>
    <w:rsid w:val="00AA5EA6"/>
    <w:rsid w:val="00AB6D4D"/>
    <w:rsid w:val="00AC2188"/>
    <w:rsid w:val="00AC339B"/>
    <w:rsid w:val="00AC4DC1"/>
    <w:rsid w:val="00AC5820"/>
    <w:rsid w:val="00AC6AF6"/>
    <w:rsid w:val="00AC7C31"/>
    <w:rsid w:val="00AC7DC6"/>
    <w:rsid w:val="00AD19CD"/>
    <w:rsid w:val="00AD291C"/>
    <w:rsid w:val="00AD3C49"/>
    <w:rsid w:val="00AD5DAF"/>
    <w:rsid w:val="00AD6993"/>
    <w:rsid w:val="00AD759A"/>
    <w:rsid w:val="00AE465C"/>
    <w:rsid w:val="00AE64C2"/>
    <w:rsid w:val="00AE6735"/>
    <w:rsid w:val="00AF332A"/>
    <w:rsid w:val="00AF34FA"/>
    <w:rsid w:val="00AF45A8"/>
    <w:rsid w:val="00AF76C1"/>
    <w:rsid w:val="00AF77E2"/>
    <w:rsid w:val="00B00657"/>
    <w:rsid w:val="00B01FD5"/>
    <w:rsid w:val="00B0301A"/>
    <w:rsid w:val="00B033DB"/>
    <w:rsid w:val="00B04CF2"/>
    <w:rsid w:val="00B04E78"/>
    <w:rsid w:val="00B05242"/>
    <w:rsid w:val="00B06487"/>
    <w:rsid w:val="00B11ED5"/>
    <w:rsid w:val="00B1337B"/>
    <w:rsid w:val="00B137C3"/>
    <w:rsid w:val="00B14094"/>
    <w:rsid w:val="00B14537"/>
    <w:rsid w:val="00B15238"/>
    <w:rsid w:val="00B15B72"/>
    <w:rsid w:val="00B16AF7"/>
    <w:rsid w:val="00B207DD"/>
    <w:rsid w:val="00B21C45"/>
    <w:rsid w:val="00B21EA9"/>
    <w:rsid w:val="00B23211"/>
    <w:rsid w:val="00B260B7"/>
    <w:rsid w:val="00B26103"/>
    <w:rsid w:val="00B261C7"/>
    <w:rsid w:val="00B26AA7"/>
    <w:rsid w:val="00B3214C"/>
    <w:rsid w:val="00B3314B"/>
    <w:rsid w:val="00B33EA3"/>
    <w:rsid w:val="00B34AAA"/>
    <w:rsid w:val="00B3519E"/>
    <w:rsid w:val="00B373CB"/>
    <w:rsid w:val="00B37C79"/>
    <w:rsid w:val="00B44509"/>
    <w:rsid w:val="00B461BE"/>
    <w:rsid w:val="00B46348"/>
    <w:rsid w:val="00B50597"/>
    <w:rsid w:val="00B50CF7"/>
    <w:rsid w:val="00B51501"/>
    <w:rsid w:val="00B53757"/>
    <w:rsid w:val="00B54217"/>
    <w:rsid w:val="00B55BA9"/>
    <w:rsid w:val="00B56F34"/>
    <w:rsid w:val="00B60358"/>
    <w:rsid w:val="00B62122"/>
    <w:rsid w:val="00B62385"/>
    <w:rsid w:val="00B6409B"/>
    <w:rsid w:val="00B65ED6"/>
    <w:rsid w:val="00B7185A"/>
    <w:rsid w:val="00B73C2C"/>
    <w:rsid w:val="00B74340"/>
    <w:rsid w:val="00B74568"/>
    <w:rsid w:val="00B74D8A"/>
    <w:rsid w:val="00B76CA0"/>
    <w:rsid w:val="00B77501"/>
    <w:rsid w:val="00B8032D"/>
    <w:rsid w:val="00B84FE4"/>
    <w:rsid w:val="00B850C5"/>
    <w:rsid w:val="00B85C97"/>
    <w:rsid w:val="00B87599"/>
    <w:rsid w:val="00B8793E"/>
    <w:rsid w:val="00B87E65"/>
    <w:rsid w:val="00B87F1F"/>
    <w:rsid w:val="00B921B8"/>
    <w:rsid w:val="00B9645C"/>
    <w:rsid w:val="00B97E21"/>
    <w:rsid w:val="00BA0096"/>
    <w:rsid w:val="00BA026E"/>
    <w:rsid w:val="00BA0753"/>
    <w:rsid w:val="00BA0F22"/>
    <w:rsid w:val="00BA1B33"/>
    <w:rsid w:val="00BB01D1"/>
    <w:rsid w:val="00BB6EB6"/>
    <w:rsid w:val="00BC0E50"/>
    <w:rsid w:val="00BC475D"/>
    <w:rsid w:val="00BC5AD9"/>
    <w:rsid w:val="00BD0841"/>
    <w:rsid w:val="00BD3BCB"/>
    <w:rsid w:val="00BD4B3C"/>
    <w:rsid w:val="00BD4B7C"/>
    <w:rsid w:val="00BD57F0"/>
    <w:rsid w:val="00BD5F7C"/>
    <w:rsid w:val="00BD7A64"/>
    <w:rsid w:val="00BE10FA"/>
    <w:rsid w:val="00BE1A23"/>
    <w:rsid w:val="00BE1EAF"/>
    <w:rsid w:val="00BE6C2B"/>
    <w:rsid w:val="00BF2686"/>
    <w:rsid w:val="00BF57A1"/>
    <w:rsid w:val="00BF6AC3"/>
    <w:rsid w:val="00C01ED6"/>
    <w:rsid w:val="00C02D06"/>
    <w:rsid w:val="00C041CF"/>
    <w:rsid w:val="00C043F8"/>
    <w:rsid w:val="00C05144"/>
    <w:rsid w:val="00C0551F"/>
    <w:rsid w:val="00C06659"/>
    <w:rsid w:val="00C11154"/>
    <w:rsid w:val="00C125F6"/>
    <w:rsid w:val="00C138FB"/>
    <w:rsid w:val="00C139C6"/>
    <w:rsid w:val="00C13E3D"/>
    <w:rsid w:val="00C14A90"/>
    <w:rsid w:val="00C15E90"/>
    <w:rsid w:val="00C23753"/>
    <w:rsid w:val="00C23F09"/>
    <w:rsid w:val="00C25B3D"/>
    <w:rsid w:val="00C30D80"/>
    <w:rsid w:val="00C31BC8"/>
    <w:rsid w:val="00C31F10"/>
    <w:rsid w:val="00C33087"/>
    <w:rsid w:val="00C35225"/>
    <w:rsid w:val="00C36490"/>
    <w:rsid w:val="00C36851"/>
    <w:rsid w:val="00C3738E"/>
    <w:rsid w:val="00C418C7"/>
    <w:rsid w:val="00C41A4A"/>
    <w:rsid w:val="00C42D9D"/>
    <w:rsid w:val="00C433AA"/>
    <w:rsid w:val="00C43531"/>
    <w:rsid w:val="00C476BF"/>
    <w:rsid w:val="00C51246"/>
    <w:rsid w:val="00C54404"/>
    <w:rsid w:val="00C55903"/>
    <w:rsid w:val="00C60324"/>
    <w:rsid w:val="00C60573"/>
    <w:rsid w:val="00C606F1"/>
    <w:rsid w:val="00C61A9E"/>
    <w:rsid w:val="00C62524"/>
    <w:rsid w:val="00C64E73"/>
    <w:rsid w:val="00C65467"/>
    <w:rsid w:val="00C65604"/>
    <w:rsid w:val="00C75A08"/>
    <w:rsid w:val="00C75E5A"/>
    <w:rsid w:val="00C775DB"/>
    <w:rsid w:val="00C80BA2"/>
    <w:rsid w:val="00C82B26"/>
    <w:rsid w:val="00C837D5"/>
    <w:rsid w:val="00C84B69"/>
    <w:rsid w:val="00C84D2E"/>
    <w:rsid w:val="00C85CB5"/>
    <w:rsid w:val="00C86BC0"/>
    <w:rsid w:val="00C90EC8"/>
    <w:rsid w:val="00C94213"/>
    <w:rsid w:val="00C96AE0"/>
    <w:rsid w:val="00CA0FA6"/>
    <w:rsid w:val="00CA159B"/>
    <w:rsid w:val="00CA341E"/>
    <w:rsid w:val="00CA42B5"/>
    <w:rsid w:val="00CA6599"/>
    <w:rsid w:val="00CA713F"/>
    <w:rsid w:val="00CA7177"/>
    <w:rsid w:val="00CB08B8"/>
    <w:rsid w:val="00CB1A46"/>
    <w:rsid w:val="00CB2E68"/>
    <w:rsid w:val="00CB5F23"/>
    <w:rsid w:val="00CB65B5"/>
    <w:rsid w:val="00CB73E9"/>
    <w:rsid w:val="00CC39F7"/>
    <w:rsid w:val="00CC4FDF"/>
    <w:rsid w:val="00CC57ED"/>
    <w:rsid w:val="00CC6FA3"/>
    <w:rsid w:val="00CD2113"/>
    <w:rsid w:val="00CD7F6C"/>
    <w:rsid w:val="00CE0D6F"/>
    <w:rsid w:val="00CE4914"/>
    <w:rsid w:val="00CE6793"/>
    <w:rsid w:val="00CF0697"/>
    <w:rsid w:val="00CF08D1"/>
    <w:rsid w:val="00CF51D6"/>
    <w:rsid w:val="00CF552D"/>
    <w:rsid w:val="00CF5D7C"/>
    <w:rsid w:val="00CF652A"/>
    <w:rsid w:val="00D00691"/>
    <w:rsid w:val="00D01E02"/>
    <w:rsid w:val="00D02909"/>
    <w:rsid w:val="00D030FD"/>
    <w:rsid w:val="00D03927"/>
    <w:rsid w:val="00D0759F"/>
    <w:rsid w:val="00D07A4D"/>
    <w:rsid w:val="00D105AD"/>
    <w:rsid w:val="00D12C02"/>
    <w:rsid w:val="00D172EF"/>
    <w:rsid w:val="00D20A72"/>
    <w:rsid w:val="00D21B14"/>
    <w:rsid w:val="00D22FAA"/>
    <w:rsid w:val="00D242E1"/>
    <w:rsid w:val="00D2437F"/>
    <w:rsid w:val="00D2546A"/>
    <w:rsid w:val="00D2554F"/>
    <w:rsid w:val="00D259DD"/>
    <w:rsid w:val="00D30122"/>
    <w:rsid w:val="00D30EEA"/>
    <w:rsid w:val="00D3130E"/>
    <w:rsid w:val="00D32BE1"/>
    <w:rsid w:val="00D34957"/>
    <w:rsid w:val="00D3503C"/>
    <w:rsid w:val="00D37D32"/>
    <w:rsid w:val="00D4168E"/>
    <w:rsid w:val="00D41AAC"/>
    <w:rsid w:val="00D431F4"/>
    <w:rsid w:val="00D440C1"/>
    <w:rsid w:val="00D4569D"/>
    <w:rsid w:val="00D45DA3"/>
    <w:rsid w:val="00D462F3"/>
    <w:rsid w:val="00D47D96"/>
    <w:rsid w:val="00D529BE"/>
    <w:rsid w:val="00D533C3"/>
    <w:rsid w:val="00D53F85"/>
    <w:rsid w:val="00D55E7E"/>
    <w:rsid w:val="00D57EBE"/>
    <w:rsid w:val="00D61802"/>
    <w:rsid w:val="00D646AE"/>
    <w:rsid w:val="00D6545D"/>
    <w:rsid w:val="00D656DF"/>
    <w:rsid w:val="00D6613B"/>
    <w:rsid w:val="00D67603"/>
    <w:rsid w:val="00D67884"/>
    <w:rsid w:val="00D73EB8"/>
    <w:rsid w:val="00D80882"/>
    <w:rsid w:val="00D81A8B"/>
    <w:rsid w:val="00D82193"/>
    <w:rsid w:val="00D85925"/>
    <w:rsid w:val="00D86E16"/>
    <w:rsid w:val="00D87C5A"/>
    <w:rsid w:val="00D921C8"/>
    <w:rsid w:val="00D92E8F"/>
    <w:rsid w:val="00D93364"/>
    <w:rsid w:val="00D93593"/>
    <w:rsid w:val="00D94237"/>
    <w:rsid w:val="00D964B0"/>
    <w:rsid w:val="00DA282B"/>
    <w:rsid w:val="00DA335A"/>
    <w:rsid w:val="00DA3EAE"/>
    <w:rsid w:val="00DA6361"/>
    <w:rsid w:val="00DA6EA0"/>
    <w:rsid w:val="00DB0853"/>
    <w:rsid w:val="00DB1678"/>
    <w:rsid w:val="00DB1E67"/>
    <w:rsid w:val="00DB26F8"/>
    <w:rsid w:val="00DB3965"/>
    <w:rsid w:val="00DB60B9"/>
    <w:rsid w:val="00DB7067"/>
    <w:rsid w:val="00DC09D0"/>
    <w:rsid w:val="00DC09DC"/>
    <w:rsid w:val="00DC2D77"/>
    <w:rsid w:val="00DC3671"/>
    <w:rsid w:val="00DC4CCF"/>
    <w:rsid w:val="00DC588A"/>
    <w:rsid w:val="00DD0237"/>
    <w:rsid w:val="00DD14A6"/>
    <w:rsid w:val="00DD2559"/>
    <w:rsid w:val="00DD304D"/>
    <w:rsid w:val="00DD4C66"/>
    <w:rsid w:val="00DD79BC"/>
    <w:rsid w:val="00DE040C"/>
    <w:rsid w:val="00DE06BC"/>
    <w:rsid w:val="00DE0958"/>
    <w:rsid w:val="00DE5884"/>
    <w:rsid w:val="00DE7659"/>
    <w:rsid w:val="00DE7919"/>
    <w:rsid w:val="00DF0E26"/>
    <w:rsid w:val="00DF2B8C"/>
    <w:rsid w:val="00DF5BA2"/>
    <w:rsid w:val="00DF6857"/>
    <w:rsid w:val="00E04EC2"/>
    <w:rsid w:val="00E068C6"/>
    <w:rsid w:val="00E06E1C"/>
    <w:rsid w:val="00E12655"/>
    <w:rsid w:val="00E139B3"/>
    <w:rsid w:val="00E1541E"/>
    <w:rsid w:val="00E15DA9"/>
    <w:rsid w:val="00E20797"/>
    <w:rsid w:val="00E21666"/>
    <w:rsid w:val="00E22F41"/>
    <w:rsid w:val="00E252DA"/>
    <w:rsid w:val="00E2585D"/>
    <w:rsid w:val="00E25A50"/>
    <w:rsid w:val="00E27988"/>
    <w:rsid w:val="00E33945"/>
    <w:rsid w:val="00E3470F"/>
    <w:rsid w:val="00E35260"/>
    <w:rsid w:val="00E37B3E"/>
    <w:rsid w:val="00E40FC3"/>
    <w:rsid w:val="00E41A5A"/>
    <w:rsid w:val="00E42046"/>
    <w:rsid w:val="00E42B79"/>
    <w:rsid w:val="00E42FB9"/>
    <w:rsid w:val="00E43162"/>
    <w:rsid w:val="00E5022B"/>
    <w:rsid w:val="00E532FA"/>
    <w:rsid w:val="00E5395A"/>
    <w:rsid w:val="00E53987"/>
    <w:rsid w:val="00E547E9"/>
    <w:rsid w:val="00E6145A"/>
    <w:rsid w:val="00E63251"/>
    <w:rsid w:val="00E63271"/>
    <w:rsid w:val="00E654DF"/>
    <w:rsid w:val="00E668B6"/>
    <w:rsid w:val="00E70842"/>
    <w:rsid w:val="00E70BFB"/>
    <w:rsid w:val="00E7116A"/>
    <w:rsid w:val="00E751A0"/>
    <w:rsid w:val="00E76425"/>
    <w:rsid w:val="00E77579"/>
    <w:rsid w:val="00E810CB"/>
    <w:rsid w:val="00E83807"/>
    <w:rsid w:val="00E84116"/>
    <w:rsid w:val="00E8562C"/>
    <w:rsid w:val="00E871BB"/>
    <w:rsid w:val="00E87D7E"/>
    <w:rsid w:val="00E87F32"/>
    <w:rsid w:val="00E903BC"/>
    <w:rsid w:val="00E9147F"/>
    <w:rsid w:val="00E95013"/>
    <w:rsid w:val="00E96ACE"/>
    <w:rsid w:val="00E96B36"/>
    <w:rsid w:val="00E9772D"/>
    <w:rsid w:val="00E97E7C"/>
    <w:rsid w:val="00EB098E"/>
    <w:rsid w:val="00EB0BF1"/>
    <w:rsid w:val="00EB2B21"/>
    <w:rsid w:val="00EC1045"/>
    <w:rsid w:val="00EC107C"/>
    <w:rsid w:val="00EC1B71"/>
    <w:rsid w:val="00EC1E6C"/>
    <w:rsid w:val="00EC2DB7"/>
    <w:rsid w:val="00EC2FE1"/>
    <w:rsid w:val="00EC3CA9"/>
    <w:rsid w:val="00EC4985"/>
    <w:rsid w:val="00EC51D1"/>
    <w:rsid w:val="00EC5CF3"/>
    <w:rsid w:val="00EC61BA"/>
    <w:rsid w:val="00ED1376"/>
    <w:rsid w:val="00ED1406"/>
    <w:rsid w:val="00ED1788"/>
    <w:rsid w:val="00ED394F"/>
    <w:rsid w:val="00ED4B72"/>
    <w:rsid w:val="00ED4DBE"/>
    <w:rsid w:val="00EE028F"/>
    <w:rsid w:val="00EE252E"/>
    <w:rsid w:val="00EE27B5"/>
    <w:rsid w:val="00EE32F9"/>
    <w:rsid w:val="00EE4CB7"/>
    <w:rsid w:val="00EE564D"/>
    <w:rsid w:val="00EE5B04"/>
    <w:rsid w:val="00EE7C49"/>
    <w:rsid w:val="00EE7EDF"/>
    <w:rsid w:val="00EF0291"/>
    <w:rsid w:val="00EF0633"/>
    <w:rsid w:val="00EF42FA"/>
    <w:rsid w:val="00EF586A"/>
    <w:rsid w:val="00EF6335"/>
    <w:rsid w:val="00EF67F0"/>
    <w:rsid w:val="00EF6D85"/>
    <w:rsid w:val="00F00A89"/>
    <w:rsid w:val="00F02563"/>
    <w:rsid w:val="00F02A3C"/>
    <w:rsid w:val="00F0441B"/>
    <w:rsid w:val="00F05163"/>
    <w:rsid w:val="00F1023C"/>
    <w:rsid w:val="00F11E1A"/>
    <w:rsid w:val="00F12E29"/>
    <w:rsid w:val="00F1371B"/>
    <w:rsid w:val="00F142C1"/>
    <w:rsid w:val="00F14D36"/>
    <w:rsid w:val="00F15FC2"/>
    <w:rsid w:val="00F1693E"/>
    <w:rsid w:val="00F17BE0"/>
    <w:rsid w:val="00F22765"/>
    <w:rsid w:val="00F242A8"/>
    <w:rsid w:val="00F30427"/>
    <w:rsid w:val="00F31843"/>
    <w:rsid w:val="00F3385C"/>
    <w:rsid w:val="00F347A9"/>
    <w:rsid w:val="00F34C1C"/>
    <w:rsid w:val="00F370F3"/>
    <w:rsid w:val="00F376B7"/>
    <w:rsid w:val="00F42145"/>
    <w:rsid w:val="00F4584C"/>
    <w:rsid w:val="00F45AC0"/>
    <w:rsid w:val="00F4673A"/>
    <w:rsid w:val="00F504E8"/>
    <w:rsid w:val="00F5083E"/>
    <w:rsid w:val="00F50C87"/>
    <w:rsid w:val="00F52504"/>
    <w:rsid w:val="00F56B4F"/>
    <w:rsid w:val="00F5740C"/>
    <w:rsid w:val="00F60640"/>
    <w:rsid w:val="00F61C6F"/>
    <w:rsid w:val="00F639A7"/>
    <w:rsid w:val="00F64569"/>
    <w:rsid w:val="00F67D37"/>
    <w:rsid w:val="00F67DFA"/>
    <w:rsid w:val="00F71BE1"/>
    <w:rsid w:val="00F7333B"/>
    <w:rsid w:val="00F770EC"/>
    <w:rsid w:val="00F77404"/>
    <w:rsid w:val="00F8027D"/>
    <w:rsid w:val="00F82B64"/>
    <w:rsid w:val="00F82BD1"/>
    <w:rsid w:val="00F845F3"/>
    <w:rsid w:val="00F846E2"/>
    <w:rsid w:val="00F848BE"/>
    <w:rsid w:val="00F90D51"/>
    <w:rsid w:val="00F91BBB"/>
    <w:rsid w:val="00F91EBB"/>
    <w:rsid w:val="00F94426"/>
    <w:rsid w:val="00F94623"/>
    <w:rsid w:val="00F97A89"/>
    <w:rsid w:val="00FA0E60"/>
    <w:rsid w:val="00FA1BFD"/>
    <w:rsid w:val="00FA2202"/>
    <w:rsid w:val="00FA44D5"/>
    <w:rsid w:val="00FA4F7C"/>
    <w:rsid w:val="00FA672A"/>
    <w:rsid w:val="00FA6E44"/>
    <w:rsid w:val="00FB01C4"/>
    <w:rsid w:val="00FB036F"/>
    <w:rsid w:val="00FB11AC"/>
    <w:rsid w:val="00FB3005"/>
    <w:rsid w:val="00FB68BD"/>
    <w:rsid w:val="00FB6D79"/>
    <w:rsid w:val="00FB72E5"/>
    <w:rsid w:val="00FC047E"/>
    <w:rsid w:val="00FC17AF"/>
    <w:rsid w:val="00FC1D39"/>
    <w:rsid w:val="00FC4E20"/>
    <w:rsid w:val="00FC78F5"/>
    <w:rsid w:val="00FD1021"/>
    <w:rsid w:val="00FD1E04"/>
    <w:rsid w:val="00FD375F"/>
    <w:rsid w:val="00FD43B9"/>
    <w:rsid w:val="00FD4C6B"/>
    <w:rsid w:val="00FD4D48"/>
    <w:rsid w:val="00FD75A3"/>
    <w:rsid w:val="00FE18D7"/>
    <w:rsid w:val="00FE1ADD"/>
    <w:rsid w:val="00FE28CA"/>
    <w:rsid w:val="00FE3700"/>
    <w:rsid w:val="00FE3AC6"/>
    <w:rsid w:val="00FE6898"/>
    <w:rsid w:val="00FE74A1"/>
    <w:rsid w:val="00FF0042"/>
    <w:rsid w:val="00FF17E8"/>
    <w:rsid w:val="00FF4284"/>
    <w:rsid w:val="00FF46A8"/>
    <w:rsid w:val="00FF4CF1"/>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4:docId w14:val="42A8903D"/>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0"/>
    <w:rPr>
      <w:rFonts w:ascii="Times New Roman" w:eastAsia="Times New Roman" w:hAnsi="Times New Roman"/>
      <w:sz w:val="24"/>
      <w:szCs w:val="24"/>
    </w:rPr>
  </w:style>
  <w:style w:type="paragraph" w:styleId="Heading3">
    <w:name w:val="heading 3"/>
    <w:basedOn w:val="Normal"/>
    <w:next w:val="Normal"/>
    <w:link w:val="Heading3Char"/>
    <w:qFormat/>
    <w:rsid w:val="00493750"/>
    <w:pPr>
      <w:keepNext/>
      <w:spacing w:before="240" w:after="60"/>
      <w:outlineLvl w:val="2"/>
    </w:pPr>
    <w:rPr>
      <w:rFonts w:ascii="Arial" w:hAnsi="Arial" w:cs="Arial"/>
      <w:b/>
      <w:bCs/>
      <w:snapToGrid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FB68BD"/>
    <w:pPr>
      <w:spacing w:after="120"/>
    </w:pPr>
  </w:style>
  <w:style w:type="character" w:customStyle="1" w:styleId="BodyTextChar">
    <w:name w:val="Body Text Char"/>
    <w:link w:val="BodyText"/>
    <w:uiPriority w:val="99"/>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aliases w:val="H&amp;P List Paragraph,2,Strip,LP1.,Numbered Para 1,Dot pt,No Spacing1,List Paragraph Char Char Char,Indicator Text,List Paragraph1,Bullet 1,Bullet Points,MAIN CONTENT,IFCL - List Paragraph,List Paragraph12,OBC Bullet,F5 List Paragraph"/>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uiPriority w:val="99"/>
    <w:rsid w:val="00E53987"/>
    <w:rPr>
      <w:sz w:val="20"/>
      <w:szCs w:val="20"/>
    </w:rPr>
  </w:style>
  <w:style w:type="character" w:customStyle="1" w:styleId="FootnoteTextChar">
    <w:name w:val="Footnote Text Char"/>
    <w:link w:val="FootnoteText"/>
    <w:uiPriority w:val="99"/>
    <w:rsid w:val="00E53987"/>
    <w:rPr>
      <w:rFonts w:ascii="Times New Roman" w:eastAsia="Times New Roman" w:hAnsi="Times New Roman" w:cs="Times New Roman"/>
      <w:sz w:val="20"/>
      <w:szCs w:val="20"/>
      <w:lang w:eastAsia="lv-LV"/>
    </w:rPr>
  </w:style>
  <w:style w:type="character" w:styleId="FootnoteReference">
    <w:name w:val="footnote reference"/>
    <w:uiPriority w:val="99"/>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character" w:customStyle="1" w:styleId="ListParagraphChar">
    <w:name w:val="List Paragraph Char"/>
    <w:aliases w:val="H&amp;P List Paragraph Char,2 Char,Strip Char,LP1. Char,Numbered Para 1 Char,Dot pt Char,No Spacing1 Char,List Paragraph Char Char Char Char,Indicator Text Char,List Paragraph1 Char,Bullet 1 Char,Bullet Points Char,MAIN CONTENT Char"/>
    <w:link w:val="ListParagraph"/>
    <w:uiPriority w:val="34"/>
    <w:rsid w:val="002D4B24"/>
    <w:rPr>
      <w:sz w:val="22"/>
      <w:szCs w:val="22"/>
      <w:lang w:eastAsia="en-US"/>
    </w:rPr>
  </w:style>
  <w:style w:type="paragraph" w:customStyle="1" w:styleId="naislab">
    <w:name w:val="naislab"/>
    <w:basedOn w:val="Normal"/>
    <w:uiPriority w:val="99"/>
    <w:rsid w:val="002D4B24"/>
    <w:pPr>
      <w:spacing w:before="75" w:after="75"/>
      <w:jc w:val="right"/>
    </w:pPr>
  </w:style>
  <w:style w:type="paragraph" w:customStyle="1" w:styleId="tv213">
    <w:name w:val="tv213"/>
    <w:basedOn w:val="Normal"/>
    <w:rsid w:val="008D63B6"/>
    <w:pPr>
      <w:spacing w:before="100" w:beforeAutospacing="1" w:after="100" w:afterAutospacing="1"/>
    </w:pPr>
  </w:style>
  <w:style w:type="paragraph" w:customStyle="1" w:styleId="Default">
    <w:name w:val="Default"/>
    <w:rsid w:val="0035556B"/>
    <w:pPr>
      <w:autoSpaceDE w:val="0"/>
      <w:autoSpaceDN w:val="0"/>
      <w:adjustRightInd w:val="0"/>
    </w:pPr>
    <w:rPr>
      <w:rFonts w:ascii="Times New Roman" w:eastAsia="Times New Roman" w:hAnsi="Times New Roman"/>
      <w:color w:val="000000"/>
      <w:sz w:val="24"/>
      <w:szCs w:val="24"/>
    </w:rPr>
  </w:style>
  <w:style w:type="paragraph" w:customStyle="1" w:styleId="naisvisr">
    <w:name w:val="naisvisr"/>
    <w:basedOn w:val="Normal"/>
    <w:rsid w:val="0039215C"/>
    <w:pPr>
      <w:spacing w:before="100" w:beforeAutospacing="1" w:after="100" w:afterAutospacing="1"/>
      <w:jc w:val="center"/>
    </w:pPr>
    <w:rPr>
      <w:b/>
      <w:bCs/>
      <w:sz w:val="28"/>
      <w:szCs w:val="28"/>
      <w:lang w:eastAsia="en-US"/>
    </w:rPr>
  </w:style>
  <w:style w:type="character" w:customStyle="1" w:styleId="Heading3Char">
    <w:name w:val="Heading 3 Char"/>
    <w:basedOn w:val="DefaultParagraphFont"/>
    <w:link w:val="Heading3"/>
    <w:rsid w:val="00493750"/>
    <w:rPr>
      <w:rFonts w:ascii="Arial" w:eastAsia="Times New Roman" w:hAnsi="Arial" w:cs="Arial"/>
      <w:b/>
      <w:bCs/>
      <w:snapToGrid w:val="0"/>
      <w:sz w:val="26"/>
      <w:szCs w:val="26"/>
      <w:lang w:val="en-GB" w:eastAsia="en-US"/>
    </w:rPr>
  </w:style>
  <w:style w:type="paragraph" w:styleId="CommentText">
    <w:name w:val="annotation text"/>
    <w:basedOn w:val="Normal"/>
    <w:link w:val="CommentTextChar"/>
    <w:uiPriority w:val="99"/>
    <w:unhideWhenUsed/>
    <w:rsid w:val="00C837D5"/>
    <w:pPr>
      <w:widowControl w:val="0"/>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C837D5"/>
    <w:rPr>
      <w:lang w:val="en-US" w:eastAsia="en-US"/>
    </w:rPr>
  </w:style>
  <w:style w:type="paragraph" w:styleId="CommentSubject">
    <w:name w:val="annotation subject"/>
    <w:basedOn w:val="CommentText"/>
    <w:next w:val="CommentText"/>
    <w:link w:val="CommentSubjectChar"/>
    <w:uiPriority w:val="99"/>
    <w:semiHidden/>
    <w:unhideWhenUsed/>
    <w:rsid w:val="0052457F"/>
    <w:pPr>
      <w:widowControl/>
      <w:spacing w:after="0"/>
    </w:pPr>
    <w:rPr>
      <w:rFonts w:ascii="Times New Roman" w:eastAsia="Times New Roman" w:hAnsi="Times New Roman"/>
      <w:b/>
      <w:bCs/>
      <w:lang w:val="lv-LV" w:eastAsia="lv-LV"/>
    </w:rPr>
  </w:style>
  <w:style w:type="character" w:customStyle="1" w:styleId="CommentSubjectChar">
    <w:name w:val="Comment Subject Char"/>
    <w:basedOn w:val="CommentTextChar"/>
    <w:link w:val="CommentSubject"/>
    <w:uiPriority w:val="99"/>
    <w:semiHidden/>
    <w:rsid w:val="0052457F"/>
    <w:rPr>
      <w:rFonts w:ascii="Times New Roman" w:eastAsia="Times New Roman" w:hAnsi="Times New Roman"/>
      <w:b/>
      <w:bCs/>
      <w:lang w:val="en-US" w:eastAsia="en-US"/>
    </w:rPr>
  </w:style>
  <w:style w:type="paragraph" w:customStyle="1" w:styleId="tvhtml">
    <w:name w:val="tv_html"/>
    <w:basedOn w:val="Normal"/>
    <w:rsid w:val="00270E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561">
      <w:bodyDiv w:val="1"/>
      <w:marLeft w:val="0"/>
      <w:marRight w:val="0"/>
      <w:marTop w:val="0"/>
      <w:marBottom w:val="0"/>
      <w:divBdr>
        <w:top w:val="none" w:sz="0" w:space="0" w:color="auto"/>
        <w:left w:val="none" w:sz="0" w:space="0" w:color="auto"/>
        <w:bottom w:val="none" w:sz="0" w:space="0" w:color="auto"/>
        <w:right w:val="none" w:sz="0" w:space="0" w:color="auto"/>
      </w:divBdr>
      <w:divsChild>
        <w:div w:id="1890529652">
          <w:marLeft w:val="0"/>
          <w:marRight w:val="0"/>
          <w:marTop w:val="0"/>
          <w:marBottom w:val="0"/>
          <w:divBdr>
            <w:top w:val="none" w:sz="0" w:space="0" w:color="auto"/>
            <w:left w:val="none" w:sz="0" w:space="0" w:color="auto"/>
            <w:bottom w:val="none" w:sz="0" w:space="0" w:color="auto"/>
            <w:right w:val="none" w:sz="0" w:space="0" w:color="auto"/>
          </w:divBdr>
        </w:div>
        <w:div w:id="1171025814">
          <w:marLeft w:val="0"/>
          <w:marRight w:val="0"/>
          <w:marTop w:val="0"/>
          <w:marBottom w:val="0"/>
          <w:divBdr>
            <w:top w:val="none" w:sz="0" w:space="0" w:color="auto"/>
            <w:left w:val="none" w:sz="0" w:space="0" w:color="auto"/>
            <w:bottom w:val="none" w:sz="0" w:space="0" w:color="auto"/>
            <w:right w:val="none" w:sz="0" w:space="0" w:color="auto"/>
          </w:divBdr>
        </w:div>
      </w:divsChild>
    </w:div>
    <w:div w:id="56131330">
      <w:bodyDiv w:val="1"/>
      <w:marLeft w:val="0"/>
      <w:marRight w:val="0"/>
      <w:marTop w:val="0"/>
      <w:marBottom w:val="0"/>
      <w:divBdr>
        <w:top w:val="none" w:sz="0" w:space="0" w:color="auto"/>
        <w:left w:val="none" w:sz="0" w:space="0" w:color="auto"/>
        <w:bottom w:val="none" w:sz="0" w:space="0" w:color="auto"/>
        <w:right w:val="none" w:sz="0" w:space="0" w:color="auto"/>
      </w:divBdr>
    </w:div>
    <w:div w:id="102382624">
      <w:bodyDiv w:val="1"/>
      <w:marLeft w:val="0"/>
      <w:marRight w:val="0"/>
      <w:marTop w:val="0"/>
      <w:marBottom w:val="0"/>
      <w:divBdr>
        <w:top w:val="none" w:sz="0" w:space="0" w:color="auto"/>
        <w:left w:val="none" w:sz="0" w:space="0" w:color="auto"/>
        <w:bottom w:val="none" w:sz="0" w:space="0" w:color="auto"/>
        <w:right w:val="none" w:sz="0" w:space="0" w:color="auto"/>
      </w:divBdr>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290327735">
      <w:bodyDiv w:val="1"/>
      <w:marLeft w:val="0"/>
      <w:marRight w:val="0"/>
      <w:marTop w:val="0"/>
      <w:marBottom w:val="0"/>
      <w:divBdr>
        <w:top w:val="none" w:sz="0" w:space="0" w:color="auto"/>
        <w:left w:val="none" w:sz="0" w:space="0" w:color="auto"/>
        <w:bottom w:val="none" w:sz="0" w:space="0" w:color="auto"/>
        <w:right w:val="none" w:sz="0" w:space="0" w:color="auto"/>
      </w:divBdr>
    </w:div>
    <w:div w:id="601375245">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65408983">
      <w:bodyDiv w:val="1"/>
      <w:marLeft w:val="0"/>
      <w:marRight w:val="0"/>
      <w:marTop w:val="0"/>
      <w:marBottom w:val="0"/>
      <w:divBdr>
        <w:top w:val="none" w:sz="0" w:space="0" w:color="auto"/>
        <w:left w:val="none" w:sz="0" w:space="0" w:color="auto"/>
        <w:bottom w:val="none" w:sz="0" w:space="0" w:color="auto"/>
        <w:right w:val="none" w:sz="0" w:space="0" w:color="auto"/>
      </w:divBdr>
      <w:divsChild>
        <w:div w:id="1941596909">
          <w:marLeft w:val="0"/>
          <w:marRight w:val="0"/>
          <w:marTop w:val="0"/>
          <w:marBottom w:val="0"/>
          <w:divBdr>
            <w:top w:val="none" w:sz="0" w:space="0" w:color="auto"/>
            <w:left w:val="none" w:sz="0" w:space="0" w:color="auto"/>
            <w:bottom w:val="none" w:sz="0" w:space="0" w:color="auto"/>
            <w:right w:val="none" w:sz="0" w:space="0" w:color="auto"/>
          </w:divBdr>
        </w:div>
        <w:div w:id="949774138">
          <w:marLeft w:val="0"/>
          <w:marRight w:val="0"/>
          <w:marTop w:val="0"/>
          <w:marBottom w:val="0"/>
          <w:divBdr>
            <w:top w:val="none" w:sz="0" w:space="0" w:color="auto"/>
            <w:left w:val="none" w:sz="0" w:space="0" w:color="auto"/>
            <w:bottom w:val="none" w:sz="0" w:space="0" w:color="auto"/>
            <w:right w:val="none" w:sz="0" w:space="0" w:color="auto"/>
          </w:divBdr>
        </w:div>
      </w:divsChild>
    </w:div>
    <w:div w:id="990060227">
      <w:bodyDiv w:val="1"/>
      <w:marLeft w:val="0"/>
      <w:marRight w:val="0"/>
      <w:marTop w:val="0"/>
      <w:marBottom w:val="0"/>
      <w:divBdr>
        <w:top w:val="none" w:sz="0" w:space="0" w:color="auto"/>
        <w:left w:val="none" w:sz="0" w:space="0" w:color="auto"/>
        <w:bottom w:val="none" w:sz="0" w:space="0" w:color="auto"/>
        <w:right w:val="none" w:sz="0" w:space="0" w:color="auto"/>
      </w:divBdr>
    </w:div>
    <w:div w:id="1204321908">
      <w:bodyDiv w:val="1"/>
      <w:marLeft w:val="0"/>
      <w:marRight w:val="0"/>
      <w:marTop w:val="0"/>
      <w:marBottom w:val="0"/>
      <w:divBdr>
        <w:top w:val="none" w:sz="0" w:space="0" w:color="auto"/>
        <w:left w:val="none" w:sz="0" w:space="0" w:color="auto"/>
        <w:bottom w:val="none" w:sz="0" w:space="0" w:color="auto"/>
        <w:right w:val="none" w:sz="0" w:space="0" w:color="auto"/>
      </w:divBdr>
      <w:divsChild>
        <w:div w:id="64498530">
          <w:marLeft w:val="0"/>
          <w:marRight w:val="0"/>
          <w:marTop w:val="0"/>
          <w:marBottom w:val="0"/>
          <w:divBdr>
            <w:top w:val="none" w:sz="0" w:space="0" w:color="auto"/>
            <w:left w:val="none" w:sz="0" w:space="0" w:color="auto"/>
            <w:bottom w:val="none" w:sz="0" w:space="0" w:color="auto"/>
            <w:right w:val="none" w:sz="0" w:space="0" w:color="auto"/>
          </w:divBdr>
        </w:div>
        <w:div w:id="1794712213">
          <w:marLeft w:val="0"/>
          <w:marRight w:val="0"/>
          <w:marTop w:val="0"/>
          <w:marBottom w:val="0"/>
          <w:divBdr>
            <w:top w:val="none" w:sz="0" w:space="0" w:color="auto"/>
            <w:left w:val="none" w:sz="0" w:space="0" w:color="auto"/>
            <w:bottom w:val="none" w:sz="0" w:space="0" w:color="auto"/>
            <w:right w:val="none" w:sz="0" w:space="0" w:color="auto"/>
          </w:divBdr>
        </w:div>
      </w:divsChild>
    </w:div>
    <w:div w:id="1209075579">
      <w:bodyDiv w:val="1"/>
      <w:marLeft w:val="0"/>
      <w:marRight w:val="0"/>
      <w:marTop w:val="0"/>
      <w:marBottom w:val="0"/>
      <w:divBdr>
        <w:top w:val="none" w:sz="0" w:space="0" w:color="auto"/>
        <w:left w:val="none" w:sz="0" w:space="0" w:color="auto"/>
        <w:bottom w:val="none" w:sz="0" w:space="0" w:color="auto"/>
        <w:right w:val="none" w:sz="0" w:space="0" w:color="auto"/>
      </w:divBdr>
      <w:divsChild>
        <w:div w:id="1343774729">
          <w:marLeft w:val="0"/>
          <w:marRight w:val="0"/>
          <w:marTop w:val="0"/>
          <w:marBottom w:val="0"/>
          <w:divBdr>
            <w:top w:val="none" w:sz="0" w:space="0" w:color="auto"/>
            <w:left w:val="none" w:sz="0" w:space="0" w:color="auto"/>
            <w:bottom w:val="none" w:sz="0" w:space="0" w:color="auto"/>
            <w:right w:val="none" w:sz="0" w:space="0" w:color="auto"/>
          </w:divBdr>
        </w:div>
        <w:div w:id="173646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adamovic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EF30-3663-4E76-A476-991817A7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14393</Words>
  <Characters>8205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kopējām valsts pārvaldē auditējamām prioritātēm 2021.gadam”</vt:lpstr>
    </vt:vector>
  </TitlesOfParts>
  <Company>FM</Company>
  <LinksUpToDate>false</LinksUpToDate>
  <CharactersWithSpaces>22553</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kopējām valsts pārvaldē auditējamām prioritātēm 2021.gadam”</dc:title>
  <dc:subject>Izziņa</dc:subject>
  <dc:creator>julija.adamovica@fm.gov.lv</dc:creator>
  <cp:keywords/>
  <dc:description>67095488; Jūlija Adamoviča</dc:description>
  <cp:lastModifiedBy>Sniedzīte Sprukta</cp:lastModifiedBy>
  <cp:revision>8</cp:revision>
  <cp:lastPrinted>2017-12-07T07:43:00Z</cp:lastPrinted>
  <dcterms:created xsi:type="dcterms:W3CDTF">2020-12-28T12:52:00Z</dcterms:created>
  <dcterms:modified xsi:type="dcterms:W3CDTF">2020-12-28T13:28:00Z</dcterms:modified>
</cp:coreProperties>
</file>