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94232" w14:textId="77777777" w:rsidR="007116C7" w:rsidRPr="00AE5356" w:rsidRDefault="007116C7" w:rsidP="00AE5356">
      <w:pPr>
        <w:pStyle w:val="naisnod"/>
        <w:spacing w:before="0" w:after="0"/>
        <w:ind w:firstLine="720"/>
        <w:rPr>
          <w:sz w:val="28"/>
          <w:szCs w:val="28"/>
        </w:rPr>
      </w:pPr>
      <w:r w:rsidRPr="00AE5356">
        <w:rPr>
          <w:sz w:val="28"/>
          <w:szCs w:val="28"/>
        </w:rPr>
        <w:t>Izziņa par atzinumos sniegtajiem iebildumiem</w:t>
      </w:r>
    </w:p>
    <w:p w14:paraId="672A6659" w14:textId="77777777" w:rsidR="007116C7" w:rsidRPr="00AE5356" w:rsidRDefault="007116C7" w:rsidP="00AE5356">
      <w:pPr>
        <w:pStyle w:val="naisf"/>
        <w:spacing w:before="0" w:after="0"/>
        <w:ind w:firstLine="720"/>
      </w:pPr>
    </w:p>
    <w:p w14:paraId="0A37501D" w14:textId="77777777" w:rsidR="00C1478A" w:rsidRPr="00AE5356" w:rsidRDefault="00C1478A" w:rsidP="00AE5356">
      <w:pPr>
        <w:pStyle w:val="naisf"/>
        <w:spacing w:before="0" w:after="0"/>
        <w:ind w:firstLine="720"/>
        <w:jc w:val="center"/>
        <w:rPr>
          <w:b/>
          <w:bCs/>
          <w:color w:val="000000"/>
        </w:rPr>
      </w:pPr>
    </w:p>
    <w:p w14:paraId="14F197FD" w14:textId="77777777" w:rsidR="00DC0983" w:rsidRPr="00AE5356" w:rsidRDefault="00F16D4C" w:rsidP="00AE5356">
      <w:pPr>
        <w:pStyle w:val="naisf"/>
        <w:spacing w:before="0" w:after="0"/>
        <w:ind w:firstLine="720"/>
        <w:jc w:val="center"/>
        <w:rPr>
          <w:b/>
          <w:bCs/>
          <w:color w:val="000000"/>
        </w:rPr>
      </w:pPr>
      <w:r w:rsidRPr="00AE5356">
        <w:rPr>
          <w:b/>
          <w:bCs/>
          <w:color w:val="000000"/>
        </w:rPr>
        <w:t xml:space="preserve">Par Ministru kabineta rīkojuma projektu </w:t>
      </w:r>
      <w:r w:rsidR="00DC0983" w:rsidRPr="00AE5356">
        <w:rPr>
          <w:b/>
          <w:bCs/>
          <w:color w:val="000000"/>
        </w:rPr>
        <w:t xml:space="preserve">“Par </w:t>
      </w:r>
      <w:r w:rsidRPr="00AE5356">
        <w:rPr>
          <w:b/>
          <w:bCs/>
          <w:color w:val="000000"/>
        </w:rPr>
        <w:t>Finanšu sektora attīstības plān</w:t>
      </w:r>
      <w:r w:rsidR="00DC0983" w:rsidRPr="00AE5356">
        <w:rPr>
          <w:b/>
          <w:bCs/>
          <w:color w:val="000000"/>
        </w:rPr>
        <w:t>u</w:t>
      </w:r>
      <w:r w:rsidR="00C03AFA" w:rsidRPr="00AE5356">
        <w:rPr>
          <w:b/>
          <w:bCs/>
          <w:color w:val="000000"/>
        </w:rPr>
        <w:t xml:space="preserve"> 2021</w:t>
      </w:r>
      <w:r w:rsidRPr="00AE5356">
        <w:rPr>
          <w:b/>
          <w:bCs/>
          <w:color w:val="000000"/>
        </w:rPr>
        <w:t xml:space="preserve">. – </w:t>
      </w:r>
      <w:r w:rsidR="00C03AFA" w:rsidRPr="00AE5356">
        <w:rPr>
          <w:b/>
          <w:bCs/>
          <w:color w:val="000000"/>
        </w:rPr>
        <w:t>2023</w:t>
      </w:r>
      <w:r w:rsidRPr="00AE5356">
        <w:rPr>
          <w:b/>
          <w:bCs/>
          <w:color w:val="000000"/>
        </w:rPr>
        <w:t>.gadam</w:t>
      </w:r>
      <w:r w:rsidR="00DC0983" w:rsidRPr="00AE5356">
        <w:rPr>
          <w:b/>
          <w:bCs/>
          <w:color w:val="000000"/>
        </w:rPr>
        <w:t>” un Finan</w:t>
      </w:r>
      <w:r w:rsidR="00C03AFA" w:rsidRPr="00AE5356">
        <w:rPr>
          <w:b/>
          <w:bCs/>
          <w:color w:val="000000"/>
        </w:rPr>
        <w:t>šu sektora attīstības plāna 2021.- 2023</w:t>
      </w:r>
      <w:r w:rsidR="00DC0983" w:rsidRPr="00AE5356">
        <w:rPr>
          <w:b/>
          <w:bCs/>
          <w:color w:val="000000"/>
        </w:rPr>
        <w:t>.gadam projektu</w:t>
      </w:r>
    </w:p>
    <w:p w14:paraId="5DAB6C7B" w14:textId="77777777" w:rsidR="00F16D4C" w:rsidRPr="00AE5356" w:rsidRDefault="00F16D4C" w:rsidP="00AE5356">
      <w:pPr>
        <w:pStyle w:val="naisf"/>
        <w:spacing w:before="0" w:after="0"/>
        <w:ind w:firstLine="720"/>
        <w:jc w:val="center"/>
      </w:pPr>
    </w:p>
    <w:p w14:paraId="0D9F7314" w14:textId="77777777" w:rsidR="007B4C0F" w:rsidRPr="00AE5356" w:rsidRDefault="007B4C0F" w:rsidP="00AE5356">
      <w:pPr>
        <w:pStyle w:val="naisf"/>
        <w:spacing w:before="0" w:after="0"/>
        <w:ind w:firstLine="0"/>
        <w:jc w:val="center"/>
        <w:rPr>
          <w:b/>
        </w:rPr>
      </w:pPr>
      <w:r w:rsidRPr="00AE5356">
        <w:rPr>
          <w:b/>
        </w:rPr>
        <w:t xml:space="preserve">I. Jautājumi, par kuriem saskaņošanā </w:t>
      </w:r>
      <w:r w:rsidR="00134188" w:rsidRPr="00AE5356">
        <w:rPr>
          <w:b/>
        </w:rPr>
        <w:t xml:space="preserve">vienošanās </w:t>
      </w:r>
      <w:r w:rsidRPr="00AE5356">
        <w:rPr>
          <w:b/>
        </w:rPr>
        <w:t>nav panākta</w:t>
      </w:r>
    </w:p>
    <w:p w14:paraId="02EB378F" w14:textId="77777777" w:rsidR="007B4C0F" w:rsidRPr="00AE5356" w:rsidRDefault="007B4C0F" w:rsidP="00AE5356">
      <w:pPr>
        <w:pStyle w:val="naisf"/>
        <w:spacing w:before="0" w:after="0"/>
        <w:ind w:firstLine="720"/>
      </w:pPr>
    </w:p>
    <w:p w14:paraId="10DF1293" w14:textId="77777777" w:rsidR="007B4C0F" w:rsidRPr="00AE5356" w:rsidRDefault="000B3CDA" w:rsidP="00AE5356">
      <w:pPr>
        <w:pStyle w:val="naisf"/>
        <w:spacing w:before="0" w:after="0"/>
        <w:ind w:firstLine="0"/>
      </w:pPr>
      <w:r w:rsidRPr="00AE5356">
        <w:t>Nav.</w:t>
      </w:r>
    </w:p>
    <w:p w14:paraId="6A05A809" w14:textId="77777777" w:rsidR="000B3CDA" w:rsidRPr="00AE5356" w:rsidRDefault="000B3CDA" w:rsidP="00AE5356">
      <w:pPr>
        <w:pStyle w:val="naisf"/>
        <w:spacing w:before="0" w:after="0"/>
        <w:ind w:firstLine="0"/>
      </w:pPr>
    </w:p>
    <w:p w14:paraId="78FDF302" w14:textId="77777777" w:rsidR="005D67F7" w:rsidRPr="00AE5356" w:rsidRDefault="005D67F7" w:rsidP="00AE5356">
      <w:pPr>
        <w:pStyle w:val="naisf"/>
        <w:spacing w:before="0" w:after="0"/>
        <w:ind w:firstLine="0"/>
        <w:rPr>
          <w:b/>
        </w:rPr>
      </w:pPr>
      <w:r w:rsidRPr="00AE5356">
        <w:rPr>
          <w:b/>
        </w:rPr>
        <w:t>Informācija par starpministriju (starpinstitūciju) sanāksmi vai elektronisko saskaņošanu</w:t>
      </w:r>
    </w:p>
    <w:p w14:paraId="5A39BBE3" w14:textId="77777777" w:rsidR="005D67F7" w:rsidRPr="00AE5356" w:rsidRDefault="005D67F7" w:rsidP="00AE5356">
      <w:pPr>
        <w:pStyle w:val="naisf"/>
        <w:spacing w:before="0" w:after="0"/>
        <w:ind w:firstLine="0"/>
        <w:rPr>
          <w:b/>
        </w:rPr>
      </w:pPr>
    </w:p>
    <w:tbl>
      <w:tblPr>
        <w:tblW w:w="14425" w:type="dxa"/>
        <w:tblLook w:val="00A0" w:firstRow="1" w:lastRow="0" w:firstColumn="1" w:lastColumn="0" w:noHBand="0" w:noVBand="0"/>
      </w:tblPr>
      <w:tblGrid>
        <w:gridCol w:w="5920"/>
        <w:gridCol w:w="1203"/>
        <w:gridCol w:w="7302"/>
      </w:tblGrid>
      <w:tr w:rsidR="007B4C0F" w:rsidRPr="00AE5356" w14:paraId="3A4D20ED" w14:textId="77777777" w:rsidTr="00D9338E">
        <w:tc>
          <w:tcPr>
            <w:tcW w:w="5920" w:type="dxa"/>
          </w:tcPr>
          <w:p w14:paraId="699DBE4A" w14:textId="77777777" w:rsidR="007B4C0F" w:rsidRPr="00AE5356" w:rsidRDefault="005D67F7" w:rsidP="00AE5356">
            <w:pPr>
              <w:pStyle w:val="naisf"/>
              <w:spacing w:before="0" w:after="0"/>
              <w:ind w:firstLine="0"/>
            </w:pPr>
            <w:r w:rsidRPr="00AE5356">
              <w:t>D</w:t>
            </w:r>
            <w:r w:rsidR="007B4C0F" w:rsidRPr="00AE5356">
              <w:t>atums</w:t>
            </w:r>
          </w:p>
        </w:tc>
        <w:tc>
          <w:tcPr>
            <w:tcW w:w="8505" w:type="dxa"/>
            <w:gridSpan w:val="2"/>
            <w:tcBorders>
              <w:bottom w:val="single" w:sz="4" w:space="0" w:color="auto"/>
            </w:tcBorders>
          </w:tcPr>
          <w:p w14:paraId="64008A3C" w14:textId="06783513" w:rsidR="007B4C0F" w:rsidRPr="00AE5356" w:rsidRDefault="00C03AFA" w:rsidP="00C14392">
            <w:pPr>
              <w:pStyle w:val="NormalWeb"/>
              <w:spacing w:before="0" w:beforeAutospacing="0" w:after="0" w:afterAutospacing="0"/>
              <w:ind w:firstLine="720"/>
            </w:pPr>
            <w:r w:rsidRPr="00AE5356">
              <w:t>202</w:t>
            </w:r>
            <w:r w:rsidR="00C14392">
              <w:t>1</w:t>
            </w:r>
            <w:r w:rsidR="005636DE">
              <w:t>.gada 27</w:t>
            </w:r>
            <w:r w:rsidR="00C1478A" w:rsidRPr="00AE5356">
              <w:t>.</w:t>
            </w:r>
            <w:r w:rsidR="00C14392">
              <w:t>janvāris</w:t>
            </w:r>
          </w:p>
        </w:tc>
      </w:tr>
      <w:tr w:rsidR="003C27A2" w:rsidRPr="00AE5356" w14:paraId="41C8F396" w14:textId="77777777" w:rsidTr="00D9338E">
        <w:tc>
          <w:tcPr>
            <w:tcW w:w="5920" w:type="dxa"/>
          </w:tcPr>
          <w:p w14:paraId="72A3D3EC" w14:textId="77777777" w:rsidR="003C27A2" w:rsidRPr="00AE5356" w:rsidRDefault="003C27A2" w:rsidP="00AE5356">
            <w:pPr>
              <w:pStyle w:val="naisf"/>
              <w:spacing w:before="0" w:after="0"/>
              <w:ind w:firstLine="0"/>
            </w:pPr>
          </w:p>
        </w:tc>
        <w:tc>
          <w:tcPr>
            <w:tcW w:w="8505" w:type="dxa"/>
            <w:gridSpan w:val="2"/>
            <w:tcBorders>
              <w:top w:val="single" w:sz="4" w:space="0" w:color="auto"/>
            </w:tcBorders>
          </w:tcPr>
          <w:p w14:paraId="0D0B940D" w14:textId="77777777" w:rsidR="003C27A2" w:rsidRPr="00AE5356" w:rsidRDefault="003C27A2" w:rsidP="009B23D5">
            <w:pPr>
              <w:pStyle w:val="NormalWeb"/>
              <w:spacing w:before="0" w:beforeAutospacing="0" w:after="0" w:afterAutospacing="0"/>
            </w:pPr>
          </w:p>
        </w:tc>
      </w:tr>
      <w:tr w:rsidR="007B4C0F" w:rsidRPr="00AE5356" w14:paraId="106CC68C" w14:textId="77777777" w:rsidTr="00D9338E">
        <w:tc>
          <w:tcPr>
            <w:tcW w:w="5920" w:type="dxa"/>
          </w:tcPr>
          <w:p w14:paraId="4CB73FD7" w14:textId="77777777" w:rsidR="007B4C0F" w:rsidRPr="00AE5356" w:rsidRDefault="00365CC0" w:rsidP="00AE5356">
            <w:pPr>
              <w:pStyle w:val="naiskr"/>
              <w:spacing w:before="0" w:after="0"/>
            </w:pPr>
            <w:r w:rsidRPr="00AE5356">
              <w:t>Saskaņošanas dalībnieki</w:t>
            </w:r>
          </w:p>
        </w:tc>
        <w:tc>
          <w:tcPr>
            <w:tcW w:w="8505" w:type="dxa"/>
            <w:gridSpan w:val="2"/>
          </w:tcPr>
          <w:p w14:paraId="036CE092" w14:textId="507AF0F9" w:rsidR="007B4C0F" w:rsidRPr="00AE5356" w:rsidRDefault="00D9338E" w:rsidP="007F6CD4">
            <w:pPr>
              <w:pStyle w:val="NormalWeb"/>
              <w:spacing w:before="0" w:beforeAutospacing="0" w:after="0" w:afterAutospacing="0"/>
            </w:pPr>
            <w:r w:rsidRPr="00AE5356">
              <w:rPr>
                <w:shd w:val="clear" w:color="auto" w:fill="FFFFFF"/>
              </w:rPr>
              <w:t xml:space="preserve">Tieslietu ministrija, </w:t>
            </w:r>
            <w:r w:rsidR="007F6CD4">
              <w:rPr>
                <w:shd w:val="clear" w:color="auto" w:fill="FFFFFF"/>
              </w:rPr>
              <w:t xml:space="preserve">Ārlietu ministrija, </w:t>
            </w:r>
            <w:r w:rsidRPr="00AE5356">
              <w:rPr>
                <w:shd w:val="clear" w:color="auto" w:fill="FFFFFF"/>
              </w:rPr>
              <w:t>Ekonomikas ministrija</w:t>
            </w:r>
            <w:r w:rsidR="00F67C2D" w:rsidRPr="00AE5356">
              <w:rPr>
                <w:shd w:val="clear" w:color="auto" w:fill="FFFFFF"/>
              </w:rPr>
              <w:t xml:space="preserve">, </w:t>
            </w:r>
            <w:r w:rsidR="007F6CD4">
              <w:rPr>
                <w:shd w:val="clear" w:color="auto" w:fill="FFFFFF"/>
              </w:rPr>
              <w:t xml:space="preserve">Iekšlietu ministrija, </w:t>
            </w:r>
            <w:r w:rsidR="00F67C2D" w:rsidRPr="00AE5356">
              <w:rPr>
                <w:shd w:val="clear" w:color="auto" w:fill="FFFFFF"/>
              </w:rPr>
              <w:t>Satiksmes ministrija</w:t>
            </w:r>
            <w:r w:rsidR="00445A2A" w:rsidRPr="00AE5356">
              <w:rPr>
                <w:shd w:val="clear" w:color="auto" w:fill="FFFFFF"/>
              </w:rPr>
              <w:t xml:space="preserve">, </w:t>
            </w:r>
            <w:r w:rsidR="007F6CD4">
              <w:rPr>
                <w:shd w:val="clear" w:color="auto" w:fill="FFFFFF"/>
              </w:rPr>
              <w:t xml:space="preserve">Izglītības un Zinātnes ministrija, </w:t>
            </w:r>
            <w:r w:rsidR="00445A2A" w:rsidRPr="00AE5356">
              <w:rPr>
                <w:shd w:val="clear" w:color="auto" w:fill="FFFFFF"/>
              </w:rPr>
              <w:t xml:space="preserve">Vides aizsardzības un </w:t>
            </w:r>
            <w:r w:rsidRPr="00AE5356">
              <w:rPr>
                <w:shd w:val="clear" w:color="auto" w:fill="FFFFFF"/>
              </w:rPr>
              <w:t>reģionālās attīstības ministrija</w:t>
            </w:r>
            <w:r w:rsidR="00445A2A" w:rsidRPr="00AE5356">
              <w:rPr>
                <w:shd w:val="clear" w:color="auto" w:fill="FFFFFF"/>
              </w:rPr>
              <w:t>, Z</w:t>
            </w:r>
            <w:r w:rsidRPr="00AE5356">
              <w:rPr>
                <w:shd w:val="clear" w:color="auto" w:fill="FFFFFF"/>
              </w:rPr>
              <w:t xml:space="preserve">emkopības ministrija, </w:t>
            </w:r>
            <w:r w:rsidR="007F6CD4">
              <w:rPr>
                <w:shd w:val="clear" w:color="auto" w:fill="FFFFFF"/>
              </w:rPr>
              <w:t xml:space="preserve">Labklājības ministrija, Veselības ministrija, </w:t>
            </w:r>
            <w:r w:rsidRPr="00AE5356">
              <w:rPr>
                <w:shd w:val="clear" w:color="auto" w:fill="FFFFFF"/>
              </w:rPr>
              <w:t>Pārresoru koordinācijas centrs</w:t>
            </w:r>
            <w:r w:rsidR="00445A2A" w:rsidRPr="00AE5356">
              <w:rPr>
                <w:shd w:val="clear" w:color="auto" w:fill="FFFFFF"/>
              </w:rPr>
              <w:t>, Valsts kan</w:t>
            </w:r>
            <w:r w:rsidR="00F67C2D" w:rsidRPr="00AE5356">
              <w:rPr>
                <w:shd w:val="clear" w:color="auto" w:fill="FFFFFF"/>
              </w:rPr>
              <w:t>celeja</w:t>
            </w:r>
            <w:r w:rsidR="00445A2A" w:rsidRPr="00AE5356">
              <w:rPr>
                <w:shd w:val="clear" w:color="auto" w:fill="FFFFFF"/>
              </w:rPr>
              <w:t>, Latvi</w:t>
            </w:r>
            <w:r w:rsidRPr="00AE5356">
              <w:rPr>
                <w:shd w:val="clear" w:color="auto" w:fill="FFFFFF"/>
              </w:rPr>
              <w:t xml:space="preserve">jas Brīvo arodbiedrību savienība, </w:t>
            </w:r>
            <w:r w:rsidR="00445A2A" w:rsidRPr="00AE5356">
              <w:rPr>
                <w:shd w:val="clear" w:color="auto" w:fill="FFFFFF"/>
              </w:rPr>
              <w:t>Latvijas Darba devēju konfederācij</w:t>
            </w:r>
            <w:r w:rsidRPr="00AE5356">
              <w:rPr>
                <w:shd w:val="clear" w:color="auto" w:fill="FFFFFF"/>
              </w:rPr>
              <w:t>a</w:t>
            </w:r>
            <w:r w:rsidR="00695DFE" w:rsidRPr="00AE5356">
              <w:rPr>
                <w:shd w:val="clear" w:color="auto" w:fill="FFFFFF"/>
              </w:rPr>
              <w:t xml:space="preserve">, </w:t>
            </w:r>
            <w:r w:rsidR="007F6CD4">
              <w:rPr>
                <w:shd w:val="clear" w:color="auto" w:fill="FFFFFF"/>
              </w:rPr>
              <w:t>Latvijas pašvaldību savienība.</w:t>
            </w:r>
          </w:p>
        </w:tc>
      </w:tr>
      <w:tr w:rsidR="007B4C0F" w:rsidRPr="00AE5356" w14:paraId="6825C8BF" w14:textId="77777777" w:rsidTr="00D9338E">
        <w:tc>
          <w:tcPr>
            <w:tcW w:w="5920" w:type="dxa"/>
          </w:tcPr>
          <w:p w14:paraId="4D17554C" w14:textId="77777777" w:rsidR="007B4C0F" w:rsidRPr="00AE5356" w:rsidRDefault="007B4C0F" w:rsidP="00AE5356">
            <w:pPr>
              <w:pStyle w:val="naiskr"/>
              <w:spacing w:before="0" w:after="0"/>
              <w:ind w:firstLine="720"/>
            </w:pPr>
            <w:r w:rsidRPr="00AE5356">
              <w:t>  </w:t>
            </w:r>
          </w:p>
        </w:tc>
        <w:tc>
          <w:tcPr>
            <w:tcW w:w="8505" w:type="dxa"/>
            <w:gridSpan w:val="2"/>
            <w:tcBorders>
              <w:top w:val="single" w:sz="6" w:space="0" w:color="000000"/>
              <w:bottom w:val="single" w:sz="6" w:space="0" w:color="000000"/>
            </w:tcBorders>
          </w:tcPr>
          <w:p w14:paraId="0DACC8E6" w14:textId="6FD39806" w:rsidR="007B4C0F" w:rsidRPr="00AE5356" w:rsidRDefault="00D9338E" w:rsidP="00140BF9">
            <w:pPr>
              <w:pStyle w:val="naiskr"/>
              <w:spacing w:before="0" w:after="0"/>
            </w:pPr>
            <w:r w:rsidRPr="00AE5356">
              <w:rPr>
                <w:shd w:val="clear" w:color="auto" w:fill="FFFFFF"/>
              </w:rPr>
              <w:t xml:space="preserve">Latvijas Banka, </w:t>
            </w:r>
            <w:r w:rsidR="00F67C2D" w:rsidRPr="00AE5356">
              <w:rPr>
                <w:shd w:val="clear" w:color="auto" w:fill="FFFFFF"/>
              </w:rPr>
              <w:t>Finanšu izlūkošanas dienests</w:t>
            </w:r>
            <w:r w:rsidRPr="00AE5356">
              <w:rPr>
                <w:shd w:val="clear" w:color="auto" w:fill="FFFFFF"/>
              </w:rPr>
              <w:t xml:space="preserve">, </w:t>
            </w:r>
            <w:r w:rsidR="00140BF9">
              <w:rPr>
                <w:shd w:val="clear" w:color="auto" w:fill="FFFFFF"/>
              </w:rPr>
              <w:t xml:space="preserve">Latvijas finanšu nozares asociācija, </w:t>
            </w:r>
            <w:r w:rsidRPr="00AE5356">
              <w:rPr>
                <w:shd w:val="clear" w:color="auto" w:fill="FFFFFF"/>
              </w:rPr>
              <w:t>Lat</w:t>
            </w:r>
            <w:r w:rsidR="00F67C2D" w:rsidRPr="00AE5356">
              <w:rPr>
                <w:shd w:val="clear" w:color="auto" w:fill="FFFFFF"/>
              </w:rPr>
              <w:t>vijas apdrošinātāju asociācija</w:t>
            </w:r>
            <w:r w:rsidRPr="00AE5356">
              <w:rPr>
                <w:shd w:val="clear" w:color="auto" w:fill="FFFFFF"/>
              </w:rPr>
              <w:t xml:space="preserve">, </w:t>
            </w:r>
            <w:r w:rsidR="00140BF9">
              <w:rPr>
                <w:shd w:val="clear" w:color="auto" w:fill="FFFFFF"/>
              </w:rPr>
              <w:t xml:space="preserve">Finanšu un kapitāla tirgus komisija, </w:t>
            </w:r>
            <w:r w:rsidRPr="00AE5356">
              <w:rPr>
                <w:shd w:val="clear" w:color="auto" w:fill="FFFFFF"/>
              </w:rPr>
              <w:t>Latvijas Maksājumu pakalpojumu un elektroni</w:t>
            </w:r>
            <w:r w:rsidR="00F67C2D" w:rsidRPr="00AE5356">
              <w:rPr>
                <w:shd w:val="clear" w:color="auto" w:fill="FFFFFF"/>
              </w:rPr>
              <w:t>skās naudas iestāžu asociācija</w:t>
            </w:r>
            <w:r w:rsidRPr="00AE5356">
              <w:rPr>
                <w:shd w:val="clear" w:color="auto" w:fill="FFFFFF"/>
              </w:rPr>
              <w:t xml:space="preserve">, </w:t>
            </w:r>
            <w:r w:rsidR="00140BF9">
              <w:rPr>
                <w:shd w:val="clear" w:color="auto" w:fill="FFFFFF"/>
              </w:rPr>
              <w:t>Valsts policija, Attīstības finanšu institūcija ALTUM, akciju sabiedrība ‘’Nasdaq Riga’’, Patērētāju tiesību aizsardzības centrs, Latvijas investīciju un attīstības aģentūra, Latvijas privātā un riska kapitāla asociācija, Latvijas start-up uzņēmumu asociācija.</w:t>
            </w:r>
          </w:p>
        </w:tc>
      </w:tr>
      <w:tr w:rsidR="000D0AED" w:rsidRPr="00AE5356" w14:paraId="0E27B00A" w14:textId="77777777" w:rsidTr="00D9338E">
        <w:trPr>
          <w:trHeight w:val="285"/>
        </w:trPr>
        <w:tc>
          <w:tcPr>
            <w:tcW w:w="5920" w:type="dxa"/>
          </w:tcPr>
          <w:p w14:paraId="60061E4C" w14:textId="77777777" w:rsidR="000D0AED" w:rsidRPr="00AE5356" w:rsidRDefault="000D0AED" w:rsidP="00AE5356">
            <w:pPr>
              <w:pStyle w:val="naiskr"/>
              <w:spacing w:before="0" w:after="0"/>
            </w:pPr>
          </w:p>
        </w:tc>
        <w:tc>
          <w:tcPr>
            <w:tcW w:w="1203" w:type="dxa"/>
          </w:tcPr>
          <w:p w14:paraId="44EAFD9C" w14:textId="77777777" w:rsidR="000D0AED" w:rsidRPr="00AE5356" w:rsidRDefault="000D0AED" w:rsidP="00AE5356">
            <w:pPr>
              <w:pStyle w:val="naiskr"/>
              <w:spacing w:before="0" w:after="0"/>
              <w:ind w:firstLine="720"/>
            </w:pPr>
          </w:p>
        </w:tc>
        <w:tc>
          <w:tcPr>
            <w:tcW w:w="7302" w:type="dxa"/>
          </w:tcPr>
          <w:p w14:paraId="4B94D5A5" w14:textId="77777777" w:rsidR="000D0AED" w:rsidRPr="00AE5356" w:rsidRDefault="000D0AED" w:rsidP="00AE5356">
            <w:pPr>
              <w:pStyle w:val="naiskr"/>
              <w:spacing w:before="0" w:after="0"/>
              <w:ind w:firstLine="12"/>
            </w:pPr>
          </w:p>
        </w:tc>
      </w:tr>
    </w:tbl>
    <w:p w14:paraId="3DEEC669" w14:textId="77777777" w:rsidR="008A36C9" w:rsidRPr="00AE5356" w:rsidRDefault="008A36C9" w:rsidP="00AE5356"/>
    <w:tbl>
      <w:tblPr>
        <w:tblW w:w="14425" w:type="dxa"/>
        <w:tblLook w:val="00A0" w:firstRow="1" w:lastRow="0" w:firstColumn="1" w:lastColumn="0" w:noHBand="0" w:noVBand="0"/>
      </w:tblPr>
      <w:tblGrid>
        <w:gridCol w:w="5920"/>
        <w:gridCol w:w="8505"/>
      </w:tblGrid>
      <w:tr w:rsidR="00D9338E" w:rsidRPr="00AE5356" w14:paraId="24BEF473" w14:textId="77777777" w:rsidTr="00D9338E">
        <w:trPr>
          <w:trHeight w:val="285"/>
        </w:trPr>
        <w:tc>
          <w:tcPr>
            <w:tcW w:w="5920" w:type="dxa"/>
          </w:tcPr>
          <w:p w14:paraId="180470DE" w14:textId="77777777" w:rsidR="00D9338E" w:rsidRPr="00AE5356" w:rsidRDefault="00D9338E" w:rsidP="00AE5356">
            <w:pPr>
              <w:pStyle w:val="naiskr"/>
              <w:spacing w:before="0" w:after="0"/>
            </w:pPr>
            <w:r w:rsidRPr="00AE5356">
              <w:t>Saskaņošanas dalībnieki izskatīja šādu ministriju (citu institūciju) iebildumus</w:t>
            </w:r>
          </w:p>
        </w:tc>
        <w:tc>
          <w:tcPr>
            <w:tcW w:w="8505" w:type="dxa"/>
          </w:tcPr>
          <w:p w14:paraId="3BFD3430" w14:textId="1D0ACD73" w:rsidR="00D9338E" w:rsidRPr="00AE5356" w:rsidRDefault="00D9338E" w:rsidP="009B23D5">
            <w:pPr>
              <w:pStyle w:val="naiskr"/>
              <w:spacing w:before="0" w:after="0"/>
              <w:ind w:firstLine="12"/>
            </w:pPr>
            <w:r w:rsidRPr="00AE5356">
              <w:rPr>
                <w:szCs w:val="26"/>
              </w:rPr>
              <w:t>Ekonomikas ministrija</w:t>
            </w:r>
            <w:r w:rsidR="00F67C2D" w:rsidRPr="00AE5356">
              <w:rPr>
                <w:szCs w:val="26"/>
              </w:rPr>
              <w:t>, Latvijas Banka, Aizsardzības ministrija</w:t>
            </w:r>
            <w:r w:rsidR="009B23D5">
              <w:rPr>
                <w:szCs w:val="26"/>
              </w:rPr>
              <w:t>, Finanšu izlūkošanas dienests</w:t>
            </w:r>
            <w:r w:rsidR="00F67C2D" w:rsidRPr="00AE5356">
              <w:rPr>
                <w:shd w:val="clear" w:color="auto" w:fill="FFFFFF"/>
              </w:rPr>
              <w:t>, Latvijas privātā un riska kapitāla asociācija, Tieslietu ministrija, Finanšu un kapitāla tirgus komisija, Latvijas apdrošinātāju asoci</w:t>
            </w:r>
            <w:r w:rsidR="00EA4CC3" w:rsidRPr="00AE5356">
              <w:rPr>
                <w:shd w:val="clear" w:color="auto" w:fill="FFFFFF"/>
              </w:rPr>
              <w:t>ācija, Latv</w:t>
            </w:r>
            <w:r w:rsidR="00F62C0E" w:rsidRPr="00AE5356">
              <w:rPr>
                <w:shd w:val="clear" w:color="auto" w:fill="FFFFFF"/>
              </w:rPr>
              <w:t>ijas finanšu nozares asociācija, Ārlietu ministrija, Vides aizsardzības un reģionālās attīstības mi</w:t>
            </w:r>
            <w:r w:rsidR="009B23D5">
              <w:rPr>
                <w:shd w:val="clear" w:color="auto" w:fill="FFFFFF"/>
              </w:rPr>
              <w:t>nistrija, Iekšlietu ministrija</w:t>
            </w:r>
            <w:r w:rsidR="00486B44">
              <w:rPr>
                <w:shd w:val="clear" w:color="auto" w:fill="FFFFFF"/>
              </w:rPr>
              <w:t>, Valsts Kanceleja, akciju sabiedrība ‘’Nasdaq Riga’’.</w:t>
            </w:r>
          </w:p>
        </w:tc>
      </w:tr>
      <w:tr w:rsidR="00D9338E" w:rsidRPr="00AE5356" w14:paraId="63D9C952" w14:textId="77777777" w:rsidTr="00D9338E">
        <w:trPr>
          <w:gridAfter w:val="1"/>
          <w:wAfter w:w="8505" w:type="dxa"/>
          <w:trHeight w:val="465"/>
        </w:trPr>
        <w:tc>
          <w:tcPr>
            <w:tcW w:w="5920" w:type="dxa"/>
          </w:tcPr>
          <w:p w14:paraId="68FA2DFE" w14:textId="77777777" w:rsidR="00D9338E" w:rsidRPr="00AE5356" w:rsidRDefault="00D9338E" w:rsidP="00AE5356">
            <w:pPr>
              <w:pStyle w:val="naiskr"/>
              <w:spacing w:before="0" w:after="0"/>
              <w:ind w:firstLine="720"/>
            </w:pPr>
            <w:r w:rsidRPr="00AE5356">
              <w:lastRenderedPageBreak/>
              <w:t>  </w:t>
            </w:r>
          </w:p>
        </w:tc>
      </w:tr>
    </w:tbl>
    <w:p w14:paraId="3656B9AB" w14:textId="77777777" w:rsidR="00683081" w:rsidRPr="00AE5356" w:rsidRDefault="00683081" w:rsidP="00AE5356">
      <w:pPr>
        <w:pStyle w:val="naisf"/>
        <w:spacing w:before="0" w:after="0"/>
        <w:ind w:firstLine="720"/>
      </w:pPr>
    </w:p>
    <w:p w14:paraId="45FB0818" w14:textId="77777777" w:rsidR="00C1478A" w:rsidRPr="00AE5356" w:rsidRDefault="00C1478A" w:rsidP="00AE5356">
      <w:pPr>
        <w:pStyle w:val="naisf"/>
        <w:spacing w:before="0" w:after="0"/>
        <w:ind w:firstLine="0"/>
        <w:jc w:val="center"/>
        <w:rPr>
          <w:b/>
        </w:rPr>
      </w:pPr>
    </w:p>
    <w:p w14:paraId="11D5340B" w14:textId="77777777" w:rsidR="007B4C0F" w:rsidRPr="00AE5356" w:rsidRDefault="007B4C0F" w:rsidP="00AE5356">
      <w:pPr>
        <w:pStyle w:val="naisf"/>
        <w:spacing w:before="0" w:after="0"/>
        <w:ind w:firstLine="0"/>
        <w:jc w:val="center"/>
        <w:rPr>
          <w:b/>
        </w:rPr>
      </w:pPr>
      <w:r w:rsidRPr="00AE5356">
        <w:rPr>
          <w:b/>
        </w:rPr>
        <w:t>II. </w:t>
      </w:r>
      <w:r w:rsidR="00134188" w:rsidRPr="00AE5356">
        <w:rPr>
          <w:b/>
        </w:rPr>
        <w:t>Jautājumi, par kuriem saskaņošanā vienošan</w:t>
      </w:r>
      <w:r w:rsidR="00144622" w:rsidRPr="00AE5356">
        <w:rPr>
          <w:b/>
        </w:rPr>
        <w:t>ā</w:t>
      </w:r>
      <w:r w:rsidR="00134188" w:rsidRPr="00AE5356">
        <w:rPr>
          <w:b/>
        </w:rPr>
        <w:t>s ir panākta</w:t>
      </w:r>
    </w:p>
    <w:p w14:paraId="049F31CB" w14:textId="77777777" w:rsidR="007B4C0F" w:rsidRPr="00AE5356" w:rsidRDefault="007B4C0F" w:rsidP="00AE5356">
      <w:pPr>
        <w:pStyle w:val="naisf"/>
        <w:spacing w:before="0" w:after="0"/>
        <w:ind w:firstLine="720"/>
      </w:pPr>
    </w:p>
    <w:tbl>
      <w:tblPr>
        <w:tblW w:w="1480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4"/>
        <w:gridCol w:w="2661"/>
        <w:gridCol w:w="4751"/>
        <w:gridCol w:w="68"/>
        <w:gridCol w:w="2835"/>
        <w:gridCol w:w="3544"/>
      </w:tblGrid>
      <w:tr w:rsidR="00134188" w:rsidRPr="00AE5356" w14:paraId="485BFFB8" w14:textId="77777777" w:rsidTr="000E70CD">
        <w:tc>
          <w:tcPr>
            <w:tcW w:w="94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6E062B" w14:textId="77777777" w:rsidR="00134188" w:rsidRPr="00AE5356" w:rsidRDefault="00134188" w:rsidP="00AE5356">
            <w:pPr>
              <w:pStyle w:val="naisc"/>
              <w:spacing w:before="0" w:after="0"/>
              <w:jc w:val="left"/>
            </w:pPr>
            <w:r w:rsidRPr="00AE5356">
              <w:t>Nr. p.</w:t>
            </w:r>
            <w:r w:rsidR="00D64FB0" w:rsidRPr="00AE5356">
              <w:t> </w:t>
            </w:r>
            <w:r w:rsidRPr="00AE5356">
              <w:t>k.</w:t>
            </w:r>
          </w:p>
        </w:tc>
        <w:tc>
          <w:tcPr>
            <w:tcW w:w="26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F908DB" w14:textId="77777777" w:rsidR="00134188" w:rsidRPr="00AE5356" w:rsidRDefault="00134188" w:rsidP="00AE5356">
            <w:pPr>
              <w:pStyle w:val="naisc"/>
              <w:spacing w:before="0" w:after="0"/>
              <w:ind w:firstLine="12"/>
            </w:pPr>
            <w:r w:rsidRPr="00AE5356">
              <w:t>Saskaņošanai nosūtītā projekta redakcija (konkrēta punkta (panta) redakcija)</w:t>
            </w:r>
          </w:p>
        </w:tc>
        <w:tc>
          <w:tcPr>
            <w:tcW w:w="48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1B6719" w14:textId="77777777" w:rsidR="00134188" w:rsidRPr="00AE5356" w:rsidRDefault="00134188" w:rsidP="00AE5356">
            <w:pPr>
              <w:pStyle w:val="naisc"/>
              <w:spacing w:before="0" w:after="0"/>
              <w:ind w:right="3"/>
            </w:pPr>
            <w:r w:rsidRPr="00AE5356">
              <w:t>Atzinumā norādītais ministrijas (citas institūcijas) iebildums, kā arī saskaņošanā papildus izteiktais iebildums par projekta konkrēto punktu (pantu)</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2E79" w14:textId="77777777" w:rsidR="00134188" w:rsidRPr="00AE5356" w:rsidRDefault="00134188" w:rsidP="00AE5356">
            <w:pPr>
              <w:pStyle w:val="naisc"/>
              <w:spacing w:before="0" w:after="0"/>
              <w:ind w:firstLine="21"/>
            </w:pPr>
            <w:r w:rsidRPr="00AE5356">
              <w:t>Atbildīgās ministrijas norāde</w:t>
            </w:r>
            <w:r w:rsidR="006C1C48" w:rsidRPr="00AE5356">
              <w:t xml:space="preserve"> par to, ka </w:t>
            </w:r>
            <w:r w:rsidRPr="00AE5356">
              <w:t>iebildums ir ņemts vērā</w:t>
            </w:r>
            <w:r w:rsidR="006455E7" w:rsidRPr="00AE5356">
              <w:t>,</w:t>
            </w:r>
            <w:r w:rsidRPr="00AE5356">
              <w:t xml:space="preserve"> vai </w:t>
            </w:r>
            <w:r w:rsidR="006C1C48" w:rsidRPr="00AE5356">
              <w:t xml:space="preserve">informācija par saskaņošanā </w:t>
            </w:r>
            <w:r w:rsidR="00022B0F" w:rsidRPr="00AE5356">
              <w:t>panākto alternatīvo risinājumu</w:t>
            </w:r>
          </w:p>
        </w:tc>
        <w:tc>
          <w:tcPr>
            <w:tcW w:w="3544" w:type="dxa"/>
            <w:tcBorders>
              <w:top w:val="single" w:sz="4" w:space="0" w:color="auto"/>
              <w:left w:val="single" w:sz="4" w:space="0" w:color="auto"/>
              <w:bottom w:val="single" w:sz="4" w:space="0" w:color="auto"/>
            </w:tcBorders>
            <w:vAlign w:val="center"/>
          </w:tcPr>
          <w:p w14:paraId="4CC5DC20" w14:textId="77777777" w:rsidR="00134188" w:rsidRPr="00AE5356" w:rsidRDefault="00134188" w:rsidP="00AE5356">
            <w:pPr>
              <w:jc w:val="center"/>
            </w:pPr>
            <w:r w:rsidRPr="00AE5356">
              <w:t>Projekta attiecīgā punkta (panta) galīgā redakcija</w:t>
            </w:r>
          </w:p>
        </w:tc>
      </w:tr>
      <w:tr w:rsidR="00134188" w:rsidRPr="00AE5356" w14:paraId="6A72B572" w14:textId="77777777" w:rsidTr="000E70CD">
        <w:tc>
          <w:tcPr>
            <w:tcW w:w="9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35CBF0" w14:textId="13B98D66" w:rsidR="00134188" w:rsidRPr="00AE5356" w:rsidRDefault="00134188" w:rsidP="00AE5356">
            <w:pPr>
              <w:pStyle w:val="naisc"/>
              <w:numPr>
                <w:ilvl w:val="0"/>
                <w:numId w:val="19"/>
              </w:numPr>
              <w:spacing w:before="0" w:after="0"/>
              <w:jc w:val="left"/>
            </w:pPr>
          </w:p>
        </w:tc>
        <w:tc>
          <w:tcPr>
            <w:tcW w:w="26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13C88F" w14:textId="77777777" w:rsidR="00134188" w:rsidRPr="00AE5356" w:rsidRDefault="00F410FE" w:rsidP="00AE5356">
            <w:pPr>
              <w:pStyle w:val="naisc"/>
              <w:spacing w:before="0" w:after="0"/>
              <w:jc w:val="left"/>
              <w:rPr>
                <w:sz w:val="20"/>
                <w:szCs w:val="20"/>
              </w:rPr>
            </w:pPr>
            <w:r w:rsidRPr="00AE5356">
              <w:rPr>
                <w:sz w:val="20"/>
                <w:szCs w:val="20"/>
              </w:rPr>
              <w:t>Finanšu sektora attīstības plāns 2021. - 2023. gadam</w:t>
            </w:r>
          </w:p>
        </w:tc>
        <w:tc>
          <w:tcPr>
            <w:tcW w:w="48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128261" w14:textId="77777777" w:rsidR="00134188" w:rsidRPr="00AE5356" w:rsidRDefault="00134188" w:rsidP="00AE5356">
            <w:pPr>
              <w:pStyle w:val="naisc"/>
              <w:spacing w:before="0" w:after="0"/>
              <w:jc w:val="both"/>
            </w:pP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486C05" w14:textId="77777777" w:rsidR="00134188" w:rsidRPr="00AE5356" w:rsidRDefault="00134188" w:rsidP="00AE5356">
            <w:pPr>
              <w:pStyle w:val="naisc"/>
              <w:spacing w:before="0" w:after="0"/>
              <w:ind w:firstLine="33"/>
              <w:jc w:val="both"/>
            </w:pPr>
          </w:p>
        </w:tc>
        <w:tc>
          <w:tcPr>
            <w:tcW w:w="3544" w:type="dxa"/>
            <w:tcBorders>
              <w:top w:val="single" w:sz="4" w:space="0" w:color="auto"/>
              <w:left w:val="single" w:sz="4" w:space="0" w:color="auto"/>
              <w:bottom w:val="single" w:sz="4" w:space="0" w:color="auto"/>
            </w:tcBorders>
          </w:tcPr>
          <w:p w14:paraId="4101652C" w14:textId="77777777" w:rsidR="00134188" w:rsidRPr="00AE5356" w:rsidRDefault="00134188" w:rsidP="00AE5356">
            <w:pPr>
              <w:jc w:val="both"/>
              <w:rPr>
                <w:sz w:val="20"/>
                <w:szCs w:val="20"/>
              </w:rPr>
            </w:pPr>
          </w:p>
        </w:tc>
      </w:tr>
      <w:tr w:rsidR="00134188" w:rsidRPr="00AE5356" w14:paraId="13947825" w14:textId="77777777" w:rsidTr="000E70CD">
        <w:tc>
          <w:tcPr>
            <w:tcW w:w="944" w:type="dxa"/>
            <w:tcBorders>
              <w:left w:val="single" w:sz="6" w:space="0" w:color="000000" w:themeColor="text1"/>
              <w:bottom w:val="single" w:sz="4" w:space="0" w:color="auto"/>
              <w:right w:val="single" w:sz="6" w:space="0" w:color="000000" w:themeColor="text1"/>
            </w:tcBorders>
          </w:tcPr>
          <w:p w14:paraId="47886996" w14:textId="507243D7" w:rsidR="00134188" w:rsidRPr="00AE5356" w:rsidRDefault="00134188" w:rsidP="00AE5356">
            <w:pPr>
              <w:pStyle w:val="naisc"/>
              <w:numPr>
                <w:ilvl w:val="0"/>
                <w:numId w:val="19"/>
              </w:numPr>
              <w:spacing w:before="0" w:after="0"/>
              <w:ind w:right="49"/>
              <w:jc w:val="left"/>
            </w:pPr>
          </w:p>
        </w:tc>
        <w:tc>
          <w:tcPr>
            <w:tcW w:w="2661" w:type="dxa"/>
            <w:tcBorders>
              <w:left w:val="single" w:sz="6" w:space="0" w:color="000000" w:themeColor="text1"/>
              <w:bottom w:val="single" w:sz="4" w:space="0" w:color="auto"/>
              <w:right w:val="single" w:sz="6" w:space="0" w:color="000000" w:themeColor="text1"/>
            </w:tcBorders>
          </w:tcPr>
          <w:p w14:paraId="4B99056E" w14:textId="77777777" w:rsidR="00134188" w:rsidRPr="00AE5356" w:rsidRDefault="00134188" w:rsidP="00AE5356"/>
        </w:tc>
        <w:tc>
          <w:tcPr>
            <w:tcW w:w="4819" w:type="dxa"/>
            <w:gridSpan w:val="2"/>
            <w:tcBorders>
              <w:left w:val="single" w:sz="6" w:space="0" w:color="000000" w:themeColor="text1"/>
              <w:bottom w:val="single" w:sz="4" w:space="0" w:color="auto"/>
              <w:right w:val="single" w:sz="6" w:space="0" w:color="000000" w:themeColor="text1"/>
            </w:tcBorders>
          </w:tcPr>
          <w:p w14:paraId="5A539CC1" w14:textId="77777777" w:rsidR="00F410FE" w:rsidRPr="00DF40F2" w:rsidRDefault="00F410FE" w:rsidP="00AE5356">
            <w:pPr>
              <w:pStyle w:val="naisc"/>
              <w:spacing w:before="0" w:after="0"/>
              <w:ind w:left="34"/>
              <w:jc w:val="both"/>
              <w:rPr>
                <w:b/>
                <w:u w:val="single"/>
              </w:rPr>
            </w:pPr>
            <w:r w:rsidRPr="00DF40F2">
              <w:rPr>
                <w:b/>
                <w:u w:val="single"/>
              </w:rPr>
              <w:t>Ekonomikas ministrija:</w:t>
            </w:r>
          </w:p>
          <w:p w14:paraId="5879DDAE" w14:textId="77777777" w:rsidR="00134188" w:rsidRPr="00DF40F2" w:rsidRDefault="00F410FE" w:rsidP="00AE5356">
            <w:pPr>
              <w:pStyle w:val="naisc"/>
              <w:spacing w:before="0" w:after="0"/>
              <w:ind w:left="34"/>
              <w:jc w:val="both"/>
            </w:pPr>
            <w:r w:rsidRPr="00DF40F2">
              <w:t>Lūdzam precizēt, ka 2020.gadā ir uzsākta valsts atbalsta programma mazo un vidējo uzņēmumu kotācijai biržā, un pirmajā kārtā atbalsta saņemšanai pieteikušies deviņi uzņēmumi, no kuriem atbalstīti tikai 4 projekti.</w:t>
            </w:r>
          </w:p>
        </w:tc>
        <w:tc>
          <w:tcPr>
            <w:tcW w:w="2835" w:type="dxa"/>
            <w:tcBorders>
              <w:left w:val="single" w:sz="6" w:space="0" w:color="000000" w:themeColor="text1"/>
              <w:bottom w:val="single" w:sz="4" w:space="0" w:color="auto"/>
              <w:right w:val="single" w:sz="6" w:space="0" w:color="000000" w:themeColor="text1"/>
            </w:tcBorders>
          </w:tcPr>
          <w:p w14:paraId="1299C43A" w14:textId="2549E4A9" w:rsidR="00134188" w:rsidRPr="00AE5356" w:rsidRDefault="00ED2472" w:rsidP="00AE5356">
            <w:pPr>
              <w:pStyle w:val="naisc"/>
              <w:spacing w:before="0" w:after="0"/>
              <w:ind w:firstLine="33"/>
              <w:jc w:val="both"/>
            </w:pPr>
            <w:r>
              <w:t>Ņ</w:t>
            </w:r>
            <w:r w:rsidR="00B62B9A" w:rsidRPr="003001E9">
              <w:t>emts</w:t>
            </w:r>
            <w:r w:rsidR="00B62B9A" w:rsidRPr="00AE5356">
              <w:t xml:space="preserve"> vērā.</w:t>
            </w:r>
          </w:p>
        </w:tc>
        <w:tc>
          <w:tcPr>
            <w:tcW w:w="3544" w:type="dxa"/>
            <w:tcBorders>
              <w:top w:val="single" w:sz="4" w:space="0" w:color="auto"/>
              <w:left w:val="single" w:sz="4" w:space="0" w:color="auto"/>
              <w:bottom w:val="single" w:sz="4" w:space="0" w:color="auto"/>
            </w:tcBorders>
          </w:tcPr>
          <w:p w14:paraId="4DDBEF00" w14:textId="75682AAB" w:rsidR="00134188" w:rsidRPr="00AE5356" w:rsidRDefault="00ED2472" w:rsidP="00AE5356">
            <w:pPr>
              <w:jc w:val="both"/>
            </w:pPr>
            <w:r>
              <w:t>Finanšu sektora attīstības plāns precizēts atbilstoši izteiktajam iebildumam.</w:t>
            </w:r>
          </w:p>
        </w:tc>
      </w:tr>
      <w:tr w:rsidR="003B71E0" w:rsidRPr="00AE5356" w14:paraId="05D72C5C" w14:textId="77777777" w:rsidTr="000E70CD">
        <w:tc>
          <w:tcPr>
            <w:tcW w:w="944" w:type="dxa"/>
            <w:tcBorders>
              <w:left w:val="single" w:sz="6" w:space="0" w:color="000000" w:themeColor="text1"/>
              <w:bottom w:val="single" w:sz="4" w:space="0" w:color="auto"/>
              <w:right w:val="single" w:sz="6" w:space="0" w:color="000000" w:themeColor="text1"/>
            </w:tcBorders>
          </w:tcPr>
          <w:p w14:paraId="1F75A9DD" w14:textId="4AA17B60" w:rsidR="003B71E0" w:rsidRPr="00AE5356" w:rsidRDefault="003B71E0"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3461D779" w14:textId="77777777" w:rsidR="003B71E0" w:rsidRPr="00AE5356" w:rsidRDefault="003B71E0" w:rsidP="00AE5356">
            <w:pPr>
              <w:pStyle w:val="naisc"/>
              <w:spacing w:before="0" w:after="0"/>
              <w:ind w:firstLine="720"/>
            </w:pPr>
          </w:p>
        </w:tc>
        <w:tc>
          <w:tcPr>
            <w:tcW w:w="4819" w:type="dxa"/>
            <w:gridSpan w:val="2"/>
            <w:tcBorders>
              <w:left w:val="single" w:sz="6" w:space="0" w:color="000000" w:themeColor="text1"/>
              <w:bottom w:val="single" w:sz="4" w:space="0" w:color="auto"/>
              <w:right w:val="single" w:sz="6" w:space="0" w:color="000000" w:themeColor="text1"/>
            </w:tcBorders>
          </w:tcPr>
          <w:p w14:paraId="457E48C1" w14:textId="77777777" w:rsidR="003B71E0" w:rsidRPr="003415D1" w:rsidRDefault="00F410FE" w:rsidP="00AE5356">
            <w:pPr>
              <w:pStyle w:val="naisc"/>
              <w:spacing w:before="0" w:after="0"/>
              <w:ind w:left="34"/>
              <w:jc w:val="both"/>
            </w:pPr>
            <w:r w:rsidRPr="003415D1">
              <w:t>Lūdzam 1.2.2.uzdevuma termiņu noteikt 30.06.2022., ņemot vērā, ka atbalsta programma tiks izstrādāta jaunā darbības perioda ietvaros (šobrīd vēl tiek skaņots DP 2021-2027 perioda plānošanas dokuments, pēc kura tiks uzsākts darbs pie MK noteikumu projekti, atbilstoši prioritātēm)</w:t>
            </w:r>
          </w:p>
        </w:tc>
        <w:tc>
          <w:tcPr>
            <w:tcW w:w="2835" w:type="dxa"/>
            <w:tcBorders>
              <w:left w:val="single" w:sz="6" w:space="0" w:color="000000" w:themeColor="text1"/>
              <w:bottom w:val="single" w:sz="4" w:space="0" w:color="auto"/>
              <w:right w:val="single" w:sz="6" w:space="0" w:color="000000" w:themeColor="text1"/>
            </w:tcBorders>
          </w:tcPr>
          <w:p w14:paraId="3CF2D8B6" w14:textId="1FC5223E" w:rsidR="003B71E0" w:rsidRPr="00AE5356" w:rsidRDefault="00ED2472" w:rsidP="00AE5356">
            <w:pPr>
              <w:pStyle w:val="naisc"/>
              <w:spacing w:before="0" w:after="0"/>
              <w:jc w:val="both"/>
            </w:pPr>
            <w:r>
              <w:t>Ņ</w:t>
            </w:r>
            <w:r w:rsidR="00B62B9A" w:rsidRPr="003001E9">
              <w:t>emts</w:t>
            </w:r>
            <w:r w:rsidR="00B62B9A" w:rsidRPr="00AE5356">
              <w:t xml:space="preserve"> vērā.</w:t>
            </w:r>
          </w:p>
        </w:tc>
        <w:tc>
          <w:tcPr>
            <w:tcW w:w="3544" w:type="dxa"/>
            <w:tcBorders>
              <w:top w:val="single" w:sz="4" w:space="0" w:color="auto"/>
              <w:left w:val="single" w:sz="4" w:space="0" w:color="auto"/>
              <w:bottom w:val="single" w:sz="4" w:space="0" w:color="auto"/>
            </w:tcBorders>
          </w:tcPr>
          <w:p w14:paraId="0FB78278" w14:textId="358E658A" w:rsidR="003B71E0" w:rsidRPr="00AE5356" w:rsidRDefault="00ED2472" w:rsidP="00AE5356">
            <w:pPr>
              <w:jc w:val="both"/>
            </w:pPr>
            <w:r>
              <w:t>1.2.2. uzdevums precizēts, norādot 30.06.2022. kā termiņu.</w:t>
            </w:r>
          </w:p>
        </w:tc>
      </w:tr>
      <w:tr w:rsidR="00897CC2" w:rsidRPr="00AE5356" w14:paraId="4AFFCE07" w14:textId="77777777" w:rsidTr="000E70CD">
        <w:tc>
          <w:tcPr>
            <w:tcW w:w="944" w:type="dxa"/>
            <w:tcBorders>
              <w:left w:val="single" w:sz="6" w:space="0" w:color="000000" w:themeColor="text1"/>
              <w:bottom w:val="single" w:sz="4" w:space="0" w:color="auto"/>
              <w:right w:val="single" w:sz="6" w:space="0" w:color="000000" w:themeColor="text1"/>
            </w:tcBorders>
          </w:tcPr>
          <w:p w14:paraId="0F9ABB3F" w14:textId="3006FDC6" w:rsidR="00897CC2" w:rsidRPr="00AE5356" w:rsidRDefault="00897CC2"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1FC39945" w14:textId="77777777" w:rsidR="00897CC2" w:rsidRPr="00AE5356" w:rsidRDefault="00897CC2" w:rsidP="00AE5356">
            <w:pPr>
              <w:pStyle w:val="naisc"/>
              <w:spacing w:before="0" w:after="0"/>
              <w:ind w:firstLine="720"/>
            </w:pPr>
          </w:p>
        </w:tc>
        <w:tc>
          <w:tcPr>
            <w:tcW w:w="4819" w:type="dxa"/>
            <w:gridSpan w:val="2"/>
            <w:tcBorders>
              <w:left w:val="single" w:sz="6" w:space="0" w:color="000000" w:themeColor="text1"/>
              <w:bottom w:val="single" w:sz="4" w:space="0" w:color="auto"/>
              <w:right w:val="single" w:sz="6" w:space="0" w:color="000000" w:themeColor="text1"/>
            </w:tcBorders>
          </w:tcPr>
          <w:p w14:paraId="69B24226" w14:textId="77777777" w:rsidR="00897CC2" w:rsidRPr="003415D1" w:rsidRDefault="00F410FE" w:rsidP="00AE5356">
            <w:pPr>
              <w:pStyle w:val="naisc"/>
              <w:spacing w:before="0" w:after="0"/>
              <w:ind w:left="34"/>
              <w:jc w:val="both"/>
            </w:pPr>
            <w:r w:rsidRPr="003415D1">
              <w:t xml:space="preserve">Lūdzam plāna 1.1.7.punktā norādītā uzdevuma “Vidēja un ilgtermiņa eksporta garantiju sistēmas turpmāka pilnveidošana.” izpildei noteikt termiņu 30.06.2022., ņemot vērā, ka ALTUM vidēja un ilgtermiņa eksporta kredītu garantiju instrumenta operacionalizācijai ir </w:t>
            </w:r>
            <w:r w:rsidRPr="003415D1">
              <w:lastRenderedPageBreak/>
              <w:t>iesniedzis pieteikumu DG REFORM projektam, kura īstenošana paredzēta 12 mēnešus un līgums par projekta īstenošanu varētu tikt noslēgts tikai pavasarī.</w:t>
            </w:r>
          </w:p>
        </w:tc>
        <w:tc>
          <w:tcPr>
            <w:tcW w:w="2835" w:type="dxa"/>
            <w:tcBorders>
              <w:left w:val="single" w:sz="6" w:space="0" w:color="000000" w:themeColor="text1"/>
              <w:bottom w:val="single" w:sz="4" w:space="0" w:color="auto"/>
              <w:right w:val="single" w:sz="6" w:space="0" w:color="000000" w:themeColor="text1"/>
            </w:tcBorders>
          </w:tcPr>
          <w:p w14:paraId="0562CB0E" w14:textId="7671AEEE" w:rsidR="00897CC2" w:rsidRPr="00AE5356" w:rsidRDefault="005A62AC" w:rsidP="00AE5356">
            <w:pPr>
              <w:pStyle w:val="naisc"/>
              <w:spacing w:before="0" w:after="0"/>
              <w:jc w:val="both"/>
            </w:pPr>
            <w:r>
              <w:lastRenderedPageBreak/>
              <w:t>Ņ</w:t>
            </w:r>
            <w:r w:rsidR="00EE50CE" w:rsidRPr="00AE5356">
              <w:t>emts vērā.</w:t>
            </w:r>
          </w:p>
        </w:tc>
        <w:tc>
          <w:tcPr>
            <w:tcW w:w="3544" w:type="dxa"/>
            <w:tcBorders>
              <w:top w:val="single" w:sz="4" w:space="0" w:color="auto"/>
              <w:left w:val="single" w:sz="4" w:space="0" w:color="auto"/>
              <w:bottom w:val="single" w:sz="4" w:space="0" w:color="auto"/>
            </w:tcBorders>
          </w:tcPr>
          <w:p w14:paraId="34CE0A41" w14:textId="77777777" w:rsidR="00897CC2" w:rsidRPr="00AE5356" w:rsidRDefault="00B21D34" w:rsidP="00AE5356">
            <w:pPr>
              <w:jc w:val="both"/>
            </w:pPr>
            <w:r>
              <w:t>Termiņš precizēts uz 30.06.2022</w:t>
            </w:r>
          </w:p>
        </w:tc>
      </w:tr>
      <w:tr w:rsidR="00897CC2" w:rsidRPr="00AE5356" w14:paraId="19B8EC60" w14:textId="77777777" w:rsidTr="000E70CD">
        <w:tc>
          <w:tcPr>
            <w:tcW w:w="944" w:type="dxa"/>
            <w:tcBorders>
              <w:left w:val="single" w:sz="6" w:space="0" w:color="000000" w:themeColor="text1"/>
              <w:bottom w:val="single" w:sz="4" w:space="0" w:color="auto"/>
              <w:right w:val="single" w:sz="6" w:space="0" w:color="000000" w:themeColor="text1"/>
            </w:tcBorders>
          </w:tcPr>
          <w:p w14:paraId="56C72689" w14:textId="17425DFD" w:rsidR="00897CC2" w:rsidRPr="00AE5356" w:rsidRDefault="00897CC2" w:rsidP="00AE5356">
            <w:pPr>
              <w:pStyle w:val="ListParagraph"/>
              <w:numPr>
                <w:ilvl w:val="0"/>
                <w:numId w:val="19"/>
              </w:numPr>
              <w:rPr>
                <w:rFonts w:ascii="Times New Roman" w:hAnsi="Times New Roman"/>
              </w:rPr>
            </w:pPr>
          </w:p>
        </w:tc>
        <w:tc>
          <w:tcPr>
            <w:tcW w:w="2661" w:type="dxa"/>
            <w:tcBorders>
              <w:left w:val="single" w:sz="6" w:space="0" w:color="000000" w:themeColor="text1"/>
              <w:bottom w:val="single" w:sz="4" w:space="0" w:color="auto"/>
              <w:right w:val="single" w:sz="6" w:space="0" w:color="000000" w:themeColor="text1"/>
            </w:tcBorders>
          </w:tcPr>
          <w:p w14:paraId="62EBF3C5" w14:textId="77777777" w:rsidR="00897CC2" w:rsidRPr="00AE5356" w:rsidRDefault="00897CC2" w:rsidP="00AE5356">
            <w:pPr>
              <w:pStyle w:val="naisc"/>
              <w:spacing w:before="0" w:after="0"/>
              <w:ind w:firstLine="720"/>
            </w:pPr>
          </w:p>
        </w:tc>
        <w:tc>
          <w:tcPr>
            <w:tcW w:w="4819" w:type="dxa"/>
            <w:gridSpan w:val="2"/>
            <w:tcBorders>
              <w:left w:val="single" w:sz="6" w:space="0" w:color="000000" w:themeColor="text1"/>
              <w:bottom w:val="single" w:sz="4" w:space="0" w:color="auto"/>
              <w:right w:val="single" w:sz="6" w:space="0" w:color="000000" w:themeColor="text1"/>
            </w:tcBorders>
          </w:tcPr>
          <w:p w14:paraId="33083987" w14:textId="77777777" w:rsidR="00897CC2" w:rsidRPr="00A46C89" w:rsidRDefault="00F410FE" w:rsidP="00AE5356">
            <w:pPr>
              <w:pStyle w:val="naisc"/>
              <w:spacing w:before="0" w:after="0"/>
              <w:ind w:left="34"/>
              <w:jc w:val="both"/>
            </w:pPr>
            <w:r w:rsidRPr="00A46C89">
              <w:t>Lūdzam plāna 1.2.1. punktā “Izveidot Baltijas valstu akselerācijas fondu (MVU IPO fonds)”, “Izstrādāts un MK iesniegts normatīvā regulējuma projekts” izpildei noteikt termiņu 31.12.2020. un kā atbildīgo institūciju norādīt Finanšu ministriju, bet līdzatbildīgo Ekonomikas ministriju, ņemot vērā, ka lai īstenotu uzdevumu Finanšu ministrija sadarbībā ar Ekonomikas ministriju ir uzsākusi pētījumu, kas pievienots pielikumā un darbs tiek vēl turpināts.</w:t>
            </w:r>
          </w:p>
        </w:tc>
        <w:tc>
          <w:tcPr>
            <w:tcW w:w="2835" w:type="dxa"/>
            <w:tcBorders>
              <w:left w:val="single" w:sz="6" w:space="0" w:color="000000" w:themeColor="text1"/>
              <w:bottom w:val="single" w:sz="4" w:space="0" w:color="auto"/>
              <w:right w:val="single" w:sz="6" w:space="0" w:color="000000" w:themeColor="text1"/>
            </w:tcBorders>
          </w:tcPr>
          <w:p w14:paraId="6D98A12B" w14:textId="150F5FCE" w:rsidR="00897CC2" w:rsidRPr="00AE5356" w:rsidRDefault="00ED2472" w:rsidP="00AE5356">
            <w:pPr>
              <w:pStyle w:val="naisc"/>
              <w:spacing w:before="0" w:after="0"/>
              <w:jc w:val="both"/>
            </w:pPr>
            <w:r>
              <w:t>Ņemts vērā</w:t>
            </w:r>
            <w:r w:rsidR="00410BB5">
              <w:t>.</w:t>
            </w:r>
          </w:p>
        </w:tc>
        <w:tc>
          <w:tcPr>
            <w:tcW w:w="3544" w:type="dxa"/>
            <w:tcBorders>
              <w:top w:val="single" w:sz="4" w:space="0" w:color="auto"/>
              <w:left w:val="single" w:sz="4" w:space="0" w:color="auto"/>
              <w:bottom w:val="single" w:sz="4" w:space="0" w:color="auto"/>
            </w:tcBorders>
          </w:tcPr>
          <w:p w14:paraId="2946DB82" w14:textId="6502C5CC" w:rsidR="00897CC2" w:rsidRPr="00AE5356" w:rsidRDefault="00ED2472" w:rsidP="00AE5356">
            <w:pPr>
              <w:jc w:val="both"/>
            </w:pPr>
            <w:r>
              <w:t>Precizēts termiņš un atbildīgā institūcija.</w:t>
            </w:r>
          </w:p>
        </w:tc>
      </w:tr>
      <w:tr w:rsidR="00C8085E" w:rsidRPr="00AE5356" w14:paraId="3D96C4FD" w14:textId="77777777" w:rsidTr="000E70CD">
        <w:tc>
          <w:tcPr>
            <w:tcW w:w="944" w:type="dxa"/>
            <w:tcBorders>
              <w:left w:val="single" w:sz="6" w:space="0" w:color="000000" w:themeColor="text1"/>
              <w:bottom w:val="single" w:sz="4" w:space="0" w:color="auto"/>
              <w:right w:val="single" w:sz="6" w:space="0" w:color="000000" w:themeColor="text1"/>
            </w:tcBorders>
          </w:tcPr>
          <w:p w14:paraId="7919DC5F" w14:textId="77777777" w:rsidR="00C8085E" w:rsidRPr="00AE5356" w:rsidRDefault="00C8085E" w:rsidP="00AE5356">
            <w:pPr>
              <w:pStyle w:val="ListParagraph"/>
              <w:numPr>
                <w:ilvl w:val="0"/>
                <w:numId w:val="19"/>
              </w:numPr>
              <w:rPr>
                <w:rFonts w:ascii="Times New Roman" w:hAnsi="Times New Roman"/>
              </w:rPr>
            </w:pPr>
          </w:p>
        </w:tc>
        <w:tc>
          <w:tcPr>
            <w:tcW w:w="2661" w:type="dxa"/>
            <w:tcBorders>
              <w:left w:val="single" w:sz="6" w:space="0" w:color="000000" w:themeColor="text1"/>
              <w:bottom w:val="single" w:sz="4" w:space="0" w:color="auto"/>
              <w:right w:val="single" w:sz="6" w:space="0" w:color="000000" w:themeColor="text1"/>
            </w:tcBorders>
          </w:tcPr>
          <w:p w14:paraId="70281CA6" w14:textId="77777777" w:rsidR="00C8085E" w:rsidRPr="00AE5356" w:rsidRDefault="00C8085E" w:rsidP="00AE5356">
            <w:pPr>
              <w:pStyle w:val="naisc"/>
              <w:spacing w:before="0" w:after="0"/>
              <w:ind w:firstLine="720"/>
            </w:pPr>
          </w:p>
        </w:tc>
        <w:tc>
          <w:tcPr>
            <w:tcW w:w="4819" w:type="dxa"/>
            <w:gridSpan w:val="2"/>
            <w:tcBorders>
              <w:left w:val="single" w:sz="6" w:space="0" w:color="000000" w:themeColor="text1"/>
              <w:bottom w:val="single" w:sz="4" w:space="0" w:color="auto"/>
              <w:right w:val="single" w:sz="6" w:space="0" w:color="000000" w:themeColor="text1"/>
            </w:tcBorders>
          </w:tcPr>
          <w:p w14:paraId="4DDFFB20" w14:textId="1DF76505" w:rsidR="00C8085E" w:rsidRPr="00AE5356" w:rsidRDefault="00C8085E" w:rsidP="00AE5356">
            <w:pPr>
              <w:pStyle w:val="naisc"/>
              <w:spacing w:before="0" w:after="0"/>
              <w:ind w:left="34"/>
              <w:jc w:val="both"/>
            </w:pPr>
            <w:r w:rsidRPr="00A46C89">
              <w:t>Lūdzam precizēt Plāna projekta Uzdevumu Nr.1.1.8., norādot, vai uzdevums attiecas gan uz fiziskām, gan uz juridiskām personām vai tikai uz juridiskām personām. Vēršam uzmanību, ka gadījumā, ja Uzdevuma Nr.1.1.8.punktā paredzēts veicināt arī parādu ārpustiesas atgūšanu no fiziskām personām, tad šo jomu jau reglamentē Parādu ārpustiesas atgūšanas likums, kā arī pie līdzatbildīgajām institūcijām būtu nosakāma gan Ekonomikas ministrija, gan Patērētāju tiesību aizsardzības centrs (turpmāk – PTAC).</w:t>
            </w:r>
          </w:p>
        </w:tc>
        <w:tc>
          <w:tcPr>
            <w:tcW w:w="2835" w:type="dxa"/>
            <w:tcBorders>
              <w:left w:val="single" w:sz="6" w:space="0" w:color="000000" w:themeColor="text1"/>
              <w:bottom w:val="single" w:sz="4" w:space="0" w:color="auto"/>
              <w:right w:val="single" w:sz="6" w:space="0" w:color="000000" w:themeColor="text1"/>
            </w:tcBorders>
          </w:tcPr>
          <w:p w14:paraId="24B1C6FB" w14:textId="4F4AA325" w:rsidR="00C8085E" w:rsidRPr="00AE5356" w:rsidRDefault="00BD70C9" w:rsidP="00AE5356">
            <w:pPr>
              <w:pStyle w:val="naisc"/>
              <w:spacing w:before="0" w:after="0"/>
              <w:jc w:val="both"/>
            </w:pPr>
            <w:r>
              <w:t>Ņ</w:t>
            </w:r>
            <w:r w:rsidR="00EE50CE" w:rsidRPr="00AE5356">
              <w:t>emts vērā.</w:t>
            </w:r>
          </w:p>
        </w:tc>
        <w:tc>
          <w:tcPr>
            <w:tcW w:w="3544" w:type="dxa"/>
            <w:tcBorders>
              <w:top w:val="single" w:sz="4" w:space="0" w:color="auto"/>
              <w:left w:val="single" w:sz="4" w:space="0" w:color="auto"/>
              <w:bottom w:val="single" w:sz="4" w:space="0" w:color="auto"/>
            </w:tcBorders>
          </w:tcPr>
          <w:p w14:paraId="532B422E" w14:textId="5D9FFAFC" w:rsidR="00C8085E" w:rsidRPr="00AE5356" w:rsidRDefault="00736398" w:rsidP="00AE5356">
            <w:pPr>
              <w:jc w:val="both"/>
            </w:pPr>
            <w:r w:rsidRPr="00736398">
              <w:t>Veicināt juridisko personu aizņēmuma, parāda atgūšanu ārpus prasības tiesvedības kārtības vai rakstveida procesā, veicinot bezstrīdus risinājumu izmantošanu, pārskatot ierobežojošos noteikumus (esošie limiti, termiņi, paziņošanas kārtība), kā arī izvērtējot komercķīlu izlietošanas efektivitāti</w:t>
            </w:r>
          </w:p>
        </w:tc>
      </w:tr>
      <w:tr w:rsidR="00C8085E" w:rsidRPr="00AE5356" w14:paraId="0EC00B71" w14:textId="77777777" w:rsidTr="000E70CD">
        <w:tc>
          <w:tcPr>
            <w:tcW w:w="944" w:type="dxa"/>
            <w:tcBorders>
              <w:left w:val="single" w:sz="6" w:space="0" w:color="000000" w:themeColor="text1"/>
              <w:bottom w:val="single" w:sz="4" w:space="0" w:color="auto"/>
              <w:right w:val="single" w:sz="6" w:space="0" w:color="000000" w:themeColor="text1"/>
            </w:tcBorders>
          </w:tcPr>
          <w:p w14:paraId="5C0FF56D" w14:textId="77777777" w:rsidR="00C8085E" w:rsidRPr="00AE5356" w:rsidRDefault="00C8085E" w:rsidP="00AE5356">
            <w:pPr>
              <w:pStyle w:val="ListParagraph"/>
              <w:numPr>
                <w:ilvl w:val="0"/>
                <w:numId w:val="19"/>
              </w:numPr>
              <w:rPr>
                <w:rFonts w:ascii="Times New Roman" w:hAnsi="Times New Roman"/>
              </w:rPr>
            </w:pPr>
          </w:p>
        </w:tc>
        <w:tc>
          <w:tcPr>
            <w:tcW w:w="2661" w:type="dxa"/>
            <w:tcBorders>
              <w:left w:val="single" w:sz="6" w:space="0" w:color="000000" w:themeColor="text1"/>
              <w:bottom w:val="single" w:sz="4" w:space="0" w:color="auto"/>
              <w:right w:val="single" w:sz="6" w:space="0" w:color="000000" w:themeColor="text1"/>
            </w:tcBorders>
          </w:tcPr>
          <w:p w14:paraId="6B47366E" w14:textId="77777777" w:rsidR="00C8085E" w:rsidRPr="00AE5356" w:rsidRDefault="00C8085E" w:rsidP="00AE5356">
            <w:pPr>
              <w:pStyle w:val="naisc"/>
              <w:spacing w:before="0" w:after="0"/>
              <w:ind w:firstLine="720"/>
            </w:pPr>
          </w:p>
        </w:tc>
        <w:tc>
          <w:tcPr>
            <w:tcW w:w="4819" w:type="dxa"/>
            <w:gridSpan w:val="2"/>
            <w:tcBorders>
              <w:left w:val="single" w:sz="6" w:space="0" w:color="000000" w:themeColor="text1"/>
              <w:bottom w:val="single" w:sz="4" w:space="0" w:color="auto"/>
              <w:right w:val="single" w:sz="6" w:space="0" w:color="000000" w:themeColor="text1"/>
            </w:tcBorders>
          </w:tcPr>
          <w:p w14:paraId="26000004" w14:textId="38500E6A" w:rsidR="00C8085E" w:rsidRPr="00DF40F2" w:rsidRDefault="00C8085E" w:rsidP="00AE5356">
            <w:pPr>
              <w:pStyle w:val="naisc"/>
              <w:spacing w:before="0" w:after="0"/>
              <w:ind w:left="34"/>
              <w:jc w:val="both"/>
            </w:pPr>
            <w:r w:rsidRPr="00DF40F2">
              <w:t xml:space="preserve">Lūdzam precizēt Plāna projekta Uzdevumu Nr.1.3.2., pie līdzatbildīgajām institūcijām paredzot arī PTAC, ņemot vērā, ka PTAC līdz šim pastāvīgi ir bijis iesaistīts finanšu pratību veicinošo materiālu izstrādē un popularizēšanā. </w:t>
            </w:r>
            <w:r w:rsidRPr="00DF40F2">
              <w:lastRenderedPageBreak/>
              <w:t>Vienlaikus Ekonomikas ministrija aicina apsvērt plāna 1.3.punkta pārskatīšanu kopumā, iekļaujot tajā dažādus ar iedzīvotāju finanšu pratības jomu saistītus uzdevumus, piemēram, uzkrājumu veidošanas kultūras attīstīšana, pārdomāta mājsaimniecības budžeta veidošana u.c. uzdevumus, kuri ir ietverti Finanšu pratības stratēģijā gan šajā, gan nākamajā plānošanas periodā.</w:t>
            </w:r>
          </w:p>
        </w:tc>
        <w:tc>
          <w:tcPr>
            <w:tcW w:w="2835" w:type="dxa"/>
            <w:tcBorders>
              <w:left w:val="single" w:sz="6" w:space="0" w:color="000000" w:themeColor="text1"/>
              <w:bottom w:val="single" w:sz="4" w:space="0" w:color="auto"/>
              <w:right w:val="single" w:sz="6" w:space="0" w:color="000000" w:themeColor="text1"/>
            </w:tcBorders>
          </w:tcPr>
          <w:p w14:paraId="690D5C36" w14:textId="7BAE8F61" w:rsidR="00C8085E" w:rsidRPr="00DF40F2" w:rsidRDefault="00ED2472" w:rsidP="00AE5356">
            <w:pPr>
              <w:pStyle w:val="naisc"/>
              <w:spacing w:before="0" w:after="0"/>
              <w:jc w:val="both"/>
            </w:pPr>
            <w:r w:rsidRPr="00DF40F2">
              <w:lastRenderedPageBreak/>
              <w:t>Ņemts vērā</w:t>
            </w:r>
            <w:r>
              <w:t>.</w:t>
            </w:r>
          </w:p>
        </w:tc>
        <w:tc>
          <w:tcPr>
            <w:tcW w:w="3544" w:type="dxa"/>
            <w:tcBorders>
              <w:top w:val="single" w:sz="4" w:space="0" w:color="auto"/>
              <w:left w:val="single" w:sz="4" w:space="0" w:color="auto"/>
              <w:bottom w:val="single" w:sz="4" w:space="0" w:color="auto"/>
            </w:tcBorders>
          </w:tcPr>
          <w:p w14:paraId="40977DC0" w14:textId="77777777" w:rsidR="00C8085E" w:rsidRPr="00AE5356" w:rsidRDefault="00ED2472" w:rsidP="00AE5356">
            <w:pPr>
              <w:jc w:val="both"/>
            </w:pPr>
            <w:r>
              <w:t>Papildināts ar PTAC kā līdzatbildīgo institūciju 1.3.2. uzdevumā.</w:t>
            </w:r>
          </w:p>
        </w:tc>
      </w:tr>
      <w:tr w:rsidR="00C8085E" w:rsidRPr="00AE5356" w14:paraId="5EA1A391" w14:textId="77777777" w:rsidTr="000E70CD">
        <w:tc>
          <w:tcPr>
            <w:tcW w:w="944" w:type="dxa"/>
            <w:tcBorders>
              <w:left w:val="single" w:sz="6" w:space="0" w:color="000000" w:themeColor="text1"/>
              <w:bottom w:val="single" w:sz="4" w:space="0" w:color="auto"/>
              <w:right w:val="single" w:sz="6" w:space="0" w:color="000000" w:themeColor="text1"/>
            </w:tcBorders>
          </w:tcPr>
          <w:p w14:paraId="0B240511" w14:textId="77777777" w:rsidR="00C8085E" w:rsidRPr="00AE5356" w:rsidRDefault="00C8085E" w:rsidP="00AE5356">
            <w:pPr>
              <w:pStyle w:val="ListParagraph"/>
              <w:numPr>
                <w:ilvl w:val="0"/>
                <w:numId w:val="19"/>
              </w:numPr>
              <w:rPr>
                <w:rFonts w:ascii="Times New Roman" w:hAnsi="Times New Roman"/>
              </w:rPr>
            </w:pPr>
          </w:p>
        </w:tc>
        <w:tc>
          <w:tcPr>
            <w:tcW w:w="2661" w:type="dxa"/>
            <w:tcBorders>
              <w:left w:val="single" w:sz="6" w:space="0" w:color="000000" w:themeColor="text1"/>
              <w:bottom w:val="single" w:sz="4" w:space="0" w:color="auto"/>
              <w:right w:val="single" w:sz="6" w:space="0" w:color="000000" w:themeColor="text1"/>
            </w:tcBorders>
          </w:tcPr>
          <w:p w14:paraId="7FE3264D" w14:textId="77777777" w:rsidR="00C8085E" w:rsidRPr="00AE5356" w:rsidRDefault="00C8085E" w:rsidP="00AE5356">
            <w:pPr>
              <w:pStyle w:val="naisc"/>
              <w:spacing w:before="0" w:after="0"/>
              <w:ind w:firstLine="720"/>
            </w:pPr>
          </w:p>
        </w:tc>
        <w:tc>
          <w:tcPr>
            <w:tcW w:w="4819" w:type="dxa"/>
            <w:gridSpan w:val="2"/>
            <w:tcBorders>
              <w:left w:val="single" w:sz="6" w:space="0" w:color="000000" w:themeColor="text1"/>
              <w:bottom w:val="single" w:sz="4" w:space="0" w:color="auto"/>
              <w:right w:val="single" w:sz="6" w:space="0" w:color="000000" w:themeColor="text1"/>
            </w:tcBorders>
          </w:tcPr>
          <w:p w14:paraId="484162F7" w14:textId="39450EDC" w:rsidR="00C8085E" w:rsidRPr="003415D1" w:rsidRDefault="00FA3B26" w:rsidP="00AE5356">
            <w:pPr>
              <w:pStyle w:val="naisc"/>
              <w:spacing w:before="0" w:after="0"/>
              <w:ind w:left="34"/>
              <w:jc w:val="both"/>
            </w:pPr>
            <w:r w:rsidRPr="003415D1">
              <w:t>Lūdzam precizēt Plāna projekta Uzdevumu Nr.2.1.2., pie līdzatbildīgajām institūcijām nosakot arī PTAC, ņemot vērā, ka atbilstoši Plāna projektā konstatētajam, visvairāk Fintech uzņēmumu darbojas aizdevumu un dažādu ar maksājumu pakalpojumu sniegšanu saistītu elementu nodrošināšanas jomā.</w:t>
            </w:r>
          </w:p>
        </w:tc>
        <w:tc>
          <w:tcPr>
            <w:tcW w:w="2835" w:type="dxa"/>
            <w:tcBorders>
              <w:left w:val="single" w:sz="6" w:space="0" w:color="000000" w:themeColor="text1"/>
              <w:bottom w:val="single" w:sz="4" w:space="0" w:color="auto"/>
              <w:right w:val="single" w:sz="6" w:space="0" w:color="000000" w:themeColor="text1"/>
            </w:tcBorders>
          </w:tcPr>
          <w:p w14:paraId="0F7E757A" w14:textId="69FDBF2D" w:rsidR="00C8085E" w:rsidRPr="003415D1" w:rsidRDefault="00A90AFF" w:rsidP="00AE5356">
            <w:pPr>
              <w:pStyle w:val="naisc"/>
              <w:spacing w:before="0" w:after="0"/>
              <w:jc w:val="both"/>
            </w:pPr>
            <w:r w:rsidRPr="00211CCF">
              <w:t>Ņ</w:t>
            </w:r>
            <w:r w:rsidR="00EE50CE" w:rsidRPr="00211CCF">
              <w:t>emts</w:t>
            </w:r>
            <w:r w:rsidR="00EE50CE" w:rsidRPr="003415D1">
              <w:t xml:space="preserve"> vērā</w:t>
            </w:r>
          </w:p>
        </w:tc>
        <w:tc>
          <w:tcPr>
            <w:tcW w:w="3544" w:type="dxa"/>
            <w:tcBorders>
              <w:top w:val="single" w:sz="4" w:space="0" w:color="auto"/>
              <w:left w:val="single" w:sz="4" w:space="0" w:color="auto"/>
              <w:bottom w:val="single" w:sz="4" w:space="0" w:color="auto"/>
            </w:tcBorders>
          </w:tcPr>
          <w:p w14:paraId="016D7156" w14:textId="77777777" w:rsidR="00C8085E" w:rsidRPr="00AE5356" w:rsidRDefault="00C8085E" w:rsidP="00AE5356">
            <w:pPr>
              <w:jc w:val="both"/>
            </w:pPr>
          </w:p>
        </w:tc>
      </w:tr>
      <w:tr w:rsidR="00C8085E" w:rsidRPr="00AE5356" w14:paraId="6D30D35D" w14:textId="77777777" w:rsidTr="000E70CD">
        <w:tc>
          <w:tcPr>
            <w:tcW w:w="944" w:type="dxa"/>
            <w:tcBorders>
              <w:left w:val="single" w:sz="6" w:space="0" w:color="000000" w:themeColor="text1"/>
              <w:bottom w:val="single" w:sz="4" w:space="0" w:color="auto"/>
              <w:right w:val="single" w:sz="6" w:space="0" w:color="000000" w:themeColor="text1"/>
            </w:tcBorders>
          </w:tcPr>
          <w:p w14:paraId="7A0CDBC6" w14:textId="77777777" w:rsidR="00C8085E" w:rsidRPr="00AE5356" w:rsidRDefault="00C8085E" w:rsidP="00AE5356">
            <w:pPr>
              <w:pStyle w:val="ListParagraph"/>
              <w:numPr>
                <w:ilvl w:val="0"/>
                <w:numId w:val="19"/>
              </w:numPr>
              <w:rPr>
                <w:rFonts w:ascii="Times New Roman" w:hAnsi="Times New Roman"/>
              </w:rPr>
            </w:pPr>
          </w:p>
        </w:tc>
        <w:tc>
          <w:tcPr>
            <w:tcW w:w="2661" w:type="dxa"/>
            <w:tcBorders>
              <w:left w:val="single" w:sz="6" w:space="0" w:color="000000" w:themeColor="text1"/>
              <w:bottom w:val="single" w:sz="4" w:space="0" w:color="auto"/>
              <w:right w:val="single" w:sz="6" w:space="0" w:color="000000" w:themeColor="text1"/>
            </w:tcBorders>
          </w:tcPr>
          <w:p w14:paraId="5A582806" w14:textId="77777777" w:rsidR="00C8085E" w:rsidRPr="00AE5356" w:rsidRDefault="00C8085E" w:rsidP="00AE5356">
            <w:pPr>
              <w:pStyle w:val="naisc"/>
              <w:spacing w:before="0" w:after="0"/>
              <w:ind w:firstLine="720"/>
            </w:pPr>
          </w:p>
        </w:tc>
        <w:tc>
          <w:tcPr>
            <w:tcW w:w="4819" w:type="dxa"/>
            <w:gridSpan w:val="2"/>
            <w:tcBorders>
              <w:left w:val="single" w:sz="6" w:space="0" w:color="000000" w:themeColor="text1"/>
              <w:bottom w:val="single" w:sz="4" w:space="0" w:color="auto"/>
              <w:right w:val="single" w:sz="6" w:space="0" w:color="000000" w:themeColor="text1"/>
            </w:tcBorders>
          </w:tcPr>
          <w:p w14:paraId="03045A01" w14:textId="11F1BA97" w:rsidR="00C8085E" w:rsidRPr="003415D1" w:rsidRDefault="00FA3B26" w:rsidP="00AE5356">
            <w:pPr>
              <w:pStyle w:val="naisc"/>
              <w:spacing w:before="0" w:after="0"/>
              <w:ind w:left="34"/>
              <w:jc w:val="both"/>
            </w:pPr>
            <w:r w:rsidRPr="003415D1">
              <w:t>Lūdzam precizēt Plāna projekta Uzdevumu Nr.2.1.4., pārceļot PTAC no atbildīgās institūcijas uz līdzatbildīgo institūciju, ņemot vērā, ka nav īsti skaidra tā loma konkrētā uzdevuma izpildei un kāda tieši programma regulatīvai un uzraudzības tehnoloģiskajai pieejai (RegTech un SupTech) no PTAC tiek sagaidīta.</w:t>
            </w:r>
          </w:p>
        </w:tc>
        <w:tc>
          <w:tcPr>
            <w:tcW w:w="2835" w:type="dxa"/>
            <w:tcBorders>
              <w:left w:val="single" w:sz="6" w:space="0" w:color="000000" w:themeColor="text1"/>
              <w:bottom w:val="single" w:sz="4" w:space="0" w:color="auto"/>
              <w:right w:val="single" w:sz="6" w:space="0" w:color="000000" w:themeColor="text1"/>
            </w:tcBorders>
          </w:tcPr>
          <w:p w14:paraId="58FD9A73" w14:textId="631A4002" w:rsidR="00C8085E" w:rsidRPr="003415D1" w:rsidRDefault="00A90AFF" w:rsidP="00AE5356">
            <w:pPr>
              <w:pStyle w:val="naisc"/>
              <w:spacing w:before="0" w:after="0"/>
              <w:jc w:val="both"/>
            </w:pPr>
            <w:r w:rsidRPr="00211CCF">
              <w:t>Ņ</w:t>
            </w:r>
            <w:r w:rsidR="00EE50CE" w:rsidRPr="00211CCF">
              <w:t>emts</w:t>
            </w:r>
            <w:r w:rsidR="00EE50CE" w:rsidRPr="003415D1">
              <w:t xml:space="preserve"> vērā</w:t>
            </w:r>
          </w:p>
        </w:tc>
        <w:tc>
          <w:tcPr>
            <w:tcW w:w="3544" w:type="dxa"/>
            <w:tcBorders>
              <w:top w:val="single" w:sz="4" w:space="0" w:color="auto"/>
              <w:left w:val="single" w:sz="4" w:space="0" w:color="auto"/>
              <w:bottom w:val="single" w:sz="4" w:space="0" w:color="auto"/>
            </w:tcBorders>
          </w:tcPr>
          <w:p w14:paraId="141B0F90" w14:textId="05208221" w:rsidR="00C8085E" w:rsidRPr="00AE5356" w:rsidRDefault="00A87B4A" w:rsidP="00AE5356">
            <w:pPr>
              <w:jc w:val="both"/>
            </w:pPr>
            <w:r>
              <w:t>Uzdevums dzēsts.</w:t>
            </w:r>
          </w:p>
        </w:tc>
      </w:tr>
      <w:tr w:rsidR="00C8085E" w:rsidRPr="00AE5356" w14:paraId="1B57E431" w14:textId="77777777" w:rsidTr="000E70CD">
        <w:tc>
          <w:tcPr>
            <w:tcW w:w="944" w:type="dxa"/>
            <w:tcBorders>
              <w:left w:val="single" w:sz="6" w:space="0" w:color="000000" w:themeColor="text1"/>
              <w:bottom w:val="single" w:sz="4" w:space="0" w:color="auto"/>
              <w:right w:val="single" w:sz="6" w:space="0" w:color="000000" w:themeColor="text1"/>
            </w:tcBorders>
          </w:tcPr>
          <w:p w14:paraId="2A7201A7" w14:textId="77777777" w:rsidR="00C8085E" w:rsidRPr="00AE5356" w:rsidRDefault="00C8085E" w:rsidP="00AE5356">
            <w:pPr>
              <w:pStyle w:val="ListParagraph"/>
              <w:numPr>
                <w:ilvl w:val="0"/>
                <w:numId w:val="19"/>
              </w:numPr>
              <w:rPr>
                <w:rFonts w:ascii="Times New Roman" w:hAnsi="Times New Roman"/>
              </w:rPr>
            </w:pPr>
          </w:p>
        </w:tc>
        <w:tc>
          <w:tcPr>
            <w:tcW w:w="2661" w:type="dxa"/>
            <w:tcBorders>
              <w:left w:val="single" w:sz="6" w:space="0" w:color="000000" w:themeColor="text1"/>
              <w:bottom w:val="single" w:sz="4" w:space="0" w:color="auto"/>
              <w:right w:val="single" w:sz="6" w:space="0" w:color="000000" w:themeColor="text1"/>
            </w:tcBorders>
          </w:tcPr>
          <w:p w14:paraId="72B63650" w14:textId="77777777" w:rsidR="00C8085E" w:rsidRPr="00AE5356" w:rsidRDefault="00C8085E" w:rsidP="00AE5356">
            <w:pPr>
              <w:pStyle w:val="naisc"/>
              <w:spacing w:before="0" w:after="0"/>
              <w:ind w:firstLine="720"/>
            </w:pPr>
          </w:p>
        </w:tc>
        <w:tc>
          <w:tcPr>
            <w:tcW w:w="4819" w:type="dxa"/>
            <w:gridSpan w:val="2"/>
            <w:tcBorders>
              <w:left w:val="single" w:sz="6" w:space="0" w:color="000000" w:themeColor="text1"/>
              <w:bottom w:val="single" w:sz="4" w:space="0" w:color="auto"/>
              <w:right w:val="single" w:sz="6" w:space="0" w:color="000000" w:themeColor="text1"/>
            </w:tcBorders>
          </w:tcPr>
          <w:p w14:paraId="534E8250" w14:textId="6ECD8E82" w:rsidR="00C8085E" w:rsidRPr="003415D1" w:rsidRDefault="00FA3B26" w:rsidP="00AE5356">
            <w:pPr>
              <w:pStyle w:val="naisc"/>
              <w:spacing w:before="0" w:after="0"/>
              <w:ind w:left="34"/>
              <w:jc w:val="both"/>
            </w:pPr>
            <w:r w:rsidRPr="003415D1">
              <w:t>Lūdzam precizēt Plāna projekta Uzdevumu Nr.2.3.1. un Nr.2.3.2., pie līdzatbildīgajām institūcijām nosakot arī PTAC, ņemot vērā, ka patērētāju drošība ir PTAC primārā funkcija un PTAC pastāvīgi informē patērētājus par Uzdevumos norādīto problemātiku un brīdina patērētājus par draudiem to finanšu veselībai.</w:t>
            </w:r>
          </w:p>
        </w:tc>
        <w:tc>
          <w:tcPr>
            <w:tcW w:w="2835" w:type="dxa"/>
            <w:tcBorders>
              <w:left w:val="single" w:sz="6" w:space="0" w:color="000000" w:themeColor="text1"/>
              <w:bottom w:val="single" w:sz="4" w:space="0" w:color="auto"/>
              <w:right w:val="single" w:sz="6" w:space="0" w:color="000000" w:themeColor="text1"/>
            </w:tcBorders>
          </w:tcPr>
          <w:p w14:paraId="05EA1C98" w14:textId="393439FD" w:rsidR="00C8085E" w:rsidRPr="003415D1" w:rsidRDefault="00A90AFF" w:rsidP="00AE5356">
            <w:pPr>
              <w:pStyle w:val="naisc"/>
              <w:spacing w:before="0" w:after="0"/>
              <w:jc w:val="both"/>
            </w:pPr>
            <w:r w:rsidRPr="00211CCF">
              <w:t>Ņ</w:t>
            </w:r>
            <w:r w:rsidR="00EE50CE" w:rsidRPr="00211CCF">
              <w:t>emts</w:t>
            </w:r>
            <w:r w:rsidR="00EE50CE" w:rsidRPr="003415D1">
              <w:t xml:space="preserve"> vērā</w:t>
            </w:r>
          </w:p>
        </w:tc>
        <w:tc>
          <w:tcPr>
            <w:tcW w:w="3544" w:type="dxa"/>
            <w:tcBorders>
              <w:top w:val="single" w:sz="4" w:space="0" w:color="auto"/>
              <w:left w:val="single" w:sz="4" w:space="0" w:color="auto"/>
              <w:bottom w:val="single" w:sz="4" w:space="0" w:color="auto"/>
            </w:tcBorders>
          </w:tcPr>
          <w:p w14:paraId="0157AB6B" w14:textId="77777777" w:rsidR="00C8085E" w:rsidRPr="00AE5356" w:rsidRDefault="00C8085E" w:rsidP="00AE5356">
            <w:pPr>
              <w:jc w:val="both"/>
            </w:pPr>
          </w:p>
        </w:tc>
      </w:tr>
      <w:tr w:rsidR="00897CC2" w:rsidRPr="00AE5356" w14:paraId="6C7D5BE8" w14:textId="77777777" w:rsidTr="000E70CD">
        <w:tc>
          <w:tcPr>
            <w:tcW w:w="944" w:type="dxa"/>
            <w:tcBorders>
              <w:left w:val="single" w:sz="6" w:space="0" w:color="000000" w:themeColor="text1"/>
              <w:bottom w:val="single" w:sz="4" w:space="0" w:color="auto"/>
              <w:right w:val="single" w:sz="6" w:space="0" w:color="000000" w:themeColor="text1"/>
            </w:tcBorders>
          </w:tcPr>
          <w:p w14:paraId="45CB103B" w14:textId="681C6A35" w:rsidR="00897CC2" w:rsidRPr="00AE5356" w:rsidRDefault="00897CC2"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3FE9F23F" w14:textId="77777777" w:rsidR="00897CC2" w:rsidRPr="00AE5356" w:rsidRDefault="00897CC2" w:rsidP="00AE5356">
            <w:pPr>
              <w:pStyle w:val="naisc"/>
              <w:spacing w:before="0" w:after="0"/>
              <w:ind w:firstLine="720"/>
            </w:pPr>
          </w:p>
        </w:tc>
        <w:tc>
          <w:tcPr>
            <w:tcW w:w="4819" w:type="dxa"/>
            <w:gridSpan w:val="2"/>
            <w:tcBorders>
              <w:left w:val="single" w:sz="6" w:space="0" w:color="000000" w:themeColor="text1"/>
              <w:bottom w:val="single" w:sz="4" w:space="0" w:color="auto"/>
              <w:right w:val="single" w:sz="6" w:space="0" w:color="000000" w:themeColor="text1"/>
            </w:tcBorders>
          </w:tcPr>
          <w:p w14:paraId="689C8D2E" w14:textId="77777777" w:rsidR="00897CC2" w:rsidRPr="007E3F29" w:rsidRDefault="00EE759E" w:rsidP="00AE5356">
            <w:pPr>
              <w:pStyle w:val="naisc"/>
              <w:spacing w:before="0" w:after="0"/>
              <w:ind w:left="34"/>
              <w:jc w:val="both"/>
              <w:rPr>
                <w:b/>
                <w:u w:val="single"/>
              </w:rPr>
            </w:pPr>
            <w:r w:rsidRPr="007E3F29">
              <w:rPr>
                <w:b/>
                <w:u w:val="single"/>
              </w:rPr>
              <w:t>Latvijas banka:</w:t>
            </w:r>
          </w:p>
          <w:p w14:paraId="736307E4" w14:textId="44990B9F" w:rsidR="00EE759E" w:rsidRPr="007E3F29" w:rsidRDefault="00EE759E" w:rsidP="00AE5356">
            <w:pPr>
              <w:pStyle w:val="naisc"/>
              <w:ind w:left="34"/>
              <w:jc w:val="both"/>
            </w:pPr>
            <w:r w:rsidRPr="007E3F29">
              <w:lastRenderedPageBreak/>
              <w:t>Papildināt plāna projekta 5. sadaļu, precizējot ilgtspējas koncepta tvērumu.</w:t>
            </w:r>
          </w:p>
          <w:p w14:paraId="76659B01" w14:textId="2BA6E816" w:rsidR="00DE4F54" w:rsidRPr="007E3F29" w:rsidRDefault="00DE4F54" w:rsidP="00AE5356">
            <w:pPr>
              <w:pStyle w:val="naisc"/>
              <w:ind w:left="34"/>
              <w:jc w:val="both"/>
            </w:pPr>
            <w:r w:rsidRPr="007E3F29">
              <w:t>Papildināt 53. lpp. pirmo rindkopu ar: un jāpievērš uzmanība vispusīgam ilgtspējas elementu tvērumam.</w:t>
            </w:r>
          </w:p>
        </w:tc>
        <w:tc>
          <w:tcPr>
            <w:tcW w:w="2835" w:type="dxa"/>
            <w:tcBorders>
              <w:left w:val="single" w:sz="6" w:space="0" w:color="000000" w:themeColor="text1"/>
              <w:bottom w:val="single" w:sz="4" w:space="0" w:color="auto"/>
              <w:right w:val="single" w:sz="6" w:space="0" w:color="000000" w:themeColor="text1"/>
            </w:tcBorders>
          </w:tcPr>
          <w:p w14:paraId="1F72F646" w14:textId="4D834E59" w:rsidR="00897CC2" w:rsidRPr="00AE5356" w:rsidRDefault="00020ACF" w:rsidP="00AE5356">
            <w:pPr>
              <w:pStyle w:val="naisc"/>
              <w:spacing w:before="0" w:after="0"/>
              <w:jc w:val="both"/>
            </w:pPr>
            <w:r>
              <w:lastRenderedPageBreak/>
              <w:t>Ņ</w:t>
            </w:r>
            <w:r w:rsidR="006064DD" w:rsidRPr="00AE5356">
              <w:t>emts vērā</w:t>
            </w:r>
          </w:p>
        </w:tc>
        <w:tc>
          <w:tcPr>
            <w:tcW w:w="3544" w:type="dxa"/>
            <w:tcBorders>
              <w:top w:val="single" w:sz="4" w:space="0" w:color="auto"/>
              <w:left w:val="single" w:sz="4" w:space="0" w:color="auto"/>
              <w:bottom w:val="single" w:sz="4" w:space="0" w:color="auto"/>
            </w:tcBorders>
          </w:tcPr>
          <w:p w14:paraId="08CE6F91" w14:textId="77777777" w:rsidR="00897CC2" w:rsidRPr="00AE5356" w:rsidRDefault="00897CC2" w:rsidP="00AE5356">
            <w:pPr>
              <w:jc w:val="both"/>
            </w:pPr>
          </w:p>
        </w:tc>
      </w:tr>
      <w:tr w:rsidR="00DE4F54" w:rsidRPr="00AE5356" w14:paraId="1F90E72A" w14:textId="77777777" w:rsidTr="000E70CD">
        <w:tc>
          <w:tcPr>
            <w:tcW w:w="944" w:type="dxa"/>
            <w:tcBorders>
              <w:left w:val="single" w:sz="6" w:space="0" w:color="000000" w:themeColor="text1"/>
              <w:bottom w:val="single" w:sz="4" w:space="0" w:color="auto"/>
              <w:right w:val="single" w:sz="6" w:space="0" w:color="000000" w:themeColor="text1"/>
            </w:tcBorders>
          </w:tcPr>
          <w:p w14:paraId="6DA69327" w14:textId="77777777" w:rsidR="00DE4F54" w:rsidRPr="00AE5356" w:rsidRDefault="00DE4F54"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2A683675" w14:textId="77777777" w:rsidR="00DE4F54" w:rsidRPr="00AE5356" w:rsidRDefault="00DE4F54" w:rsidP="00AE5356">
            <w:pPr>
              <w:pStyle w:val="naisc"/>
              <w:spacing w:before="0" w:after="0"/>
              <w:ind w:firstLine="720"/>
            </w:pPr>
          </w:p>
        </w:tc>
        <w:tc>
          <w:tcPr>
            <w:tcW w:w="4819" w:type="dxa"/>
            <w:gridSpan w:val="2"/>
            <w:tcBorders>
              <w:left w:val="single" w:sz="6" w:space="0" w:color="000000" w:themeColor="text1"/>
              <w:bottom w:val="single" w:sz="4" w:space="0" w:color="auto"/>
              <w:right w:val="single" w:sz="6" w:space="0" w:color="000000" w:themeColor="text1"/>
            </w:tcBorders>
          </w:tcPr>
          <w:p w14:paraId="5BF5C6DB" w14:textId="4AFFC20B" w:rsidR="00DE4F54" w:rsidRPr="00DF40F2" w:rsidRDefault="00DE4F54" w:rsidP="00AE5356">
            <w:pPr>
              <w:pStyle w:val="naisc"/>
              <w:ind w:left="34"/>
              <w:jc w:val="both"/>
            </w:pPr>
            <w:r w:rsidRPr="00DF40F2">
              <w:t>Papildināt plāna projekta 5.1. sadaļu, precizējot ilgtspējas koncepta tvērumu.</w:t>
            </w:r>
          </w:p>
          <w:p w14:paraId="7AFDE092" w14:textId="7EDAB9FD" w:rsidR="00DE4F54" w:rsidRPr="00DF40F2" w:rsidRDefault="00DE4F54" w:rsidP="00AE5356">
            <w:pPr>
              <w:pStyle w:val="naisc"/>
              <w:spacing w:before="0" w:after="0"/>
              <w:ind w:left="34"/>
              <w:jc w:val="both"/>
              <w:rPr>
                <w:b/>
                <w:u w:val="single"/>
              </w:rPr>
            </w:pPr>
            <w:r w:rsidRPr="00DF40F2">
              <w:t>"Rīcības plānā: ilgtspējīgas izaugsmes finansēšana" norādīts, ka ar “ilgtspējīgām finansēm” parasti apzīmē procesu, kurā, pieņemot lēmumus par ieguldījumiem, tiek ņemti vērā vides un sociālie apsvērumi, tādējādi ilgtermiņā kāpinot ieguldījumus un ilgtspējīgu darbību. Konkrētāk, vides apsvērumi attiecas uz klimata pārmaiņu mazināšanu un pielāgošanos tām, kā arī uz vides aizsardzību plašākā ziņā  un saistītajiem riskiem (piem., dabas katastrofām). Sociālie apsvērumi var attiekties uz tādiem jautājumiem kā nevienlīdzība, iekļautība, darba attiecības, ieguldīšana cilvēkkapitālā un komūnās. Vides un sociālie apsvērumi bieži vien ir savstarpēji saistīti, jo tieši klimata pārmaiņas var saasināt esošo sistēmu nevienlīdzību.</w:t>
            </w:r>
          </w:p>
        </w:tc>
        <w:tc>
          <w:tcPr>
            <w:tcW w:w="2835" w:type="dxa"/>
            <w:tcBorders>
              <w:left w:val="single" w:sz="6" w:space="0" w:color="000000" w:themeColor="text1"/>
              <w:bottom w:val="single" w:sz="4" w:space="0" w:color="auto"/>
              <w:right w:val="single" w:sz="6" w:space="0" w:color="000000" w:themeColor="text1"/>
            </w:tcBorders>
          </w:tcPr>
          <w:p w14:paraId="789D3879" w14:textId="3DD1C148" w:rsidR="00DE4F54" w:rsidRPr="00AE5356" w:rsidRDefault="002B1D11" w:rsidP="00AE5356">
            <w:pPr>
              <w:pStyle w:val="naisc"/>
              <w:spacing w:before="0" w:after="0"/>
              <w:jc w:val="both"/>
            </w:pPr>
            <w:r>
              <w:t>Ņ</w:t>
            </w:r>
            <w:r w:rsidR="006064DD" w:rsidRPr="00AE5356">
              <w:t>emts vērā</w:t>
            </w:r>
          </w:p>
        </w:tc>
        <w:tc>
          <w:tcPr>
            <w:tcW w:w="3544" w:type="dxa"/>
            <w:tcBorders>
              <w:top w:val="single" w:sz="4" w:space="0" w:color="auto"/>
              <w:left w:val="single" w:sz="4" w:space="0" w:color="auto"/>
              <w:bottom w:val="single" w:sz="4" w:space="0" w:color="auto"/>
            </w:tcBorders>
          </w:tcPr>
          <w:p w14:paraId="428C687A" w14:textId="77777777" w:rsidR="00DE4F54" w:rsidRPr="00AE5356" w:rsidRDefault="006903D3" w:rsidP="00AE5356">
            <w:pPr>
              <w:jc w:val="both"/>
            </w:pPr>
            <w:r>
              <w:t>Finanšu sektora attīstības plāna teksts precizēts atbilstoši iebildumam.</w:t>
            </w:r>
          </w:p>
        </w:tc>
      </w:tr>
      <w:tr w:rsidR="00DE4F54" w:rsidRPr="00AE5356" w14:paraId="21227D72" w14:textId="77777777" w:rsidTr="000E70CD">
        <w:tc>
          <w:tcPr>
            <w:tcW w:w="944" w:type="dxa"/>
            <w:tcBorders>
              <w:left w:val="single" w:sz="6" w:space="0" w:color="000000" w:themeColor="text1"/>
              <w:bottom w:val="single" w:sz="4" w:space="0" w:color="auto"/>
              <w:right w:val="single" w:sz="6" w:space="0" w:color="000000" w:themeColor="text1"/>
            </w:tcBorders>
          </w:tcPr>
          <w:p w14:paraId="2223FD4C" w14:textId="77777777" w:rsidR="00DE4F54" w:rsidRPr="00AE5356" w:rsidRDefault="00DE4F54"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59B921F4" w14:textId="77777777" w:rsidR="00DE4F54" w:rsidRPr="00AE5356" w:rsidRDefault="00DE4F54" w:rsidP="00AE5356">
            <w:pPr>
              <w:pStyle w:val="naisc"/>
              <w:spacing w:before="0" w:after="0"/>
              <w:ind w:firstLine="720"/>
            </w:pPr>
          </w:p>
        </w:tc>
        <w:tc>
          <w:tcPr>
            <w:tcW w:w="4819" w:type="dxa"/>
            <w:gridSpan w:val="2"/>
            <w:tcBorders>
              <w:left w:val="single" w:sz="6" w:space="0" w:color="000000" w:themeColor="text1"/>
              <w:bottom w:val="single" w:sz="4" w:space="0" w:color="auto"/>
              <w:right w:val="single" w:sz="6" w:space="0" w:color="000000" w:themeColor="text1"/>
            </w:tcBorders>
          </w:tcPr>
          <w:p w14:paraId="551BA174" w14:textId="32BC296A" w:rsidR="00DE4F54" w:rsidRPr="00DF40F2" w:rsidRDefault="00DE4F54" w:rsidP="00AE5356">
            <w:pPr>
              <w:pStyle w:val="naisc"/>
              <w:ind w:left="34"/>
              <w:jc w:val="both"/>
            </w:pPr>
            <w:r w:rsidRPr="00DF40F2">
              <w:t>Papildināt plāna projekta 5.1. sadaļu, precizējot ilgtspējas koncepta tvērumu (55. lpp.):</w:t>
            </w:r>
          </w:p>
          <w:p w14:paraId="169C64D0" w14:textId="77777777" w:rsidR="00DE4F54" w:rsidRPr="00DF40F2" w:rsidRDefault="00DE4F54" w:rsidP="00AE5356">
            <w:pPr>
              <w:pStyle w:val="naisc"/>
              <w:ind w:left="34"/>
              <w:jc w:val="both"/>
            </w:pPr>
            <w:r w:rsidRPr="00DF40F2">
              <w:t>Taksonomijas regula, lai noteiktu konkrētas saimnieciskās darbības ilgtspēju vides ziņā, definē sešus vides mērķus, kas tālākā izvērsumā ietver arī ekonomisko un sociālo dimensiju:</w:t>
            </w:r>
          </w:p>
          <w:p w14:paraId="08D44254" w14:textId="48A85CB1" w:rsidR="00DE4F54" w:rsidRPr="00DF40F2" w:rsidRDefault="00DE4F54" w:rsidP="00AE5356">
            <w:pPr>
              <w:pStyle w:val="naisc"/>
              <w:ind w:left="34"/>
              <w:jc w:val="both"/>
            </w:pPr>
            <w:r w:rsidRPr="00DF40F2">
              <w:lastRenderedPageBreak/>
              <w:t xml:space="preserve">• klimata pārmaiņu mazināšana, </w:t>
            </w:r>
          </w:p>
          <w:p w14:paraId="52013DEC" w14:textId="6F114CB1" w:rsidR="00DE4F54" w:rsidRPr="00DF40F2" w:rsidRDefault="00DE4F54" w:rsidP="00AE5356">
            <w:pPr>
              <w:pStyle w:val="naisc"/>
              <w:ind w:left="34"/>
              <w:jc w:val="both"/>
            </w:pPr>
            <w:r w:rsidRPr="00DF40F2">
              <w:t xml:space="preserve">• pielāgošanās klimata pārmaiņām, </w:t>
            </w:r>
          </w:p>
          <w:p w14:paraId="14B1636C" w14:textId="3C36E118" w:rsidR="00DE4F54" w:rsidRPr="00DF40F2" w:rsidRDefault="00DE4F54" w:rsidP="00AE5356">
            <w:pPr>
              <w:pStyle w:val="naisc"/>
              <w:ind w:left="34"/>
              <w:jc w:val="both"/>
            </w:pPr>
            <w:r w:rsidRPr="00DF40F2">
              <w:t>• ilgtspējīga ūdens un jūras resursu izmantošana un aizsardzība,</w:t>
            </w:r>
          </w:p>
          <w:p w14:paraId="743FF428" w14:textId="063D7E06" w:rsidR="00DE4F54" w:rsidRPr="00DF40F2" w:rsidRDefault="00DE4F54" w:rsidP="00AE5356">
            <w:pPr>
              <w:pStyle w:val="naisc"/>
              <w:ind w:left="34"/>
              <w:jc w:val="both"/>
            </w:pPr>
            <w:r w:rsidRPr="00DF40F2">
              <w:t>• pāreja uz aprites ekonomiku,</w:t>
            </w:r>
          </w:p>
          <w:p w14:paraId="54869F23" w14:textId="34DB7AFB" w:rsidR="00DE4F54" w:rsidRPr="00DF40F2" w:rsidRDefault="00DE4F54" w:rsidP="00AE5356">
            <w:pPr>
              <w:pStyle w:val="naisc"/>
              <w:ind w:left="34"/>
              <w:jc w:val="both"/>
            </w:pPr>
            <w:r w:rsidRPr="00DF40F2">
              <w:t xml:space="preserve">• piesārņojuma novēršana un kontrole </w:t>
            </w:r>
          </w:p>
          <w:p w14:paraId="2E586336" w14:textId="5D99905A" w:rsidR="00DE4F54" w:rsidRPr="00AE5356" w:rsidRDefault="00DE4F54" w:rsidP="00AE5356">
            <w:pPr>
              <w:pStyle w:val="naisc"/>
              <w:ind w:left="34"/>
              <w:jc w:val="both"/>
            </w:pPr>
            <w:r w:rsidRPr="00DF40F2">
              <w:t>• bioloģiskās daudzveidības un ekosistēmu aizsardzība un atjaunošana.</w:t>
            </w:r>
          </w:p>
        </w:tc>
        <w:tc>
          <w:tcPr>
            <w:tcW w:w="2835" w:type="dxa"/>
            <w:tcBorders>
              <w:left w:val="single" w:sz="6" w:space="0" w:color="000000" w:themeColor="text1"/>
              <w:bottom w:val="single" w:sz="4" w:space="0" w:color="auto"/>
              <w:right w:val="single" w:sz="6" w:space="0" w:color="000000" w:themeColor="text1"/>
            </w:tcBorders>
          </w:tcPr>
          <w:p w14:paraId="0FE2D2BB" w14:textId="47CCF4FB" w:rsidR="00DE4F54" w:rsidRPr="00AE5356" w:rsidRDefault="00020ACF" w:rsidP="00AE5356">
            <w:pPr>
              <w:pStyle w:val="naisc"/>
              <w:spacing w:before="0" w:after="0"/>
              <w:jc w:val="both"/>
            </w:pPr>
            <w:r>
              <w:lastRenderedPageBreak/>
              <w:t>Ņ</w:t>
            </w:r>
            <w:r w:rsidR="00631569" w:rsidRPr="00AE5356">
              <w:t>emts vērā</w:t>
            </w:r>
          </w:p>
        </w:tc>
        <w:tc>
          <w:tcPr>
            <w:tcW w:w="3544" w:type="dxa"/>
            <w:tcBorders>
              <w:top w:val="single" w:sz="4" w:space="0" w:color="auto"/>
              <w:left w:val="single" w:sz="4" w:space="0" w:color="auto"/>
              <w:bottom w:val="single" w:sz="4" w:space="0" w:color="auto"/>
            </w:tcBorders>
          </w:tcPr>
          <w:p w14:paraId="0BBB07AF" w14:textId="77777777" w:rsidR="00DE4F54" w:rsidRPr="00AE5356" w:rsidRDefault="006903D3" w:rsidP="00AE5356">
            <w:pPr>
              <w:jc w:val="both"/>
            </w:pPr>
            <w:r>
              <w:t>Teksts precizēts.</w:t>
            </w:r>
          </w:p>
        </w:tc>
      </w:tr>
      <w:tr w:rsidR="00897CC2" w:rsidRPr="00AE5356" w14:paraId="0560902A" w14:textId="77777777" w:rsidTr="000E70CD">
        <w:tc>
          <w:tcPr>
            <w:tcW w:w="944" w:type="dxa"/>
            <w:tcBorders>
              <w:left w:val="single" w:sz="6" w:space="0" w:color="000000" w:themeColor="text1"/>
              <w:bottom w:val="single" w:sz="4" w:space="0" w:color="auto"/>
              <w:right w:val="single" w:sz="6" w:space="0" w:color="000000" w:themeColor="text1"/>
            </w:tcBorders>
          </w:tcPr>
          <w:p w14:paraId="3DF6D3BA" w14:textId="25234F0B" w:rsidR="00897CC2" w:rsidRPr="00AE5356" w:rsidRDefault="00897CC2" w:rsidP="00AE5356">
            <w:pPr>
              <w:pStyle w:val="ListParagraph"/>
              <w:numPr>
                <w:ilvl w:val="0"/>
                <w:numId w:val="19"/>
              </w:numPr>
              <w:rPr>
                <w:rFonts w:ascii="Times New Roman" w:hAnsi="Times New Roman"/>
              </w:rPr>
            </w:pPr>
          </w:p>
        </w:tc>
        <w:tc>
          <w:tcPr>
            <w:tcW w:w="2661" w:type="dxa"/>
            <w:tcBorders>
              <w:left w:val="single" w:sz="6" w:space="0" w:color="000000" w:themeColor="text1"/>
              <w:bottom w:val="single" w:sz="4" w:space="0" w:color="auto"/>
              <w:right w:val="single" w:sz="6" w:space="0" w:color="000000" w:themeColor="text1"/>
            </w:tcBorders>
          </w:tcPr>
          <w:p w14:paraId="61CDCEAD" w14:textId="77777777" w:rsidR="00897CC2" w:rsidRPr="00AE5356" w:rsidRDefault="00897CC2"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3B481B64" w14:textId="77777777" w:rsidR="00897CC2" w:rsidRPr="00DF40F2" w:rsidRDefault="00EE759E" w:rsidP="00AE5356">
            <w:pPr>
              <w:pStyle w:val="naisc"/>
              <w:spacing w:before="0" w:after="0"/>
              <w:jc w:val="left"/>
            </w:pPr>
            <w:r w:rsidRPr="00DF40F2">
              <w:t>Precizēt plāna 1.3.2., 1.3.3., 1.3.4., 2.2.4. un 3.1.1. uzdevumu/pasākumu</w:t>
            </w:r>
          </w:p>
        </w:tc>
        <w:tc>
          <w:tcPr>
            <w:tcW w:w="2835" w:type="dxa"/>
            <w:tcBorders>
              <w:left w:val="single" w:sz="6" w:space="0" w:color="000000" w:themeColor="text1"/>
              <w:bottom w:val="single" w:sz="4" w:space="0" w:color="auto"/>
              <w:right w:val="single" w:sz="6" w:space="0" w:color="000000" w:themeColor="text1"/>
            </w:tcBorders>
          </w:tcPr>
          <w:p w14:paraId="6BB9E253" w14:textId="34E68684" w:rsidR="00897CC2" w:rsidRPr="00DF40F2" w:rsidRDefault="00A90AFF" w:rsidP="00AE5356">
            <w:pPr>
              <w:pStyle w:val="naisc"/>
              <w:spacing w:before="0" w:after="0"/>
              <w:jc w:val="both"/>
            </w:pPr>
            <w:r w:rsidRPr="00DF40F2">
              <w:t>Ņemts vērā</w:t>
            </w:r>
          </w:p>
        </w:tc>
        <w:tc>
          <w:tcPr>
            <w:tcW w:w="3544" w:type="dxa"/>
            <w:tcBorders>
              <w:top w:val="single" w:sz="4" w:space="0" w:color="auto"/>
              <w:left w:val="single" w:sz="4" w:space="0" w:color="auto"/>
              <w:bottom w:val="single" w:sz="4" w:space="0" w:color="auto"/>
            </w:tcBorders>
          </w:tcPr>
          <w:p w14:paraId="23DE523C" w14:textId="2439CF2D" w:rsidR="00897CC2" w:rsidRPr="00AE5356" w:rsidRDefault="00A2347C" w:rsidP="00AE5356">
            <w:pPr>
              <w:jc w:val="both"/>
            </w:pPr>
            <w:r>
              <w:t>LB norādīta kā atbildīgā vai līdzatbildīgā institūcija minētajiem uzdevumiem.</w:t>
            </w:r>
          </w:p>
        </w:tc>
      </w:tr>
      <w:tr w:rsidR="00897CC2" w:rsidRPr="00AE5356" w14:paraId="3E50FAFD" w14:textId="77777777" w:rsidTr="000E70CD">
        <w:tc>
          <w:tcPr>
            <w:tcW w:w="944" w:type="dxa"/>
            <w:tcBorders>
              <w:left w:val="single" w:sz="6" w:space="0" w:color="000000" w:themeColor="text1"/>
              <w:bottom w:val="single" w:sz="4" w:space="0" w:color="auto"/>
              <w:right w:val="single" w:sz="6" w:space="0" w:color="000000" w:themeColor="text1"/>
            </w:tcBorders>
          </w:tcPr>
          <w:p w14:paraId="0F57406D" w14:textId="569C2007" w:rsidR="00897CC2" w:rsidRPr="00AE5356" w:rsidRDefault="00897CC2" w:rsidP="00AE5356">
            <w:pPr>
              <w:pStyle w:val="ListParagraph"/>
              <w:numPr>
                <w:ilvl w:val="0"/>
                <w:numId w:val="19"/>
              </w:numPr>
              <w:rPr>
                <w:rFonts w:ascii="Times New Roman" w:hAnsi="Times New Roman"/>
              </w:rPr>
            </w:pPr>
          </w:p>
        </w:tc>
        <w:tc>
          <w:tcPr>
            <w:tcW w:w="2661" w:type="dxa"/>
            <w:tcBorders>
              <w:left w:val="single" w:sz="6" w:space="0" w:color="000000" w:themeColor="text1"/>
              <w:bottom w:val="single" w:sz="4" w:space="0" w:color="auto"/>
              <w:right w:val="single" w:sz="6" w:space="0" w:color="000000" w:themeColor="text1"/>
            </w:tcBorders>
          </w:tcPr>
          <w:p w14:paraId="52E56223" w14:textId="2434FB63" w:rsidR="00897CC2" w:rsidRPr="00AE5356" w:rsidRDefault="00897CC2" w:rsidP="00AE5356">
            <w:pPr>
              <w:pStyle w:val="naisc"/>
              <w:spacing w:before="0" w:after="0"/>
              <w:jc w:val="left"/>
            </w:pPr>
          </w:p>
        </w:tc>
        <w:tc>
          <w:tcPr>
            <w:tcW w:w="4819" w:type="dxa"/>
            <w:gridSpan w:val="2"/>
            <w:tcBorders>
              <w:left w:val="single" w:sz="6" w:space="0" w:color="000000" w:themeColor="text1"/>
              <w:bottom w:val="single" w:sz="4" w:space="0" w:color="auto"/>
              <w:right w:val="single" w:sz="6" w:space="0" w:color="000000" w:themeColor="text1"/>
            </w:tcBorders>
          </w:tcPr>
          <w:p w14:paraId="2385936C" w14:textId="77777777" w:rsidR="00897CC2" w:rsidRPr="00DF40F2" w:rsidRDefault="00EE759E" w:rsidP="00AE5356">
            <w:pPr>
              <w:pStyle w:val="naisc"/>
              <w:jc w:val="left"/>
            </w:pPr>
            <w:r w:rsidRPr="00DF40F2">
              <w:t>Iekļaut Latvijas Banku kā līdzatbildīgo institūciju plāna 2.1.3., 2.1.6., 2.1.7. un 2.3.2. uzdevumā/pasākumā.</w:t>
            </w:r>
          </w:p>
        </w:tc>
        <w:tc>
          <w:tcPr>
            <w:tcW w:w="2835" w:type="dxa"/>
            <w:tcBorders>
              <w:left w:val="single" w:sz="6" w:space="0" w:color="000000" w:themeColor="text1"/>
              <w:bottom w:val="single" w:sz="4" w:space="0" w:color="auto"/>
              <w:right w:val="single" w:sz="6" w:space="0" w:color="000000" w:themeColor="text1"/>
            </w:tcBorders>
          </w:tcPr>
          <w:p w14:paraId="07547A01" w14:textId="79EB5F0E" w:rsidR="00897CC2" w:rsidRPr="00DF40F2" w:rsidRDefault="005E7DE3" w:rsidP="00AE5356">
            <w:pPr>
              <w:pStyle w:val="naisc"/>
              <w:spacing w:before="0" w:after="0"/>
              <w:jc w:val="both"/>
              <w:rPr>
                <w:b/>
              </w:rPr>
            </w:pPr>
            <w:r w:rsidRPr="00DF40F2">
              <w:t>Ņ</w:t>
            </w:r>
            <w:r w:rsidR="00631569" w:rsidRPr="00DF40F2">
              <w:t>emts vērā</w:t>
            </w:r>
          </w:p>
        </w:tc>
        <w:tc>
          <w:tcPr>
            <w:tcW w:w="3544" w:type="dxa"/>
            <w:tcBorders>
              <w:top w:val="single" w:sz="4" w:space="0" w:color="auto"/>
              <w:left w:val="single" w:sz="4" w:space="0" w:color="auto"/>
              <w:bottom w:val="single" w:sz="4" w:space="0" w:color="auto"/>
            </w:tcBorders>
          </w:tcPr>
          <w:p w14:paraId="5043CB0F" w14:textId="2D74E74D" w:rsidR="00897CC2" w:rsidRPr="00AE5356" w:rsidRDefault="00A2347C" w:rsidP="00AE5356">
            <w:pPr>
              <w:jc w:val="both"/>
            </w:pPr>
            <w:r>
              <w:t>LB pievienota kā līdzatbildīgā institūcija minētajos uzdevumos.</w:t>
            </w:r>
          </w:p>
        </w:tc>
      </w:tr>
      <w:tr w:rsidR="00575A1E" w:rsidRPr="00AE5356" w14:paraId="5D4D3EB1" w14:textId="77777777" w:rsidTr="000E70CD">
        <w:tc>
          <w:tcPr>
            <w:tcW w:w="944" w:type="dxa"/>
            <w:tcBorders>
              <w:left w:val="single" w:sz="6" w:space="0" w:color="000000" w:themeColor="text1"/>
              <w:bottom w:val="single" w:sz="4" w:space="0" w:color="auto"/>
              <w:right w:val="single" w:sz="6" w:space="0" w:color="000000" w:themeColor="text1"/>
            </w:tcBorders>
          </w:tcPr>
          <w:p w14:paraId="28E91CDB" w14:textId="77777777" w:rsidR="00575A1E" w:rsidRPr="00AE5356" w:rsidRDefault="00575A1E" w:rsidP="00AE5356">
            <w:pPr>
              <w:pStyle w:val="ListParagraph"/>
              <w:numPr>
                <w:ilvl w:val="0"/>
                <w:numId w:val="19"/>
              </w:numPr>
              <w:rPr>
                <w:rFonts w:ascii="Times New Roman" w:hAnsi="Times New Roman"/>
              </w:rPr>
            </w:pPr>
          </w:p>
        </w:tc>
        <w:tc>
          <w:tcPr>
            <w:tcW w:w="2661" w:type="dxa"/>
            <w:tcBorders>
              <w:left w:val="single" w:sz="6" w:space="0" w:color="000000" w:themeColor="text1"/>
              <w:bottom w:val="single" w:sz="4" w:space="0" w:color="auto"/>
              <w:right w:val="single" w:sz="6" w:space="0" w:color="000000" w:themeColor="text1"/>
            </w:tcBorders>
          </w:tcPr>
          <w:p w14:paraId="1204CE69" w14:textId="663FBC78" w:rsidR="00575A1E" w:rsidRPr="00207D2D" w:rsidRDefault="00575A1E" w:rsidP="00AE5356">
            <w:pPr>
              <w:pStyle w:val="naisc"/>
              <w:spacing w:before="0" w:after="0"/>
              <w:jc w:val="left"/>
            </w:pPr>
            <w:r w:rsidRPr="00207D2D">
              <w:t>Veicināt skaidrāku politikas mērķu un ceļa kartes definēšanu konkrētās tautsaimniecības nozarēs klimata neitralitātes  sasniegšanai.</w:t>
            </w:r>
          </w:p>
        </w:tc>
        <w:tc>
          <w:tcPr>
            <w:tcW w:w="4819" w:type="dxa"/>
            <w:gridSpan w:val="2"/>
            <w:tcBorders>
              <w:left w:val="single" w:sz="6" w:space="0" w:color="000000" w:themeColor="text1"/>
              <w:bottom w:val="single" w:sz="4" w:space="0" w:color="auto"/>
              <w:right w:val="single" w:sz="6" w:space="0" w:color="000000" w:themeColor="text1"/>
            </w:tcBorders>
          </w:tcPr>
          <w:p w14:paraId="060A3936" w14:textId="040EE2FA" w:rsidR="00575A1E" w:rsidRPr="00207D2D" w:rsidRDefault="00575A1E" w:rsidP="00AE5356">
            <w:pPr>
              <w:pStyle w:val="naisc"/>
              <w:jc w:val="left"/>
            </w:pPr>
            <w:r w:rsidRPr="00207D2D">
              <w:t>Izteikt uzdevuma 3.1.1. darbības rezultātu šādā redakcijā:</w:t>
            </w:r>
          </w:p>
          <w:p w14:paraId="5D6F453F" w14:textId="720F87D4" w:rsidR="00575A1E" w:rsidRPr="00207D2D" w:rsidRDefault="00575A1E" w:rsidP="00AE5356">
            <w:pPr>
              <w:pStyle w:val="naisc"/>
              <w:jc w:val="left"/>
            </w:pPr>
            <w:r w:rsidRPr="00207D2D">
              <w:t>Veicināt skaidrāku politikas mērķu un ceļa kartes definēšanu konkrētās tautsaimniecības nozarēs ilgtspējas mērķu  sasniegšanai.</w:t>
            </w:r>
          </w:p>
        </w:tc>
        <w:tc>
          <w:tcPr>
            <w:tcW w:w="2835" w:type="dxa"/>
            <w:tcBorders>
              <w:left w:val="single" w:sz="6" w:space="0" w:color="000000" w:themeColor="text1"/>
              <w:bottom w:val="single" w:sz="4" w:space="0" w:color="auto"/>
              <w:right w:val="single" w:sz="6" w:space="0" w:color="000000" w:themeColor="text1"/>
            </w:tcBorders>
          </w:tcPr>
          <w:p w14:paraId="10C05715" w14:textId="0299CE22" w:rsidR="00575A1E" w:rsidRPr="00207D2D" w:rsidRDefault="00A90AFF" w:rsidP="00AE5356">
            <w:pPr>
              <w:pStyle w:val="naisc"/>
              <w:spacing w:before="0" w:after="0"/>
              <w:jc w:val="both"/>
            </w:pPr>
            <w:r w:rsidRPr="00207D2D">
              <w:t>Ņemts vērā</w:t>
            </w:r>
          </w:p>
        </w:tc>
        <w:tc>
          <w:tcPr>
            <w:tcW w:w="3544" w:type="dxa"/>
            <w:tcBorders>
              <w:top w:val="single" w:sz="4" w:space="0" w:color="auto"/>
              <w:left w:val="single" w:sz="4" w:space="0" w:color="auto"/>
              <w:bottom w:val="single" w:sz="4" w:space="0" w:color="auto"/>
            </w:tcBorders>
          </w:tcPr>
          <w:p w14:paraId="3DD98843" w14:textId="77777777" w:rsidR="00575A1E" w:rsidRPr="00AE5356" w:rsidRDefault="00575A1E" w:rsidP="00AE5356">
            <w:pPr>
              <w:jc w:val="both"/>
            </w:pPr>
          </w:p>
        </w:tc>
      </w:tr>
      <w:tr w:rsidR="00897CC2" w:rsidRPr="00AE5356" w14:paraId="07F02A9B" w14:textId="77777777" w:rsidTr="000E70CD">
        <w:tc>
          <w:tcPr>
            <w:tcW w:w="944" w:type="dxa"/>
            <w:tcBorders>
              <w:left w:val="single" w:sz="6" w:space="0" w:color="000000" w:themeColor="text1"/>
              <w:bottom w:val="single" w:sz="4" w:space="0" w:color="auto"/>
              <w:right w:val="single" w:sz="6" w:space="0" w:color="000000" w:themeColor="text1"/>
            </w:tcBorders>
          </w:tcPr>
          <w:p w14:paraId="5F682803" w14:textId="3E858DE0" w:rsidR="00897CC2" w:rsidRPr="00AE5356" w:rsidRDefault="00897CC2"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7459315" w14:textId="77777777" w:rsidR="00897CC2" w:rsidRPr="00AE5356" w:rsidRDefault="00897CC2"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5E0DAF7E" w14:textId="77777777" w:rsidR="00897CC2" w:rsidRPr="00207D2D" w:rsidRDefault="00EE759E" w:rsidP="00AE5356">
            <w:pPr>
              <w:jc w:val="both"/>
              <w:rPr>
                <w:b/>
                <w:u w:val="single"/>
              </w:rPr>
            </w:pPr>
            <w:r w:rsidRPr="00207D2D">
              <w:rPr>
                <w:b/>
                <w:u w:val="single"/>
              </w:rPr>
              <w:t>Aizsardzības ministrija:</w:t>
            </w:r>
          </w:p>
          <w:p w14:paraId="2D806C20" w14:textId="77777777" w:rsidR="00EE759E" w:rsidRPr="00207D2D" w:rsidRDefault="00EE759E" w:rsidP="00AE5356">
            <w:pPr>
              <w:jc w:val="both"/>
            </w:pPr>
            <w:r w:rsidRPr="00207D2D">
              <w:t>Plāna projekta 4. nodaļas "Digitalizācija un inovatīvu pakalpojumu pieejamība" ievada daļā papildināt pirmo rindkopu ar ceturto teikumu šādā redakcijā: "Tāpēc ir ļoti svarīgi izvērtēt datu izmantošanas drošības apsvērumus, ievērojot samērīgu balansu starp komersantu interesēm un spēju nodrošināt nepieciešamo drošības līmeni."</w:t>
            </w:r>
          </w:p>
        </w:tc>
        <w:tc>
          <w:tcPr>
            <w:tcW w:w="2835" w:type="dxa"/>
            <w:tcBorders>
              <w:left w:val="single" w:sz="6" w:space="0" w:color="000000" w:themeColor="text1"/>
              <w:bottom w:val="single" w:sz="4" w:space="0" w:color="auto"/>
              <w:right w:val="single" w:sz="6" w:space="0" w:color="000000" w:themeColor="text1"/>
            </w:tcBorders>
          </w:tcPr>
          <w:p w14:paraId="6537F28F" w14:textId="55590FBF" w:rsidR="00897CC2" w:rsidRPr="00DF40F2" w:rsidRDefault="005E7DE3" w:rsidP="00AE5356">
            <w:pPr>
              <w:pStyle w:val="naisc"/>
              <w:spacing w:before="0" w:after="0"/>
              <w:jc w:val="both"/>
            </w:pPr>
            <w:r w:rsidRPr="00207D2D">
              <w:t>Ņ</w:t>
            </w:r>
            <w:r w:rsidR="00631569" w:rsidRPr="00207D2D">
              <w:t>emts vērā</w:t>
            </w:r>
            <w:r w:rsidR="00866120">
              <w:t>.</w:t>
            </w:r>
          </w:p>
        </w:tc>
        <w:tc>
          <w:tcPr>
            <w:tcW w:w="3544" w:type="dxa"/>
            <w:tcBorders>
              <w:top w:val="single" w:sz="4" w:space="0" w:color="auto"/>
              <w:left w:val="single" w:sz="4" w:space="0" w:color="auto"/>
              <w:bottom w:val="single" w:sz="4" w:space="0" w:color="auto"/>
            </w:tcBorders>
          </w:tcPr>
          <w:p w14:paraId="6DFB9E20" w14:textId="430FBEE0" w:rsidR="00897CC2" w:rsidRPr="00DF40F2" w:rsidRDefault="00207D2D" w:rsidP="00AE5356">
            <w:pPr>
              <w:jc w:val="both"/>
            </w:pPr>
            <w:r>
              <w:t xml:space="preserve">4. nodaļas pirmā rindkopa papildināta ar: </w:t>
            </w:r>
            <w:r w:rsidRPr="003001E9">
              <w:rPr>
                <w:iCs/>
              </w:rPr>
              <w:t>Tāpēc ir ļoti svarīgi izvērtēt datu izmantošanas drošības apsvērumus, ievērojot samērīgu balansu starp komersantu interesēm un spēju nodrošināt nepieciešamo drošības līmeni.</w:t>
            </w:r>
          </w:p>
        </w:tc>
      </w:tr>
      <w:tr w:rsidR="00D751C5" w:rsidRPr="00AE5356" w14:paraId="524727D9" w14:textId="77777777" w:rsidTr="000E70CD">
        <w:tc>
          <w:tcPr>
            <w:tcW w:w="944" w:type="dxa"/>
            <w:tcBorders>
              <w:left w:val="single" w:sz="6" w:space="0" w:color="000000" w:themeColor="text1"/>
              <w:bottom w:val="single" w:sz="4" w:space="0" w:color="auto"/>
              <w:right w:val="single" w:sz="6" w:space="0" w:color="000000" w:themeColor="text1"/>
            </w:tcBorders>
          </w:tcPr>
          <w:p w14:paraId="6B7135B9" w14:textId="24A0A258" w:rsidR="00D751C5" w:rsidRPr="00AE5356" w:rsidRDefault="00D751C5"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0DF9E56" w14:textId="77777777" w:rsidR="00D751C5" w:rsidRPr="00AE5356" w:rsidRDefault="00D751C5" w:rsidP="00AE5356">
            <w:pPr>
              <w:pStyle w:val="naisc"/>
              <w:spacing w:before="0" w:after="0"/>
              <w:jc w:val="left"/>
            </w:pPr>
          </w:p>
        </w:tc>
        <w:tc>
          <w:tcPr>
            <w:tcW w:w="4819" w:type="dxa"/>
            <w:gridSpan w:val="2"/>
            <w:tcBorders>
              <w:left w:val="single" w:sz="6" w:space="0" w:color="000000" w:themeColor="text1"/>
              <w:bottom w:val="single" w:sz="4" w:space="0" w:color="auto"/>
              <w:right w:val="single" w:sz="6" w:space="0" w:color="000000" w:themeColor="text1"/>
            </w:tcBorders>
          </w:tcPr>
          <w:p w14:paraId="3F459DEE" w14:textId="77777777" w:rsidR="00D751C5" w:rsidRPr="00DF40F2" w:rsidRDefault="00EE759E" w:rsidP="00AE5356">
            <w:pPr>
              <w:spacing w:after="60"/>
              <w:jc w:val="both"/>
            </w:pPr>
            <w:r w:rsidRPr="00DF40F2">
              <w:t>Plāna projekta 4. nodaļas ievada daļā papildināt trešo rindkopu ar trešo, ceturto un piekto teikumu šādā redakcijā: "Vienlaikus jāņem vērā politikas plānošanas dokumentos noteiktā nepieciešamība veicināt kiberdrošību un mazināt digitālās drošības riskus. Kiberdrošība ir visaptverošas valsts aizsardzības sistēmas elements. Kiberdrošības politikas vīzija ir droša, atvērta, brīva un uzticama kibertelpa, kurā garantēta valstij un sabiedrībai būtisku pakalpojumu droša, uzticama un nepārtraukta saņemšana un sniegšana un indivīda cilvēktiesības tiek ievērotas kā fiziskajā, tā virtuālajā vidē."</w:t>
            </w:r>
          </w:p>
        </w:tc>
        <w:tc>
          <w:tcPr>
            <w:tcW w:w="2835" w:type="dxa"/>
            <w:tcBorders>
              <w:left w:val="single" w:sz="6" w:space="0" w:color="000000" w:themeColor="text1"/>
              <w:bottom w:val="single" w:sz="4" w:space="0" w:color="auto"/>
              <w:right w:val="single" w:sz="6" w:space="0" w:color="000000" w:themeColor="text1"/>
            </w:tcBorders>
          </w:tcPr>
          <w:p w14:paraId="44E871BC" w14:textId="3D33EBB1" w:rsidR="00D751C5" w:rsidRPr="00DF40F2" w:rsidRDefault="00A90AFF" w:rsidP="00AE5356">
            <w:pPr>
              <w:pStyle w:val="naisc"/>
              <w:spacing w:before="0" w:after="0"/>
              <w:jc w:val="left"/>
            </w:pPr>
            <w:r w:rsidRPr="00DF40F2">
              <w:t>Ņemts vērā</w:t>
            </w:r>
            <w:r w:rsidR="00866120">
              <w:t>.</w:t>
            </w:r>
          </w:p>
        </w:tc>
        <w:tc>
          <w:tcPr>
            <w:tcW w:w="3544" w:type="dxa"/>
            <w:tcBorders>
              <w:top w:val="single" w:sz="4" w:space="0" w:color="auto"/>
              <w:left w:val="single" w:sz="4" w:space="0" w:color="auto"/>
              <w:bottom w:val="single" w:sz="4" w:space="0" w:color="auto"/>
            </w:tcBorders>
          </w:tcPr>
          <w:p w14:paraId="144A5D23" w14:textId="1E6BBADA" w:rsidR="00D751C5" w:rsidRPr="00AE5356" w:rsidRDefault="00100B33" w:rsidP="00100B33">
            <w:pPr>
              <w:jc w:val="both"/>
            </w:pPr>
            <w:r>
              <w:t>4. nodaļas ieva</w:t>
            </w:r>
            <w:r w:rsidR="0003142C">
              <w:t>da daļā trešā rindkopa papildinā</w:t>
            </w:r>
            <w:r>
              <w:t>ta</w:t>
            </w:r>
            <w:r w:rsidRPr="00880C22">
              <w:t xml:space="preserve"> ar trešo, ceturto un piekto teikumu šādā redakcijā</w:t>
            </w:r>
            <w:r>
              <w:t>:</w:t>
            </w:r>
            <w:r w:rsidRPr="00880C22">
              <w:t xml:space="preserve"> Vienlaikus jāņem vērā politikas plānošanas dokumentos noteiktā nepieciešamība veicināt kiberdrošību un mazināt digitālās drošības riskus. Kiberdrošība ir visaptverošas valsts aizsardzības sistēmas elements. Kiberdrošības politikas vīzija ir droša, atvērta, brīva un uzticama kibertelpa, kurā garantēta valstij un sabiedrībai būtisku pakalpojumu droša, uzticama un nepārtraukta saņemšana un sniegšana un indivīda cilvēktiesības tiek ievērotas kā fiziskajā, tā virtuālajā vidē.</w:t>
            </w:r>
          </w:p>
        </w:tc>
      </w:tr>
      <w:tr w:rsidR="008C2DF8" w:rsidRPr="00AE5356" w14:paraId="1DE52615" w14:textId="77777777" w:rsidTr="000E70CD">
        <w:tc>
          <w:tcPr>
            <w:tcW w:w="944" w:type="dxa"/>
            <w:tcBorders>
              <w:left w:val="single" w:sz="6" w:space="0" w:color="000000" w:themeColor="text1"/>
              <w:bottom w:val="single" w:sz="4" w:space="0" w:color="auto"/>
              <w:right w:val="single" w:sz="6" w:space="0" w:color="000000" w:themeColor="text1"/>
            </w:tcBorders>
          </w:tcPr>
          <w:p w14:paraId="6D6998CD" w14:textId="4180C6E3" w:rsidR="008C2DF8" w:rsidRPr="00AE5356" w:rsidRDefault="008C2DF8"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38610EB" w14:textId="77777777" w:rsidR="008C2DF8" w:rsidRPr="00AE5356" w:rsidRDefault="008C2DF8" w:rsidP="00AE5356">
            <w:pPr>
              <w:pStyle w:val="naisc"/>
              <w:spacing w:before="0" w:after="0"/>
              <w:jc w:val="left"/>
            </w:pPr>
          </w:p>
        </w:tc>
        <w:tc>
          <w:tcPr>
            <w:tcW w:w="4819" w:type="dxa"/>
            <w:gridSpan w:val="2"/>
            <w:tcBorders>
              <w:left w:val="single" w:sz="6" w:space="0" w:color="000000" w:themeColor="text1"/>
              <w:bottom w:val="single" w:sz="4" w:space="0" w:color="auto"/>
              <w:right w:val="single" w:sz="6" w:space="0" w:color="000000" w:themeColor="text1"/>
            </w:tcBorders>
          </w:tcPr>
          <w:p w14:paraId="1FC3711E" w14:textId="77777777" w:rsidR="008C2DF8" w:rsidRPr="00DF40F2" w:rsidRDefault="00EE759E" w:rsidP="00AE5356">
            <w:pPr>
              <w:spacing w:after="60"/>
              <w:jc w:val="both"/>
            </w:pPr>
            <w:r w:rsidRPr="00DF40F2">
              <w:t>Plāna projekta 4. nodaļas ievada daļā papildināt ceturto rindkopu ar piekto teikumu šādā redakcijā: "Jāatzīmē, ka Eiropas Komisija izstrādājusi rekomendācijas pasākumiem, kas jāīsteno dalībvalstīm, lai mazinātu kiberdrošības riskus 5G tīklos."</w:t>
            </w:r>
          </w:p>
        </w:tc>
        <w:tc>
          <w:tcPr>
            <w:tcW w:w="2835" w:type="dxa"/>
            <w:tcBorders>
              <w:left w:val="single" w:sz="6" w:space="0" w:color="000000" w:themeColor="text1"/>
              <w:bottom w:val="single" w:sz="4" w:space="0" w:color="auto"/>
              <w:right w:val="single" w:sz="6" w:space="0" w:color="000000" w:themeColor="text1"/>
            </w:tcBorders>
          </w:tcPr>
          <w:p w14:paraId="637805D2" w14:textId="217EE882" w:rsidR="008C2DF8" w:rsidRPr="00DF40F2" w:rsidRDefault="00A90AFF" w:rsidP="00DF40F2">
            <w:pPr>
              <w:pStyle w:val="naisc"/>
              <w:spacing w:before="0" w:after="0"/>
              <w:jc w:val="left"/>
            </w:pPr>
            <w:r w:rsidRPr="00DF40F2">
              <w:t>Ņemts vērā</w:t>
            </w:r>
            <w:r w:rsidR="00866120">
              <w:t>.</w:t>
            </w:r>
          </w:p>
        </w:tc>
        <w:tc>
          <w:tcPr>
            <w:tcW w:w="3544" w:type="dxa"/>
            <w:tcBorders>
              <w:top w:val="single" w:sz="4" w:space="0" w:color="auto"/>
              <w:left w:val="single" w:sz="4" w:space="0" w:color="auto"/>
              <w:bottom w:val="single" w:sz="4" w:space="0" w:color="auto"/>
            </w:tcBorders>
          </w:tcPr>
          <w:p w14:paraId="463F29E8" w14:textId="4754BF82" w:rsidR="008C2DF8" w:rsidRPr="00AE5356" w:rsidRDefault="00A6449F" w:rsidP="00A6449F">
            <w:pPr>
              <w:jc w:val="both"/>
            </w:pPr>
            <w:r>
              <w:t>4. nodaļas ievada daļā ceturtā rindkopa papildināta</w:t>
            </w:r>
            <w:r w:rsidRPr="00880C22">
              <w:t xml:space="preserve"> ar piekto teikumu šādā redakcijā:</w:t>
            </w:r>
            <w:r>
              <w:t xml:space="preserve"> </w:t>
            </w:r>
            <w:r w:rsidRPr="00A6449F">
              <w:t>Jāatzīmē, ka Eiropas Komisija izstrādājusi rekomendācijas pasākumiem, kas jāīsteno dalībvalstīm, lai mazinātu kiberdrošības riskus 5G tīklos.</w:t>
            </w:r>
          </w:p>
        </w:tc>
      </w:tr>
      <w:tr w:rsidR="008C2DF8" w:rsidRPr="00AE5356" w14:paraId="3E193358" w14:textId="77777777" w:rsidTr="000E70CD">
        <w:tc>
          <w:tcPr>
            <w:tcW w:w="944" w:type="dxa"/>
            <w:tcBorders>
              <w:left w:val="single" w:sz="6" w:space="0" w:color="000000" w:themeColor="text1"/>
              <w:bottom w:val="single" w:sz="4" w:space="0" w:color="auto"/>
              <w:right w:val="single" w:sz="6" w:space="0" w:color="000000" w:themeColor="text1"/>
            </w:tcBorders>
          </w:tcPr>
          <w:p w14:paraId="43ACE903" w14:textId="045ABFCB" w:rsidR="008C2DF8" w:rsidRPr="00AE5356" w:rsidRDefault="008C2DF8"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3B7B4B86" w14:textId="77777777" w:rsidR="008C2DF8" w:rsidRPr="00AE5356" w:rsidRDefault="008C2DF8" w:rsidP="00AE5356">
            <w:pPr>
              <w:pStyle w:val="naisc"/>
              <w:spacing w:before="0" w:after="0"/>
              <w:jc w:val="left"/>
            </w:pPr>
          </w:p>
        </w:tc>
        <w:tc>
          <w:tcPr>
            <w:tcW w:w="4819" w:type="dxa"/>
            <w:gridSpan w:val="2"/>
            <w:tcBorders>
              <w:left w:val="single" w:sz="6" w:space="0" w:color="000000" w:themeColor="text1"/>
              <w:bottom w:val="single" w:sz="4" w:space="0" w:color="auto"/>
              <w:right w:val="single" w:sz="6" w:space="0" w:color="000000" w:themeColor="text1"/>
            </w:tcBorders>
          </w:tcPr>
          <w:p w14:paraId="6AF7472A" w14:textId="77777777" w:rsidR="008C2DF8" w:rsidRPr="00DF40F2" w:rsidRDefault="00EE759E" w:rsidP="00AE5356">
            <w:pPr>
              <w:jc w:val="both"/>
            </w:pPr>
            <w:r w:rsidRPr="00DF40F2">
              <w:t>Ievērojot Informācijas tehnoloģiju drošības incidentu novēršanas institūcijas (CERT.LV) uzdevumus, kas noteikti Informācijas tehnoloģiju drošības likumā, plāna projekta 2.3.1. uzdevuma ailē "Līdzatbildīgās institūcijas" norādīt arī CERT.LV.</w:t>
            </w:r>
          </w:p>
        </w:tc>
        <w:tc>
          <w:tcPr>
            <w:tcW w:w="2835" w:type="dxa"/>
            <w:tcBorders>
              <w:left w:val="single" w:sz="6" w:space="0" w:color="000000" w:themeColor="text1"/>
              <w:bottom w:val="single" w:sz="4" w:space="0" w:color="auto"/>
              <w:right w:val="single" w:sz="6" w:space="0" w:color="000000" w:themeColor="text1"/>
            </w:tcBorders>
          </w:tcPr>
          <w:p w14:paraId="3A0FF5F2" w14:textId="48F7B47F" w:rsidR="008C2DF8" w:rsidRPr="00DF40F2" w:rsidRDefault="00A90AFF" w:rsidP="00DF40F2">
            <w:pPr>
              <w:pStyle w:val="naisc"/>
              <w:spacing w:before="0" w:after="0"/>
              <w:jc w:val="left"/>
            </w:pPr>
            <w:r w:rsidRPr="00DF40F2">
              <w:t>Ņemts vērā</w:t>
            </w:r>
            <w:r w:rsidR="002958C2">
              <w:t>.</w:t>
            </w:r>
          </w:p>
        </w:tc>
        <w:tc>
          <w:tcPr>
            <w:tcW w:w="3544" w:type="dxa"/>
            <w:tcBorders>
              <w:top w:val="single" w:sz="4" w:space="0" w:color="auto"/>
              <w:left w:val="single" w:sz="4" w:space="0" w:color="auto"/>
              <w:bottom w:val="single" w:sz="4" w:space="0" w:color="auto"/>
            </w:tcBorders>
          </w:tcPr>
          <w:p w14:paraId="5630AD66" w14:textId="4A7B8E2E" w:rsidR="008C2DF8" w:rsidRPr="00AE5356" w:rsidRDefault="00511812" w:rsidP="00511812">
            <w:pPr>
              <w:jc w:val="both"/>
            </w:pPr>
            <w:r>
              <w:t>P</w:t>
            </w:r>
            <w:r w:rsidRPr="00880C22">
              <w:t xml:space="preserve">lāna projekta 2.3.1. uzdevuma </w:t>
            </w:r>
            <w:r>
              <w:t>līdzatbildīgajām institūcijām</w:t>
            </w:r>
            <w:r w:rsidRPr="00880C22">
              <w:t xml:space="preserve"> </w:t>
            </w:r>
            <w:r>
              <w:t>pievienota</w:t>
            </w:r>
            <w:r w:rsidRPr="00880C22">
              <w:t xml:space="preserve"> CERT.LV</w:t>
            </w:r>
          </w:p>
        </w:tc>
      </w:tr>
      <w:tr w:rsidR="008C2DF8" w:rsidRPr="00AE5356" w14:paraId="520FA5D8" w14:textId="77777777" w:rsidTr="000E70CD">
        <w:tc>
          <w:tcPr>
            <w:tcW w:w="944" w:type="dxa"/>
            <w:tcBorders>
              <w:left w:val="single" w:sz="6" w:space="0" w:color="000000" w:themeColor="text1"/>
              <w:bottom w:val="single" w:sz="4" w:space="0" w:color="auto"/>
              <w:right w:val="single" w:sz="6" w:space="0" w:color="000000" w:themeColor="text1"/>
            </w:tcBorders>
          </w:tcPr>
          <w:p w14:paraId="64FED937" w14:textId="287C939B" w:rsidR="008C2DF8" w:rsidRPr="00AE5356" w:rsidRDefault="008C2DF8"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61829076" w14:textId="77777777" w:rsidR="008C2DF8" w:rsidRPr="00AE5356" w:rsidRDefault="008C2DF8"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7972ECF8" w14:textId="77777777" w:rsidR="008C2DF8" w:rsidRPr="00DF40F2" w:rsidRDefault="00EE759E" w:rsidP="00AE5356">
            <w:pPr>
              <w:widowControl w:val="0"/>
              <w:jc w:val="both"/>
            </w:pPr>
            <w:r w:rsidRPr="00DF40F2">
              <w:t>Vienlaikus Aizsardzības ministrija izsaka šādu priekšlikumu - plāna projekta 2.3.1. uzdevuma aprakstu izteikt šādā redakcijā: "Veicināt iedzīvotāju izpratni par digitālo drošību (informētību par kibernoziegumiem, krāpniecību), mazināt pakļaušanos krāpšanai (it īpaši interneta vidē), iesaistot valsts tiesībaizsardzības iestādes."</w:t>
            </w:r>
          </w:p>
        </w:tc>
        <w:tc>
          <w:tcPr>
            <w:tcW w:w="2835" w:type="dxa"/>
            <w:tcBorders>
              <w:left w:val="single" w:sz="6" w:space="0" w:color="000000" w:themeColor="text1"/>
              <w:bottom w:val="single" w:sz="4" w:space="0" w:color="auto"/>
              <w:right w:val="single" w:sz="6" w:space="0" w:color="000000" w:themeColor="text1"/>
            </w:tcBorders>
          </w:tcPr>
          <w:p w14:paraId="2BA226A1" w14:textId="5BBF72C8" w:rsidR="008C2DF8" w:rsidRPr="00DF40F2" w:rsidRDefault="00A90AFF" w:rsidP="00DF40F2">
            <w:pPr>
              <w:pStyle w:val="naisc"/>
              <w:spacing w:before="0" w:after="0"/>
              <w:jc w:val="left"/>
            </w:pPr>
            <w:r w:rsidRPr="00DF40F2">
              <w:t>Ņemts vērā</w:t>
            </w:r>
            <w:r w:rsidR="00422DAE">
              <w:t>.</w:t>
            </w:r>
          </w:p>
        </w:tc>
        <w:tc>
          <w:tcPr>
            <w:tcW w:w="3544" w:type="dxa"/>
            <w:tcBorders>
              <w:top w:val="single" w:sz="4" w:space="0" w:color="auto"/>
              <w:left w:val="single" w:sz="4" w:space="0" w:color="auto"/>
              <w:bottom w:val="single" w:sz="4" w:space="0" w:color="auto"/>
            </w:tcBorders>
          </w:tcPr>
          <w:p w14:paraId="17AD93B2" w14:textId="3AC988FA" w:rsidR="008C2DF8" w:rsidRPr="00AE5356" w:rsidRDefault="000D3189" w:rsidP="00AE5356">
            <w:pPr>
              <w:jc w:val="both"/>
            </w:pPr>
            <w:r>
              <w:t xml:space="preserve">Uzdevums 2.3.1. izteikts šādā redakcijā: </w:t>
            </w:r>
            <w:r w:rsidRPr="000D3189">
              <w:t>Veicināt iedzīvotāju izpratni par digitālo drošību (informētību par kibernoziegumiem, krāpniecību), mazināt pakļaušanos krāpšanai (it īpaši interneta vidē), iesaistot valsts tiesībaizsardzības iestādes.</w:t>
            </w:r>
          </w:p>
        </w:tc>
      </w:tr>
      <w:tr w:rsidR="008C2DF8" w:rsidRPr="00AE5356" w14:paraId="2287FE44" w14:textId="77777777" w:rsidTr="000E70CD">
        <w:tc>
          <w:tcPr>
            <w:tcW w:w="944" w:type="dxa"/>
            <w:tcBorders>
              <w:left w:val="single" w:sz="6" w:space="0" w:color="000000" w:themeColor="text1"/>
              <w:bottom w:val="single" w:sz="4" w:space="0" w:color="auto"/>
              <w:right w:val="single" w:sz="6" w:space="0" w:color="000000" w:themeColor="text1"/>
            </w:tcBorders>
          </w:tcPr>
          <w:p w14:paraId="00F6DC0A" w14:textId="4E377860" w:rsidR="008C2DF8" w:rsidRPr="00AE5356" w:rsidRDefault="008C2DF8"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DE4B5B7" w14:textId="77777777" w:rsidR="008C2DF8" w:rsidRPr="00AE5356" w:rsidRDefault="008C2DF8"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2DEF7F80" w14:textId="77777777" w:rsidR="008C2DF8" w:rsidRPr="00DF40F2" w:rsidRDefault="00BF6101" w:rsidP="00AE5356">
            <w:pPr>
              <w:jc w:val="both"/>
              <w:rPr>
                <w:b/>
                <w:u w:val="single"/>
              </w:rPr>
            </w:pPr>
            <w:r w:rsidRPr="00DF40F2">
              <w:rPr>
                <w:b/>
                <w:u w:val="single"/>
              </w:rPr>
              <w:t>Finanšu izlūkošanas dienests:</w:t>
            </w:r>
          </w:p>
          <w:p w14:paraId="282FF93E" w14:textId="77777777" w:rsidR="00BF6101" w:rsidRPr="00DF40F2" w:rsidRDefault="00BF6101" w:rsidP="00AE5356">
            <w:pPr>
              <w:jc w:val="both"/>
            </w:pPr>
            <w:r w:rsidRPr="00DF40F2">
              <w:t>Uzskatām, ka pašreizējā redakcijā  Finanšu izlūkošanas dienests kļūdaini ir norādīts kā viena no līdzatbildīgajām institūcijām par 2.1.5. pasākuma “Vienas pieturas aģentūras izveide jaunuzņēmumiem fintech jomā” izpildi.</w:t>
            </w:r>
          </w:p>
        </w:tc>
        <w:tc>
          <w:tcPr>
            <w:tcW w:w="2835" w:type="dxa"/>
            <w:tcBorders>
              <w:left w:val="single" w:sz="6" w:space="0" w:color="000000" w:themeColor="text1"/>
              <w:bottom w:val="single" w:sz="4" w:space="0" w:color="auto"/>
              <w:right w:val="single" w:sz="6" w:space="0" w:color="000000" w:themeColor="text1"/>
            </w:tcBorders>
          </w:tcPr>
          <w:p w14:paraId="66204FF1" w14:textId="1FFBC910" w:rsidR="008C2DF8" w:rsidRPr="00DF40F2" w:rsidRDefault="00A90AFF" w:rsidP="00AE5356">
            <w:pPr>
              <w:pStyle w:val="naisc"/>
              <w:spacing w:before="0" w:after="0"/>
              <w:jc w:val="left"/>
            </w:pPr>
            <w:r w:rsidRPr="00DF40F2">
              <w:t>Ņemts vērā</w:t>
            </w:r>
            <w:r w:rsidR="00422DAE">
              <w:t>.</w:t>
            </w:r>
          </w:p>
        </w:tc>
        <w:tc>
          <w:tcPr>
            <w:tcW w:w="3544" w:type="dxa"/>
            <w:tcBorders>
              <w:top w:val="single" w:sz="4" w:space="0" w:color="auto"/>
              <w:left w:val="single" w:sz="4" w:space="0" w:color="auto"/>
              <w:bottom w:val="single" w:sz="4" w:space="0" w:color="auto"/>
            </w:tcBorders>
          </w:tcPr>
          <w:p w14:paraId="2DBF0D7D" w14:textId="2DBBC871" w:rsidR="008C2DF8" w:rsidRPr="00AE5356" w:rsidRDefault="00B135CD" w:rsidP="00AE5356">
            <w:pPr>
              <w:jc w:val="both"/>
            </w:pPr>
            <w:r>
              <w:t>Uzdevuma 2.1.5. līdzatbildīgās institūcijas precizētas, dzēšot FID.</w:t>
            </w:r>
          </w:p>
        </w:tc>
      </w:tr>
      <w:tr w:rsidR="009B2DCB" w:rsidRPr="00AE5356" w14:paraId="77F06FB0" w14:textId="77777777" w:rsidTr="000E70CD">
        <w:tc>
          <w:tcPr>
            <w:tcW w:w="944" w:type="dxa"/>
            <w:tcBorders>
              <w:left w:val="single" w:sz="6" w:space="0" w:color="000000" w:themeColor="text1"/>
              <w:bottom w:val="single" w:sz="4" w:space="0" w:color="auto"/>
              <w:right w:val="single" w:sz="6" w:space="0" w:color="000000" w:themeColor="text1"/>
            </w:tcBorders>
          </w:tcPr>
          <w:p w14:paraId="27F1EB39" w14:textId="4111D743"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6B62F1B3"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432B165F" w14:textId="2784C17E" w:rsidR="009B2DCB" w:rsidRPr="00AE5356" w:rsidRDefault="009B2DCB" w:rsidP="00AE5356">
            <w:pPr>
              <w:widowControl w:val="0"/>
              <w:jc w:val="both"/>
              <w:rPr>
                <w:b/>
                <w:bCs/>
                <w:u w:val="single"/>
              </w:rPr>
            </w:pPr>
            <w:r w:rsidRPr="00AE5356">
              <w:rPr>
                <w:b/>
                <w:bCs/>
                <w:u w:val="single"/>
              </w:rPr>
              <w:t>Latvijas Darba Devēju Konfederācija:</w:t>
            </w:r>
          </w:p>
          <w:p w14:paraId="67FA7ABB" w14:textId="156B8383" w:rsidR="009B2DCB" w:rsidRPr="00AE5356" w:rsidRDefault="009B2DCB" w:rsidP="00AE5356">
            <w:pPr>
              <w:widowControl w:val="0"/>
              <w:jc w:val="both"/>
            </w:pPr>
            <w:r w:rsidRPr="00AE5356">
              <w:t>LDDK ierosina plāna sadaļā “1.1.Ilgtspējīgas kreditēšanas veicināšana” ietvert:</w:t>
            </w:r>
          </w:p>
          <w:p w14:paraId="01612009" w14:textId="5A2661C0" w:rsidR="009B2DCB" w:rsidRPr="00AE5356" w:rsidRDefault="009B2DCB" w:rsidP="00AE5356">
            <w:pPr>
              <w:pStyle w:val="ListParagraph"/>
              <w:widowControl w:val="0"/>
              <w:numPr>
                <w:ilvl w:val="0"/>
                <w:numId w:val="2"/>
              </w:numPr>
              <w:jc w:val="both"/>
              <w:rPr>
                <w:rFonts w:ascii="Times New Roman" w:hAnsi="Times New Roman"/>
                <w:sz w:val="24"/>
                <w:szCs w:val="24"/>
              </w:rPr>
            </w:pPr>
            <w:r w:rsidRPr="00AE5356">
              <w:rPr>
                <w:rFonts w:ascii="Times New Roman" w:hAnsi="Times New Roman"/>
                <w:sz w:val="24"/>
                <w:szCs w:val="24"/>
              </w:rPr>
              <w:t>sasniedzamo rādītāju “Latvijā - izsniegto kredītu apjoma pieaugums ne mazāk kā par 10% gadā”.</w:t>
            </w:r>
          </w:p>
          <w:p w14:paraId="12B967C6" w14:textId="3220F8E3" w:rsidR="009B2DCB" w:rsidRPr="00AE5356" w:rsidRDefault="009B2DCB" w:rsidP="00AE5356">
            <w:pPr>
              <w:pStyle w:val="ListParagraph"/>
              <w:widowControl w:val="0"/>
              <w:numPr>
                <w:ilvl w:val="0"/>
                <w:numId w:val="2"/>
              </w:numPr>
              <w:jc w:val="both"/>
              <w:rPr>
                <w:rFonts w:ascii="Times New Roman" w:hAnsi="Times New Roman"/>
                <w:sz w:val="24"/>
                <w:szCs w:val="24"/>
              </w:rPr>
            </w:pPr>
            <w:r w:rsidRPr="00AE5356">
              <w:rPr>
                <w:rFonts w:ascii="Times New Roman" w:hAnsi="Times New Roman"/>
                <w:sz w:val="24"/>
                <w:szCs w:val="24"/>
              </w:rPr>
              <w:t>pasākumus un darbības, kas vērsti uz risku pārvaldības pilnveidošanu, nodrošinot tās samērību un atbilstību labākajai starptautiskajai praksei.</w:t>
            </w:r>
          </w:p>
          <w:p w14:paraId="02F2C34E" w14:textId="5D69D983" w:rsidR="009B2DCB" w:rsidRPr="00AE5356" w:rsidRDefault="009B2DCB" w:rsidP="00AE5356">
            <w:pPr>
              <w:pStyle w:val="ListParagraph"/>
              <w:widowControl w:val="0"/>
              <w:numPr>
                <w:ilvl w:val="0"/>
                <w:numId w:val="2"/>
              </w:numPr>
              <w:jc w:val="both"/>
              <w:rPr>
                <w:rFonts w:ascii="Times New Roman" w:hAnsi="Times New Roman"/>
                <w:sz w:val="24"/>
                <w:szCs w:val="24"/>
              </w:rPr>
            </w:pPr>
            <w:r w:rsidRPr="00DF40F2">
              <w:rPr>
                <w:rFonts w:ascii="Times New Roman" w:hAnsi="Times New Roman"/>
                <w:sz w:val="24"/>
              </w:rPr>
              <w:t xml:space="preserve">pasākumus un darbības, kas vērsti uz finansējuma pieejamības uzlabošanos lielāka mēroga projektiem, tai skaitā paaugstinot Altum programmā pieejamo mezanīna aizdevumu slieksni no 5 </w:t>
            </w:r>
            <w:r w:rsidRPr="00DF40F2">
              <w:rPr>
                <w:rFonts w:ascii="Times New Roman" w:hAnsi="Times New Roman"/>
                <w:sz w:val="24"/>
              </w:rPr>
              <w:lastRenderedPageBreak/>
              <w:t>miljoniem EUR līdz 10 miljoniem EUR</w:t>
            </w:r>
            <w:r w:rsidRPr="00AE5356">
              <w:rPr>
                <w:rFonts w:ascii="Times New Roman" w:hAnsi="Times New Roman"/>
                <w:sz w:val="24"/>
                <w:szCs w:val="24"/>
              </w:rPr>
              <w:t>.</w:t>
            </w:r>
          </w:p>
        </w:tc>
        <w:tc>
          <w:tcPr>
            <w:tcW w:w="2835" w:type="dxa"/>
            <w:tcBorders>
              <w:left w:val="single" w:sz="6" w:space="0" w:color="000000" w:themeColor="text1"/>
              <w:bottom w:val="single" w:sz="4" w:space="0" w:color="auto"/>
              <w:right w:val="single" w:sz="6" w:space="0" w:color="000000" w:themeColor="text1"/>
            </w:tcBorders>
          </w:tcPr>
          <w:p w14:paraId="3775A54F" w14:textId="69D7653A" w:rsidR="00F55685" w:rsidRDefault="003D362E" w:rsidP="00AE5356">
            <w:pPr>
              <w:pStyle w:val="naisc"/>
              <w:spacing w:before="0" w:after="0"/>
              <w:jc w:val="left"/>
            </w:pPr>
            <w:r w:rsidRPr="00AE5356">
              <w:lastRenderedPageBreak/>
              <w:t xml:space="preserve">Priekšlikuma pirmais punkts </w:t>
            </w:r>
            <w:r w:rsidR="00D94934">
              <w:t>Panākta vienošanās elektroniskajā saskaņošanā 14.01.2021.</w:t>
            </w:r>
            <w:r w:rsidRPr="00AE5356">
              <w:t xml:space="preserve">. </w:t>
            </w:r>
          </w:p>
          <w:p w14:paraId="7FB9DF07" w14:textId="77777777" w:rsidR="00F55685" w:rsidRDefault="00F55685" w:rsidP="00AE5356">
            <w:pPr>
              <w:pStyle w:val="naisc"/>
              <w:spacing w:before="0" w:after="0"/>
              <w:jc w:val="left"/>
            </w:pPr>
          </w:p>
          <w:p w14:paraId="44C4BF96" w14:textId="51405799" w:rsidR="005A5688" w:rsidRDefault="005A5688" w:rsidP="00F55685">
            <w:pPr>
              <w:pStyle w:val="naisc"/>
              <w:spacing w:before="0" w:after="0"/>
              <w:jc w:val="left"/>
            </w:pPr>
          </w:p>
          <w:p w14:paraId="7B8B74C7" w14:textId="77777777" w:rsidR="009B2DCB" w:rsidRDefault="003D362E" w:rsidP="00F55685">
            <w:pPr>
              <w:pStyle w:val="naisc"/>
              <w:spacing w:before="0" w:after="0"/>
              <w:jc w:val="left"/>
            </w:pPr>
            <w:r w:rsidRPr="00AE5356">
              <w:t>Priekšlikuma otra</w:t>
            </w:r>
            <w:r w:rsidR="00F55685">
              <w:t>is punkts ņemts vērā.</w:t>
            </w:r>
          </w:p>
          <w:p w14:paraId="5CD2EE46" w14:textId="77777777" w:rsidR="005A5688" w:rsidRDefault="005A5688" w:rsidP="00F55685">
            <w:pPr>
              <w:pStyle w:val="naisc"/>
              <w:spacing w:before="0" w:after="0"/>
              <w:jc w:val="left"/>
            </w:pPr>
          </w:p>
          <w:p w14:paraId="66C2C85F" w14:textId="77777777" w:rsidR="005A5688" w:rsidRDefault="005A5688" w:rsidP="00F55685">
            <w:pPr>
              <w:pStyle w:val="naisc"/>
              <w:spacing w:before="0" w:after="0"/>
              <w:jc w:val="left"/>
            </w:pPr>
          </w:p>
          <w:p w14:paraId="611EF7D7" w14:textId="77777777" w:rsidR="005A5688" w:rsidRDefault="005A5688" w:rsidP="00F55685">
            <w:pPr>
              <w:pStyle w:val="naisc"/>
              <w:spacing w:before="0" w:after="0"/>
              <w:jc w:val="left"/>
            </w:pPr>
          </w:p>
          <w:p w14:paraId="1B9199D2" w14:textId="77777777" w:rsidR="005A5688" w:rsidRDefault="005A5688" w:rsidP="00F55685">
            <w:pPr>
              <w:pStyle w:val="naisc"/>
              <w:spacing w:before="0" w:after="0"/>
              <w:jc w:val="left"/>
            </w:pPr>
          </w:p>
          <w:p w14:paraId="10765935" w14:textId="77777777" w:rsidR="005A5688" w:rsidRDefault="005A5688" w:rsidP="00F55685">
            <w:pPr>
              <w:pStyle w:val="naisc"/>
              <w:spacing w:before="0" w:after="0"/>
              <w:jc w:val="left"/>
            </w:pPr>
          </w:p>
          <w:p w14:paraId="33BBE34A" w14:textId="77777777" w:rsidR="005A5688" w:rsidRDefault="005A5688" w:rsidP="00F55685">
            <w:pPr>
              <w:pStyle w:val="naisc"/>
              <w:spacing w:before="0" w:after="0"/>
              <w:jc w:val="left"/>
            </w:pPr>
          </w:p>
          <w:p w14:paraId="680A4E5D" w14:textId="21F34D2A" w:rsidR="005A5688" w:rsidRPr="00AE5356" w:rsidRDefault="005A5688" w:rsidP="00F55685">
            <w:pPr>
              <w:pStyle w:val="naisc"/>
              <w:spacing w:before="0" w:after="0"/>
              <w:jc w:val="left"/>
            </w:pPr>
            <w:r>
              <w:t>Priekšlikuma trešais punkts ņemts vērā.</w:t>
            </w:r>
          </w:p>
        </w:tc>
        <w:tc>
          <w:tcPr>
            <w:tcW w:w="3544" w:type="dxa"/>
            <w:tcBorders>
              <w:top w:val="single" w:sz="4" w:space="0" w:color="auto"/>
              <w:left w:val="single" w:sz="4" w:space="0" w:color="auto"/>
              <w:bottom w:val="single" w:sz="4" w:space="0" w:color="auto"/>
            </w:tcBorders>
          </w:tcPr>
          <w:p w14:paraId="52F3CF63" w14:textId="77777777" w:rsidR="005A5688" w:rsidRDefault="005A5688" w:rsidP="00AE5356">
            <w:pPr>
              <w:pStyle w:val="xmsonormal"/>
              <w:rPr>
                <w:rFonts w:ascii="Times New Roman" w:eastAsia="Times New Roman" w:hAnsi="Times New Roman" w:cs="Times New Roman"/>
                <w:sz w:val="24"/>
                <w:szCs w:val="24"/>
              </w:rPr>
            </w:pPr>
          </w:p>
          <w:p w14:paraId="4BBA8DE9" w14:textId="15371BD3" w:rsidR="005A5688" w:rsidRDefault="005A5688" w:rsidP="00AE5356">
            <w:pPr>
              <w:pStyle w:val="xmsonormal"/>
              <w:rPr>
                <w:rFonts w:ascii="Times New Roman" w:eastAsia="Times New Roman" w:hAnsi="Times New Roman" w:cs="Times New Roman"/>
                <w:sz w:val="24"/>
                <w:szCs w:val="24"/>
              </w:rPr>
            </w:pPr>
            <w:r w:rsidRPr="005A5688">
              <w:rPr>
                <w:rFonts w:ascii="Times New Roman" w:eastAsia="Times New Roman" w:hAnsi="Times New Roman" w:cs="Times New Roman"/>
                <w:sz w:val="24"/>
                <w:szCs w:val="24"/>
              </w:rPr>
              <w:t>Kvantitatīva mērķa uzstādīšana šajā gadījumā nebūtu pamatota.</w:t>
            </w:r>
          </w:p>
          <w:p w14:paraId="091C2707" w14:textId="77777777" w:rsidR="005A5688" w:rsidRDefault="005A5688" w:rsidP="00AE5356">
            <w:pPr>
              <w:pStyle w:val="xmsonormal"/>
              <w:rPr>
                <w:rFonts w:ascii="Times New Roman" w:eastAsia="Times New Roman" w:hAnsi="Times New Roman" w:cs="Times New Roman"/>
                <w:sz w:val="24"/>
                <w:szCs w:val="24"/>
              </w:rPr>
            </w:pPr>
          </w:p>
          <w:p w14:paraId="44DF475B" w14:textId="647076E9" w:rsidR="005A5688" w:rsidRDefault="005A5688" w:rsidP="00AE5356">
            <w:pPr>
              <w:pStyle w:val="xmsonormal"/>
              <w:rPr>
                <w:rFonts w:ascii="Times New Roman" w:eastAsia="Times New Roman" w:hAnsi="Times New Roman" w:cs="Times New Roman"/>
                <w:sz w:val="24"/>
                <w:szCs w:val="24"/>
              </w:rPr>
            </w:pPr>
          </w:p>
          <w:p w14:paraId="00F49BAE" w14:textId="5850DB20" w:rsidR="005A5688" w:rsidRDefault="005A5688" w:rsidP="00AE5356">
            <w:pPr>
              <w:pStyle w:val="xmsonormal"/>
              <w:rPr>
                <w:rFonts w:ascii="Times New Roman" w:eastAsia="Times New Roman" w:hAnsi="Times New Roman" w:cs="Times New Roman"/>
                <w:sz w:val="24"/>
                <w:szCs w:val="24"/>
              </w:rPr>
            </w:pPr>
            <w:r w:rsidRPr="005A5688">
              <w:rPr>
                <w:rFonts w:ascii="Times New Roman" w:eastAsia="Times New Roman" w:hAnsi="Times New Roman" w:cs="Times New Roman"/>
                <w:sz w:val="24"/>
                <w:szCs w:val="24"/>
              </w:rPr>
              <w:t>Ņemts vērā atbilstoši Pasākumu plāna samērīgas pieejas nostiprināšanai, izpildot noziedzīgi iegūtu līdzekļu legalizācijas un terorisma un proliferācijas finansēšanas novēršanas prasības uzdevumiem, taču netiek apskatīts šī plāna ietvaros.</w:t>
            </w:r>
          </w:p>
          <w:p w14:paraId="00DE7CC6" w14:textId="77777777" w:rsidR="005A5688" w:rsidRDefault="005A5688" w:rsidP="00AE5356">
            <w:pPr>
              <w:pStyle w:val="xmsonormal"/>
              <w:rPr>
                <w:rFonts w:ascii="Times New Roman" w:eastAsia="Times New Roman" w:hAnsi="Times New Roman" w:cs="Times New Roman"/>
                <w:sz w:val="24"/>
                <w:szCs w:val="24"/>
              </w:rPr>
            </w:pPr>
          </w:p>
          <w:p w14:paraId="51062D0E" w14:textId="77777777" w:rsidR="005A5688" w:rsidRDefault="005A5688" w:rsidP="00AE5356">
            <w:pPr>
              <w:pStyle w:val="xmsonormal"/>
              <w:rPr>
                <w:rFonts w:ascii="Times New Roman" w:eastAsia="Times New Roman" w:hAnsi="Times New Roman" w:cs="Times New Roman"/>
                <w:sz w:val="24"/>
                <w:szCs w:val="24"/>
              </w:rPr>
            </w:pPr>
          </w:p>
          <w:p w14:paraId="39BC8590" w14:textId="478B95FF" w:rsidR="009B2DCB" w:rsidRDefault="00B21D34" w:rsidP="00AE5356">
            <w:pPr>
              <w:pStyle w:val="xmsonormal"/>
              <w:rPr>
                <w:rFonts w:ascii="Times New Roman" w:eastAsia="Times New Roman" w:hAnsi="Times New Roman" w:cs="Times New Roman"/>
                <w:sz w:val="24"/>
                <w:szCs w:val="24"/>
              </w:rPr>
            </w:pPr>
            <w:r w:rsidRPr="00DF40F2">
              <w:rPr>
                <w:rFonts w:ascii="Times New Roman" w:eastAsia="Times New Roman" w:hAnsi="Times New Roman" w:cs="Times New Roman"/>
                <w:sz w:val="24"/>
                <w:szCs w:val="24"/>
              </w:rPr>
              <w:t>Iekļauts jauns uzdevums 1.1.8. uzdevums</w:t>
            </w:r>
            <w:r w:rsidR="003E69E0" w:rsidRPr="00DF40F2">
              <w:rPr>
                <w:rFonts w:ascii="Times New Roman" w:eastAsia="Times New Roman" w:hAnsi="Times New Roman" w:cs="Times New Roman"/>
                <w:sz w:val="24"/>
                <w:szCs w:val="24"/>
              </w:rPr>
              <w:t xml:space="preserve">: Pilnveidot finanšu </w:t>
            </w:r>
            <w:r w:rsidR="003E69E0" w:rsidRPr="00DF40F2">
              <w:rPr>
                <w:rFonts w:ascii="Times New Roman" w:eastAsia="Times New Roman" w:hAnsi="Times New Roman" w:cs="Times New Roman"/>
                <w:sz w:val="24"/>
                <w:szCs w:val="24"/>
              </w:rPr>
              <w:lastRenderedPageBreak/>
              <w:t>instrumentu atbalsta programmas, vērtējot mezanīna instrumenta turpmākas attīstības iespējas</w:t>
            </w:r>
          </w:p>
          <w:p w14:paraId="600D1435" w14:textId="77777777" w:rsidR="005A5688" w:rsidRDefault="005A5688" w:rsidP="00AE5356">
            <w:pPr>
              <w:pStyle w:val="xmsonormal"/>
              <w:rPr>
                <w:rFonts w:ascii="Times New Roman" w:eastAsia="Times New Roman" w:hAnsi="Times New Roman" w:cs="Times New Roman"/>
                <w:sz w:val="24"/>
                <w:szCs w:val="24"/>
              </w:rPr>
            </w:pPr>
          </w:p>
          <w:p w14:paraId="5F446A39" w14:textId="77777777" w:rsidR="005A5688" w:rsidRDefault="005A5688" w:rsidP="00AE5356">
            <w:pPr>
              <w:pStyle w:val="xmsonormal"/>
              <w:rPr>
                <w:rFonts w:ascii="Times New Roman" w:eastAsia="Times New Roman" w:hAnsi="Times New Roman" w:cs="Times New Roman"/>
                <w:sz w:val="24"/>
                <w:szCs w:val="24"/>
              </w:rPr>
            </w:pPr>
          </w:p>
          <w:p w14:paraId="19219836" w14:textId="66FBA70C" w:rsidR="005A5688" w:rsidRPr="005A5688" w:rsidRDefault="005A5688" w:rsidP="00AE5356">
            <w:pPr>
              <w:pStyle w:val="xmsonormal"/>
              <w:rPr>
                <w:rFonts w:ascii="Times New Roman" w:eastAsia="Times New Roman" w:hAnsi="Times New Roman" w:cs="Times New Roman"/>
                <w:sz w:val="24"/>
                <w:szCs w:val="24"/>
              </w:rPr>
            </w:pPr>
          </w:p>
        </w:tc>
      </w:tr>
      <w:tr w:rsidR="009B2DCB" w:rsidRPr="00AE5356" w14:paraId="679B977D" w14:textId="77777777" w:rsidTr="000E70CD">
        <w:tc>
          <w:tcPr>
            <w:tcW w:w="944" w:type="dxa"/>
            <w:tcBorders>
              <w:left w:val="single" w:sz="6" w:space="0" w:color="000000" w:themeColor="text1"/>
              <w:bottom w:val="single" w:sz="4" w:space="0" w:color="auto"/>
              <w:right w:val="single" w:sz="6" w:space="0" w:color="000000" w:themeColor="text1"/>
            </w:tcBorders>
          </w:tcPr>
          <w:p w14:paraId="727F3194" w14:textId="647BFDC1"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296FEF7D"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216F733F" w14:textId="6E5AF2E5" w:rsidR="009B2DCB" w:rsidRPr="001B3918" w:rsidRDefault="009B2DCB" w:rsidP="00AE5356">
            <w:pPr>
              <w:jc w:val="both"/>
            </w:pPr>
            <w:r w:rsidRPr="00DF40F2">
              <w:t xml:space="preserve">LDDK iebilst pret esošo Projekta pasākumu </w:t>
            </w:r>
            <w:r w:rsidRPr="001B3918">
              <w:t>plāna sadaļu “1.2. Kapitāla tirgus attīstība un investīciju kultūras veidošana” esošajā redakcijā.</w:t>
            </w:r>
          </w:p>
          <w:p w14:paraId="075A9729" w14:textId="5DBDE5C0" w:rsidR="009B2DCB" w:rsidRPr="001B3918" w:rsidRDefault="009B2DCB" w:rsidP="00AE5356">
            <w:pPr>
              <w:widowControl w:val="0"/>
              <w:jc w:val="both"/>
            </w:pPr>
            <w:r w:rsidRPr="001B3918">
              <w:t>Priekšlikums: Papildināt Projekta pasākumu plāna 1.2.sadaļu ar jaunu pasākumu punktu Nr. 1.2.8.:</w:t>
            </w:r>
          </w:p>
          <w:p w14:paraId="3E11BCFD" w14:textId="681D8926" w:rsidR="009B2DCB" w:rsidRPr="001B3918" w:rsidRDefault="009B2DCB" w:rsidP="00AE5356">
            <w:pPr>
              <w:widowControl w:val="0"/>
              <w:jc w:val="both"/>
            </w:pPr>
            <w:r w:rsidRPr="001B3918">
              <w:t>Uzdevums/pasākums: Pilnveidot regulējumu, veicinot dzīvības uzkrājošās apdrošināšanas izmantošanu;</w:t>
            </w:r>
          </w:p>
          <w:p w14:paraId="48FBD96A" w14:textId="5992A5D7" w:rsidR="009B2DCB" w:rsidRPr="001B3918" w:rsidRDefault="009B2DCB" w:rsidP="00AE5356">
            <w:pPr>
              <w:widowControl w:val="0"/>
              <w:jc w:val="both"/>
            </w:pPr>
            <w:r w:rsidRPr="001B3918">
              <w:t>Darbības rezultāts: Nodokļu atvieglojumu sliekšņa paaugstināšana;</w:t>
            </w:r>
          </w:p>
          <w:p w14:paraId="21C262EE" w14:textId="1B7EEB3B" w:rsidR="009B2DCB" w:rsidRPr="001B3918" w:rsidRDefault="009B2DCB" w:rsidP="00AE5356">
            <w:pPr>
              <w:widowControl w:val="0"/>
              <w:jc w:val="both"/>
            </w:pPr>
            <w:r w:rsidRPr="001B3918">
              <w:t>Rezultatīvais rādītājs: Uzkrājošās dzīvības apdrošināšanas tirgus daļas (%) un apdrošināto personu skaita pieaugums;</w:t>
            </w:r>
          </w:p>
          <w:p w14:paraId="23905394" w14:textId="39C8669F" w:rsidR="009B2DCB" w:rsidRPr="001B3918" w:rsidRDefault="009B2DCB" w:rsidP="00AE5356">
            <w:pPr>
              <w:widowControl w:val="0"/>
              <w:jc w:val="both"/>
            </w:pPr>
            <w:r w:rsidRPr="001B3918">
              <w:t>Atbildīgā institūcija: FM;</w:t>
            </w:r>
          </w:p>
          <w:p w14:paraId="4E2CCB7D" w14:textId="5335D60A" w:rsidR="009B2DCB" w:rsidRPr="001B3918" w:rsidRDefault="009B2DCB" w:rsidP="00AE5356">
            <w:pPr>
              <w:widowControl w:val="0"/>
              <w:jc w:val="both"/>
            </w:pPr>
            <w:r w:rsidRPr="001B3918">
              <w:t>Līdzatbildīgā institūcija: LAA;</w:t>
            </w:r>
          </w:p>
          <w:p w14:paraId="7194DBDC" w14:textId="39A607BB" w:rsidR="009B2DCB" w:rsidRPr="00AE5356" w:rsidRDefault="009B2DCB" w:rsidP="00AE5356">
            <w:pPr>
              <w:widowControl w:val="0"/>
              <w:jc w:val="both"/>
            </w:pPr>
            <w:r w:rsidRPr="001B3918">
              <w:t>Izpildes termiņš: 31.12.2023.</w:t>
            </w:r>
          </w:p>
        </w:tc>
        <w:tc>
          <w:tcPr>
            <w:tcW w:w="2835" w:type="dxa"/>
            <w:tcBorders>
              <w:left w:val="single" w:sz="6" w:space="0" w:color="000000" w:themeColor="text1"/>
              <w:bottom w:val="single" w:sz="4" w:space="0" w:color="auto"/>
              <w:right w:val="single" w:sz="6" w:space="0" w:color="000000" w:themeColor="text1"/>
            </w:tcBorders>
          </w:tcPr>
          <w:p w14:paraId="769D0D3C" w14:textId="2A271111" w:rsidR="009B2DCB" w:rsidRPr="00AE5356" w:rsidRDefault="00D94934" w:rsidP="00AE5356">
            <w:pPr>
              <w:pStyle w:val="naisc"/>
              <w:spacing w:before="0" w:after="0"/>
              <w:jc w:val="left"/>
            </w:pPr>
            <w:r>
              <w:t>Panākta vienošanās elektroniskajā saskaņošanā 14.01.2021.</w:t>
            </w:r>
          </w:p>
        </w:tc>
        <w:tc>
          <w:tcPr>
            <w:tcW w:w="3544" w:type="dxa"/>
            <w:tcBorders>
              <w:top w:val="single" w:sz="4" w:space="0" w:color="auto"/>
              <w:left w:val="single" w:sz="4" w:space="0" w:color="auto"/>
              <w:bottom w:val="single" w:sz="4" w:space="0" w:color="auto"/>
            </w:tcBorders>
          </w:tcPr>
          <w:p w14:paraId="54CD245A" w14:textId="6B54D8C4" w:rsidR="009B2DCB" w:rsidRPr="00AE5356" w:rsidRDefault="001B3918" w:rsidP="00AE5356">
            <w:pPr>
              <w:jc w:val="both"/>
            </w:pPr>
            <w:r w:rsidRPr="001B3918">
              <w:t>Šobrīd nav plānots pārskatīt nodokļu atvieglojuma sliekšņus dzīvības uzkrājošai apdrošināšanai, ņemot vērā, ka nav statistiski pierādāms tas, ka esošie nodokļu atvieglojumi ierobežotu uzkrājošo dzīvības apdrošināšanu.</w:t>
            </w:r>
          </w:p>
        </w:tc>
      </w:tr>
      <w:tr w:rsidR="009B2DCB" w:rsidRPr="00AE5356" w14:paraId="65FB52BB" w14:textId="77777777" w:rsidTr="000E70CD">
        <w:tc>
          <w:tcPr>
            <w:tcW w:w="944" w:type="dxa"/>
            <w:tcBorders>
              <w:left w:val="single" w:sz="6" w:space="0" w:color="000000" w:themeColor="text1"/>
              <w:bottom w:val="single" w:sz="4" w:space="0" w:color="auto"/>
              <w:right w:val="single" w:sz="6" w:space="0" w:color="000000" w:themeColor="text1"/>
            </w:tcBorders>
          </w:tcPr>
          <w:p w14:paraId="1871188F" w14:textId="03C2BBD8"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1231BE67"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570559E2" w14:textId="341ECD0A" w:rsidR="009B2DCB" w:rsidRPr="00DF40F2" w:rsidRDefault="009B2DCB" w:rsidP="00AE5356">
            <w:pPr>
              <w:jc w:val="both"/>
            </w:pPr>
            <w:r w:rsidRPr="00DF40F2">
              <w:t>LDDK iebilst pret Projekta pasākumu plāna 1.3.3.punktu esošajā redakcijā.</w:t>
            </w:r>
          </w:p>
          <w:p w14:paraId="4B958B0D" w14:textId="1051E139" w:rsidR="009B2DCB" w:rsidRPr="00DF40F2" w:rsidRDefault="009B2DCB" w:rsidP="00AE5356">
            <w:pPr>
              <w:jc w:val="both"/>
            </w:pPr>
            <w:r w:rsidRPr="00DF40F2">
              <w:t>Priekšlikums: Noteikt Projekta pasākumu plāna 1.3.3.punktu:</w:t>
            </w:r>
          </w:p>
          <w:p w14:paraId="6C3A3038" w14:textId="5D3B0528" w:rsidR="009B2DCB" w:rsidRPr="00DF40F2" w:rsidRDefault="009B2DCB" w:rsidP="00AE5356">
            <w:pPr>
              <w:jc w:val="both"/>
            </w:pPr>
            <w:r w:rsidRPr="00DF40F2">
              <w:t>Uzdevums/pasākums: Veicināt iedzīvotāju apdrošināšanas pratību, īpaši izdalot izpratni par apdrošināšanas kā uzkrājuma instrumenta nozīmi;</w:t>
            </w:r>
          </w:p>
          <w:p w14:paraId="6A97A797" w14:textId="6B5E1B7A" w:rsidR="009B2DCB" w:rsidRPr="00DF40F2" w:rsidRDefault="009B2DCB" w:rsidP="00AE5356">
            <w:pPr>
              <w:jc w:val="both"/>
            </w:pPr>
            <w:r w:rsidRPr="00DF40F2">
              <w:lastRenderedPageBreak/>
              <w:t>Darbības rezultāts: Veicināta apdrošināšanas tematisko mācību materiālu izmantošana skolās, attiecīgu materiālu izmantošana pieaugušo tālākizglītībā;</w:t>
            </w:r>
          </w:p>
          <w:p w14:paraId="15644B6A" w14:textId="0C80371E" w:rsidR="009B2DCB" w:rsidRPr="00DF40F2" w:rsidRDefault="009B2DCB" w:rsidP="00AE5356">
            <w:pPr>
              <w:jc w:val="both"/>
            </w:pPr>
            <w:r w:rsidRPr="00DF40F2">
              <w:t>Rezultatīvais rādītājs: Apdrošināšanas mācību materiāli izmantoti 6. un 7. klašu sociālo zinātņu programmās;</w:t>
            </w:r>
          </w:p>
          <w:p w14:paraId="53A13BA9" w14:textId="2964FA6B" w:rsidR="009B2DCB" w:rsidRPr="00DF40F2" w:rsidRDefault="009B2DCB" w:rsidP="00AE5356">
            <w:pPr>
              <w:jc w:val="both"/>
            </w:pPr>
            <w:r w:rsidRPr="00DF40F2">
              <w:t>Atbildīgā institūcija: LAA;</w:t>
            </w:r>
          </w:p>
          <w:p w14:paraId="4D8FD1CE" w14:textId="62911719" w:rsidR="009B2DCB" w:rsidRPr="00DF40F2" w:rsidRDefault="009B2DCB" w:rsidP="00AE5356">
            <w:pPr>
              <w:jc w:val="both"/>
            </w:pPr>
            <w:r w:rsidRPr="00DF40F2">
              <w:t>Līdzatbildīgā institūcija: FM, IZM, LM (NVA);</w:t>
            </w:r>
          </w:p>
          <w:p w14:paraId="0A6BF2BA" w14:textId="124AAFC2" w:rsidR="009B2DCB" w:rsidRPr="00DF40F2" w:rsidRDefault="009B2DCB" w:rsidP="00AE5356">
            <w:pPr>
              <w:jc w:val="both"/>
            </w:pPr>
            <w:r w:rsidRPr="00DF40F2">
              <w:t>Izpildes termiņš: 31.12.2022.</w:t>
            </w:r>
          </w:p>
          <w:p w14:paraId="7215EAB6" w14:textId="381A5A28" w:rsidR="009B2DCB" w:rsidRPr="00DF40F2" w:rsidRDefault="009B2DCB" w:rsidP="00AE5356">
            <w:pPr>
              <w:jc w:val="both"/>
            </w:pPr>
          </w:p>
          <w:p w14:paraId="36FEB5B0" w14:textId="7043BF94" w:rsidR="009B2DCB" w:rsidRPr="00DF40F2" w:rsidRDefault="009B2DCB" w:rsidP="00AE5356">
            <w:pPr>
              <w:jc w:val="both"/>
            </w:pPr>
          </w:p>
        </w:tc>
        <w:tc>
          <w:tcPr>
            <w:tcW w:w="2835" w:type="dxa"/>
            <w:tcBorders>
              <w:left w:val="single" w:sz="6" w:space="0" w:color="000000" w:themeColor="text1"/>
              <w:bottom w:val="single" w:sz="4" w:space="0" w:color="auto"/>
              <w:right w:val="single" w:sz="6" w:space="0" w:color="000000" w:themeColor="text1"/>
            </w:tcBorders>
          </w:tcPr>
          <w:p w14:paraId="30D7AA69" w14:textId="10DFD61A" w:rsidR="006E727A" w:rsidRPr="00AE5356" w:rsidRDefault="001B3918" w:rsidP="00AE5356">
            <w:pPr>
              <w:pStyle w:val="naisc"/>
              <w:spacing w:before="0" w:after="0"/>
              <w:jc w:val="left"/>
            </w:pPr>
            <w:r>
              <w:lastRenderedPageBreak/>
              <w:t xml:space="preserve">Daļēji </w:t>
            </w:r>
            <w:r w:rsidR="006903D3">
              <w:t>ņemts vērā.</w:t>
            </w:r>
          </w:p>
        </w:tc>
        <w:tc>
          <w:tcPr>
            <w:tcW w:w="3544" w:type="dxa"/>
            <w:tcBorders>
              <w:top w:val="single" w:sz="4" w:space="0" w:color="auto"/>
              <w:left w:val="single" w:sz="4" w:space="0" w:color="auto"/>
              <w:bottom w:val="single" w:sz="4" w:space="0" w:color="auto"/>
            </w:tcBorders>
          </w:tcPr>
          <w:p w14:paraId="7196D064" w14:textId="7A1F93ED" w:rsidR="009B2DCB" w:rsidRPr="00AE5356" w:rsidRDefault="001B3918" w:rsidP="00AE5356">
            <w:pPr>
              <w:jc w:val="both"/>
            </w:pPr>
            <w:r w:rsidRPr="001B3918">
              <w:t>Finanšu un kapitāla tirgus komisija izstrādā stratēģiju finanšu pratības jomā, kurā tiks paredzēti detalizēti pasākumi visās jomās, tai skaitā apdrošināšanā. 1.3.3.uzdevums papildināts ar atsauci uz apdrošināšanu.</w:t>
            </w:r>
          </w:p>
        </w:tc>
      </w:tr>
      <w:tr w:rsidR="009B2DCB" w:rsidRPr="00AE5356" w14:paraId="499A42DD" w14:textId="77777777" w:rsidTr="000E70CD">
        <w:tc>
          <w:tcPr>
            <w:tcW w:w="944" w:type="dxa"/>
            <w:tcBorders>
              <w:left w:val="single" w:sz="6" w:space="0" w:color="000000" w:themeColor="text1"/>
              <w:bottom w:val="single" w:sz="4" w:space="0" w:color="auto"/>
              <w:right w:val="single" w:sz="6" w:space="0" w:color="000000" w:themeColor="text1"/>
            </w:tcBorders>
          </w:tcPr>
          <w:p w14:paraId="0738D8D5" w14:textId="60AD0211"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34FF1C98" w14:textId="77777777" w:rsidR="009B2DCB" w:rsidRPr="00AE5356" w:rsidRDefault="009B2DCB" w:rsidP="00AE5356">
            <w:pPr>
              <w:pStyle w:val="naisc"/>
              <w:spacing w:before="0" w:after="0"/>
              <w:jc w:val="left"/>
            </w:pPr>
          </w:p>
        </w:tc>
        <w:tc>
          <w:tcPr>
            <w:tcW w:w="4819" w:type="dxa"/>
            <w:gridSpan w:val="2"/>
            <w:tcBorders>
              <w:left w:val="single" w:sz="6" w:space="0" w:color="000000" w:themeColor="text1"/>
              <w:bottom w:val="single" w:sz="4" w:space="0" w:color="auto"/>
              <w:right w:val="single" w:sz="6" w:space="0" w:color="000000" w:themeColor="text1"/>
            </w:tcBorders>
          </w:tcPr>
          <w:p w14:paraId="5E2BB67B" w14:textId="644335B8" w:rsidR="009B2DCB" w:rsidRPr="00AE5356" w:rsidRDefault="009B2DCB" w:rsidP="00AE5356">
            <w:pPr>
              <w:jc w:val="both"/>
              <w:rPr>
                <w:color w:val="000000" w:themeColor="text1"/>
              </w:rPr>
            </w:pPr>
            <w:r w:rsidRPr="00AE5356">
              <w:rPr>
                <w:color w:val="000000" w:themeColor="text1"/>
              </w:rPr>
              <w:t>LDDK iebilst pret plāna pasākumu 2.1.3., un 2.1.5. un 2.3.2.punktiem esošajā redakcijā.</w:t>
            </w:r>
          </w:p>
          <w:p w14:paraId="2C77E289" w14:textId="4CC3D02A" w:rsidR="009B2DCB" w:rsidRPr="00AE5356" w:rsidRDefault="009B2DCB" w:rsidP="00AE5356">
            <w:pPr>
              <w:jc w:val="both"/>
              <w:rPr>
                <w:color w:val="000000" w:themeColor="text1"/>
              </w:rPr>
            </w:pPr>
          </w:p>
          <w:p w14:paraId="62B23AE6" w14:textId="3EF709D3" w:rsidR="009B2DCB" w:rsidRPr="00AE5356" w:rsidRDefault="009B2DCB" w:rsidP="00AE5356">
            <w:pPr>
              <w:jc w:val="both"/>
              <w:rPr>
                <w:color w:val="000000" w:themeColor="text1"/>
              </w:rPr>
            </w:pPr>
            <w:r w:rsidRPr="00AE5356">
              <w:rPr>
                <w:color w:val="000000" w:themeColor="text1"/>
              </w:rPr>
              <w:t>Priekšlikums: Veikt labojumus Projekta pasākumu plāna 2.1.3., un 2.1.5. un 2.3.2.punktos, aizstājot vārdu “fintech” ar vārdu salikumu “fintech un insurtech”.</w:t>
            </w:r>
          </w:p>
          <w:p w14:paraId="6D072C0D" w14:textId="08FFDF7A" w:rsidR="009B2DCB" w:rsidRPr="00AE5356" w:rsidRDefault="009B2DCB" w:rsidP="00AE5356">
            <w:pPr>
              <w:jc w:val="both"/>
              <w:rPr>
                <w:color w:val="000000"/>
              </w:rPr>
            </w:pPr>
          </w:p>
        </w:tc>
        <w:tc>
          <w:tcPr>
            <w:tcW w:w="2835" w:type="dxa"/>
            <w:tcBorders>
              <w:left w:val="single" w:sz="6" w:space="0" w:color="000000" w:themeColor="text1"/>
              <w:bottom w:val="single" w:sz="4" w:space="0" w:color="auto"/>
              <w:right w:val="single" w:sz="6" w:space="0" w:color="000000" w:themeColor="text1"/>
            </w:tcBorders>
          </w:tcPr>
          <w:p w14:paraId="48A21919" w14:textId="21B453D5" w:rsidR="009B2DCB" w:rsidRPr="00AE5356" w:rsidRDefault="00D3784F" w:rsidP="00991F57">
            <w:pPr>
              <w:pStyle w:val="naisc"/>
              <w:spacing w:before="0" w:after="0"/>
              <w:jc w:val="left"/>
            </w:pPr>
            <w:r>
              <w:t>Ņ</w:t>
            </w:r>
            <w:r w:rsidR="00991F57">
              <w:t>emts vērā.</w:t>
            </w:r>
          </w:p>
        </w:tc>
        <w:tc>
          <w:tcPr>
            <w:tcW w:w="3544" w:type="dxa"/>
            <w:tcBorders>
              <w:top w:val="single" w:sz="4" w:space="0" w:color="auto"/>
              <w:left w:val="single" w:sz="4" w:space="0" w:color="auto"/>
              <w:bottom w:val="single" w:sz="4" w:space="0" w:color="auto"/>
            </w:tcBorders>
          </w:tcPr>
          <w:p w14:paraId="6BD18F9B" w14:textId="6B6C221B" w:rsidR="009B2DCB" w:rsidRPr="00AE5356" w:rsidRDefault="002329B3" w:rsidP="002329B3">
            <w:pPr>
              <w:jc w:val="both"/>
            </w:pPr>
            <w:r>
              <w:t xml:space="preserve">Esošais formulējums jau </w:t>
            </w:r>
            <w:r w:rsidR="00EC3FD8">
              <w:t xml:space="preserve">netieši </w:t>
            </w:r>
            <w:r>
              <w:t>norāda uz apdrošināšanas pakalpojumiem. Atsevišķas apakšnozares minētajos punktos netiek izceltas.</w:t>
            </w:r>
          </w:p>
        </w:tc>
      </w:tr>
      <w:tr w:rsidR="009B2DCB" w:rsidRPr="00AE5356" w14:paraId="2F17FE39" w14:textId="77777777" w:rsidTr="000E70CD">
        <w:tc>
          <w:tcPr>
            <w:tcW w:w="944" w:type="dxa"/>
            <w:tcBorders>
              <w:left w:val="single" w:sz="6" w:space="0" w:color="000000" w:themeColor="text1"/>
              <w:bottom w:val="single" w:sz="4" w:space="0" w:color="auto"/>
              <w:right w:val="single" w:sz="6" w:space="0" w:color="000000" w:themeColor="text1"/>
            </w:tcBorders>
          </w:tcPr>
          <w:p w14:paraId="6C00336F" w14:textId="683533A5"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238601FE"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11B94166" w14:textId="4C146D07" w:rsidR="009B2DCB" w:rsidRPr="00BF1742" w:rsidRDefault="009B2DCB" w:rsidP="00AE5356">
            <w:pPr>
              <w:widowControl w:val="0"/>
              <w:jc w:val="both"/>
            </w:pPr>
            <w:r w:rsidRPr="00072B9A">
              <w:t xml:space="preserve">LDDK iebilst pret esošo Projekta pasākumu plāna sadaļu “2.2. Inovāciju atbalstošas </w:t>
            </w:r>
            <w:r w:rsidRPr="00BF1742">
              <w:t>infrastruktūras pieejamība” esošajā redakcijā.</w:t>
            </w:r>
          </w:p>
          <w:p w14:paraId="19C2DDF1" w14:textId="7BACB076" w:rsidR="009B2DCB" w:rsidRPr="003D08CD" w:rsidRDefault="009B2DCB" w:rsidP="00AE5356">
            <w:pPr>
              <w:widowControl w:val="0"/>
              <w:jc w:val="both"/>
            </w:pPr>
            <w:r w:rsidRPr="00ED0533">
              <w:t>Priekšlikums: Papildināt Projekta pasākumu plāna 2.2.sadaļu ar plānu ar jaunu pasākumu punktu Nr. 2.2.7:</w:t>
            </w:r>
          </w:p>
          <w:p w14:paraId="51182742" w14:textId="16BE3D3E" w:rsidR="009B2DCB" w:rsidRPr="003D08CD" w:rsidRDefault="009B2DCB" w:rsidP="00AE5356">
            <w:pPr>
              <w:widowControl w:val="0"/>
              <w:jc w:val="both"/>
            </w:pPr>
            <w:r w:rsidRPr="003D08CD">
              <w:t>Uzdevums/pasākums: Vienotas un atvērtas datu apmaiņas politikas attīstība starp valsts institūcijām un finanšu komersantiem;</w:t>
            </w:r>
          </w:p>
          <w:p w14:paraId="2BA89EB3" w14:textId="39191E14" w:rsidR="009B2DCB" w:rsidRPr="000A0D30" w:rsidRDefault="009B2DCB" w:rsidP="00AE5356">
            <w:pPr>
              <w:widowControl w:val="0"/>
              <w:jc w:val="both"/>
            </w:pPr>
            <w:r w:rsidRPr="000A0D30">
              <w:t>Darbības rezultāts: Uzlabot pieejamību dažādiem valsts reģistriem un attīstīt efektīvus tehnoloģiskos risinājumus;</w:t>
            </w:r>
          </w:p>
          <w:p w14:paraId="65265AEA" w14:textId="3CE0DA7A" w:rsidR="009B2DCB" w:rsidRPr="009C4704" w:rsidRDefault="009B2DCB" w:rsidP="00AE5356">
            <w:pPr>
              <w:widowControl w:val="0"/>
              <w:jc w:val="both"/>
            </w:pPr>
            <w:r w:rsidRPr="009C4704">
              <w:lastRenderedPageBreak/>
              <w:t>Rezultatīvais rādītājs: Uzlabota pieejamība dažādiem valsts reģistriem un efektīvi tehnoloģiskie risinājumi;</w:t>
            </w:r>
          </w:p>
          <w:p w14:paraId="2BD98721" w14:textId="55C1BB00" w:rsidR="009B2DCB" w:rsidRPr="007C5D4D" w:rsidRDefault="009B2DCB" w:rsidP="00AE5356">
            <w:pPr>
              <w:widowControl w:val="0"/>
              <w:jc w:val="both"/>
            </w:pPr>
            <w:r w:rsidRPr="007C5D4D">
              <w:t>Atbildīgā institūcija: VARAM;</w:t>
            </w:r>
          </w:p>
          <w:p w14:paraId="7DDC1ED1" w14:textId="76546C67" w:rsidR="009B2DCB" w:rsidRPr="00F31F26" w:rsidRDefault="009B2DCB" w:rsidP="00AE5356">
            <w:pPr>
              <w:widowControl w:val="0"/>
              <w:jc w:val="both"/>
            </w:pPr>
            <w:r w:rsidRPr="000E7687">
              <w:t>Līdzatbildīgā institūcija: FM, TM, LM, IeM, EM, LAA;</w:t>
            </w:r>
          </w:p>
          <w:p w14:paraId="6A6A3EBC" w14:textId="0A495E79" w:rsidR="009B2DCB" w:rsidRPr="00AE5356" w:rsidRDefault="009B2DCB" w:rsidP="00AE5356">
            <w:pPr>
              <w:widowControl w:val="0"/>
              <w:jc w:val="both"/>
            </w:pPr>
            <w:r w:rsidRPr="000D533E">
              <w:t>Izpildes termiņš: 31.12.2023.</w:t>
            </w:r>
          </w:p>
          <w:p w14:paraId="7D1C0D51" w14:textId="0045A2EE" w:rsidR="009B2DCB" w:rsidRPr="00AE5356" w:rsidRDefault="009B2DCB" w:rsidP="00AE5356">
            <w:pPr>
              <w:widowControl w:val="0"/>
              <w:jc w:val="both"/>
            </w:pPr>
          </w:p>
          <w:p w14:paraId="0F3CABC7" w14:textId="7420757E" w:rsidR="009B2DCB" w:rsidRPr="00AE5356" w:rsidRDefault="009B2DCB" w:rsidP="00AE5356">
            <w:pPr>
              <w:widowControl w:val="0"/>
              <w:jc w:val="both"/>
            </w:pPr>
          </w:p>
        </w:tc>
        <w:tc>
          <w:tcPr>
            <w:tcW w:w="2835" w:type="dxa"/>
            <w:tcBorders>
              <w:left w:val="single" w:sz="6" w:space="0" w:color="000000" w:themeColor="text1"/>
              <w:bottom w:val="single" w:sz="4" w:space="0" w:color="auto"/>
              <w:right w:val="single" w:sz="6" w:space="0" w:color="000000" w:themeColor="text1"/>
            </w:tcBorders>
          </w:tcPr>
          <w:p w14:paraId="5B08B5D1" w14:textId="5F25195B" w:rsidR="009B2DCB" w:rsidRPr="00AE5356" w:rsidRDefault="00D85C5A" w:rsidP="00AE5356">
            <w:pPr>
              <w:pStyle w:val="naisc"/>
              <w:spacing w:before="0" w:after="0"/>
              <w:jc w:val="left"/>
            </w:pPr>
            <w:r>
              <w:lastRenderedPageBreak/>
              <w:t>Ņ</w:t>
            </w:r>
            <w:r w:rsidR="00D94934">
              <w:t>emts vērā.</w:t>
            </w:r>
          </w:p>
        </w:tc>
        <w:tc>
          <w:tcPr>
            <w:tcW w:w="3544" w:type="dxa"/>
            <w:tcBorders>
              <w:top w:val="single" w:sz="4" w:space="0" w:color="auto"/>
              <w:left w:val="single" w:sz="4" w:space="0" w:color="auto"/>
              <w:bottom w:val="single" w:sz="4" w:space="0" w:color="auto"/>
            </w:tcBorders>
          </w:tcPr>
          <w:p w14:paraId="16DEB4AB" w14:textId="369D5917" w:rsidR="009B2DCB" w:rsidRPr="00AE5356" w:rsidRDefault="00D85C5A" w:rsidP="00AE5356">
            <w:pPr>
              <w:jc w:val="both"/>
            </w:pPr>
            <w:r w:rsidRPr="005A5688">
              <w:t>Ņemts vērā atbilstoši Pasākumu plāna samērīgas pieejas nostiprināšanai, izpildot noziedzīgi iegūtu līdzekļu legalizācijas un terorisma un proliferācijas finansēšanas novēršanas prasības uzdevumiem, taču netiek apskatīts šī plāna ietvaros.</w:t>
            </w:r>
          </w:p>
        </w:tc>
      </w:tr>
      <w:tr w:rsidR="009B2DCB" w:rsidRPr="00AE5356" w14:paraId="7992F0E8" w14:textId="77777777" w:rsidTr="000E70CD">
        <w:tc>
          <w:tcPr>
            <w:tcW w:w="944" w:type="dxa"/>
            <w:tcBorders>
              <w:top w:val="single" w:sz="4" w:space="0" w:color="auto"/>
              <w:left w:val="single" w:sz="4" w:space="0" w:color="auto"/>
              <w:bottom w:val="single" w:sz="4" w:space="0" w:color="auto"/>
              <w:right w:val="single" w:sz="4" w:space="0" w:color="auto"/>
            </w:tcBorders>
          </w:tcPr>
          <w:p w14:paraId="1E8A9DD0" w14:textId="5C0B293D" w:rsidR="009B2DCB" w:rsidRPr="00AE5356" w:rsidRDefault="009B2DCB" w:rsidP="00AE5356">
            <w:pPr>
              <w:pStyle w:val="naisc"/>
              <w:numPr>
                <w:ilvl w:val="0"/>
                <w:numId w:val="19"/>
              </w:numPr>
              <w:spacing w:before="0" w:after="0"/>
              <w:jc w:val="left"/>
            </w:pPr>
          </w:p>
        </w:tc>
        <w:tc>
          <w:tcPr>
            <w:tcW w:w="2661" w:type="dxa"/>
            <w:tcBorders>
              <w:top w:val="single" w:sz="4" w:space="0" w:color="auto"/>
              <w:left w:val="single" w:sz="4" w:space="0" w:color="auto"/>
              <w:bottom w:val="single" w:sz="4" w:space="0" w:color="auto"/>
              <w:right w:val="single" w:sz="4" w:space="0" w:color="auto"/>
            </w:tcBorders>
          </w:tcPr>
          <w:p w14:paraId="0AD9C6F4" w14:textId="77777777" w:rsidR="009B2DCB" w:rsidRPr="00AE5356" w:rsidRDefault="009B2DCB" w:rsidP="00AE5356">
            <w:pPr>
              <w:pStyle w:val="naisc"/>
              <w:spacing w:before="0" w:after="0"/>
              <w:rPr>
                <w:color w:val="000000"/>
              </w:rPr>
            </w:pPr>
          </w:p>
        </w:tc>
        <w:tc>
          <w:tcPr>
            <w:tcW w:w="4819" w:type="dxa"/>
            <w:gridSpan w:val="2"/>
            <w:tcBorders>
              <w:top w:val="single" w:sz="4" w:space="0" w:color="auto"/>
              <w:left w:val="single" w:sz="4" w:space="0" w:color="auto"/>
              <w:bottom w:val="single" w:sz="4" w:space="0" w:color="auto"/>
              <w:right w:val="single" w:sz="4" w:space="0" w:color="auto"/>
            </w:tcBorders>
          </w:tcPr>
          <w:p w14:paraId="460CFD4F" w14:textId="5B2CAE41" w:rsidR="009B2DCB" w:rsidRPr="00DF40F2" w:rsidRDefault="009B2DCB" w:rsidP="00AE5356">
            <w:pPr>
              <w:pStyle w:val="naisc"/>
              <w:spacing w:before="0" w:after="0"/>
              <w:jc w:val="both"/>
              <w:rPr>
                <w:color w:val="000000" w:themeColor="text1"/>
              </w:rPr>
            </w:pPr>
            <w:r w:rsidRPr="00DF40F2">
              <w:rPr>
                <w:color w:val="000000" w:themeColor="text1"/>
              </w:rPr>
              <w:t>LDDK iebilst pret plāna pasākumu 3.1.1.punktu, kurā LTAB un LAA ir ietvertas starp līdzatbildīgajām institūcijām.</w:t>
            </w:r>
          </w:p>
          <w:p w14:paraId="04F2DC32" w14:textId="75DB6B02" w:rsidR="009B2DCB" w:rsidRPr="00DF40F2" w:rsidRDefault="009B2DCB" w:rsidP="00AE5356">
            <w:pPr>
              <w:pStyle w:val="naisc"/>
              <w:spacing w:before="0" w:after="0"/>
              <w:jc w:val="both"/>
              <w:rPr>
                <w:color w:val="000000" w:themeColor="text1"/>
              </w:rPr>
            </w:pPr>
          </w:p>
          <w:p w14:paraId="217C52E7" w14:textId="1D2BCB96" w:rsidR="009B2DCB" w:rsidRPr="00DF40F2" w:rsidRDefault="009B2DCB" w:rsidP="00AE5356">
            <w:pPr>
              <w:pStyle w:val="naisc"/>
              <w:spacing w:before="0" w:after="0"/>
              <w:jc w:val="both"/>
              <w:rPr>
                <w:color w:val="000000" w:themeColor="text1"/>
              </w:rPr>
            </w:pPr>
            <w:r w:rsidRPr="00DF40F2">
              <w:rPr>
                <w:color w:val="000000" w:themeColor="text1"/>
              </w:rPr>
              <w:t>Priekšlikums: No pasākuma plāna 3.1.1.punkta sadaļā “Līdzatbildīgās institūcijas” dzēst LTAB un LAA.</w:t>
            </w:r>
          </w:p>
          <w:p w14:paraId="4B1F511A" w14:textId="46853F1D" w:rsidR="009B2DCB" w:rsidRPr="00DF40F2" w:rsidRDefault="009B2DCB" w:rsidP="00AE5356">
            <w:pPr>
              <w:pStyle w:val="naisc"/>
              <w:spacing w:before="0" w:after="0"/>
              <w:ind w:left="360"/>
              <w:jc w:val="both"/>
              <w:rPr>
                <w:color w:val="000000"/>
              </w:rPr>
            </w:pPr>
          </w:p>
        </w:tc>
        <w:tc>
          <w:tcPr>
            <w:tcW w:w="2835" w:type="dxa"/>
            <w:tcBorders>
              <w:top w:val="single" w:sz="4" w:space="0" w:color="auto"/>
              <w:left w:val="single" w:sz="4" w:space="0" w:color="auto"/>
              <w:bottom w:val="single" w:sz="4" w:space="0" w:color="auto"/>
            </w:tcBorders>
          </w:tcPr>
          <w:p w14:paraId="65F9C3DC" w14:textId="7B0A025F" w:rsidR="009B2DCB" w:rsidRPr="00DF40F2" w:rsidRDefault="006E727A" w:rsidP="00AE5356">
            <w:pPr>
              <w:jc w:val="both"/>
            </w:pPr>
            <w:r w:rsidRPr="00DF40F2">
              <w:t>Daļēji ņemts vērā.</w:t>
            </w:r>
            <w:r w:rsidR="004B3D6C" w:rsidRPr="00DF40F2">
              <w:t xml:space="preserve"> </w:t>
            </w:r>
          </w:p>
        </w:tc>
        <w:tc>
          <w:tcPr>
            <w:tcW w:w="3544" w:type="dxa"/>
            <w:tcBorders>
              <w:top w:val="single" w:sz="4" w:space="0" w:color="auto"/>
              <w:left w:val="single" w:sz="4" w:space="0" w:color="auto"/>
              <w:bottom w:val="single" w:sz="4" w:space="0" w:color="auto"/>
            </w:tcBorders>
          </w:tcPr>
          <w:p w14:paraId="5023141B" w14:textId="1959A0CA" w:rsidR="009B2DCB" w:rsidRPr="00AE5356" w:rsidRDefault="0002080D" w:rsidP="00AE5356">
            <w:pPr>
              <w:pStyle w:val="naisc"/>
              <w:spacing w:before="0" w:after="0"/>
              <w:jc w:val="both"/>
              <w:rPr>
                <w:color w:val="000000"/>
              </w:rPr>
            </w:pPr>
            <w:r>
              <w:rPr>
                <w:color w:val="000000"/>
              </w:rPr>
              <w:t>No pasākuma plāna ir izslēgts LTAB</w:t>
            </w:r>
            <w:r w:rsidR="0003142C">
              <w:rPr>
                <w:color w:val="000000"/>
              </w:rPr>
              <w:t xml:space="preserve"> kā līdzatbildīgie, bet saglabā</w:t>
            </w:r>
            <w:r>
              <w:rPr>
                <w:color w:val="000000"/>
              </w:rPr>
              <w:t>ta LAA, jo ilgtspējīgu finanšu jomā virkne pasākumu attieksies uz apdrošināšanas sektoru.</w:t>
            </w:r>
          </w:p>
        </w:tc>
      </w:tr>
      <w:tr w:rsidR="009B2DCB" w:rsidRPr="00AE5356" w14:paraId="25687A85" w14:textId="77777777" w:rsidTr="000E70CD">
        <w:tc>
          <w:tcPr>
            <w:tcW w:w="944" w:type="dxa"/>
            <w:tcBorders>
              <w:top w:val="single" w:sz="4" w:space="0" w:color="auto"/>
              <w:left w:val="single" w:sz="4" w:space="0" w:color="auto"/>
              <w:bottom w:val="single" w:sz="4" w:space="0" w:color="auto"/>
              <w:right w:val="single" w:sz="4" w:space="0" w:color="auto"/>
            </w:tcBorders>
          </w:tcPr>
          <w:p w14:paraId="38D6EBB8" w14:textId="333A035F" w:rsidR="009B2DCB" w:rsidRPr="00AE5356" w:rsidRDefault="009B2DCB" w:rsidP="00AE5356">
            <w:pPr>
              <w:pStyle w:val="naisc"/>
              <w:numPr>
                <w:ilvl w:val="0"/>
                <w:numId w:val="19"/>
              </w:numPr>
              <w:spacing w:before="0" w:after="0"/>
              <w:jc w:val="left"/>
            </w:pPr>
          </w:p>
        </w:tc>
        <w:tc>
          <w:tcPr>
            <w:tcW w:w="2661" w:type="dxa"/>
            <w:tcBorders>
              <w:top w:val="single" w:sz="4" w:space="0" w:color="auto"/>
              <w:left w:val="single" w:sz="4" w:space="0" w:color="auto"/>
              <w:bottom w:val="single" w:sz="4" w:space="0" w:color="auto"/>
              <w:right w:val="single" w:sz="4" w:space="0" w:color="auto"/>
            </w:tcBorders>
          </w:tcPr>
          <w:p w14:paraId="1F3B1409" w14:textId="77777777" w:rsidR="009B2DCB" w:rsidRPr="00AE5356" w:rsidRDefault="009B2DCB" w:rsidP="00AE5356">
            <w:pPr>
              <w:pStyle w:val="naisc"/>
              <w:spacing w:before="0" w:after="0"/>
            </w:pPr>
          </w:p>
        </w:tc>
        <w:tc>
          <w:tcPr>
            <w:tcW w:w="4819" w:type="dxa"/>
            <w:gridSpan w:val="2"/>
            <w:tcBorders>
              <w:top w:val="single" w:sz="4" w:space="0" w:color="auto"/>
              <w:left w:val="single" w:sz="4" w:space="0" w:color="auto"/>
              <w:bottom w:val="single" w:sz="4" w:space="0" w:color="auto"/>
              <w:right w:val="single" w:sz="4" w:space="0" w:color="auto"/>
            </w:tcBorders>
          </w:tcPr>
          <w:p w14:paraId="38F2765A" w14:textId="0054BEC4" w:rsidR="009B2DCB" w:rsidRPr="00AE5356" w:rsidRDefault="009B2DCB" w:rsidP="00AE5356">
            <w:pPr>
              <w:pStyle w:val="naisc"/>
              <w:spacing w:before="0" w:after="0"/>
              <w:jc w:val="left"/>
            </w:pPr>
            <w:r w:rsidRPr="00AE5356">
              <w:t>LDDK iebilst pret plāna pasākumu 3.2.1. un 3.2.2.punktu, kurā LAA ir ietverta starp līdzatbildīgajām institūcijām.</w:t>
            </w:r>
          </w:p>
          <w:p w14:paraId="06BF963A" w14:textId="37F73E09" w:rsidR="009B2DCB" w:rsidRPr="00AE5356" w:rsidRDefault="009B2DCB" w:rsidP="00AE5356">
            <w:pPr>
              <w:pStyle w:val="naisc"/>
              <w:spacing w:before="0" w:after="0"/>
              <w:jc w:val="left"/>
            </w:pPr>
          </w:p>
          <w:p w14:paraId="562C75D1" w14:textId="06BE899D" w:rsidR="009B2DCB" w:rsidRPr="00AE5356" w:rsidRDefault="009B2DCB" w:rsidP="00AE5356">
            <w:pPr>
              <w:pStyle w:val="naisc"/>
              <w:spacing w:before="0" w:after="0"/>
              <w:jc w:val="left"/>
            </w:pPr>
            <w:r w:rsidRPr="00AE5356">
              <w:t>Priekšlikums: No pasākuma plāna 3.2.1. un 3.2.2.punktiem sadaļā “Līdzatbildīgās institūcijas” dzēst LAA.</w:t>
            </w:r>
          </w:p>
        </w:tc>
        <w:tc>
          <w:tcPr>
            <w:tcW w:w="2835" w:type="dxa"/>
            <w:tcBorders>
              <w:top w:val="single" w:sz="4" w:space="0" w:color="auto"/>
              <w:left w:val="single" w:sz="4" w:space="0" w:color="auto"/>
              <w:bottom w:val="single" w:sz="4" w:space="0" w:color="auto"/>
            </w:tcBorders>
          </w:tcPr>
          <w:p w14:paraId="664355AD" w14:textId="15D30F4E" w:rsidR="009B2DCB" w:rsidRPr="00AE5356" w:rsidRDefault="00D94934" w:rsidP="00AE5356">
            <w:pPr>
              <w:jc w:val="both"/>
            </w:pPr>
            <w:r>
              <w:t>Panākta vienošanās elektroniskajā saskaņošanā 14.01.2021.</w:t>
            </w:r>
          </w:p>
        </w:tc>
        <w:tc>
          <w:tcPr>
            <w:tcW w:w="3544" w:type="dxa"/>
            <w:tcBorders>
              <w:top w:val="single" w:sz="4" w:space="0" w:color="auto"/>
              <w:left w:val="single" w:sz="4" w:space="0" w:color="auto"/>
              <w:bottom w:val="single" w:sz="4" w:space="0" w:color="auto"/>
            </w:tcBorders>
          </w:tcPr>
          <w:p w14:paraId="1A965116" w14:textId="76E4FA66" w:rsidR="009B2DCB" w:rsidRPr="00AE5356" w:rsidRDefault="0002080D" w:rsidP="00AE5356">
            <w:pPr>
              <w:pStyle w:val="naisc"/>
              <w:spacing w:before="0" w:after="0"/>
              <w:jc w:val="both"/>
            </w:pPr>
            <w:r>
              <w:t xml:space="preserve">Nākotnē plānotā </w:t>
            </w:r>
            <w:r w:rsidRPr="0002080D">
              <w:t>ESG datu pieejamības pilnveidošana</w:t>
            </w:r>
            <w:r>
              <w:t xml:space="preserve"> un </w:t>
            </w:r>
            <w:r w:rsidRPr="0002080D">
              <w:t>Ecolabel izveidošana mazumtirdzniecības finanšu produktiem</w:t>
            </w:r>
            <w:r>
              <w:t xml:space="preserve"> attieksies arī uz apdrošināšan</w:t>
            </w:r>
            <w:r w:rsidR="0003142C">
              <w:t>as pakalpojumiem, tāpēc ir nepie</w:t>
            </w:r>
            <w:r>
              <w:t>ciešama LAA aktīva iesaiste.</w:t>
            </w:r>
          </w:p>
        </w:tc>
      </w:tr>
      <w:tr w:rsidR="009B2DCB" w:rsidRPr="00AE5356" w14:paraId="23A25113" w14:textId="77777777" w:rsidTr="000E70CD">
        <w:tc>
          <w:tcPr>
            <w:tcW w:w="944" w:type="dxa"/>
            <w:tcBorders>
              <w:left w:val="single" w:sz="6" w:space="0" w:color="000000" w:themeColor="text1"/>
              <w:bottom w:val="single" w:sz="4" w:space="0" w:color="auto"/>
              <w:right w:val="single" w:sz="6" w:space="0" w:color="000000" w:themeColor="text1"/>
            </w:tcBorders>
          </w:tcPr>
          <w:p w14:paraId="31116055" w14:textId="53A010CD"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DF4E37C"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69B1244E" w14:textId="058AE975" w:rsidR="009B2DCB" w:rsidRPr="00AE5356" w:rsidRDefault="009B2DCB" w:rsidP="00AE5356">
            <w:pPr>
              <w:pStyle w:val="ListParagraph"/>
              <w:spacing w:after="0" w:line="240" w:lineRule="auto"/>
              <w:ind w:left="0"/>
              <w:jc w:val="both"/>
              <w:rPr>
                <w:rFonts w:ascii="Times New Roman" w:hAnsi="Times New Roman"/>
                <w:sz w:val="24"/>
                <w:szCs w:val="24"/>
              </w:rPr>
            </w:pPr>
            <w:r w:rsidRPr="00AE5356">
              <w:rPr>
                <w:rFonts w:ascii="Times New Roman" w:hAnsi="Times New Roman"/>
                <w:sz w:val="24"/>
                <w:szCs w:val="24"/>
              </w:rPr>
              <w:t>LDDK rosina paplašināt rezultatīvos rādītājus Projekta plāna pasākumu sadaļā “1. Finansējuma pieejamība un investīciju iespējas”.</w:t>
            </w:r>
          </w:p>
          <w:p w14:paraId="36EC5B5C" w14:textId="2D9D55CB" w:rsidR="009B2DCB" w:rsidRPr="00AE5356" w:rsidRDefault="009B2DCB" w:rsidP="00AE5356">
            <w:pPr>
              <w:pStyle w:val="ListParagraph"/>
              <w:spacing w:after="0" w:line="240" w:lineRule="auto"/>
              <w:ind w:left="0"/>
              <w:jc w:val="both"/>
              <w:rPr>
                <w:rFonts w:ascii="Times New Roman" w:hAnsi="Times New Roman"/>
                <w:sz w:val="24"/>
                <w:szCs w:val="24"/>
              </w:rPr>
            </w:pPr>
          </w:p>
          <w:p w14:paraId="44FB30F8" w14:textId="40763C7D" w:rsidR="009B2DCB" w:rsidRPr="00AE5356" w:rsidRDefault="009B2DCB" w:rsidP="00AE5356">
            <w:pPr>
              <w:pStyle w:val="ListParagraph"/>
              <w:spacing w:after="0" w:line="240" w:lineRule="auto"/>
              <w:ind w:left="0"/>
              <w:jc w:val="both"/>
              <w:rPr>
                <w:rFonts w:ascii="Times New Roman" w:hAnsi="Times New Roman"/>
                <w:sz w:val="24"/>
                <w:szCs w:val="24"/>
              </w:rPr>
            </w:pPr>
            <w:r w:rsidRPr="00AE5356">
              <w:rPr>
                <w:rFonts w:ascii="Times New Roman" w:hAnsi="Times New Roman"/>
                <w:sz w:val="24"/>
                <w:szCs w:val="24"/>
              </w:rPr>
              <w:t xml:space="preserve">Priekšlikums: Ietvert Projekta plāna pasākumu sadaļā “1. Finansējuma pieejamība un </w:t>
            </w:r>
            <w:r w:rsidRPr="00AE5356">
              <w:rPr>
                <w:rFonts w:ascii="Times New Roman" w:hAnsi="Times New Roman"/>
                <w:sz w:val="24"/>
                <w:szCs w:val="24"/>
              </w:rPr>
              <w:lastRenderedPageBreak/>
              <w:t>investīciju iespējas” rezultatīvo rādītāju “Izveidota caurskatāma un ticama valsts, pašvaldību un publisko personu investīciju plānošanas un monitoringa sistēma, kurā norādīti šo investīciju segmenti, apjomi un termiņi”.</w:t>
            </w:r>
          </w:p>
        </w:tc>
        <w:tc>
          <w:tcPr>
            <w:tcW w:w="2835" w:type="dxa"/>
            <w:tcBorders>
              <w:left w:val="single" w:sz="6" w:space="0" w:color="000000" w:themeColor="text1"/>
              <w:bottom w:val="single" w:sz="4" w:space="0" w:color="auto"/>
              <w:right w:val="single" w:sz="6" w:space="0" w:color="000000" w:themeColor="text1"/>
            </w:tcBorders>
          </w:tcPr>
          <w:p w14:paraId="1DA6542E" w14:textId="23AFFB97" w:rsidR="009B2DCB" w:rsidRPr="00AE5356" w:rsidRDefault="00D94934" w:rsidP="00FD7C46">
            <w:pPr>
              <w:pStyle w:val="naisc"/>
              <w:spacing w:before="0" w:after="0"/>
              <w:jc w:val="left"/>
            </w:pPr>
            <w:r>
              <w:lastRenderedPageBreak/>
              <w:t>Panākta vienošanās elektroniskajā saskaņošanā 14.01.2021.</w:t>
            </w:r>
          </w:p>
        </w:tc>
        <w:tc>
          <w:tcPr>
            <w:tcW w:w="3544" w:type="dxa"/>
            <w:tcBorders>
              <w:top w:val="single" w:sz="4" w:space="0" w:color="auto"/>
              <w:left w:val="single" w:sz="4" w:space="0" w:color="auto"/>
              <w:bottom w:val="single" w:sz="4" w:space="0" w:color="auto"/>
            </w:tcBorders>
          </w:tcPr>
          <w:p w14:paraId="3041E394" w14:textId="235A5278" w:rsidR="009B2DCB" w:rsidRPr="00AE5356" w:rsidRDefault="00832372" w:rsidP="00AE5356">
            <w:pPr>
              <w:spacing w:before="20" w:afterLines="20" w:after="48"/>
              <w:jc w:val="both"/>
            </w:pPr>
            <w:r>
              <w:t xml:space="preserve">Aicinām skatīt </w:t>
            </w:r>
            <w:r w:rsidR="00FD7C46">
              <w:t xml:space="preserve">šo jautājumu </w:t>
            </w:r>
            <w:r>
              <w:t>citu plānošanas dokumentu kontekstā.</w:t>
            </w:r>
          </w:p>
        </w:tc>
      </w:tr>
      <w:tr w:rsidR="009B2DCB" w:rsidRPr="00AE5356" w14:paraId="3903440C" w14:textId="77777777" w:rsidTr="000E70CD">
        <w:tc>
          <w:tcPr>
            <w:tcW w:w="944" w:type="dxa"/>
            <w:tcBorders>
              <w:left w:val="single" w:sz="6" w:space="0" w:color="000000" w:themeColor="text1"/>
              <w:bottom w:val="single" w:sz="4" w:space="0" w:color="auto"/>
              <w:right w:val="single" w:sz="6" w:space="0" w:color="000000" w:themeColor="text1"/>
            </w:tcBorders>
          </w:tcPr>
          <w:p w14:paraId="392CA3CE" w14:textId="3EB178A4"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22B00AE"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754C795A" w14:textId="2D68DB60" w:rsidR="009B2DCB" w:rsidRPr="00AE5356" w:rsidRDefault="009B2DCB" w:rsidP="00AE5356">
            <w:pPr>
              <w:pStyle w:val="ListParagraph"/>
              <w:spacing w:after="0" w:line="240" w:lineRule="auto"/>
              <w:ind w:left="0"/>
              <w:jc w:val="both"/>
              <w:rPr>
                <w:rFonts w:ascii="Times New Roman" w:hAnsi="Times New Roman"/>
                <w:sz w:val="24"/>
                <w:szCs w:val="24"/>
              </w:rPr>
            </w:pPr>
            <w:r w:rsidRPr="00AE5356">
              <w:rPr>
                <w:rFonts w:ascii="Times New Roman" w:hAnsi="Times New Roman"/>
                <w:sz w:val="24"/>
                <w:szCs w:val="24"/>
              </w:rPr>
              <w:t>Lai veicinātu finanšu sektora pilnveidošanu un stiprināšanu, LDDK ierosina plāna Projektā papildus iekļaut šādus pasākumus:</w:t>
            </w:r>
          </w:p>
          <w:p w14:paraId="1BFDBA93" w14:textId="50B3B482" w:rsidR="009B2DCB" w:rsidRPr="00AE5356" w:rsidRDefault="009B2DCB" w:rsidP="00AE5356">
            <w:pPr>
              <w:pStyle w:val="ListParagraph"/>
              <w:numPr>
                <w:ilvl w:val="0"/>
                <w:numId w:val="1"/>
              </w:numPr>
              <w:spacing w:after="0" w:line="240" w:lineRule="auto"/>
              <w:jc w:val="both"/>
              <w:rPr>
                <w:rFonts w:ascii="Times New Roman" w:hAnsi="Times New Roman"/>
                <w:sz w:val="24"/>
                <w:szCs w:val="24"/>
              </w:rPr>
            </w:pPr>
            <w:r w:rsidRPr="00AE5356">
              <w:rPr>
                <w:rFonts w:ascii="Times New Roman" w:hAnsi="Times New Roman"/>
                <w:sz w:val="24"/>
                <w:szCs w:val="24"/>
              </w:rPr>
              <w:t>izveidot caurskatāmu un ticamu valsts, pašvaldību un publisko personu investīciju plānošanas un monitoringa sistēmu, kurā norādīti šo investīciju segmenti, apjomi un termiņi;</w:t>
            </w:r>
          </w:p>
          <w:p w14:paraId="7AF74727" w14:textId="29346C7A" w:rsidR="009B2DCB" w:rsidRPr="00AE5356" w:rsidRDefault="009B2DCB" w:rsidP="00AE5356">
            <w:pPr>
              <w:pStyle w:val="ListParagraph"/>
              <w:numPr>
                <w:ilvl w:val="0"/>
                <w:numId w:val="1"/>
              </w:numPr>
              <w:spacing w:after="0" w:line="240" w:lineRule="auto"/>
              <w:jc w:val="both"/>
              <w:rPr>
                <w:rFonts w:ascii="Times New Roman" w:hAnsi="Times New Roman"/>
                <w:sz w:val="24"/>
                <w:szCs w:val="24"/>
              </w:rPr>
            </w:pPr>
            <w:r w:rsidRPr="00AE5356">
              <w:rPr>
                <w:rFonts w:ascii="Times New Roman" w:hAnsi="Times New Roman"/>
                <w:sz w:val="24"/>
                <w:szCs w:val="24"/>
              </w:rPr>
              <w:t>attīstīt būvniecības nozares pasūtītāju OCTA apdrošināšanu un veicināt CAR polises publiskos iepirkumos;</w:t>
            </w:r>
          </w:p>
          <w:p w14:paraId="149E8B10" w14:textId="2D516A74" w:rsidR="009B2DCB" w:rsidRPr="00DF40F2" w:rsidRDefault="009B2DCB" w:rsidP="00AE5356">
            <w:pPr>
              <w:pStyle w:val="ListParagraph"/>
              <w:numPr>
                <w:ilvl w:val="0"/>
                <w:numId w:val="1"/>
              </w:numPr>
              <w:spacing w:after="0" w:line="240" w:lineRule="auto"/>
              <w:jc w:val="both"/>
              <w:rPr>
                <w:rFonts w:ascii="Times New Roman" w:hAnsi="Times New Roman"/>
                <w:sz w:val="24"/>
              </w:rPr>
            </w:pPr>
            <w:r w:rsidRPr="00DF40F2">
              <w:rPr>
                <w:rFonts w:ascii="Times New Roman" w:hAnsi="Times New Roman"/>
                <w:sz w:val="24"/>
              </w:rPr>
              <w:t>veicināt komercbanku un Altum zaļos kredītus energoefektīvu un ilgtspējīgu ēku rekonstrukcijai un būvniecībai (kur kā kritērijs tiek izmantotas starptautiskas sistēmas, piemēram, BREEAM, LEED, WELL u.c.);</w:t>
            </w:r>
          </w:p>
          <w:p w14:paraId="1FB3682C" w14:textId="0485D465" w:rsidR="009B2DCB" w:rsidRPr="00DF40F2" w:rsidRDefault="009B2DCB" w:rsidP="00AE5356">
            <w:pPr>
              <w:pStyle w:val="ListParagraph"/>
              <w:numPr>
                <w:ilvl w:val="0"/>
                <w:numId w:val="1"/>
              </w:numPr>
              <w:spacing w:after="0" w:line="240" w:lineRule="auto"/>
              <w:jc w:val="both"/>
              <w:rPr>
                <w:rFonts w:ascii="Times New Roman" w:hAnsi="Times New Roman"/>
                <w:sz w:val="24"/>
              </w:rPr>
            </w:pPr>
            <w:r w:rsidRPr="00DF40F2">
              <w:rPr>
                <w:rFonts w:ascii="Times New Roman" w:hAnsi="Times New Roman"/>
                <w:sz w:val="24"/>
              </w:rPr>
              <w:t>attīstīt Altum tiešos būvniecības līgumu izpildes un garantijas laika garantiju finanšu garantiju produktus;</w:t>
            </w:r>
          </w:p>
          <w:p w14:paraId="51D54F72" w14:textId="707B1F1E" w:rsidR="009B2DCB" w:rsidRPr="00DF40F2" w:rsidRDefault="009B2DCB" w:rsidP="00AE5356">
            <w:pPr>
              <w:pStyle w:val="ListParagraph"/>
              <w:numPr>
                <w:ilvl w:val="0"/>
                <w:numId w:val="1"/>
              </w:numPr>
              <w:spacing w:after="0" w:line="240" w:lineRule="auto"/>
              <w:jc w:val="both"/>
              <w:rPr>
                <w:rFonts w:ascii="Times New Roman" w:hAnsi="Times New Roman"/>
                <w:sz w:val="24"/>
              </w:rPr>
            </w:pPr>
            <w:r w:rsidRPr="00DF40F2">
              <w:rPr>
                <w:rFonts w:ascii="Times New Roman" w:hAnsi="Times New Roman"/>
                <w:sz w:val="24"/>
              </w:rPr>
              <w:t>attīstīt Altum apdrošinātāju polišu pretgarantijas būvniecības līgumu izpildes un garantijas laika garantiju apdrošināšanas polisēm;</w:t>
            </w:r>
          </w:p>
          <w:p w14:paraId="129FE3CF" w14:textId="0CBF123A" w:rsidR="009B2DCB" w:rsidRPr="00AE5356" w:rsidRDefault="009B2DCB" w:rsidP="00AE5356">
            <w:pPr>
              <w:pStyle w:val="ListParagraph"/>
              <w:numPr>
                <w:ilvl w:val="0"/>
                <w:numId w:val="1"/>
              </w:numPr>
              <w:spacing w:after="0" w:line="240" w:lineRule="auto"/>
              <w:jc w:val="both"/>
              <w:rPr>
                <w:rFonts w:ascii="Times New Roman" w:hAnsi="Times New Roman"/>
                <w:sz w:val="24"/>
                <w:szCs w:val="24"/>
              </w:rPr>
            </w:pPr>
            <w:r w:rsidRPr="00AE5356">
              <w:rPr>
                <w:rFonts w:ascii="Times New Roman" w:hAnsi="Times New Roman"/>
                <w:sz w:val="24"/>
                <w:szCs w:val="24"/>
              </w:rPr>
              <w:t xml:space="preserve">mazināt ēnu ekonomiku būvniecības nozares privātpersonu segmentā, </w:t>
            </w:r>
            <w:r w:rsidRPr="00AE5356">
              <w:rPr>
                <w:rFonts w:ascii="Times New Roman" w:hAnsi="Times New Roman"/>
                <w:sz w:val="24"/>
                <w:szCs w:val="24"/>
              </w:rPr>
              <w:lastRenderedPageBreak/>
              <w:t>ieviešot iespēju daļu no remontdarbu un būvniecības izmaksas iekļaut attaisnotos izdevumos;</w:t>
            </w:r>
          </w:p>
          <w:p w14:paraId="3F22A7EA" w14:textId="733B4887" w:rsidR="009B2DCB" w:rsidRPr="00DF40F2" w:rsidRDefault="009B2DCB" w:rsidP="00AE5356">
            <w:pPr>
              <w:pStyle w:val="ListParagraph"/>
              <w:numPr>
                <w:ilvl w:val="0"/>
                <w:numId w:val="1"/>
              </w:numPr>
              <w:spacing w:after="0" w:line="240" w:lineRule="auto"/>
              <w:jc w:val="both"/>
              <w:rPr>
                <w:rFonts w:ascii="Times New Roman" w:hAnsi="Times New Roman"/>
                <w:sz w:val="24"/>
              </w:rPr>
            </w:pPr>
            <w:r w:rsidRPr="00DF40F2">
              <w:rPr>
                <w:rFonts w:ascii="Times New Roman" w:hAnsi="Times New Roman"/>
                <w:sz w:val="24"/>
              </w:rPr>
              <w:t>veicināt jauna finansējuma fonda izveidi (kas var būt sadarbībā ar Altum), kurš specializētos vidēja termiņa PPP projektos.</w:t>
            </w:r>
          </w:p>
          <w:p w14:paraId="42C6D796" w14:textId="328556A4" w:rsidR="009B2DCB" w:rsidRPr="00AE5356" w:rsidRDefault="009B2DCB" w:rsidP="00AE5356">
            <w:pPr>
              <w:pStyle w:val="ListParagraph"/>
              <w:spacing w:after="0" w:line="240" w:lineRule="auto"/>
              <w:ind w:left="0"/>
              <w:jc w:val="both"/>
              <w:rPr>
                <w:rFonts w:ascii="Times New Roman" w:hAnsi="Times New Roman"/>
                <w:sz w:val="24"/>
                <w:szCs w:val="24"/>
              </w:rPr>
            </w:pPr>
          </w:p>
        </w:tc>
        <w:tc>
          <w:tcPr>
            <w:tcW w:w="2835" w:type="dxa"/>
            <w:tcBorders>
              <w:left w:val="single" w:sz="6" w:space="0" w:color="000000" w:themeColor="text1"/>
              <w:bottom w:val="single" w:sz="4" w:space="0" w:color="auto"/>
              <w:right w:val="single" w:sz="6" w:space="0" w:color="000000" w:themeColor="text1"/>
            </w:tcBorders>
          </w:tcPr>
          <w:p w14:paraId="05132F99" w14:textId="3FCA134C" w:rsidR="008769FF" w:rsidRDefault="008769FF" w:rsidP="008769FF">
            <w:pPr>
              <w:jc w:val="both"/>
              <w:rPr>
                <w:rFonts w:ascii="Tahoma" w:hAnsi="Tahoma" w:cs="Tahoma"/>
                <w:color w:val="000000"/>
              </w:rPr>
            </w:pPr>
          </w:p>
          <w:p w14:paraId="76C658C6" w14:textId="77777777" w:rsidR="00D94934" w:rsidRDefault="008769FF" w:rsidP="00DF40F2">
            <w:pPr>
              <w:jc w:val="both"/>
            </w:pPr>
            <w:r w:rsidRPr="006F3C30">
              <w:t xml:space="preserve"> </w:t>
            </w:r>
            <w:r w:rsidR="006A3BC8" w:rsidRPr="00AE5356">
              <w:t xml:space="preserve">1. </w:t>
            </w:r>
            <w:r w:rsidR="00D94934">
              <w:t>Panākta vienošanās elektroniskajā saskaņošanā 14.01.2021.</w:t>
            </w:r>
          </w:p>
          <w:p w14:paraId="223F76E1" w14:textId="77777777" w:rsidR="00D94934" w:rsidRDefault="00D94934" w:rsidP="00DF40F2">
            <w:pPr>
              <w:jc w:val="both"/>
            </w:pPr>
          </w:p>
          <w:p w14:paraId="753163BB" w14:textId="2AFE9B96" w:rsidR="005873C4" w:rsidRPr="00DF40F2" w:rsidRDefault="006A3BC8" w:rsidP="00DF40F2">
            <w:pPr>
              <w:jc w:val="both"/>
              <w:rPr>
                <w:color w:val="000000"/>
              </w:rPr>
            </w:pPr>
            <w:r w:rsidRPr="00AE5356">
              <w:t xml:space="preserve">2. </w:t>
            </w:r>
            <w:r w:rsidR="00D94934">
              <w:t>Panākta vienošanās elektroniskajā saskaņošanā 14.01.2021.</w:t>
            </w:r>
          </w:p>
          <w:p w14:paraId="02CBE217" w14:textId="77777777" w:rsidR="005873C4" w:rsidRPr="00DF40F2" w:rsidRDefault="005873C4" w:rsidP="00DF40F2">
            <w:pPr>
              <w:jc w:val="both"/>
              <w:rPr>
                <w:color w:val="000000"/>
              </w:rPr>
            </w:pPr>
          </w:p>
          <w:p w14:paraId="6E1831B3" w14:textId="65451513" w:rsidR="009B2DCB" w:rsidRPr="00AE5356" w:rsidRDefault="005873C4" w:rsidP="003D1CE2">
            <w:pPr>
              <w:pStyle w:val="naisc"/>
              <w:spacing w:before="0" w:after="0"/>
              <w:jc w:val="left"/>
            </w:pPr>
            <w:r>
              <w:rPr>
                <w:color w:val="000000"/>
              </w:rPr>
              <w:t xml:space="preserve">7. </w:t>
            </w:r>
            <w:r w:rsidR="00D94934">
              <w:rPr>
                <w:color w:val="000000"/>
              </w:rPr>
              <w:t>Panākta vienošanās elektroniskajā saskaņošanā 14.01.2021.</w:t>
            </w:r>
          </w:p>
        </w:tc>
        <w:tc>
          <w:tcPr>
            <w:tcW w:w="3544" w:type="dxa"/>
            <w:tcBorders>
              <w:top w:val="single" w:sz="4" w:space="0" w:color="auto"/>
              <w:left w:val="single" w:sz="4" w:space="0" w:color="auto"/>
              <w:bottom w:val="single" w:sz="4" w:space="0" w:color="auto"/>
            </w:tcBorders>
          </w:tcPr>
          <w:p w14:paraId="6918628F" w14:textId="77777777" w:rsidR="005C02DC" w:rsidRPr="006F3C30" w:rsidRDefault="005C02DC" w:rsidP="005C02DC">
            <w:pPr>
              <w:pStyle w:val="xmsonormal"/>
              <w:jc w:val="both"/>
              <w:rPr>
                <w:rFonts w:ascii="Times New Roman" w:hAnsi="Times New Roman" w:cs="Times New Roman"/>
                <w:sz w:val="24"/>
                <w:szCs w:val="24"/>
              </w:rPr>
            </w:pPr>
            <w:r w:rsidRPr="006F3C30">
              <w:rPr>
                <w:rFonts w:ascii="Times New Roman" w:hAnsi="Times New Roman" w:cs="Times New Roman"/>
                <w:sz w:val="24"/>
                <w:szCs w:val="24"/>
              </w:rPr>
              <w:t>Tā kā ierosinātie pasākumu priekšlikumi skar specifisku – Būvniecības jomas vajadzību, tad tie būtu vērtējami pēc tirgus nepilnības ziņojuma Būvniecības nozarē, kas pamatotu nepieciešamās vajadzības, t.sk., būvnieku pieprasījumu garantiju nodrošināšanā.</w:t>
            </w:r>
          </w:p>
          <w:p w14:paraId="678A0527" w14:textId="77777777" w:rsidR="005C02DC" w:rsidRDefault="005C02DC" w:rsidP="005C02DC">
            <w:pPr>
              <w:pStyle w:val="xmsonormal"/>
              <w:jc w:val="both"/>
              <w:rPr>
                <w:rFonts w:ascii="Times New Roman" w:hAnsi="Times New Roman" w:cs="Times New Roman"/>
                <w:sz w:val="24"/>
                <w:szCs w:val="24"/>
              </w:rPr>
            </w:pPr>
          </w:p>
          <w:p w14:paraId="29117316" w14:textId="34F49704" w:rsidR="005C02DC" w:rsidRDefault="005C02DC" w:rsidP="005C02DC">
            <w:pPr>
              <w:pStyle w:val="xmsonormal"/>
              <w:jc w:val="both"/>
              <w:rPr>
                <w:rFonts w:ascii="Times New Roman" w:hAnsi="Times New Roman" w:cs="Times New Roman"/>
                <w:sz w:val="24"/>
                <w:szCs w:val="24"/>
              </w:rPr>
            </w:pPr>
            <w:r w:rsidRPr="006F3C30">
              <w:t xml:space="preserve">Papildus informējam, ka klimata mērķi kā viens no finanšu instrumentiem virzieniem ir iekļauts </w:t>
            </w:r>
            <w:r w:rsidRPr="009B7A71">
              <w:t xml:space="preserve">Atveseļošanas un noturības fonda </w:t>
            </w:r>
            <w:r>
              <w:t>(</w:t>
            </w:r>
            <w:r w:rsidRPr="006F3C30">
              <w:t>RRF</w:t>
            </w:r>
            <w:r>
              <w:t>) pieteiktajos projektos</w:t>
            </w:r>
            <w:r w:rsidRPr="009B7A71">
              <w:t>.</w:t>
            </w:r>
          </w:p>
          <w:p w14:paraId="0398F065" w14:textId="77777777" w:rsidR="005C02DC" w:rsidRDefault="005C02DC" w:rsidP="008769FF">
            <w:pPr>
              <w:pStyle w:val="xmsonormal"/>
              <w:jc w:val="both"/>
              <w:rPr>
                <w:rFonts w:ascii="Times New Roman" w:hAnsi="Times New Roman" w:cs="Times New Roman"/>
                <w:sz w:val="24"/>
                <w:szCs w:val="24"/>
              </w:rPr>
            </w:pPr>
          </w:p>
          <w:p w14:paraId="23368E18" w14:textId="0E4285BE" w:rsidR="008769FF" w:rsidRPr="006F3C30" w:rsidRDefault="008769FF" w:rsidP="008769FF">
            <w:pPr>
              <w:pStyle w:val="xmsonormal"/>
              <w:jc w:val="both"/>
              <w:rPr>
                <w:rFonts w:ascii="Times New Roman" w:hAnsi="Times New Roman" w:cs="Times New Roman"/>
                <w:sz w:val="24"/>
                <w:szCs w:val="24"/>
              </w:rPr>
            </w:pPr>
            <w:r w:rsidRPr="006F3C30">
              <w:rPr>
                <w:rFonts w:ascii="Times New Roman" w:hAnsi="Times New Roman" w:cs="Times New Roman"/>
                <w:sz w:val="24"/>
                <w:szCs w:val="24"/>
              </w:rPr>
              <w:t>Netiek iekļauti papildus pas</w:t>
            </w:r>
            <w:r>
              <w:rPr>
                <w:rFonts w:ascii="Times New Roman" w:hAnsi="Times New Roman" w:cs="Times New Roman"/>
                <w:sz w:val="24"/>
                <w:szCs w:val="24"/>
              </w:rPr>
              <w:t>ākumi, jo jāveic</w:t>
            </w:r>
            <w:r w:rsidRPr="006F3C30">
              <w:rPr>
                <w:rFonts w:ascii="Times New Roman" w:hAnsi="Times New Roman" w:cs="Times New Roman"/>
                <w:sz w:val="24"/>
                <w:szCs w:val="24"/>
              </w:rPr>
              <w:t xml:space="preserve"> tirgus nepilnības vērtējums Būvniecības nozarē, kas nav </w:t>
            </w:r>
            <w:r w:rsidRPr="006F3C30">
              <w:rPr>
                <w:rFonts w:ascii="Times New Roman" w:hAnsi="Times New Roman" w:cs="Times New Roman"/>
                <w:bCs/>
                <w:color w:val="000000"/>
                <w:sz w:val="24"/>
                <w:szCs w:val="24"/>
              </w:rPr>
              <w:t>Finanšu sektora attīstības plāna tvērumā.</w:t>
            </w:r>
          </w:p>
          <w:p w14:paraId="26757E56" w14:textId="77777777" w:rsidR="009B2DCB" w:rsidRDefault="009B2DCB" w:rsidP="009B2DCB">
            <w:pPr>
              <w:jc w:val="both"/>
            </w:pPr>
          </w:p>
          <w:p w14:paraId="047C5DC5" w14:textId="77777777" w:rsidR="0044130A" w:rsidRDefault="0044130A" w:rsidP="009B2DCB">
            <w:pPr>
              <w:jc w:val="both"/>
            </w:pPr>
          </w:p>
          <w:p w14:paraId="32260EB5" w14:textId="0BEE0D4B" w:rsidR="0044130A" w:rsidRDefault="0044130A" w:rsidP="009B2DCB">
            <w:pPr>
              <w:jc w:val="both"/>
            </w:pPr>
            <w:r>
              <w:t xml:space="preserve">2. Lai attīstītu līdzīgu sistēmu kāda ir sauszemes transportlīdzekļiem apdrošināšanas jomā ir </w:t>
            </w:r>
            <w:r>
              <w:lastRenderedPageBreak/>
              <w:t>nepieciešams EM virzīts konceptuā</w:t>
            </w:r>
            <w:r w:rsidR="0003142C">
              <w:t>ls ziņojums par šādu nepie</w:t>
            </w:r>
            <w:r>
              <w:t>ciešamību būvniecības jomā. Šobrīd nav redzamas tādas nepilnības, kas spiestu izstrādāt un ieviest šādu obligātās apdrošināšanas veidu</w:t>
            </w:r>
            <w:r w:rsidR="001978DF">
              <w:t>.</w:t>
            </w:r>
          </w:p>
          <w:p w14:paraId="6286ADE7" w14:textId="77777777" w:rsidR="009B2DCB" w:rsidRDefault="009B2DCB" w:rsidP="00AE5356">
            <w:pPr>
              <w:jc w:val="both"/>
            </w:pPr>
          </w:p>
          <w:p w14:paraId="58DCE1CA" w14:textId="77777777" w:rsidR="00830BCF" w:rsidRDefault="00830BCF" w:rsidP="00AE5356">
            <w:pPr>
              <w:jc w:val="both"/>
            </w:pPr>
          </w:p>
          <w:p w14:paraId="54E11D2A" w14:textId="735BBC3B" w:rsidR="00830BCF" w:rsidRPr="00AE5356" w:rsidRDefault="00830BCF" w:rsidP="003D1CE2">
            <w:pPr>
              <w:jc w:val="both"/>
            </w:pPr>
            <w:r>
              <w:t xml:space="preserve">7. </w:t>
            </w:r>
            <w:r w:rsidR="003D1CE2">
              <w:t xml:space="preserve">Ņemot vērā </w:t>
            </w:r>
            <w:r w:rsidR="003D1CE2" w:rsidRPr="000822B8">
              <w:t>PPP projektu komplicēto struktūru un pieprasījuma trūkumu, primāri būtu risināmi šķēršļi attiecībā uz informētību un izpratnes veidošanu par PPP projektiem un PPP tirgus pieprasījuma pusi, un tikai pēc tam fokusēties uz finanšu piedāvājuma pusi.</w:t>
            </w:r>
            <w:r w:rsidR="003D1CE2">
              <w:t xml:space="preserve"> </w:t>
            </w:r>
            <w:r w:rsidRPr="00830BCF">
              <w:t>Netiek iekļauti papildus pasākumi, jo CFLA kā PPP projektu kompetences centrs organizē informatīvus pasākumus un sniedz konsultācijas PPP jomā. Balstoties pasākumos panākto izpratni PPP projektu sagatavošanā un atkarībā no PPP projektu pieprasījuma būs iespējams vērtēt nepieciešamību veidot PPP fondu.</w:t>
            </w:r>
          </w:p>
        </w:tc>
      </w:tr>
      <w:tr w:rsidR="009B2DCB" w:rsidRPr="00AE5356" w14:paraId="5583A04A" w14:textId="77777777" w:rsidTr="000E70CD">
        <w:tc>
          <w:tcPr>
            <w:tcW w:w="944" w:type="dxa"/>
            <w:tcBorders>
              <w:left w:val="single" w:sz="6" w:space="0" w:color="000000" w:themeColor="text1"/>
              <w:bottom w:val="single" w:sz="4" w:space="0" w:color="auto"/>
              <w:right w:val="single" w:sz="6" w:space="0" w:color="000000" w:themeColor="text1"/>
            </w:tcBorders>
          </w:tcPr>
          <w:p w14:paraId="4A7A06C3" w14:textId="396E0232"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31126E5D"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2C6D72AD" w14:textId="48D5038B" w:rsidR="009B2DCB" w:rsidRPr="00AE5356" w:rsidRDefault="009B2DCB" w:rsidP="00AE5356">
            <w:pPr>
              <w:pStyle w:val="ListParagraph"/>
              <w:spacing w:after="0" w:line="240" w:lineRule="auto"/>
              <w:ind w:left="0"/>
              <w:jc w:val="both"/>
              <w:rPr>
                <w:rFonts w:ascii="Times New Roman" w:hAnsi="Times New Roman"/>
                <w:b/>
                <w:bCs/>
                <w:sz w:val="24"/>
                <w:szCs w:val="24"/>
                <w:u w:val="single"/>
              </w:rPr>
            </w:pPr>
            <w:r w:rsidRPr="00AE5356">
              <w:rPr>
                <w:rFonts w:ascii="Times New Roman" w:hAnsi="Times New Roman"/>
                <w:b/>
                <w:bCs/>
                <w:sz w:val="24"/>
                <w:szCs w:val="24"/>
                <w:u w:val="single"/>
              </w:rPr>
              <w:t>Izglītības un zinātnes ministrija:</w:t>
            </w:r>
          </w:p>
          <w:p w14:paraId="5CE12644" w14:textId="09DC6ABB" w:rsidR="009B2DCB" w:rsidRPr="00AE5356" w:rsidRDefault="009B2DCB" w:rsidP="00AE5356">
            <w:pPr>
              <w:pStyle w:val="ListParagraph"/>
              <w:spacing w:after="0" w:line="240" w:lineRule="auto"/>
              <w:ind w:left="0"/>
              <w:jc w:val="both"/>
              <w:rPr>
                <w:rFonts w:ascii="Times New Roman" w:hAnsi="Times New Roman"/>
                <w:sz w:val="24"/>
                <w:szCs w:val="24"/>
              </w:rPr>
            </w:pPr>
            <w:r w:rsidRPr="00DF40F2">
              <w:rPr>
                <w:rFonts w:ascii="Times New Roman" w:hAnsi="Times New Roman"/>
                <w:sz w:val="24"/>
              </w:rPr>
              <w:t xml:space="preserve">projekta 3.6. sadaļā “AS “Attīstības finanšu </w:t>
            </w:r>
            <w:r w:rsidRPr="00BF1742">
              <w:rPr>
                <w:rFonts w:ascii="Times New Roman" w:hAnsi="Times New Roman"/>
                <w:sz w:val="24"/>
              </w:rPr>
              <w:t xml:space="preserve">institūcijas Altum” atbalsta programmas” lūdzam iekļaut informāciju par AS “Attīstības </w:t>
            </w:r>
            <w:r w:rsidRPr="00BF1742">
              <w:rPr>
                <w:rFonts w:ascii="Times New Roman" w:hAnsi="Times New Roman"/>
                <w:sz w:val="24"/>
              </w:rPr>
              <w:lastRenderedPageBreak/>
              <w:t>finanšu institūcijas Altum” īstenoto programmu augstākās izglītības pieejamības veicināšanai –studiju un studējošo kredīti studijām Latvijā, kas tiek izsniegti no kredītiestāžu līdzekļiem un ir garantēti no valsts budžeta līdzekļiem ar AS “Attīstības finanšu institūcijas</w:t>
            </w:r>
            <w:r w:rsidRPr="00DF40F2">
              <w:rPr>
                <w:rFonts w:ascii="Times New Roman" w:hAnsi="Times New Roman"/>
                <w:sz w:val="24"/>
              </w:rPr>
              <w:t xml:space="preserve"> Altum” administrēto portfeļgarantiju.</w:t>
            </w:r>
          </w:p>
          <w:p w14:paraId="2DE403A5" w14:textId="3F6C0126" w:rsidR="009B2DCB" w:rsidRPr="00AE5356" w:rsidRDefault="009B2DCB" w:rsidP="00AE5356">
            <w:pPr>
              <w:pStyle w:val="ListParagraph"/>
              <w:spacing w:after="0" w:line="240" w:lineRule="auto"/>
              <w:ind w:left="0"/>
              <w:jc w:val="both"/>
              <w:rPr>
                <w:rFonts w:ascii="Times New Roman" w:hAnsi="Times New Roman"/>
                <w:sz w:val="24"/>
                <w:szCs w:val="24"/>
              </w:rPr>
            </w:pPr>
          </w:p>
        </w:tc>
        <w:tc>
          <w:tcPr>
            <w:tcW w:w="2835" w:type="dxa"/>
            <w:tcBorders>
              <w:left w:val="single" w:sz="6" w:space="0" w:color="000000" w:themeColor="text1"/>
              <w:bottom w:val="single" w:sz="4" w:space="0" w:color="auto"/>
              <w:right w:val="single" w:sz="6" w:space="0" w:color="000000" w:themeColor="text1"/>
            </w:tcBorders>
          </w:tcPr>
          <w:p w14:paraId="62431CDC" w14:textId="767529C0" w:rsidR="009B2DCB" w:rsidRPr="00AE5356" w:rsidRDefault="00BF1742" w:rsidP="00AE5356">
            <w:pPr>
              <w:pStyle w:val="naisc"/>
              <w:spacing w:before="0" w:after="0"/>
              <w:jc w:val="left"/>
            </w:pPr>
            <w:r>
              <w:lastRenderedPageBreak/>
              <w:t>Ņ</w:t>
            </w:r>
            <w:r w:rsidR="009B2DCB" w:rsidRPr="00AE5356">
              <w:t>emts vērā.</w:t>
            </w:r>
          </w:p>
        </w:tc>
        <w:tc>
          <w:tcPr>
            <w:tcW w:w="3544" w:type="dxa"/>
            <w:tcBorders>
              <w:top w:val="single" w:sz="4" w:space="0" w:color="auto"/>
              <w:left w:val="single" w:sz="4" w:space="0" w:color="auto"/>
              <w:bottom w:val="single" w:sz="4" w:space="0" w:color="auto"/>
            </w:tcBorders>
          </w:tcPr>
          <w:p w14:paraId="085109BF" w14:textId="77777777" w:rsidR="009B2DCB" w:rsidRDefault="00B52374" w:rsidP="00BF1742">
            <w:pPr>
              <w:jc w:val="both"/>
            </w:pPr>
            <w:r>
              <w:t>N</w:t>
            </w:r>
            <w:r w:rsidR="00BF1742">
              <w:t xml:space="preserve">odaļas pirmās rindkopas otrais teikums izteikts šādā redakcijā: </w:t>
            </w:r>
            <w:r w:rsidR="00BF1742" w:rsidRPr="00BF1742">
              <w:t xml:space="preserve">ALTUM darbības uzsvars pēdējo gadu laikā ir bijis uz garantiju </w:t>
            </w:r>
            <w:r w:rsidR="00BF1742" w:rsidRPr="00BF1742">
              <w:lastRenderedPageBreak/>
              <w:t>produktiem, radot vairākus jaunus garantiju produktus (piemēram, portfeļgarantijas, mājokļu garantijas jaunajiem speciālistiem, augstākās izglītības pieejamības veicināšanai – studiju un studējošo kredīti studijām Latvijā) un būtiski pilnveidojot esošos (piemēram, lauksaimnieku, komersantu), kā arī popularizējot garantiju instrumentus, ņemot vērā ALTUM papildinošo lomu finanšu tirgū.</w:t>
            </w:r>
          </w:p>
          <w:p w14:paraId="7476B31D" w14:textId="77777777" w:rsidR="00540265" w:rsidRDefault="00540265" w:rsidP="00BF1742">
            <w:pPr>
              <w:jc w:val="both"/>
            </w:pPr>
          </w:p>
          <w:p w14:paraId="6417AB8B" w14:textId="3E26795D" w:rsidR="00540265" w:rsidRDefault="00540265" w:rsidP="00BF1742">
            <w:pPr>
              <w:jc w:val="both"/>
            </w:pPr>
            <w:r>
              <w:t xml:space="preserve">Pievienots uzdevums 1.1.9.: </w:t>
            </w:r>
            <w:r w:rsidRPr="00540265">
              <w:t>Augstākās izglītības pieejamības sistēmas turpmāka pilnveidošana.</w:t>
            </w:r>
          </w:p>
          <w:p w14:paraId="49E398E2" w14:textId="570E8BD7" w:rsidR="00540265" w:rsidRPr="00AE5356" w:rsidRDefault="00540265" w:rsidP="00BF1742">
            <w:pPr>
              <w:jc w:val="both"/>
            </w:pPr>
          </w:p>
        </w:tc>
      </w:tr>
      <w:tr w:rsidR="009B2DCB" w:rsidRPr="00AE5356" w14:paraId="45CFDD55" w14:textId="77777777" w:rsidTr="000E70CD">
        <w:tc>
          <w:tcPr>
            <w:tcW w:w="944" w:type="dxa"/>
            <w:tcBorders>
              <w:left w:val="single" w:sz="6" w:space="0" w:color="000000" w:themeColor="text1"/>
              <w:bottom w:val="single" w:sz="4" w:space="0" w:color="auto"/>
              <w:right w:val="single" w:sz="6" w:space="0" w:color="000000" w:themeColor="text1"/>
            </w:tcBorders>
          </w:tcPr>
          <w:p w14:paraId="356018A7" w14:textId="4C57111B"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16287F21"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24103013" w14:textId="77777777" w:rsidR="009B2DCB" w:rsidRPr="00DF40F2" w:rsidRDefault="009B2DCB" w:rsidP="00AE5356">
            <w:pPr>
              <w:jc w:val="both"/>
              <w:rPr>
                <w:b/>
                <w:u w:val="single"/>
              </w:rPr>
            </w:pPr>
            <w:r w:rsidRPr="00DF40F2">
              <w:rPr>
                <w:b/>
                <w:u w:val="single"/>
              </w:rPr>
              <w:t>Latvijas Privātā un Riska kapitāla asociācija (LVCA):</w:t>
            </w:r>
          </w:p>
          <w:p w14:paraId="3EA08CA1" w14:textId="77777777" w:rsidR="009B2DCB" w:rsidRPr="00DF40F2" w:rsidRDefault="009B2DCB" w:rsidP="00AE5356">
            <w:pPr>
              <w:jc w:val="both"/>
            </w:pPr>
            <w:r w:rsidRPr="00DF40F2">
              <w:t>LVCA uzskata, ka virzoties uz attīstītu kapitāla tirgu, nepieciešams nodrošināt un radīt veicinošus apstākļus uzņēmumiem izmantot alternatīvu finansējumu tradicionāli Latvijā dominējošajiem kredītiestāžu aizdevumiem. Šo vajadzību pilnībā nevar nodrošināt finansējums, kas piesaistāms caur biržu, jo daudziem MVU pat ar publisku atbalstu kotācijas uzsākšanai, šis nav piemērots finansējuma veids.</w:t>
            </w:r>
          </w:p>
          <w:p w14:paraId="303FC339" w14:textId="77777777" w:rsidR="009B2DCB" w:rsidRPr="00DF40F2" w:rsidRDefault="009B2DCB" w:rsidP="00AE5356">
            <w:pPr>
              <w:jc w:val="both"/>
            </w:pPr>
          </w:p>
          <w:p w14:paraId="7C70797C" w14:textId="3BC683A0" w:rsidR="009B2DCB" w:rsidRPr="00DF40F2" w:rsidRDefault="009B2DCB" w:rsidP="00AE5356">
            <w:pPr>
              <w:jc w:val="both"/>
            </w:pPr>
            <w:r w:rsidRPr="00DF40F2">
              <w:t xml:space="preserve">Šajā sakarībā lūdzam Finanšu sektora attīstības plāna 2021.-2023. gadam projektu papildināt ar atsevišķu sadaļu par alternatīvo finansējuma </w:t>
            </w:r>
            <w:r w:rsidRPr="00DF40F2">
              <w:lastRenderedPageBreak/>
              <w:t>veidu izmantošanas attīstīšanu un atbilstošiem pasākumiem (3.7.punkts). Šajā sakarībā lūdzam plānu izteikt redakcijā kā tas ir pielikumā esošajā failā.</w:t>
            </w:r>
          </w:p>
          <w:p w14:paraId="54DDA5B0" w14:textId="77777777" w:rsidR="009B2DCB" w:rsidRPr="00DF40F2" w:rsidRDefault="009B2DCB" w:rsidP="00AE5356">
            <w:pPr>
              <w:jc w:val="both"/>
            </w:pPr>
          </w:p>
          <w:p w14:paraId="60A1A6F4" w14:textId="77777777" w:rsidR="009B2DCB" w:rsidRPr="00DF40F2" w:rsidRDefault="009B2DCB" w:rsidP="00AE5356">
            <w:pPr>
              <w:jc w:val="both"/>
            </w:pPr>
            <w:r w:rsidRPr="00DF40F2">
              <w:t>Piedāvātais teksts:</w:t>
            </w:r>
          </w:p>
          <w:p w14:paraId="1BCC7534" w14:textId="7896AAE7" w:rsidR="009B2DCB" w:rsidRPr="00DF40F2" w:rsidRDefault="009B2DCB" w:rsidP="00AE5356">
            <w:pPr>
              <w:jc w:val="both"/>
            </w:pPr>
            <w:r w:rsidRPr="00DF40F2">
              <w:t>3.7. Alternatīvo finansējuma veidu izmantošanas attīstīšana</w:t>
            </w:r>
          </w:p>
          <w:p w14:paraId="47274645" w14:textId="1E83C0E3" w:rsidR="009B2DCB" w:rsidRPr="00DF40F2" w:rsidRDefault="009B2DCB" w:rsidP="00AE5356">
            <w:pPr>
              <w:jc w:val="both"/>
            </w:pPr>
          </w:p>
          <w:p w14:paraId="32006EA0" w14:textId="77777777" w:rsidR="009B2DCB" w:rsidRPr="00DF40F2" w:rsidRDefault="009B2DCB" w:rsidP="00AE5356">
            <w:pPr>
              <w:jc w:val="both"/>
            </w:pPr>
            <w:r w:rsidRPr="00DF40F2">
              <w:t xml:space="preserve">Virzoties uz attīstītu kapitāla tirgu, nepieciešams nodrošināt un radīt veicinošus apstākļus uzņēmumiem izmantot dažāda veida finansējumu, ne tikai tradicionāli Latvijā dominējošos kredītiestāžu aizdevumus. </w:t>
            </w:r>
          </w:p>
          <w:p w14:paraId="55A0D08F" w14:textId="77777777" w:rsidR="009B2DCB" w:rsidRPr="00DF40F2" w:rsidRDefault="009B2DCB" w:rsidP="00AE5356">
            <w:pPr>
              <w:jc w:val="both"/>
            </w:pPr>
          </w:p>
          <w:p w14:paraId="3F8B7DB6" w14:textId="6B005C28" w:rsidR="009B2DCB" w:rsidRPr="00DF40F2" w:rsidRDefault="009B2DCB" w:rsidP="00AE5356">
            <w:pPr>
              <w:jc w:val="both"/>
            </w:pPr>
            <w:r w:rsidRPr="00DF40F2">
              <w:t>2010.-2019.gadu periodā strauji ir attīstījusies privātā un riska kapitāla nozare. Saskaņā ar Deloitte sadarbībā ar Latvijas, Igaunijas un Lietuvas riska kapitāla asociācijām veikto Baltijas privātā un riska kapitāla tirgus pārskatu (2020.g.jūnijs) , riska kapitāla investīciju kumulatīvais apjoms Latvijas uzņēmumos uz 2019.gada beigām bija  105 milj.</w:t>
            </w:r>
            <w:r w:rsidR="0003142C">
              <w:t xml:space="preserve"> </w:t>
            </w:r>
            <w:r w:rsidRPr="00DF40F2">
              <w:t>euro. 2019.gadā investīcijas tika veiktas 72 uzņēmumos.</w:t>
            </w:r>
          </w:p>
          <w:p w14:paraId="3C41E7A3" w14:textId="59EFCBBB" w:rsidR="009B2DCB" w:rsidRPr="00DF40F2" w:rsidRDefault="009B2DCB" w:rsidP="00AE5356">
            <w:pPr>
              <w:jc w:val="both"/>
            </w:pPr>
          </w:p>
          <w:p w14:paraId="275EB8FA" w14:textId="77777777" w:rsidR="009B2DCB" w:rsidRPr="00DF40F2" w:rsidRDefault="009B2DCB" w:rsidP="00AE5356">
            <w:pPr>
              <w:jc w:val="both"/>
            </w:pPr>
            <w:r w:rsidRPr="00DF40F2">
              <w:t xml:space="preserve">Riska kapitāla fondu izveide Latvijā tāpat kā pārējās Centrāleiropas valstīs  notiek, izmantojot līdz-investīcijas no Latvijas budžeta, ES fondiem, Eiropas Biznesa un Rekonstrukcijas bankas un Eiropas Investīcijas fonda, Baltijas un citu valstu pensiju fondiem un </w:t>
            </w:r>
            <w:r w:rsidRPr="00DF40F2">
              <w:lastRenderedPageBreak/>
              <w:t>privāto ieguldījumu līdzekļiem. Pētījumi  liecina, ka turpmākai privātā un riska kapitāla nozares attīstībai joprojām nepieciešams publisko investīciju atbalsts, it sevišķi agrīnajās riska kapitāla stadijās.</w:t>
            </w:r>
          </w:p>
          <w:p w14:paraId="77EB2429" w14:textId="77777777" w:rsidR="009B2DCB" w:rsidRPr="00DF40F2" w:rsidRDefault="009B2DCB" w:rsidP="00AE5356">
            <w:pPr>
              <w:jc w:val="both"/>
            </w:pPr>
          </w:p>
          <w:p w14:paraId="12D734D4" w14:textId="77777777" w:rsidR="009B2DCB" w:rsidRPr="00DF40F2" w:rsidRDefault="009B2DCB" w:rsidP="00AE5356">
            <w:pPr>
              <w:jc w:val="both"/>
            </w:pPr>
            <w:r w:rsidRPr="00DF40F2">
              <w:t>Ceļā uz pašpietiekamu privātās un riska kapitāla nozares darbību papildus publiskajam finansiālajam atbalstam nepieciešams:</w:t>
            </w:r>
          </w:p>
          <w:p w14:paraId="5F679F4C" w14:textId="54E5CE62" w:rsidR="009B2DCB" w:rsidRPr="00DF40F2" w:rsidRDefault="009B2DCB" w:rsidP="00AE5356">
            <w:pPr>
              <w:jc w:val="both"/>
            </w:pPr>
            <w:r w:rsidRPr="00DF40F2">
              <w:t>- radīt apstākļus, kas veicina institucionālo un privāto investoru investīcijas riska kapitāla fondos (piemēram palielināt ieguldījumu limitus valsts fondētajiem pensiju plāniem),</w:t>
            </w:r>
          </w:p>
          <w:p w14:paraId="0F2B563A" w14:textId="4AC7F5B9" w:rsidR="009B2DCB" w:rsidRPr="00DF40F2" w:rsidRDefault="009B2DCB" w:rsidP="00AE5356">
            <w:pPr>
              <w:jc w:val="both"/>
            </w:pPr>
          </w:p>
          <w:p w14:paraId="0712D3E1" w14:textId="77777777" w:rsidR="009B2DCB" w:rsidRPr="00DF40F2" w:rsidRDefault="009B2DCB" w:rsidP="00AE5356">
            <w:pPr>
              <w:jc w:val="both"/>
            </w:pPr>
            <w:r w:rsidRPr="00DF40F2">
              <w:t>- radīt labāku potenciālu jaunuzņēmumu izaugsmei (piemēram  opciju likumdošanas ieviešana),</w:t>
            </w:r>
          </w:p>
          <w:p w14:paraId="78570ADE" w14:textId="77777777" w:rsidR="009B2DCB" w:rsidRPr="00DF40F2" w:rsidRDefault="009B2DCB" w:rsidP="00AE5356">
            <w:pPr>
              <w:jc w:val="both"/>
            </w:pPr>
            <w:r w:rsidRPr="00DF40F2">
              <w:t>- sekmēt uzņēmēju izpratni par dažāda veida finansējuma pieejamību un šo veidu atbilstību konkrētām uzņēmuma attīstības stratēģijām un fāzēm,</w:t>
            </w:r>
          </w:p>
          <w:p w14:paraId="49B45875" w14:textId="6336C917" w:rsidR="009B2DCB" w:rsidRPr="00DF40F2" w:rsidRDefault="009B2DCB" w:rsidP="00AE5356">
            <w:pPr>
              <w:jc w:val="both"/>
            </w:pPr>
            <w:r w:rsidRPr="00DF40F2">
              <w:t>- veicināt ilgtspējīgu investīciju izaugsmi.</w:t>
            </w:r>
          </w:p>
          <w:p w14:paraId="5BE93A62" w14:textId="712D2861" w:rsidR="009B2DCB" w:rsidRPr="00DF40F2" w:rsidRDefault="009B2DCB" w:rsidP="00AE5356">
            <w:pPr>
              <w:jc w:val="both"/>
            </w:pPr>
          </w:p>
        </w:tc>
        <w:tc>
          <w:tcPr>
            <w:tcW w:w="2835" w:type="dxa"/>
            <w:tcBorders>
              <w:left w:val="single" w:sz="6" w:space="0" w:color="000000" w:themeColor="text1"/>
              <w:bottom w:val="single" w:sz="4" w:space="0" w:color="auto"/>
              <w:right w:val="single" w:sz="6" w:space="0" w:color="000000" w:themeColor="text1"/>
            </w:tcBorders>
          </w:tcPr>
          <w:p w14:paraId="384BA73E" w14:textId="12B294C9" w:rsidR="009B2DCB" w:rsidRPr="00DF40F2" w:rsidRDefault="009964F5" w:rsidP="00AE5356">
            <w:pPr>
              <w:pStyle w:val="naisc"/>
              <w:spacing w:before="0" w:after="0"/>
              <w:jc w:val="left"/>
            </w:pPr>
            <w:r w:rsidRPr="00DF40F2">
              <w:lastRenderedPageBreak/>
              <w:t>Ņemts vērā.</w:t>
            </w:r>
          </w:p>
        </w:tc>
        <w:tc>
          <w:tcPr>
            <w:tcW w:w="3544" w:type="dxa"/>
            <w:tcBorders>
              <w:top w:val="single" w:sz="4" w:space="0" w:color="auto"/>
              <w:left w:val="single" w:sz="4" w:space="0" w:color="auto"/>
              <w:bottom w:val="single" w:sz="4" w:space="0" w:color="auto"/>
            </w:tcBorders>
          </w:tcPr>
          <w:p w14:paraId="0CC771C4" w14:textId="77777777" w:rsidR="009964F5" w:rsidRDefault="009964F5" w:rsidP="009964F5">
            <w:pPr>
              <w:jc w:val="both"/>
            </w:pPr>
            <w:r>
              <w:t xml:space="preserve">FSAP teksts papildināts ar jaunu </w:t>
            </w:r>
          </w:p>
          <w:p w14:paraId="34B3F2EB" w14:textId="77777777" w:rsidR="009B2DCB" w:rsidRPr="00AE5356" w:rsidRDefault="009964F5" w:rsidP="00AE5356">
            <w:pPr>
              <w:jc w:val="both"/>
            </w:pPr>
            <w:r>
              <w:t>3.3. Alternatīvo finansējuma veidu izmantošanas attīstīšana nodaļu.</w:t>
            </w:r>
          </w:p>
        </w:tc>
      </w:tr>
      <w:tr w:rsidR="009B2DCB" w:rsidRPr="00AE5356" w14:paraId="1344137E" w14:textId="77777777" w:rsidTr="000E70CD">
        <w:tc>
          <w:tcPr>
            <w:tcW w:w="944" w:type="dxa"/>
            <w:tcBorders>
              <w:left w:val="single" w:sz="6" w:space="0" w:color="000000" w:themeColor="text1"/>
              <w:bottom w:val="single" w:sz="4" w:space="0" w:color="auto"/>
              <w:right w:val="single" w:sz="6" w:space="0" w:color="000000" w:themeColor="text1"/>
            </w:tcBorders>
          </w:tcPr>
          <w:p w14:paraId="3FB89DD6"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288BEC7E"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63888C97" w14:textId="1D1752FD" w:rsidR="009B2DCB" w:rsidRPr="00DF40F2" w:rsidRDefault="009B2DCB" w:rsidP="00AE5356">
            <w:pPr>
              <w:jc w:val="both"/>
            </w:pPr>
            <w:r w:rsidRPr="00DF40F2">
              <w:t>Papildināt 1.2. ar šādu uzdevumu:</w:t>
            </w:r>
          </w:p>
          <w:p w14:paraId="08866AB4" w14:textId="55C78ED8" w:rsidR="009B2DCB" w:rsidRPr="00DF40F2" w:rsidRDefault="009B2DCB" w:rsidP="00AE5356">
            <w:pPr>
              <w:jc w:val="both"/>
            </w:pPr>
            <w:r w:rsidRPr="00DF40F2">
              <w:t>Uzdevums/pasākums: Veikt izglītojošus pasākumus sabiedrībai riska kapitāla ieguldījumu lomas un nozīmes skaidrošanai</w:t>
            </w:r>
          </w:p>
          <w:p w14:paraId="27B839CF" w14:textId="7356571D" w:rsidR="009B2DCB" w:rsidRPr="00DF40F2" w:rsidRDefault="009B2DCB" w:rsidP="00AE5356">
            <w:pPr>
              <w:jc w:val="both"/>
            </w:pPr>
            <w:r w:rsidRPr="00DF40F2">
              <w:t>Darbības rezultāts: MVU, kuru darbībai atbilstu riska kapitāla finansējums, izveides un darbības veicināšana</w:t>
            </w:r>
          </w:p>
          <w:p w14:paraId="618E7970" w14:textId="1683C414" w:rsidR="009B2DCB" w:rsidRPr="00DF40F2" w:rsidRDefault="009B2DCB" w:rsidP="00AE5356">
            <w:pPr>
              <w:jc w:val="both"/>
            </w:pPr>
            <w:r w:rsidRPr="00DF40F2">
              <w:t>Rezultatīvais rādītājs: Pasākumi iekļauti ikgadējos ALTUM darbības plānos</w:t>
            </w:r>
          </w:p>
          <w:p w14:paraId="6BE3538A" w14:textId="2B04C54F" w:rsidR="009B2DCB" w:rsidRPr="00DF40F2" w:rsidRDefault="009B2DCB" w:rsidP="00AE5356">
            <w:pPr>
              <w:jc w:val="both"/>
            </w:pPr>
            <w:r w:rsidRPr="00DF40F2">
              <w:lastRenderedPageBreak/>
              <w:t>Atbildīgā institūcija: ALTUM</w:t>
            </w:r>
          </w:p>
          <w:p w14:paraId="0B08B7D1" w14:textId="754FF60B" w:rsidR="009B2DCB" w:rsidRPr="00DF40F2" w:rsidRDefault="009B2DCB" w:rsidP="00AE5356">
            <w:pPr>
              <w:jc w:val="both"/>
            </w:pPr>
            <w:r w:rsidRPr="00DF40F2">
              <w:t>Līdzatbildīgā institūcija: FM, EM, LVCA</w:t>
            </w:r>
          </w:p>
          <w:p w14:paraId="1AFC57C5" w14:textId="2CE201DF" w:rsidR="009B2DCB" w:rsidRPr="00AE5356" w:rsidRDefault="009B2DCB" w:rsidP="00AE5356">
            <w:pPr>
              <w:jc w:val="both"/>
              <w:rPr>
                <w:b/>
                <w:u w:val="single"/>
              </w:rPr>
            </w:pPr>
            <w:r w:rsidRPr="00DF40F2">
              <w:t>Izpildes termiņš: visā plāna darbības laikā</w:t>
            </w:r>
          </w:p>
        </w:tc>
        <w:tc>
          <w:tcPr>
            <w:tcW w:w="2835" w:type="dxa"/>
            <w:tcBorders>
              <w:left w:val="single" w:sz="6" w:space="0" w:color="000000" w:themeColor="text1"/>
              <w:bottom w:val="single" w:sz="4" w:space="0" w:color="auto"/>
              <w:right w:val="single" w:sz="6" w:space="0" w:color="000000" w:themeColor="text1"/>
            </w:tcBorders>
          </w:tcPr>
          <w:p w14:paraId="5DBFEAAB" w14:textId="00E8D91D" w:rsidR="009B2DCB" w:rsidRPr="00AE5356" w:rsidRDefault="00DF40F2" w:rsidP="00804CF9">
            <w:pPr>
              <w:pStyle w:val="naisc"/>
              <w:spacing w:before="0" w:after="0"/>
              <w:jc w:val="left"/>
            </w:pPr>
            <w:r>
              <w:lastRenderedPageBreak/>
              <w:t>Ņemts vērā</w:t>
            </w:r>
            <w:r w:rsidR="008769FF" w:rsidRPr="00AC4D26">
              <w:t>.</w:t>
            </w:r>
          </w:p>
        </w:tc>
        <w:tc>
          <w:tcPr>
            <w:tcW w:w="3544" w:type="dxa"/>
            <w:tcBorders>
              <w:top w:val="single" w:sz="4" w:space="0" w:color="auto"/>
              <w:left w:val="single" w:sz="4" w:space="0" w:color="auto"/>
              <w:bottom w:val="single" w:sz="4" w:space="0" w:color="auto"/>
            </w:tcBorders>
          </w:tcPr>
          <w:p w14:paraId="52794CFA" w14:textId="2B99EC9C" w:rsidR="009B2DCB" w:rsidRPr="0080114D" w:rsidRDefault="0080114D" w:rsidP="00DF40F2">
            <w:pPr>
              <w:pStyle w:val="xmsonormal"/>
              <w:ind w:left="360"/>
            </w:pPr>
            <w:r>
              <w:rPr>
                <w:rFonts w:ascii="Times New Roman" w:hAnsi="Times New Roman" w:cs="Times New Roman"/>
                <w:sz w:val="24"/>
                <w:szCs w:val="24"/>
              </w:rPr>
              <w:t>Iekļauts jauns uzdevums 1</w:t>
            </w:r>
            <w:r w:rsidRPr="0080114D">
              <w:rPr>
                <w:rFonts w:ascii="Times New Roman" w:hAnsi="Times New Roman" w:cs="Times New Roman"/>
                <w:sz w:val="24"/>
                <w:szCs w:val="24"/>
              </w:rPr>
              <w:t>.2.</w:t>
            </w:r>
            <w:r w:rsidR="00EA6DA2">
              <w:rPr>
                <w:rFonts w:ascii="Times New Roman" w:hAnsi="Times New Roman" w:cs="Times New Roman"/>
                <w:sz w:val="24"/>
                <w:szCs w:val="24"/>
              </w:rPr>
              <w:t>12.</w:t>
            </w:r>
          </w:p>
          <w:p w14:paraId="269A949D" w14:textId="77777777" w:rsidR="009B2DCB" w:rsidRPr="00AE5356" w:rsidRDefault="009B2DCB" w:rsidP="00DF40F2">
            <w:pPr>
              <w:pStyle w:val="xmsonormal"/>
            </w:pPr>
          </w:p>
        </w:tc>
      </w:tr>
      <w:tr w:rsidR="009B2DCB" w:rsidRPr="00AE5356" w14:paraId="62AD5CE8" w14:textId="77777777" w:rsidTr="000E70CD">
        <w:tc>
          <w:tcPr>
            <w:tcW w:w="944" w:type="dxa"/>
            <w:tcBorders>
              <w:left w:val="single" w:sz="6" w:space="0" w:color="000000" w:themeColor="text1"/>
              <w:bottom w:val="single" w:sz="4" w:space="0" w:color="auto"/>
              <w:right w:val="single" w:sz="6" w:space="0" w:color="000000" w:themeColor="text1"/>
            </w:tcBorders>
          </w:tcPr>
          <w:p w14:paraId="38039C61"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ABE0F14" w14:textId="77777777" w:rsidR="009B2DCB" w:rsidRPr="00AE5356" w:rsidRDefault="009B2DCB" w:rsidP="00AE5356">
            <w:pPr>
              <w:jc w:val="both"/>
              <w:rPr>
                <w:lang w:eastAsia="en-GB"/>
              </w:rPr>
            </w:pPr>
            <w:r w:rsidRPr="00AE5356">
              <w:rPr>
                <w:lang w:eastAsia="en-GB"/>
              </w:rPr>
              <w:t>Izteikt 1.2.6. uzdevumu šādā redakcijā:</w:t>
            </w:r>
          </w:p>
          <w:p w14:paraId="385535A1" w14:textId="1DD7DE5E" w:rsidR="009B2DCB" w:rsidRPr="00AE5356" w:rsidRDefault="009B2DCB" w:rsidP="00AE5356">
            <w:pPr>
              <w:jc w:val="both"/>
            </w:pPr>
            <w:r w:rsidRPr="00AE5356">
              <w:t>Uzdevums/pasākums: Turpināt pilnveidot valsts fondēto pensiju regulējumu, veicinot efektīvu līdzekļu pārvaldību, pensiju plānu dalībnieku informētību un vecumam atbilstošu pensiju plāna izvēli.</w:t>
            </w:r>
          </w:p>
          <w:p w14:paraId="37F72047" w14:textId="77777777" w:rsidR="009B2DCB" w:rsidRPr="00AE5356" w:rsidRDefault="009B2DCB" w:rsidP="00AE5356">
            <w:pPr>
              <w:jc w:val="both"/>
            </w:pPr>
            <w:r w:rsidRPr="00AE5356">
              <w:t>Darbības rezultāts: Veicināta augstāka ienākumu aizvietojamība valsts fondēto pensiju ietvaros</w:t>
            </w:r>
          </w:p>
          <w:p w14:paraId="1E9E25E0" w14:textId="77777777" w:rsidR="009B2DCB" w:rsidRPr="00AE5356" w:rsidRDefault="009B2DCB" w:rsidP="00AE5356">
            <w:pPr>
              <w:jc w:val="both"/>
            </w:pPr>
            <w:r w:rsidRPr="00AE5356">
              <w:t>Veicināta valsts fondēto pensiju fondu plānu dalībnieku aktīva dalība plāna izvēlē</w:t>
            </w:r>
          </w:p>
          <w:p w14:paraId="43F9EB0B" w14:textId="77777777" w:rsidR="009B2DCB" w:rsidRPr="00AE5356" w:rsidRDefault="009B2DCB" w:rsidP="00AE5356">
            <w:pPr>
              <w:jc w:val="both"/>
            </w:pPr>
            <w:r w:rsidRPr="00AE5356">
              <w:t>Rezultatīvais rādītājs: Sagatavoti priekšlikumi grozījumiem normatīvajos aktos un iesniegti izskatīšanai MK</w:t>
            </w:r>
          </w:p>
          <w:p w14:paraId="3B811525" w14:textId="77777777" w:rsidR="009B2DCB" w:rsidRPr="00AE5356" w:rsidRDefault="009B2DCB" w:rsidP="00AE5356">
            <w:pPr>
              <w:pStyle w:val="naisc"/>
              <w:spacing w:before="0" w:after="0"/>
              <w:jc w:val="left"/>
            </w:pPr>
            <w:r w:rsidRPr="00AE5356">
              <w:t>Atbildīgā institūcija: FM</w:t>
            </w:r>
          </w:p>
          <w:p w14:paraId="0AE63312" w14:textId="366522B6" w:rsidR="009B2DCB" w:rsidRPr="00AE5356" w:rsidRDefault="009B2DCB" w:rsidP="00AE5356">
            <w:pPr>
              <w:jc w:val="both"/>
            </w:pPr>
            <w:r w:rsidRPr="00AE5356">
              <w:t>Līdzatbildīgā institūcija: FKTK, LM, LFNA.</w:t>
            </w:r>
          </w:p>
          <w:p w14:paraId="7D930795" w14:textId="19CBEA8A" w:rsidR="009B2DCB" w:rsidRPr="00AE5356" w:rsidRDefault="009B2DCB" w:rsidP="00AE5356">
            <w:pPr>
              <w:pStyle w:val="naisc"/>
              <w:spacing w:before="0" w:after="0"/>
              <w:jc w:val="left"/>
            </w:pPr>
            <w:r w:rsidRPr="00AE5356">
              <w:lastRenderedPageBreak/>
              <w:t>Izpildes termiņš: 31.12.2021.</w:t>
            </w:r>
          </w:p>
        </w:tc>
        <w:tc>
          <w:tcPr>
            <w:tcW w:w="4819" w:type="dxa"/>
            <w:gridSpan w:val="2"/>
            <w:tcBorders>
              <w:left w:val="single" w:sz="6" w:space="0" w:color="000000" w:themeColor="text1"/>
              <w:bottom w:val="single" w:sz="4" w:space="0" w:color="auto"/>
              <w:right w:val="single" w:sz="6" w:space="0" w:color="000000" w:themeColor="text1"/>
            </w:tcBorders>
          </w:tcPr>
          <w:p w14:paraId="43E69508" w14:textId="79C50BAB" w:rsidR="009B2DCB" w:rsidRPr="00DF40F2" w:rsidRDefault="009B2DCB" w:rsidP="00AE5356">
            <w:pPr>
              <w:jc w:val="both"/>
            </w:pPr>
            <w:r w:rsidRPr="00DF40F2">
              <w:lastRenderedPageBreak/>
              <w:t>Izteikt 1.2.6. uzdevumu šādā redakcijā:</w:t>
            </w:r>
          </w:p>
          <w:p w14:paraId="7FF028A6" w14:textId="427DB24E" w:rsidR="009B2DCB" w:rsidRPr="00DF40F2" w:rsidRDefault="009B2DCB" w:rsidP="00AE5356">
            <w:pPr>
              <w:jc w:val="both"/>
            </w:pPr>
            <w:r w:rsidRPr="00DF40F2">
              <w:t>Uzdevums/pasākums: Turpināt pilnveidot valsts fondēto pensiju regulējumu, veicinot efektīvu līdzekļu pārvaldību, pensiju plānu dalībnieku informētību un vecumam atbilstošu pensiju plāna izvēli. , kā arī palielinot atļautos ieguldījumu limitus ieguldījumiem kapitāla tirgū, tai skaitā nekotētos instrumentos.</w:t>
            </w:r>
          </w:p>
          <w:p w14:paraId="1C3043BE" w14:textId="77777777" w:rsidR="009B2DCB" w:rsidRPr="00DF40F2" w:rsidRDefault="009B2DCB" w:rsidP="00AE5356">
            <w:pPr>
              <w:jc w:val="both"/>
            </w:pPr>
            <w:r w:rsidRPr="00DF40F2">
              <w:t>Darbības rezultāts: Veicināta augstāka ienākumu aizvietojamība valsts fondēto pensiju ietvaros</w:t>
            </w:r>
          </w:p>
          <w:p w14:paraId="02A39E7A" w14:textId="77777777" w:rsidR="009B2DCB" w:rsidRPr="00DF40F2" w:rsidRDefault="009B2DCB" w:rsidP="00AE5356">
            <w:pPr>
              <w:jc w:val="both"/>
            </w:pPr>
            <w:r w:rsidRPr="00DF40F2">
              <w:t>Veicināta valsts fondēto pensiju fondu plānu dalībnieku aktīva dalība plāna izvēlē</w:t>
            </w:r>
          </w:p>
          <w:p w14:paraId="3B5452DA" w14:textId="5A03689D" w:rsidR="009B2DCB" w:rsidRPr="00DF40F2" w:rsidRDefault="009B2DCB" w:rsidP="00AE5356">
            <w:pPr>
              <w:jc w:val="both"/>
            </w:pPr>
            <w:r w:rsidRPr="00DF40F2">
              <w:t>Veicināt fondēto pensiju plānu risku diversifikāciju un spēju pelnīt atbilstoši izvēlētajai ieguldījumu stratēģijai</w:t>
            </w:r>
          </w:p>
          <w:p w14:paraId="2CFB5A6D" w14:textId="1768337C" w:rsidR="009B2DCB" w:rsidRPr="00DF40F2" w:rsidRDefault="009B2DCB" w:rsidP="00AE5356">
            <w:pPr>
              <w:jc w:val="both"/>
            </w:pPr>
            <w:r w:rsidRPr="00DF40F2">
              <w:t>Rezultatīvais rādītājs: Sagatavoti priekšlikumi grozījumiem normatīvajos aktos un iesniegti izskatīšanai MK</w:t>
            </w:r>
          </w:p>
          <w:p w14:paraId="41C8CA49" w14:textId="0E66A396" w:rsidR="009B2DCB" w:rsidRPr="00DF40F2" w:rsidRDefault="009B2DCB" w:rsidP="00AE5356">
            <w:pPr>
              <w:jc w:val="both"/>
            </w:pPr>
            <w:r w:rsidRPr="00DF40F2">
              <w:t>Atbildīgā institūcija: FM</w:t>
            </w:r>
          </w:p>
          <w:p w14:paraId="4F051F52" w14:textId="3A5585DE" w:rsidR="009B2DCB" w:rsidRPr="00DF40F2" w:rsidRDefault="009B2DCB" w:rsidP="00AE5356">
            <w:pPr>
              <w:jc w:val="both"/>
            </w:pPr>
            <w:r w:rsidRPr="00DF40F2">
              <w:t>Līdzatbildīgā institūcija: pievienot LVCA</w:t>
            </w:r>
          </w:p>
          <w:p w14:paraId="0C96D0E0" w14:textId="04707D35" w:rsidR="009B2DCB" w:rsidRPr="00DF40F2" w:rsidRDefault="009B2DCB" w:rsidP="00AE5356">
            <w:pPr>
              <w:jc w:val="both"/>
              <w:rPr>
                <w:b/>
                <w:u w:val="single"/>
              </w:rPr>
            </w:pPr>
            <w:r w:rsidRPr="00DF40F2">
              <w:t>Izpildes termiņš: attiecībā uz limitiem 31.01.2021.</w:t>
            </w:r>
          </w:p>
        </w:tc>
        <w:tc>
          <w:tcPr>
            <w:tcW w:w="2835" w:type="dxa"/>
            <w:tcBorders>
              <w:left w:val="single" w:sz="6" w:space="0" w:color="000000" w:themeColor="text1"/>
              <w:bottom w:val="single" w:sz="4" w:space="0" w:color="auto"/>
              <w:right w:val="single" w:sz="6" w:space="0" w:color="000000" w:themeColor="text1"/>
            </w:tcBorders>
          </w:tcPr>
          <w:p w14:paraId="10D7CAAA" w14:textId="0704CA53" w:rsidR="009B2DCB" w:rsidRPr="00AE5356" w:rsidRDefault="006A1D8F" w:rsidP="00AE5356">
            <w:pPr>
              <w:pStyle w:val="naisc"/>
              <w:spacing w:before="0" w:after="0"/>
              <w:jc w:val="left"/>
            </w:pPr>
            <w:r>
              <w:t>Daļēji ņemts vērā.</w:t>
            </w:r>
          </w:p>
        </w:tc>
        <w:tc>
          <w:tcPr>
            <w:tcW w:w="3544" w:type="dxa"/>
            <w:tcBorders>
              <w:top w:val="single" w:sz="4" w:space="0" w:color="auto"/>
              <w:left w:val="single" w:sz="4" w:space="0" w:color="auto"/>
              <w:bottom w:val="single" w:sz="4" w:space="0" w:color="auto"/>
            </w:tcBorders>
          </w:tcPr>
          <w:p w14:paraId="41869275" w14:textId="77777777" w:rsidR="009B2DCB" w:rsidRPr="00AE5356" w:rsidRDefault="006A1D8F" w:rsidP="00AE5356">
            <w:pPr>
              <w:jc w:val="both"/>
            </w:pPr>
            <w:r>
              <w:t>Plānā iekļauts pasākums.</w:t>
            </w:r>
          </w:p>
        </w:tc>
      </w:tr>
      <w:tr w:rsidR="009B2DCB" w:rsidRPr="00AE5356" w14:paraId="2E509D71" w14:textId="77777777" w:rsidTr="000E70CD">
        <w:tc>
          <w:tcPr>
            <w:tcW w:w="944" w:type="dxa"/>
            <w:tcBorders>
              <w:left w:val="single" w:sz="6" w:space="0" w:color="000000" w:themeColor="text1"/>
              <w:bottom w:val="single" w:sz="4" w:space="0" w:color="auto"/>
              <w:right w:val="single" w:sz="6" w:space="0" w:color="000000" w:themeColor="text1"/>
            </w:tcBorders>
          </w:tcPr>
          <w:p w14:paraId="619084E8"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0479FFC"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393A6EFF" w14:textId="77777777" w:rsidR="009B2DCB" w:rsidRPr="00DF40F2" w:rsidRDefault="009B2DCB" w:rsidP="00AE5356">
            <w:pPr>
              <w:jc w:val="both"/>
            </w:pPr>
            <w:r w:rsidRPr="00AE5356">
              <w:rPr>
                <w:lang w:eastAsia="en-GB"/>
              </w:rPr>
              <w:t>P</w:t>
            </w:r>
            <w:r w:rsidRPr="00DF40F2">
              <w:t>apildināt 1.2. ar šādu uzdevumu:</w:t>
            </w:r>
          </w:p>
          <w:p w14:paraId="6D65DA4C" w14:textId="77777777" w:rsidR="009B2DCB" w:rsidRPr="00DF40F2" w:rsidRDefault="009B2DCB" w:rsidP="00AE5356">
            <w:pPr>
              <w:jc w:val="both"/>
            </w:pPr>
            <w:r w:rsidRPr="00DF40F2">
              <w:t>Uzdevums/pasākums: Turpināt attīstīt Latvijas Riska kapitāla tirgu, veidojot nākamās paaudzes valsts līdzfinansētus riska kapitāla fondus, ieguldot tajos:</w:t>
            </w:r>
          </w:p>
          <w:p w14:paraId="7774877F" w14:textId="77777777" w:rsidR="009B2DCB" w:rsidRPr="00DF40F2" w:rsidRDefault="009B2DCB" w:rsidP="00AE5356">
            <w:pPr>
              <w:jc w:val="both"/>
            </w:pPr>
            <w:r w:rsidRPr="00DF40F2">
              <w:t>- no iepriekšējās paaudzes valsts līdzfinansētiem riska kapitāla fondiem saņemto naudu pilnā apmērā;</w:t>
            </w:r>
          </w:p>
          <w:p w14:paraId="11C10CFF" w14:textId="4C7F16EF" w:rsidR="009B2DCB" w:rsidRPr="00DF40F2" w:rsidRDefault="009B2DCB" w:rsidP="00AE5356">
            <w:pPr>
              <w:jc w:val="both"/>
            </w:pPr>
            <w:r w:rsidRPr="00DF40F2">
              <w:t>- 2021.-2027.gada Struktūrfondu plānošanas periodā kapitāla un kvazi kapitāla investīcijām pieejamos līdzekļus</w:t>
            </w:r>
          </w:p>
          <w:p w14:paraId="361C5CBE" w14:textId="5B092755" w:rsidR="009B2DCB" w:rsidRPr="00DF40F2" w:rsidRDefault="009B2DCB" w:rsidP="00AE5356">
            <w:pPr>
              <w:jc w:val="both"/>
            </w:pPr>
            <w:r w:rsidRPr="00DF40F2">
              <w:t>Darbības rezultāts: Finansējuma pieejamība agrīnās stadijas MVU, kuriem cita finansējuma izmantošana ir apgrūtināta ieķīlājamu aktīvu, darbības vēstures un/vai stabilas naudas plūsmas to attīstības stadijā trūkuma pēc</w:t>
            </w:r>
          </w:p>
          <w:p w14:paraId="791EB126" w14:textId="7F3DDE98" w:rsidR="009B2DCB" w:rsidRPr="00DF40F2" w:rsidRDefault="009B2DCB" w:rsidP="00AE5356">
            <w:pPr>
              <w:jc w:val="both"/>
            </w:pPr>
            <w:r w:rsidRPr="00DF40F2">
              <w:t>Rezultatīvais rādītājs: Normatīvais regulējums nākamās paaudzes valsts līdzfinansētu riska kapitāla fondu izveidei un to pārvaldnieku atlasei</w:t>
            </w:r>
          </w:p>
          <w:p w14:paraId="297EEDA0" w14:textId="18BE9E32" w:rsidR="009B2DCB" w:rsidRPr="00DF40F2" w:rsidRDefault="009B2DCB" w:rsidP="00AE5356">
            <w:pPr>
              <w:jc w:val="both"/>
            </w:pPr>
            <w:r w:rsidRPr="00DF40F2">
              <w:t>Atbildīgā institūcija: ALTUM, FM</w:t>
            </w:r>
          </w:p>
          <w:p w14:paraId="056EDF7B" w14:textId="1D167EF6" w:rsidR="009B2DCB" w:rsidRPr="00DF40F2" w:rsidRDefault="009B2DCB" w:rsidP="00AE5356">
            <w:pPr>
              <w:jc w:val="both"/>
            </w:pPr>
            <w:r w:rsidRPr="00DF40F2">
              <w:t>Līdzatbildīgā institūcija: LVCA, EM</w:t>
            </w:r>
          </w:p>
          <w:p w14:paraId="56D14902" w14:textId="44E58656" w:rsidR="009B2DCB" w:rsidRPr="00AE5356" w:rsidRDefault="009B2DCB" w:rsidP="00AE5356">
            <w:pPr>
              <w:jc w:val="both"/>
              <w:rPr>
                <w:b/>
                <w:u w:val="single"/>
              </w:rPr>
            </w:pPr>
            <w:r w:rsidRPr="00DF40F2">
              <w:t>Izpildes termiņš: 01.05.2021.</w:t>
            </w:r>
          </w:p>
        </w:tc>
        <w:tc>
          <w:tcPr>
            <w:tcW w:w="2835" w:type="dxa"/>
            <w:tcBorders>
              <w:left w:val="single" w:sz="6" w:space="0" w:color="000000" w:themeColor="text1"/>
              <w:bottom w:val="single" w:sz="4" w:space="0" w:color="auto"/>
              <w:right w:val="single" w:sz="6" w:space="0" w:color="000000" w:themeColor="text1"/>
            </w:tcBorders>
          </w:tcPr>
          <w:p w14:paraId="0F1C64A3" w14:textId="19D89B2F" w:rsidR="009B2DCB" w:rsidRPr="00AE5356" w:rsidRDefault="007330A9" w:rsidP="00DF40F2">
            <w:pPr>
              <w:pStyle w:val="naisc"/>
              <w:jc w:val="left"/>
            </w:pPr>
            <w:r>
              <w:t>Ņemts vērā.</w:t>
            </w:r>
          </w:p>
          <w:p w14:paraId="35EAAFFD" w14:textId="23D0F5DB" w:rsidR="009B2DCB" w:rsidRPr="00AE5356" w:rsidRDefault="009B2DCB" w:rsidP="00AE5356">
            <w:pPr>
              <w:pStyle w:val="naisc"/>
              <w:spacing w:before="0" w:after="0"/>
              <w:jc w:val="left"/>
            </w:pPr>
          </w:p>
        </w:tc>
        <w:tc>
          <w:tcPr>
            <w:tcW w:w="3544" w:type="dxa"/>
            <w:tcBorders>
              <w:top w:val="single" w:sz="4" w:space="0" w:color="auto"/>
              <w:left w:val="single" w:sz="4" w:space="0" w:color="auto"/>
              <w:bottom w:val="single" w:sz="4" w:space="0" w:color="auto"/>
            </w:tcBorders>
          </w:tcPr>
          <w:p w14:paraId="252BD190" w14:textId="420B22C6" w:rsidR="009B2DCB" w:rsidRDefault="008769FF" w:rsidP="00AE5356">
            <w:pPr>
              <w:jc w:val="both"/>
            </w:pPr>
            <w:r w:rsidRPr="00AC4D26">
              <w:t xml:space="preserve">Iekļauts jauns </w:t>
            </w:r>
            <w:r w:rsidR="00685663">
              <w:t>uzdevums 1.2.13</w:t>
            </w:r>
            <w:r w:rsidR="00ED0533">
              <w:t>.:</w:t>
            </w:r>
          </w:p>
          <w:p w14:paraId="076E521B" w14:textId="67D0D45C" w:rsidR="00ED0533" w:rsidRPr="00AE5356" w:rsidRDefault="00ED0533" w:rsidP="00AE5356">
            <w:pPr>
              <w:jc w:val="both"/>
            </w:pPr>
            <w:r w:rsidRPr="00ED0533">
              <w:t>Turpināt attīstīt Latvijas riska kapitāla tirgu, veidojot nākamās paaudzes valsts līdzfinansētus riska kapitāla fondus</w:t>
            </w:r>
          </w:p>
        </w:tc>
      </w:tr>
      <w:tr w:rsidR="009B2DCB" w:rsidRPr="00AE5356" w14:paraId="74F6A9FF" w14:textId="77777777" w:rsidTr="000E70CD">
        <w:tc>
          <w:tcPr>
            <w:tcW w:w="944" w:type="dxa"/>
            <w:tcBorders>
              <w:left w:val="single" w:sz="6" w:space="0" w:color="000000" w:themeColor="text1"/>
              <w:bottom w:val="single" w:sz="4" w:space="0" w:color="auto"/>
              <w:right w:val="single" w:sz="6" w:space="0" w:color="000000" w:themeColor="text1"/>
            </w:tcBorders>
          </w:tcPr>
          <w:p w14:paraId="65B4C467"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62DF80C7"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335C3892" w14:textId="77777777" w:rsidR="009B2DCB" w:rsidRPr="00AE5356" w:rsidRDefault="009B2DCB" w:rsidP="00AE5356">
            <w:pPr>
              <w:jc w:val="both"/>
              <w:rPr>
                <w:b/>
                <w:u w:val="single"/>
              </w:rPr>
            </w:pPr>
          </w:p>
        </w:tc>
        <w:tc>
          <w:tcPr>
            <w:tcW w:w="2835" w:type="dxa"/>
            <w:tcBorders>
              <w:left w:val="single" w:sz="6" w:space="0" w:color="000000" w:themeColor="text1"/>
              <w:bottom w:val="single" w:sz="4" w:space="0" w:color="auto"/>
              <w:right w:val="single" w:sz="6" w:space="0" w:color="000000" w:themeColor="text1"/>
            </w:tcBorders>
          </w:tcPr>
          <w:p w14:paraId="73F3108D" w14:textId="77777777" w:rsidR="009B2DCB" w:rsidRPr="003D08CD" w:rsidRDefault="009B2DCB" w:rsidP="00AE5356">
            <w:pPr>
              <w:pStyle w:val="naisc"/>
              <w:spacing w:before="0" w:after="0"/>
              <w:ind w:firstLine="720"/>
              <w:jc w:val="left"/>
            </w:pPr>
          </w:p>
        </w:tc>
        <w:tc>
          <w:tcPr>
            <w:tcW w:w="3544" w:type="dxa"/>
            <w:tcBorders>
              <w:top w:val="single" w:sz="4" w:space="0" w:color="auto"/>
              <w:left w:val="single" w:sz="4" w:space="0" w:color="auto"/>
              <w:bottom w:val="single" w:sz="4" w:space="0" w:color="auto"/>
            </w:tcBorders>
          </w:tcPr>
          <w:p w14:paraId="4ECEF76B" w14:textId="77777777" w:rsidR="009B2DCB" w:rsidRPr="00AE5356" w:rsidRDefault="009B2DCB" w:rsidP="00AE5356">
            <w:pPr>
              <w:jc w:val="both"/>
            </w:pPr>
          </w:p>
        </w:tc>
      </w:tr>
      <w:tr w:rsidR="009B2DCB" w:rsidRPr="00AE5356" w14:paraId="49B3C25B" w14:textId="77777777" w:rsidTr="000E70CD">
        <w:tc>
          <w:tcPr>
            <w:tcW w:w="944" w:type="dxa"/>
            <w:tcBorders>
              <w:left w:val="single" w:sz="6" w:space="0" w:color="000000" w:themeColor="text1"/>
              <w:bottom w:val="single" w:sz="4" w:space="0" w:color="auto"/>
              <w:right w:val="single" w:sz="6" w:space="0" w:color="000000" w:themeColor="text1"/>
            </w:tcBorders>
          </w:tcPr>
          <w:p w14:paraId="6ECB86A8" w14:textId="43380396"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D34F5C7"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4DB5161B" w14:textId="77777777" w:rsidR="009B2DCB" w:rsidRPr="00AE5356" w:rsidRDefault="009B2DCB" w:rsidP="00AE5356">
            <w:pPr>
              <w:contextualSpacing/>
              <w:jc w:val="both"/>
              <w:rPr>
                <w:b/>
                <w:iCs/>
                <w:u w:val="single"/>
              </w:rPr>
            </w:pPr>
            <w:r w:rsidRPr="00AE5356">
              <w:rPr>
                <w:b/>
                <w:iCs/>
                <w:u w:val="single"/>
              </w:rPr>
              <w:t>Tieslietu ministrija:</w:t>
            </w:r>
          </w:p>
          <w:p w14:paraId="7DB03FBD" w14:textId="794DC72D" w:rsidR="009B2DCB" w:rsidRPr="00AE5356" w:rsidRDefault="009B2DCB" w:rsidP="00AE5356">
            <w:pPr>
              <w:contextualSpacing/>
              <w:jc w:val="both"/>
              <w:rPr>
                <w:iCs/>
              </w:rPr>
            </w:pPr>
            <w:r w:rsidRPr="008308C4">
              <w:rPr>
                <w:iCs/>
              </w:rPr>
              <w:t>Plāna projekta 1.1.2. apakšpunkts paredz vienkāršot ar pārkreditēšanu saistīto izmaiņu nostiprināšanu Zemesgrāmatā, samazinot valsts nodevu hipotēkām, kad pamatojošie</w:t>
            </w:r>
            <w:r w:rsidRPr="003D08CD">
              <w:rPr>
                <w:iCs/>
              </w:rPr>
              <w:t xml:space="preserve"> dokumenti ir iesniegti elektroniski. Tieslietu ministrija </w:t>
            </w:r>
            <w:r w:rsidRPr="003D08CD">
              <w:rPr>
                <w:iCs/>
              </w:rPr>
              <w:lastRenderedPageBreak/>
              <w:t>norāda, ka saskaņā ar Ministru kabineta 2009. gada 27. oktobra noteikumu Nr. 1258 "Noteikumi par valsts nodevu par īpašuma tiesību un ķīlas tiesību nostiprināšanu zemesgrāmatā" 15. punktu valsts nodevu par ķīlas tiesību grozījuma nostiprināšanu zemesgrāmatā nosaka 0,1 % apmērā no summas (euro), par kādu tiek palielināta aizdevuma summa. Tādējādi minētā valsts nodevas samaksa attiecas vienīgi uz gadījumiem, kad kredītlīgumā tiek palielināta aizdevuma summa. Līdz ar ko pārējie kredītlīgumu grozījumi, kas saistīti, piemēram, ar t.s. pārkreditēšanu, nav saistīti ar valsts nodevas par īpašuma tiesību un ķīlas tiesību nostiprināšanu zemesgrāmatā samaksu. Tāpēc Tieslietu ministrijas</w:t>
            </w:r>
            <w:r w:rsidRPr="00AE5356">
              <w:rPr>
                <w:iCs/>
              </w:rPr>
              <w:t xml:space="preserve"> ieskatā šāda pasākuma iekļaušana plāna projektā nav lietderīga un būtu svītrojama.</w:t>
            </w:r>
          </w:p>
          <w:p w14:paraId="225AEE3A" w14:textId="77777777" w:rsidR="009B2DCB" w:rsidRPr="00AE5356" w:rsidRDefault="009B2DCB" w:rsidP="00AE5356">
            <w:pPr>
              <w:contextualSpacing/>
              <w:jc w:val="both"/>
              <w:rPr>
                <w:iCs/>
              </w:rPr>
            </w:pPr>
            <w:r w:rsidRPr="00AE5356">
              <w:rPr>
                <w:iCs/>
              </w:rPr>
              <w:t xml:space="preserve">Ievērojot, ka plāna projekta 1.1.2. apakšpunktā iekļautā priekšlikuma mērķis ir veicināt elektronisku dokumentu apriti, tad par atbilstošu izvirzītā mērķa sasniegšanas risinājumu būtu nosakāms uzdevums pārskatīt tieši zemesgrāmatu kancelejas nodevas, jo to apmērs ir noteikts, ņemot vērā sniegtā pakalpojuma faktisko vērtību. Tā kā sniegtā pakalpojuma faktisko vērtību ietekmē apstāklis, vai nostiprinājuma lūgums ir iesniegts elektroniski vai nē, būtu izvērtējama iespēja pārskatīt tieši zemesgrāmatu kancelejas nodevas apmēru gadījumā, ja nostiprinājuma lūgums tiek iesniegts elektroniski. </w:t>
            </w:r>
          </w:p>
          <w:p w14:paraId="0B4020A7" w14:textId="1571DAB3" w:rsidR="009B2DCB" w:rsidRPr="00AE5356" w:rsidRDefault="009B2DCB" w:rsidP="00AE5356">
            <w:pPr>
              <w:contextualSpacing/>
              <w:jc w:val="both"/>
              <w:rPr>
                <w:iCs/>
              </w:rPr>
            </w:pPr>
            <w:r w:rsidRPr="00AE5356">
              <w:rPr>
                <w:iCs/>
              </w:rPr>
              <w:lastRenderedPageBreak/>
              <w:t>Ņemot vērā iepriekš minēto, lūdzam plāna projekta 1.1.2. apakšpunktā noteikto uzdevumu mainīt, valsts nodevas vietā paredzot samazināt kancelejas nodevu par izmaiņu nostiprināšanu Zemesgrāmatā, kad pamatojošie dokumenti ir iesniegti elektroniski.</w:t>
            </w:r>
          </w:p>
        </w:tc>
        <w:tc>
          <w:tcPr>
            <w:tcW w:w="2835" w:type="dxa"/>
            <w:tcBorders>
              <w:left w:val="single" w:sz="6" w:space="0" w:color="000000" w:themeColor="text1"/>
              <w:bottom w:val="single" w:sz="4" w:space="0" w:color="auto"/>
              <w:right w:val="single" w:sz="6" w:space="0" w:color="000000" w:themeColor="text1"/>
            </w:tcBorders>
          </w:tcPr>
          <w:p w14:paraId="1D7B270A" w14:textId="193D3534" w:rsidR="009B2DCB" w:rsidRPr="003D08CD" w:rsidRDefault="00606F63" w:rsidP="00AE5356">
            <w:pPr>
              <w:pStyle w:val="naisc"/>
              <w:spacing w:before="0" w:after="0"/>
              <w:jc w:val="left"/>
            </w:pPr>
            <w:r w:rsidRPr="003D08CD">
              <w:lastRenderedPageBreak/>
              <w:t xml:space="preserve"> </w:t>
            </w:r>
            <w:r w:rsidR="007330A9" w:rsidRPr="003D08CD">
              <w:t>Ņemts vērā.</w:t>
            </w:r>
          </w:p>
        </w:tc>
        <w:tc>
          <w:tcPr>
            <w:tcW w:w="3544" w:type="dxa"/>
            <w:tcBorders>
              <w:top w:val="single" w:sz="4" w:space="0" w:color="auto"/>
              <w:left w:val="single" w:sz="4" w:space="0" w:color="auto"/>
              <w:bottom w:val="single" w:sz="4" w:space="0" w:color="auto"/>
            </w:tcBorders>
          </w:tcPr>
          <w:p w14:paraId="4F904CB7" w14:textId="6DC60DC7" w:rsidR="009B2DCB" w:rsidRPr="00AE5356" w:rsidRDefault="003D08CD" w:rsidP="003D08CD">
            <w:pPr>
              <w:jc w:val="both"/>
            </w:pPr>
            <w:r>
              <w:t xml:space="preserve">1.1.2. uzdevums izteikts šādā redakcijā: </w:t>
            </w:r>
            <w:r w:rsidRPr="003D08CD">
              <w:t>Vienkāršot ar pārkreditēšanu saistīto izmaiņu nostipr</w:t>
            </w:r>
            <w:r>
              <w:t xml:space="preserve">ināšanu Zemesgrāmatā, samazinot </w:t>
            </w:r>
            <w:r w:rsidRPr="003D08CD">
              <w:t xml:space="preserve">kancelejas nodevu </w:t>
            </w:r>
            <w:r w:rsidRPr="003D08CD">
              <w:lastRenderedPageBreak/>
              <w:t>hipotēkām, kad pamatojošie dokumenti ir iesniegti elektroniski.</w:t>
            </w:r>
          </w:p>
        </w:tc>
      </w:tr>
      <w:tr w:rsidR="009B2DCB" w:rsidRPr="00AE5356" w14:paraId="51D58DD7" w14:textId="77777777" w:rsidTr="000E70CD">
        <w:tc>
          <w:tcPr>
            <w:tcW w:w="944" w:type="dxa"/>
            <w:tcBorders>
              <w:left w:val="single" w:sz="6" w:space="0" w:color="000000" w:themeColor="text1"/>
              <w:bottom w:val="single" w:sz="4" w:space="0" w:color="auto"/>
              <w:right w:val="single" w:sz="6" w:space="0" w:color="000000" w:themeColor="text1"/>
            </w:tcBorders>
          </w:tcPr>
          <w:p w14:paraId="6B71F7DD" w14:textId="56EE75F8"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6971CD3"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7DD6D0E8" w14:textId="02E2D386" w:rsidR="009B2DCB" w:rsidRPr="008308C4" w:rsidRDefault="009B2DCB" w:rsidP="00AE5356">
            <w:pPr>
              <w:contextualSpacing/>
              <w:jc w:val="both"/>
              <w:rPr>
                <w:iCs/>
              </w:rPr>
            </w:pPr>
            <w:r w:rsidRPr="008308C4">
              <w:rPr>
                <w:iCs/>
              </w:rPr>
              <w:t xml:space="preserve">Saskaņā ar plāna projekta 1.1.3. apakšpunktu tiek plānots pilnveidot maksātnespējas jomas tiesisko regulējumu, uzsvaru liekot uz mehānismu izveidi finanšu grūtību atrisināšanai, tādējādi saglabājot jau esošo saimniecisko darbību. Tieslietu ministrija neiebilst pret minētā pasākuma ietveršanu kā tādu, taču iebilst pret tā šauro tvērumu turpmāk norādītajos aspektos. </w:t>
            </w:r>
          </w:p>
          <w:p w14:paraId="35195156" w14:textId="77777777" w:rsidR="009B2DCB" w:rsidRPr="008308C4" w:rsidRDefault="009B2DCB" w:rsidP="00AE5356">
            <w:pPr>
              <w:contextualSpacing/>
              <w:jc w:val="both"/>
              <w:rPr>
                <w:iCs/>
              </w:rPr>
            </w:pPr>
            <w:r w:rsidRPr="008308C4">
              <w:rPr>
                <w:iCs/>
              </w:rPr>
              <w:t xml:space="preserve">Tieslietu ministrija neatbalsta piedāvāto rezultatīvo rādītāju, proti, rezultatīvo rādītāju, kas paredz izveidot agrīnās brīdināšanas sistēmu. Norādāms, ka, izvērtējot 2019. gada 20. jūnija Eiropas parlamenta un Padomes direktīvu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(turpmāk - Direktīva par pārstrukturēšanu un maksātnespēju), Tieslietu ministrija jau iepriekš ir secinājusi, ka Latvija pašlaik izpilda minētās direktīvas 3. panta minimālās prasībās, ņemot vērā Nodokļu maksātāju reitinga sistēmas </w:t>
            </w:r>
            <w:r w:rsidRPr="008308C4">
              <w:rPr>
                <w:iCs/>
              </w:rPr>
              <w:lastRenderedPageBreak/>
              <w:t>piešķirtās iespējas. Jāvērš uzmanība, ka agrīnās brīdināšanas sistēmas turpmāka attīstība ir ilgākā laika periodā īstenojama aktivitāte, nevis līdz nākamā gada vidum izpildāms pasākums. It īpaši, ja šajā plāna projektā minētā pasākuma īstenošanai netiek paredzēti atbilstoši un pienācīgi finanšu resursi. Turklāt norādāms, ka piedāvātais rezultatīvais rādītājs būtiski sašaurina izvirzīto pasākumu.</w:t>
            </w:r>
          </w:p>
          <w:p w14:paraId="2752303A" w14:textId="77777777" w:rsidR="009B2DCB" w:rsidRPr="008308C4" w:rsidRDefault="009B2DCB" w:rsidP="00AE5356">
            <w:pPr>
              <w:contextualSpacing/>
              <w:jc w:val="both"/>
              <w:rPr>
                <w:iCs/>
              </w:rPr>
            </w:pPr>
            <w:r w:rsidRPr="008308C4">
              <w:rPr>
                <w:iCs/>
              </w:rPr>
              <w:t>Tāpat attiecībā uz plāna projekta 1.1.3. apakšpunktu norādāms, ka ar Ministru kabineta 2019. gada 22. maija rīkojumu Nr. 247 "Par Uzņēmējdarbības vides pilnveidošanas pasākumu plānu 2019.–2022. gadam" apstiprināts Uzņēmējdarbības vides pilnveidošanas pasākumu plāns, kurā jau ir ietverts 4.9.2. punktā uzskaitītais pasākums "Agrīnās brīdināšanas mehānismu izstrāde, lai nodrošinātu savlaicīgu finansiālo grūtību identificēšanu un risināšanu". Šā pasākuma kontekstā arīdzan vēršama uzmanība uz projektu "Restart SMEs in the Baltic Sea Region", kurā piedalās Ekonomikas ministrija un Latvijas Tehnoloģiskais centrs kā projekta īstenotāji.  Līdz ar to Tieslietu ministrija norāda, ka plāna projektā piedāvātais pasākums šādā rakursā ne tikai nav izpildāms agrīnās brīdināšanas sistēmas pilnveides kontekstā, bet faktiski jau dublē citā attīstības plānošanas dokumentā noteikto un jau iesāktās attiecīgā pasākuma aktivitātes.</w:t>
            </w:r>
          </w:p>
          <w:p w14:paraId="1710EEB3" w14:textId="77777777" w:rsidR="009B2DCB" w:rsidRPr="008308C4" w:rsidRDefault="009B2DCB" w:rsidP="00AE5356">
            <w:pPr>
              <w:contextualSpacing/>
              <w:jc w:val="both"/>
              <w:rPr>
                <w:iCs/>
              </w:rPr>
            </w:pPr>
            <w:r w:rsidRPr="008308C4">
              <w:rPr>
                <w:iCs/>
              </w:rPr>
              <w:lastRenderedPageBreak/>
              <w:t>Ņemot vērā minēto, taču vienlaikus ievērojot plāna projekta izvērtējuma daļā norādīto, ja Finanšu ministrijas ieskatā ir nepieciešams saglabāt šo pasākumu maksātnespējas jomā, tad lūdzam rezultatīvo rādītāju precizēt atbilstoši pasākuma formulējumam, paredzot to kā "Normatīvo aktu grozījumu izstrāde", ņemot vērā Latvijai Republikai kā Eiropas Savienības dalībvalstij noteikto pienākumu nodrošināt Direktīvas par pārstrukturēšanu un maksātnespēju ieviešanu.</w:t>
            </w:r>
          </w:p>
          <w:p w14:paraId="2A1F701D" w14:textId="7FA20365" w:rsidR="009B2DCB" w:rsidRPr="008308C4" w:rsidRDefault="009B2DCB" w:rsidP="00AE5356">
            <w:pPr>
              <w:contextualSpacing/>
              <w:jc w:val="both"/>
              <w:rPr>
                <w:iCs/>
              </w:rPr>
            </w:pPr>
            <w:r w:rsidRPr="008308C4">
              <w:rPr>
                <w:iCs/>
              </w:rPr>
              <w:t>Tāpat, ievērojot minēto, lūdzam izvērtēt plāna projekta 1.1.3. apakšpunktā noteiktajam pasākumam norādīto termiņu vai vismaz ietvert attiecīgu norādi, ņemot vērā Direktīvas par pārstrukturēšanu un maksātnespēju 34. panta 2. punktā noteikto iespēju dalībvalstij pagarināt minētās direktīvas transponēšanu uz laiku līdz vienam gadam, t.i., līdz 2022. gada 17. jūlijam. Papildus norādāms, ka Tieslietu ministrija pašlaik neplāno izmantot šo iespēju, taču galīgais lēmums tiks pieņemts, ievērojot likumdošanas procesa norisi.</w:t>
            </w:r>
          </w:p>
        </w:tc>
        <w:tc>
          <w:tcPr>
            <w:tcW w:w="2835" w:type="dxa"/>
            <w:tcBorders>
              <w:left w:val="single" w:sz="6" w:space="0" w:color="000000" w:themeColor="text1"/>
              <w:bottom w:val="single" w:sz="4" w:space="0" w:color="auto"/>
              <w:right w:val="single" w:sz="6" w:space="0" w:color="000000" w:themeColor="text1"/>
            </w:tcBorders>
          </w:tcPr>
          <w:p w14:paraId="03EFCA41" w14:textId="5D0E6AD9" w:rsidR="009B2DCB" w:rsidRPr="00AE5356" w:rsidRDefault="00606F63" w:rsidP="00AE5356">
            <w:pPr>
              <w:pStyle w:val="naisc"/>
              <w:spacing w:before="0" w:after="0"/>
              <w:jc w:val="left"/>
            </w:pPr>
            <w:r>
              <w:lastRenderedPageBreak/>
              <w:t>Ņemts vērā</w:t>
            </w:r>
          </w:p>
        </w:tc>
        <w:tc>
          <w:tcPr>
            <w:tcW w:w="3544" w:type="dxa"/>
            <w:tcBorders>
              <w:top w:val="single" w:sz="4" w:space="0" w:color="auto"/>
              <w:left w:val="single" w:sz="4" w:space="0" w:color="auto"/>
              <w:bottom w:val="single" w:sz="4" w:space="0" w:color="auto"/>
            </w:tcBorders>
          </w:tcPr>
          <w:p w14:paraId="5F96A722" w14:textId="3616D366" w:rsidR="009B2DCB" w:rsidRPr="00AE5356" w:rsidRDefault="00606F63" w:rsidP="00AE5356">
            <w:pPr>
              <w:jc w:val="both"/>
            </w:pPr>
            <w:r>
              <w:t>Uzdevums dzēsts</w:t>
            </w:r>
            <w:r w:rsidR="00292B79">
              <w:t>.</w:t>
            </w:r>
          </w:p>
        </w:tc>
      </w:tr>
      <w:tr w:rsidR="009B2DCB" w:rsidRPr="00AE5356" w14:paraId="5067E968" w14:textId="77777777" w:rsidTr="000E70CD">
        <w:tc>
          <w:tcPr>
            <w:tcW w:w="944" w:type="dxa"/>
            <w:tcBorders>
              <w:left w:val="single" w:sz="6" w:space="0" w:color="000000" w:themeColor="text1"/>
              <w:bottom w:val="single" w:sz="4" w:space="0" w:color="auto"/>
              <w:right w:val="single" w:sz="6" w:space="0" w:color="000000" w:themeColor="text1"/>
            </w:tcBorders>
          </w:tcPr>
          <w:p w14:paraId="7AB1525A" w14:textId="15309B30"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5B95CD12"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5220BBB2" w14:textId="4DB52E8A" w:rsidR="009B2DCB" w:rsidRPr="00AE5356" w:rsidRDefault="009B2DCB" w:rsidP="00AE5356">
            <w:pPr>
              <w:contextualSpacing/>
              <w:jc w:val="both"/>
            </w:pPr>
            <w:r w:rsidRPr="008308C4">
              <w:t>No plāna projekta 1.1.3. apakšpunkta pašreizējās redakcijas</w:t>
            </w:r>
            <w:r w:rsidRPr="009250B9">
              <w:t xml:space="preserve"> izriet, ka maksātnespējas jomas tiesiskā regulējuma pilnveidošana Tieslietu ministrijai jāveic kopā ar Valsts ieņēmumu dienestu (Finanšu ministriju). Ņemot vērā, ka Valsts ieņēmumu dienesta  (Finanšu ministrija) iekļaušana aptver finanšu grūtību risināšanai ļoti šauru jautājumu loku, lūdzam </w:t>
            </w:r>
            <w:r w:rsidRPr="009250B9">
              <w:lastRenderedPageBreak/>
              <w:t>atkārtoti izvērtēt pasākuma līdzatbildīgo institūciju uzskaitījumu.</w:t>
            </w:r>
          </w:p>
        </w:tc>
        <w:tc>
          <w:tcPr>
            <w:tcW w:w="2835" w:type="dxa"/>
            <w:tcBorders>
              <w:left w:val="single" w:sz="6" w:space="0" w:color="000000" w:themeColor="text1"/>
              <w:bottom w:val="single" w:sz="4" w:space="0" w:color="auto"/>
              <w:right w:val="single" w:sz="6" w:space="0" w:color="000000" w:themeColor="text1"/>
            </w:tcBorders>
          </w:tcPr>
          <w:p w14:paraId="13CB595B" w14:textId="5D4BDCFB" w:rsidR="00606F63" w:rsidRPr="00AE5356" w:rsidRDefault="00606F63" w:rsidP="00AE5356">
            <w:pPr>
              <w:pStyle w:val="naisc"/>
              <w:spacing w:before="0" w:after="0"/>
              <w:jc w:val="left"/>
            </w:pPr>
            <w:r>
              <w:lastRenderedPageBreak/>
              <w:t>Ņemts vērā.</w:t>
            </w:r>
          </w:p>
        </w:tc>
        <w:tc>
          <w:tcPr>
            <w:tcW w:w="3544" w:type="dxa"/>
            <w:tcBorders>
              <w:top w:val="single" w:sz="4" w:space="0" w:color="auto"/>
              <w:left w:val="single" w:sz="4" w:space="0" w:color="auto"/>
              <w:bottom w:val="single" w:sz="4" w:space="0" w:color="auto"/>
            </w:tcBorders>
          </w:tcPr>
          <w:p w14:paraId="6D9C8D39" w14:textId="0BC697AA" w:rsidR="009B2DCB" w:rsidRPr="00AE5356" w:rsidRDefault="00606F63" w:rsidP="00AE5356">
            <w:pPr>
              <w:jc w:val="both"/>
            </w:pPr>
            <w:r>
              <w:t>Uzdevums dzēsts.</w:t>
            </w:r>
          </w:p>
        </w:tc>
      </w:tr>
      <w:tr w:rsidR="009B2DCB" w:rsidRPr="00AE5356" w14:paraId="64EFB651" w14:textId="77777777" w:rsidTr="000E70CD">
        <w:tc>
          <w:tcPr>
            <w:tcW w:w="944" w:type="dxa"/>
            <w:tcBorders>
              <w:left w:val="single" w:sz="6" w:space="0" w:color="000000" w:themeColor="text1"/>
              <w:bottom w:val="single" w:sz="4" w:space="0" w:color="auto"/>
              <w:right w:val="single" w:sz="6" w:space="0" w:color="000000" w:themeColor="text1"/>
            </w:tcBorders>
          </w:tcPr>
          <w:p w14:paraId="513773BB" w14:textId="04BE501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675E05EE"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7165348D" w14:textId="77777777" w:rsidR="009B2DCB" w:rsidRPr="00DF40F2" w:rsidRDefault="009B2DCB" w:rsidP="00AE5356">
            <w:pPr>
              <w:contextualSpacing/>
              <w:jc w:val="both"/>
            </w:pPr>
            <w:r w:rsidRPr="00DF40F2">
              <w:t>Plāna projekta 1.1.8. apakšpunkta pasākumam noteiktais rezultatīvais rādītājs “izstrādāts efektīvs ārpustiesas parādu atgūšanas regulējums” Tieslietu ministrijas ieskatā ir mulsinošs, jo liek domāt, ka ir jābūt izstrādātam kādam jaunam ārpustiesas parādu atgūšanas likumprojektam. Pirmkārt, norādāms, ka bezstrīdus piedziņas kārtību gluži nevar uzskatīt par ārpustiesas parādu atgūšanas kārtību, jo, lai arī minimāla, tomēr tiesas iesaiste tajā saglabājas. Tādēļ veiksmīgāks formulējums ir pašā uzdevumā minētais ārpus prasības tiesvedības kārtības regulējums.</w:t>
            </w:r>
          </w:p>
          <w:p w14:paraId="529DEDE6" w14:textId="77777777" w:rsidR="009B2DCB" w:rsidRPr="00DF40F2" w:rsidRDefault="009B2DCB" w:rsidP="00AE5356">
            <w:pPr>
              <w:contextualSpacing/>
              <w:jc w:val="both"/>
            </w:pPr>
            <w:r w:rsidRPr="00DF40F2">
              <w:t xml:space="preserve">Otrkārt, Tieslietu ministrijas ieskatā šobrīd Civilprocesa likumā esošā bezstrīdus piedziņas kārtība jau ir efektīva, par ko Tieslietu ministrija pārliecinājās arī Eiropas Padomes rīkotajās darba grupās par ārpustiesas parādu piedziņas iespējām Eiropas Savienības dalībvalstīs. Iespējams, var runāt tikai par atsevišķiem uzlabojumiem, kas parāda atgūšanu padarītu vēl efektīvāku un mūsdienām atbilstošāku, jo īpaši izmantojot paātrināto tiesvedības procesu. </w:t>
            </w:r>
          </w:p>
          <w:p w14:paraId="2FC17F8B" w14:textId="0FBC60F5" w:rsidR="009B2DCB" w:rsidRPr="00DF40F2" w:rsidRDefault="009B2DCB" w:rsidP="00AE5356">
            <w:pPr>
              <w:contextualSpacing/>
              <w:jc w:val="both"/>
            </w:pPr>
            <w:r w:rsidRPr="00DF40F2">
              <w:t>Ņemot vērā minēto, Tieslietu ministrija lūdz rezultatīvo rādītāju precizēt, paredzot to kā "Izstrādāti nepieciešamie grozījumi normatīvajos aktos". Savukārt darba rezultātā noteikto “likumprojekts iesniegts izskatīšanai MK” Tieslietu ministrija lūdz precizēt uz "Mazināti šķēršļi paātrinātai parāda atgūšanai".</w:t>
            </w:r>
          </w:p>
        </w:tc>
        <w:tc>
          <w:tcPr>
            <w:tcW w:w="2835" w:type="dxa"/>
            <w:tcBorders>
              <w:left w:val="single" w:sz="6" w:space="0" w:color="000000" w:themeColor="text1"/>
              <w:bottom w:val="single" w:sz="4" w:space="0" w:color="auto"/>
              <w:right w:val="single" w:sz="6" w:space="0" w:color="000000" w:themeColor="text1"/>
            </w:tcBorders>
          </w:tcPr>
          <w:p w14:paraId="0A4F7224" w14:textId="0BEC12BF" w:rsidR="009B2DCB" w:rsidRPr="00DF40F2" w:rsidRDefault="00A90AFF" w:rsidP="00AE5356">
            <w:pPr>
              <w:pStyle w:val="naisc"/>
              <w:spacing w:before="0" w:after="0"/>
              <w:jc w:val="left"/>
            </w:pPr>
            <w:r w:rsidRPr="00DF40F2">
              <w:t>Ņemts vērā</w:t>
            </w:r>
            <w:r w:rsidR="009B2DCB" w:rsidRPr="00DF40F2">
              <w:t>.</w:t>
            </w:r>
          </w:p>
        </w:tc>
        <w:tc>
          <w:tcPr>
            <w:tcW w:w="3544" w:type="dxa"/>
            <w:tcBorders>
              <w:top w:val="single" w:sz="4" w:space="0" w:color="auto"/>
              <w:left w:val="single" w:sz="4" w:space="0" w:color="auto"/>
              <w:bottom w:val="single" w:sz="4" w:space="0" w:color="auto"/>
            </w:tcBorders>
          </w:tcPr>
          <w:p w14:paraId="45DBFA32" w14:textId="05BACAD2" w:rsidR="005C628E" w:rsidRDefault="005C628E" w:rsidP="00AE5356">
            <w:pPr>
              <w:jc w:val="both"/>
            </w:pPr>
            <w:r>
              <w:t>Plāna uzdevuma darbības rezultāts un rezultatīvais rādītājs izteikti šādā redakcijā:</w:t>
            </w:r>
          </w:p>
          <w:p w14:paraId="7B678463" w14:textId="4A7D5969" w:rsidR="009B2DCB" w:rsidRDefault="005070C3" w:rsidP="00AE5356">
            <w:pPr>
              <w:jc w:val="both"/>
            </w:pPr>
            <w:r>
              <w:t xml:space="preserve">Darbības rezultāts: </w:t>
            </w:r>
            <w:r w:rsidRPr="005070C3">
              <w:t>Mazināti šķēršļi paātrinātai parāda atgūšanai</w:t>
            </w:r>
            <w:r>
              <w:t>.</w:t>
            </w:r>
          </w:p>
          <w:p w14:paraId="5AE48A43" w14:textId="32B434E1" w:rsidR="005070C3" w:rsidRPr="00AE5356" w:rsidRDefault="005070C3" w:rsidP="00AE5356">
            <w:pPr>
              <w:jc w:val="both"/>
            </w:pPr>
            <w:r>
              <w:t xml:space="preserve">Rezultatīvais rādītājs: </w:t>
            </w:r>
            <w:r w:rsidRPr="005070C3">
              <w:t>Izstrādāti nepieciešamie grozījumi normatīvajos aktos.</w:t>
            </w:r>
          </w:p>
        </w:tc>
      </w:tr>
      <w:tr w:rsidR="009B2DCB" w:rsidRPr="00AE5356" w14:paraId="27D1330A" w14:textId="77777777" w:rsidTr="000E70CD">
        <w:tc>
          <w:tcPr>
            <w:tcW w:w="944" w:type="dxa"/>
            <w:tcBorders>
              <w:left w:val="single" w:sz="6" w:space="0" w:color="000000" w:themeColor="text1"/>
              <w:bottom w:val="single" w:sz="4" w:space="0" w:color="auto"/>
              <w:right w:val="single" w:sz="6" w:space="0" w:color="000000" w:themeColor="text1"/>
            </w:tcBorders>
          </w:tcPr>
          <w:p w14:paraId="05728D8F" w14:textId="1413390E"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50F40DEB"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0B90103F" w14:textId="77777777" w:rsidR="009B2DCB" w:rsidRPr="00AE5356" w:rsidRDefault="009B2DCB" w:rsidP="00AE5356">
            <w:pPr>
              <w:contextualSpacing/>
              <w:jc w:val="both"/>
            </w:pPr>
            <w:r w:rsidRPr="00AE5356">
              <w:t>Plāna projekta 1.2.3. apakšpunktā paredzēts uzdevums, kas nosaka, ka kapitāla tirgus attīstībai un investīciju kultūras veidošanai nepieciešams ieviest nodrošinājuma aģenta institūtu uzņēmumu obligācijām un kredītiestāžu sindicētajiem kredītiem, un pie minētā uzdevuma kā līdzatbildīgā iestāde noteikta Tieslietu ministrija. Tomēr Tieslietu ministrijas ieskatā Tieslietu ministrija nebūtu nosakāma kā līdzatbildīgā iestāde. Proti, lai gan saistību nodrošinājums –  ķīlas tiesība (hipotēka) – ir civiltiesisks institūts tāpat kā citi saistību pastiprināšanas līdzekļi, kas iekļauti Civillikumā, un tā ir Tieslietu ministrijas kompetence, norādām, ka Tieslietu  ministrija neveido finanšu politiku un līdz ar to nevar būt par līdzatbildīgo iestādi jauna tiesību institūta ieviešanai, kas tiešā veidā saistīts ar finanšu tirgu un finanšu politiku. Proti, Tieslietu ministrija nevar nest atbildību par, piemēram, minētā uzdevuma laicīgu neizpildi, jo tā pēc būtības ir jauna finanšu risinājuma ieviešana finanšu nozarē, kas nav Tieslietu ministrijas kompetence.</w:t>
            </w:r>
          </w:p>
          <w:p w14:paraId="77A52294" w14:textId="30CBF03E" w:rsidR="009B2DCB" w:rsidRPr="00AE5356" w:rsidRDefault="009B2DCB" w:rsidP="00AE5356">
            <w:pPr>
              <w:contextualSpacing/>
              <w:jc w:val="both"/>
            </w:pPr>
            <w:r w:rsidRPr="00AE5356">
              <w:t>Vienlaikus norādām, ka Tieslietu ministrija ir gatava iesaistīties konkrēto grozījumu izstrādē tik tālu, cik tas skar Tieslietu ministrijas tiešajā kompetencē esošos jautājumus, piemēram, sniegt viedokli normatīvo aktu izstrādes procesā par paredzētā tiesiskā regulējuma atbilstību Civillikuma regulējumam.</w:t>
            </w:r>
          </w:p>
        </w:tc>
        <w:tc>
          <w:tcPr>
            <w:tcW w:w="2835" w:type="dxa"/>
            <w:tcBorders>
              <w:left w:val="single" w:sz="6" w:space="0" w:color="000000" w:themeColor="text1"/>
              <w:bottom w:val="single" w:sz="4" w:space="0" w:color="auto"/>
              <w:right w:val="single" w:sz="6" w:space="0" w:color="000000" w:themeColor="text1"/>
            </w:tcBorders>
          </w:tcPr>
          <w:p w14:paraId="007DCDA8" w14:textId="1DED5356" w:rsidR="009B2DCB" w:rsidRPr="00AE5356" w:rsidRDefault="0037355D" w:rsidP="00AE5356">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450EA2D7" w14:textId="75E7CA66" w:rsidR="009B2DCB" w:rsidRPr="00AE5356" w:rsidRDefault="00444909" w:rsidP="00444909">
            <w:pPr>
              <w:jc w:val="both"/>
              <w:rPr>
                <w:color w:val="000000"/>
              </w:rPr>
            </w:pPr>
            <w:r w:rsidRPr="00444909">
              <w:rPr>
                <w:color w:val="000000"/>
              </w:rPr>
              <w:t>Atbildīgā institūcija precizēta. Plāna projekta 1.2.3.</w:t>
            </w:r>
            <w:r>
              <w:rPr>
                <w:color w:val="000000"/>
              </w:rPr>
              <w:t xml:space="preserve"> </w:t>
            </w:r>
            <w:r w:rsidRPr="00444909">
              <w:rPr>
                <w:color w:val="000000"/>
              </w:rPr>
              <w:t xml:space="preserve">apakšpunktā ir precizēta </w:t>
            </w:r>
            <w:r>
              <w:rPr>
                <w:color w:val="000000"/>
              </w:rPr>
              <w:t>atbilstoši iebildumam.</w:t>
            </w:r>
          </w:p>
        </w:tc>
      </w:tr>
      <w:tr w:rsidR="009B2DCB" w:rsidRPr="00AE5356" w14:paraId="38AF8E3B" w14:textId="77777777" w:rsidTr="000E70CD">
        <w:tc>
          <w:tcPr>
            <w:tcW w:w="944" w:type="dxa"/>
            <w:tcBorders>
              <w:left w:val="single" w:sz="6" w:space="0" w:color="000000" w:themeColor="text1"/>
              <w:bottom w:val="single" w:sz="4" w:space="0" w:color="auto"/>
              <w:right w:val="single" w:sz="6" w:space="0" w:color="000000" w:themeColor="text1"/>
            </w:tcBorders>
          </w:tcPr>
          <w:p w14:paraId="5F8F27A4"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11F09AE5" w14:textId="056DFF4E" w:rsidR="009B2DCB" w:rsidRPr="000A0D30" w:rsidRDefault="009B2DCB" w:rsidP="00AE5356">
            <w:pPr>
              <w:pStyle w:val="naisc"/>
              <w:spacing w:before="0" w:after="0"/>
              <w:jc w:val="left"/>
            </w:pPr>
            <w:r w:rsidRPr="000A0D30">
              <w:t>Finanšu sektors ir vislielākais digitālo tehnoloģiju lietotājs un būtisks ekonomikas un sabiedrības digitalizācijas veicinātājs.</w:t>
            </w:r>
          </w:p>
        </w:tc>
        <w:tc>
          <w:tcPr>
            <w:tcW w:w="4819" w:type="dxa"/>
            <w:gridSpan w:val="2"/>
            <w:tcBorders>
              <w:left w:val="single" w:sz="6" w:space="0" w:color="000000" w:themeColor="text1"/>
              <w:bottom w:val="single" w:sz="4" w:space="0" w:color="auto"/>
              <w:right w:val="single" w:sz="6" w:space="0" w:color="000000" w:themeColor="text1"/>
            </w:tcBorders>
          </w:tcPr>
          <w:p w14:paraId="1D6F5003" w14:textId="77777777" w:rsidR="009B2DCB" w:rsidRPr="000A0D30" w:rsidRDefault="009B2DCB" w:rsidP="00AE5356">
            <w:pPr>
              <w:contextualSpacing/>
              <w:jc w:val="both"/>
              <w:rPr>
                <w:b/>
                <w:u w:val="single"/>
              </w:rPr>
            </w:pPr>
            <w:r w:rsidRPr="000A0D30">
              <w:rPr>
                <w:b/>
                <w:u w:val="single"/>
              </w:rPr>
              <w:t>Finanšu un kapitāla tirgus komisija:</w:t>
            </w:r>
          </w:p>
          <w:p w14:paraId="30E3A994" w14:textId="7EC462A6" w:rsidR="009B2DCB" w:rsidRPr="000A0D30" w:rsidRDefault="009B2DCB" w:rsidP="00AE5356">
            <w:pPr>
              <w:contextualSpacing/>
              <w:jc w:val="both"/>
            </w:pPr>
            <w:r w:rsidRPr="000A0D30">
              <w:t>Pievienots teikums: Īpaši COVID-19 ietekmes rezultātā palielinājās pieprasījums pēc digitālajiem/attālinātajiem pakalpojumiem, kuru esošie finanšu un kapitāla tirgus dalībnieki veiksmīgi ir apmierinājuši, piedāvājot elastīgus, mainīgajai videi pielāgotus finanšu pakalpojumu risinājumus.</w:t>
            </w:r>
          </w:p>
          <w:p w14:paraId="4F899235" w14:textId="77777777" w:rsidR="009B2DCB" w:rsidRPr="000A0D30" w:rsidRDefault="009B2DCB" w:rsidP="00AE5356">
            <w:pPr>
              <w:contextualSpacing/>
              <w:jc w:val="both"/>
            </w:pPr>
          </w:p>
          <w:p w14:paraId="0DA60280" w14:textId="77777777" w:rsidR="009B2DCB" w:rsidRPr="000A0D30" w:rsidRDefault="009B2DCB" w:rsidP="00AE5356">
            <w:pPr>
              <w:contextualSpacing/>
              <w:jc w:val="both"/>
            </w:pPr>
          </w:p>
          <w:p w14:paraId="5672EE46" w14:textId="708DDEB7" w:rsidR="009B2DCB" w:rsidRPr="000A0D30" w:rsidRDefault="009B2DCB" w:rsidP="00AE5356">
            <w:pPr>
              <w:contextualSpacing/>
              <w:jc w:val="both"/>
            </w:pPr>
          </w:p>
        </w:tc>
        <w:tc>
          <w:tcPr>
            <w:tcW w:w="2835" w:type="dxa"/>
            <w:tcBorders>
              <w:left w:val="single" w:sz="6" w:space="0" w:color="000000" w:themeColor="text1"/>
              <w:bottom w:val="single" w:sz="4" w:space="0" w:color="auto"/>
              <w:right w:val="single" w:sz="6" w:space="0" w:color="000000" w:themeColor="text1"/>
            </w:tcBorders>
          </w:tcPr>
          <w:p w14:paraId="122BDE48" w14:textId="2E64797D" w:rsidR="009B2DCB" w:rsidRPr="000A0D30" w:rsidRDefault="008A585F" w:rsidP="00AE5356">
            <w:pPr>
              <w:pStyle w:val="naisc"/>
              <w:spacing w:before="0" w:after="0"/>
              <w:jc w:val="left"/>
            </w:pPr>
            <w:r w:rsidRPr="000A0D30">
              <w:t>Ņ</w:t>
            </w:r>
            <w:r w:rsidR="009B2DCB" w:rsidRPr="000A0D30">
              <w:t>emts vērā</w:t>
            </w:r>
          </w:p>
        </w:tc>
        <w:tc>
          <w:tcPr>
            <w:tcW w:w="3544" w:type="dxa"/>
            <w:tcBorders>
              <w:top w:val="single" w:sz="4" w:space="0" w:color="auto"/>
              <w:left w:val="single" w:sz="4" w:space="0" w:color="auto"/>
              <w:bottom w:val="single" w:sz="4" w:space="0" w:color="auto"/>
            </w:tcBorders>
          </w:tcPr>
          <w:p w14:paraId="37FB2462" w14:textId="31CA03C5" w:rsidR="009B2DCB" w:rsidRPr="00AE5356" w:rsidRDefault="000A0D30" w:rsidP="00AE5356">
            <w:pPr>
              <w:jc w:val="both"/>
              <w:rPr>
                <w:color w:val="000000"/>
              </w:rPr>
            </w:pPr>
            <w:r>
              <w:rPr>
                <w:color w:val="000000"/>
              </w:rPr>
              <w:t xml:space="preserve">Rindkopa papildināta ar teikumu: </w:t>
            </w:r>
            <w:r w:rsidRPr="000A0D30">
              <w:rPr>
                <w:color w:val="000000"/>
              </w:rPr>
              <w:t>Īpaši COVID-19 ietekmes rezultātā palielinājās pieprasījums pēc digitālajiem pakalpojumiem, kuru esošie finanšu un kapitāla tirgus dalībnieki veiksmīgi ir apmierinājuši, piedāvājot elastīgus, mainīgajai videi pielāgotus finanšu pakalpojumu risinājumus.</w:t>
            </w:r>
          </w:p>
        </w:tc>
      </w:tr>
      <w:tr w:rsidR="009B2DCB" w:rsidRPr="00AE5356" w14:paraId="2D82713E" w14:textId="77777777" w:rsidTr="000E70CD">
        <w:tc>
          <w:tcPr>
            <w:tcW w:w="944" w:type="dxa"/>
            <w:tcBorders>
              <w:left w:val="single" w:sz="6" w:space="0" w:color="000000" w:themeColor="text1"/>
              <w:bottom w:val="single" w:sz="4" w:space="0" w:color="auto"/>
              <w:right w:val="single" w:sz="6" w:space="0" w:color="000000" w:themeColor="text1"/>
            </w:tcBorders>
          </w:tcPr>
          <w:p w14:paraId="23516E34"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5FD9783" w14:textId="2E4245B1" w:rsidR="009B2DCB" w:rsidRPr="00AE5356" w:rsidRDefault="009B2DCB" w:rsidP="00AE5356">
            <w:pPr>
              <w:pStyle w:val="naisc"/>
              <w:spacing w:before="0" w:after="0"/>
              <w:jc w:val="left"/>
            </w:pPr>
          </w:p>
        </w:tc>
        <w:tc>
          <w:tcPr>
            <w:tcW w:w="4819" w:type="dxa"/>
            <w:gridSpan w:val="2"/>
            <w:tcBorders>
              <w:left w:val="single" w:sz="6" w:space="0" w:color="000000" w:themeColor="text1"/>
              <w:bottom w:val="single" w:sz="4" w:space="0" w:color="auto"/>
              <w:right w:val="single" w:sz="6" w:space="0" w:color="000000" w:themeColor="text1"/>
            </w:tcBorders>
          </w:tcPr>
          <w:p w14:paraId="6CAA2F2A" w14:textId="59B6CF5A" w:rsidR="009B2DCB" w:rsidRPr="00DF40F2" w:rsidRDefault="009B2DCB" w:rsidP="00AE5356">
            <w:pPr>
              <w:contextualSpacing/>
              <w:jc w:val="both"/>
              <w:rPr>
                <w:b/>
                <w:u w:val="single"/>
              </w:rPr>
            </w:pPr>
            <w:r w:rsidRPr="00DF40F2">
              <w:t xml:space="preserve">9. lpp. pievienot rindkopu: Kopš 2014. gada tiek īstenota “Latvijas iedzīvotāju finanšu pratības stratēģija 2014 – 2020”. Tās ietvaros FKTK, kā nacionālā koordinējošā institūcija, regulāri veic finanšu pratības monitoringu, izvērtē izvirzīto mērķu sasniegšanu, veic Latvijas iedzīvotāju finanšu pratības aptauju un nosaka iedzīvotāju finanšu pratības indeksu. Pieejamie dati liecina, ka izvirzītie finanšu pratības mērķi daļēji tiek sasniegti – pieaugošs ir mājsaimniecību uzkrājumu apjoms, palielinājies pensiju sistēmas 3. līmenī iesaistīto skaits, būtiski samazinājies mājsaimniecību kavēto kredītu skaits un mājsaimniecību kavēto nebanku kredītu skaits un apmērs, arī mājsaimniecību kredītu/ noguldījumu attiecība uzlabojas. Tomēr FKTK izveidotais Finanšu pratības indekss, kā ietvaros tiek analizēta iedzīvotāju attieksme un paradumi, norāda, ka nepieciešams vēl mērķtiecīgāk veicināt Latvijas iedzīvotāju finanšu pratību. Indekss pamazām pieaug: 2015. </w:t>
            </w:r>
            <w:r w:rsidRPr="00DF40F2">
              <w:lastRenderedPageBreak/>
              <w:t>gadā vidējais iedzīvotāju rezultāts bija 21,2 punkti (no 99), bet 2019. gadā – 21,7, tomēr ir nepieciešama straujāka izaugsme. Īpaši svarīgi ir uzlabojumi uzkrājumu un ieguldījumu jomā, lai iedzīvotāji nodrošinātu savu finanšu noturību pret ārējiem nelabvēlīgiem apstākļiem, spētu salīdzināt dažādus pakalpojumus un pieņemt informētus lēmumus, tai skaitā aizņemties atbildīgi, izvairīties no finanšu krāpnieku uzbrukumiem un spēt izsekot pakalpojumu digitalizācijai.</w:t>
            </w:r>
          </w:p>
        </w:tc>
        <w:tc>
          <w:tcPr>
            <w:tcW w:w="2835" w:type="dxa"/>
            <w:tcBorders>
              <w:left w:val="single" w:sz="6" w:space="0" w:color="000000" w:themeColor="text1"/>
              <w:bottom w:val="single" w:sz="4" w:space="0" w:color="auto"/>
              <w:right w:val="single" w:sz="6" w:space="0" w:color="000000" w:themeColor="text1"/>
            </w:tcBorders>
          </w:tcPr>
          <w:p w14:paraId="57E04F66" w14:textId="0E0C2400" w:rsidR="009B2DCB" w:rsidRPr="00DF40F2" w:rsidRDefault="008A585F" w:rsidP="00AE5356">
            <w:pPr>
              <w:pStyle w:val="naisc"/>
              <w:spacing w:before="0" w:after="0"/>
              <w:jc w:val="left"/>
            </w:pPr>
            <w:r w:rsidRPr="00DF40F2">
              <w:lastRenderedPageBreak/>
              <w:t>Ņ</w:t>
            </w:r>
            <w:r w:rsidR="009B2DCB" w:rsidRPr="00DF40F2">
              <w:t>emts vērā</w:t>
            </w:r>
          </w:p>
        </w:tc>
        <w:tc>
          <w:tcPr>
            <w:tcW w:w="3544" w:type="dxa"/>
            <w:tcBorders>
              <w:top w:val="single" w:sz="4" w:space="0" w:color="auto"/>
              <w:left w:val="single" w:sz="4" w:space="0" w:color="auto"/>
              <w:bottom w:val="single" w:sz="4" w:space="0" w:color="auto"/>
            </w:tcBorders>
          </w:tcPr>
          <w:p w14:paraId="5352E0AF" w14:textId="78DB06C7" w:rsidR="009B2DCB" w:rsidRPr="00AE5356" w:rsidRDefault="000A0D30" w:rsidP="00AE5356">
            <w:pPr>
              <w:jc w:val="both"/>
              <w:rPr>
                <w:color w:val="000000"/>
              </w:rPr>
            </w:pPr>
            <w:r>
              <w:rPr>
                <w:color w:val="000000"/>
              </w:rPr>
              <w:t xml:space="preserve">11. lpp. pievienota rindkopa: </w:t>
            </w:r>
            <w:r w:rsidRPr="000A0D30">
              <w:rPr>
                <w:color w:val="000000"/>
              </w:rPr>
              <w:t xml:space="preserve">Kopš 2014. gada tiek īstenota “Latvijas iedzīvotāju finanšu pratības stratēģija 2014 – 2020”. Tās ietvaros FKTK, kā nacionālā koordinējošā institūcija, regulāri veic finanšu pratības monitoringu, izvērtē izvirzīto mērķu sasniegšanu, veic Latvijas iedzīvotāju finanšu pratības aptauju un nosaka iedzīvotāju finanšu pratības indeksu. Pieejamie dati liecina, ka izvirzītie finanšu pratības mērķi daļēji tiek sasniegti – pieaugošs ir mājsaimniecību uzkrājumu apjoms, palielinājies pensiju sistēmas 3. līmenī iesaistīto skaits, būtiski samazinājies mājsaimniecību kavēto kredītu skaits un mājsaimniecību kavēto </w:t>
            </w:r>
            <w:r w:rsidRPr="000A0D30">
              <w:rPr>
                <w:color w:val="000000"/>
              </w:rPr>
              <w:lastRenderedPageBreak/>
              <w:t>nebanku kredītu skaits un apmērs, arī mājsaimniecību kredītu/ noguldījumu attiecība uzlabojas. Tomēr FKTK izveidotais Finanšu pratības indekss, kā ietvaros tiek analizēta iedzīvotāju attieksme un paradumi, norāda, ka nepieciešams vēl mērķtiecīgāk veicināt Latvijas iedzīvotāju finanšu pratību. Indekss pamazām pieaug: 2015. gadā vidējais iedzīvotāju rezultāts bija 21,2 punkti (no 99), bet 2019. gadā – 21,7, tomēr ir nepieciešama straujāka izaugsme. Īpaši svarīgi ir uzlabojumi uzkrājumu un ieguldījumu jomā, lai iedzīvotāji nodrošinātu savu finanšu noturību pret ārējiem nelabvēlīgiem apstākļiem, spētu salīdzināt dažādus pakalpojumus un pieņemt informētus lēmumus, tai skaitā aizņemties atbildīgi, izvairīties no finanšu krāpnieku uzbrukumiem un spēt izsekot pakalpojumu digitalizācijai.</w:t>
            </w:r>
          </w:p>
        </w:tc>
      </w:tr>
      <w:tr w:rsidR="009B2DCB" w:rsidRPr="00AE5356" w14:paraId="4CC1D70E" w14:textId="77777777" w:rsidTr="000E70CD">
        <w:tc>
          <w:tcPr>
            <w:tcW w:w="944" w:type="dxa"/>
            <w:tcBorders>
              <w:left w:val="single" w:sz="6" w:space="0" w:color="000000" w:themeColor="text1"/>
              <w:bottom w:val="single" w:sz="4" w:space="0" w:color="auto"/>
              <w:right w:val="single" w:sz="6" w:space="0" w:color="000000" w:themeColor="text1"/>
            </w:tcBorders>
          </w:tcPr>
          <w:p w14:paraId="2225F515"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2537E426" w14:textId="4F5D8D78" w:rsidR="009B2DCB" w:rsidRPr="00DF40F2" w:rsidRDefault="009B2DCB" w:rsidP="00AE5356">
            <w:pPr>
              <w:pStyle w:val="naisc"/>
              <w:spacing w:before="0" w:after="0"/>
              <w:jc w:val="left"/>
            </w:pPr>
            <w:r w:rsidRPr="00DF40F2">
              <w:t xml:space="preserve">12. lpp., Stimulējošas monetārās politikas ietekmē aizņemšanās izmaksas Eirozonā vidēji ir kritušās līdz salīdzinoši zemam līmenim. Tomēr </w:t>
            </w:r>
            <w:r w:rsidRPr="00DF40F2">
              <w:lastRenderedPageBreak/>
              <w:t>aizņemšanās izmaksas Baltijas valstīs ir augstākas nekā vidēji Eirozonā. Kopš 2019. gada sākuma vērojams drīzāk pieaugums nekā samazināšanās. Aizņemšanās izmaksas mājokļa iegādei kopumā ir stabilākas, tomēr, tāpat kā uzņēmējdarbības kredītiem, ir virs Eirozonas vidējā rādītāja</w:t>
            </w:r>
          </w:p>
        </w:tc>
        <w:tc>
          <w:tcPr>
            <w:tcW w:w="4819" w:type="dxa"/>
            <w:gridSpan w:val="2"/>
            <w:tcBorders>
              <w:left w:val="single" w:sz="6" w:space="0" w:color="000000" w:themeColor="text1"/>
              <w:bottom w:val="single" w:sz="4" w:space="0" w:color="auto"/>
              <w:right w:val="single" w:sz="6" w:space="0" w:color="000000" w:themeColor="text1"/>
            </w:tcBorders>
          </w:tcPr>
          <w:p w14:paraId="6C383E26" w14:textId="58921DD9" w:rsidR="009B2DCB" w:rsidRPr="00DF40F2" w:rsidRDefault="009B2DCB" w:rsidP="00AE5356">
            <w:pPr>
              <w:contextualSpacing/>
              <w:jc w:val="both"/>
            </w:pPr>
            <w:r w:rsidRPr="00DF40F2">
              <w:lastRenderedPageBreak/>
              <w:t>Komentārs: Starp SI un LSI bankām ir novērojama ambīciju dažādība, katram risku apetīte ir dažāda. Līdz ar to nevar vispārināt uz visu sektoru.</w:t>
            </w:r>
          </w:p>
        </w:tc>
        <w:tc>
          <w:tcPr>
            <w:tcW w:w="2835" w:type="dxa"/>
            <w:tcBorders>
              <w:left w:val="single" w:sz="6" w:space="0" w:color="000000" w:themeColor="text1"/>
              <w:bottom w:val="single" w:sz="4" w:space="0" w:color="auto"/>
              <w:right w:val="single" w:sz="6" w:space="0" w:color="000000" w:themeColor="text1"/>
            </w:tcBorders>
          </w:tcPr>
          <w:p w14:paraId="44B5286C" w14:textId="29756FF6" w:rsidR="009B2DCB" w:rsidRPr="00DF40F2" w:rsidRDefault="008A585F" w:rsidP="00AE5356">
            <w:pPr>
              <w:pStyle w:val="naisc"/>
              <w:spacing w:before="0" w:after="0"/>
              <w:jc w:val="left"/>
            </w:pPr>
            <w:r w:rsidRPr="00DF40F2">
              <w:t>Ņemts vērā.</w:t>
            </w:r>
          </w:p>
        </w:tc>
        <w:tc>
          <w:tcPr>
            <w:tcW w:w="3544" w:type="dxa"/>
            <w:tcBorders>
              <w:top w:val="single" w:sz="4" w:space="0" w:color="auto"/>
              <w:left w:val="single" w:sz="4" w:space="0" w:color="auto"/>
              <w:bottom w:val="single" w:sz="4" w:space="0" w:color="auto"/>
            </w:tcBorders>
          </w:tcPr>
          <w:p w14:paraId="74DC915F" w14:textId="22C1A0B9" w:rsidR="009B2DCB" w:rsidRPr="00AE5356" w:rsidRDefault="003C575D" w:rsidP="00070648">
            <w:pPr>
              <w:jc w:val="both"/>
              <w:rPr>
                <w:color w:val="000000"/>
              </w:rPr>
            </w:pPr>
            <w:r>
              <w:rPr>
                <w:color w:val="000000"/>
              </w:rPr>
              <w:t xml:space="preserve">Rindkopa izteikta šādā redakcijā: </w:t>
            </w:r>
            <w:r w:rsidR="00070648" w:rsidRPr="00070648">
              <w:rPr>
                <w:color w:val="000000"/>
              </w:rPr>
              <w:t xml:space="preserve">Stimulējošas monetārās politikas ietekmē aizņemšanās izmaksas Eirozonā vidēji ir kritušās līdz salīdzinoši zemam līmenim. Tomēr aizņemšanās izmaksas Baltijas valstīs ir augstākas nekā </w:t>
            </w:r>
            <w:r w:rsidR="00070648" w:rsidRPr="00070648">
              <w:rPr>
                <w:color w:val="000000"/>
              </w:rPr>
              <w:lastRenderedPageBreak/>
              <w:t>vidēji Eirozonā. Kopš 2019. gada sākuma vērojams drīzāk pieaugums nekā samazināšanās. Aizņemšanās izmaksas mājokļa iegādei kopumā ir stabilākas, tomēr, tāpa</w:t>
            </w:r>
            <w:r w:rsidR="00070648">
              <w:rPr>
                <w:color w:val="000000"/>
              </w:rPr>
              <w:t xml:space="preserve">t kā uzņēmējdarbības kredītiem, </w:t>
            </w:r>
            <w:r w:rsidR="00070648" w:rsidRPr="00070648">
              <w:rPr>
                <w:color w:val="000000"/>
              </w:rPr>
              <w:t>kopumā vidēji ir virs Eirozonas vidējā rādītāja.</w:t>
            </w:r>
          </w:p>
        </w:tc>
      </w:tr>
      <w:tr w:rsidR="009B2DCB" w:rsidRPr="00AE5356" w14:paraId="12F30B07" w14:textId="77777777" w:rsidTr="000E70CD">
        <w:tc>
          <w:tcPr>
            <w:tcW w:w="944" w:type="dxa"/>
            <w:tcBorders>
              <w:left w:val="single" w:sz="6" w:space="0" w:color="000000" w:themeColor="text1"/>
              <w:bottom w:val="single" w:sz="4" w:space="0" w:color="auto"/>
              <w:right w:val="single" w:sz="6" w:space="0" w:color="000000" w:themeColor="text1"/>
            </w:tcBorders>
          </w:tcPr>
          <w:p w14:paraId="770AB484"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0BC14B3" w14:textId="0835D618" w:rsidR="009B2DCB" w:rsidRPr="00AE5356" w:rsidRDefault="009B2DCB" w:rsidP="00AE5356">
            <w:pPr>
              <w:pStyle w:val="naisc"/>
              <w:spacing w:before="0" w:after="0"/>
              <w:jc w:val="left"/>
            </w:pPr>
            <w:r w:rsidRPr="00AE5356">
              <w:t xml:space="preserve">11. lpp., Tomēr vienlaikus var secināt, ka kopumā, vērtējot situāciju kredītiestāžu sektorā, ir novērojams zināms konkurences trūkums kvalitātes aspektā, tā piemēram, joprojām saglabājas mazo un vidējo uzņēmumu grūtības pieejai finansējumam. Lai arī Latvijā darbojas salīdzinoši liels skaits kredītiestāžu, tomēr 84% no banku izsniegtajiem kredītiem ir izsniegušas četras lielākās kredītiestādes , savukārt </w:t>
            </w:r>
            <w:r w:rsidRPr="00AE5356">
              <w:lastRenderedPageBreak/>
              <w:t>pārējo, mazāko, kredītiestāžu kapacitāte, tostarp kapitāla pozīcija, nav pietiekama, lai būtiski ietekmētu kopējo kreditēšanas aktivitāti.</w:t>
            </w:r>
          </w:p>
        </w:tc>
        <w:tc>
          <w:tcPr>
            <w:tcW w:w="4819" w:type="dxa"/>
            <w:gridSpan w:val="2"/>
            <w:tcBorders>
              <w:left w:val="single" w:sz="6" w:space="0" w:color="000000" w:themeColor="text1"/>
              <w:bottom w:val="single" w:sz="4" w:space="0" w:color="auto"/>
              <w:right w:val="single" w:sz="6" w:space="0" w:color="000000" w:themeColor="text1"/>
            </w:tcBorders>
          </w:tcPr>
          <w:p w14:paraId="7A7314D4" w14:textId="0765195C" w:rsidR="009B2DCB" w:rsidRPr="00AE5356" w:rsidRDefault="009B2DCB" w:rsidP="00AE5356">
            <w:pPr>
              <w:contextualSpacing/>
              <w:jc w:val="both"/>
            </w:pPr>
            <w:r w:rsidRPr="008308C4">
              <w:lastRenderedPageBreak/>
              <w:t>Komentārs: Kā attīstības virziens šajā jautājumā, varētu būt sadarbība starp Bankām, FinTech un Kapitāla tirgus dalībniekiem, piedāvājot dažādot finansējuma piesaistes iespējas uzņēmumiem</w:t>
            </w:r>
          </w:p>
        </w:tc>
        <w:tc>
          <w:tcPr>
            <w:tcW w:w="2835" w:type="dxa"/>
            <w:tcBorders>
              <w:left w:val="single" w:sz="6" w:space="0" w:color="000000" w:themeColor="text1"/>
              <w:bottom w:val="single" w:sz="4" w:space="0" w:color="auto"/>
              <w:right w:val="single" w:sz="6" w:space="0" w:color="000000" w:themeColor="text1"/>
            </w:tcBorders>
          </w:tcPr>
          <w:p w14:paraId="2BF30852" w14:textId="124288D4" w:rsidR="009B2DCB" w:rsidRPr="00AE5356" w:rsidRDefault="00827C51" w:rsidP="005E3AAC">
            <w:pPr>
              <w:pStyle w:val="naisc"/>
              <w:spacing w:before="0" w:after="0"/>
              <w:jc w:val="left"/>
            </w:pPr>
            <w:r>
              <w:t xml:space="preserve">Ņemts vērā. </w:t>
            </w:r>
          </w:p>
        </w:tc>
        <w:tc>
          <w:tcPr>
            <w:tcW w:w="3544" w:type="dxa"/>
            <w:tcBorders>
              <w:top w:val="single" w:sz="4" w:space="0" w:color="auto"/>
              <w:left w:val="single" w:sz="4" w:space="0" w:color="auto"/>
              <w:bottom w:val="single" w:sz="4" w:space="0" w:color="auto"/>
            </w:tcBorders>
          </w:tcPr>
          <w:p w14:paraId="2592FCA5" w14:textId="36CAE7CF" w:rsidR="009B2DCB" w:rsidRPr="00AE5356" w:rsidRDefault="005E3AAC" w:rsidP="00AE5356">
            <w:pPr>
              <w:jc w:val="both"/>
              <w:rPr>
                <w:color w:val="000000"/>
              </w:rPr>
            </w:pPr>
            <w:r>
              <w:t>Jautājums tiek risināts ar plānā jau esošiem uzdevumiem sadaļā 2.1.</w:t>
            </w:r>
          </w:p>
        </w:tc>
      </w:tr>
      <w:tr w:rsidR="009B2DCB" w:rsidRPr="00AE5356" w14:paraId="30988948" w14:textId="77777777" w:rsidTr="000E70CD">
        <w:tc>
          <w:tcPr>
            <w:tcW w:w="944" w:type="dxa"/>
            <w:tcBorders>
              <w:left w:val="single" w:sz="6" w:space="0" w:color="000000" w:themeColor="text1"/>
              <w:bottom w:val="single" w:sz="4" w:space="0" w:color="auto"/>
              <w:right w:val="single" w:sz="6" w:space="0" w:color="000000" w:themeColor="text1"/>
            </w:tcBorders>
          </w:tcPr>
          <w:p w14:paraId="1F321938"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5FFE379C" w14:textId="491358C2" w:rsidR="009B2DCB" w:rsidRPr="00AE5356" w:rsidRDefault="009B2DCB" w:rsidP="00AE5356">
            <w:pPr>
              <w:pStyle w:val="naisc"/>
              <w:spacing w:before="0" w:after="0"/>
              <w:jc w:val="left"/>
            </w:pPr>
            <w:r w:rsidRPr="00AE5356">
              <w:t>17. lpp., Savukārt privāto pensiju fondu tirgus Latvijā ir ļoti mazs, lai arī pakāpeniski pieaug. 2002.gada 1.ceturkšņa beigās privāto pensiju fondu kopējais uzkrājums ir sasniedzis 559 milj. euro. Privāto pensiju fondu apjoms arī būtiski atpaliek no kaimiņvalstīm. 2018.gada beigās aktīvu apjoms sasniedza 1,6% no IKP, savukārt Igaunijā šis rādītājs attiecīgajā periodā bija 15.4%, bet Lietuvā – 7.1%.</w:t>
            </w:r>
          </w:p>
        </w:tc>
        <w:tc>
          <w:tcPr>
            <w:tcW w:w="4819" w:type="dxa"/>
            <w:gridSpan w:val="2"/>
            <w:tcBorders>
              <w:left w:val="single" w:sz="6" w:space="0" w:color="000000" w:themeColor="text1"/>
              <w:bottom w:val="single" w:sz="4" w:space="0" w:color="auto"/>
              <w:right w:val="single" w:sz="6" w:space="0" w:color="000000" w:themeColor="text1"/>
            </w:tcBorders>
          </w:tcPr>
          <w:p w14:paraId="2F5C231A" w14:textId="58B6250A" w:rsidR="009B2DCB" w:rsidRPr="00DF40F2" w:rsidRDefault="009B2DCB" w:rsidP="00AE5356">
            <w:pPr>
              <w:contextualSpacing/>
              <w:jc w:val="both"/>
            </w:pPr>
            <w:r w:rsidRPr="00DF40F2">
              <w:t>Lūdzam sniegtu atsauci uz datu avotu; saskaņā ar publiski pieejamo informāciju Latvijā privāto pensiju fondu kopējie aktīvi 2019.gadā bija 566 milj.</w:t>
            </w:r>
            <w:r w:rsidR="0003142C">
              <w:t xml:space="preserve"> </w:t>
            </w:r>
            <w:r w:rsidRPr="00DF40F2">
              <w:t>EUR, kamēr Igaunijā un Lietuvā attiecīgi 199 milj. EUR un 136 milj.</w:t>
            </w:r>
            <w:r w:rsidR="0003142C">
              <w:t xml:space="preserve"> </w:t>
            </w:r>
            <w:r w:rsidRPr="00DF40F2">
              <w:t>EUR.</w:t>
            </w:r>
          </w:p>
          <w:p w14:paraId="36A83357" w14:textId="7CBB57A3" w:rsidR="009B2DCB" w:rsidRPr="00AE5356" w:rsidRDefault="009B2DCB" w:rsidP="00AE5356">
            <w:pPr>
              <w:contextualSpacing/>
              <w:jc w:val="both"/>
              <w:rPr>
                <w:b/>
                <w:u w:val="single"/>
              </w:rPr>
            </w:pPr>
            <w:r w:rsidRPr="00DF40F2">
              <w:t>Iespējams, ka FM iekļāvusi arī 2.pensiju līmeņa uzkrājumus.</w:t>
            </w:r>
          </w:p>
        </w:tc>
        <w:tc>
          <w:tcPr>
            <w:tcW w:w="2835" w:type="dxa"/>
            <w:tcBorders>
              <w:left w:val="single" w:sz="6" w:space="0" w:color="000000" w:themeColor="text1"/>
              <w:bottom w:val="single" w:sz="4" w:space="0" w:color="auto"/>
              <w:right w:val="single" w:sz="6" w:space="0" w:color="000000" w:themeColor="text1"/>
            </w:tcBorders>
          </w:tcPr>
          <w:p w14:paraId="6DC65802" w14:textId="20C77B43" w:rsidR="009B2DCB" w:rsidRPr="00AE5356" w:rsidRDefault="00A90AFF" w:rsidP="00AE5356">
            <w:pPr>
              <w:pStyle w:val="naisc"/>
              <w:spacing w:before="0" w:after="0"/>
              <w:jc w:val="left"/>
            </w:pPr>
            <w:r w:rsidRPr="00AE5356">
              <w:t>Ņemts vērā</w:t>
            </w:r>
            <w:r w:rsidR="008A585F" w:rsidRPr="00AE5356">
              <w:t>.</w:t>
            </w:r>
          </w:p>
        </w:tc>
        <w:tc>
          <w:tcPr>
            <w:tcW w:w="3544" w:type="dxa"/>
            <w:tcBorders>
              <w:top w:val="single" w:sz="4" w:space="0" w:color="auto"/>
              <w:left w:val="single" w:sz="4" w:space="0" w:color="auto"/>
              <w:bottom w:val="single" w:sz="4" w:space="0" w:color="auto"/>
            </w:tcBorders>
          </w:tcPr>
          <w:p w14:paraId="6D2B48E6" w14:textId="76423935" w:rsidR="009B2DCB" w:rsidRPr="00AE5356" w:rsidRDefault="009157BA" w:rsidP="00AE5356">
            <w:pPr>
              <w:jc w:val="both"/>
              <w:rPr>
                <w:color w:val="000000"/>
              </w:rPr>
            </w:pPr>
            <w:r>
              <w:rPr>
                <w:color w:val="000000"/>
              </w:rPr>
              <w:t xml:space="preserve">Precizēts tekstā, ka informācija ir ņemta no OECD </w:t>
            </w:r>
            <w:r w:rsidR="00DF40F2">
              <w:rPr>
                <w:color w:val="000000"/>
              </w:rPr>
              <w:t>pā</w:t>
            </w:r>
            <w:r>
              <w:rPr>
                <w:color w:val="000000"/>
              </w:rPr>
              <w:t>rskata.</w:t>
            </w:r>
          </w:p>
        </w:tc>
      </w:tr>
      <w:tr w:rsidR="009B2DCB" w:rsidRPr="00AE5356" w14:paraId="7B48A4BD" w14:textId="77777777" w:rsidTr="000E70CD">
        <w:tc>
          <w:tcPr>
            <w:tcW w:w="944" w:type="dxa"/>
            <w:tcBorders>
              <w:left w:val="single" w:sz="6" w:space="0" w:color="000000" w:themeColor="text1"/>
              <w:bottom w:val="single" w:sz="4" w:space="0" w:color="auto"/>
              <w:right w:val="single" w:sz="6" w:space="0" w:color="000000" w:themeColor="text1"/>
            </w:tcBorders>
          </w:tcPr>
          <w:p w14:paraId="1F86ADA3" w14:textId="77777777" w:rsidR="009B2DCB" w:rsidRPr="00DF40F2"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CC00289" w14:textId="77777777" w:rsidR="009B2DCB" w:rsidRPr="00DF40F2"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5EDD41E3" w14:textId="5B6D2EEF" w:rsidR="009B2DCB" w:rsidRPr="00DF40F2" w:rsidRDefault="009B2DCB" w:rsidP="00AE5356">
            <w:pPr>
              <w:jc w:val="both"/>
            </w:pPr>
            <w:r w:rsidRPr="00DF40F2">
              <w:t>Papildināt 1.3. ar šādiem uzdevumiem:</w:t>
            </w:r>
          </w:p>
          <w:p w14:paraId="69358305" w14:textId="0171BFE0" w:rsidR="009B2DCB" w:rsidRPr="00DF40F2" w:rsidRDefault="009B2DCB" w:rsidP="00AE5356">
            <w:pPr>
              <w:jc w:val="both"/>
            </w:pPr>
            <w:r w:rsidRPr="00DF40F2">
              <w:t>1.3.5. Uzdevums/pasākums: Veicināt regulāru uzkrājumu veidošanas paradumus un izpratni par to nepieciešamību;</w:t>
            </w:r>
          </w:p>
          <w:p w14:paraId="44F043B0" w14:textId="42198479" w:rsidR="009B2DCB" w:rsidRPr="00DF40F2" w:rsidRDefault="009B2DCB" w:rsidP="00AE5356">
            <w:pPr>
              <w:jc w:val="both"/>
            </w:pPr>
            <w:r w:rsidRPr="00DF40F2">
              <w:t xml:space="preserve">Darbības rezultāts: Veicināta izpratne par uzkrājumu veidošanas nepieciešamību un </w:t>
            </w:r>
            <w:r w:rsidRPr="00DF40F2">
              <w:lastRenderedPageBreak/>
              <w:t>palielinājies iedzīvotāju īpatsvars, kas veic uzkrājumus;</w:t>
            </w:r>
          </w:p>
          <w:p w14:paraId="2C760836" w14:textId="77777777" w:rsidR="009B2DCB" w:rsidRPr="00DF40F2" w:rsidRDefault="009B2DCB" w:rsidP="00AE5356">
            <w:pPr>
              <w:jc w:val="both"/>
            </w:pPr>
            <w:r w:rsidRPr="00DF40F2">
              <w:t>Rezultatīvais rādītājs: Regulāri, informatīvi pasākumi, publikācijas.</w:t>
            </w:r>
          </w:p>
          <w:p w14:paraId="50618DDB" w14:textId="4725BFC1" w:rsidR="009B2DCB" w:rsidRPr="00DF40F2" w:rsidRDefault="009B2DCB" w:rsidP="00AE5356">
            <w:pPr>
              <w:jc w:val="both"/>
            </w:pPr>
            <w:r w:rsidRPr="00DF40F2">
              <w:t>Latvijas iedzīvotāju finanšu pratības aptaujā vairāk nekā 30% iedzīvotāji atzīst, ka veido uzkrājumus. (2019. gadā 27%);</w:t>
            </w:r>
          </w:p>
          <w:p w14:paraId="498BD902" w14:textId="40FF4829" w:rsidR="009B2DCB" w:rsidRPr="00DF40F2" w:rsidRDefault="009B2DCB" w:rsidP="00AE5356">
            <w:pPr>
              <w:jc w:val="both"/>
            </w:pPr>
            <w:r w:rsidRPr="00DF40F2">
              <w:t>Atbildīgā institūcija: FKTK;</w:t>
            </w:r>
          </w:p>
          <w:p w14:paraId="15110263" w14:textId="502D29C0" w:rsidR="009B2DCB" w:rsidRPr="00DF40F2" w:rsidRDefault="009B2DCB" w:rsidP="00AE5356">
            <w:pPr>
              <w:jc w:val="both"/>
            </w:pPr>
            <w:r w:rsidRPr="00DF40F2">
              <w:t>Līdzatbildīgā institūcija: FNA;</w:t>
            </w:r>
          </w:p>
          <w:p w14:paraId="067D4DDC" w14:textId="4DD85ECE" w:rsidR="009B2DCB" w:rsidRPr="00DF40F2" w:rsidRDefault="009B2DCB" w:rsidP="00AE5356">
            <w:pPr>
              <w:contextualSpacing/>
              <w:jc w:val="both"/>
            </w:pPr>
            <w:r w:rsidRPr="00DF40F2">
              <w:t>Izpildes termiņš: Regulāri.</w:t>
            </w:r>
          </w:p>
          <w:p w14:paraId="00B9D8C3" w14:textId="1140DEC1" w:rsidR="009B2DCB" w:rsidRPr="00DF40F2" w:rsidRDefault="009B2DCB" w:rsidP="00AE5356">
            <w:pPr>
              <w:contextualSpacing/>
              <w:jc w:val="both"/>
            </w:pPr>
          </w:p>
          <w:p w14:paraId="624A230A" w14:textId="6D93381D" w:rsidR="009B2DCB" w:rsidRPr="00DF40F2" w:rsidRDefault="009B2DCB" w:rsidP="00AE5356">
            <w:pPr>
              <w:jc w:val="both"/>
            </w:pPr>
            <w:r w:rsidRPr="00DF40F2">
              <w:t>1.3.6. Uzdevums/pasākums: Veicināt dažādu institūciju iesaisti Latvijas iedzīvotāju finanšu pratības stratēģijas īstenošanā, lai palielinātu finanšu pratības aktivitāšu skaitu un uzlabotu kopējo iedzīvotāju finanšu pratības līmeni;</w:t>
            </w:r>
          </w:p>
          <w:p w14:paraId="538B36E4" w14:textId="77777777" w:rsidR="009B2DCB" w:rsidRPr="00DF40F2" w:rsidRDefault="009B2DCB" w:rsidP="00AE5356">
            <w:pPr>
              <w:jc w:val="both"/>
            </w:pPr>
            <w:r w:rsidRPr="00DF40F2">
              <w:t>Darbības rezultāts: Palielināta institūciju iesaiste finanšu pratības stratēģijas īstenošanā.</w:t>
            </w:r>
          </w:p>
          <w:p w14:paraId="1EC5A2BF" w14:textId="77777777" w:rsidR="009B2DCB" w:rsidRPr="00DF40F2" w:rsidRDefault="009B2DCB" w:rsidP="00AE5356">
            <w:pPr>
              <w:jc w:val="both"/>
            </w:pPr>
            <w:r w:rsidRPr="00DF40F2">
              <w:t>Pieaudzis finanšu pratības aktivitāšu skaits.</w:t>
            </w:r>
          </w:p>
          <w:p w14:paraId="1F012BAA" w14:textId="77777777" w:rsidR="009B2DCB" w:rsidRPr="00DF40F2" w:rsidRDefault="009B2DCB" w:rsidP="00AE5356">
            <w:pPr>
              <w:jc w:val="both"/>
            </w:pPr>
            <w:r w:rsidRPr="00DF40F2">
              <w:t>Finanšu pratība iekļauta institūciju gada plānos un budžetos.</w:t>
            </w:r>
          </w:p>
          <w:p w14:paraId="0AF4EE08" w14:textId="77777777" w:rsidR="009B2DCB" w:rsidRPr="00DF40F2" w:rsidRDefault="009B2DCB" w:rsidP="00AE5356">
            <w:pPr>
              <w:jc w:val="both"/>
            </w:pPr>
            <w:r w:rsidRPr="00DF40F2">
              <w:t>Tiek ieviesta finanšu pratības stratēģija 2021.-2027. gadam.</w:t>
            </w:r>
          </w:p>
          <w:p w14:paraId="512F212E" w14:textId="715C5124" w:rsidR="009B2DCB" w:rsidRPr="00DF40F2" w:rsidRDefault="009B2DCB" w:rsidP="00AE5356">
            <w:pPr>
              <w:jc w:val="both"/>
            </w:pPr>
            <w:r w:rsidRPr="00DF40F2">
              <w:t>Institūcijas iesaistās finanšu pratības darba grupā;</w:t>
            </w:r>
          </w:p>
          <w:p w14:paraId="2707D7DD" w14:textId="77777777" w:rsidR="009B2DCB" w:rsidRPr="00DF40F2" w:rsidRDefault="009B2DCB" w:rsidP="00AE5356">
            <w:pPr>
              <w:jc w:val="both"/>
            </w:pPr>
            <w:r w:rsidRPr="00DF40F2">
              <w:t xml:space="preserve">Rezultatīvais rādītājs: Pieaug institūciju kopprojektu un pašu iniciatīvu skaits finanšu pratības jomā.  </w:t>
            </w:r>
          </w:p>
          <w:p w14:paraId="72F10EB3" w14:textId="77777777" w:rsidR="009B2DCB" w:rsidRPr="00DF40F2" w:rsidRDefault="009B2DCB" w:rsidP="00AE5356">
            <w:pPr>
              <w:jc w:val="both"/>
            </w:pPr>
            <w:r w:rsidRPr="00DF40F2">
              <w:t>Kopumā palielinājies projektu skaits finanšu pratības veicināšanai.</w:t>
            </w:r>
          </w:p>
          <w:p w14:paraId="24CDEBEE" w14:textId="77777777" w:rsidR="009B2DCB" w:rsidRPr="00DF40F2" w:rsidRDefault="009B2DCB" w:rsidP="00AE5356">
            <w:pPr>
              <w:jc w:val="both"/>
            </w:pPr>
            <w:r w:rsidRPr="00DF40F2">
              <w:t>Institūcijas iekļāvušas finanšu pratības jautājumus savos gada plānos un budžetos.</w:t>
            </w:r>
          </w:p>
          <w:p w14:paraId="098F0E80" w14:textId="408EFBD4" w:rsidR="009B2DCB" w:rsidRPr="00DF40F2" w:rsidRDefault="009B2DCB" w:rsidP="00AE5356">
            <w:pPr>
              <w:jc w:val="both"/>
            </w:pPr>
            <w:r w:rsidRPr="00DF40F2">
              <w:lastRenderedPageBreak/>
              <w:t>Iedzīvotāju finanšu pratības indekss pieaug;</w:t>
            </w:r>
          </w:p>
          <w:p w14:paraId="502BF32E" w14:textId="77777777" w:rsidR="009B2DCB" w:rsidRPr="00DF40F2" w:rsidRDefault="009B2DCB" w:rsidP="00AE5356">
            <w:pPr>
              <w:jc w:val="both"/>
            </w:pPr>
            <w:r w:rsidRPr="00DF40F2">
              <w:t>Atbildīgā institūcija: FKTK;</w:t>
            </w:r>
          </w:p>
          <w:p w14:paraId="411D0BC5" w14:textId="1F995FAA" w:rsidR="009B2DCB" w:rsidRPr="00DF40F2" w:rsidRDefault="009B2DCB" w:rsidP="00AE5356">
            <w:pPr>
              <w:jc w:val="both"/>
            </w:pPr>
            <w:r w:rsidRPr="00DF40F2">
              <w:t>Līdzatbildīgā institūcija: IZM, LM, FM, EM, VID, FID, FNA, TM, LB, FNA, PTAC, LAA;</w:t>
            </w:r>
          </w:p>
          <w:p w14:paraId="1328CF0C" w14:textId="3367BA16" w:rsidR="009B2DCB" w:rsidRPr="00DF40F2" w:rsidRDefault="009B2DCB" w:rsidP="00AE5356">
            <w:pPr>
              <w:contextualSpacing/>
              <w:jc w:val="both"/>
            </w:pPr>
            <w:r w:rsidRPr="00DF40F2">
              <w:t>Izpildes termiņš: Regulāri.</w:t>
            </w:r>
          </w:p>
          <w:p w14:paraId="3D2DFDB6" w14:textId="56875012" w:rsidR="009B2DCB" w:rsidRPr="00DF40F2" w:rsidRDefault="009B2DCB" w:rsidP="00AE5356">
            <w:pPr>
              <w:contextualSpacing/>
              <w:jc w:val="both"/>
            </w:pPr>
          </w:p>
        </w:tc>
        <w:tc>
          <w:tcPr>
            <w:tcW w:w="2835" w:type="dxa"/>
            <w:tcBorders>
              <w:left w:val="single" w:sz="6" w:space="0" w:color="000000" w:themeColor="text1"/>
              <w:bottom w:val="single" w:sz="4" w:space="0" w:color="auto"/>
              <w:right w:val="single" w:sz="6" w:space="0" w:color="000000" w:themeColor="text1"/>
            </w:tcBorders>
          </w:tcPr>
          <w:p w14:paraId="286B14F2" w14:textId="4B4C26C5" w:rsidR="009B2DCB" w:rsidRPr="00DF40F2" w:rsidRDefault="00A90AFF" w:rsidP="00AE5356">
            <w:pPr>
              <w:pStyle w:val="naisc"/>
              <w:spacing w:before="0" w:after="0"/>
              <w:jc w:val="left"/>
            </w:pPr>
            <w:r w:rsidRPr="00DF40F2">
              <w:lastRenderedPageBreak/>
              <w:t>Ņemts vērā</w:t>
            </w:r>
            <w:r w:rsidR="00FA7536">
              <w:t>.</w:t>
            </w:r>
          </w:p>
        </w:tc>
        <w:tc>
          <w:tcPr>
            <w:tcW w:w="3544" w:type="dxa"/>
            <w:tcBorders>
              <w:top w:val="single" w:sz="4" w:space="0" w:color="auto"/>
              <w:left w:val="single" w:sz="4" w:space="0" w:color="auto"/>
              <w:bottom w:val="single" w:sz="4" w:space="0" w:color="auto"/>
            </w:tcBorders>
          </w:tcPr>
          <w:p w14:paraId="2F0F5BFC" w14:textId="77777777" w:rsidR="009B2DCB" w:rsidRPr="00AE5356" w:rsidRDefault="009157BA" w:rsidP="00AE5356">
            <w:pPr>
              <w:jc w:val="both"/>
              <w:rPr>
                <w:color w:val="000000"/>
              </w:rPr>
            </w:pPr>
            <w:r>
              <w:rPr>
                <w:color w:val="000000"/>
              </w:rPr>
              <w:t>Plāns papildināts ar jaunu uzdevumu.</w:t>
            </w:r>
          </w:p>
        </w:tc>
      </w:tr>
      <w:tr w:rsidR="009B2DCB" w:rsidRPr="00AE5356" w14:paraId="7E364BE7" w14:textId="77777777" w:rsidTr="000E70CD">
        <w:tc>
          <w:tcPr>
            <w:tcW w:w="944" w:type="dxa"/>
            <w:tcBorders>
              <w:left w:val="single" w:sz="6" w:space="0" w:color="000000" w:themeColor="text1"/>
              <w:bottom w:val="single" w:sz="4" w:space="0" w:color="auto"/>
              <w:right w:val="single" w:sz="6" w:space="0" w:color="000000" w:themeColor="text1"/>
            </w:tcBorders>
          </w:tcPr>
          <w:p w14:paraId="2B918546"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8B28A9A" w14:textId="019D6E69" w:rsidR="009B2DCB" w:rsidRPr="00AE5356" w:rsidRDefault="009B2DCB" w:rsidP="00AE5356">
            <w:pPr>
              <w:pStyle w:val="naisc"/>
              <w:spacing w:before="0" w:after="0"/>
              <w:jc w:val="left"/>
            </w:pPr>
            <w:r w:rsidRPr="00AE5356">
              <w:t>Uzdevums 2.1.4.</w:t>
            </w:r>
          </w:p>
        </w:tc>
        <w:tc>
          <w:tcPr>
            <w:tcW w:w="4819" w:type="dxa"/>
            <w:gridSpan w:val="2"/>
            <w:tcBorders>
              <w:left w:val="single" w:sz="6" w:space="0" w:color="000000" w:themeColor="text1"/>
              <w:bottom w:val="single" w:sz="4" w:space="0" w:color="auto"/>
              <w:right w:val="single" w:sz="6" w:space="0" w:color="000000" w:themeColor="text1"/>
            </w:tcBorders>
          </w:tcPr>
          <w:p w14:paraId="447BE3F4" w14:textId="58B520B2" w:rsidR="009B2DCB" w:rsidRPr="00AE5356" w:rsidRDefault="009B2DCB" w:rsidP="00AE5356">
            <w:pPr>
              <w:jc w:val="both"/>
              <w:rPr>
                <w:lang w:eastAsia="en-GB"/>
              </w:rPr>
            </w:pPr>
            <w:r w:rsidRPr="00AE5356">
              <w:rPr>
                <w:lang w:eastAsia="en-GB"/>
              </w:rPr>
              <w:t>Komentārs: Finanšu sektora uzraudzības digitālā transformācija jau ir esošs process (vismaz FKTK, īpaši sadarbojoties ar ECB), kurš tiek nepārtraukti attīstīts un pilnveidots. Kāds mērķis ir šī uzdevuma iekļaušanai plānā un kāds ir paredzētais iesaistīto iestāžu pienesums.</w:t>
            </w:r>
          </w:p>
        </w:tc>
        <w:tc>
          <w:tcPr>
            <w:tcW w:w="2835" w:type="dxa"/>
            <w:tcBorders>
              <w:left w:val="single" w:sz="6" w:space="0" w:color="000000" w:themeColor="text1"/>
              <w:bottom w:val="single" w:sz="4" w:space="0" w:color="auto"/>
              <w:right w:val="single" w:sz="6" w:space="0" w:color="000000" w:themeColor="text1"/>
            </w:tcBorders>
          </w:tcPr>
          <w:p w14:paraId="5FE4CF58" w14:textId="5DF59AAF" w:rsidR="009B2DCB" w:rsidRPr="00AE5356" w:rsidRDefault="00153607" w:rsidP="00AE5356">
            <w:pPr>
              <w:pStyle w:val="naisc"/>
              <w:spacing w:before="0" w:after="0"/>
              <w:jc w:val="left"/>
            </w:pPr>
            <w:r>
              <w:t xml:space="preserve">Ņemts vērā. </w:t>
            </w:r>
          </w:p>
        </w:tc>
        <w:tc>
          <w:tcPr>
            <w:tcW w:w="3544" w:type="dxa"/>
            <w:tcBorders>
              <w:top w:val="single" w:sz="4" w:space="0" w:color="auto"/>
              <w:left w:val="single" w:sz="4" w:space="0" w:color="auto"/>
              <w:bottom w:val="single" w:sz="4" w:space="0" w:color="auto"/>
            </w:tcBorders>
          </w:tcPr>
          <w:p w14:paraId="67F35CA6" w14:textId="1A39BA85" w:rsidR="009B2DCB" w:rsidRPr="00AE5356" w:rsidRDefault="00153607" w:rsidP="00AE5356">
            <w:pPr>
              <w:jc w:val="both"/>
              <w:rPr>
                <w:color w:val="000000"/>
              </w:rPr>
            </w:pPr>
            <w:r>
              <w:rPr>
                <w:color w:val="000000"/>
              </w:rPr>
              <w:t>Uzdevums dzēsts.</w:t>
            </w:r>
          </w:p>
        </w:tc>
      </w:tr>
      <w:tr w:rsidR="009B2DCB" w:rsidRPr="00AE5356" w14:paraId="2B299E08" w14:textId="77777777" w:rsidTr="000E70CD">
        <w:tc>
          <w:tcPr>
            <w:tcW w:w="944" w:type="dxa"/>
            <w:tcBorders>
              <w:left w:val="single" w:sz="6" w:space="0" w:color="000000" w:themeColor="text1"/>
              <w:bottom w:val="single" w:sz="4" w:space="0" w:color="auto"/>
              <w:right w:val="single" w:sz="6" w:space="0" w:color="000000" w:themeColor="text1"/>
            </w:tcBorders>
          </w:tcPr>
          <w:p w14:paraId="2CE4F0D4"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65F7CCC1"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799FE090" w14:textId="77777777" w:rsidR="009B2DCB" w:rsidRPr="00DF40F2" w:rsidRDefault="009B2DCB" w:rsidP="00AE5356">
            <w:pPr>
              <w:jc w:val="both"/>
            </w:pPr>
            <w:r w:rsidRPr="00DF40F2">
              <w:t>Papildināt 2.3. sadaļu ar šādu uzdevumu:</w:t>
            </w:r>
          </w:p>
          <w:p w14:paraId="0576DDBE" w14:textId="77777777" w:rsidR="009B2DCB" w:rsidRPr="00DF40F2" w:rsidRDefault="009B2DCB" w:rsidP="00AE5356">
            <w:pPr>
              <w:jc w:val="both"/>
            </w:pPr>
            <w:r w:rsidRPr="00DF40F2">
              <w:t>Uzdevums/pasākums: Veicināt FinTech uzņēmumu kiberrisku vadības kultūru;</w:t>
            </w:r>
          </w:p>
          <w:p w14:paraId="3C256504" w14:textId="77777777" w:rsidR="009B2DCB" w:rsidRPr="00DF40F2" w:rsidRDefault="009B2DCB" w:rsidP="00AE5356">
            <w:pPr>
              <w:jc w:val="both"/>
            </w:pPr>
            <w:r w:rsidRPr="00DF40F2">
              <w:t>Darbības rezultāts: Veicināt digitālo drošību.;</w:t>
            </w:r>
          </w:p>
          <w:p w14:paraId="01A11DA1" w14:textId="77777777" w:rsidR="009B2DCB" w:rsidRPr="00DF40F2" w:rsidRDefault="009B2DCB" w:rsidP="00AE5356">
            <w:pPr>
              <w:jc w:val="both"/>
            </w:pPr>
            <w:r w:rsidRPr="00DF40F2">
              <w:t>Rezultatīvais rādītājs: Veikti informēšanas pasākumi..</w:t>
            </w:r>
          </w:p>
          <w:p w14:paraId="1CFA4E6E" w14:textId="77777777" w:rsidR="009B2DCB" w:rsidRPr="00DF40F2" w:rsidRDefault="009B2DCB" w:rsidP="00AE5356">
            <w:pPr>
              <w:jc w:val="both"/>
            </w:pPr>
            <w:r w:rsidRPr="00DF40F2">
              <w:t>Atbildīgā institūcija: FM;</w:t>
            </w:r>
          </w:p>
          <w:p w14:paraId="499F9A7E" w14:textId="77777777" w:rsidR="009B2DCB" w:rsidRPr="00DF40F2" w:rsidRDefault="009B2DCB" w:rsidP="00AE5356">
            <w:pPr>
              <w:jc w:val="both"/>
            </w:pPr>
            <w:r w:rsidRPr="00DF40F2">
              <w:t>Līdzatbildīgā institūcija: LFNA, LAFPA, FKTK, CERT;</w:t>
            </w:r>
          </w:p>
          <w:p w14:paraId="6E76FCD9" w14:textId="0AF6B286" w:rsidR="009B2DCB" w:rsidRPr="00AE5356" w:rsidRDefault="009B2DCB" w:rsidP="00AE5356">
            <w:pPr>
              <w:contextualSpacing/>
              <w:jc w:val="both"/>
            </w:pPr>
            <w:r w:rsidRPr="00DF40F2">
              <w:t>Izpildes termiņš: Pastāvīgi.</w:t>
            </w:r>
          </w:p>
        </w:tc>
        <w:tc>
          <w:tcPr>
            <w:tcW w:w="2835" w:type="dxa"/>
            <w:tcBorders>
              <w:left w:val="single" w:sz="6" w:space="0" w:color="000000" w:themeColor="text1"/>
              <w:bottom w:val="single" w:sz="4" w:space="0" w:color="auto"/>
              <w:right w:val="single" w:sz="6" w:space="0" w:color="000000" w:themeColor="text1"/>
            </w:tcBorders>
          </w:tcPr>
          <w:p w14:paraId="65CF10E2" w14:textId="73CF752F" w:rsidR="009B2DCB" w:rsidRPr="00AE5356" w:rsidRDefault="004B7CB6" w:rsidP="00AE5356">
            <w:pPr>
              <w:pStyle w:val="naisc"/>
              <w:spacing w:before="0" w:after="0"/>
              <w:jc w:val="left"/>
            </w:pPr>
            <w:r w:rsidRPr="00AE5356">
              <w:t>Ņemts vērā.</w:t>
            </w:r>
          </w:p>
        </w:tc>
        <w:tc>
          <w:tcPr>
            <w:tcW w:w="3544" w:type="dxa"/>
            <w:tcBorders>
              <w:top w:val="single" w:sz="4" w:space="0" w:color="auto"/>
              <w:left w:val="single" w:sz="4" w:space="0" w:color="auto"/>
              <w:bottom w:val="single" w:sz="4" w:space="0" w:color="auto"/>
            </w:tcBorders>
          </w:tcPr>
          <w:p w14:paraId="42E97877" w14:textId="77777777" w:rsidR="009B2DCB" w:rsidRDefault="00153607" w:rsidP="00AE5356">
            <w:pPr>
              <w:jc w:val="both"/>
              <w:rPr>
                <w:color w:val="000000"/>
              </w:rPr>
            </w:pPr>
            <w:r>
              <w:rPr>
                <w:color w:val="000000"/>
              </w:rPr>
              <w:t>Pievienots uzdevums 2.3.2.</w:t>
            </w:r>
            <w:r w:rsidR="00F07240">
              <w:rPr>
                <w:color w:val="000000"/>
              </w:rPr>
              <w:t>:</w:t>
            </w:r>
          </w:p>
          <w:p w14:paraId="53C79846" w14:textId="01C02F6C" w:rsidR="00F07240" w:rsidRPr="00AE5356" w:rsidRDefault="00F07240" w:rsidP="00AE5356">
            <w:pPr>
              <w:jc w:val="both"/>
              <w:rPr>
                <w:color w:val="000000"/>
              </w:rPr>
            </w:pPr>
            <w:r w:rsidRPr="00F07240">
              <w:rPr>
                <w:color w:val="000000"/>
              </w:rPr>
              <w:t>Veicināt FinTech uzņēmumu kiberrisku vadības kultūru.</w:t>
            </w:r>
          </w:p>
        </w:tc>
      </w:tr>
      <w:tr w:rsidR="009B2DCB" w:rsidRPr="00AE5356" w14:paraId="5325D39B" w14:textId="77777777" w:rsidTr="000E70CD">
        <w:tc>
          <w:tcPr>
            <w:tcW w:w="944" w:type="dxa"/>
            <w:tcBorders>
              <w:left w:val="single" w:sz="6" w:space="0" w:color="000000" w:themeColor="text1"/>
              <w:bottom w:val="single" w:sz="4" w:space="0" w:color="auto"/>
              <w:right w:val="single" w:sz="6" w:space="0" w:color="000000" w:themeColor="text1"/>
            </w:tcBorders>
          </w:tcPr>
          <w:p w14:paraId="76A06242"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1E67784"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0183A80C" w14:textId="274033E5" w:rsidR="009B2DCB" w:rsidRPr="00AE5356" w:rsidRDefault="009B2DCB" w:rsidP="00AE5356">
            <w:pPr>
              <w:contextualSpacing/>
              <w:jc w:val="both"/>
            </w:pPr>
            <w:r w:rsidRPr="00DF40F2">
              <w:t>Pievienot FKTK kā līdzatbildīgo izpildītāju abās 3.2.1. uzdevuma daļās.</w:t>
            </w:r>
          </w:p>
        </w:tc>
        <w:tc>
          <w:tcPr>
            <w:tcW w:w="2835" w:type="dxa"/>
            <w:tcBorders>
              <w:left w:val="single" w:sz="6" w:space="0" w:color="000000" w:themeColor="text1"/>
              <w:bottom w:val="single" w:sz="4" w:space="0" w:color="auto"/>
              <w:right w:val="single" w:sz="6" w:space="0" w:color="000000" w:themeColor="text1"/>
            </w:tcBorders>
          </w:tcPr>
          <w:p w14:paraId="32D28478" w14:textId="4D5DCE5F" w:rsidR="009B2DCB" w:rsidRPr="00AE5356" w:rsidRDefault="009157BA" w:rsidP="00AE5356">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5130AB3B" w14:textId="77777777" w:rsidR="009B2DCB" w:rsidRPr="00AE5356" w:rsidRDefault="009157BA" w:rsidP="00AE5356">
            <w:pPr>
              <w:jc w:val="both"/>
              <w:rPr>
                <w:color w:val="000000"/>
              </w:rPr>
            </w:pPr>
            <w:r>
              <w:rPr>
                <w:color w:val="000000"/>
              </w:rPr>
              <w:t>FKTK iekļauta kā līdzatbildīgā institūcija.</w:t>
            </w:r>
          </w:p>
        </w:tc>
      </w:tr>
      <w:tr w:rsidR="009B2DCB" w:rsidRPr="00AE5356" w14:paraId="6C87DAD7" w14:textId="77777777" w:rsidTr="000E70CD">
        <w:tc>
          <w:tcPr>
            <w:tcW w:w="944" w:type="dxa"/>
            <w:tcBorders>
              <w:left w:val="single" w:sz="6" w:space="0" w:color="000000" w:themeColor="text1"/>
              <w:bottom w:val="single" w:sz="4" w:space="0" w:color="auto"/>
              <w:right w:val="single" w:sz="6" w:space="0" w:color="000000" w:themeColor="text1"/>
            </w:tcBorders>
          </w:tcPr>
          <w:p w14:paraId="3A219D61"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369F53E0"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02248571" w14:textId="77777777" w:rsidR="009B2DCB" w:rsidRPr="00AE5356" w:rsidRDefault="009B2DCB" w:rsidP="00AE5356">
            <w:pPr>
              <w:contextualSpacing/>
              <w:jc w:val="both"/>
            </w:pPr>
            <w:r w:rsidRPr="001C6386">
              <w:t>Priekšlikums par uzdevuma 1.2.4. formulēšanu: – Valsts uzņēmumu sagatavošana kotēšanai biržā.</w:t>
            </w:r>
          </w:p>
          <w:p w14:paraId="196196B6" w14:textId="77777777" w:rsidR="009B2DCB" w:rsidRPr="00AE5356" w:rsidRDefault="009B2DCB" w:rsidP="00AE5356">
            <w:pPr>
              <w:contextualSpacing/>
              <w:jc w:val="both"/>
            </w:pPr>
          </w:p>
        </w:tc>
        <w:tc>
          <w:tcPr>
            <w:tcW w:w="2835" w:type="dxa"/>
            <w:tcBorders>
              <w:left w:val="single" w:sz="6" w:space="0" w:color="000000" w:themeColor="text1"/>
              <w:bottom w:val="single" w:sz="4" w:space="0" w:color="auto"/>
              <w:right w:val="single" w:sz="6" w:space="0" w:color="000000" w:themeColor="text1"/>
            </w:tcBorders>
          </w:tcPr>
          <w:p w14:paraId="4FDF91E4" w14:textId="7B4E29F3" w:rsidR="009B2DCB" w:rsidRPr="00AE5356" w:rsidRDefault="00D94934" w:rsidP="00A85B0E">
            <w:pPr>
              <w:pStyle w:val="naisc"/>
              <w:spacing w:before="0" w:after="0"/>
              <w:jc w:val="left"/>
            </w:pPr>
            <w:r>
              <w:t>Panākta vienošanās elektroniskajā saskaņošanā 14.01.2021.</w:t>
            </w:r>
          </w:p>
        </w:tc>
        <w:tc>
          <w:tcPr>
            <w:tcW w:w="3544" w:type="dxa"/>
            <w:tcBorders>
              <w:top w:val="single" w:sz="4" w:space="0" w:color="auto"/>
              <w:left w:val="single" w:sz="4" w:space="0" w:color="auto"/>
              <w:bottom w:val="single" w:sz="4" w:space="0" w:color="auto"/>
            </w:tcBorders>
          </w:tcPr>
          <w:p w14:paraId="4EECC67F" w14:textId="3ACA3442" w:rsidR="009B2DCB" w:rsidRPr="00AE5356" w:rsidRDefault="007330A9" w:rsidP="007330A9">
            <w:pPr>
              <w:jc w:val="both"/>
              <w:rPr>
                <w:color w:val="000000"/>
              </w:rPr>
            </w:pPr>
            <w:r>
              <w:rPr>
                <w:color w:val="000000"/>
              </w:rPr>
              <w:t xml:space="preserve">Uzdevums saskaņots ar PKC un iekļauts esošajā PKC plānā </w:t>
            </w:r>
            <w:r w:rsidR="00FB2248">
              <w:rPr>
                <w:color w:val="000000"/>
              </w:rPr>
              <w:t xml:space="preserve">valsts </w:t>
            </w:r>
            <w:r>
              <w:rPr>
                <w:color w:val="000000"/>
              </w:rPr>
              <w:t>uzņēmumu kotācijai biržā.</w:t>
            </w:r>
          </w:p>
        </w:tc>
      </w:tr>
      <w:tr w:rsidR="009B2DCB" w:rsidRPr="00AE5356" w14:paraId="5BFFCBB1" w14:textId="77777777" w:rsidTr="000E70CD">
        <w:tc>
          <w:tcPr>
            <w:tcW w:w="944" w:type="dxa"/>
            <w:tcBorders>
              <w:left w:val="single" w:sz="6" w:space="0" w:color="000000" w:themeColor="text1"/>
              <w:bottom w:val="single" w:sz="4" w:space="0" w:color="auto"/>
              <w:right w:val="single" w:sz="6" w:space="0" w:color="000000" w:themeColor="text1"/>
            </w:tcBorders>
          </w:tcPr>
          <w:p w14:paraId="7D8997BE"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228F495D"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24B5C67C" w14:textId="77777777" w:rsidR="009B2DCB" w:rsidRPr="00DF40F2" w:rsidRDefault="009B2DCB" w:rsidP="00AE5356">
            <w:pPr>
              <w:jc w:val="both"/>
            </w:pPr>
            <w:r w:rsidRPr="00DF40F2">
              <w:t>Papildināt 3.2. sadaļu ar šādu uzdevumu:</w:t>
            </w:r>
          </w:p>
          <w:p w14:paraId="6C8C51B8" w14:textId="77777777" w:rsidR="009B2DCB" w:rsidRPr="00DF40F2" w:rsidRDefault="009B2DCB" w:rsidP="00AE5356">
            <w:pPr>
              <w:jc w:val="both"/>
            </w:pPr>
            <w:r w:rsidRPr="00DF40F2">
              <w:t>Uzdevums/pasākums:</w:t>
            </w:r>
          </w:p>
          <w:p w14:paraId="5E27F568" w14:textId="77777777" w:rsidR="009B2DCB" w:rsidRPr="00DF40F2" w:rsidRDefault="009B2DCB" w:rsidP="00AE5356">
            <w:pPr>
              <w:jc w:val="both"/>
            </w:pPr>
            <w:r w:rsidRPr="00DF40F2">
              <w:t>Darbības rezultāts:</w:t>
            </w:r>
          </w:p>
          <w:p w14:paraId="3DFE7079" w14:textId="77777777" w:rsidR="009B2DCB" w:rsidRPr="00DF40F2" w:rsidRDefault="009B2DCB" w:rsidP="00AE5356">
            <w:pPr>
              <w:jc w:val="both"/>
            </w:pPr>
            <w:r w:rsidRPr="00DF40F2">
              <w:lastRenderedPageBreak/>
              <w:t>Rezultatīvais rādītājs: Izveidot rekomendējošas vadlīnijas, skaidrojot EcoLable.</w:t>
            </w:r>
          </w:p>
          <w:p w14:paraId="652D95B1" w14:textId="77777777" w:rsidR="009B2DCB" w:rsidRPr="00DF40F2" w:rsidRDefault="009B2DCB" w:rsidP="00AE5356">
            <w:pPr>
              <w:jc w:val="both"/>
            </w:pPr>
            <w:r w:rsidRPr="00DF40F2">
              <w:t>Atbildīgā institūcija: FM;</w:t>
            </w:r>
          </w:p>
          <w:p w14:paraId="20D488EF" w14:textId="77777777" w:rsidR="009B2DCB" w:rsidRPr="00DF40F2" w:rsidRDefault="009B2DCB" w:rsidP="00AE5356">
            <w:pPr>
              <w:jc w:val="both"/>
            </w:pPr>
            <w:r w:rsidRPr="00DF40F2">
              <w:t>Līdzatbildīgā institūcija: EM, ZM, VARAM, SM, FKTK,  LFNA, LAA, LVCA, NASDQ Riga;</w:t>
            </w:r>
          </w:p>
          <w:p w14:paraId="6DFE39A4" w14:textId="1496064E" w:rsidR="009B2DCB" w:rsidRPr="00AE5356" w:rsidRDefault="009B2DCB" w:rsidP="00AE5356">
            <w:pPr>
              <w:contextualSpacing/>
              <w:jc w:val="both"/>
            </w:pPr>
            <w:r w:rsidRPr="00DF40F2">
              <w:t>Izpildes termiņš: 31.12.2021.</w:t>
            </w:r>
          </w:p>
        </w:tc>
        <w:tc>
          <w:tcPr>
            <w:tcW w:w="2835" w:type="dxa"/>
            <w:tcBorders>
              <w:left w:val="single" w:sz="6" w:space="0" w:color="000000" w:themeColor="text1"/>
              <w:bottom w:val="single" w:sz="4" w:space="0" w:color="auto"/>
              <w:right w:val="single" w:sz="6" w:space="0" w:color="000000" w:themeColor="text1"/>
            </w:tcBorders>
          </w:tcPr>
          <w:p w14:paraId="4CF64602" w14:textId="73BAC95B" w:rsidR="009B2DCB" w:rsidRPr="00AE5356" w:rsidRDefault="00D94934" w:rsidP="00A85B0E">
            <w:pPr>
              <w:pStyle w:val="naisc"/>
              <w:spacing w:before="0" w:after="0"/>
              <w:jc w:val="left"/>
            </w:pPr>
            <w:r>
              <w:lastRenderedPageBreak/>
              <w:t>Panākta vienošanās elektroniskajā saskaņošanā 14.01.2021.</w:t>
            </w:r>
          </w:p>
        </w:tc>
        <w:tc>
          <w:tcPr>
            <w:tcW w:w="3544" w:type="dxa"/>
            <w:tcBorders>
              <w:top w:val="single" w:sz="4" w:space="0" w:color="auto"/>
              <w:left w:val="single" w:sz="4" w:space="0" w:color="auto"/>
              <w:bottom w:val="single" w:sz="4" w:space="0" w:color="auto"/>
            </w:tcBorders>
          </w:tcPr>
          <w:p w14:paraId="1EE89744" w14:textId="77777777" w:rsidR="009B2DCB" w:rsidRPr="00AE5356" w:rsidRDefault="00C411BF" w:rsidP="00AE5356">
            <w:pPr>
              <w:jc w:val="both"/>
              <w:rPr>
                <w:color w:val="000000"/>
              </w:rPr>
            </w:pPr>
            <w:r>
              <w:rPr>
                <w:color w:val="000000"/>
              </w:rPr>
              <w:t xml:space="preserve">FM </w:t>
            </w:r>
            <w:r w:rsidR="00E24112">
              <w:rPr>
                <w:color w:val="000000"/>
              </w:rPr>
              <w:t xml:space="preserve">kā </w:t>
            </w:r>
            <w:r>
              <w:rPr>
                <w:color w:val="000000"/>
              </w:rPr>
              <w:t>politikas veidotāj</w:t>
            </w:r>
            <w:r w:rsidR="00E24112">
              <w:rPr>
                <w:color w:val="000000"/>
              </w:rPr>
              <w:t>am primārais ir nodrošināt nepieciešamās sistēmas ieviešanu un normatīvo n</w:t>
            </w:r>
            <w:r>
              <w:rPr>
                <w:color w:val="000000"/>
              </w:rPr>
              <w:t xml:space="preserve">ormatīvo aktu </w:t>
            </w:r>
            <w:r>
              <w:rPr>
                <w:color w:val="000000"/>
              </w:rPr>
              <w:lastRenderedPageBreak/>
              <w:t>izstrādi. Rekomendējoša</w:t>
            </w:r>
            <w:r w:rsidR="00E24112">
              <w:rPr>
                <w:color w:val="000000"/>
              </w:rPr>
              <w:t xml:space="preserve"> rakstura vadlīnijām ir tikai ieteikuma rakstus, kas nenodrošinās nepieciešamās sistēmas izveidi.</w:t>
            </w:r>
          </w:p>
        </w:tc>
      </w:tr>
      <w:tr w:rsidR="009B2DCB" w:rsidRPr="00AE5356" w14:paraId="38916D88" w14:textId="77777777" w:rsidTr="000E70CD">
        <w:tc>
          <w:tcPr>
            <w:tcW w:w="944" w:type="dxa"/>
            <w:tcBorders>
              <w:left w:val="single" w:sz="6" w:space="0" w:color="000000" w:themeColor="text1"/>
              <w:bottom w:val="single" w:sz="4" w:space="0" w:color="auto"/>
              <w:right w:val="single" w:sz="6" w:space="0" w:color="000000" w:themeColor="text1"/>
            </w:tcBorders>
          </w:tcPr>
          <w:p w14:paraId="7F3623C8"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5B07B1BB"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513A395C" w14:textId="550AB92B" w:rsidR="009B2DCB" w:rsidRPr="00DF40F2" w:rsidRDefault="009B2DCB" w:rsidP="00AE5356">
            <w:pPr>
              <w:contextualSpacing/>
              <w:jc w:val="both"/>
            </w:pPr>
            <w:r w:rsidRPr="00DF40F2">
              <w:t>Papildināt ilustrāciju 13 ar: Alternatīvo ieguldījumu fondi.</w:t>
            </w:r>
          </w:p>
        </w:tc>
        <w:tc>
          <w:tcPr>
            <w:tcW w:w="2835" w:type="dxa"/>
            <w:tcBorders>
              <w:left w:val="single" w:sz="6" w:space="0" w:color="000000" w:themeColor="text1"/>
              <w:bottom w:val="single" w:sz="4" w:space="0" w:color="auto"/>
              <w:right w:val="single" w:sz="6" w:space="0" w:color="000000" w:themeColor="text1"/>
            </w:tcBorders>
          </w:tcPr>
          <w:p w14:paraId="41B763E0" w14:textId="6AE7C186" w:rsidR="009B2DCB" w:rsidRPr="00AE5356" w:rsidRDefault="004B7CB6" w:rsidP="00DF40F2">
            <w:pPr>
              <w:pStyle w:val="naisc"/>
              <w:spacing w:before="0" w:after="0"/>
              <w:jc w:val="left"/>
            </w:pPr>
            <w:r w:rsidRPr="00AE5356">
              <w:t>Ņemts vērā.</w:t>
            </w:r>
          </w:p>
        </w:tc>
        <w:tc>
          <w:tcPr>
            <w:tcW w:w="3544" w:type="dxa"/>
            <w:tcBorders>
              <w:top w:val="single" w:sz="4" w:space="0" w:color="auto"/>
              <w:left w:val="single" w:sz="4" w:space="0" w:color="auto"/>
              <w:bottom w:val="single" w:sz="4" w:space="0" w:color="auto"/>
            </w:tcBorders>
          </w:tcPr>
          <w:p w14:paraId="337F5FF8" w14:textId="66008745" w:rsidR="009B2DCB" w:rsidRPr="00AE5356" w:rsidRDefault="00E24112" w:rsidP="00AE5356">
            <w:pPr>
              <w:jc w:val="both"/>
              <w:rPr>
                <w:color w:val="000000"/>
              </w:rPr>
            </w:pPr>
            <w:r>
              <w:rPr>
                <w:color w:val="000000"/>
              </w:rPr>
              <w:t>Ilustrācija precizēta</w:t>
            </w:r>
            <w:r w:rsidR="00111FC3">
              <w:rPr>
                <w:color w:val="000000"/>
              </w:rPr>
              <w:t>, pievienojot elementu ‘’riska investori’’</w:t>
            </w:r>
          </w:p>
        </w:tc>
      </w:tr>
      <w:tr w:rsidR="009B2DCB" w:rsidRPr="00AE5356" w14:paraId="07932E8B" w14:textId="77777777" w:rsidTr="000E70CD">
        <w:tc>
          <w:tcPr>
            <w:tcW w:w="944" w:type="dxa"/>
            <w:tcBorders>
              <w:left w:val="single" w:sz="6" w:space="0" w:color="000000" w:themeColor="text1"/>
              <w:bottom w:val="single" w:sz="4" w:space="0" w:color="auto"/>
              <w:right w:val="single" w:sz="6" w:space="0" w:color="000000" w:themeColor="text1"/>
            </w:tcBorders>
          </w:tcPr>
          <w:p w14:paraId="35CBE53F" w14:textId="77777777" w:rsidR="009B2DCB" w:rsidRPr="00DF40F2"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6A2665FF" w14:textId="77777777" w:rsidR="009B2DCB" w:rsidRPr="00DF40F2" w:rsidRDefault="009B2DCB" w:rsidP="00AE5356">
            <w:pPr>
              <w:pStyle w:val="naisc"/>
              <w:spacing w:before="0" w:after="0"/>
              <w:jc w:val="left"/>
            </w:pPr>
          </w:p>
        </w:tc>
        <w:tc>
          <w:tcPr>
            <w:tcW w:w="4819" w:type="dxa"/>
            <w:gridSpan w:val="2"/>
            <w:tcBorders>
              <w:left w:val="single" w:sz="6" w:space="0" w:color="000000" w:themeColor="text1"/>
              <w:bottom w:val="single" w:sz="4" w:space="0" w:color="auto"/>
              <w:right w:val="single" w:sz="6" w:space="0" w:color="000000" w:themeColor="text1"/>
            </w:tcBorders>
          </w:tcPr>
          <w:p w14:paraId="5E23C5BF" w14:textId="10E3FD73" w:rsidR="009B2DCB" w:rsidRPr="00DF40F2" w:rsidRDefault="009B2DCB" w:rsidP="00AE5356">
            <w:pPr>
              <w:contextualSpacing/>
              <w:jc w:val="both"/>
            </w:pPr>
            <w:r w:rsidRPr="00DF40F2">
              <w:t>41. lpp., Piedāvājam lietot jēdziena “habs” vietā “centrs</w:t>
            </w:r>
          </w:p>
        </w:tc>
        <w:tc>
          <w:tcPr>
            <w:tcW w:w="2835" w:type="dxa"/>
            <w:tcBorders>
              <w:left w:val="single" w:sz="6" w:space="0" w:color="000000" w:themeColor="text1"/>
              <w:bottom w:val="single" w:sz="4" w:space="0" w:color="auto"/>
              <w:right w:val="single" w:sz="6" w:space="0" w:color="000000" w:themeColor="text1"/>
            </w:tcBorders>
          </w:tcPr>
          <w:p w14:paraId="1D660F9F" w14:textId="5BC458D8" w:rsidR="009B2DCB" w:rsidRPr="00DF40F2" w:rsidRDefault="00A90AFF" w:rsidP="00AE5356">
            <w:pPr>
              <w:pStyle w:val="naisc"/>
              <w:spacing w:before="0" w:after="0"/>
              <w:jc w:val="left"/>
            </w:pPr>
            <w:r w:rsidRPr="00DF40F2">
              <w:t>Ņemts vērā</w:t>
            </w:r>
            <w:r w:rsidR="009B2DCB" w:rsidRPr="00DF40F2">
              <w:t>.</w:t>
            </w:r>
          </w:p>
        </w:tc>
        <w:tc>
          <w:tcPr>
            <w:tcW w:w="3544" w:type="dxa"/>
            <w:tcBorders>
              <w:top w:val="single" w:sz="4" w:space="0" w:color="auto"/>
              <w:left w:val="single" w:sz="4" w:space="0" w:color="auto"/>
              <w:bottom w:val="single" w:sz="4" w:space="0" w:color="auto"/>
            </w:tcBorders>
          </w:tcPr>
          <w:p w14:paraId="6F721B6E" w14:textId="4B0294AC" w:rsidR="009B2DCB" w:rsidRPr="00DF40F2" w:rsidRDefault="00F82264" w:rsidP="00AE5356">
            <w:pPr>
              <w:jc w:val="both"/>
              <w:rPr>
                <w:color w:val="000000"/>
              </w:rPr>
            </w:pPr>
            <w:r>
              <w:rPr>
                <w:color w:val="000000"/>
              </w:rPr>
              <w:t>Teksts precizēts, aizvietojot vārdu ‘’habs’’ ar ‘’centrs’’.</w:t>
            </w:r>
          </w:p>
        </w:tc>
      </w:tr>
      <w:tr w:rsidR="009B2DCB" w:rsidRPr="00AE5356" w14:paraId="32B30454" w14:textId="77777777" w:rsidTr="000E70CD">
        <w:tc>
          <w:tcPr>
            <w:tcW w:w="944" w:type="dxa"/>
            <w:tcBorders>
              <w:left w:val="single" w:sz="6" w:space="0" w:color="000000" w:themeColor="text1"/>
              <w:bottom w:val="single" w:sz="4" w:space="0" w:color="auto"/>
              <w:right w:val="single" w:sz="6" w:space="0" w:color="000000" w:themeColor="text1"/>
            </w:tcBorders>
          </w:tcPr>
          <w:p w14:paraId="3505E3B5"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3DFD5D69" w14:textId="090A205B" w:rsidR="009B2DCB" w:rsidRPr="00AE5356" w:rsidRDefault="009B2DCB" w:rsidP="00AE5356">
            <w:pPr>
              <w:pStyle w:val="naisc"/>
              <w:spacing w:before="0" w:after="0"/>
              <w:jc w:val="left"/>
            </w:pPr>
            <w:r w:rsidRPr="00AE5356">
              <w:t xml:space="preserve">43. lpp., Latvijā šobrīd nepastāv speciāla fintech likumdošana, izņemot iestāžu licencēšanas un uzraudzības maksas atvieglojumus, kurus paredz Maksājumu pakalpojumu un elektroniskās naudas likums. No vienas puses, papildus regulācija būtu uzskatāma par apgrūtinājumu, tomēr Latvijas gadījumā būtu nepieciešams izstrādāt valstiska mēroga fintech attīstības politiku, kas noteiktu valsts līmeņa fintech attīstības virzienu prioritātes, kas varētu tieši stimulēt fintech </w:t>
            </w:r>
            <w:r w:rsidRPr="00AE5356">
              <w:lastRenderedPageBreak/>
              <w:t>attīstību Latvijā. Fintech nozare paļaujas uz tradicionālajiem banku pakalpojumiem, jo visām fintech kompānijām ir nepieciešams konts bankā, tādējādi padarot tās būtiski atkarīgas no banku politikas. Savukārt, ekonomiskā un sociālā vide kopumā stimulē tirgus attīstību. Fintech uzņēmumi Latvijā piedāvā pakalpojumus, kas gan papildina banku pakalpojumus, gan arī tādus, kurus tradicionāli veic arī bankas, tādējādi fintech attīstība veicina konkurenci finanšu pakalpojumu tirgū.</w:t>
            </w:r>
          </w:p>
        </w:tc>
        <w:tc>
          <w:tcPr>
            <w:tcW w:w="4819" w:type="dxa"/>
            <w:gridSpan w:val="2"/>
            <w:tcBorders>
              <w:left w:val="single" w:sz="6" w:space="0" w:color="000000" w:themeColor="text1"/>
              <w:bottom w:val="single" w:sz="4" w:space="0" w:color="auto"/>
              <w:right w:val="single" w:sz="6" w:space="0" w:color="000000" w:themeColor="text1"/>
            </w:tcBorders>
          </w:tcPr>
          <w:p w14:paraId="3BF56A00" w14:textId="015C3EB9" w:rsidR="009B2DCB" w:rsidRPr="00AE5356" w:rsidRDefault="009B2DCB" w:rsidP="00AE5356">
            <w:pPr>
              <w:contextualSpacing/>
              <w:jc w:val="both"/>
            </w:pPr>
            <w:r w:rsidRPr="00DF40F2">
              <w:lastRenderedPageBreak/>
              <w:t>Komentārs: Grūti saprast konkrētās rindkopas domu un jēgu.</w:t>
            </w:r>
          </w:p>
        </w:tc>
        <w:tc>
          <w:tcPr>
            <w:tcW w:w="2835" w:type="dxa"/>
            <w:tcBorders>
              <w:left w:val="single" w:sz="6" w:space="0" w:color="000000" w:themeColor="text1"/>
              <w:bottom w:val="single" w:sz="4" w:space="0" w:color="auto"/>
              <w:right w:val="single" w:sz="6" w:space="0" w:color="000000" w:themeColor="text1"/>
            </w:tcBorders>
          </w:tcPr>
          <w:p w14:paraId="50F04835" w14:textId="23F2ECC7" w:rsidR="009B2DCB" w:rsidRPr="00AE5356" w:rsidRDefault="00E24112" w:rsidP="00AE5356">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10926039" w14:textId="77777777" w:rsidR="009C4704" w:rsidRDefault="00893067" w:rsidP="00DF40F2">
            <w:pPr>
              <w:pStyle w:val="naisc"/>
              <w:spacing w:before="0" w:after="0"/>
              <w:jc w:val="left"/>
            </w:pPr>
            <w:r>
              <w:t>Rindkopa izteikta šādā redakcijā (51. lpp):</w:t>
            </w:r>
          </w:p>
          <w:p w14:paraId="2D0EFAAA" w14:textId="7AEDF8F5" w:rsidR="009B2DCB" w:rsidRPr="00AE5356" w:rsidRDefault="009C4704" w:rsidP="00DF40F2">
            <w:pPr>
              <w:pStyle w:val="naisc"/>
              <w:spacing w:before="0" w:after="0"/>
              <w:jc w:val="left"/>
              <w:rPr>
                <w:color w:val="000000"/>
              </w:rPr>
            </w:pPr>
            <w:r w:rsidRPr="009C4704">
              <w:t>Fintech uzņēmumu regulējuma jomā īpašs regulējums ir vienīgi attiecībā iestāžu licencēšanas un uzr</w:t>
            </w:r>
            <w:r>
              <w:t>audzības maksas atvieglojumiem</w:t>
            </w:r>
            <w:r w:rsidRPr="009C4704">
              <w:t xml:space="preserve">, kurus paredz Maksājumu pakalpojumu un elektroniskās naudas likums. No vienas puses, papildus regulācija būtu uzskatāma par apgrūtinājumu, tomēr Latvijas gadījumā būtu nepieciešams izstrādāt valstiska mēroga fintech attīstības politiku, kas noteiktu valsts līmeņa fintech attīstības virzienu prioritātes, kas varētu tieši stimulēt fintech attīstību Latvijā. Fintech uzņēmumi Latvijā piedāvā pakalpojumus, kas gan papildina banku </w:t>
            </w:r>
            <w:r w:rsidRPr="009C4704">
              <w:lastRenderedPageBreak/>
              <w:t>pakalpojumus, gan arī tādus, kurus tradicionāli veic arī bankas, tādējādi fintech attīstība veicina konkurenci finanšu pakalpojumu tirgū.</w:t>
            </w:r>
          </w:p>
        </w:tc>
      </w:tr>
      <w:tr w:rsidR="009B2DCB" w:rsidRPr="00AE5356" w14:paraId="12F092E0" w14:textId="77777777" w:rsidTr="000E70CD">
        <w:tc>
          <w:tcPr>
            <w:tcW w:w="944" w:type="dxa"/>
            <w:tcBorders>
              <w:left w:val="single" w:sz="6" w:space="0" w:color="000000" w:themeColor="text1"/>
              <w:bottom w:val="single" w:sz="4" w:space="0" w:color="auto"/>
              <w:right w:val="single" w:sz="6" w:space="0" w:color="000000" w:themeColor="text1"/>
            </w:tcBorders>
          </w:tcPr>
          <w:p w14:paraId="1B9C9476"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60F82870"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2B344C05" w14:textId="2C9FAE36" w:rsidR="009B2DCB" w:rsidRPr="00AE5356" w:rsidRDefault="009B2DCB" w:rsidP="00AE5356">
            <w:pPr>
              <w:contextualSpacing/>
              <w:jc w:val="both"/>
            </w:pPr>
            <w:r w:rsidRPr="00DF40F2">
              <w:t>44. lpp., Papildināt fintech attīstības prioritātes ar: -</w:t>
            </w:r>
            <w:r w:rsidRPr="00DF40F2">
              <w:tab/>
              <w:t>izvērtēt normatīvo aktu piemērošanas praksi citās ES valstīs.</w:t>
            </w:r>
          </w:p>
        </w:tc>
        <w:tc>
          <w:tcPr>
            <w:tcW w:w="2835" w:type="dxa"/>
            <w:tcBorders>
              <w:left w:val="single" w:sz="6" w:space="0" w:color="000000" w:themeColor="text1"/>
              <w:bottom w:val="single" w:sz="4" w:space="0" w:color="auto"/>
              <w:right w:val="single" w:sz="6" w:space="0" w:color="000000" w:themeColor="text1"/>
            </w:tcBorders>
          </w:tcPr>
          <w:p w14:paraId="043AB5A1" w14:textId="1804EB07" w:rsidR="009B2DCB" w:rsidRPr="00AE5356" w:rsidRDefault="004B7CB6" w:rsidP="00AE5356">
            <w:pPr>
              <w:pStyle w:val="naisc"/>
              <w:spacing w:before="0" w:after="0"/>
              <w:jc w:val="left"/>
            </w:pPr>
            <w:r w:rsidRPr="00AE5356">
              <w:t>Ņemts vērā.</w:t>
            </w:r>
          </w:p>
          <w:p w14:paraId="105534E9" w14:textId="77777777" w:rsidR="009B2DCB" w:rsidRPr="00AE5356" w:rsidRDefault="009B2DCB" w:rsidP="00AE5356">
            <w:pPr>
              <w:pStyle w:val="naisc"/>
              <w:spacing w:before="0" w:after="0"/>
              <w:jc w:val="left"/>
            </w:pPr>
          </w:p>
        </w:tc>
        <w:tc>
          <w:tcPr>
            <w:tcW w:w="3544" w:type="dxa"/>
            <w:tcBorders>
              <w:top w:val="single" w:sz="4" w:space="0" w:color="auto"/>
              <w:left w:val="single" w:sz="4" w:space="0" w:color="auto"/>
              <w:bottom w:val="single" w:sz="4" w:space="0" w:color="auto"/>
            </w:tcBorders>
          </w:tcPr>
          <w:p w14:paraId="70282F34" w14:textId="4C3E7D71" w:rsidR="009B2DCB" w:rsidRDefault="00DC4B3C" w:rsidP="00AE5356">
            <w:pPr>
              <w:jc w:val="both"/>
              <w:rPr>
                <w:color w:val="000000"/>
              </w:rPr>
            </w:pPr>
            <w:r>
              <w:rPr>
                <w:color w:val="000000"/>
              </w:rPr>
              <w:t>Pie</w:t>
            </w:r>
            <w:r w:rsidR="009300FB">
              <w:rPr>
                <w:color w:val="000000"/>
              </w:rPr>
              <w:t>v</w:t>
            </w:r>
            <w:r>
              <w:rPr>
                <w:color w:val="000000"/>
              </w:rPr>
              <w:t>ienots punkts:</w:t>
            </w:r>
          </w:p>
          <w:p w14:paraId="2FDB80FF" w14:textId="22656E9F" w:rsidR="00DC4B3C" w:rsidRPr="00AE5356" w:rsidRDefault="00DC4B3C" w:rsidP="00AE5356">
            <w:pPr>
              <w:jc w:val="both"/>
              <w:rPr>
                <w:color w:val="000000"/>
              </w:rPr>
            </w:pPr>
            <w:r w:rsidRPr="00DC4B3C">
              <w:rPr>
                <w:color w:val="000000"/>
              </w:rPr>
              <w:t>izvērtēt normatīvo aktu piemērošanas praksi citās ES valstīs.</w:t>
            </w:r>
          </w:p>
        </w:tc>
      </w:tr>
      <w:tr w:rsidR="009B2DCB" w:rsidRPr="00AE5356" w14:paraId="43E000C2" w14:textId="77777777" w:rsidTr="000E70CD">
        <w:tc>
          <w:tcPr>
            <w:tcW w:w="944" w:type="dxa"/>
            <w:tcBorders>
              <w:left w:val="single" w:sz="6" w:space="0" w:color="000000" w:themeColor="text1"/>
              <w:bottom w:val="single" w:sz="4" w:space="0" w:color="auto"/>
              <w:right w:val="single" w:sz="6" w:space="0" w:color="000000" w:themeColor="text1"/>
            </w:tcBorders>
          </w:tcPr>
          <w:p w14:paraId="246F21D3"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56717318" w14:textId="59BC9F15" w:rsidR="009B2DCB" w:rsidRPr="00AE5356" w:rsidRDefault="009B2DCB" w:rsidP="00AE5356">
            <w:pPr>
              <w:pStyle w:val="naisc"/>
              <w:spacing w:before="0" w:after="0"/>
              <w:jc w:val="left"/>
            </w:pPr>
            <w:r w:rsidRPr="00AE5356">
              <w:t>46. lpp., MVU digitalizācijas līmenis atšķiras atkarībā no ģeogrāfiskā novietojuma un nozares</w:t>
            </w:r>
          </w:p>
        </w:tc>
        <w:tc>
          <w:tcPr>
            <w:tcW w:w="4819" w:type="dxa"/>
            <w:gridSpan w:val="2"/>
            <w:tcBorders>
              <w:left w:val="single" w:sz="6" w:space="0" w:color="000000" w:themeColor="text1"/>
              <w:bottom w:val="single" w:sz="4" w:space="0" w:color="auto"/>
              <w:right w:val="single" w:sz="6" w:space="0" w:color="000000" w:themeColor="text1"/>
            </w:tcBorders>
          </w:tcPr>
          <w:p w14:paraId="59593895" w14:textId="31996C3D" w:rsidR="009B2DCB" w:rsidRPr="00AE5356" w:rsidRDefault="009B2DCB" w:rsidP="00AE5356">
            <w:pPr>
              <w:contextualSpacing/>
              <w:jc w:val="both"/>
            </w:pPr>
            <w:r w:rsidRPr="00DF40F2">
              <w:t>MVU digitalizācijas līmenis atšķiras atkarībā no ģeogrāfiskā novietojuma un nozares, kā arī digitalizācija prasa papildus finanšu ieguldījumus, kas ir ierobežoti.</w:t>
            </w:r>
          </w:p>
        </w:tc>
        <w:tc>
          <w:tcPr>
            <w:tcW w:w="2835" w:type="dxa"/>
            <w:tcBorders>
              <w:left w:val="single" w:sz="6" w:space="0" w:color="000000" w:themeColor="text1"/>
              <w:bottom w:val="single" w:sz="4" w:space="0" w:color="auto"/>
              <w:right w:val="single" w:sz="6" w:space="0" w:color="000000" w:themeColor="text1"/>
            </w:tcBorders>
          </w:tcPr>
          <w:p w14:paraId="5D01C4DA" w14:textId="223FA5A1" w:rsidR="009B2DCB" w:rsidRPr="00AE5356" w:rsidRDefault="004B7CB6" w:rsidP="00AE5356">
            <w:pPr>
              <w:pStyle w:val="naisc"/>
              <w:spacing w:before="0" w:after="0"/>
              <w:jc w:val="left"/>
            </w:pPr>
            <w:r w:rsidRPr="00AE5356">
              <w:t>Ņemts vērā.</w:t>
            </w:r>
          </w:p>
          <w:p w14:paraId="4EDC964D" w14:textId="77777777" w:rsidR="009B2DCB" w:rsidRPr="00AE5356" w:rsidRDefault="009B2DCB" w:rsidP="00AE5356">
            <w:pPr>
              <w:pStyle w:val="naisc"/>
              <w:spacing w:before="0" w:after="0"/>
              <w:jc w:val="left"/>
            </w:pPr>
          </w:p>
        </w:tc>
        <w:tc>
          <w:tcPr>
            <w:tcW w:w="3544" w:type="dxa"/>
            <w:tcBorders>
              <w:top w:val="single" w:sz="4" w:space="0" w:color="auto"/>
              <w:left w:val="single" w:sz="4" w:space="0" w:color="auto"/>
              <w:bottom w:val="single" w:sz="4" w:space="0" w:color="auto"/>
            </w:tcBorders>
          </w:tcPr>
          <w:p w14:paraId="7F7EF092" w14:textId="3E7F79F2" w:rsidR="009B2DCB" w:rsidRPr="00AE5356" w:rsidRDefault="00760C01" w:rsidP="00AE5356">
            <w:pPr>
              <w:jc w:val="both"/>
              <w:rPr>
                <w:color w:val="000000"/>
              </w:rPr>
            </w:pPr>
            <w:r>
              <w:t xml:space="preserve">Izteikts šādā redakcijā: </w:t>
            </w:r>
            <w:r w:rsidR="00313D74" w:rsidRPr="000A0E07">
              <w:t xml:space="preserve">MVU digitalizācijas līmenis atšķiras atkarībā no ģeogrāfiskā novietojuma un nozares, kā arī digitalizācija prasa papildus </w:t>
            </w:r>
            <w:r w:rsidR="00313D74" w:rsidRPr="000A0E07">
              <w:lastRenderedPageBreak/>
              <w:t>finanšu ieguldījumus, kas ir ierobežoti.</w:t>
            </w:r>
          </w:p>
        </w:tc>
      </w:tr>
      <w:tr w:rsidR="009B2DCB" w:rsidRPr="00AE5356" w14:paraId="018C138D" w14:textId="77777777" w:rsidTr="000E70CD">
        <w:tc>
          <w:tcPr>
            <w:tcW w:w="944" w:type="dxa"/>
            <w:tcBorders>
              <w:left w:val="single" w:sz="6" w:space="0" w:color="000000" w:themeColor="text1"/>
              <w:bottom w:val="single" w:sz="4" w:space="0" w:color="auto"/>
              <w:right w:val="single" w:sz="6" w:space="0" w:color="000000" w:themeColor="text1"/>
            </w:tcBorders>
          </w:tcPr>
          <w:p w14:paraId="7E620676"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119EDDAC" w14:textId="4B53B357" w:rsidR="009B2DCB" w:rsidRPr="00AE5356" w:rsidRDefault="009B2DCB" w:rsidP="00AE5356">
            <w:pPr>
              <w:pStyle w:val="naisc"/>
              <w:spacing w:before="0" w:after="0"/>
              <w:jc w:val="left"/>
            </w:pPr>
            <w:r w:rsidRPr="00AE5356">
              <w:t>60. lpp., -</w:t>
            </w:r>
            <w:r w:rsidRPr="00AE5356">
              <w:tab/>
              <w:t>Privātā finansējuma mobilizēšana klimata mērķu ieviešanas nodrošināšanai</w:t>
            </w:r>
          </w:p>
        </w:tc>
        <w:tc>
          <w:tcPr>
            <w:tcW w:w="4819" w:type="dxa"/>
            <w:gridSpan w:val="2"/>
            <w:tcBorders>
              <w:left w:val="single" w:sz="6" w:space="0" w:color="000000" w:themeColor="text1"/>
              <w:bottom w:val="single" w:sz="4" w:space="0" w:color="auto"/>
              <w:right w:val="single" w:sz="6" w:space="0" w:color="000000" w:themeColor="text1"/>
            </w:tcBorders>
          </w:tcPr>
          <w:p w14:paraId="4C31BE9C" w14:textId="77777777" w:rsidR="009B2DCB" w:rsidRPr="008308C4" w:rsidRDefault="009B2DCB" w:rsidP="00AE5356">
            <w:pPr>
              <w:contextualSpacing/>
              <w:jc w:val="both"/>
            </w:pPr>
            <w:r w:rsidRPr="008308C4">
              <w:t>Izteikt uzskaitījuma ceturto punktu:</w:t>
            </w:r>
          </w:p>
          <w:p w14:paraId="16AACC41" w14:textId="35BDC4C0" w:rsidR="009B2DCB" w:rsidRPr="00AE5356" w:rsidRDefault="009B2DCB" w:rsidP="00AE5356">
            <w:pPr>
              <w:contextualSpacing/>
              <w:jc w:val="both"/>
            </w:pPr>
            <w:r w:rsidRPr="008308C4">
              <w:t>Privātā finansējuma mobilizēšana klimata mērķu ieviešanas nodrošināšanai, izmantojot ilgtspējīgus finanšu instrumentus un veicinot arī aktīvu MVU iesaisti.</w:t>
            </w:r>
          </w:p>
        </w:tc>
        <w:tc>
          <w:tcPr>
            <w:tcW w:w="2835" w:type="dxa"/>
            <w:tcBorders>
              <w:left w:val="single" w:sz="6" w:space="0" w:color="000000" w:themeColor="text1"/>
              <w:bottom w:val="single" w:sz="4" w:space="0" w:color="auto"/>
              <w:right w:val="single" w:sz="6" w:space="0" w:color="000000" w:themeColor="text1"/>
            </w:tcBorders>
          </w:tcPr>
          <w:p w14:paraId="316A9901" w14:textId="49A0A510" w:rsidR="009B2DCB" w:rsidRPr="00AE5356" w:rsidRDefault="002A40A9" w:rsidP="00DF40F2">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617C8876" w14:textId="775801F8" w:rsidR="009B2DCB" w:rsidRPr="00AE5356" w:rsidRDefault="00566697" w:rsidP="00AE5356">
            <w:pPr>
              <w:jc w:val="both"/>
              <w:rPr>
                <w:color w:val="000000"/>
              </w:rPr>
            </w:pPr>
            <w:r>
              <w:rPr>
                <w:color w:val="000000"/>
              </w:rPr>
              <w:t xml:space="preserve">Izteikts šādā redakcijā: </w:t>
            </w:r>
            <w:r w:rsidR="002A40A9" w:rsidRPr="002A40A9">
              <w:rPr>
                <w:color w:val="000000"/>
              </w:rPr>
              <w:t>Privātā finansējuma mobilizēšana klimata mērķu ieviešanas nodrošināšanai, izmantojot ilgtspējīgus finanšu instrumentus un veicinot arī aktīvu MVU iesaisti.</w:t>
            </w:r>
          </w:p>
        </w:tc>
      </w:tr>
      <w:tr w:rsidR="009B2DCB" w:rsidRPr="00AE5356" w14:paraId="64691219" w14:textId="77777777" w:rsidTr="000E70CD">
        <w:tc>
          <w:tcPr>
            <w:tcW w:w="944" w:type="dxa"/>
            <w:tcBorders>
              <w:left w:val="single" w:sz="6" w:space="0" w:color="000000" w:themeColor="text1"/>
              <w:bottom w:val="single" w:sz="4" w:space="0" w:color="auto"/>
              <w:right w:val="single" w:sz="6" w:space="0" w:color="000000" w:themeColor="text1"/>
            </w:tcBorders>
          </w:tcPr>
          <w:p w14:paraId="69E64D92"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433AB77A"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651E1D7D" w14:textId="715677A6" w:rsidR="009B2DCB" w:rsidRPr="00AE5356" w:rsidRDefault="009B2DCB" w:rsidP="00AE5356">
            <w:pPr>
              <w:contextualSpacing/>
              <w:jc w:val="both"/>
              <w:rPr>
                <w:b/>
                <w:u w:val="single"/>
              </w:rPr>
            </w:pPr>
            <w:r w:rsidRPr="00AE5356">
              <w:rPr>
                <w:b/>
                <w:u w:val="single"/>
              </w:rPr>
              <w:t>Latvijas apdrošinātāju asociācija:</w:t>
            </w:r>
          </w:p>
          <w:p w14:paraId="1D3909FA" w14:textId="62A58669" w:rsidR="009B2DCB" w:rsidRPr="00C938FD" w:rsidRDefault="009B2DCB" w:rsidP="00AE5356">
            <w:pPr>
              <w:contextualSpacing/>
              <w:jc w:val="both"/>
            </w:pPr>
            <w:r w:rsidRPr="00AE5356">
              <w:t xml:space="preserve">Latvijas Apdrošinātāju asociācija (turpmāk – </w:t>
            </w:r>
            <w:r w:rsidRPr="00C938FD">
              <w:t>LAA) atbalsta projekta tālāko virzību, vienlaikus izsakot sekojošus priekšlikumus:</w:t>
            </w:r>
          </w:p>
          <w:p w14:paraId="03224ACE" w14:textId="6337B362" w:rsidR="009B2DCB" w:rsidRPr="00C938FD" w:rsidRDefault="009B2DCB" w:rsidP="00AE5356">
            <w:pPr>
              <w:contextualSpacing/>
              <w:jc w:val="both"/>
            </w:pPr>
            <w:r w:rsidRPr="00C938FD">
              <w:t>Papildināt plānu ar jaunu pasākumu punktu nr. 1.2.8.:</w:t>
            </w:r>
          </w:p>
          <w:p w14:paraId="02818ACC" w14:textId="22B98468" w:rsidR="009B2DCB" w:rsidRPr="00C938FD" w:rsidRDefault="009B2DCB" w:rsidP="00AE5356">
            <w:pPr>
              <w:contextualSpacing/>
              <w:jc w:val="both"/>
            </w:pPr>
            <w:r w:rsidRPr="00C938FD">
              <w:t>Uzdevums/pasākums: Pilnveidot regulējumu, veicinot dzīvības uzkrājošās apdrošināšanas izmantošanu;</w:t>
            </w:r>
          </w:p>
          <w:p w14:paraId="3EB666E9" w14:textId="549EFB5C" w:rsidR="009B2DCB" w:rsidRPr="00C938FD" w:rsidRDefault="009B2DCB" w:rsidP="00AE5356">
            <w:pPr>
              <w:contextualSpacing/>
              <w:jc w:val="both"/>
            </w:pPr>
            <w:r w:rsidRPr="00C938FD">
              <w:t>Darbības rezultāts: Nodokļu atvieglojumu sliekšņa paaugstināšana;</w:t>
            </w:r>
          </w:p>
          <w:p w14:paraId="7696D854" w14:textId="1A0BD16C" w:rsidR="009B2DCB" w:rsidRPr="00C938FD" w:rsidRDefault="009B2DCB" w:rsidP="00AE5356">
            <w:pPr>
              <w:contextualSpacing/>
              <w:jc w:val="both"/>
            </w:pPr>
            <w:r w:rsidRPr="00C938FD">
              <w:t>Rezultatīvais rādītājs: Uzkrājošās dzīvības apdrošināšanas tirgus daļas (%) un apdrošināto personu skaita pieaugums;</w:t>
            </w:r>
          </w:p>
          <w:p w14:paraId="13F5FDA3" w14:textId="77777777" w:rsidR="009B2DCB" w:rsidRPr="00C938FD" w:rsidRDefault="009B2DCB" w:rsidP="00AE5356">
            <w:pPr>
              <w:contextualSpacing/>
              <w:jc w:val="both"/>
            </w:pPr>
            <w:r w:rsidRPr="00C938FD">
              <w:t>Atbildīgā institūcija: FM;</w:t>
            </w:r>
          </w:p>
          <w:p w14:paraId="5F101813" w14:textId="416D0959" w:rsidR="009B2DCB" w:rsidRPr="00C938FD" w:rsidRDefault="009B2DCB" w:rsidP="00AE5356">
            <w:pPr>
              <w:contextualSpacing/>
              <w:jc w:val="both"/>
            </w:pPr>
            <w:r w:rsidRPr="00C938FD">
              <w:t>Līdzatbildīgā institūcija: LAA</w:t>
            </w:r>
          </w:p>
          <w:p w14:paraId="3E9D8A34" w14:textId="55BE5B04" w:rsidR="009B2DCB" w:rsidRPr="00AE5356" w:rsidRDefault="009B2DCB" w:rsidP="00AE5356">
            <w:pPr>
              <w:contextualSpacing/>
              <w:jc w:val="both"/>
            </w:pPr>
            <w:r w:rsidRPr="00C938FD">
              <w:t>Izpildes termiņš: 31.12.2023.</w:t>
            </w:r>
          </w:p>
        </w:tc>
        <w:tc>
          <w:tcPr>
            <w:tcW w:w="2835" w:type="dxa"/>
            <w:tcBorders>
              <w:left w:val="single" w:sz="6" w:space="0" w:color="000000" w:themeColor="text1"/>
              <w:bottom w:val="single" w:sz="4" w:space="0" w:color="auto"/>
              <w:right w:val="single" w:sz="6" w:space="0" w:color="000000" w:themeColor="text1"/>
            </w:tcBorders>
          </w:tcPr>
          <w:p w14:paraId="3CCBC049" w14:textId="57D9E28E" w:rsidR="009B2DCB" w:rsidRPr="00AE5356" w:rsidRDefault="004016DC" w:rsidP="005D1555">
            <w:pPr>
              <w:pStyle w:val="naisc"/>
              <w:spacing w:before="0" w:after="0"/>
              <w:jc w:val="left"/>
            </w:pPr>
            <w:r>
              <w:t>Daļēji ņ</w:t>
            </w:r>
            <w:r w:rsidR="00F43B85">
              <w:t>emts vērā.</w:t>
            </w:r>
          </w:p>
        </w:tc>
        <w:tc>
          <w:tcPr>
            <w:tcW w:w="3544" w:type="dxa"/>
            <w:tcBorders>
              <w:top w:val="single" w:sz="4" w:space="0" w:color="auto"/>
              <w:left w:val="single" w:sz="4" w:space="0" w:color="auto"/>
              <w:bottom w:val="single" w:sz="4" w:space="0" w:color="auto"/>
            </w:tcBorders>
          </w:tcPr>
          <w:p w14:paraId="6F9C90BA" w14:textId="428E8763" w:rsidR="009B2DCB" w:rsidRPr="00AE5356" w:rsidRDefault="00DC4B3C" w:rsidP="00AE5356">
            <w:pPr>
              <w:jc w:val="both"/>
              <w:rPr>
                <w:color w:val="000000"/>
              </w:rPr>
            </w:pPr>
            <w:r>
              <w:rPr>
                <w:color w:val="000000"/>
              </w:rPr>
              <w:t>Tiek apskatīts kontekstā ar kopējām nodokļu politikas pamatnostādnēm. Tādēļ uzdevums netiek atsevišķi iekļauts plānā.</w:t>
            </w:r>
          </w:p>
        </w:tc>
      </w:tr>
      <w:tr w:rsidR="009B2DCB" w:rsidRPr="00AE5356" w14:paraId="6F149852" w14:textId="77777777" w:rsidTr="000E70CD">
        <w:tc>
          <w:tcPr>
            <w:tcW w:w="944" w:type="dxa"/>
            <w:tcBorders>
              <w:left w:val="single" w:sz="6" w:space="0" w:color="000000" w:themeColor="text1"/>
              <w:bottom w:val="single" w:sz="4" w:space="0" w:color="auto"/>
              <w:right w:val="single" w:sz="6" w:space="0" w:color="000000" w:themeColor="text1"/>
            </w:tcBorders>
          </w:tcPr>
          <w:p w14:paraId="2DE843E4"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42815081"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7DC464AE" w14:textId="77777777" w:rsidR="009B2DCB" w:rsidRPr="00AE5356" w:rsidRDefault="009B2DCB" w:rsidP="00AE5356">
            <w:pPr>
              <w:contextualSpacing/>
              <w:jc w:val="both"/>
            </w:pPr>
            <w:r w:rsidRPr="00AE5356">
              <w:t>Papildināt plānu ar jaunu pasākumu punktu nr. 1.3.3. pirms pašreizējā plāna 1.3.3. punkta, attiecīgi numurējot sekojošos punktus kā 1.3.4. un 1.3.5.:</w:t>
            </w:r>
          </w:p>
          <w:p w14:paraId="1AD563B1" w14:textId="7F268F70" w:rsidR="009B2DCB" w:rsidRPr="00AE5356" w:rsidRDefault="009B2DCB" w:rsidP="00AE5356">
            <w:pPr>
              <w:contextualSpacing/>
              <w:jc w:val="both"/>
            </w:pPr>
            <w:r w:rsidRPr="00AE5356">
              <w:t xml:space="preserve">Uzdevums/pasākums: Veicināt iedzīvotāju apdrošināšanas pratību, īpaši izdalot izpratni par </w:t>
            </w:r>
            <w:r w:rsidRPr="00AE5356">
              <w:lastRenderedPageBreak/>
              <w:t>apdrošināšanas kā uzkrājuma instrumenta nozīmi;</w:t>
            </w:r>
          </w:p>
          <w:p w14:paraId="075E4037" w14:textId="7AF75026" w:rsidR="009B2DCB" w:rsidRPr="00AE5356" w:rsidRDefault="009B2DCB" w:rsidP="00AE5356">
            <w:pPr>
              <w:contextualSpacing/>
              <w:jc w:val="both"/>
            </w:pPr>
            <w:r w:rsidRPr="00AE5356">
              <w:t>Darbības rezultāts: Veicināta apdrošināšanas tematisko mācību materiālu izmantošana skolās, attiecīgu materiālu izmantošana pieaugušo tālākizglītībā;</w:t>
            </w:r>
          </w:p>
          <w:p w14:paraId="45D23953" w14:textId="03406C8D" w:rsidR="009B2DCB" w:rsidRPr="00AE5356" w:rsidRDefault="009B2DCB" w:rsidP="00AE5356">
            <w:pPr>
              <w:contextualSpacing/>
              <w:jc w:val="both"/>
            </w:pPr>
            <w:r w:rsidRPr="00AE5356">
              <w:t>Rezultatīvais rādītājs: Apdrošināšanas mācību materiāli izmantoti 6. un 7. klašu sociālo zinātņu programmās;</w:t>
            </w:r>
          </w:p>
          <w:p w14:paraId="2CEDF999" w14:textId="3C287B1F" w:rsidR="009B2DCB" w:rsidRPr="00AE5356" w:rsidRDefault="009B2DCB" w:rsidP="00AE5356">
            <w:pPr>
              <w:contextualSpacing/>
              <w:jc w:val="both"/>
            </w:pPr>
            <w:r w:rsidRPr="00AE5356">
              <w:t>Atbildīgā institūcija: LAA;</w:t>
            </w:r>
          </w:p>
          <w:p w14:paraId="408D3142" w14:textId="3AFA91B3" w:rsidR="009B2DCB" w:rsidRPr="00AE5356" w:rsidRDefault="009B2DCB" w:rsidP="00AE5356">
            <w:pPr>
              <w:contextualSpacing/>
              <w:jc w:val="both"/>
            </w:pPr>
            <w:r w:rsidRPr="00AE5356">
              <w:t>Līdzatbildīgā institūcija: FM, IZM, LM (NVA)</w:t>
            </w:r>
          </w:p>
          <w:p w14:paraId="2124AB8F" w14:textId="712782B9" w:rsidR="009B2DCB" w:rsidRPr="00AE5356" w:rsidRDefault="009B2DCB" w:rsidP="00AE5356">
            <w:pPr>
              <w:contextualSpacing/>
              <w:jc w:val="both"/>
            </w:pPr>
            <w:r w:rsidRPr="00AE5356">
              <w:t>Izpildes termiņš: 31.12.2022.</w:t>
            </w:r>
          </w:p>
          <w:p w14:paraId="1276FEED" w14:textId="77777777" w:rsidR="009B2DCB" w:rsidRPr="00AE5356" w:rsidRDefault="009B2DCB" w:rsidP="00AE5356">
            <w:pPr>
              <w:contextualSpacing/>
              <w:jc w:val="both"/>
            </w:pPr>
          </w:p>
          <w:p w14:paraId="75FA340F" w14:textId="20C7222E" w:rsidR="009B2DCB" w:rsidRPr="00AE5356" w:rsidRDefault="009B2DCB" w:rsidP="00AE5356">
            <w:pPr>
              <w:contextualSpacing/>
              <w:jc w:val="both"/>
            </w:pPr>
          </w:p>
        </w:tc>
        <w:tc>
          <w:tcPr>
            <w:tcW w:w="2835" w:type="dxa"/>
            <w:tcBorders>
              <w:left w:val="single" w:sz="6" w:space="0" w:color="000000" w:themeColor="text1"/>
              <w:bottom w:val="single" w:sz="4" w:space="0" w:color="auto"/>
              <w:right w:val="single" w:sz="6" w:space="0" w:color="000000" w:themeColor="text1"/>
            </w:tcBorders>
          </w:tcPr>
          <w:p w14:paraId="1AAC236E" w14:textId="222D6B15" w:rsidR="009B2DCB" w:rsidRPr="00AE5356" w:rsidRDefault="00D94934" w:rsidP="00A85B0E">
            <w:pPr>
              <w:pStyle w:val="naisc"/>
              <w:spacing w:before="0" w:after="0"/>
              <w:jc w:val="left"/>
            </w:pPr>
            <w:r>
              <w:lastRenderedPageBreak/>
              <w:t>Panākta vienošanās elektroniskajā saskaņošanā 14.01.2021.</w:t>
            </w:r>
          </w:p>
        </w:tc>
        <w:tc>
          <w:tcPr>
            <w:tcW w:w="3544" w:type="dxa"/>
            <w:tcBorders>
              <w:top w:val="single" w:sz="4" w:space="0" w:color="auto"/>
              <w:left w:val="single" w:sz="4" w:space="0" w:color="auto"/>
              <w:bottom w:val="single" w:sz="4" w:space="0" w:color="auto"/>
            </w:tcBorders>
          </w:tcPr>
          <w:p w14:paraId="58D7EFBA" w14:textId="77777777" w:rsidR="009B2DCB" w:rsidRPr="00AE5356" w:rsidRDefault="00E24112" w:rsidP="00AE5356">
            <w:pPr>
              <w:jc w:val="both"/>
              <w:rPr>
                <w:color w:val="000000"/>
              </w:rPr>
            </w:pPr>
            <w:r w:rsidRPr="00E24112">
              <w:rPr>
                <w:color w:val="000000"/>
              </w:rPr>
              <w:t>Finanšu un kapitāla tirgus komisija izstrādā stratēģiju finanšu pratības jomā, kurā tiks paredzēti detalizēti pasākumi visās jomās, tai skaitā apdrošināšanā. Šāds uzdevums būtu iekļaujams FKTK izstrādātajā stratēģijā.</w:t>
            </w:r>
          </w:p>
        </w:tc>
      </w:tr>
      <w:tr w:rsidR="009B2DCB" w:rsidRPr="00AE5356" w14:paraId="4DFB3E6D" w14:textId="77777777" w:rsidTr="000E70CD">
        <w:tc>
          <w:tcPr>
            <w:tcW w:w="944" w:type="dxa"/>
            <w:tcBorders>
              <w:left w:val="single" w:sz="6" w:space="0" w:color="000000" w:themeColor="text1"/>
              <w:bottom w:val="single" w:sz="4" w:space="0" w:color="auto"/>
              <w:right w:val="single" w:sz="6" w:space="0" w:color="000000" w:themeColor="text1"/>
            </w:tcBorders>
          </w:tcPr>
          <w:p w14:paraId="04247542"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5B31502"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4239B1C3" w14:textId="6332C52A" w:rsidR="009B2DCB" w:rsidRPr="00AE5356" w:rsidRDefault="009B2DCB" w:rsidP="00AE5356">
            <w:pPr>
              <w:contextualSpacing/>
              <w:jc w:val="both"/>
            </w:pPr>
            <w:r w:rsidRPr="00AE5356">
              <w:t>Plāna pasākumu 2.1.3., un 2.1.5. un 2.3.2. punktos veikt papildinājumus, aiz vārda “fintech” pievienojot vārdus “un insurtech”:</w:t>
            </w:r>
          </w:p>
        </w:tc>
        <w:tc>
          <w:tcPr>
            <w:tcW w:w="2835" w:type="dxa"/>
            <w:tcBorders>
              <w:left w:val="single" w:sz="6" w:space="0" w:color="000000" w:themeColor="text1"/>
              <w:bottom w:val="single" w:sz="4" w:space="0" w:color="auto"/>
              <w:right w:val="single" w:sz="6" w:space="0" w:color="000000" w:themeColor="text1"/>
            </w:tcBorders>
          </w:tcPr>
          <w:p w14:paraId="3A655CFB" w14:textId="77092C92" w:rsidR="009B2DCB" w:rsidRPr="00AE5356" w:rsidRDefault="00943337" w:rsidP="00A85B0E">
            <w:pPr>
              <w:pStyle w:val="naisc"/>
              <w:spacing w:before="0" w:after="0"/>
              <w:jc w:val="left"/>
            </w:pPr>
            <w:r>
              <w:t>Ņ</w:t>
            </w:r>
            <w:r w:rsidR="000E4DA3">
              <w:t>emts vērā.</w:t>
            </w:r>
          </w:p>
        </w:tc>
        <w:tc>
          <w:tcPr>
            <w:tcW w:w="3544" w:type="dxa"/>
            <w:tcBorders>
              <w:top w:val="single" w:sz="4" w:space="0" w:color="auto"/>
              <w:left w:val="single" w:sz="4" w:space="0" w:color="auto"/>
              <w:bottom w:val="single" w:sz="4" w:space="0" w:color="auto"/>
            </w:tcBorders>
          </w:tcPr>
          <w:p w14:paraId="5DACEC89" w14:textId="4169CD03" w:rsidR="009B2DCB" w:rsidRPr="00AE5356" w:rsidRDefault="000E4DA3" w:rsidP="0030144F">
            <w:pPr>
              <w:jc w:val="both"/>
              <w:rPr>
                <w:color w:val="000000"/>
              </w:rPr>
            </w:pPr>
            <w:r>
              <w:t>Esošais formulējums jau netieši norāda uz apdrošināšanas pakalpojumiem</w:t>
            </w:r>
            <w:r w:rsidR="0030144F">
              <w:t xml:space="preserve"> (insurtech ir fintech apakšnozare)</w:t>
            </w:r>
            <w:r>
              <w:t>.</w:t>
            </w:r>
          </w:p>
        </w:tc>
      </w:tr>
      <w:tr w:rsidR="009B2DCB" w:rsidRPr="00AE5356" w14:paraId="74EB21BE" w14:textId="77777777" w:rsidTr="000E70CD">
        <w:tc>
          <w:tcPr>
            <w:tcW w:w="944" w:type="dxa"/>
            <w:tcBorders>
              <w:left w:val="single" w:sz="6" w:space="0" w:color="000000" w:themeColor="text1"/>
              <w:bottom w:val="single" w:sz="4" w:space="0" w:color="auto"/>
              <w:right w:val="single" w:sz="6" w:space="0" w:color="000000" w:themeColor="text1"/>
            </w:tcBorders>
          </w:tcPr>
          <w:p w14:paraId="0791462E"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6B3E01EA"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54F2A5CF" w14:textId="72457244" w:rsidR="009B2DCB" w:rsidRPr="007C5D4D" w:rsidRDefault="009B2DCB" w:rsidP="00AE5356">
            <w:pPr>
              <w:contextualSpacing/>
              <w:jc w:val="both"/>
            </w:pPr>
            <w:r w:rsidRPr="001C1AAD">
              <w:t>Papildināt plānu ar jaunu pasākumu punktu nr. 2.2.7:</w:t>
            </w:r>
          </w:p>
          <w:p w14:paraId="5585C48A" w14:textId="08747C63" w:rsidR="009B2DCB" w:rsidRPr="007C5D4D" w:rsidRDefault="009B2DCB" w:rsidP="00AE5356">
            <w:pPr>
              <w:contextualSpacing/>
              <w:jc w:val="both"/>
            </w:pPr>
            <w:r w:rsidRPr="007C5D4D">
              <w:t>Uzdevums/pasākums: Vienotas un atvērtas datu apmaiņas politikas attīstība starp valsts institūcijām un finanšu komersantiem;</w:t>
            </w:r>
          </w:p>
          <w:p w14:paraId="07D1D899" w14:textId="2BFC097A" w:rsidR="009B2DCB" w:rsidRPr="000E7687" w:rsidRDefault="009B2DCB" w:rsidP="00AE5356">
            <w:pPr>
              <w:contextualSpacing/>
              <w:jc w:val="both"/>
            </w:pPr>
            <w:r w:rsidRPr="000E7687">
              <w:t>Darbības rezultāts: Uzlabot pieejamību dažādiem valsts reģistriem un attīstīt efektīvus tehnoloģiskos risinājumus;</w:t>
            </w:r>
          </w:p>
          <w:p w14:paraId="186F1FBB" w14:textId="7D241AD4" w:rsidR="009B2DCB" w:rsidRPr="00DA1C53" w:rsidRDefault="009B2DCB" w:rsidP="00AE5356">
            <w:pPr>
              <w:contextualSpacing/>
              <w:jc w:val="both"/>
            </w:pPr>
            <w:r w:rsidRPr="000D533E">
              <w:t>Rezultatīvais rādītājs: Uzlabota pieejamība dažādiem valsts r</w:t>
            </w:r>
            <w:r w:rsidRPr="00EB02A5">
              <w:t>eģistriem un efektīvi tehnoloģiskie risinājumi;</w:t>
            </w:r>
          </w:p>
          <w:p w14:paraId="7A20FA9C" w14:textId="6391AE4B" w:rsidR="009B2DCB" w:rsidRPr="001C1AAD" w:rsidRDefault="009B2DCB" w:rsidP="00AE5356">
            <w:pPr>
              <w:contextualSpacing/>
              <w:jc w:val="both"/>
            </w:pPr>
            <w:r w:rsidRPr="001C1AAD">
              <w:t>Atbildīgā institūcija: VARAM;</w:t>
            </w:r>
          </w:p>
          <w:p w14:paraId="5E3B1CEB" w14:textId="3DBAD66B" w:rsidR="009B2DCB" w:rsidRPr="001C1AAD" w:rsidRDefault="009B2DCB" w:rsidP="00AE5356">
            <w:pPr>
              <w:contextualSpacing/>
              <w:jc w:val="both"/>
            </w:pPr>
            <w:r w:rsidRPr="001C1AAD">
              <w:t>Līdzatbildīgā institūcija: FM, TM, LM, IeM, EM, LAA</w:t>
            </w:r>
          </w:p>
          <w:p w14:paraId="1CD15317" w14:textId="66338CF4" w:rsidR="009B2DCB" w:rsidRPr="00AE5356" w:rsidRDefault="009B2DCB" w:rsidP="00AE5356">
            <w:pPr>
              <w:contextualSpacing/>
              <w:jc w:val="both"/>
            </w:pPr>
            <w:r w:rsidRPr="001C1AAD">
              <w:lastRenderedPageBreak/>
              <w:t>Izpildes termiņš: 31.12.2023.</w:t>
            </w:r>
          </w:p>
          <w:p w14:paraId="44DC587B" w14:textId="0A680E20" w:rsidR="009B2DCB" w:rsidRPr="00AE5356" w:rsidRDefault="009B2DCB" w:rsidP="00AE5356">
            <w:pPr>
              <w:contextualSpacing/>
              <w:jc w:val="both"/>
            </w:pPr>
          </w:p>
        </w:tc>
        <w:tc>
          <w:tcPr>
            <w:tcW w:w="2835" w:type="dxa"/>
            <w:tcBorders>
              <w:left w:val="single" w:sz="6" w:space="0" w:color="000000" w:themeColor="text1"/>
              <w:bottom w:val="single" w:sz="4" w:space="0" w:color="auto"/>
              <w:right w:val="single" w:sz="6" w:space="0" w:color="000000" w:themeColor="text1"/>
            </w:tcBorders>
          </w:tcPr>
          <w:p w14:paraId="543B44DE" w14:textId="4029570C" w:rsidR="009B2DCB" w:rsidRPr="00AE5356" w:rsidRDefault="003268B7" w:rsidP="00A85B0E">
            <w:pPr>
              <w:pStyle w:val="naisc"/>
              <w:spacing w:before="0" w:after="0"/>
              <w:jc w:val="left"/>
            </w:pPr>
            <w:r>
              <w:lastRenderedPageBreak/>
              <w:t>Daļēji ņemts vērā.</w:t>
            </w:r>
          </w:p>
        </w:tc>
        <w:tc>
          <w:tcPr>
            <w:tcW w:w="3544" w:type="dxa"/>
            <w:tcBorders>
              <w:top w:val="single" w:sz="4" w:space="0" w:color="auto"/>
              <w:left w:val="single" w:sz="4" w:space="0" w:color="auto"/>
              <w:bottom w:val="single" w:sz="4" w:space="0" w:color="auto"/>
            </w:tcBorders>
          </w:tcPr>
          <w:p w14:paraId="00CDDEDB" w14:textId="19FEAEF1" w:rsidR="003268B7" w:rsidRPr="00AE5356" w:rsidRDefault="00FC0481" w:rsidP="00AE5356">
            <w:pPr>
              <w:jc w:val="both"/>
              <w:rPr>
                <w:color w:val="000000"/>
              </w:rPr>
            </w:pPr>
            <w:r>
              <w:rPr>
                <w:color w:val="000000"/>
              </w:rPr>
              <w:t xml:space="preserve">Ņemts vērā atbilstoši </w:t>
            </w:r>
            <w:r w:rsidR="003268B7">
              <w:rPr>
                <w:color w:val="000000"/>
              </w:rPr>
              <w:t>Pasākumu plāna</w:t>
            </w:r>
            <w:r w:rsidR="003268B7" w:rsidRPr="003268B7">
              <w:rPr>
                <w:color w:val="000000"/>
              </w:rPr>
              <w:t xml:space="preserve"> samērīgas pieejas nostiprināšanai, izpildot noziedzīgi iegūtu līdzekļu legalizācijas un terorisma un proliferācijas finansēšanas novēršanas prasības</w:t>
            </w:r>
            <w:r>
              <w:rPr>
                <w:color w:val="000000"/>
              </w:rPr>
              <w:t xml:space="preserve"> uzdevumiem, taču netiek apskatīts šī plāna ietvaros.</w:t>
            </w:r>
          </w:p>
        </w:tc>
      </w:tr>
      <w:tr w:rsidR="009B2DCB" w:rsidRPr="00AE5356" w14:paraId="136F5801" w14:textId="77777777" w:rsidTr="000E70CD">
        <w:tc>
          <w:tcPr>
            <w:tcW w:w="944" w:type="dxa"/>
            <w:tcBorders>
              <w:left w:val="single" w:sz="6" w:space="0" w:color="000000" w:themeColor="text1"/>
              <w:bottom w:val="single" w:sz="4" w:space="0" w:color="auto"/>
              <w:right w:val="single" w:sz="6" w:space="0" w:color="000000" w:themeColor="text1"/>
            </w:tcBorders>
          </w:tcPr>
          <w:p w14:paraId="7B7A59FA"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1FDABD0A"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2592EDCB" w14:textId="50664585" w:rsidR="009B2DCB" w:rsidRPr="00AE5356" w:rsidRDefault="009B2DCB" w:rsidP="00AE5356">
            <w:pPr>
              <w:contextualSpacing/>
              <w:jc w:val="both"/>
            </w:pPr>
            <w:r w:rsidRPr="00AE5356">
              <w:t>No pasākuma plāna 3.1.1.punkta sadaļā “Līdzatbildīgās institūcijas” dzēst LTAB un LAA.</w:t>
            </w:r>
          </w:p>
        </w:tc>
        <w:tc>
          <w:tcPr>
            <w:tcW w:w="2835" w:type="dxa"/>
            <w:tcBorders>
              <w:left w:val="single" w:sz="6" w:space="0" w:color="000000" w:themeColor="text1"/>
              <w:bottom w:val="single" w:sz="4" w:space="0" w:color="auto"/>
              <w:right w:val="single" w:sz="6" w:space="0" w:color="000000" w:themeColor="text1"/>
            </w:tcBorders>
          </w:tcPr>
          <w:p w14:paraId="10B95153" w14:textId="72829EED" w:rsidR="009B2DCB" w:rsidRPr="00AE5356" w:rsidRDefault="00E24112" w:rsidP="00A85B0E">
            <w:pPr>
              <w:pStyle w:val="naisc"/>
              <w:spacing w:before="0" w:after="0"/>
              <w:jc w:val="left"/>
            </w:pPr>
            <w:r>
              <w:t>Daļēji ņemts vērā.</w:t>
            </w:r>
          </w:p>
        </w:tc>
        <w:tc>
          <w:tcPr>
            <w:tcW w:w="3544" w:type="dxa"/>
            <w:tcBorders>
              <w:top w:val="single" w:sz="4" w:space="0" w:color="auto"/>
              <w:left w:val="single" w:sz="4" w:space="0" w:color="auto"/>
              <w:bottom w:val="single" w:sz="4" w:space="0" w:color="auto"/>
            </w:tcBorders>
          </w:tcPr>
          <w:p w14:paraId="3071A90E" w14:textId="08857329" w:rsidR="009B2DCB" w:rsidRPr="00AE5356" w:rsidRDefault="00E24112" w:rsidP="00AE5356">
            <w:pPr>
              <w:jc w:val="both"/>
              <w:rPr>
                <w:color w:val="000000"/>
              </w:rPr>
            </w:pPr>
            <w:r w:rsidRPr="00E24112">
              <w:rPr>
                <w:color w:val="000000"/>
              </w:rPr>
              <w:t xml:space="preserve">No pasākuma plāna ir izslēgts </w:t>
            </w:r>
            <w:r w:rsidR="009300FB">
              <w:rPr>
                <w:color w:val="000000"/>
              </w:rPr>
              <w:t>LTAB kā līdzatbildīgie, bet saglabā</w:t>
            </w:r>
            <w:r w:rsidRPr="00E24112">
              <w:rPr>
                <w:color w:val="000000"/>
              </w:rPr>
              <w:t>ta LAA, jo ilgtspējīgu finanšu jomā virkne pasākumu attieksies uz apdrošināšanas sektoru.</w:t>
            </w:r>
          </w:p>
        </w:tc>
      </w:tr>
      <w:tr w:rsidR="009B2DCB" w:rsidRPr="00AE5356" w14:paraId="7C9F586F" w14:textId="77777777" w:rsidTr="000E70CD">
        <w:tc>
          <w:tcPr>
            <w:tcW w:w="944" w:type="dxa"/>
            <w:tcBorders>
              <w:left w:val="single" w:sz="6" w:space="0" w:color="000000" w:themeColor="text1"/>
              <w:bottom w:val="single" w:sz="4" w:space="0" w:color="auto"/>
              <w:right w:val="single" w:sz="6" w:space="0" w:color="000000" w:themeColor="text1"/>
            </w:tcBorders>
          </w:tcPr>
          <w:p w14:paraId="318FD0A4"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543F8D8"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4BAE6B6E" w14:textId="002DA561" w:rsidR="009B2DCB" w:rsidRPr="00AE5356" w:rsidRDefault="009B2DCB" w:rsidP="00AE5356">
            <w:pPr>
              <w:contextualSpacing/>
              <w:jc w:val="both"/>
            </w:pPr>
            <w:r w:rsidRPr="00AE5356">
              <w:t>No pasākuma plāna 3.2.1. un 3.2.2.punktiem sadaļā “Līdzatbildīgās institūcijas” dzēst LAA.</w:t>
            </w:r>
          </w:p>
        </w:tc>
        <w:tc>
          <w:tcPr>
            <w:tcW w:w="2835" w:type="dxa"/>
            <w:tcBorders>
              <w:left w:val="single" w:sz="6" w:space="0" w:color="000000" w:themeColor="text1"/>
              <w:bottom w:val="single" w:sz="4" w:space="0" w:color="auto"/>
              <w:right w:val="single" w:sz="6" w:space="0" w:color="000000" w:themeColor="text1"/>
            </w:tcBorders>
          </w:tcPr>
          <w:p w14:paraId="7D5C49A0" w14:textId="1D485824" w:rsidR="009B2DCB" w:rsidRPr="00AE5356" w:rsidRDefault="00D94934" w:rsidP="00A85B0E">
            <w:pPr>
              <w:pStyle w:val="naisc"/>
              <w:spacing w:before="0" w:after="0"/>
              <w:jc w:val="left"/>
            </w:pPr>
            <w:r>
              <w:t>Panākta vienošanās elektroniskajā saskaņošanā 14.01.2021.</w:t>
            </w:r>
          </w:p>
        </w:tc>
        <w:tc>
          <w:tcPr>
            <w:tcW w:w="3544" w:type="dxa"/>
            <w:tcBorders>
              <w:top w:val="single" w:sz="4" w:space="0" w:color="auto"/>
              <w:left w:val="single" w:sz="4" w:space="0" w:color="auto"/>
              <w:bottom w:val="single" w:sz="4" w:space="0" w:color="auto"/>
            </w:tcBorders>
          </w:tcPr>
          <w:p w14:paraId="58818A31" w14:textId="0138E091" w:rsidR="009B2DCB" w:rsidRPr="00AE5356" w:rsidRDefault="00E24112" w:rsidP="00AE5356">
            <w:pPr>
              <w:jc w:val="both"/>
              <w:rPr>
                <w:color w:val="000000"/>
              </w:rPr>
            </w:pPr>
            <w:r w:rsidRPr="00E24112">
              <w:rPr>
                <w:color w:val="000000"/>
              </w:rPr>
              <w:t>Nākotnē plānotā ESG datu pieejamības pilnveidošana un Ecolabel izveidošana mazumtirdzniecības finanšu produktiem attieksies arī uz apdrošināšan</w:t>
            </w:r>
            <w:r w:rsidR="009300FB">
              <w:rPr>
                <w:color w:val="000000"/>
              </w:rPr>
              <w:t>as pakalpojumiem, tāpēc ir nepie</w:t>
            </w:r>
            <w:r w:rsidRPr="00E24112">
              <w:rPr>
                <w:color w:val="000000"/>
              </w:rPr>
              <w:t>ciešama LAA aktīva iesaiste.</w:t>
            </w:r>
          </w:p>
        </w:tc>
      </w:tr>
      <w:tr w:rsidR="009B2DCB" w:rsidRPr="00AE5356" w14:paraId="1E89FFAB" w14:textId="77777777" w:rsidTr="00DF40F2">
        <w:tc>
          <w:tcPr>
            <w:tcW w:w="944" w:type="dxa"/>
            <w:tcBorders>
              <w:left w:val="single" w:sz="6" w:space="0" w:color="000000" w:themeColor="text1"/>
              <w:bottom w:val="single" w:sz="4" w:space="0" w:color="auto"/>
              <w:right w:val="single" w:sz="6" w:space="0" w:color="000000" w:themeColor="text1"/>
            </w:tcBorders>
          </w:tcPr>
          <w:p w14:paraId="081083FA"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CA3C5CA"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shd w:val="clear" w:color="auto" w:fill="auto"/>
          </w:tcPr>
          <w:p w14:paraId="21DFAC46" w14:textId="77777777" w:rsidR="009B2DCB" w:rsidRPr="00AE5356" w:rsidRDefault="009B2DCB" w:rsidP="00AE5356">
            <w:pPr>
              <w:contextualSpacing/>
              <w:jc w:val="both"/>
              <w:rPr>
                <w:b/>
                <w:u w:val="single"/>
              </w:rPr>
            </w:pPr>
            <w:r w:rsidRPr="00AE5356">
              <w:rPr>
                <w:b/>
                <w:u w:val="single"/>
              </w:rPr>
              <w:t>Latvijas finanšu nozares asociācija:</w:t>
            </w:r>
          </w:p>
          <w:p w14:paraId="420F0B2F" w14:textId="32A902DB" w:rsidR="009B2DCB" w:rsidRPr="00AE5356" w:rsidRDefault="009B2DCB" w:rsidP="00AE5356">
            <w:pPr>
              <w:contextualSpacing/>
              <w:jc w:val="both"/>
            </w:pPr>
            <w:r w:rsidRPr="00AE5356">
              <w:t xml:space="preserve">Vispārīgs komentārs: Plānā ir vairāk uzsvērta finanšu sektora aktivitāte finansējuma pieejamībā. Vienlaikus būtu svarīgi arī uzsvērt uzņēmējdarbības vides problemātiku, uzņēmumu spēju aizņemties, uzņēmumu finanšu stāvokli, ēnu ekonomikas īpatsvaru un citus apstākļus, kas ietekmē finansējuma pieejamību. Ar Asociācijas analītiku, kas veikta sadarbībā ar Lursoft, ir iespējams iepazīties Asociācijas mājaslapā . </w:t>
            </w:r>
          </w:p>
          <w:p w14:paraId="562CDA52" w14:textId="77777777" w:rsidR="009B2DCB" w:rsidRPr="00AE5356" w:rsidRDefault="009B2DCB" w:rsidP="00AE5356">
            <w:pPr>
              <w:contextualSpacing/>
              <w:jc w:val="both"/>
            </w:pPr>
          </w:p>
          <w:p w14:paraId="11C06A3D" w14:textId="77777777" w:rsidR="009B2DCB" w:rsidRPr="00207540" w:rsidRDefault="009B2DCB" w:rsidP="00AE5356">
            <w:pPr>
              <w:contextualSpacing/>
              <w:jc w:val="both"/>
            </w:pPr>
            <w:r w:rsidRPr="00AE5356">
              <w:t xml:space="preserve">Līdz ar to aicinām papildināt Plānu ar šādu </w:t>
            </w:r>
            <w:r w:rsidRPr="00207540">
              <w:t>rindkopu –</w:t>
            </w:r>
          </w:p>
          <w:p w14:paraId="1DB84F99" w14:textId="77777777" w:rsidR="009B2DCB" w:rsidRPr="00AE5356" w:rsidRDefault="009B2DCB" w:rsidP="00207540">
            <w:pPr>
              <w:contextualSpacing/>
              <w:jc w:val="both"/>
            </w:pPr>
            <w:r w:rsidRPr="00207540">
              <w:t xml:space="preserve">“Tautsaimniecības un finanšu sektora izaugsmei ir būtiska kredītportfeļa stabila attīstība, ko var </w:t>
            </w:r>
            <w:r w:rsidRPr="00207540">
              <w:lastRenderedPageBreak/>
              <w:t>nodrošināt kredītiestādes, ciktāl šo stabilo attīstību neierobežo tiesiskās vides riski, kā arī uzņēmumu spēja aizņemties. Uzņēmumu spēja aizņemties, laba uzņēmumu pārvaldība un kredītportfeļa stabils pieaugums ir cieši saistīti rādītāji. Jo lielāks ir ēnu ekonomikas īpatsvars un sliktāka uzņēmumu pārvaldība, lielāki tiesiskie riski un vājāks nodrošinātā kreditora statuss, jo kredītresursu cena ir dārgāka, ņemot vērā standarta risku modeļu noteikumus. Diemžēl virknē starptautisku reitingu Latvija netiek vērtēta augstu, tādēļ ir svarīgi mērķtiecīgi strādāt, lai šie novērtējumi uzlabotos un atspoguļotu reālo situāciju, jo finansējuma un investīciju piesaistei, tostarp par adekvātu cenu, datu trūkuma gadījumā tiek izmantoti starptautiski pieejami reitingi.”</w:t>
            </w:r>
          </w:p>
          <w:p w14:paraId="42D26537" w14:textId="77777777" w:rsidR="009B2DCB" w:rsidRPr="00AE5356" w:rsidRDefault="009B2DCB" w:rsidP="00AE5356">
            <w:pPr>
              <w:contextualSpacing/>
              <w:jc w:val="both"/>
            </w:pPr>
          </w:p>
          <w:p w14:paraId="1C81D782" w14:textId="77777777" w:rsidR="009B2DCB" w:rsidRPr="00AE5356" w:rsidRDefault="009B2DCB" w:rsidP="00AE5356">
            <w:pPr>
              <w:contextualSpacing/>
              <w:jc w:val="both"/>
            </w:pPr>
            <w:r w:rsidRPr="008308C4">
              <w:t>Tāpat lūgums papildināt Plānu ar teikumu par nepieciešamību “turpināt uzņēmējdarbības tiesiskās vides  pilnveidi, ņemot vērā, ka 59% visu juridisko personu procesu tiek pabeigti ar ziņojumu par mantas neesamību, savukārt maksātnespējas procesa izmaksas pārsniedz ieguvumu ”, kā arī uzsvērt agrās brīdināšanas sistēmas ieviešanas nepieciešamību.</w:t>
            </w:r>
            <w:r w:rsidRPr="00AE5356">
              <w:t xml:space="preserve"> </w:t>
            </w:r>
          </w:p>
          <w:p w14:paraId="3C35589D" w14:textId="77777777" w:rsidR="009B2DCB" w:rsidRPr="00AE5356" w:rsidRDefault="009B2DCB" w:rsidP="00AE5356">
            <w:pPr>
              <w:contextualSpacing/>
              <w:jc w:val="both"/>
            </w:pPr>
          </w:p>
          <w:p w14:paraId="65955653" w14:textId="77777777" w:rsidR="009B2DCB" w:rsidRPr="00AE5356" w:rsidRDefault="009B2DCB" w:rsidP="00AE5356">
            <w:pPr>
              <w:contextualSpacing/>
              <w:jc w:val="both"/>
            </w:pPr>
            <w:r w:rsidRPr="00AE5356">
              <w:t xml:space="preserve">Vēl aicinām papildināt šo sadaļu ar nepieciešamību veikt grozījumus Valsts Fondēto pensiju likumā, kas ļautu palielināt ieguldījumu apjomu kapitāla vērtspapīros vai tādos ieguldījumu fondos, kuri var veikt </w:t>
            </w:r>
            <w:r w:rsidRPr="00AE5356">
              <w:lastRenderedPageBreak/>
              <w:t xml:space="preserve">ieguldījumus kapitāla vērtspapīros vai citos riska ziņā tiem pielīdzināmos finanšu instrumentos, līdz 100 procentiem no ieguldījumu plāna aktīviem, ja ieguldījumu politika paredz kapitāla vai parāda vērtspapīru indeksa sastāva replicēšanu. Asociācija, modelējot trīs iespējamos ieguldījumu scenārijus, ir aprēķinājusi uzkrājuma pieauguma apjomus katrā no tiem, secinot, ka ieguldījumu apjoma palielināšana iepriekš minētajos segmentos līdz 100 procentiem no ieguldījumu plāna aktīviem, palielina uzkrājumu apjomu pat divas reizes salīdzinājumā ar konservatīvo plānu. Detalizētāka informācija Asociācijas vēstulē.  </w:t>
            </w:r>
            <w:r w:rsidRPr="00DF40F2">
              <w:t>Pamatojoties uz minēto, Asociācija piedāvā trīs savstarpēji papildinošus turpmākās rīcības virzienus, ar kuriem būtu nepieciešams papildināt Plānu:</w:t>
            </w:r>
            <w:r w:rsidRPr="00AE5356">
              <w:t xml:space="preserve"> </w:t>
            </w:r>
          </w:p>
          <w:p w14:paraId="2D1D9F72" w14:textId="77777777" w:rsidR="009B2DCB" w:rsidRPr="00AE5356" w:rsidRDefault="009B2DCB" w:rsidP="00AE5356">
            <w:pPr>
              <w:contextualSpacing/>
              <w:jc w:val="both"/>
            </w:pPr>
            <w:r w:rsidRPr="00AE5356">
              <w:t>1. Vecumam atbilstoša, mērķtiecīga ieguldījumu stratēģija ar mērķi nodrošināt augstāku ienākumu aizstāšanas koeficientu, piemēram, paaugstinot ieguldījumu riska līmeni jaunajiem dalībniekiem, un Latvijas iedzīvotājus, kas iesaistās darba tirgū un nav jau</w:t>
            </w:r>
          </w:p>
          <w:p w14:paraId="647AA477" w14:textId="77777777" w:rsidR="009B2DCB" w:rsidRPr="00AE5356" w:rsidRDefault="009B2DCB" w:rsidP="00AE5356">
            <w:pPr>
              <w:contextualSpacing/>
              <w:jc w:val="both"/>
            </w:pPr>
            <w:r w:rsidRPr="00AE5356">
              <w:t>norādījuši vēlamo pensiju plānu, bet ir vecumā līdz 45 gadiem, iekļaut pensiju plānos, kur ieguldījumi kapitāla vērtspapīros nepārsniedz 75 procentus.</w:t>
            </w:r>
          </w:p>
          <w:p w14:paraId="50045115" w14:textId="77777777" w:rsidR="009B2DCB" w:rsidRPr="00AE5356" w:rsidRDefault="009B2DCB" w:rsidP="00AE5356">
            <w:pPr>
              <w:contextualSpacing/>
              <w:jc w:val="both"/>
            </w:pPr>
            <w:r w:rsidRPr="00AE5356">
              <w:t xml:space="preserve">2. Efektīvāka līdzekļu pārvaldīšana, ieguldījumu pārvalžu sabiedrībām (turpmāk – IPS) ļaujot vienlaicīgi nodrošināt savlaicīgu, kvalitatīvu un iespējami personalizētu </w:t>
            </w:r>
            <w:r w:rsidRPr="00AE5356">
              <w:lastRenderedPageBreak/>
              <w:t>konsultāciju - lai tas būtu iespējams, nepieciešams ar likumu atļaut zināt savus klientus, kas atbilstu ES dalībvalstu praksei, kur pastāv valsts fondētajai pensiju sistēmai (turpmāk – VFPS) pielīdzināmas shēmas un tirgus dalībnieki (IPS) zina savus klientus.</w:t>
            </w:r>
          </w:p>
          <w:p w14:paraId="1CAC6CC1" w14:textId="50A76307" w:rsidR="009B2DCB" w:rsidRPr="00AE5356" w:rsidRDefault="009B2DCB" w:rsidP="00AE5356">
            <w:pPr>
              <w:contextualSpacing/>
              <w:jc w:val="both"/>
            </w:pPr>
            <w:r w:rsidRPr="00AE5356">
              <w:t>3. Plašāka, droša informācijas pieejamība par klienta personīgo uzkrājumu pašam klientam jebkurā izvēlētajā platformā (piemēram, sniedzot iespēju vienas bankas internetbankā aplūkot savu uzkrāto pensijas kapitālu, kas uzkrāts pie pārvaldītāja, kas nav saistīts ar šo banku) pēc līdzības ar PSD2 konta informācijas pakalpojumu , ņemot vērā to, ka 2019.gadā informāciju par otrā pensiju līmeņa uzkrāto kapitālu www.latvija.lv aplūkojuši ap 5 procentiem no visiem VFPS dalībniekiem. Platformu attīstība maina cilvēku paradumus, arī izmantojot valsts un privātos pakalpojumus.</w:t>
            </w:r>
          </w:p>
          <w:p w14:paraId="31E7CA86" w14:textId="301B26CE" w:rsidR="009B2DCB" w:rsidRPr="00AE5356" w:rsidRDefault="009B2DCB" w:rsidP="00AE5356">
            <w:pPr>
              <w:contextualSpacing/>
              <w:jc w:val="both"/>
            </w:pPr>
          </w:p>
        </w:tc>
        <w:tc>
          <w:tcPr>
            <w:tcW w:w="2835" w:type="dxa"/>
            <w:tcBorders>
              <w:left w:val="single" w:sz="6" w:space="0" w:color="000000" w:themeColor="text1"/>
              <w:bottom w:val="single" w:sz="4" w:space="0" w:color="auto"/>
              <w:right w:val="single" w:sz="6" w:space="0" w:color="000000" w:themeColor="text1"/>
            </w:tcBorders>
          </w:tcPr>
          <w:p w14:paraId="24513F23" w14:textId="2799DF0C" w:rsidR="009B2DCB" w:rsidRPr="00AE5356" w:rsidRDefault="009B2DCB" w:rsidP="00AE5356">
            <w:pPr>
              <w:pStyle w:val="naisc"/>
              <w:spacing w:before="0" w:after="0"/>
              <w:jc w:val="left"/>
            </w:pPr>
          </w:p>
          <w:p w14:paraId="6A05E811" w14:textId="07EE0709" w:rsidR="009B2DCB" w:rsidRPr="00AE5356" w:rsidRDefault="0007613A" w:rsidP="00AE5356">
            <w:r>
              <w:t>Ņemts vērā.</w:t>
            </w:r>
          </w:p>
          <w:p w14:paraId="6FC5324E" w14:textId="77777777" w:rsidR="009B2DCB" w:rsidRPr="00AE5356" w:rsidRDefault="009B2DCB" w:rsidP="00AE5356"/>
          <w:p w14:paraId="550E865B" w14:textId="1EB527C3" w:rsidR="009B2DCB" w:rsidRPr="00AE5356" w:rsidRDefault="009B2DCB" w:rsidP="00AE5356"/>
          <w:p w14:paraId="35D70352" w14:textId="77777777" w:rsidR="009B2DCB" w:rsidRPr="00AE5356" w:rsidRDefault="009B2DCB" w:rsidP="00AE5356"/>
          <w:p w14:paraId="32B324D7" w14:textId="77777777" w:rsidR="009B2DCB" w:rsidRPr="00AE5356" w:rsidRDefault="009B2DCB" w:rsidP="00AE5356"/>
          <w:p w14:paraId="13BB9EFB" w14:textId="77777777" w:rsidR="009B2DCB" w:rsidRPr="00AE5356" w:rsidRDefault="009B2DCB" w:rsidP="00AE5356"/>
          <w:p w14:paraId="3325C7FD" w14:textId="77777777" w:rsidR="009B2DCB" w:rsidRPr="00AE5356" w:rsidRDefault="009B2DCB" w:rsidP="00AE5356"/>
          <w:p w14:paraId="1DF0976E" w14:textId="77777777" w:rsidR="009B2DCB" w:rsidRPr="00AE5356" w:rsidRDefault="009B2DCB" w:rsidP="00AE5356"/>
          <w:p w14:paraId="35171DC9" w14:textId="77777777" w:rsidR="009B2DCB" w:rsidRPr="00AE5356" w:rsidRDefault="009B2DCB" w:rsidP="00AE5356"/>
          <w:p w14:paraId="5C518BF0" w14:textId="77777777" w:rsidR="009B2DCB" w:rsidRPr="00AE5356" w:rsidRDefault="009B2DCB" w:rsidP="00AE5356"/>
          <w:p w14:paraId="4263EF24" w14:textId="77777777" w:rsidR="009B2DCB" w:rsidRPr="00AE5356" w:rsidRDefault="009B2DCB" w:rsidP="00AE5356"/>
          <w:p w14:paraId="0512F0B3" w14:textId="77777777" w:rsidR="009B2DCB" w:rsidRPr="00AE5356" w:rsidRDefault="009B2DCB" w:rsidP="00AE5356"/>
          <w:p w14:paraId="01E8BB1E" w14:textId="77777777" w:rsidR="009B2DCB" w:rsidRPr="00AE5356" w:rsidRDefault="009B2DCB" w:rsidP="00AE5356"/>
          <w:p w14:paraId="0578669A" w14:textId="77777777" w:rsidR="009B2DCB" w:rsidRPr="00AE5356" w:rsidRDefault="009B2DCB" w:rsidP="00AE5356"/>
          <w:p w14:paraId="43BE65FB" w14:textId="77777777" w:rsidR="009B2DCB" w:rsidRPr="00AE5356" w:rsidRDefault="009B2DCB" w:rsidP="00AE5356"/>
          <w:p w14:paraId="34E91312" w14:textId="77777777" w:rsidR="009B2DCB" w:rsidRPr="00AE5356" w:rsidRDefault="009B2DCB" w:rsidP="00AE5356"/>
          <w:p w14:paraId="69120C48" w14:textId="25672969" w:rsidR="009B2DCB" w:rsidRPr="00AE5356" w:rsidRDefault="00D72292" w:rsidP="00AE5356">
            <w:r>
              <w:t>Ņemts vērā</w:t>
            </w:r>
            <w:r w:rsidR="009B2DCB" w:rsidRPr="00AE5356">
              <w:t>.</w:t>
            </w:r>
          </w:p>
          <w:p w14:paraId="4DB59801" w14:textId="77777777" w:rsidR="009B2DCB" w:rsidRPr="00AE5356" w:rsidRDefault="009B2DCB" w:rsidP="00AE5356"/>
          <w:p w14:paraId="015B1B8C" w14:textId="77777777" w:rsidR="009B2DCB" w:rsidRPr="00AE5356" w:rsidRDefault="009B2DCB" w:rsidP="00AE5356"/>
          <w:p w14:paraId="04D3D84A" w14:textId="77777777" w:rsidR="009B2DCB" w:rsidRPr="00AE5356" w:rsidRDefault="009B2DCB" w:rsidP="00AE5356"/>
          <w:p w14:paraId="22896958" w14:textId="77777777" w:rsidR="009B2DCB" w:rsidRPr="00AE5356" w:rsidRDefault="009B2DCB" w:rsidP="00AE5356"/>
          <w:p w14:paraId="48DD00A9" w14:textId="77777777" w:rsidR="009B2DCB" w:rsidRPr="00AE5356" w:rsidRDefault="009B2DCB" w:rsidP="00AE5356"/>
          <w:p w14:paraId="3BBD2BFF" w14:textId="77777777" w:rsidR="009B2DCB" w:rsidRPr="00AE5356" w:rsidRDefault="004D1828" w:rsidP="00AE5356">
            <w:r>
              <w:t>Ņemts vērā</w:t>
            </w:r>
          </w:p>
          <w:p w14:paraId="7DB4274B" w14:textId="77777777" w:rsidR="009B2DCB" w:rsidRPr="00AE5356" w:rsidRDefault="009B2DCB" w:rsidP="00AE5356"/>
          <w:p w14:paraId="26C31A9D" w14:textId="792DB929" w:rsidR="009B2DCB" w:rsidRPr="00AE5356" w:rsidRDefault="009B2DCB" w:rsidP="00AE5356"/>
        </w:tc>
        <w:tc>
          <w:tcPr>
            <w:tcW w:w="3544" w:type="dxa"/>
            <w:tcBorders>
              <w:top w:val="single" w:sz="4" w:space="0" w:color="auto"/>
              <w:left w:val="single" w:sz="4" w:space="0" w:color="auto"/>
              <w:bottom w:val="single" w:sz="4" w:space="0" w:color="auto"/>
            </w:tcBorders>
          </w:tcPr>
          <w:p w14:paraId="0704623C" w14:textId="27C55CDC" w:rsidR="009B2DCB" w:rsidRDefault="0007613A" w:rsidP="009B2DCB">
            <w:pPr>
              <w:jc w:val="both"/>
              <w:rPr>
                <w:color w:val="000000"/>
              </w:rPr>
            </w:pPr>
            <w:r>
              <w:lastRenderedPageBreak/>
              <w:t>Veiktas izmaiņas 3.1. nodaļā 17. lpp.</w:t>
            </w:r>
          </w:p>
          <w:p w14:paraId="7E0F0571" w14:textId="77777777" w:rsidR="00D72292" w:rsidRPr="00D72292" w:rsidRDefault="00D72292" w:rsidP="00D72292">
            <w:pPr>
              <w:jc w:val="both"/>
              <w:rPr>
                <w:color w:val="000000"/>
              </w:rPr>
            </w:pPr>
            <w:r w:rsidRPr="00D72292">
              <w:rPr>
                <w:color w:val="000000"/>
              </w:rPr>
              <w:t>Atbilstoši Finanšu nozares asociācijas veiktajam apkopojumam, banku vēlmi un spēju finansēt nosaka šādi aspekti:</w:t>
            </w:r>
          </w:p>
          <w:p w14:paraId="2150B34B" w14:textId="77777777" w:rsidR="00D72292" w:rsidRPr="00D72292" w:rsidRDefault="00D72292" w:rsidP="00D72292">
            <w:pPr>
              <w:jc w:val="both"/>
              <w:rPr>
                <w:color w:val="000000"/>
              </w:rPr>
            </w:pPr>
            <w:r w:rsidRPr="00D72292">
              <w:rPr>
                <w:color w:val="000000"/>
              </w:rPr>
              <w:t>•</w:t>
            </w:r>
            <w:r w:rsidRPr="00D72292">
              <w:rPr>
                <w:color w:val="000000"/>
              </w:rPr>
              <w:tab/>
              <w:t>bankas vēlas kreditēt vairāk, vienlaikus veicinot atbildīgu kreditēšanu;</w:t>
            </w:r>
          </w:p>
          <w:p w14:paraId="2FFB05CF" w14:textId="77777777" w:rsidR="00D72292" w:rsidRPr="00D72292" w:rsidRDefault="00D72292" w:rsidP="00D72292">
            <w:pPr>
              <w:jc w:val="both"/>
              <w:rPr>
                <w:color w:val="000000"/>
              </w:rPr>
            </w:pPr>
            <w:r w:rsidRPr="00D72292">
              <w:rPr>
                <w:color w:val="000000"/>
              </w:rPr>
              <w:t>•</w:t>
            </w:r>
            <w:r w:rsidRPr="00D72292">
              <w:rPr>
                <w:color w:val="000000"/>
              </w:rPr>
              <w:tab/>
              <w:t>risku modeļi un cenu veidošanas politika nav lokāla – ir vienots grupas modelis, kas noteikts Baltijas līmenī un ir uzraugu akceptēts</w:t>
            </w:r>
          </w:p>
          <w:p w14:paraId="4C1AAD91" w14:textId="77777777" w:rsidR="00D72292" w:rsidRPr="00D72292" w:rsidRDefault="00D72292" w:rsidP="00D72292">
            <w:pPr>
              <w:jc w:val="both"/>
              <w:rPr>
                <w:color w:val="000000"/>
              </w:rPr>
            </w:pPr>
            <w:r w:rsidRPr="00D72292">
              <w:rPr>
                <w:color w:val="000000"/>
              </w:rPr>
              <w:t>•</w:t>
            </w:r>
            <w:r w:rsidRPr="00D72292">
              <w:rPr>
                <w:color w:val="000000"/>
              </w:rPr>
              <w:tab/>
              <w:t xml:space="preserve">aizdevuma procentu likmi primāri nosaka nevis vēlme pelnīt, </w:t>
            </w:r>
            <w:r w:rsidRPr="00D72292">
              <w:rPr>
                <w:color w:val="000000"/>
              </w:rPr>
              <w:lastRenderedPageBreak/>
              <w:t>bet reālos datos balstīts risku izvērtējums (ekonomikas cikliskums, ēnu ekonomika, parādu atgūšanas iespēja, tiesiskā vide u.c.);</w:t>
            </w:r>
          </w:p>
          <w:p w14:paraId="36816593" w14:textId="77777777" w:rsidR="00D72292" w:rsidRPr="00D72292" w:rsidRDefault="00D72292" w:rsidP="00D72292">
            <w:pPr>
              <w:jc w:val="both"/>
              <w:rPr>
                <w:color w:val="000000"/>
              </w:rPr>
            </w:pPr>
            <w:r w:rsidRPr="00D72292">
              <w:rPr>
                <w:color w:val="000000"/>
              </w:rPr>
              <w:t>•</w:t>
            </w:r>
            <w:r w:rsidRPr="00D72292">
              <w:rPr>
                <w:color w:val="000000"/>
              </w:rPr>
              <w:tab/>
              <w:t>uzņēmumu spēja aizņemties, analizējot kapitāla pietiekamību un pelnītspējas rādītājus, ir vērtējama kā vāja;</w:t>
            </w:r>
          </w:p>
          <w:p w14:paraId="4E394B20" w14:textId="1D228056" w:rsidR="004D1828" w:rsidRDefault="00D72292" w:rsidP="00D72292">
            <w:pPr>
              <w:jc w:val="both"/>
              <w:rPr>
                <w:color w:val="000000"/>
              </w:rPr>
            </w:pPr>
            <w:r w:rsidRPr="00D72292">
              <w:rPr>
                <w:color w:val="000000"/>
              </w:rPr>
              <w:t>•</w:t>
            </w:r>
            <w:r w:rsidRPr="00D72292">
              <w:rPr>
                <w:color w:val="000000"/>
              </w:rPr>
              <w:tab/>
              <w:t>fizisko personu parādsaistības (Uzturlīdzekļu garaniju fondam, parādi par komunālajiem pakalpojumiem, nodokļu parādi, piedziņai pēc tiesas nolēmuma nodotas lietas).</w:t>
            </w:r>
          </w:p>
          <w:p w14:paraId="0703E55C" w14:textId="77777777" w:rsidR="004D1828" w:rsidRDefault="004D1828" w:rsidP="009B2DCB">
            <w:pPr>
              <w:jc w:val="both"/>
              <w:rPr>
                <w:color w:val="000000"/>
              </w:rPr>
            </w:pPr>
          </w:p>
          <w:p w14:paraId="3B829D57" w14:textId="77777777" w:rsidR="004D1828" w:rsidRDefault="004D1828" w:rsidP="009B2DCB">
            <w:pPr>
              <w:jc w:val="both"/>
              <w:rPr>
                <w:color w:val="000000"/>
              </w:rPr>
            </w:pPr>
          </w:p>
          <w:p w14:paraId="1CDADECF" w14:textId="77777777" w:rsidR="004D1828" w:rsidRDefault="004D1828" w:rsidP="009B2DCB">
            <w:pPr>
              <w:jc w:val="both"/>
              <w:rPr>
                <w:color w:val="000000"/>
              </w:rPr>
            </w:pPr>
          </w:p>
          <w:p w14:paraId="08750193" w14:textId="3B557F38" w:rsidR="004D1828" w:rsidRDefault="00B25D54" w:rsidP="009B2DCB">
            <w:pPr>
              <w:jc w:val="both"/>
              <w:rPr>
                <w:color w:val="000000"/>
              </w:rPr>
            </w:pPr>
            <w:r>
              <w:rPr>
                <w:color w:val="000000"/>
              </w:rPr>
              <w:t>16. lpp. pievienota informācija šādā redakcijā:</w:t>
            </w:r>
            <w:r w:rsidR="009300FB">
              <w:rPr>
                <w:color w:val="000000"/>
              </w:rPr>
              <w:t xml:space="preserve"> </w:t>
            </w:r>
            <w:r w:rsidR="00D72292" w:rsidRPr="00D72292">
              <w:rPr>
                <w:color w:val="000000"/>
              </w:rPr>
              <w:t>Tāpat nepieciešams turpināt uzņēmējdarbības tiesiskās vides  pilnveidi, ņemot vērā, ka 59% visu juridisko personu procesu tiek pabeigti ar ziņojumu par mantas neesamību, savukārt maksātnespējas procesa izmaksas pārsniedz ieguvumu ”, kā arī uzsvērt agrās brīdināšanas sistēmas ieviešanas nepieciešamību.</w:t>
            </w:r>
          </w:p>
          <w:p w14:paraId="0BCA2345" w14:textId="77777777" w:rsidR="004D1828" w:rsidRDefault="004D1828" w:rsidP="009B2DCB">
            <w:pPr>
              <w:jc w:val="both"/>
              <w:rPr>
                <w:color w:val="000000"/>
              </w:rPr>
            </w:pPr>
          </w:p>
          <w:p w14:paraId="64B7D0C0" w14:textId="77777777" w:rsidR="004D1828" w:rsidRDefault="004D1828" w:rsidP="009B2DCB">
            <w:pPr>
              <w:jc w:val="both"/>
              <w:rPr>
                <w:color w:val="000000"/>
              </w:rPr>
            </w:pPr>
          </w:p>
          <w:p w14:paraId="7AD048E9" w14:textId="77777777" w:rsidR="004D1828" w:rsidRDefault="004D1828" w:rsidP="009B2DCB">
            <w:pPr>
              <w:jc w:val="both"/>
              <w:rPr>
                <w:color w:val="000000"/>
              </w:rPr>
            </w:pPr>
          </w:p>
          <w:p w14:paraId="238A19D1" w14:textId="77777777" w:rsidR="004D1828" w:rsidRDefault="004D1828" w:rsidP="009B2DCB">
            <w:pPr>
              <w:jc w:val="both"/>
              <w:rPr>
                <w:color w:val="000000"/>
              </w:rPr>
            </w:pPr>
          </w:p>
          <w:p w14:paraId="040D347B" w14:textId="77777777" w:rsidR="004D1828" w:rsidRDefault="004D1828" w:rsidP="009B2DCB">
            <w:pPr>
              <w:jc w:val="both"/>
              <w:rPr>
                <w:color w:val="000000"/>
              </w:rPr>
            </w:pPr>
          </w:p>
          <w:p w14:paraId="09A30617" w14:textId="77777777" w:rsidR="004D1828" w:rsidRDefault="004D1828" w:rsidP="009B2DCB">
            <w:pPr>
              <w:jc w:val="both"/>
              <w:rPr>
                <w:color w:val="000000"/>
              </w:rPr>
            </w:pPr>
          </w:p>
          <w:p w14:paraId="4E2D44B2" w14:textId="77777777" w:rsidR="004D1828" w:rsidRDefault="004D1828" w:rsidP="009B2DCB">
            <w:pPr>
              <w:jc w:val="both"/>
              <w:rPr>
                <w:color w:val="000000"/>
              </w:rPr>
            </w:pPr>
          </w:p>
          <w:p w14:paraId="39B13E2D" w14:textId="77777777" w:rsidR="004D1828" w:rsidRDefault="004D1828" w:rsidP="009B2DCB">
            <w:pPr>
              <w:jc w:val="both"/>
              <w:rPr>
                <w:color w:val="000000"/>
              </w:rPr>
            </w:pPr>
          </w:p>
          <w:p w14:paraId="5FAB1232" w14:textId="77777777" w:rsidR="004D1828" w:rsidRDefault="004D1828" w:rsidP="009B2DCB">
            <w:pPr>
              <w:jc w:val="both"/>
              <w:rPr>
                <w:color w:val="000000"/>
              </w:rPr>
            </w:pPr>
          </w:p>
          <w:p w14:paraId="40E5FDCD" w14:textId="77777777" w:rsidR="004D1828" w:rsidRDefault="004D1828" w:rsidP="009B2DCB">
            <w:pPr>
              <w:jc w:val="both"/>
              <w:rPr>
                <w:color w:val="000000"/>
              </w:rPr>
            </w:pPr>
          </w:p>
          <w:p w14:paraId="5246820E" w14:textId="77777777" w:rsidR="004D1828" w:rsidRDefault="004D1828" w:rsidP="009B2DCB">
            <w:pPr>
              <w:jc w:val="both"/>
              <w:rPr>
                <w:color w:val="000000"/>
              </w:rPr>
            </w:pPr>
          </w:p>
          <w:p w14:paraId="75F83218" w14:textId="77777777" w:rsidR="004D1828" w:rsidRDefault="004D1828" w:rsidP="009B2DCB">
            <w:pPr>
              <w:jc w:val="both"/>
              <w:rPr>
                <w:color w:val="000000"/>
              </w:rPr>
            </w:pPr>
          </w:p>
          <w:p w14:paraId="4DA6A8D8" w14:textId="77777777" w:rsidR="004D1828" w:rsidRDefault="004D1828" w:rsidP="009B2DCB">
            <w:pPr>
              <w:jc w:val="both"/>
              <w:rPr>
                <w:color w:val="000000"/>
              </w:rPr>
            </w:pPr>
          </w:p>
          <w:p w14:paraId="0DA8567D" w14:textId="77777777" w:rsidR="004D1828" w:rsidRDefault="004D1828" w:rsidP="009B2DCB">
            <w:pPr>
              <w:jc w:val="both"/>
              <w:rPr>
                <w:color w:val="000000"/>
              </w:rPr>
            </w:pPr>
          </w:p>
          <w:p w14:paraId="0E0AC218" w14:textId="77777777" w:rsidR="004D1828" w:rsidRDefault="004D1828" w:rsidP="009B2DCB">
            <w:pPr>
              <w:jc w:val="both"/>
              <w:rPr>
                <w:color w:val="000000"/>
              </w:rPr>
            </w:pPr>
          </w:p>
          <w:p w14:paraId="4DC4CD89" w14:textId="77777777" w:rsidR="004D1828" w:rsidRDefault="004D1828" w:rsidP="009B2DCB">
            <w:pPr>
              <w:jc w:val="both"/>
              <w:rPr>
                <w:color w:val="000000"/>
              </w:rPr>
            </w:pPr>
          </w:p>
          <w:p w14:paraId="120DF12A" w14:textId="77777777" w:rsidR="004D1828" w:rsidRDefault="004D1828" w:rsidP="009B2DCB">
            <w:pPr>
              <w:jc w:val="both"/>
              <w:rPr>
                <w:color w:val="000000"/>
              </w:rPr>
            </w:pPr>
          </w:p>
          <w:p w14:paraId="3BE99D6B" w14:textId="77777777" w:rsidR="004D1828" w:rsidRDefault="004D1828" w:rsidP="009B2DCB">
            <w:pPr>
              <w:jc w:val="both"/>
              <w:rPr>
                <w:color w:val="000000"/>
              </w:rPr>
            </w:pPr>
          </w:p>
          <w:p w14:paraId="0C48DE74" w14:textId="77777777" w:rsidR="004D1828" w:rsidRDefault="004D1828" w:rsidP="009B2DCB">
            <w:pPr>
              <w:jc w:val="both"/>
              <w:rPr>
                <w:color w:val="000000"/>
              </w:rPr>
            </w:pPr>
          </w:p>
          <w:p w14:paraId="628AADAE" w14:textId="77777777" w:rsidR="004D1828" w:rsidRDefault="004D1828" w:rsidP="009B2DCB">
            <w:pPr>
              <w:jc w:val="both"/>
              <w:rPr>
                <w:color w:val="000000"/>
              </w:rPr>
            </w:pPr>
          </w:p>
          <w:p w14:paraId="7D35C61F" w14:textId="77777777" w:rsidR="004D1828" w:rsidRDefault="004D1828" w:rsidP="009B2DCB">
            <w:pPr>
              <w:jc w:val="both"/>
              <w:rPr>
                <w:color w:val="000000"/>
              </w:rPr>
            </w:pPr>
          </w:p>
          <w:p w14:paraId="12FE9245" w14:textId="77777777" w:rsidR="004D1828" w:rsidRDefault="004D1828" w:rsidP="009B2DCB">
            <w:pPr>
              <w:jc w:val="both"/>
              <w:rPr>
                <w:color w:val="000000"/>
              </w:rPr>
            </w:pPr>
          </w:p>
          <w:p w14:paraId="4B3E100C" w14:textId="77777777" w:rsidR="004D1828" w:rsidRDefault="004D1828" w:rsidP="009B2DCB">
            <w:pPr>
              <w:jc w:val="both"/>
              <w:rPr>
                <w:color w:val="000000"/>
              </w:rPr>
            </w:pPr>
          </w:p>
          <w:p w14:paraId="26FA71EE" w14:textId="77777777" w:rsidR="004D1828" w:rsidRDefault="004D1828" w:rsidP="009B2DCB">
            <w:pPr>
              <w:jc w:val="both"/>
              <w:rPr>
                <w:color w:val="000000"/>
              </w:rPr>
            </w:pPr>
          </w:p>
          <w:p w14:paraId="70F17B91" w14:textId="77777777" w:rsidR="004D1828" w:rsidRDefault="004D1828" w:rsidP="009B2DCB">
            <w:pPr>
              <w:jc w:val="both"/>
              <w:rPr>
                <w:color w:val="000000"/>
              </w:rPr>
            </w:pPr>
          </w:p>
          <w:p w14:paraId="7B1E6E25" w14:textId="77777777" w:rsidR="004D1828" w:rsidRDefault="004D1828" w:rsidP="009B2DCB">
            <w:pPr>
              <w:jc w:val="both"/>
              <w:rPr>
                <w:color w:val="000000"/>
              </w:rPr>
            </w:pPr>
          </w:p>
          <w:p w14:paraId="5974870A" w14:textId="77777777" w:rsidR="004D1828" w:rsidRDefault="004D1828" w:rsidP="009B2DCB">
            <w:pPr>
              <w:jc w:val="both"/>
              <w:rPr>
                <w:color w:val="000000"/>
              </w:rPr>
            </w:pPr>
          </w:p>
          <w:p w14:paraId="666D5F60" w14:textId="77777777" w:rsidR="004D1828" w:rsidRDefault="004D1828" w:rsidP="009B2DCB">
            <w:pPr>
              <w:jc w:val="both"/>
              <w:rPr>
                <w:color w:val="000000"/>
              </w:rPr>
            </w:pPr>
          </w:p>
          <w:p w14:paraId="0CF0D06D" w14:textId="77777777" w:rsidR="004D1828" w:rsidRDefault="004D1828" w:rsidP="009B2DCB">
            <w:pPr>
              <w:jc w:val="both"/>
              <w:rPr>
                <w:color w:val="000000"/>
              </w:rPr>
            </w:pPr>
          </w:p>
          <w:p w14:paraId="0D78A451" w14:textId="77777777" w:rsidR="004D1828" w:rsidRDefault="004D1828" w:rsidP="009B2DCB">
            <w:pPr>
              <w:jc w:val="both"/>
              <w:rPr>
                <w:color w:val="000000"/>
              </w:rPr>
            </w:pPr>
          </w:p>
          <w:p w14:paraId="68446C2C" w14:textId="77777777" w:rsidR="004D1828" w:rsidRDefault="004D1828" w:rsidP="009B2DCB">
            <w:pPr>
              <w:jc w:val="both"/>
              <w:rPr>
                <w:color w:val="000000"/>
              </w:rPr>
            </w:pPr>
          </w:p>
          <w:p w14:paraId="23F6CF65" w14:textId="77777777" w:rsidR="004D1828" w:rsidRDefault="004D1828" w:rsidP="009B2DCB">
            <w:pPr>
              <w:jc w:val="both"/>
              <w:rPr>
                <w:color w:val="000000"/>
              </w:rPr>
            </w:pPr>
          </w:p>
          <w:p w14:paraId="4E7F0F63" w14:textId="77777777" w:rsidR="004D1828" w:rsidRDefault="004D1828" w:rsidP="009B2DCB">
            <w:pPr>
              <w:jc w:val="both"/>
              <w:rPr>
                <w:color w:val="000000"/>
              </w:rPr>
            </w:pPr>
          </w:p>
          <w:p w14:paraId="7B7E1D8E" w14:textId="77777777" w:rsidR="004D1828" w:rsidRDefault="004D1828" w:rsidP="009B2DCB">
            <w:pPr>
              <w:jc w:val="both"/>
              <w:rPr>
                <w:color w:val="000000"/>
              </w:rPr>
            </w:pPr>
          </w:p>
          <w:p w14:paraId="3040D390" w14:textId="77777777" w:rsidR="004D1828" w:rsidRDefault="004D1828" w:rsidP="009B2DCB">
            <w:pPr>
              <w:jc w:val="both"/>
              <w:rPr>
                <w:color w:val="000000"/>
              </w:rPr>
            </w:pPr>
          </w:p>
          <w:p w14:paraId="5BEFEDFE" w14:textId="77777777" w:rsidR="009B2DCB" w:rsidRPr="00AE5356" w:rsidRDefault="004D1828" w:rsidP="00AE5356">
            <w:pPr>
              <w:jc w:val="both"/>
              <w:rPr>
                <w:color w:val="000000"/>
              </w:rPr>
            </w:pPr>
            <w:r>
              <w:rPr>
                <w:color w:val="000000"/>
              </w:rPr>
              <w:t>1.2.6. uzdevums paredz veikt izvērtējumu un attiecīgu normatīvo aktu iesniegšanu.</w:t>
            </w:r>
          </w:p>
        </w:tc>
      </w:tr>
      <w:tr w:rsidR="009B2DCB" w:rsidRPr="00AE5356" w14:paraId="662B5EF8" w14:textId="77777777" w:rsidTr="000E70CD">
        <w:tc>
          <w:tcPr>
            <w:tcW w:w="944" w:type="dxa"/>
            <w:tcBorders>
              <w:left w:val="single" w:sz="6" w:space="0" w:color="000000" w:themeColor="text1"/>
              <w:bottom w:val="single" w:sz="4" w:space="0" w:color="auto"/>
              <w:right w:val="single" w:sz="6" w:space="0" w:color="000000" w:themeColor="text1"/>
            </w:tcBorders>
          </w:tcPr>
          <w:p w14:paraId="2F220728"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477960AC" w14:textId="081DFC1B" w:rsidR="009B2DCB" w:rsidRPr="00AE5356" w:rsidRDefault="009B2DCB" w:rsidP="00AE5356">
            <w:pPr>
              <w:pStyle w:val="naisc"/>
              <w:spacing w:before="0" w:after="0"/>
              <w:jc w:val="left"/>
            </w:pPr>
            <w:r w:rsidRPr="00AE5356">
              <w:t>8. lpp., “Šo izmaiņu rezultātā ir samazinājusies kredītiestāžu peļņa, tomēr kredītiestāžu vidējie atdeves rādītāji pārsniedz ES vidējo līmeni.”</w:t>
            </w:r>
          </w:p>
        </w:tc>
        <w:tc>
          <w:tcPr>
            <w:tcW w:w="4819" w:type="dxa"/>
            <w:gridSpan w:val="2"/>
            <w:tcBorders>
              <w:left w:val="single" w:sz="6" w:space="0" w:color="000000" w:themeColor="text1"/>
              <w:bottom w:val="single" w:sz="4" w:space="0" w:color="auto"/>
              <w:right w:val="single" w:sz="6" w:space="0" w:color="000000" w:themeColor="text1"/>
            </w:tcBorders>
          </w:tcPr>
          <w:p w14:paraId="167E89D8" w14:textId="6BE81161" w:rsidR="009B2DCB" w:rsidRPr="00AE5356" w:rsidRDefault="009B2DCB" w:rsidP="00AE5356">
            <w:pPr>
              <w:contextualSpacing/>
              <w:jc w:val="both"/>
            </w:pPr>
            <w:r w:rsidRPr="00AE5356">
              <w:t>Lūgums precizēt, par kādu atdevi ir runa - kapitāla, aktīvu?</w:t>
            </w:r>
          </w:p>
        </w:tc>
        <w:tc>
          <w:tcPr>
            <w:tcW w:w="2835" w:type="dxa"/>
            <w:tcBorders>
              <w:left w:val="single" w:sz="6" w:space="0" w:color="000000" w:themeColor="text1"/>
              <w:bottom w:val="single" w:sz="4" w:space="0" w:color="auto"/>
              <w:right w:val="single" w:sz="6" w:space="0" w:color="000000" w:themeColor="text1"/>
            </w:tcBorders>
          </w:tcPr>
          <w:p w14:paraId="0F7AD167" w14:textId="2C6ABB7D" w:rsidR="009B2DCB" w:rsidRPr="00AE5356" w:rsidRDefault="0007613A" w:rsidP="0007613A">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30A4D815" w14:textId="77777777" w:rsidR="0007613A" w:rsidRPr="00AE5356" w:rsidRDefault="0007613A" w:rsidP="0007613A">
            <w:pPr>
              <w:pStyle w:val="naisc"/>
              <w:spacing w:before="0" w:after="0"/>
              <w:jc w:val="left"/>
            </w:pPr>
            <w:r>
              <w:t>Informācija jau ir iekļauta</w:t>
            </w:r>
            <w:r w:rsidRPr="00AE5356">
              <w:t xml:space="preserve"> 3.1. nodaļā.</w:t>
            </w:r>
          </w:p>
          <w:p w14:paraId="75C01D27" w14:textId="77777777" w:rsidR="009B2DCB" w:rsidRPr="00AE5356" w:rsidRDefault="009B2DCB" w:rsidP="00AE5356">
            <w:pPr>
              <w:jc w:val="both"/>
              <w:rPr>
                <w:color w:val="000000"/>
              </w:rPr>
            </w:pPr>
          </w:p>
        </w:tc>
      </w:tr>
      <w:tr w:rsidR="009B2DCB" w:rsidRPr="00AE5356" w14:paraId="1555F891" w14:textId="77777777" w:rsidTr="000E70CD">
        <w:tc>
          <w:tcPr>
            <w:tcW w:w="944" w:type="dxa"/>
            <w:tcBorders>
              <w:left w:val="single" w:sz="6" w:space="0" w:color="000000" w:themeColor="text1"/>
              <w:bottom w:val="single" w:sz="4" w:space="0" w:color="auto"/>
              <w:right w:val="single" w:sz="6" w:space="0" w:color="000000" w:themeColor="text1"/>
            </w:tcBorders>
          </w:tcPr>
          <w:p w14:paraId="28E74F66"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4CDDC6D5" w14:textId="54FED066" w:rsidR="009B2DCB" w:rsidRPr="00AE5356" w:rsidRDefault="009B2DCB" w:rsidP="00AE5356">
            <w:pPr>
              <w:pStyle w:val="naisc"/>
              <w:spacing w:before="0" w:after="0"/>
              <w:jc w:val="left"/>
            </w:pPr>
            <w:r w:rsidRPr="00AE5356">
              <w:t xml:space="preserve">8. lpp., “2019. gadā un 2020.gada pirmajā pusē uzņēmumu un </w:t>
            </w:r>
            <w:r w:rsidRPr="00AE5356">
              <w:lastRenderedPageBreak/>
              <w:t>privātpersonu kreditēšana bija vāja.”</w:t>
            </w:r>
          </w:p>
        </w:tc>
        <w:tc>
          <w:tcPr>
            <w:tcW w:w="4819" w:type="dxa"/>
            <w:gridSpan w:val="2"/>
            <w:tcBorders>
              <w:left w:val="single" w:sz="6" w:space="0" w:color="000000" w:themeColor="text1"/>
              <w:bottom w:val="single" w:sz="4" w:space="0" w:color="auto"/>
              <w:right w:val="single" w:sz="6" w:space="0" w:color="000000" w:themeColor="text1"/>
            </w:tcBorders>
          </w:tcPr>
          <w:p w14:paraId="7321BDDB" w14:textId="40EFA7C1" w:rsidR="009B2DCB" w:rsidRPr="00AE5356" w:rsidRDefault="009B2DCB" w:rsidP="00AE5356">
            <w:pPr>
              <w:contextualSpacing/>
              <w:jc w:val="both"/>
            </w:pPr>
            <w:r w:rsidRPr="007C5D4D">
              <w:lastRenderedPageBreak/>
              <w:t xml:space="preserve">Lūgums statistiski pamatot apgalvojumu, ka kreditēšana bijusi vāja 2019.gadā un 2020.gada pirmajā pusē, nevis atbilstoša konkrētajai ekonomiskajai situācijai, kā arī aizņēmēju </w:t>
            </w:r>
            <w:r w:rsidRPr="007C5D4D">
              <w:lastRenderedPageBreak/>
              <w:t>vēlmei un, it īpaši, spējai aizņemties. Jāņem vērā, ka kreditēšanas tempi ir jāvērtē kopsakarā ar atbildīgas kreditēšanas principiem, kā arī aizvien pieaugošajiem tiesiskajiem ierobežojumiem, kas ietekmē kreditēšanu, akcentējot aizvien piesardzīgāku rīcību. Lūgums atbilstoši precizēt Plānu.</w:t>
            </w:r>
            <w:r w:rsidRPr="00AE5356">
              <w:t xml:space="preserve"> </w:t>
            </w:r>
          </w:p>
        </w:tc>
        <w:tc>
          <w:tcPr>
            <w:tcW w:w="2835" w:type="dxa"/>
            <w:tcBorders>
              <w:left w:val="single" w:sz="6" w:space="0" w:color="000000" w:themeColor="text1"/>
              <w:bottom w:val="single" w:sz="4" w:space="0" w:color="auto"/>
              <w:right w:val="single" w:sz="6" w:space="0" w:color="000000" w:themeColor="text1"/>
            </w:tcBorders>
          </w:tcPr>
          <w:p w14:paraId="762A8B7D" w14:textId="123547D9" w:rsidR="009B2DCB" w:rsidRPr="00AE5356" w:rsidRDefault="00623F75" w:rsidP="00AE5356">
            <w:pPr>
              <w:pStyle w:val="naisc"/>
              <w:spacing w:before="0" w:after="0"/>
              <w:jc w:val="left"/>
            </w:pPr>
            <w:r>
              <w:lastRenderedPageBreak/>
              <w:t>Daļēji</w:t>
            </w:r>
            <w:r w:rsidRPr="00AE5356">
              <w:t xml:space="preserve"> </w:t>
            </w:r>
            <w:r w:rsidR="009B2DCB" w:rsidRPr="00AE5356">
              <w:t>ņemts vērā</w:t>
            </w:r>
            <w:r w:rsidR="002E0BE7">
              <w:t>.</w:t>
            </w:r>
          </w:p>
          <w:p w14:paraId="707D6AA6" w14:textId="34D0A2D9" w:rsidR="009B2DCB" w:rsidRPr="00AE5356" w:rsidRDefault="009B2DCB" w:rsidP="00AE5356">
            <w:pPr>
              <w:pStyle w:val="naisc"/>
              <w:spacing w:before="0" w:after="0"/>
              <w:jc w:val="left"/>
            </w:pPr>
          </w:p>
        </w:tc>
        <w:tc>
          <w:tcPr>
            <w:tcW w:w="3544" w:type="dxa"/>
            <w:tcBorders>
              <w:top w:val="single" w:sz="4" w:space="0" w:color="auto"/>
              <w:left w:val="single" w:sz="4" w:space="0" w:color="auto"/>
              <w:bottom w:val="single" w:sz="4" w:space="0" w:color="auto"/>
            </w:tcBorders>
          </w:tcPr>
          <w:p w14:paraId="727D591D" w14:textId="76A5D41A" w:rsidR="009B2DCB" w:rsidRDefault="00623F75" w:rsidP="00AE5356">
            <w:pPr>
              <w:jc w:val="both"/>
              <w:rPr>
                <w:color w:val="000000"/>
              </w:rPr>
            </w:pPr>
            <w:r>
              <w:rPr>
                <w:color w:val="000000"/>
              </w:rPr>
              <w:t>Apg</w:t>
            </w:r>
            <w:r w:rsidR="009300FB">
              <w:rPr>
                <w:color w:val="000000"/>
              </w:rPr>
              <w:t>alvojumi ir skaitlisk</w:t>
            </w:r>
            <w:r w:rsidR="00221C4C">
              <w:rPr>
                <w:color w:val="000000"/>
              </w:rPr>
              <w:t>i pamatoti.</w:t>
            </w:r>
            <w:r>
              <w:rPr>
                <w:color w:val="000000"/>
              </w:rPr>
              <w:t xml:space="preserve"> </w:t>
            </w:r>
            <w:r w:rsidR="00221C4C">
              <w:rPr>
                <w:color w:val="000000"/>
              </w:rPr>
              <w:t>Papildus i</w:t>
            </w:r>
            <w:r>
              <w:rPr>
                <w:color w:val="000000"/>
              </w:rPr>
              <w:t>r veiktas izmaiņas tekstā, lai pilnīgāk atspoguļotu kreditēšanas jautājumu</w:t>
            </w:r>
            <w:r w:rsidR="007C5D4D">
              <w:rPr>
                <w:color w:val="000000"/>
              </w:rPr>
              <w:t>.</w:t>
            </w:r>
          </w:p>
          <w:p w14:paraId="61C96D89" w14:textId="77777777" w:rsidR="007C5D4D" w:rsidRDefault="007C5D4D" w:rsidP="00AE5356">
            <w:pPr>
              <w:jc w:val="both"/>
              <w:rPr>
                <w:color w:val="000000"/>
              </w:rPr>
            </w:pPr>
          </w:p>
          <w:p w14:paraId="7E1C1D08" w14:textId="77777777" w:rsidR="007C5D4D" w:rsidRDefault="007C5D4D" w:rsidP="00AE5356">
            <w:pPr>
              <w:jc w:val="both"/>
              <w:rPr>
                <w:color w:val="000000"/>
              </w:rPr>
            </w:pPr>
            <w:r>
              <w:rPr>
                <w:color w:val="000000"/>
              </w:rPr>
              <w:t>3.1 nodaļā, 16. lpp. pievienota informācija šādā redakcijā:</w:t>
            </w:r>
          </w:p>
          <w:p w14:paraId="7BD980B7" w14:textId="77777777" w:rsidR="007C5D4D" w:rsidRDefault="007C5D4D" w:rsidP="00AE5356">
            <w:pPr>
              <w:jc w:val="both"/>
              <w:rPr>
                <w:color w:val="000000"/>
              </w:rPr>
            </w:pPr>
            <w:r w:rsidRPr="007C5D4D">
              <w:rPr>
                <w:color w:val="000000"/>
              </w:rPr>
              <w:t>Tāpat nepieciešams turpināt uzņēmējdarbības tiesiskās vides  pilnveidi, ņemot vērā, ka 59% visu juridisko personu procesu tiek pabeigti ar ziņojumu par mantas neesamību, savukārt maksātnespējas procesa izmaksas pārsniedz ieguvumu ”, kā arī uzsvērt agrās brīdināšanas sistēmas ieviešanas nepieciešamību.</w:t>
            </w:r>
          </w:p>
          <w:p w14:paraId="394B584D" w14:textId="77777777" w:rsidR="007C5D4D" w:rsidRDefault="007C5D4D" w:rsidP="00AE5356">
            <w:pPr>
              <w:jc w:val="both"/>
              <w:rPr>
                <w:color w:val="000000"/>
              </w:rPr>
            </w:pPr>
          </w:p>
          <w:p w14:paraId="334051B6" w14:textId="77777777" w:rsidR="007C5D4D" w:rsidRDefault="007C5D4D" w:rsidP="00AE5356">
            <w:pPr>
              <w:jc w:val="both"/>
              <w:rPr>
                <w:color w:val="000000"/>
              </w:rPr>
            </w:pPr>
            <w:r>
              <w:rPr>
                <w:color w:val="000000"/>
              </w:rPr>
              <w:t>3.1. nodaļā, 17. lpp. pievienota informācija šādā redakcijā:</w:t>
            </w:r>
          </w:p>
          <w:p w14:paraId="2E96E484" w14:textId="77777777" w:rsidR="007C5D4D" w:rsidRPr="007C5D4D" w:rsidRDefault="007C5D4D" w:rsidP="007C5D4D">
            <w:pPr>
              <w:jc w:val="both"/>
              <w:rPr>
                <w:color w:val="000000"/>
              </w:rPr>
            </w:pPr>
            <w:r w:rsidRPr="007C5D4D">
              <w:rPr>
                <w:color w:val="000000"/>
              </w:rPr>
              <w:t>Atbilstoši Finanšu nozares asociācijas veiktajam apkopojumam, banku vēlmi un spēju finansēt nosaka šādi aspekti:</w:t>
            </w:r>
          </w:p>
          <w:p w14:paraId="6DC95652" w14:textId="77777777" w:rsidR="007C5D4D" w:rsidRPr="007C5D4D" w:rsidRDefault="007C5D4D" w:rsidP="007C5D4D">
            <w:pPr>
              <w:jc w:val="both"/>
              <w:rPr>
                <w:color w:val="000000"/>
              </w:rPr>
            </w:pPr>
            <w:r w:rsidRPr="007C5D4D">
              <w:rPr>
                <w:color w:val="000000"/>
              </w:rPr>
              <w:t>•</w:t>
            </w:r>
            <w:r w:rsidRPr="007C5D4D">
              <w:rPr>
                <w:color w:val="000000"/>
              </w:rPr>
              <w:tab/>
              <w:t>bankas vēlas kreditēt vairāk, vienlaikus veicinot atbildīgu kreditēšanu;</w:t>
            </w:r>
          </w:p>
          <w:p w14:paraId="600174BC" w14:textId="77777777" w:rsidR="007C5D4D" w:rsidRPr="007C5D4D" w:rsidRDefault="007C5D4D" w:rsidP="007C5D4D">
            <w:pPr>
              <w:jc w:val="both"/>
              <w:rPr>
                <w:color w:val="000000"/>
              </w:rPr>
            </w:pPr>
            <w:r w:rsidRPr="007C5D4D">
              <w:rPr>
                <w:color w:val="000000"/>
              </w:rPr>
              <w:t>•</w:t>
            </w:r>
            <w:r w:rsidRPr="007C5D4D">
              <w:rPr>
                <w:color w:val="000000"/>
              </w:rPr>
              <w:tab/>
              <w:t>risku modeļi un cenu veidošanas politika nav lokāla – ir vienots grupas modelis, kas noteikts Baltijas līmenī un ir uzraugu akceptēts</w:t>
            </w:r>
          </w:p>
          <w:p w14:paraId="32E82E55" w14:textId="77777777" w:rsidR="007C5D4D" w:rsidRPr="007C5D4D" w:rsidRDefault="007C5D4D" w:rsidP="007C5D4D">
            <w:pPr>
              <w:jc w:val="both"/>
              <w:rPr>
                <w:color w:val="000000"/>
              </w:rPr>
            </w:pPr>
            <w:r w:rsidRPr="007C5D4D">
              <w:rPr>
                <w:color w:val="000000"/>
              </w:rPr>
              <w:t>•</w:t>
            </w:r>
            <w:r w:rsidRPr="007C5D4D">
              <w:rPr>
                <w:color w:val="000000"/>
              </w:rPr>
              <w:tab/>
              <w:t xml:space="preserve">aizdevuma procentu likmi primāri nosaka nevis vēlme pelnīt, bet reālos datos balstīts risku </w:t>
            </w:r>
            <w:r w:rsidRPr="007C5D4D">
              <w:rPr>
                <w:color w:val="000000"/>
              </w:rPr>
              <w:lastRenderedPageBreak/>
              <w:t>izvērtējums (ekonomikas cikliskums, ēnu ekonomika, parādu atgūšanas iespēja, tiesiskā vide u.c.);</w:t>
            </w:r>
          </w:p>
          <w:p w14:paraId="10464B26" w14:textId="77777777" w:rsidR="007C5D4D" w:rsidRPr="007C5D4D" w:rsidRDefault="007C5D4D" w:rsidP="007C5D4D">
            <w:pPr>
              <w:jc w:val="both"/>
              <w:rPr>
                <w:color w:val="000000"/>
              </w:rPr>
            </w:pPr>
            <w:r w:rsidRPr="007C5D4D">
              <w:rPr>
                <w:color w:val="000000"/>
              </w:rPr>
              <w:t>•</w:t>
            </w:r>
            <w:r w:rsidRPr="007C5D4D">
              <w:rPr>
                <w:color w:val="000000"/>
              </w:rPr>
              <w:tab/>
              <w:t>uzņēmumu spēja aizņemties, analizējot kapitāla pietiekamību un pelnītspējas rādītājus, ir vērtējama kā vāja;</w:t>
            </w:r>
          </w:p>
          <w:p w14:paraId="16715852" w14:textId="76762E23" w:rsidR="007C5D4D" w:rsidRPr="00AE5356" w:rsidRDefault="007C5D4D" w:rsidP="007C5D4D">
            <w:pPr>
              <w:jc w:val="both"/>
              <w:rPr>
                <w:color w:val="000000"/>
              </w:rPr>
            </w:pPr>
            <w:r w:rsidRPr="007C5D4D">
              <w:rPr>
                <w:color w:val="000000"/>
              </w:rPr>
              <w:t>•</w:t>
            </w:r>
            <w:r w:rsidRPr="007C5D4D">
              <w:rPr>
                <w:color w:val="000000"/>
              </w:rPr>
              <w:tab/>
              <w:t>fizisko personu parādsaistības (Uzturlīdzekļu garan</w:t>
            </w:r>
            <w:r w:rsidR="009300FB">
              <w:rPr>
                <w:color w:val="000000"/>
              </w:rPr>
              <w:t>t</w:t>
            </w:r>
            <w:r w:rsidRPr="007C5D4D">
              <w:rPr>
                <w:color w:val="000000"/>
              </w:rPr>
              <w:t>iju fondam, parādi par komunālajiem pakalpojumiem, nodokļu parādi, piedziņai pēc tiesas nolēmuma nodotas lietas).,</w:t>
            </w:r>
          </w:p>
        </w:tc>
      </w:tr>
      <w:tr w:rsidR="009B2DCB" w:rsidRPr="00AE5356" w14:paraId="1D324048" w14:textId="77777777" w:rsidTr="000E70CD">
        <w:tc>
          <w:tcPr>
            <w:tcW w:w="944" w:type="dxa"/>
            <w:tcBorders>
              <w:left w:val="single" w:sz="6" w:space="0" w:color="000000" w:themeColor="text1"/>
              <w:bottom w:val="single" w:sz="4" w:space="0" w:color="auto"/>
              <w:right w:val="single" w:sz="6" w:space="0" w:color="000000" w:themeColor="text1"/>
            </w:tcBorders>
          </w:tcPr>
          <w:p w14:paraId="70997457"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4A111109" w14:textId="401761E6" w:rsidR="009B2DCB" w:rsidRPr="00AE5356" w:rsidRDefault="009B2DCB" w:rsidP="00AE5356">
            <w:pPr>
              <w:pStyle w:val="naisc"/>
              <w:spacing w:before="0" w:after="0"/>
              <w:jc w:val="left"/>
            </w:pPr>
            <w:r w:rsidRPr="00AE5356">
              <w:t>8. lpp., “Saglabājoties piesardzīgam kreditēšanas piedāvājumam un pieprasījumam, var tik ietekmēta ekonomikas izaugsmes atjaunošanās.”</w:t>
            </w:r>
          </w:p>
        </w:tc>
        <w:tc>
          <w:tcPr>
            <w:tcW w:w="4819" w:type="dxa"/>
            <w:gridSpan w:val="2"/>
            <w:tcBorders>
              <w:left w:val="single" w:sz="6" w:space="0" w:color="000000" w:themeColor="text1"/>
              <w:bottom w:val="single" w:sz="4" w:space="0" w:color="auto"/>
              <w:right w:val="single" w:sz="6" w:space="0" w:color="000000" w:themeColor="text1"/>
            </w:tcBorders>
          </w:tcPr>
          <w:p w14:paraId="0BC7619C" w14:textId="45037825" w:rsidR="009B2DCB" w:rsidRPr="00AE5356" w:rsidRDefault="009B2DCB" w:rsidP="00AE5356">
            <w:pPr>
              <w:contextualSpacing/>
              <w:jc w:val="both"/>
            </w:pPr>
            <w:r w:rsidRPr="00D40844">
              <w:t>Kreditēšana var šķist piesardzīga salīdzinājumā ar 2007.gada līmenī, kad bankas izsniedza augsta riska aizdevumus. Šobrīd kreditēšanas apjoms ir atbilstošs pieprasījumam, kā arī aizņēmēju spējai aizņemties. Lūgums atbilstoši precizēt Plānu.</w:t>
            </w:r>
          </w:p>
        </w:tc>
        <w:tc>
          <w:tcPr>
            <w:tcW w:w="2835" w:type="dxa"/>
            <w:tcBorders>
              <w:left w:val="single" w:sz="6" w:space="0" w:color="000000" w:themeColor="text1"/>
              <w:bottom w:val="single" w:sz="4" w:space="0" w:color="auto"/>
              <w:right w:val="single" w:sz="6" w:space="0" w:color="000000" w:themeColor="text1"/>
            </w:tcBorders>
          </w:tcPr>
          <w:p w14:paraId="7AF86141" w14:textId="07CABB8E" w:rsidR="009B2DCB" w:rsidRPr="00AE5356" w:rsidRDefault="0082099C" w:rsidP="00AE5356">
            <w:pPr>
              <w:pStyle w:val="naisc"/>
              <w:spacing w:before="0" w:after="0"/>
              <w:jc w:val="left"/>
            </w:pPr>
            <w:r>
              <w:t>Daļēji ņemts vērā.</w:t>
            </w:r>
          </w:p>
        </w:tc>
        <w:tc>
          <w:tcPr>
            <w:tcW w:w="3544" w:type="dxa"/>
            <w:tcBorders>
              <w:top w:val="single" w:sz="4" w:space="0" w:color="auto"/>
              <w:left w:val="single" w:sz="4" w:space="0" w:color="auto"/>
              <w:bottom w:val="single" w:sz="4" w:space="0" w:color="auto"/>
            </w:tcBorders>
          </w:tcPr>
          <w:p w14:paraId="25B7F4AC" w14:textId="1EC404C4" w:rsidR="009B2DCB" w:rsidRPr="00AE5356" w:rsidRDefault="00D40844" w:rsidP="00AE5356">
            <w:pPr>
              <w:jc w:val="both"/>
              <w:rPr>
                <w:color w:val="000000"/>
              </w:rPr>
            </w:pPr>
            <w:r>
              <w:rPr>
                <w:color w:val="000000"/>
              </w:rPr>
              <w:t>Skatīt precizējums pie iepriekšējā punkta.</w:t>
            </w:r>
          </w:p>
        </w:tc>
      </w:tr>
      <w:tr w:rsidR="009B2DCB" w:rsidRPr="00AE5356" w14:paraId="09FD9C04" w14:textId="77777777" w:rsidTr="000E70CD">
        <w:tc>
          <w:tcPr>
            <w:tcW w:w="944" w:type="dxa"/>
            <w:tcBorders>
              <w:left w:val="single" w:sz="6" w:space="0" w:color="000000" w:themeColor="text1"/>
              <w:bottom w:val="single" w:sz="4" w:space="0" w:color="auto"/>
              <w:right w:val="single" w:sz="6" w:space="0" w:color="000000" w:themeColor="text1"/>
            </w:tcBorders>
          </w:tcPr>
          <w:p w14:paraId="2BD8BCCF" w14:textId="77777777" w:rsidR="009B2DCB" w:rsidRPr="00DF40F2"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34D022F2" w14:textId="1C70B0F5" w:rsidR="009B2DCB" w:rsidRPr="00DF40F2" w:rsidRDefault="009B2DCB" w:rsidP="00AE5356">
            <w:pPr>
              <w:pStyle w:val="naisc"/>
              <w:spacing w:before="0" w:after="0"/>
              <w:jc w:val="left"/>
            </w:pPr>
            <w:r w:rsidRPr="00DF40F2">
              <w:t>8. lpp., “Attiecībā uz atsevišķiem alternatīvo finanšu pakalpojumu sniedzējiem joprojām notiek licencēšanas process, kas rada neskaidrību par darbību regulējošo normatīvo ietvaru līdz attiecīgas licences izsniegšanai.”</w:t>
            </w:r>
          </w:p>
        </w:tc>
        <w:tc>
          <w:tcPr>
            <w:tcW w:w="4819" w:type="dxa"/>
            <w:gridSpan w:val="2"/>
            <w:tcBorders>
              <w:left w:val="single" w:sz="6" w:space="0" w:color="000000" w:themeColor="text1"/>
              <w:bottom w:val="single" w:sz="4" w:space="0" w:color="auto"/>
              <w:right w:val="single" w:sz="6" w:space="0" w:color="000000" w:themeColor="text1"/>
            </w:tcBorders>
          </w:tcPr>
          <w:p w14:paraId="2FD97E46" w14:textId="312505E6" w:rsidR="009B2DCB" w:rsidRPr="00DF40F2" w:rsidRDefault="009B2DCB" w:rsidP="00AE5356">
            <w:pPr>
              <w:contextualSpacing/>
              <w:jc w:val="both"/>
            </w:pPr>
            <w:r w:rsidRPr="00DF40F2">
              <w:t>Nav skaidrs, kas ar šo teikumu ir domāts, lūgums precizēt.</w:t>
            </w:r>
          </w:p>
        </w:tc>
        <w:tc>
          <w:tcPr>
            <w:tcW w:w="2835" w:type="dxa"/>
            <w:tcBorders>
              <w:left w:val="single" w:sz="6" w:space="0" w:color="000000" w:themeColor="text1"/>
              <w:bottom w:val="single" w:sz="4" w:space="0" w:color="auto"/>
              <w:right w:val="single" w:sz="6" w:space="0" w:color="000000" w:themeColor="text1"/>
            </w:tcBorders>
          </w:tcPr>
          <w:p w14:paraId="45CE0D89" w14:textId="4D59FE54" w:rsidR="009B2DCB" w:rsidRPr="00DF40F2" w:rsidRDefault="004D1828" w:rsidP="00AE5356">
            <w:pPr>
              <w:pStyle w:val="naisc"/>
              <w:spacing w:before="0" w:after="0"/>
              <w:jc w:val="left"/>
            </w:pPr>
            <w:r w:rsidRPr="00DF40F2">
              <w:t>Ņemts vērā.</w:t>
            </w:r>
          </w:p>
        </w:tc>
        <w:tc>
          <w:tcPr>
            <w:tcW w:w="3544" w:type="dxa"/>
            <w:tcBorders>
              <w:top w:val="single" w:sz="4" w:space="0" w:color="auto"/>
              <w:left w:val="single" w:sz="4" w:space="0" w:color="auto"/>
              <w:bottom w:val="single" w:sz="4" w:space="0" w:color="auto"/>
            </w:tcBorders>
          </w:tcPr>
          <w:p w14:paraId="0CEA0CE6" w14:textId="0B2B849B" w:rsidR="009B2DCB" w:rsidRPr="00AE5356" w:rsidRDefault="004D1828" w:rsidP="00AE5356">
            <w:pPr>
              <w:jc w:val="both"/>
              <w:rPr>
                <w:color w:val="000000"/>
              </w:rPr>
            </w:pPr>
            <w:r>
              <w:rPr>
                <w:color w:val="000000"/>
              </w:rPr>
              <w:t>Teksts precizēts</w:t>
            </w:r>
            <w:r w:rsidR="00A3092C">
              <w:rPr>
                <w:color w:val="000000"/>
              </w:rPr>
              <w:t xml:space="preserve">: </w:t>
            </w:r>
            <w:r w:rsidR="00A3092C" w:rsidRPr="00A3092C">
              <w:rPr>
                <w:color w:val="000000"/>
              </w:rPr>
              <w:t>Attiecībā uz atsevišķiem alternatīvo finanšu pakalpojumu sniedzējiem, piemēram, savstarpējo aizdevumu platformām, joprojām notiek licencēšanas process, kas rada neskaidrību par darbību regulējošo normatīvo ietvaru līdz attiecīgas licences izsniegšanai.</w:t>
            </w:r>
          </w:p>
        </w:tc>
      </w:tr>
      <w:tr w:rsidR="009B2DCB" w:rsidRPr="00AE5356" w14:paraId="4925E346" w14:textId="77777777" w:rsidTr="000E70CD">
        <w:tc>
          <w:tcPr>
            <w:tcW w:w="944" w:type="dxa"/>
            <w:tcBorders>
              <w:left w:val="single" w:sz="6" w:space="0" w:color="000000" w:themeColor="text1"/>
              <w:bottom w:val="single" w:sz="4" w:space="0" w:color="auto"/>
              <w:right w:val="single" w:sz="6" w:space="0" w:color="000000" w:themeColor="text1"/>
            </w:tcBorders>
          </w:tcPr>
          <w:p w14:paraId="6156EB5D"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5E904B8A" w14:textId="2CC3282A" w:rsidR="009B2DCB" w:rsidRPr="00AE5356" w:rsidRDefault="009B2DCB" w:rsidP="00AE5356">
            <w:pPr>
              <w:pStyle w:val="naisc"/>
              <w:spacing w:before="0" w:after="0"/>
              <w:jc w:val="left"/>
            </w:pPr>
            <w:r w:rsidRPr="00AE5356">
              <w:t>8. lpp., “Vienlaikus nevienmērīgā jauno prasību izpratne, kā arī papildu noziedzīgi iegūtu līdzekļu legalizācijas gadījumi Baltijas un Ziemeļvalstu finanšu sektorā ietekmē privātā sektora vēlmi izvairīties no riskiem, nevis vadīt tos, tādējādi apgrūtinot savstarpējo sadarbību starp finanšu sektoru un uzņēmumiem, un privātpersonām”</w:t>
            </w:r>
          </w:p>
        </w:tc>
        <w:tc>
          <w:tcPr>
            <w:tcW w:w="4819" w:type="dxa"/>
            <w:gridSpan w:val="2"/>
            <w:tcBorders>
              <w:left w:val="single" w:sz="6" w:space="0" w:color="000000" w:themeColor="text1"/>
              <w:bottom w:val="single" w:sz="4" w:space="0" w:color="auto"/>
              <w:right w:val="single" w:sz="6" w:space="0" w:color="000000" w:themeColor="text1"/>
            </w:tcBorders>
          </w:tcPr>
          <w:p w14:paraId="746015F4" w14:textId="77777777" w:rsidR="009B2DCB" w:rsidRPr="00AE5356" w:rsidRDefault="009B2DCB" w:rsidP="00AE5356">
            <w:pPr>
              <w:pStyle w:val="CommentText"/>
              <w:jc w:val="both"/>
              <w:rPr>
                <w:sz w:val="24"/>
                <w:szCs w:val="24"/>
              </w:rPr>
            </w:pPr>
            <w:r w:rsidRPr="00AE5356">
              <w:rPr>
                <w:sz w:val="24"/>
                <w:szCs w:val="24"/>
              </w:rPr>
              <w:t xml:space="preserve">Asociācija nepiekrīt, ka minētie iemesli ir vienīgie un būtiskākie, kas šobrīd rada privātā sektora vēlmi izvairīties no riskiem vai tā saucamo </w:t>
            </w:r>
            <w:r w:rsidRPr="00AE5356">
              <w:rPr>
                <w:i/>
                <w:iCs/>
                <w:sz w:val="24"/>
                <w:szCs w:val="24"/>
              </w:rPr>
              <w:t xml:space="preserve">de-riskingu. </w:t>
            </w:r>
            <w:r w:rsidRPr="00AE5356">
              <w:rPr>
                <w:sz w:val="24"/>
                <w:szCs w:val="24"/>
              </w:rPr>
              <w:t>Stigrā pieeja, atverot kontus privātpersonām, viennozīmīgi nav kredītiestāžu vienpusēja iniciatīva vai vēlme, bet gan vairāku iemeslu/kompleksu problēmu rezultāts. Papildus Asociācija pievērš uzmanību, ka arī uzņēmumi ir privātpersonas, līdz ar to, ņemot vērā kontekstu pareizāk būtu lietot terminu “fiziskās personas”.</w:t>
            </w:r>
            <w:r w:rsidRPr="00AE5356">
              <w:rPr>
                <w:i/>
                <w:iCs/>
                <w:sz w:val="24"/>
                <w:szCs w:val="24"/>
              </w:rPr>
              <w:t xml:space="preserve"> </w:t>
            </w:r>
            <w:r w:rsidRPr="00AE5356">
              <w:rPr>
                <w:sz w:val="24"/>
                <w:szCs w:val="24"/>
              </w:rPr>
              <w:t>Ievērojot minēto, Asociācija lūdz rindkopu svītrot vai izteikt to šādā redakcijā:</w:t>
            </w:r>
          </w:p>
          <w:p w14:paraId="60AED788" w14:textId="0F83BB85" w:rsidR="009B2DCB" w:rsidRPr="00AE5356" w:rsidRDefault="009B2DCB" w:rsidP="00AE5356">
            <w:pPr>
              <w:contextualSpacing/>
              <w:jc w:val="both"/>
            </w:pPr>
            <w:r w:rsidRPr="00AE5356">
              <w:t xml:space="preserve">“Vienlaikus formālas normatīvo aktu prasības, kas liedz piemērot riskos balstīto pieeju pēc būtības, kā arī nesamērīgas un reģionu līmenī atšķirīgas noteikumos noteiktās risku pārvaldības prasības un virkne citu jomas praktisko aspektu, rada situāciju, kurā privātais sektors labāk izvēlas atteikties no riskiem, nevis uzņemas tos saprātīgi vadīt. Rezultātā  finanšu sektora un privātpersonu sadarbība tiek nesamērīgi apgrūtināta.” </w:t>
            </w:r>
          </w:p>
        </w:tc>
        <w:tc>
          <w:tcPr>
            <w:tcW w:w="2835" w:type="dxa"/>
            <w:tcBorders>
              <w:left w:val="single" w:sz="6" w:space="0" w:color="000000" w:themeColor="text1"/>
              <w:bottom w:val="single" w:sz="4" w:space="0" w:color="auto"/>
              <w:right w:val="single" w:sz="6" w:space="0" w:color="000000" w:themeColor="text1"/>
            </w:tcBorders>
          </w:tcPr>
          <w:p w14:paraId="484E7199" w14:textId="624895E6" w:rsidR="009B2DCB" w:rsidRPr="00AE5356" w:rsidRDefault="00FE6F59" w:rsidP="00AE5356">
            <w:pPr>
              <w:pStyle w:val="naisc"/>
              <w:spacing w:before="0" w:after="0"/>
              <w:jc w:val="left"/>
            </w:pPr>
            <w:r>
              <w:t>Daļēji ņemts vērā.</w:t>
            </w:r>
          </w:p>
          <w:p w14:paraId="5F9DA700" w14:textId="77777777" w:rsidR="009B2DCB" w:rsidRPr="00AE5356" w:rsidRDefault="009B2DCB" w:rsidP="00AE5356">
            <w:pPr>
              <w:pStyle w:val="naisc"/>
              <w:spacing w:before="0" w:after="0"/>
              <w:jc w:val="left"/>
            </w:pPr>
          </w:p>
          <w:p w14:paraId="2E8F538D" w14:textId="49DD6495" w:rsidR="009B2DCB" w:rsidRPr="00AE5356" w:rsidRDefault="009B2DCB" w:rsidP="00AE5356">
            <w:pPr>
              <w:pStyle w:val="naisc"/>
              <w:spacing w:before="0" w:after="0"/>
              <w:jc w:val="left"/>
            </w:pPr>
          </w:p>
        </w:tc>
        <w:tc>
          <w:tcPr>
            <w:tcW w:w="3544" w:type="dxa"/>
            <w:tcBorders>
              <w:top w:val="single" w:sz="4" w:space="0" w:color="auto"/>
              <w:left w:val="single" w:sz="4" w:space="0" w:color="auto"/>
              <w:bottom w:val="single" w:sz="4" w:space="0" w:color="auto"/>
            </w:tcBorders>
          </w:tcPr>
          <w:p w14:paraId="4B850537" w14:textId="7F0A1A6F" w:rsidR="009B2DCB" w:rsidRPr="00AE5356" w:rsidRDefault="005D54B3" w:rsidP="00AE5356">
            <w:pPr>
              <w:jc w:val="both"/>
              <w:rPr>
                <w:color w:val="000000"/>
              </w:rPr>
            </w:pPr>
            <w:r w:rsidRPr="005D54B3">
              <w:rPr>
                <w:color w:val="000000"/>
              </w:rPr>
              <w:t>Ņemts vērā atbilstoši Pasākumu plāna samērīgas pieejas nostiprināšanai, izpildot noziedzīgi iegūtu līdzekļu legalizācijas un terorisma un proliferācijas finansēšanas novēršanas prasības uzdevumiem, taču netiek apskatīts šī plāna ietvaros.</w:t>
            </w:r>
          </w:p>
        </w:tc>
      </w:tr>
      <w:tr w:rsidR="009B2DCB" w:rsidRPr="00AE5356" w14:paraId="5C6442D5" w14:textId="77777777" w:rsidTr="00DF40F2">
        <w:tc>
          <w:tcPr>
            <w:tcW w:w="944" w:type="dxa"/>
            <w:tcBorders>
              <w:left w:val="single" w:sz="6" w:space="0" w:color="000000" w:themeColor="text1"/>
              <w:bottom w:val="single" w:sz="4" w:space="0" w:color="auto"/>
              <w:right w:val="single" w:sz="6" w:space="0" w:color="000000" w:themeColor="text1"/>
            </w:tcBorders>
          </w:tcPr>
          <w:p w14:paraId="1E2D7DB0"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523B8674" w14:textId="2E82B68F" w:rsidR="009B2DCB" w:rsidRPr="00AE5356" w:rsidRDefault="009B2DCB" w:rsidP="00AE5356">
            <w:pPr>
              <w:pStyle w:val="naisc"/>
              <w:spacing w:before="0" w:after="0"/>
              <w:jc w:val="left"/>
            </w:pPr>
            <w:r w:rsidRPr="00AE5356">
              <w:t>9. lpp., “Lai privāto kapitālu pārorientētu uz ilgtspējīgākiem ieguldījumiem, ir nepieciešamas visaptverošas pārmaiņas finanšu sistēmas darbībā:”</w:t>
            </w:r>
          </w:p>
        </w:tc>
        <w:tc>
          <w:tcPr>
            <w:tcW w:w="4819" w:type="dxa"/>
            <w:gridSpan w:val="2"/>
            <w:tcBorders>
              <w:left w:val="single" w:sz="6" w:space="0" w:color="000000" w:themeColor="text1"/>
              <w:bottom w:val="single" w:sz="4" w:space="0" w:color="auto"/>
              <w:right w:val="single" w:sz="6" w:space="0" w:color="000000" w:themeColor="text1"/>
            </w:tcBorders>
            <w:shd w:val="clear" w:color="auto" w:fill="auto"/>
          </w:tcPr>
          <w:p w14:paraId="50A1EED9" w14:textId="01708B66" w:rsidR="009B2DCB" w:rsidRPr="00AE5356" w:rsidRDefault="009B2DCB" w:rsidP="00AE5356">
            <w:pPr>
              <w:contextualSpacing/>
              <w:jc w:val="both"/>
            </w:pPr>
            <w:r w:rsidRPr="008308C4">
              <w:t>Kredītiestādes līdzās atsevišķiem arī kredītiestāžu grupās ietilpstošiem ieguldījumu pārvaldniekiem ir “pionieri” ilgtspējīgas ekonomikas veicināšanā. Salīdzinot ar citiem sektoriem un arī valsts pārvaldi, finanšu sektors, jo īpaši pēdējos gados, ir strauji attīstījies savā izpratnē par ilgtspēju, ilgtspējīgiem ieguldījumiem un ilgtspējīgām finansēm. Lūdzam atbilstoši papildināt Plānu.</w:t>
            </w:r>
          </w:p>
        </w:tc>
        <w:tc>
          <w:tcPr>
            <w:tcW w:w="2835" w:type="dxa"/>
            <w:tcBorders>
              <w:left w:val="single" w:sz="6" w:space="0" w:color="000000" w:themeColor="text1"/>
              <w:bottom w:val="single" w:sz="4" w:space="0" w:color="auto"/>
              <w:right w:val="single" w:sz="6" w:space="0" w:color="000000" w:themeColor="text1"/>
            </w:tcBorders>
          </w:tcPr>
          <w:p w14:paraId="6F54EB72" w14:textId="2B8AF90C" w:rsidR="009B2DCB" w:rsidRPr="00AE5356" w:rsidRDefault="00FF229D" w:rsidP="00AE5356">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27D974D8" w14:textId="3EF311DD" w:rsidR="009B2DCB" w:rsidRPr="00AE5356" w:rsidRDefault="0067538D" w:rsidP="00AE5356">
            <w:pPr>
              <w:jc w:val="both"/>
              <w:rPr>
                <w:color w:val="000000"/>
              </w:rPr>
            </w:pPr>
            <w:r>
              <w:t>T</w:t>
            </w:r>
            <w:r w:rsidR="009300FB">
              <w:t>eksts papildināts ar informācij</w:t>
            </w:r>
            <w:r>
              <w:t xml:space="preserve">u šādā redakcijā: </w:t>
            </w:r>
            <w:r w:rsidR="00FF229D">
              <w:t>Finanšu sektors ir strauji attīstījies izpratnē par ilgtspējīgām finansēm, ilg</w:t>
            </w:r>
            <w:r w:rsidR="009300FB">
              <w:t>t</w:t>
            </w:r>
            <w:r w:rsidR="00FF229D">
              <w:t>spēju,</w:t>
            </w:r>
          </w:p>
        </w:tc>
      </w:tr>
      <w:tr w:rsidR="009B2DCB" w:rsidRPr="00AE5356" w14:paraId="2E1EE751" w14:textId="77777777" w:rsidTr="000E70CD">
        <w:tc>
          <w:tcPr>
            <w:tcW w:w="944" w:type="dxa"/>
            <w:tcBorders>
              <w:left w:val="single" w:sz="6" w:space="0" w:color="000000" w:themeColor="text1"/>
              <w:bottom w:val="single" w:sz="4" w:space="0" w:color="auto"/>
              <w:right w:val="single" w:sz="6" w:space="0" w:color="000000" w:themeColor="text1"/>
            </w:tcBorders>
          </w:tcPr>
          <w:p w14:paraId="0D64C058"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6D33B713"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74033C33" w14:textId="7B7B5EE6" w:rsidR="009B2DCB" w:rsidRPr="00AE5356" w:rsidRDefault="009B2DCB" w:rsidP="00AE5356">
            <w:pPr>
              <w:ind w:left="360"/>
              <w:contextualSpacing/>
              <w:jc w:val="both"/>
            </w:pPr>
            <w:r w:rsidRPr="00AE5356">
              <w:rPr>
                <w:b/>
                <w:bCs/>
              </w:rPr>
              <w:t>“Finansējuma pieejamība un investīciju iespējas”</w:t>
            </w:r>
          </w:p>
        </w:tc>
        <w:tc>
          <w:tcPr>
            <w:tcW w:w="2835" w:type="dxa"/>
            <w:tcBorders>
              <w:left w:val="single" w:sz="6" w:space="0" w:color="000000" w:themeColor="text1"/>
              <w:bottom w:val="single" w:sz="4" w:space="0" w:color="auto"/>
              <w:right w:val="single" w:sz="6" w:space="0" w:color="000000" w:themeColor="text1"/>
            </w:tcBorders>
          </w:tcPr>
          <w:p w14:paraId="3B296ABC" w14:textId="77777777" w:rsidR="009B2DCB" w:rsidRPr="00AE5356" w:rsidRDefault="009B2DCB" w:rsidP="00AE5356">
            <w:pPr>
              <w:pStyle w:val="naisc"/>
              <w:spacing w:before="0" w:after="0"/>
            </w:pPr>
          </w:p>
        </w:tc>
        <w:tc>
          <w:tcPr>
            <w:tcW w:w="3544" w:type="dxa"/>
            <w:tcBorders>
              <w:top w:val="single" w:sz="4" w:space="0" w:color="auto"/>
              <w:left w:val="single" w:sz="4" w:space="0" w:color="auto"/>
              <w:bottom w:val="single" w:sz="4" w:space="0" w:color="auto"/>
            </w:tcBorders>
          </w:tcPr>
          <w:p w14:paraId="3EF09207" w14:textId="77777777" w:rsidR="009B2DCB" w:rsidRPr="00AE5356" w:rsidRDefault="009B2DCB" w:rsidP="00AE5356">
            <w:pPr>
              <w:jc w:val="both"/>
              <w:rPr>
                <w:color w:val="000000"/>
              </w:rPr>
            </w:pPr>
          </w:p>
        </w:tc>
      </w:tr>
      <w:tr w:rsidR="009B2DCB" w:rsidRPr="00AE5356" w14:paraId="18F47023" w14:textId="77777777" w:rsidTr="000E70CD">
        <w:tc>
          <w:tcPr>
            <w:tcW w:w="944" w:type="dxa"/>
            <w:tcBorders>
              <w:left w:val="single" w:sz="6" w:space="0" w:color="000000" w:themeColor="text1"/>
              <w:bottom w:val="single" w:sz="4" w:space="0" w:color="auto"/>
              <w:right w:val="single" w:sz="6" w:space="0" w:color="000000" w:themeColor="text1"/>
            </w:tcBorders>
          </w:tcPr>
          <w:p w14:paraId="3A96C2B3"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44B82478" w14:textId="5988112B" w:rsidR="009B2DCB" w:rsidRPr="00AE5356" w:rsidRDefault="009B2DCB" w:rsidP="00AE5356">
            <w:pPr>
              <w:pStyle w:val="naisc"/>
              <w:spacing w:before="0" w:after="0"/>
              <w:jc w:val="left"/>
            </w:pPr>
            <w:r w:rsidRPr="00AE5356">
              <w:t>Vispārīgs komentārs</w:t>
            </w:r>
          </w:p>
        </w:tc>
        <w:tc>
          <w:tcPr>
            <w:tcW w:w="4819" w:type="dxa"/>
            <w:gridSpan w:val="2"/>
            <w:tcBorders>
              <w:left w:val="single" w:sz="6" w:space="0" w:color="000000" w:themeColor="text1"/>
              <w:bottom w:val="single" w:sz="4" w:space="0" w:color="auto"/>
              <w:right w:val="single" w:sz="6" w:space="0" w:color="000000" w:themeColor="text1"/>
            </w:tcBorders>
          </w:tcPr>
          <w:p w14:paraId="29AB6A82" w14:textId="77777777" w:rsidR="009B2DCB" w:rsidRPr="00AE5356" w:rsidRDefault="009B2DCB" w:rsidP="00AE5356">
            <w:pPr>
              <w:pStyle w:val="NoSpacing"/>
              <w:jc w:val="both"/>
              <w:rPr>
                <w:rFonts w:ascii="Times New Roman" w:hAnsi="Times New Roman" w:cs="Times New Roman"/>
                <w:sz w:val="24"/>
                <w:szCs w:val="24"/>
                <w:lang w:val="lv-LV"/>
              </w:rPr>
            </w:pPr>
            <w:r w:rsidRPr="00AE5356">
              <w:rPr>
                <w:rFonts w:ascii="Times New Roman" w:hAnsi="Times New Roman" w:cs="Times New Roman"/>
                <w:sz w:val="24"/>
                <w:szCs w:val="24"/>
                <w:lang w:val="lv-LV"/>
              </w:rPr>
              <w:t>Aicinām papildināt Plānu ar pasākumiem Kapitāla tirgus attīstībai, par kuriem Asociācija minēja savā Vēstulē</w:t>
            </w:r>
            <w:r w:rsidRPr="00AE5356">
              <w:rPr>
                <w:rStyle w:val="FootnoteReference"/>
                <w:rFonts w:ascii="Times New Roman" w:hAnsi="Times New Roman" w:cs="Times New Roman"/>
                <w:sz w:val="24"/>
                <w:szCs w:val="24"/>
                <w:lang w:val="lv-LV"/>
              </w:rPr>
              <w:footnoteReference w:id="2"/>
            </w:r>
            <w:r w:rsidRPr="00AE5356">
              <w:rPr>
                <w:rFonts w:ascii="Times New Roman" w:hAnsi="Times New Roman" w:cs="Times New Roman"/>
                <w:sz w:val="24"/>
                <w:szCs w:val="24"/>
                <w:lang w:val="lv-LV"/>
              </w:rPr>
              <w:t>, proti:</w:t>
            </w:r>
          </w:p>
          <w:p w14:paraId="3021BA12" w14:textId="77777777" w:rsidR="009B2DCB" w:rsidRPr="00AE5356" w:rsidRDefault="009B2DCB" w:rsidP="00AE5356">
            <w:pPr>
              <w:pStyle w:val="NoSpacing"/>
              <w:numPr>
                <w:ilvl w:val="2"/>
                <w:numId w:val="20"/>
              </w:numPr>
              <w:ind w:left="672"/>
              <w:jc w:val="both"/>
              <w:rPr>
                <w:rFonts w:ascii="Times New Roman" w:hAnsi="Times New Roman" w:cs="Times New Roman"/>
                <w:sz w:val="24"/>
                <w:szCs w:val="24"/>
                <w:lang w:val="lv-LV"/>
              </w:rPr>
            </w:pPr>
            <w:r w:rsidRPr="00AE5356">
              <w:rPr>
                <w:rFonts w:ascii="Times New Roman" w:hAnsi="Times New Roman" w:cs="Times New Roman"/>
                <w:sz w:val="24"/>
                <w:szCs w:val="24"/>
                <w:lang w:val="lv-LV"/>
              </w:rPr>
              <w:t>Mērķtiecīgi veicināt valsts budžeta galvojuma paplašināšanu AS “Attīstības finanšu institūcija Altum” garantijām, lai tām varētu piemērot 0% riska svaru, tādējādi nodrošinot proporcionālāku ietekmi uz kapitāla pietiekamību un kreditēšanas apjoma pieaugumu;</w:t>
            </w:r>
          </w:p>
          <w:p w14:paraId="18EC0AE6" w14:textId="77777777" w:rsidR="009B2DCB" w:rsidRPr="00AE5356" w:rsidRDefault="009B2DCB" w:rsidP="00AE5356">
            <w:pPr>
              <w:pStyle w:val="NoSpacing"/>
              <w:numPr>
                <w:ilvl w:val="2"/>
                <w:numId w:val="20"/>
              </w:numPr>
              <w:ind w:left="672"/>
              <w:jc w:val="both"/>
              <w:rPr>
                <w:rFonts w:ascii="Times New Roman" w:hAnsi="Times New Roman" w:cs="Times New Roman"/>
                <w:sz w:val="24"/>
                <w:szCs w:val="24"/>
                <w:lang w:val="lv-LV"/>
              </w:rPr>
            </w:pPr>
            <w:r w:rsidRPr="00AE5356">
              <w:rPr>
                <w:rFonts w:ascii="Times New Roman" w:hAnsi="Times New Roman" w:cs="Times New Roman"/>
                <w:sz w:val="24"/>
                <w:szCs w:val="24"/>
                <w:lang w:val="lv-LV"/>
              </w:rPr>
              <w:t>Ieviest motivējošu un paredzamu nodokļu režīmu darbam ar vērtspapīriem nolūkā stiprināt kapitāla tirgu un panākt, ka vērstpapīru emisija un vērstpapīrošanas struktūru ieviešana nodokļu ziņā ir iespējami neitrāla, piemēram:</w:t>
            </w:r>
          </w:p>
          <w:p w14:paraId="326AE289" w14:textId="77777777" w:rsidR="009B2DCB" w:rsidRPr="008308C4" w:rsidRDefault="009B2DCB" w:rsidP="00AE5356">
            <w:pPr>
              <w:pStyle w:val="NoSpacing"/>
              <w:numPr>
                <w:ilvl w:val="3"/>
                <w:numId w:val="20"/>
              </w:numPr>
              <w:ind w:left="1097"/>
              <w:jc w:val="both"/>
              <w:rPr>
                <w:rFonts w:ascii="Times New Roman" w:hAnsi="Times New Roman" w:cs="Times New Roman"/>
                <w:sz w:val="24"/>
                <w:szCs w:val="24"/>
                <w:lang w:val="lv-LV"/>
              </w:rPr>
            </w:pPr>
            <w:r w:rsidRPr="008308C4">
              <w:rPr>
                <w:rFonts w:ascii="Times New Roman" w:hAnsi="Times New Roman" w:cs="Times New Roman"/>
                <w:sz w:val="24"/>
                <w:szCs w:val="24"/>
                <w:lang w:val="lv-LV"/>
              </w:rPr>
              <w:t xml:space="preserve">Ar nodokli aplikt starpību starp procentu izdevumiem un ienākumiem; </w:t>
            </w:r>
          </w:p>
          <w:p w14:paraId="49817876" w14:textId="77777777" w:rsidR="009B2DCB" w:rsidRPr="008308C4" w:rsidRDefault="009B2DCB" w:rsidP="00AE5356">
            <w:pPr>
              <w:pStyle w:val="NoSpacing"/>
              <w:numPr>
                <w:ilvl w:val="3"/>
                <w:numId w:val="20"/>
              </w:numPr>
              <w:ind w:left="1097"/>
              <w:jc w:val="both"/>
              <w:rPr>
                <w:rFonts w:ascii="Times New Roman" w:hAnsi="Times New Roman" w:cs="Times New Roman"/>
                <w:sz w:val="24"/>
                <w:szCs w:val="24"/>
                <w:lang w:val="lv-LV"/>
              </w:rPr>
            </w:pPr>
            <w:r w:rsidRPr="008308C4">
              <w:rPr>
                <w:rFonts w:ascii="Times New Roman" w:hAnsi="Times New Roman" w:cs="Times New Roman"/>
                <w:sz w:val="24"/>
                <w:szCs w:val="24"/>
                <w:lang w:val="lv-LV"/>
              </w:rPr>
              <w:t xml:space="preserve">Uzņēmuma ienākuma nodokļa izņēmumu attiecināt ne tikai uz publiskās apgrozības vērstpapīriem, bet arī uz regulēto alternatīvo tirgu un regulētām platformām; </w:t>
            </w:r>
          </w:p>
          <w:p w14:paraId="06F726C7" w14:textId="77777777" w:rsidR="009B2DCB" w:rsidRPr="008308C4" w:rsidRDefault="009B2DCB" w:rsidP="00AE5356">
            <w:pPr>
              <w:pStyle w:val="NoSpacing"/>
              <w:numPr>
                <w:ilvl w:val="3"/>
                <w:numId w:val="20"/>
              </w:numPr>
              <w:ind w:left="1097"/>
              <w:jc w:val="both"/>
              <w:rPr>
                <w:rFonts w:ascii="Times New Roman" w:hAnsi="Times New Roman" w:cs="Times New Roman"/>
                <w:sz w:val="24"/>
                <w:szCs w:val="24"/>
                <w:lang w:val="lv-LV"/>
              </w:rPr>
            </w:pPr>
            <w:r w:rsidRPr="008308C4">
              <w:rPr>
                <w:rFonts w:ascii="Times New Roman" w:hAnsi="Times New Roman" w:cs="Times New Roman"/>
                <w:sz w:val="24"/>
                <w:szCs w:val="24"/>
                <w:lang w:val="lv-LV"/>
              </w:rPr>
              <w:t xml:space="preserve">Noteikt iedzīvotāju ienākumu nodokļa atlaidi peļņai, kas rodas kapitāla daļu pārdošanas rezultātā, ja </w:t>
            </w:r>
            <w:r w:rsidRPr="008308C4">
              <w:rPr>
                <w:rFonts w:ascii="Times New Roman" w:hAnsi="Times New Roman" w:cs="Times New Roman"/>
                <w:sz w:val="24"/>
                <w:szCs w:val="24"/>
                <w:lang w:val="lv-LV"/>
              </w:rPr>
              <w:lastRenderedPageBreak/>
              <w:t>uzņēmuma īpašnieks pārdod savas akcijas caur publisko piedāvājumu;</w:t>
            </w:r>
          </w:p>
          <w:p w14:paraId="529766F3" w14:textId="77777777" w:rsidR="009B2DCB" w:rsidRPr="008308C4" w:rsidRDefault="009B2DCB" w:rsidP="00AE5356">
            <w:pPr>
              <w:pStyle w:val="NoSpacing"/>
              <w:numPr>
                <w:ilvl w:val="3"/>
                <w:numId w:val="20"/>
              </w:numPr>
              <w:ind w:left="1097"/>
              <w:jc w:val="both"/>
              <w:rPr>
                <w:rFonts w:ascii="Times New Roman" w:hAnsi="Times New Roman" w:cs="Times New Roman"/>
                <w:sz w:val="24"/>
                <w:szCs w:val="24"/>
                <w:lang w:val="lv-LV"/>
              </w:rPr>
            </w:pPr>
            <w:r w:rsidRPr="008308C4">
              <w:rPr>
                <w:rFonts w:ascii="Times New Roman" w:hAnsi="Times New Roman" w:cs="Times New Roman"/>
                <w:sz w:val="24"/>
                <w:szCs w:val="24"/>
                <w:lang w:val="lv-LV"/>
              </w:rPr>
              <w:t xml:space="preserve">Sniegt iespēju MVU atgūt vismaz daļu izmaksu, kas saistītas ar uzņēmumu akciju un obligāciju emisiju organizēšanu. </w:t>
            </w:r>
          </w:p>
          <w:p w14:paraId="15555D22" w14:textId="77777777" w:rsidR="009B2DCB" w:rsidRPr="00AE5356" w:rsidRDefault="009B2DCB" w:rsidP="00AE5356">
            <w:pPr>
              <w:pStyle w:val="NoSpacing"/>
              <w:numPr>
                <w:ilvl w:val="2"/>
                <w:numId w:val="20"/>
              </w:numPr>
              <w:ind w:left="672"/>
              <w:jc w:val="both"/>
              <w:rPr>
                <w:rFonts w:ascii="Times New Roman" w:hAnsi="Times New Roman" w:cs="Times New Roman"/>
                <w:sz w:val="24"/>
                <w:szCs w:val="24"/>
                <w:lang w:val="lv-LV"/>
              </w:rPr>
            </w:pPr>
            <w:r w:rsidRPr="008308C4">
              <w:rPr>
                <w:rFonts w:ascii="Times New Roman" w:hAnsi="Times New Roman" w:cs="Times New Roman"/>
                <w:sz w:val="24"/>
                <w:szCs w:val="24"/>
                <w:lang w:val="lv-LV"/>
              </w:rPr>
              <w:t>Veicināt plašāku, drošu informācijas pieejamību par klienta</w:t>
            </w:r>
            <w:r w:rsidRPr="00AE5356">
              <w:rPr>
                <w:rFonts w:ascii="Times New Roman" w:hAnsi="Times New Roman" w:cs="Times New Roman"/>
                <w:sz w:val="24"/>
                <w:szCs w:val="24"/>
                <w:lang w:val="lv-LV"/>
              </w:rPr>
              <w:t xml:space="preserve"> personīgo uzkrājumu pašam klientam jebkurā izvēlētajā platformā (piemēram, sniedzot iespēju vienas bankas internetbankā aplūkot savu uzkrāto pensijas kapitālu, kas uzkrāts arī pie pārvaldītāja, kas nav saistīts ar šo banku) analogi PSD2 konta informācijas pakalpojumam, ņemot vērā to, ka 2019.gadā informāciju par otrā pensiju līmeņa uzkrāto kapitālu www.latvija.lv aplūkojuši tikai ap 5 procentiem no visiem VFPS dalībniekiem;</w:t>
            </w:r>
          </w:p>
          <w:p w14:paraId="06E2A790" w14:textId="77777777" w:rsidR="009B2DCB" w:rsidRPr="00AE5356" w:rsidRDefault="009B2DCB" w:rsidP="00AE5356">
            <w:pPr>
              <w:pStyle w:val="NoSpacing"/>
              <w:numPr>
                <w:ilvl w:val="2"/>
                <w:numId w:val="20"/>
              </w:numPr>
              <w:ind w:left="672"/>
              <w:jc w:val="both"/>
              <w:rPr>
                <w:rFonts w:ascii="Times New Roman" w:hAnsi="Times New Roman" w:cs="Times New Roman"/>
                <w:sz w:val="24"/>
                <w:szCs w:val="24"/>
                <w:lang w:val="lv-LV"/>
              </w:rPr>
            </w:pPr>
            <w:r w:rsidRPr="00AE5356">
              <w:rPr>
                <w:rFonts w:ascii="Times New Roman" w:hAnsi="Times New Roman" w:cs="Times New Roman"/>
                <w:sz w:val="24"/>
                <w:szCs w:val="24"/>
                <w:lang w:val="lv-LV"/>
              </w:rPr>
              <w:t>Atbalstīt vecumam atbilstošu, mērķtiecīgu ieguldījumu stratēģiju ar mērķi nodrošināt augstāku ienākumu aizstāšanas koeficientu  (piemēram, paaugstinot ieguldījumu riska līmeni jaunajiem dalībniekiem) - Latvijas iedzīvotājus, kas iesaistās darba tirgū un nav jau norādījuši vēlamo pensiju plānu, bet ir vecumā līdz 45 gadiem, iekļaut augstāka riska un atdeves pensiju plānos;</w:t>
            </w:r>
          </w:p>
          <w:p w14:paraId="4042FA5B" w14:textId="77777777" w:rsidR="009B2DCB" w:rsidRPr="00AE5356" w:rsidRDefault="009B2DCB" w:rsidP="00AE5356">
            <w:pPr>
              <w:pStyle w:val="NoSpacing"/>
              <w:numPr>
                <w:ilvl w:val="2"/>
                <w:numId w:val="20"/>
              </w:numPr>
              <w:ind w:left="672"/>
              <w:jc w:val="both"/>
              <w:rPr>
                <w:rFonts w:ascii="Times New Roman" w:hAnsi="Times New Roman" w:cs="Times New Roman"/>
                <w:sz w:val="24"/>
                <w:szCs w:val="24"/>
                <w:lang w:val="lv-LV"/>
              </w:rPr>
            </w:pPr>
            <w:r w:rsidRPr="00AE5356">
              <w:rPr>
                <w:rFonts w:ascii="Times New Roman" w:hAnsi="Times New Roman" w:cs="Times New Roman"/>
                <w:sz w:val="24"/>
                <w:szCs w:val="24"/>
                <w:lang w:val="lv-LV"/>
              </w:rPr>
              <w:t xml:space="preserve">Nostiprināt Valsts fondēto pensiju likumā tiesības veidot 100% ieguldījumu </w:t>
            </w:r>
            <w:r w:rsidRPr="00AE5356">
              <w:rPr>
                <w:rFonts w:ascii="Times New Roman" w:hAnsi="Times New Roman" w:cs="Times New Roman"/>
                <w:sz w:val="24"/>
                <w:szCs w:val="24"/>
                <w:lang w:val="lv-LV"/>
              </w:rPr>
              <w:lastRenderedPageBreak/>
              <w:t>indeksu (akciju) fondus, lai nodrošinātu adekvātu pensiju kapitāla atdevi personām līdz 55 gadu vecumam;</w:t>
            </w:r>
          </w:p>
          <w:p w14:paraId="648B53FE" w14:textId="77777777" w:rsidR="009B2DCB" w:rsidRPr="00AE5356" w:rsidRDefault="009B2DCB" w:rsidP="00AE5356">
            <w:pPr>
              <w:pStyle w:val="NoSpacing"/>
              <w:numPr>
                <w:ilvl w:val="2"/>
                <w:numId w:val="20"/>
              </w:numPr>
              <w:ind w:left="672"/>
              <w:jc w:val="both"/>
              <w:rPr>
                <w:rFonts w:ascii="Times New Roman" w:hAnsi="Times New Roman" w:cs="Times New Roman"/>
                <w:sz w:val="24"/>
                <w:szCs w:val="24"/>
                <w:lang w:val="lv-LV"/>
              </w:rPr>
            </w:pPr>
            <w:r w:rsidRPr="00AE5356">
              <w:rPr>
                <w:rFonts w:ascii="Times New Roman" w:hAnsi="Times New Roman" w:cs="Times New Roman"/>
                <w:sz w:val="24"/>
                <w:szCs w:val="24"/>
                <w:lang w:val="lv-LV"/>
              </w:rPr>
              <w:t>Veicināt efektīvāku līdzekļu pārvaldīšanu, IPS ļaujot vienlaicīgi nodrošināt savlaicīgu, kvalitatīvu un iespējami personalizētu klientu konsultēšanas iespēju. Lai tas būtu iespējams, nepieciešams ar likumu atļaut zināt savus klientus, kas atbilstu ES dalībvalstu praksei, kur pastāv VFPS pielīdzināmas shēmas un tirgus dalībnieki (IPS) zina savus klientus;</w:t>
            </w:r>
          </w:p>
          <w:p w14:paraId="5022166F" w14:textId="77777777" w:rsidR="009B2DCB" w:rsidRPr="00AE5356" w:rsidRDefault="009B2DCB" w:rsidP="00AE5356">
            <w:pPr>
              <w:pStyle w:val="NoSpacing"/>
              <w:numPr>
                <w:ilvl w:val="2"/>
                <w:numId w:val="20"/>
              </w:numPr>
              <w:ind w:left="672"/>
              <w:jc w:val="both"/>
              <w:rPr>
                <w:rFonts w:ascii="Times New Roman" w:hAnsi="Times New Roman" w:cs="Times New Roman"/>
                <w:sz w:val="24"/>
                <w:szCs w:val="24"/>
                <w:lang w:val="lv-LV"/>
              </w:rPr>
            </w:pPr>
            <w:r w:rsidRPr="00AE5356">
              <w:rPr>
                <w:rFonts w:ascii="Times New Roman" w:hAnsi="Times New Roman" w:cs="Times New Roman"/>
                <w:sz w:val="24"/>
                <w:szCs w:val="24"/>
                <w:lang w:val="lv-LV"/>
              </w:rPr>
              <w:t>Veicināt valsts uzņēmumu kotēšanu biržā, tādējādi efektīvi stimulējot kapitāla tirgus attīstību (palielinātos tā kapitalizācija, tiktu radīta platforma, iedrošinājums finansējuma piesaistei arī citiem uzņēmumiem), ņemot vērā, ka valstis, kurās ir attīstīts kapitāla tirgus, spēj operatīvāk pārvarēt krīzi;</w:t>
            </w:r>
          </w:p>
          <w:p w14:paraId="73FA8DCE" w14:textId="77777777" w:rsidR="009B2DCB" w:rsidRPr="00AE5356" w:rsidRDefault="009B2DCB" w:rsidP="00AE5356">
            <w:pPr>
              <w:pStyle w:val="NoSpacing"/>
              <w:numPr>
                <w:ilvl w:val="2"/>
                <w:numId w:val="20"/>
              </w:numPr>
              <w:ind w:left="672"/>
              <w:jc w:val="both"/>
              <w:rPr>
                <w:rFonts w:ascii="Times New Roman" w:hAnsi="Times New Roman" w:cs="Times New Roman"/>
                <w:sz w:val="24"/>
                <w:szCs w:val="24"/>
                <w:lang w:val="lv-LV"/>
              </w:rPr>
            </w:pPr>
            <w:r w:rsidRPr="00AE5356">
              <w:rPr>
                <w:rFonts w:ascii="Times New Roman" w:hAnsi="Times New Roman" w:cs="Times New Roman"/>
                <w:sz w:val="24"/>
                <w:szCs w:val="24"/>
                <w:lang w:val="lv-LV"/>
              </w:rPr>
              <w:t>Ieviest pastāvīgu atbalsta programmu uzņēmumu ieiešanai kapitāla tirgū;</w:t>
            </w:r>
          </w:p>
          <w:p w14:paraId="675BE875" w14:textId="0135473D" w:rsidR="009B2DCB" w:rsidRPr="00AE5356" w:rsidRDefault="009B2DCB" w:rsidP="00AE5356">
            <w:pPr>
              <w:pStyle w:val="NoSpacing"/>
              <w:numPr>
                <w:ilvl w:val="2"/>
                <w:numId w:val="20"/>
              </w:numPr>
              <w:ind w:left="672"/>
              <w:jc w:val="both"/>
              <w:rPr>
                <w:rFonts w:ascii="Times New Roman" w:hAnsi="Times New Roman" w:cs="Times New Roman"/>
                <w:sz w:val="24"/>
                <w:szCs w:val="24"/>
                <w:lang w:val="lv-LV"/>
              </w:rPr>
            </w:pPr>
            <w:r w:rsidRPr="008308C4">
              <w:rPr>
                <w:rFonts w:ascii="Times New Roman" w:hAnsi="Times New Roman"/>
                <w:sz w:val="24"/>
                <w:lang w:val="lv-LV"/>
              </w:rPr>
              <w:t>Panākt, ka Baltijas valstis dažādos ieguldījumu indeksos ir iezīmētas kā vienots reģions (līdzīgi kā Rietumāfrikas reģions, piemēram).</w:t>
            </w:r>
          </w:p>
        </w:tc>
        <w:tc>
          <w:tcPr>
            <w:tcW w:w="2835" w:type="dxa"/>
            <w:tcBorders>
              <w:left w:val="single" w:sz="6" w:space="0" w:color="000000" w:themeColor="text1"/>
              <w:bottom w:val="single" w:sz="4" w:space="0" w:color="auto"/>
              <w:right w:val="single" w:sz="6" w:space="0" w:color="000000" w:themeColor="text1"/>
            </w:tcBorders>
          </w:tcPr>
          <w:p w14:paraId="1D162681" w14:textId="5491AD0F" w:rsidR="009B2DCB" w:rsidRPr="00AE5356" w:rsidRDefault="009B2DCB" w:rsidP="00AE5356">
            <w:pPr>
              <w:pStyle w:val="naisc"/>
            </w:pPr>
            <w:r w:rsidRPr="00AE5356">
              <w:lastRenderedPageBreak/>
              <w:t xml:space="preserve"> </w:t>
            </w:r>
          </w:p>
          <w:p w14:paraId="74261868" w14:textId="77777777" w:rsidR="009B2DCB" w:rsidRPr="00AE5356" w:rsidRDefault="009B2DCB" w:rsidP="00AE5356">
            <w:pPr>
              <w:pStyle w:val="naisc"/>
              <w:spacing w:before="0" w:after="0"/>
              <w:jc w:val="left"/>
            </w:pPr>
          </w:p>
          <w:p w14:paraId="6A62FBDE" w14:textId="0DDE1DC6" w:rsidR="009B2DCB" w:rsidRPr="00AE5356" w:rsidRDefault="001465D1" w:rsidP="00AE5356">
            <w:r>
              <w:t xml:space="preserve">i </w:t>
            </w:r>
            <w:r w:rsidRPr="001465D1">
              <w:t>Panākta vienošanās elektroniskajā saskaņošanā 14.01.2021</w:t>
            </w:r>
          </w:p>
          <w:p w14:paraId="34463B7A" w14:textId="77777777" w:rsidR="009B2DCB" w:rsidRPr="00AE5356" w:rsidRDefault="009B2DCB" w:rsidP="00AE5356"/>
          <w:p w14:paraId="7F2A17AA" w14:textId="77777777" w:rsidR="009B2DCB" w:rsidRPr="00AE5356" w:rsidRDefault="009B2DCB" w:rsidP="00AE5356"/>
          <w:p w14:paraId="42C3EC21" w14:textId="77777777" w:rsidR="009B2DCB" w:rsidRPr="00AE5356" w:rsidRDefault="009B2DCB" w:rsidP="00AE5356"/>
          <w:p w14:paraId="3BF4E93F" w14:textId="77777777" w:rsidR="009B2DCB" w:rsidRPr="00AE5356" w:rsidRDefault="009B2DCB" w:rsidP="00AE5356"/>
          <w:p w14:paraId="519A9484" w14:textId="75E85ECB" w:rsidR="009B2DCB" w:rsidRPr="00AE5356" w:rsidRDefault="009B2DCB" w:rsidP="00AE5356"/>
          <w:p w14:paraId="1226EA98" w14:textId="68D5769D" w:rsidR="009B2DCB" w:rsidRPr="00AE5356" w:rsidRDefault="00A03F54" w:rsidP="00AE5356">
            <w:r>
              <w:t>ii Ņemts vērā.</w:t>
            </w:r>
          </w:p>
          <w:p w14:paraId="1360E02A" w14:textId="77777777" w:rsidR="009B2DCB" w:rsidRPr="00AE5356" w:rsidRDefault="009B2DCB" w:rsidP="00AE5356"/>
          <w:p w14:paraId="75364C24" w14:textId="77777777" w:rsidR="009B2DCB" w:rsidRPr="00AE5356" w:rsidRDefault="009B2DCB" w:rsidP="00AE5356"/>
          <w:p w14:paraId="7E62D4D7" w14:textId="77777777" w:rsidR="009B2DCB" w:rsidRPr="00AE5356" w:rsidRDefault="009B2DCB" w:rsidP="00AE5356"/>
          <w:p w14:paraId="35B1F21A" w14:textId="0A5CB24B" w:rsidR="009B2DCB" w:rsidRPr="00AE5356" w:rsidRDefault="001465D1" w:rsidP="00AE5356">
            <w:r>
              <w:t xml:space="preserve">3 un 4 – </w:t>
            </w:r>
            <w:r w:rsidRPr="001465D1">
              <w:t>Panākta vienošanās elektroniskajā saskaņošanā 14.01.2021</w:t>
            </w:r>
          </w:p>
          <w:p w14:paraId="5BD894CA" w14:textId="11486BCE" w:rsidR="009B2DCB" w:rsidRDefault="009B2DCB" w:rsidP="00AE5356"/>
          <w:p w14:paraId="225C6DDE" w14:textId="158CC02C" w:rsidR="002B0C88" w:rsidRDefault="002B0C88" w:rsidP="00AE5356"/>
          <w:p w14:paraId="53B51CEB" w14:textId="77777777" w:rsidR="002B0C88" w:rsidRPr="00AE5356" w:rsidRDefault="002B0C88" w:rsidP="00AE5356"/>
          <w:p w14:paraId="7B9D0B8E" w14:textId="7171486A" w:rsidR="009B2DCB" w:rsidRPr="00AE5356" w:rsidRDefault="001465D1" w:rsidP="00AE5356">
            <w:r>
              <w:t>iii Ņ</w:t>
            </w:r>
            <w:r w:rsidR="00A03F54">
              <w:t>emts vērā</w:t>
            </w:r>
          </w:p>
          <w:p w14:paraId="494A2700" w14:textId="77777777" w:rsidR="009B2DCB" w:rsidRPr="00AE5356" w:rsidRDefault="009B2DCB" w:rsidP="00AE5356"/>
          <w:p w14:paraId="6E298547" w14:textId="77777777" w:rsidR="009B2DCB" w:rsidRPr="00AE5356" w:rsidRDefault="009B2DCB" w:rsidP="00AE5356"/>
          <w:p w14:paraId="38164667" w14:textId="77777777" w:rsidR="009B2DCB" w:rsidRPr="00AE5356" w:rsidRDefault="009B2DCB" w:rsidP="00AE5356"/>
          <w:p w14:paraId="1243A65F" w14:textId="77777777" w:rsidR="009B2DCB" w:rsidRPr="00AE5356" w:rsidRDefault="009B2DCB" w:rsidP="00AE5356"/>
          <w:p w14:paraId="12AF3828" w14:textId="77777777" w:rsidR="009B2DCB" w:rsidRPr="00AE5356" w:rsidRDefault="009B2DCB" w:rsidP="00AE5356"/>
          <w:p w14:paraId="1322D2AF" w14:textId="77777777" w:rsidR="009B2DCB" w:rsidRPr="00AE5356" w:rsidRDefault="009B2DCB" w:rsidP="00AE5356"/>
          <w:p w14:paraId="07EC39C2" w14:textId="211D1C14" w:rsidR="009B2DCB" w:rsidRPr="00AE5356" w:rsidRDefault="009B2DCB" w:rsidP="00AE5356"/>
          <w:p w14:paraId="74CADC61" w14:textId="77777777" w:rsidR="009B2DCB" w:rsidRPr="00AE5356" w:rsidRDefault="009B2DCB" w:rsidP="00AE5356"/>
          <w:p w14:paraId="6AAE0A6B" w14:textId="77777777" w:rsidR="009B2DCB" w:rsidRPr="00AE5356" w:rsidRDefault="009B2DCB" w:rsidP="00AE5356"/>
          <w:p w14:paraId="68933466" w14:textId="4469EAB3" w:rsidR="009B2DCB" w:rsidRPr="00AE5356" w:rsidRDefault="001465D1" w:rsidP="00AE5356">
            <w:r>
              <w:t>iv Ņ</w:t>
            </w:r>
            <w:r w:rsidR="00A03F54">
              <w:t>emts vērā</w:t>
            </w:r>
          </w:p>
          <w:p w14:paraId="1D9CEBCE" w14:textId="77777777" w:rsidR="009B2DCB" w:rsidRPr="00AE5356" w:rsidRDefault="009B2DCB" w:rsidP="00AE5356"/>
          <w:p w14:paraId="1E9F1324" w14:textId="77777777" w:rsidR="009B2DCB" w:rsidRPr="00AE5356" w:rsidRDefault="009B2DCB" w:rsidP="00AE5356"/>
          <w:p w14:paraId="4B6F7199" w14:textId="77777777" w:rsidR="009B2DCB" w:rsidRPr="00AE5356" w:rsidRDefault="009B2DCB" w:rsidP="00AE5356"/>
          <w:p w14:paraId="6E8B9C95" w14:textId="77777777" w:rsidR="009B2DCB" w:rsidRPr="00AE5356" w:rsidRDefault="009B2DCB" w:rsidP="00AE5356"/>
          <w:p w14:paraId="4240ED84" w14:textId="77777777" w:rsidR="009B2DCB" w:rsidRPr="00AE5356" w:rsidRDefault="009B2DCB" w:rsidP="00AE5356"/>
          <w:p w14:paraId="6248747D" w14:textId="77777777" w:rsidR="009B2DCB" w:rsidRPr="00AE5356" w:rsidRDefault="009B2DCB" w:rsidP="00AE5356"/>
          <w:p w14:paraId="12675FCC" w14:textId="77777777" w:rsidR="009B2DCB" w:rsidRPr="00AE5356" w:rsidRDefault="009B2DCB" w:rsidP="00AE5356"/>
          <w:p w14:paraId="342C5EC3" w14:textId="77777777" w:rsidR="009B2DCB" w:rsidRPr="00AE5356" w:rsidRDefault="009B2DCB" w:rsidP="00AE5356"/>
          <w:p w14:paraId="29C6F7B8" w14:textId="045DDF79" w:rsidR="009B2DCB" w:rsidRPr="00AE5356" w:rsidRDefault="001465D1" w:rsidP="00AE5356">
            <w:r>
              <w:t>v Ņ</w:t>
            </w:r>
            <w:r w:rsidR="00A03F54">
              <w:t>emts vērā</w:t>
            </w:r>
          </w:p>
          <w:p w14:paraId="5525D379" w14:textId="77777777" w:rsidR="009B2DCB" w:rsidRPr="00AE5356" w:rsidRDefault="009B2DCB" w:rsidP="00AE5356"/>
          <w:p w14:paraId="013A2656" w14:textId="77777777" w:rsidR="009B2DCB" w:rsidRPr="00AE5356" w:rsidRDefault="009B2DCB" w:rsidP="00AE5356"/>
          <w:p w14:paraId="135FF337" w14:textId="77777777" w:rsidR="009B2DCB" w:rsidRPr="00AE5356" w:rsidRDefault="009B2DCB" w:rsidP="00AE5356"/>
          <w:p w14:paraId="671946F0" w14:textId="77777777" w:rsidR="009B2DCB" w:rsidRPr="00AE5356" w:rsidRDefault="009B2DCB" w:rsidP="00AE5356"/>
          <w:p w14:paraId="3A82372E" w14:textId="77777777" w:rsidR="009B2DCB" w:rsidRPr="00AE5356" w:rsidRDefault="009B2DCB" w:rsidP="00AE5356"/>
          <w:p w14:paraId="013F658E" w14:textId="77777777" w:rsidR="009B2DCB" w:rsidRPr="00AE5356" w:rsidRDefault="009B2DCB" w:rsidP="00AE5356"/>
          <w:p w14:paraId="145A1EC2" w14:textId="488308CA" w:rsidR="009B2DCB" w:rsidRPr="00AE5356" w:rsidRDefault="001465D1" w:rsidP="00AE5356">
            <w:r>
              <w:t xml:space="preserve">vi </w:t>
            </w:r>
            <w:r w:rsidR="00F512E1">
              <w:t>Ņemts vērā</w:t>
            </w:r>
          </w:p>
          <w:p w14:paraId="1517E9C3" w14:textId="77777777" w:rsidR="009B2DCB" w:rsidRPr="00AE5356" w:rsidRDefault="009B2DCB" w:rsidP="00AE5356"/>
          <w:p w14:paraId="634C0FEA" w14:textId="77777777" w:rsidR="009B2DCB" w:rsidRPr="00AE5356" w:rsidRDefault="009B2DCB" w:rsidP="00AE5356"/>
          <w:p w14:paraId="39FBDBEA" w14:textId="77777777" w:rsidR="009B2DCB" w:rsidRPr="00AE5356" w:rsidRDefault="009B2DCB" w:rsidP="00AE5356"/>
          <w:p w14:paraId="29053869" w14:textId="4D448B6D" w:rsidR="009B2DCB" w:rsidRPr="00AE5356" w:rsidRDefault="001465D1" w:rsidP="00AE5356">
            <w:r>
              <w:t>vii Ņ</w:t>
            </w:r>
            <w:r w:rsidR="00F512E1">
              <w:t>emts vērā</w:t>
            </w:r>
          </w:p>
          <w:p w14:paraId="1C242DC0" w14:textId="77777777" w:rsidR="009B2DCB" w:rsidRPr="00AE5356" w:rsidRDefault="009B2DCB" w:rsidP="00AE5356"/>
          <w:p w14:paraId="6A5F5D7C" w14:textId="77777777" w:rsidR="009B2DCB" w:rsidRPr="00AE5356" w:rsidRDefault="009B2DCB" w:rsidP="00AE5356"/>
          <w:p w14:paraId="4424EBD8" w14:textId="77777777" w:rsidR="009B2DCB" w:rsidRPr="00AE5356" w:rsidRDefault="009B2DCB" w:rsidP="00AE5356"/>
          <w:p w14:paraId="01818EEC" w14:textId="77777777" w:rsidR="009B2DCB" w:rsidRPr="00AE5356" w:rsidRDefault="009B2DCB" w:rsidP="00AE5356"/>
          <w:p w14:paraId="5A7BC0A7" w14:textId="77777777" w:rsidR="009B2DCB" w:rsidRPr="00AE5356" w:rsidRDefault="009B2DCB" w:rsidP="00AE5356"/>
          <w:p w14:paraId="52946B9F" w14:textId="77777777" w:rsidR="009B2DCB" w:rsidRPr="00AE5356" w:rsidRDefault="009B2DCB" w:rsidP="00AE5356"/>
          <w:p w14:paraId="329F4A8F" w14:textId="77777777" w:rsidR="00F512E1" w:rsidRDefault="00F512E1" w:rsidP="009B2DCB"/>
          <w:p w14:paraId="23FC1B41" w14:textId="77777777" w:rsidR="00F512E1" w:rsidRDefault="00F512E1" w:rsidP="009B2DCB"/>
          <w:p w14:paraId="19AE5526" w14:textId="77777777" w:rsidR="00F512E1" w:rsidRDefault="00F512E1" w:rsidP="009B2DCB"/>
          <w:p w14:paraId="50053FB0" w14:textId="77777777" w:rsidR="00F512E1" w:rsidRDefault="00F512E1" w:rsidP="009B2DCB"/>
          <w:p w14:paraId="74691535" w14:textId="0A6CB8F6" w:rsidR="00F512E1" w:rsidRDefault="001465D1" w:rsidP="009B2DCB">
            <w:r>
              <w:t>v</w:t>
            </w:r>
            <w:r w:rsidR="00F512E1">
              <w:t>iii Daļēj</w:t>
            </w:r>
            <w:r w:rsidR="00D00047">
              <w:t>i</w:t>
            </w:r>
            <w:r w:rsidR="00F512E1">
              <w:t xml:space="preserve"> ņemts vērā</w:t>
            </w:r>
          </w:p>
          <w:p w14:paraId="06200917" w14:textId="77777777" w:rsidR="009B2DCB" w:rsidRPr="00AE5356" w:rsidRDefault="009B2DCB" w:rsidP="00AE5356"/>
          <w:p w14:paraId="2879873E" w14:textId="77777777" w:rsidR="00F512E1" w:rsidRDefault="00F512E1" w:rsidP="009B2DCB"/>
          <w:p w14:paraId="59462310" w14:textId="77777777" w:rsidR="00F512E1" w:rsidRDefault="00F512E1" w:rsidP="009B2DCB"/>
          <w:p w14:paraId="72BC0DB0" w14:textId="77777777" w:rsidR="00F512E1" w:rsidRDefault="00F512E1" w:rsidP="009B2DCB"/>
          <w:p w14:paraId="33661E9C" w14:textId="77777777" w:rsidR="00F512E1" w:rsidRDefault="00F512E1" w:rsidP="009B2DCB"/>
          <w:p w14:paraId="6FB1224E" w14:textId="77777777" w:rsidR="00F512E1" w:rsidRDefault="00F512E1" w:rsidP="009B2DCB"/>
          <w:p w14:paraId="797E1028" w14:textId="77777777" w:rsidR="00F512E1" w:rsidRDefault="00F512E1" w:rsidP="009B2DCB"/>
          <w:p w14:paraId="743EB841" w14:textId="77777777" w:rsidR="00F512E1" w:rsidRDefault="00F512E1" w:rsidP="009B2DCB"/>
          <w:p w14:paraId="252F7AD8" w14:textId="77777777" w:rsidR="00F512E1" w:rsidRDefault="00F512E1" w:rsidP="009B2DCB"/>
          <w:p w14:paraId="2988733B" w14:textId="77777777" w:rsidR="00F512E1" w:rsidRDefault="00F512E1" w:rsidP="009B2DCB"/>
          <w:p w14:paraId="72B97233" w14:textId="77777777" w:rsidR="00F512E1" w:rsidRDefault="00F512E1" w:rsidP="009B2DCB"/>
          <w:p w14:paraId="5FBAF150" w14:textId="75FA1BC7" w:rsidR="009B2DCB" w:rsidRPr="00AE5356" w:rsidRDefault="00F512E1" w:rsidP="00AE5356">
            <w:r>
              <w:t xml:space="preserve">ix </w:t>
            </w:r>
            <w:r w:rsidR="001465D1" w:rsidRPr="001465D1">
              <w:t>Panākta vienošanās elektroniskajā saskaņošanā 14.01.2021.</w:t>
            </w:r>
          </w:p>
          <w:p w14:paraId="6FE9AFEF" w14:textId="77777777" w:rsidR="009B2DCB" w:rsidRPr="00AE5356" w:rsidRDefault="009B2DCB" w:rsidP="00AE5356"/>
          <w:p w14:paraId="7E9EC901" w14:textId="5BAEAAA1" w:rsidR="009B2DCB" w:rsidRPr="00AE5356" w:rsidRDefault="009B2DCB" w:rsidP="00AE5356"/>
        </w:tc>
        <w:tc>
          <w:tcPr>
            <w:tcW w:w="3544" w:type="dxa"/>
            <w:tcBorders>
              <w:top w:val="single" w:sz="4" w:space="0" w:color="auto"/>
              <w:left w:val="single" w:sz="4" w:space="0" w:color="auto"/>
              <w:bottom w:val="single" w:sz="4" w:space="0" w:color="auto"/>
            </w:tcBorders>
          </w:tcPr>
          <w:p w14:paraId="54B76C25" w14:textId="55109103" w:rsidR="009B2DCB" w:rsidRDefault="009B2DCB" w:rsidP="00AE5356">
            <w:pPr>
              <w:jc w:val="both"/>
            </w:pPr>
            <w:r w:rsidRPr="00AE5356">
              <w:lastRenderedPageBreak/>
              <w:t>Neatbalstām mērķtiecīgu valsts budžeta galvojuma paplašināšanu, jo valsts saistību seguma nodrošinājums tiek vērtēts atbilstoši Ministru kabineta 2015.gada 6.oktobra noteikumiem Nr.573 “Kārtība, kādā tiek paredzētas valsts saistības par akciju sabiedrības “Attīstības finanšu institūcija Altum”, kas  nosaka, ka jānodrošina sagaidāmo zaudējumu novērtēšana izsniegtajām garantijām un ar izsniegtajām garantijām saistīto risku vadība un, kas papildus tiek vērtēts kārtējā gada budžeta sagatavošanas procesā.</w:t>
            </w:r>
          </w:p>
          <w:p w14:paraId="77980610" w14:textId="3809A319" w:rsidR="001465D1" w:rsidRDefault="001465D1" w:rsidP="00AE5356">
            <w:pPr>
              <w:jc w:val="both"/>
            </w:pPr>
          </w:p>
          <w:p w14:paraId="64C2CDAC" w14:textId="7E3CA54B" w:rsidR="001465D1" w:rsidRPr="00AE5356" w:rsidRDefault="001465D1" w:rsidP="00AE5356">
            <w:pPr>
              <w:jc w:val="both"/>
            </w:pPr>
            <w:r w:rsidRPr="001465D1">
              <w:t xml:space="preserve">Neatbalstām jaunu nodokļu atvieglojumu noteikšanu atsevišķos nozares plānošanas dokumentos, jo prognozējama un stabila nodokļu politika var tikt veidota ar horizontālu nodokļu politikas </w:t>
            </w:r>
            <w:r>
              <w:t xml:space="preserve">dokumentu, nevis atsevišķu jomu plānošanas prioritātēm. </w:t>
            </w:r>
            <w:r w:rsidRPr="001465D1">
              <w:t xml:space="preserve">Uzskatām, ka visi jautājumi, kas saistīti ar nodokļu </w:t>
            </w:r>
            <w:r w:rsidRPr="001465D1">
              <w:lastRenderedPageBreak/>
              <w:t>politiku, t.sk. nodokļu atvieglojumi, ir jāskata vienā plānošanas dokumentā.</w:t>
            </w:r>
          </w:p>
          <w:p w14:paraId="7BFEC32C" w14:textId="77777777" w:rsidR="009B2DCB" w:rsidRDefault="009B2DCB" w:rsidP="009B2DCB">
            <w:pPr>
              <w:jc w:val="both"/>
              <w:rPr>
                <w:color w:val="000000"/>
              </w:rPr>
            </w:pPr>
          </w:p>
          <w:p w14:paraId="77926D63" w14:textId="77777777" w:rsidR="00A03F54" w:rsidRDefault="00A03F54" w:rsidP="009B2DCB">
            <w:pPr>
              <w:jc w:val="both"/>
              <w:rPr>
                <w:color w:val="000000"/>
              </w:rPr>
            </w:pPr>
          </w:p>
          <w:p w14:paraId="477B594A" w14:textId="77777777" w:rsidR="00A03F54" w:rsidRDefault="00A03F54" w:rsidP="009B2DCB">
            <w:pPr>
              <w:jc w:val="both"/>
              <w:rPr>
                <w:color w:val="000000"/>
              </w:rPr>
            </w:pPr>
          </w:p>
          <w:p w14:paraId="621D3C21" w14:textId="77777777" w:rsidR="00A03F54" w:rsidRDefault="00A03F54" w:rsidP="009B2DCB">
            <w:pPr>
              <w:jc w:val="both"/>
              <w:rPr>
                <w:color w:val="000000"/>
              </w:rPr>
            </w:pPr>
          </w:p>
          <w:p w14:paraId="1698AC6F" w14:textId="77777777" w:rsidR="00A03F54" w:rsidRDefault="00A03F54" w:rsidP="009B2DCB">
            <w:pPr>
              <w:jc w:val="both"/>
              <w:rPr>
                <w:color w:val="000000"/>
              </w:rPr>
            </w:pPr>
          </w:p>
          <w:p w14:paraId="7A1BEE1F" w14:textId="77777777" w:rsidR="00A03F54" w:rsidRDefault="00A03F54" w:rsidP="009B2DCB">
            <w:pPr>
              <w:jc w:val="both"/>
              <w:rPr>
                <w:color w:val="000000"/>
              </w:rPr>
            </w:pPr>
          </w:p>
          <w:p w14:paraId="1C8B0643" w14:textId="77777777" w:rsidR="00A03F54" w:rsidRDefault="00A03F54" w:rsidP="009B2DCB">
            <w:pPr>
              <w:jc w:val="both"/>
              <w:rPr>
                <w:color w:val="000000"/>
              </w:rPr>
            </w:pPr>
          </w:p>
          <w:p w14:paraId="23AD532D" w14:textId="77777777" w:rsidR="00A03F54" w:rsidRDefault="00A03F54" w:rsidP="009B2DCB">
            <w:pPr>
              <w:jc w:val="both"/>
              <w:rPr>
                <w:color w:val="000000"/>
              </w:rPr>
            </w:pPr>
            <w:r>
              <w:rPr>
                <w:color w:val="000000"/>
              </w:rPr>
              <w:t>Pasākumu plānā iekļauts 1.2.5.uzdevumā.</w:t>
            </w:r>
          </w:p>
          <w:p w14:paraId="4B5CACD4" w14:textId="77777777" w:rsidR="00A03F54" w:rsidRDefault="00A03F54" w:rsidP="009B2DCB">
            <w:pPr>
              <w:jc w:val="both"/>
              <w:rPr>
                <w:color w:val="000000"/>
              </w:rPr>
            </w:pPr>
          </w:p>
          <w:p w14:paraId="3D5F25CB" w14:textId="77777777" w:rsidR="00A03F54" w:rsidRDefault="00A03F54" w:rsidP="009B2DCB">
            <w:pPr>
              <w:jc w:val="both"/>
              <w:rPr>
                <w:color w:val="000000"/>
              </w:rPr>
            </w:pPr>
          </w:p>
          <w:p w14:paraId="0639C25A" w14:textId="77777777" w:rsidR="00A03F54" w:rsidRDefault="00A03F54" w:rsidP="009B2DCB">
            <w:pPr>
              <w:jc w:val="both"/>
              <w:rPr>
                <w:color w:val="000000"/>
              </w:rPr>
            </w:pPr>
          </w:p>
          <w:p w14:paraId="70E1B5DB" w14:textId="77777777" w:rsidR="00A03F54" w:rsidRDefault="00A03F54" w:rsidP="009B2DCB">
            <w:pPr>
              <w:jc w:val="both"/>
              <w:rPr>
                <w:color w:val="000000"/>
              </w:rPr>
            </w:pPr>
          </w:p>
          <w:p w14:paraId="1E0A977C" w14:textId="77777777" w:rsidR="00A03F54" w:rsidRDefault="00A03F54" w:rsidP="009B2DCB">
            <w:pPr>
              <w:jc w:val="both"/>
              <w:rPr>
                <w:color w:val="000000"/>
              </w:rPr>
            </w:pPr>
          </w:p>
          <w:p w14:paraId="17622C84" w14:textId="77777777" w:rsidR="00A03F54" w:rsidRDefault="00A03F54" w:rsidP="009B2DCB">
            <w:pPr>
              <w:jc w:val="both"/>
              <w:rPr>
                <w:color w:val="000000"/>
              </w:rPr>
            </w:pPr>
          </w:p>
          <w:p w14:paraId="2C528DD5" w14:textId="77777777" w:rsidR="00A03F54" w:rsidRDefault="00A03F54" w:rsidP="009B2DCB">
            <w:pPr>
              <w:jc w:val="both"/>
              <w:rPr>
                <w:color w:val="000000"/>
              </w:rPr>
            </w:pPr>
          </w:p>
          <w:p w14:paraId="1210358D" w14:textId="77777777" w:rsidR="00A03F54" w:rsidRDefault="00A03F54" w:rsidP="009B2DCB">
            <w:pPr>
              <w:jc w:val="both"/>
              <w:rPr>
                <w:color w:val="000000"/>
              </w:rPr>
            </w:pPr>
          </w:p>
          <w:p w14:paraId="12E32D61" w14:textId="77777777" w:rsidR="00A03F54" w:rsidRDefault="00A03F54" w:rsidP="009B2DCB">
            <w:pPr>
              <w:jc w:val="both"/>
              <w:rPr>
                <w:color w:val="000000"/>
              </w:rPr>
            </w:pPr>
          </w:p>
          <w:p w14:paraId="30509CD5" w14:textId="77777777" w:rsidR="00A03F54" w:rsidRDefault="00A03F54" w:rsidP="009B2DCB">
            <w:pPr>
              <w:jc w:val="both"/>
              <w:rPr>
                <w:color w:val="000000"/>
              </w:rPr>
            </w:pPr>
          </w:p>
          <w:p w14:paraId="1CFD32D8" w14:textId="0B77498A" w:rsidR="00A03F54" w:rsidRDefault="00A03F54" w:rsidP="009B2DCB">
            <w:pPr>
              <w:jc w:val="both"/>
              <w:rPr>
                <w:color w:val="000000"/>
              </w:rPr>
            </w:pPr>
            <w:r>
              <w:rPr>
                <w:color w:val="000000"/>
              </w:rPr>
              <w:t>Pasākuma plāna 1.2.6.uzdevumā jau ir pa</w:t>
            </w:r>
            <w:r w:rsidR="001465D1">
              <w:rPr>
                <w:color w:val="000000"/>
              </w:rPr>
              <w:t>r</w:t>
            </w:r>
            <w:r>
              <w:rPr>
                <w:color w:val="000000"/>
              </w:rPr>
              <w:t>edzēts vērtēt kopējās sistēmas uzlabošanas iespējas.</w:t>
            </w:r>
          </w:p>
          <w:p w14:paraId="3894520D" w14:textId="77777777" w:rsidR="00A03F54" w:rsidRDefault="00A03F54" w:rsidP="009B2DCB">
            <w:pPr>
              <w:jc w:val="both"/>
              <w:rPr>
                <w:color w:val="000000"/>
              </w:rPr>
            </w:pPr>
          </w:p>
          <w:p w14:paraId="2D1C7E70" w14:textId="77777777" w:rsidR="00A03F54" w:rsidRDefault="00A03F54" w:rsidP="009B2DCB">
            <w:pPr>
              <w:jc w:val="both"/>
              <w:rPr>
                <w:color w:val="000000"/>
              </w:rPr>
            </w:pPr>
          </w:p>
          <w:p w14:paraId="392B4DA1" w14:textId="77777777" w:rsidR="00A03F54" w:rsidRDefault="00A03F54" w:rsidP="009B2DCB">
            <w:pPr>
              <w:jc w:val="both"/>
              <w:rPr>
                <w:color w:val="000000"/>
              </w:rPr>
            </w:pPr>
          </w:p>
          <w:p w14:paraId="4D4DE324" w14:textId="77777777" w:rsidR="00A03F54" w:rsidRDefault="00A03F54" w:rsidP="009B2DCB">
            <w:pPr>
              <w:jc w:val="both"/>
              <w:rPr>
                <w:color w:val="000000"/>
              </w:rPr>
            </w:pPr>
          </w:p>
          <w:p w14:paraId="400FCB1F" w14:textId="77777777" w:rsidR="00A03F54" w:rsidRDefault="00A03F54" w:rsidP="009B2DCB">
            <w:pPr>
              <w:jc w:val="both"/>
              <w:rPr>
                <w:color w:val="000000"/>
              </w:rPr>
            </w:pPr>
          </w:p>
          <w:p w14:paraId="38F04572" w14:textId="77777777" w:rsidR="00A03F54" w:rsidRDefault="00A03F54" w:rsidP="009B2DCB">
            <w:pPr>
              <w:jc w:val="both"/>
              <w:rPr>
                <w:color w:val="000000"/>
              </w:rPr>
            </w:pPr>
          </w:p>
          <w:p w14:paraId="0F48CA09" w14:textId="30AD244C" w:rsidR="00A03F54" w:rsidRDefault="00A03F54" w:rsidP="009B2DCB">
            <w:pPr>
              <w:jc w:val="both"/>
              <w:rPr>
                <w:color w:val="000000"/>
              </w:rPr>
            </w:pPr>
            <w:r>
              <w:rPr>
                <w:color w:val="000000"/>
              </w:rPr>
              <w:lastRenderedPageBreak/>
              <w:t>Pasākuma plāna 1.2.6.uzdevumā jau ir pa</w:t>
            </w:r>
            <w:r w:rsidR="00D00047">
              <w:rPr>
                <w:color w:val="000000"/>
              </w:rPr>
              <w:t>r</w:t>
            </w:r>
            <w:r>
              <w:rPr>
                <w:color w:val="000000"/>
              </w:rPr>
              <w:t>edzēts vērtēt kopējās sistēmas uzlabošanas iespējas.</w:t>
            </w:r>
          </w:p>
          <w:p w14:paraId="43C73756" w14:textId="77777777" w:rsidR="00A03F54" w:rsidRDefault="00A03F54" w:rsidP="009B2DCB">
            <w:pPr>
              <w:jc w:val="both"/>
              <w:rPr>
                <w:color w:val="000000"/>
              </w:rPr>
            </w:pPr>
          </w:p>
          <w:p w14:paraId="4CA2C68B" w14:textId="77777777" w:rsidR="00A03F54" w:rsidRDefault="00A03F54" w:rsidP="009B2DCB">
            <w:pPr>
              <w:jc w:val="both"/>
              <w:rPr>
                <w:color w:val="000000"/>
              </w:rPr>
            </w:pPr>
          </w:p>
          <w:p w14:paraId="1BA79658" w14:textId="77777777" w:rsidR="00A03F54" w:rsidRDefault="00A03F54" w:rsidP="009B2DCB">
            <w:pPr>
              <w:jc w:val="both"/>
              <w:rPr>
                <w:color w:val="000000"/>
              </w:rPr>
            </w:pPr>
          </w:p>
          <w:p w14:paraId="073F6B44" w14:textId="77777777" w:rsidR="00A03F54" w:rsidRDefault="00A03F54" w:rsidP="009B2DCB">
            <w:pPr>
              <w:jc w:val="both"/>
              <w:rPr>
                <w:color w:val="000000"/>
              </w:rPr>
            </w:pPr>
          </w:p>
          <w:p w14:paraId="2702B325" w14:textId="77777777" w:rsidR="00A03F54" w:rsidRDefault="00A03F54" w:rsidP="009B2DCB">
            <w:pPr>
              <w:jc w:val="both"/>
              <w:rPr>
                <w:color w:val="000000"/>
              </w:rPr>
            </w:pPr>
          </w:p>
          <w:p w14:paraId="2D9F690F" w14:textId="77777777" w:rsidR="00A03F54" w:rsidRDefault="00A03F54" w:rsidP="009B2DCB">
            <w:pPr>
              <w:jc w:val="both"/>
              <w:rPr>
                <w:color w:val="000000"/>
              </w:rPr>
            </w:pPr>
          </w:p>
          <w:p w14:paraId="578E3D63" w14:textId="77777777" w:rsidR="00A03F54" w:rsidRDefault="00A03F54" w:rsidP="009B2DCB">
            <w:pPr>
              <w:jc w:val="both"/>
              <w:rPr>
                <w:color w:val="000000"/>
              </w:rPr>
            </w:pPr>
          </w:p>
          <w:p w14:paraId="06D5F01C" w14:textId="77777777" w:rsidR="00A03F54" w:rsidRDefault="00A03F54" w:rsidP="009B2DCB">
            <w:pPr>
              <w:jc w:val="both"/>
              <w:rPr>
                <w:color w:val="000000"/>
              </w:rPr>
            </w:pPr>
          </w:p>
          <w:p w14:paraId="5CC3C0DB" w14:textId="77777777" w:rsidR="00A03F54" w:rsidRDefault="00A03F54" w:rsidP="009B2DCB">
            <w:pPr>
              <w:jc w:val="both"/>
              <w:rPr>
                <w:color w:val="000000"/>
              </w:rPr>
            </w:pPr>
            <w:r>
              <w:rPr>
                <w:color w:val="000000"/>
              </w:rPr>
              <w:t>1.2.6. uzdevums paredz veikt izvērtējumu un attiecīgu normatīvo aktu iesniegšanu.</w:t>
            </w:r>
          </w:p>
          <w:p w14:paraId="5CCA7FB4" w14:textId="77777777" w:rsidR="00F512E1" w:rsidRDefault="00F512E1" w:rsidP="009B2DCB">
            <w:pPr>
              <w:jc w:val="both"/>
              <w:rPr>
                <w:color w:val="000000"/>
              </w:rPr>
            </w:pPr>
          </w:p>
          <w:p w14:paraId="5F91F6AD" w14:textId="77777777" w:rsidR="00F512E1" w:rsidRDefault="00F512E1" w:rsidP="009B2DCB">
            <w:pPr>
              <w:jc w:val="both"/>
              <w:rPr>
                <w:color w:val="000000"/>
              </w:rPr>
            </w:pPr>
          </w:p>
          <w:p w14:paraId="14E3EB8C" w14:textId="77777777" w:rsidR="00F512E1" w:rsidRDefault="00F512E1" w:rsidP="009B2DCB">
            <w:pPr>
              <w:jc w:val="both"/>
              <w:rPr>
                <w:color w:val="000000"/>
              </w:rPr>
            </w:pPr>
          </w:p>
          <w:p w14:paraId="06D0040C" w14:textId="7915E704" w:rsidR="00F512E1" w:rsidRDefault="00F512E1" w:rsidP="009B2DCB">
            <w:pPr>
              <w:jc w:val="both"/>
              <w:rPr>
                <w:color w:val="000000"/>
              </w:rPr>
            </w:pPr>
            <w:r>
              <w:rPr>
                <w:color w:val="000000"/>
              </w:rPr>
              <w:t>Saeimā šobrīd jau tiek skatīti Grozījumi  Valsts fondēto pensiju likumā, kurā tiek risināti iebildumā minētie jautājumi.</w:t>
            </w:r>
          </w:p>
          <w:p w14:paraId="7537FDF3" w14:textId="77777777" w:rsidR="00F512E1" w:rsidRDefault="00F512E1" w:rsidP="009B2DCB">
            <w:pPr>
              <w:jc w:val="both"/>
              <w:rPr>
                <w:color w:val="000000"/>
              </w:rPr>
            </w:pPr>
          </w:p>
          <w:p w14:paraId="6784015F" w14:textId="77777777" w:rsidR="00F512E1" w:rsidRDefault="00F512E1" w:rsidP="009B2DCB">
            <w:pPr>
              <w:jc w:val="both"/>
              <w:rPr>
                <w:color w:val="000000"/>
              </w:rPr>
            </w:pPr>
            <w:r>
              <w:rPr>
                <w:color w:val="000000"/>
              </w:rPr>
              <w:t>Plānā ir jau paredzēts šāds uzdevums</w:t>
            </w:r>
          </w:p>
          <w:p w14:paraId="4E35827C" w14:textId="77777777" w:rsidR="00F512E1" w:rsidRDefault="00F512E1" w:rsidP="009B2DCB">
            <w:pPr>
              <w:jc w:val="both"/>
              <w:rPr>
                <w:color w:val="000000"/>
              </w:rPr>
            </w:pPr>
          </w:p>
          <w:p w14:paraId="4F5F1194" w14:textId="78C154F8" w:rsidR="00F512E1" w:rsidRDefault="00F512E1" w:rsidP="00F512E1">
            <w:pPr>
              <w:jc w:val="both"/>
              <w:rPr>
                <w:color w:val="000000"/>
              </w:rPr>
            </w:pPr>
            <w:r>
              <w:rPr>
                <w:color w:val="000000"/>
              </w:rPr>
              <w:t>Pēc 2020.gadā ir uzsāktās</w:t>
            </w:r>
            <w:r w:rsidRPr="00F512E1">
              <w:rPr>
                <w:color w:val="000000"/>
              </w:rPr>
              <w:t xml:space="preserve"> valsts atbalsta programma mazo un vidējo uzņēmumu kotācijai biržā, </w:t>
            </w:r>
            <w:r>
              <w:rPr>
                <w:color w:val="000000"/>
              </w:rPr>
              <w:t xml:space="preserve">ir nepieciešams izvērtēt šīs programmas efektivitāti pirms tiek pieņemts lēmums par patstāvīgas šādas programmas </w:t>
            </w:r>
            <w:r>
              <w:rPr>
                <w:color w:val="000000"/>
              </w:rPr>
              <w:lastRenderedPageBreak/>
              <w:t>nepieciešamību. Šādu pasākumu var ieviest tikai vēlākā posmā FSAP pārskatīšanas stadijā.</w:t>
            </w:r>
          </w:p>
          <w:p w14:paraId="2BE5ADC6" w14:textId="77777777" w:rsidR="001465D1" w:rsidRDefault="001465D1" w:rsidP="00F512E1">
            <w:pPr>
              <w:jc w:val="both"/>
              <w:rPr>
                <w:color w:val="000000"/>
              </w:rPr>
            </w:pPr>
          </w:p>
          <w:p w14:paraId="7A45EED8" w14:textId="61243B0A" w:rsidR="00F512E1" w:rsidRDefault="001465D1" w:rsidP="00F512E1">
            <w:pPr>
              <w:jc w:val="both"/>
              <w:rPr>
                <w:color w:val="000000"/>
              </w:rPr>
            </w:pPr>
            <w:r>
              <w:rPr>
                <w:color w:val="000000"/>
              </w:rPr>
              <w:t>I</w:t>
            </w:r>
            <w:r w:rsidR="00F512E1">
              <w:rPr>
                <w:color w:val="000000"/>
              </w:rPr>
              <w:t xml:space="preserve">eguldījumu indeksu veidošana nav valsts pasākums kā rezultātā valsts iestādēm ir sarežģīt ietekmēt privāto biznesu vai norādīt indeksu aģentūrām kādi indeksi nākotnē ir ieviešami. </w:t>
            </w:r>
          </w:p>
          <w:p w14:paraId="13936773" w14:textId="77777777" w:rsidR="009B2DCB" w:rsidRPr="00AE5356" w:rsidRDefault="009B2DCB" w:rsidP="00AE5356">
            <w:pPr>
              <w:jc w:val="both"/>
              <w:rPr>
                <w:color w:val="000000"/>
              </w:rPr>
            </w:pPr>
          </w:p>
        </w:tc>
      </w:tr>
      <w:tr w:rsidR="009B2DCB" w:rsidRPr="00AE5356" w14:paraId="682560F4" w14:textId="77777777" w:rsidTr="000E70CD">
        <w:tc>
          <w:tcPr>
            <w:tcW w:w="944" w:type="dxa"/>
            <w:tcBorders>
              <w:left w:val="single" w:sz="6" w:space="0" w:color="000000" w:themeColor="text1"/>
              <w:bottom w:val="single" w:sz="4" w:space="0" w:color="auto"/>
              <w:right w:val="single" w:sz="6" w:space="0" w:color="000000" w:themeColor="text1"/>
            </w:tcBorders>
          </w:tcPr>
          <w:p w14:paraId="51E5961C"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6FBC8656" w14:textId="1905A9C2" w:rsidR="009B2DCB" w:rsidRPr="00AE5356" w:rsidRDefault="009B2DCB" w:rsidP="00AE5356">
            <w:pPr>
              <w:pStyle w:val="naisc"/>
              <w:spacing w:before="0" w:after="0"/>
            </w:pPr>
            <w:r w:rsidRPr="00AE5356">
              <w:t xml:space="preserve">Vispārīgs komentārs </w:t>
            </w:r>
          </w:p>
        </w:tc>
        <w:tc>
          <w:tcPr>
            <w:tcW w:w="4819" w:type="dxa"/>
            <w:gridSpan w:val="2"/>
            <w:tcBorders>
              <w:left w:val="single" w:sz="6" w:space="0" w:color="000000" w:themeColor="text1"/>
              <w:bottom w:val="single" w:sz="4" w:space="0" w:color="auto"/>
              <w:right w:val="single" w:sz="6" w:space="0" w:color="000000" w:themeColor="text1"/>
            </w:tcBorders>
          </w:tcPr>
          <w:p w14:paraId="2E7A8D1A" w14:textId="01C2AD94" w:rsidR="009B2DCB" w:rsidRPr="00AE5356" w:rsidRDefault="009B2DCB" w:rsidP="00AE5356">
            <w:pPr>
              <w:contextualSpacing/>
              <w:jc w:val="both"/>
            </w:pPr>
            <w:r w:rsidRPr="00AE5356">
              <w:rPr>
                <w:rStyle w:val="CommentReference"/>
                <w:sz w:val="24"/>
                <w:szCs w:val="24"/>
              </w:rPr>
              <w:t>Aicinām izvērtēt institūcijas, kas var tikt iekļautas EBA Public Entity List, kuras kapitāla prasību aprēķināšanai var tikt uzskatītas par centrālām valdībām saskaņā ar ES kapitāla prasību regulu (CRR). Piemēram, Lietuvas gadījumā sarakstā ir arī sociālās apdrošināšanas aģentūras, jo tās ilgu laiku tika finansētas no tirgus dalībniekiem.</w:t>
            </w:r>
          </w:p>
        </w:tc>
        <w:tc>
          <w:tcPr>
            <w:tcW w:w="2835" w:type="dxa"/>
            <w:tcBorders>
              <w:left w:val="single" w:sz="6" w:space="0" w:color="000000" w:themeColor="text1"/>
              <w:bottom w:val="single" w:sz="4" w:space="0" w:color="auto"/>
              <w:right w:val="single" w:sz="6" w:space="0" w:color="000000" w:themeColor="text1"/>
            </w:tcBorders>
          </w:tcPr>
          <w:p w14:paraId="2E83DBAA" w14:textId="5CA7A036" w:rsidR="009B2DCB" w:rsidRPr="00AE5356" w:rsidRDefault="00D94934" w:rsidP="00AE5356">
            <w:pPr>
              <w:pStyle w:val="naisc"/>
              <w:spacing w:before="0" w:after="0"/>
              <w:jc w:val="left"/>
            </w:pPr>
            <w:r>
              <w:t>Panākta vienošanās elektroniskajā saskaņošanā 14.01.2021.</w:t>
            </w:r>
          </w:p>
        </w:tc>
        <w:tc>
          <w:tcPr>
            <w:tcW w:w="3544" w:type="dxa"/>
            <w:tcBorders>
              <w:top w:val="single" w:sz="4" w:space="0" w:color="auto"/>
              <w:left w:val="single" w:sz="4" w:space="0" w:color="auto"/>
              <w:bottom w:val="single" w:sz="4" w:space="0" w:color="auto"/>
            </w:tcBorders>
          </w:tcPr>
          <w:p w14:paraId="138ECB99" w14:textId="77777777" w:rsidR="009B2DCB" w:rsidRPr="00AE5356" w:rsidRDefault="00F512E1" w:rsidP="00AE5356">
            <w:pPr>
              <w:jc w:val="both"/>
              <w:rPr>
                <w:color w:val="000000"/>
              </w:rPr>
            </w:pPr>
            <w:r>
              <w:rPr>
                <w:color w:val="000000"/>
              </w:rPr>
              <w:t>Latvijā Valsts sociālās apdrošināšanas aģentūra neatbilst noteiktajiem kritērijiem, lai to iekļautu EBA Public Entity List un šobrīd nav arī citu šādu institūciju.</w:t>
            </w:r>
          </w:p>
        </w:tc>
      </w:tr>
      <w:tr w:rsidR="009B2DCB" w:rsidRPr="00AE5356" w14:paraId="5995EBD7" w14:textId="77777777" w:rsidTr="000E70CD">
        <w:tc>
          <w:tcPr>
            <w:tcW w:w="944" w:type="dxa"/>
            <w:tcBorders>
              <w:left w:val="single" w:sz="6" w:space="0" w:color="000000" w:themeColor="text1"/>
              <w:bottom w:val="single" w:sz="4" w:space="0" w:color="auto"/>
              <w:right w:val="single" w:sz="6" w:space="0" w:color="000000" w:themeColor="text1"/>
            </w:tcBorders>
          </w:tcPr>
          <w:p w14:paraId="7D056F91"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54960257" w14:textId="76A23F3E" w:rsidR="009B2DCB" w:rsidRPr="00AE5356" w:rsidRDefault="009B2DCB" w:rsidP="00AE5356">
            <w:pPr>
              <w:pStyle w:val="naisc"/>
              <w:spacing w:before="0" w:after="0"/>
              <w:jc w:val="left"/>
            </w:pPr>
            <w:r w:rsidRPr="00AE5356">
              <w:t>11. lpp., “Efektīvs finanšu sektors ir nozīmīgs faktors tautsaimniecības attīstībai, lai spētu novirzīt finansējumu tām jomām, kur tas ir nepieciešams, un vienlaikus stimulējot arī uzkrājumu veidošanu, dodot iespēju brīvajiem līdzekļiem pelnīt.”</w:t>
            </w:r>
          </w:p>
        </w:tc>
        <w:tc>
          <w:tcPr>
            <w:tcW w:w="4819" w:type="dxa"/>
            <w:gridSpan w:val="2"/>
            <w:tcBorders>
              <w:left w:val="single" w:sz="6" w:space="0" w:color="000000" w:themeColor="text1"/>
              <w:bottom w:val="single" w:sz="4" w:space="0" w:color="auto"/>
              <w:right w:val="single" w:sz="6" w:space="0" w:color="000000" w:themeColor="text1"/>
            </w:tcBorders>
          </w:tcPr>
          <w:p w14:paraId="19E49667" w14:textId="6A3CA3D3" w:rsidR="009B2DCB" w:rsidRPr="00AE5356" w:rsidRDefault="009B2DCB" w:rsidP="00AE5356">
            <w:pPr>
              <w:pStyle w:val="CommentText"/>
              <w:jc w:val="both"/>
              <w:rPr>
                <w:sz w:val="24"/>
                <w:szCs w:val="24"/>
              </w:rPr>
            </w:pPr>
            <w:r w:rsidRPr="00AE5356">
              <w:rPr>
                <w:sz w:val="24"/>
                <w:szCs w:val="24"/>
              </w:rPr>
              <w:t xml:space="preserve">Lūdzam izteikt teikumu šādā redakcijā: </w:t>
            </w:r>
            <w:r w:rsidRPr="001317AB">
              <w:rPr>
                <w:sz w:val="24"/>
                <w:szCs w:val="24"/>
              </w:rPr>
              <w:t>“</w:t>
            </w:r>
            <w:r w:rsidRPr="001317AB">
              <w:rPr>
                <w:sz w:val="24"/>
              </w:rPr>
              <w:t xml:space="preserve">Efektīvs finanšu sektors ir nozīmīgs faktors tautsaimniecības attīstībai, lai spētu novirzīt finansējumu </w:t>
            </w:r>
            <w:r w:rsidRPr="000D533E">
              <w:rPr>
                <w:b/>
                <w:sz w:val="24"/>
              </w:rPr>
              <w:t xml:space="preserve">tiem uzņēmumiem, kuri ir labi kapitalizēti, pārvaldīti un godprātīgi veic nodokļu samaksu, </w:t>
            </w:r>
            <w:r w:rsidRPr="00EB02A5">
              <w:rPr>
                <w:sz w:val="24"/>
              </w:rPr>
              <w:t>un vienlaikus s</w:t>
            </w:r>
            <w:r w:rsidRPr="00DA1C53">
              <w:rPr>
                <w:sz w:val="24"/>
              </w:rPr>
              <w:t>timulēt arī uzkrājumu veidošanu, dodot iespēju brīvajiem līdzekļiem pelnīt.”</w:t>
            </w:r>
          </w:p>
        </w:tc>
        <w:tc>
          <w:tcPr>
            <w:tcW w:w="2835" w:type="dxa"/>
            <w:tcBorders>
              <w:left w:val="single" w:sz="6" w:space="0" w:color="000000" w:themeColor="text1"/>
              <w:bottom w:val="single" w:sz="4" w:space="0" w:color="auto"/>
              <w:right w:val="single" w:sz="6" w:space="0" w:color="000000" w:themeColor="text1"/>
            </w:tcBorders>
          </w:tcPr>
          <w:p w14:paraId="716ABC3D" w14:textId="68097A37" w:rsidR="009B2DCB" w:rsidRPr="00AE5356" w:rsidRDefault="00F502B1" w:rsidP="00AE5356">
            <w:pPr>
              <w:pStyle w:val="naisc"/>
              <w:spacing w:before="0" w:after="0"/>
              <w:jc w:val="left"/>
            </w:pPr>
            <w:r>
              <w:t>Ņ</w:t>
            </w:r>
            <w:r w:rsidR="001E55D0">
              <w:t>emts vērā.</w:t>
            </w:r>
          </w:p>
        </w:tc>
        <w:tc>
          <w:tcPr>
            <w:tcW w:w="3544" w:type="dxa"/>
            <w:tcBorders>
              <w:top w:val="single" w:sz="4" w:space="0" w:color="auto"/>
              <w:left w:val="single" w:sz="4" w:space="0" w:color="auto"/>
              <w:bottom w:val="single" w:sz="4" w:space="0" w:color="auto"/>
            </w:tcBorders>
          </w:tcPr>
          <w:p w14:paraId="26C473A9" w14:textId="277F38A9" w:rsidR="009B2DCB" w:rsidRPr="00AE5356" w:rsidRDefault="000E7687" w:rsidP="00AE5356">
            <w:pPr>
              <w:jc w:val="both"/>
              <w:rPr>
                <w:color w:val="000000"/>
              </w:rPr>
            </w:pPr>
            <w:r>
              <w:rPr>
                <w:color w:val="000000"/>
              </w:rPr>
              <w:t xml:space="preserve">13. lpp. pirmais teikums izteikts šādā redakcijā: </w:t>
            </w:r>
            <w:r w:rsidRPr="000E7687">
              <w:rPr>
                <w:color w:val="000000"/>
              </w:rPr>
              <w:t>Efektīvs finanšu sektors ir nozīmīgs faktors tautsaimniecības attīstībai, lai spētu novirzīt finansējumu tiem uzņēmumiem, kuri ir labi kapitalizēti, pārvaldīti un godprātīgi veic nodokļu samaksu</w:t>
            </w:r>
            <w:r>
              <w:rPr>
                <w:color w:val="000000"/>
              </w:rPr>
              <w:t xml:space="preserve"> </w:t>
            </w:r>
            <w:r>
              <w:t>un vienlaikus stimulēt arī uzkrājumu veidošanu, dodot iespēju brīvajiem līdzekļiem pelnīt.</w:t>
            </w:r>
          </w:p>
        </w:tc>
      </w:tr>
      <w:tr w:rsidR="009B2DCB" w:rsidRPr="00AE5356" w14:paraId="02BE9857" w14:textId="77777777" w:rsidTr="000E70CD">
        <w:tc>
          <w:tcPr>
            <w:tcW w:w="944" w:type="dxa"/>
            <w:tcBorders>
              <w:left w:val="single" w:sz="6" w:space="0" w:color="000000" w:themeColor="text1"/>
              <w:bottom w:val="single" w:sz="4" w:space="0" w:color="auto"/>
              <w:right w:val="single" w:sz="6" w:space="0" w:color="000000" w:themeColor="text1"/>
            </w:tcBorders>
          </w:tcPr>
          <w:p w14:paraId="1757FF61"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25ECE303" w14:textId="01B6F371" w:rsidR="009B2DCB" w:rsidRPr="00AE5356" w:rsidRDefault="009B2DCB" w:rsidP="00AE5356">
            <w:pPr>
              <w:pStyle w:val="naisc"/>
              <w:spacing w:before="0" w:after="0"/>
              <w:jc w:val="left"/>
            </w:pPr>
            <w:r w:rsidRPr="00AE5356">
              <w:t>11. lpp., “Jāsecina, ka šobrīd Latvijas finanšu sektora spēju šo funkciju veikt nevar novērtēt kā pilnībā efektīvu.”</w:t>
            </w:r>
          </w:p>
        </w:tc>
        <w:tc>
          <w:tcPr>
            <w:tcW w:w="4819" w:type="dxa"/>
            <w:gridSpan w:val="2"/>
            <w:tcBorders>
              <w:left w:val="single" w:sz="6" w:space="0" w:color="000000" w:themeColor="text1"/>
              <w:bottom w:val="single" w:sz="4" w:space="0" w:color="auto"/>
              <w:right w:val="single" w:sz="6" w:space="0" w:color="000000" w:themeColor="text1"/>
            </w:tcBorders>
          </w:tcPr>
          <w:p w14:paraId="0BCDBB77" w14:textId="74DC9453" w:rsidR="009B2DCB" w:rsidRPr="00AE5356" w:rsidRDefault="009B2DCB" w:rsidP="00AE5356">
            <w:pPr>
              <w:contextualSpacing/>
              <w:jc w:val="both"/>
            </w:pPr>
            <w:r w:rsidRPr="001317AB">
              <w:rPr>
                <w:rStyle w:val="CommentReference"/>
                <w:sz w:val="24"/>
              </w:rPr>
              <w:t xml:space="preserve">Lūgums pamatot, kādos aspektos finanšu </w:t>
            </w:r>
            <w:r w:rsidRPr="000D533E">
              <w:rPr>
                <w:rStyle w:val="CommentReference"/>
                <w:sz w:val="24"/>
              </w:rPr>
              <w:t>sektors COVID-19 laikā nav bijis efektīvs? Tika operatīvi pieņemti moratoriji (atlikto saistību summa pārsniedz 1 miljardu), lielākā daļa pakalpojumu tika nodrošināta attālināti, senioriem tika sniegta iespēja rēķinu apmaksu veikt pa telefonu utt. Respektī</w:t>
            </w:r>
            <w:r w:rsidRPr="00EB02A5">
              <w:rPr>
                <w:rStyle w:val="CommentReference"/>
                <w:sz w:val="24"/>
              </w:rPr>
              <w:t>vi, atšķirībā no iepriekšējām krīzēm, šoreiz finanšu sektors ir bijis nozīmīgs un uzticams</w:t>
            </w:r>
            <w:r w:rsidRPr="00AE5356">
              <w:rPr>
                <w:rStyle w:val="CommentReference"/>
                <w:sz w:val="24"/>
                <w:szCs w:val="24"/>
              </w:rPr>
              <w:t xml:space="preserve"> risinājuma rīks, nevis problēmas sastāvdaļa. </w:t>
            </w:r>
          </w:p>
        </w:tc>
        <w:tc>
          <w:tcPr>
            <w:tcW w:w="2835" w:type="dxa"/>
            <w:tcBorders>
              <w:left w:val="single" w:sz="6" w:space="0" w:color="000000" w:themeColor="text1"/>
              <w:bottom w:val="single" w:sz="4" w:space="0" w:color="auto"/>
              <w:right w:val="single" w:sz="6" w:space="0" w:color="000000" w:themeColor="text1"/>
            </w:tcBorders>
          </w:tcPr>
          <w:p w14:paraId="6E9D81BE" w14:textId="5FEEBC13" w:rsidR="009B2DCB" w:rsidRPr="00AE5356" w:rsidRDefault="00873A92" w:rsidP="001E55D0">
            <w:pPr>
              <w:pStyle w:val="naisc"/>
              <w:spacing w:before="0" w:after="0"/>
              <w:jc w:val="left"/>
            </w:pPr>
            <w:r>
              <w:t>Ņ</w:t>
            </w:r>
            <w:r w:rsidR="009B2DCB" w:rsidRPr="00AE5356">
              <w:t>emts vērā</w:t>
            </w:r>
            <w:r w:rsidR="001E55D0">
              <w:t>.</w:t>
            </w:r>
          </w:p>
        </w:tc>
        <w:tc>
          <w:tcPr>
            <w:tcW w:w="3544" w:type="dxa"/>
            <w:tcBorders>
              <w:top w:val="single" w:sz="4" w:space="0" w:color="auto"/>
              <w:left w:val="single" w:sz="4" w:space="0" w:color="auto"/>
              <w:bottom w:val="single" w:sz="4" w:space="0" w:color="auto"/>
            </w:tcBorders>
          </w:tcPr>
          <w:p w14:paraId="71839E3A" w14:textId="77777777" w:rsidR="009B2DCB" w:rsidRDefault="00873A92" w:rsidP="00AE5356">
            <w:pPr>
              <w:jc w:val="both"/>
              <w:rPr>
                <w:color w:val="000000"/>
              </w:rPr>
            </w:pPr>
            <w:r>
              <w:rPr>
                <w:color w:val="000000"/>
              </w:rPr>
              <w:t>Papildināts teksts 13. lpp.:</w:t>
            </w:r>
          </w:p>
          <w:p w14:paraId="2B875B19" w14:textId="72394D41" w:rsidR="00873A92" w:rsidRPr="00AE5356" w:rsidRDefault="00873A92" w:rsidP="00AE5356">
            <w:pPr>
              <w:jc w:val="both"/>
              <w:rPr>
                <w:color w:val="000000"/>
              </w:rPr>
            </w:pPr>
            <w:r w:rsidRPr="00873A92">
              <w:rPr>
                <w:color w:val="000000"/>
              </w:rPr>
              <w:t>Latvijas finanšu sektors ir spējis efektīvi reaģēt - COVID-19 laikā tika operatīvi pieņemti moratoriji (atlikto saistību summa pārsniedz 1 miljardu ), lielākā daļa pakalpojumu tika nodrošināta attālināti, senioriem tika sniegta iespēja rēķinu apmaksu veikt pa telefonu utt.</w:t>
            </w:r>
          </w:p>
        </w:tc>
      </w:tr>
      <w:tr w:rsidR="009B2DCB" w:rsidRPr="00AE5356" w14:paraId="1A253C6B" w14:textId="77777777" w:rsidTr="000E70CD">
        <w:tc>
          <w:tcPr>
            <w:tcW w:w="944" w:type="dxa"/>
            <w:tcBorders>
              <w:left w:val="single" w:sz="6" w:space="0" w:color="000000" w:themeColor="text1"/>
              <w:bottom w:val="single" w:sz="4" w:space="0" w:color="auto"/>
              <w:right w:val="single" w:sz="6" w:space="0" w:color="000000" w:themeColor="text1"/>
            </w:tcBorders>
          </w:tcPr>
          <w:p w14:paraId="64E6F54E"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B5D97EB" w14:textId="6BC262F3" w:rsidR="009B2DCB" w:rsidRPr="00AE5356" w:rsidRDefault="009B2DCB" w:rsidP="00AE5356">
            <w:pPr>
              <w:pStyle w:val="naisc"/>
              <w:spacing w:before="0" w:after="0"/>
              <w:jc w:val="left"/>
            </w:pPr>
            <w:r w:rsidRPr="00AE5356">
              <w:t>11. lpp., “Neskatoties uz to, ka Latvijā kredītiestāžu kapitāla un likviditātes, aktīvu kvalitātes un kapitāla un aktīvu atdeves rādītāji ir labāki kā vidēji ES , Latvija ir Eirozonas valsts un tiešā veidā gūst labumu no ECB atbalstošas monetārās politika,  tomēr kreditēšanas tempi saglabājas zemi. 2019. gada beigās banku kredītportfelis ir samazinājies līdz aptuveni 32% no IKP, un kreditēšanas tempiem saglabājas negatīva tendence.”</w:t>
            </w:r>
          </w:p>
        </w:tc>
        <w:tc>
          <w:tcPr>
            <w:tcW w:w="4819" w:type="dxa"/>
            <w:gridSpan w:val="2"/>
            <w:tcBorders>
              <w:left w:val="single" w:sz="6" w:space="0" w:color="000000" w:themeColor="text1"/>
              <w:bottom w:val="single" w:sz="4" w:space="0" w:color="auto"/>
              <w:right w:val="single" w:sz="6" w:space="0" w:color="000000" w:themeColor="text1"/>
            </w:tcBorders>
          </w:tcPr>
          <w:p w14:paraId="2099D00A" w14:textId="2BD1F3C4" w:rsidR="009B2DCB" w:rsidRPr="00AE5356" w:rsidRDefault="009B2DCB" w:rsidP="00AE5356">
            <w:pPr>
              <w:pStyle w:val="CommentText"/>
              <w:jc w:val="both"/>
              <w:rPr>
                <w:sz w:val="24"/>
                <w:szCs w:val="24"/>
              </w:rPr>
            </w:pPr>
            <w:r w:rsidRPr="008308C4">
              <w:rPr>
                <w:sz w:val="24"/>
                <w:szCs w:val="24"/>
              </w:rPr>
              <w:t>Atkārtoti uzsveram – Tautsaimniecības un finanšu sektora izaugsmei ir būtiska kredītportfeļa stabila attīstība, ko var nodrošināt kredītiestādes, ciktāl šo stabilo attīstību neierobežo tiesiskās vides riski, kā arī uzņēmumu spēja aizņemties. Uzņēmumu spēja aizņemties, laba uzņēmumu pārvaldība un kredītportfeļa stabils pieaugums ir cieši saistīti rādītāji. Jo lielāks ir ēnu ekonomikas īpatsvars un sliktāka uzņēmumu pārvaldība, lielāki tiesiskie riski un vājāks nodrošinātā kreditora statuss, jo kredītresursu cena ir dārgāka, ņemot vērā standarta risku modeļu noteikumus.</w:t>
            </w:r>
            <w:r w:rsidRPr="00AE5356">
              <w:rPr>
                <w:sz w:val="24"/>
                <w:szCs w:val="24"/>
              </w:rPr>
              <w:t xml:space="preserve"> </w:t>
            </w:r>
          </w:p>
        </w:tc>
        <w:tc>
          <w:tcPr>
            <w:tcW w:w="2835" w:type="dxa"/>
            <w:tcBorders>
              <w:left w:val="single" w:sz="6" w:space="0" w:color="000000" w:themeColor="text1"/>
              <w:bottom w:val="single" w:sz="4" w:space="0" w:color="auto"/>
              <w:right w:val="single" w:sz="6" w:space="0" w:color="000000" w:themeColor="text1"/>
            </w:tcBorders>
          </w:tcPr>
          <w:p w14:paraId="47CED5EA" w14:textId="443A4533" w:rsidR="009B2DCB" w:rsidRPr="00AE5356" w:rsidRDefault="00F30B81" w:rsidP="00F30B81">
            <w:pPr>
              <w:pStyle w:val="naisc"/>
              <w:spacing w:before="0" w:after="0"/>
              <w:jc w:val="left"/>
            </w:pPr>
            <w:r>
              <w:t>Ņ</w:t>
            </w:r>
            <w:r w:rsidR="009B2DCB" w:rsidRPr="00AE5356">
              <w:t>emts vērā</w:t>
            </w:r>
            <w:r w:rsidR="00045586">
              <w:t xml:space="preserve"> </w:t>
            </w:r>
          </w:p>
        </w:tc>
        <w:tc>
          <w:tcPr>
            <w:tcW w:w="3544" w:type="dxa"/>
            <w:tcBorders>
              <w:top w:val="single" w:sz="4" w:space="0" w:color="auto"/>
              <w:left w:val="single" w:sz="4" w:space="0" w:color="auto"/>
              <w:bottom w:val="single" w:sz="4" w:space="0" w:color="auto"/>
            </w:tcBorders>
          </w:tcPr>
          <w:p w14:paraId="64F15A62" w14:textId="71F3A9DA" w:rsidR="009B2DCB" w:rsidRPr="00AE5356" w:rsidRDefault="00F30B81" w:rsidP="002B0C88">
            <w:pPr>
              <w:jc w:val="both"/>
              <w:rPr>
                <w:color w:val="000000"/>
              </w:rPr>
            </w:pPr>
            <w:r>
              <w:t>Veiktas izmaiņas tekstā 17. lpp.</w:t>
            </w:r>
          </w:p>
        </w:tc>
      </w:tr>
      <w:tr w:rsidR="009B2DCB" w:rsidRPr="00AE5356" w14:paraId="2AF6E096" w14:textId="77777777" w:rsidTr="000E70CD">
        <w:tc>
          <w:tcPr>
            <w:tcW w:w="944" w:type="dxa"/>
            <w:tcBorders>
              <w:left w:val="single" w:sz="6" w:space="0" w:color="000000" w:themeColor="text1"/>
              <w:bottom w:val="single" w:sz="4" w:space="0" w:color="auto"/>
              <w:right w:val="single" w:sz="6" w:space="0" w:color="000000" w:themeColor="text1"/>
            </w:tcBorders>
          </w:tcPr>
          <w:p w14:paraId="218B8E0B"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1D5062E" w14:textId="519759C4" w:rsidR="009B2DCB" w:rsidRPr="00AE5356" w:rsidRDefault="009B2DCB" w:rsidP="00AE5356">
            <w:pPr>
              <w:pStyle w:val="naisc"/>
              <w:spacing w:before="0" w:after="0"/>
              <w:jc w:val="left"/>
            </w:pPr>
            <w:r w:rsidRPr="00AE5356">
              <w:t>12. lpp., “Latvijas Bankas sadarbībā ar ECB veiktajā Eirozonas banku kreditēšanas apsekojamā par kreditēšanas attīstības tendencēm dati  parāda, ka 2020.gada pirmajos divos ceturkšņos kredītu standarti aizdevumiem uzņēmumiem ir kļuvuši stingrāki, kā arī pieaug atteikumu īpatsvars, tādējādi  vēl vairāk samazinoties finansējuma pieejamībai tieši krīzes laikā.”</w:t>
            </w:r>
          </w:p>
        </w:tc>
        <w:tc>
          <w:tcPr>
            <w:tcW w:w="4819" w:type="dxa"/>
            <w:gridSpan w:val="2"/>
            <w:tcBorders>
              <w:left w:val="single" w:sz="6" w:space="0" w:color="000000" w:themeColor="text1"/>
              <w:bottom w:val="single" w:sz="4" w:space="0" w:color="auto"/>
              <w:right w:val="single" w:sz="6" w:space="0" w:color="000000" w:themeColor="text1"/>
            </w:tcBorders>
          </w:tcPr>
          <w:p w14:paraId="48D79449" w14:textId="77777777" w:rsidR="009B2DCB" w:rsidRPr="000D533E" w:rsidRDefault="009B2DCB" w:rsidP="00AE5356">
            <w:pPr>
              <w:pStyle w:val="CommentText"/>
              <w:jc w:val="both"/>
              <w:rPr>
                <w:sz w:val="24"/>
                <w:szCs w:val="24"/>
              </w:rPr>
            </w:pPr>
            <w:r w:rsidRPr="00DE339B">
              <w:rPr>
                <w:sz w:val="24"/>
                <w:szCs w:val="24"/>
              </w:rPr>
              <w:t>Ņemot vērā Ekonomikas ministrijas izstrādātajā dokumentā “Stratēģija Latvijai Covid19 krīzes radīto seku mazināšanai” (turpmāk - Stratēģija) noteikto, no 2020.gada maija līdz jūlijam Asociācija organizēja apspriedes par Stratēģijas rīcības virzienu “Finanšu pieejamība”, piedaloties Latvijas Tirdzniecības un rūpniecības kameras (turpmāk - LTRK), banku, Ekonomikas ministrijas, Finanšu ministrijas, attīstības finanšu institūcijas “Altum” (turpmāk - Altum) pārstāvjiem,</w:t>
            </w:r>
            <w:r w:rsidRPr="000D533E">
              <w:rPr>
                <w:sz w:val="24"/>
                <w:szCs w:val="24"/>
              </w:rPr>
              <w:t xml:space="preserve"> kurās tika diskutēts gan par uzņēmumu attīstības fāzēm, kur vērojamas tirgus nepilnības, gan iespējamajiem instrumentiem, tika skaidrota banku finansēšanas politika, galvenie finanšu rādītāji, kurus izpildot ir iespēja saņemt finansējumu, % likmju atšķirības ar pārējām Baltijas valstīm, kā arī prezentēta datu analīze par uzņēmumu finanšu stāvokli, kas tika sagatavota sadarbībā ar Lursoft, kā arī esošajām uzņēmumu saistībām un iespēju aizņemties nākotnē. </w:t>
            </w:r>
          </w:p>
          <w:p w14:paraId="1160A13E" w14:textId="77777777" w:rsidR="009B2DCB" w:rsidRPr="00DE339B" w:rsidRDefault="009B2DCB" w:rsidP="00AE5356">
            <w:pPr>
              <w:pStyle w:val="CommentText"/>
              <w:jc w:val="both"/>
              <w:rPr>
                <w:sz w:val="24"/>
                <w:szCs w:val="24"/>
              </w:rPr>
            </w:pPr>
            <w:r w:rsidRPr="00DA1C53">
              <w:rPr>
                <w:sz w:val="24"/>
                <w:szCs w:val="24"/>
              </w:rPr>
              <w:t>Ar Asociācijas analītiku, kas veikta sadarbībā ar Lu</w:t>
            </w:r>
            <w:r w:rsidRPr="00DE339B">
              <w:rPr>
                <w:sz w:val="24"/>
                <w:szCs w:val="24"/>
              </w:rPr>
              <w:t>rsoft, ir iespējams iepazīties Asociācijas mājaslapā</w:t>
            </w:r>
            <w:r w:rsidRPr="00DE339B">
              <w:rPr>
                <w:rStyle w:val="FootnoteReference"/>
                <w:sz w:val="24"/>
                <w:szCs w:val="24"/>
              </w:rPr>
              <w:footnoteReference w:id="3"/>
            </w:r>
            <w:r w:rsidRPr="00DE339B">
              <w:rPr>
                <w:sz w:val="24"/>
                <w:szCs w:val="24"/>
              </w:rPr>
              <w:t>.</w:t>
            </w:r>
          </w:p>
          <w:p w14:paraId="43169081" w14:textId="77777777" w:rsidR="009B2DCB" w:rsidRPr="00DF40F2" w:rsidRDefault="009B2DCB" w:rsidP="00AE5356">
            <w:pPr>
              <w:pStyle w:val="CommentText"/>
              <w:jc w:val="both"/>
              <w:rPr>
                <w:b/>
                <w:bCs/>
                <w:sz w:val="24"/>
                <w:szCs w:val="24"/>
                <w:highlight w:val="yellow"/>
              </w:rPr>
            </w:pPr>
          </w:p>
          <w:p w14:paraId="645ABF71" w14:textId="4BF90438" w:rsidR="009B2DCB" w:rsidRPr="00DF40F2" w:rsidRDefault="009B2DCB" w:rsidP="00AE5356">
            <w:pPr>
              <w:contextualSpacing/>
              <w:jc w:val="both"/>
              <w:rPr>
                <w:highlight w:val="yellow"/>
              </w:rPr>
            </w:pPr>
            <w:r w:rsidRPr="00C55541">
              <w:rPr>
                <w:rStyle w:val="CommentReference"/>
                <w:sz w:val="24"/>
                <w:szCs w:val="24"/>
              </w:rPr>
              <w:t xml:space="preserve">Vēlreiz uzsveram, ka COVID-19 laikā tika operatīvi pieņemti moratoriji (atlikto saistību summa pārsniedz 1 miljardu), lielākā daļa pakalpojumu tika nodrošināta attālināti, </w:t>
            </w:r>
            <w:r w:rsidRPr="00C55541">
              <w:rPr>
                <w:rStyle w:val="CommentReference"/>
                <w:sz w:val="24"/>
                <w:szCs w:val="24"/>
              </w:rPr>
              <w:lastRenderedPageBreak/>
              <w:t>senioriem tika sniegta iespēja rēķinu apmaksu veikt pa telefonu utt.</w:t>
            </w:r>
          </w:p>
        </w:tc>
        <w:tc>
          <w:tcPr>
            <w:tcW w:w="2835" w:type="dxa"/>
            <w:tcBorders>
              <w:left w:val="single" w:sz="6" w:space="0" w:color="000000" w:themeColor="text1"/>
              <w:bottom w:val="single" w:sz="4" w:space="0" w:color="auto"/>
              <w:right w:val="single" w:sz="6" w:space="0" w:color="000000" w:themeColor="text1"/>
            </w:tcBorders>
          </w:tcPr>
          <w:p w14:paraId="2B87E184" w14:textId="7D274D6F" w:rsidR="009B2DCB" w:rsidRPr="00AE5356" w:rsidRDefault="00F30B81" w:rsidP="001E55D0">
            <w:pPr>
              <w:pStyle w:val="naisc"/>
              <w:spacing w:before="0" w:after="0"/>
              <w:jc w:val="left"/>
            </w:pPr>
            <w:r>
              <w:lastRenderedPageBreak/>
              <w:t>Ņ</w:t>
            </w:r>
            <w:r w:rsidR="009B2DCB" w:rsidRPr="00AE5356">
              <w:t>emts vērā</w:t>
            </w:r>
            <w:r w:rsidR="001E55D0">
              <w:t>.</w:t>
            </w:r>
          </w:p>
          <w:p w14:paraId="6BAD8A0B" w14:textId="77777777" w:rsidR="009B2DCB" w:rsidRPr="00AE5356" w:rsidRDefault="009B2DCB" w:rsidP="00AE5356">
            <w:pPr>
              <w:pStyle w:val="naisc"/>
              <w:spacing w:before="0" w:after="0"/>
              <w:jc w:val="left"/>
            </w:pPr>
          </w:p>
          <w:p w14:paraId="086F3CC1" w14:textId="61BEB188" w:rsidR="009B2DCB" w:rsidRPr="00AE5356" w:rsidRDefault="009B2DCB" w:rsidP="00AE5356">
            <w:pPr>
              <w:pStyle w:val="naisc"/>
              <w:spacing w:before="0" w:after="0"/>
              <w:jc w:val="left"/>
            </w:pPr>
          </w:p>
        </w:tc>
        <w:tc>
          <w:tcPr>
            <w:tcW w:w="3544" w:type="dxa"/>
            <w:tcBorders>
              <w:top w:val="single" w:sz="4" w:space="0" w:color="auto"/>
              <w:left w:val="single" w:sz="4" w:space="0" w:color="auto"/>
              <w:bottom w:val="single" w:sz="4" w:space="0" w:color="auto"/>
            </w:tcBorders>
          </w:tcPr>
          <w:p w14:paraId="2E7A7568" w14:textId="4D428943" w:rsidR="009B2DCB" w:rsidRPr="00AE5356" w:rsidRDefault="00DE339B" w:rsidP="00AE5356">
            <w:pPr>
              <w:jc w:val="both"/>
              <w:rPr>
                <w:color w:val="000000"/>
              </w:rPr>
            </w:pPr>
            <w:r>
              <w:t xml:space="preserve">Teksts 13. lpp. papildināts šādā redakcijā: </w:t>
            </w:r>
            <w:r w:rsidR="0074310C">
              <w:t>Latvijas finanšu sektors ir spējis efektīvi reaģēt -</w:t>
            </w:r>
            <w:r w:rsidR="0074310C" w:rsidRPr="00EC379A">
              <w:t xml:space="preserve"> COVID-19 laikā tika operatīvi pieņemti moratoriji (atlikto saistību summa pārsniedz 1 miljardu), lielākā daļa pakalpojumu tika nodrošināta attālināti, senioriem tika sniegta iespēja rēķinu apmaksu veikt pa telefonu utt.</w:t>
            </w:r>
          </w:p>
        </w:tc>
      </w:tr>
      <w:tr w:rsidR="009B2DCB" w:rsidRPr="00AE5356" w14:paraId="3FAD8C5C" w14:textId="77777777" w:rsidTr="000E70CD">
        <w:tc>
          <w:tcPr>
            <w:tcW w:w="944" w:type="dxa"/>
            <w:tcBorders>
              <w:left w:val="single" w:sz="6" w:space="0" w:color="000000" w:themeColor="text1"/>
              <w:bottom w:val="single" w:sz="4" w:space="0" w:color="auto"/>
              <w:right w:val="single" w:sz="6" w:space="0" w:color="000000" w:themeColor="text1"/>
            </w:tcBorders>
          </w:tcPr>
          <w:p w14:paraId="58AC0197"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59C5EF85" w14:textId="1B308272" w:rsidR="009B2DCB" w:rsidRPr="00AE5356" w:rsidRDefault="009B2DCB" w:rsidP="00AE5356">
            <w:pPr>
              <w:pStyle w:val="naisc"/>
              <w:spacing w:before="0" w:after="0"/>
              <w:jc w:val="left"/>
            </w:pPr>
            <w:r w:rsidRPr="00AE5356">
              <w:t>13. lpp., “Tomēr vienlaikus var secināt, ka kopumā, vērtējot situāciju kredītiestāžu sektorā, ir novērojams zināms konkurences trūkums kvalitātes aspektā, tā piemēram, joprojām saglabājas mazo un vidējo uzņēmumu grūtības pieejai finansējumam. Lai arī Latvijā darbojas salīdzinoši liels skaits kredītiestāžu, tomēr 84% no banku izsniegtajiem kredītiem ir izsniegušas četras lielākās kredītiestādes , savukārt pārējo, mazāko, kredītiestāžu kapacitāte, tostarp kapitāla pozīcija, nav pietiekama, lai būtiski ietekmētu kopējo kreditēšanas aktivitāti.”</w:t>
            </w:r>
          </w:p>
        </w:tc>
        <w:tc>
          <w:tcPr>
            <w:tcW w:w="4819" w:type="dxa"/>
            <w:gridSpan w:val="2"/>
            <w:tcBorders>
              <w:left w:val="single" w:sz="6" w:space="0" w:color="000000" w:themeColor="text1"/>
              <w:bottom w:val="single" w:sz="4" w:space="0" w:color="auto"/>
              <w:right w:val="single" w:sz="6" w:space="0" w:color="000000" w:themeColor="text1"/>
            </w:tcBorders>
          </w:tcPr>
          <w:p w14:paraId="1982B037" w14:textId="49438CCB" w:rsidR="009B2DCB" w:rsidRPr="00AE5356" w:rsidRDefault="009B2DCB" w:rsidP="00AE5356">
            <w:pPr>
              <w:contextualSpacing/>
              <w:jc w:val="both"/>
            </w:pPr>
            <w:r w:rsidRPr="00AE5356">
              <w:t xml:space="preserve">Tas, ka 84% kredītu izsniedz četras lielākās </w:t>
            </w:r>
            <w:r w:rsidRPr="001F0ABC">
              <w:t>bankas</w:t>
            </w:r>
            <w:r w:rsidRPr="000033E9">
              <w:t>, nenozīmē, ka konkurence nepastāv, tā pastāv gan šo četru banku starpā, gan arvien vairāk šajā konkurences cīņā iesaistās citas bankas, kas pārveido savus biznesa modeļus. Asociācijas biedru novērojum</w:t>
            </w:r>
            <w:r w:rsidRPr="000D533E">
              <w:t>i liecina, ka konkurence palielinās, īpaši attiecībā uz ilgtspējīgu projektu finansēšanu. Banku izpratne par ilgtspēju un ilgtspējīgu biznesu ir soli priekša citiem sektoriem</w:t>
            </w:r>
            <w:r w:rsidRPr="00AE5356">
              <w:t>, kas rada nekorektu secinājumu, ka bankas nevēlas finansēt vai nav konkurences. Ja citi sektori straujāk virzīsies ilgtspējas un arī digitalizācijas virzienā, finansējuma apmēri atbilstoši palielināsies.</w:t>
            </w:r>
          </w:p>
        </w:tc>
        <w:tc>
          <w:tcPr>
            <w:tcW w:w="2835" w:type="dxa"/>
            <w:tcBorders>
              <w:left w:val="single" w:sz="6" w:space="0" w:color="000000" w:themeColor="text1"/>
              <w:bottom w:val="single" w:sz="4" w:space="0" w:color="auto"/>
              <w:right w:val="single" w:sz="6" w:space="0" w:color="000000" w:themeColor="text1"/>
            </w:tcBorders>
          </w:tcPr>
          <w:p w14:paraId="45AEDADD" w14:textId="0ED4E477" w:rsidR="009B2DCB" w:rsidRPr="00AE5356" w:rsidRDefault="00D94934" w:rsidP="00636289">
            <w:pPr>
              <w:pStyle w:val="naisc"/>
              <w:spacing w:before="0" w:after="0"/>
              <w:jc w:val="left"/>
            </w:pPr>
            <w:r>
              <w:t>Panākta vienošanās elektroniskajā saskaņošanā 14.01.2021.</w:t>
            </w:r>
          </w:p>
        </w:tc>
        <w:tc>
          <w:tcPr>
            <w:tcW w:w="3544" w:type="dxa"/>
            <w:tcBorders>
              <w:top w:val="single" w:sz="4" w:space="0" w:color="auto"/>
              <w:left w:val="single" w:sz="4" w:space="0" w:color="auto"/>
              <w:bottom w:val="single" w:sz="4" w:space="0" w:color="auto"/>
            </w:tcBorders>
          </w:tcPr>
          <w:p w14:paraId="600F228E" w14:textId="4734FBB5" w:rsidR="009B2DCB" w:rsidRPr="00AE5356" w:rsidRDefault="00324754" w:rsidP="00AE5356">
            <w:pPr>
              <w:jc w:val="both"/>
              <w:rPr>
                <w:color w:val="000000"/>
              </w:rPr>
            </w:pPr>
            <w:r>
              <w:rPr>
                <w:color w:val="000000"/>
              </w:rPr>
              <w:t>Ņemot vērā minētos skaitliskos rādītājus, nav nepamatoti izdarīt secinājumu, ka kredītiestāžu sektorā pastāv vērā ņemama koncentrācija, kuras viens no iemesliem varētu būt konkurences trūkums.</w:t>
            </w:r>
          </w:p>
        </w:tc>
      </w:tr>
      <w:tr w:rsidR="009B2DCB" w:rsidRPr="00AE5356" w14:paraId="6D9202E3" w14:textId="77777777" w:rsidTr="000E70CD">
        <w:tc>
          <w:tcPr>
            <w:tcW w:w="944" w:type="dxa"/>
            <w:tcBorders>
              <w:left w:val="single" w:sz="6" w:space="0" w:color="000000" w:themeColor="text1"/>
              <w:bottom w:val="single" w:sz="4" w:space="0" w:color="auto"/>
              <w:right w:val="single" w:sz="6" w:space="0" w:color="000000" w:themeColor="text1"/>
            </w:tcBorders>
          </w:tcPr>
          <w:p w14:paraId="7FEE790A"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AA669BE" w14:textId="0B1E2F99" w:rsidR="009B2DCB" w:rsidRPr="00DF40F2" w:rsidRDefault="009B2DCB" w:rsidP="00AE5356">
            <w:pPr>
              <w:pStyle w:val="naisc"/>
              <w:spacing w:before="0" w:after="0"/>
              <w:jc w:val="left"/>
            </w:pPr>
            <w:r w:rsidRPr="00DF40F2">
              <w:t xml:space="preserve">14. lpp., “Jāatzīmē, ka arī, salīdzinot pēc akciju tirdzniecības apgrozījuma, Latvija būtiski atpaliek no </w:t>
            </w:r>
            <w:r w:rsidRPr="00DF40F2">
              <w:lastRenderedPageBreak/>
              <w:t>kaimiņvalstīm, kuru biržas, neskatoties uz līdzīgo ekonomikas struktūru un izmēru, tomēr ir spējušas panākt augstāku attīstības līmeni.”</w:t>
            </w:r>
          </w:p>
        </w:tc>
        <w:tc>
          <w:tcPr>
            <w:tcW w:w="4819" w:type="dxa"/>
            <w:gridSpan w:val="2"/>
            <w:tcBorders>
              <w:left w:val="single" w:sz="6" w:space="0" w:color="000000" w:themeColor="text1"/>
              <w:bottom w:val="single" w:sz="4" w:space="0" w:color="auto"/>
              <w:right w:val="single" w:sz="6" w:space="0" w:color="000000" w:themeColor="text1"/>
            </w:tcBorders>
          </w:tcPr>
          <w:p w14:paraId="5D339AA1" w14:textId="41D7AB50" w:rsidR="009B2DCB" w:rsidRPr="00DF40F2" w:rsidRDefault="009B2DCB" w:rsidP="00AE5356">
            <w:pPr>
              <w:contextualSpacing/>
              <w:jc w:val="both"/>
            </w:pPr>
            <w:r w:rsidRPr="00DF40F2">
              <w:lastRenderedPageBreak/>
              <w:t xml:space="preserve">Lūgums papildināt, ņemot vērā, ka līdzās biržām ir arī citas regulētas finanšu instrumentu tirdzniecības platformas. Ņemot vērā Latvijas tirgus mazos apmērus, vērtspapīru emisijas būtisks pieaugums klasiskai publiskajai </w:t>
            </w:r>
            <w:r w:rsidRPr="00DF40F2">
              <w:lastRenderedPageBreak/>
              <w:t xml:space="preserve">apgrozībai ir maz ticams. Jāmeklē citi, inovatīvi un izmaksās lētāki risinājumi. </w:t>
            </w:r>
          </w:p>
        </w:tc>
        <w:tc>
          <w:tcPr>
            <w:tcW w:w="2835" w:type="dxa"/>
            <w:tcBorders>
              <w:left w:val="single" w:sz="6" w:space="0" w:color="000000" w:themeColor="text1"/>
              <w:bottom w:val="single" w:sz="4" w:space="0" w:color="auto"/>
              <w:right w:val="single" w:sz="6" w:space="0" w:color="000000" w:themeColor="text1"/>
            </w:tcBorders>
          </w:tcPr>
          <w:p w14:paraId="1E6C0EE1" w14:textId="474D23E6" w:rsidR="009B2DCB" w:rsidRPr="00DF40F2" w:rsidRDefault="00F30B81" w:rsidP="00AE5356">
            <w:pPr>
              <w:pStyle w:val="naisc"/>
              <w:spacing w:before="0" w:after="0"/>
              <w:jc w:val="left"/>
            </w:pPr>
            <w:r>
              <w:lastRenderedPageBreak/>
              <w:t>Ņ</w:t>
            </w:r>
            <w:r w:rsidR="009B2DCB" w:rsidRPr="00DF40F2">
              <w:t xml:space="preserve">emts vērā </w:t>
            </w:r>
          </w:p>
          <w:p w14:paraId="2620D940" w14:textId="77777777" w:rsidR="009B2DCB" w:rsidRPr="00DF40F2" w:rsidRDefault="009B2DCB" w:rsidP="00AE5356">
            <w:pPr>
              <w:pStyle w:val="naisc"/>
              <w:spacing w:before="0" w:after="0"/>
              <w:jc w:val="left"/>
            </w:pPr>
          </w:p>
          <w:p w14:paraId="1FBFEF07" w14:textId="017950E4" w:rsidR="009B2DCB" w:rsidRPr="00DF40F2" w:rsidRDefault="009B2DCB" w:rsidP="00AE5356">
            <w:pPr>
              <w:pStyle w:val="naisc"/>
              <w:spacing w:before="0" w:after="0"/>
              <w:jc w:val="left"/>
            </w:pPr>
          </w:p>
        </w:tc>
        <w:tc>
          <w:tcPr>
            <w:tcW w:w="3544" w:type="dxa"/>
            <w:tcBorders>
              <w:top w:val="single" w:sz="4" w:space="0" w:color="auto"/>
              <w:left w:val="single" w:sz="4" w:space="0" w:color="auto"/>
              <w:bottom w:val="single" w:sz="4" w:space="0" w:color="auto"/>
            </w:tcBorders>
          </w:tcPr>
          <w:p w14:paraId="21419F89" w14:textId="77777777" w:rsidR="009B2DCB" w:rsidRPr="00AE5356" w:rsidRDefault="005F211E" w:rsidP="00AE5356">
            <w:pPr>
              <w:jc w:val="both"/>
              <w:rPr>
                <w:color w:val="000000"/>
              </w:rPr>
            </w:pPr>
            <w:r>
              <w:rPr>
                <w:color w:val="000000"/>
              </w:rPr>
              <w:t xml:space="preserve">FSAP ir papildināts ar jaunu 3.3.nodaļu par </w:t>
            </w:r>
            <w:r w:rsidRPr="005F211E">
              <w:rPr>
                <w:color w:val="000000"/>
              </w:rPr>
              <w:t>3.3. Alternatīvo finansējuma veidu izmantošanas attīstīšan</w:t>
            </w:r>
            <w:r>
              <w:rPr>
                <w:color w:val="000000"/>
              </w:rPr>
              <w:t>u.</w:t>
            </w:r>
          </w:p>
        </w:tc>
      </w:tr>
      <w:tr w:rsidR="009B2DCB" w:rsidRPr="00AE5356" w14:paraId="176995FA" w14:textId="77777777" w:rsidTr="000E70CD">
        <w:tc>
          <w:tcPr>
            <w:tcW w:w="944" w:type="dxa"/>
            <w:tcBorders>
              <w:left w:val="single" w:sz="6" w:space="0" w:color="000000" w:themeColor="text1"/>
              <w:bottom w:val="single" w:sz="4" w:space="0" w:color="auto"/>
              <w:right w:val="single" w:sz="6" w:space="0" w:color="000000" w:themeColor="text1"/>
            </w:tcBorders>
          </w:tcPr>
          <w:p w14:paraId="1585C08B"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4738548F" w14:textId="727CEF47" w:rsidR="009B2DCB" w:rsidRPr="00AE5356" w:rsidRDefault="009B2DCB" w:rsidP="00AE5356">
            <w:pPr>
              <w:pStyle w:val="naisc"/>
              <w:spacing w:before="0" w:after="0"/>
              <w:jc w:val="left"/>
            </w:pPr>
            <w:r w:rsidRPr="00AE5356">
              <w:t>16. lpp., “Dalībnieku skaits privātajos pensiju fondos pakāpeniski pieaug kopš sistēmas ieviešanas 1998. gadā, taču straujākais dalībnieku skaita pieaugums bija vērojams laika posmā no 2005. līdz 2008. gadam, bet kopš tā laika pieauguma temps ir kļuvis mērenāks.”</w:t>
            </w:r>
          </w:p>
        </w:tc>
        <w:tc>
          <w:tcPr>
            <w:tcW w:w="4819" w:type="dxa"/>
            <w:gridSpan w:val="2"/>
            <w:tcBorders>
              <w:left w:val="single" w:sz="6" w:space="0" w:color="000000" w:themeColor="text1"/>
              <w:bottom w:val="single" w:sz="4" w:space="0" w:color="auto"/>
              <w:right w:val="single" w:sz="6" w:space="0" w:color="000000" w:themeColor="text1"/>
            </w:tcBorders>
          </w:tcPr>
          <w:p w14:paraId="5710D767" w14:textId="4024E19E" w:rsidR="009B2DCB" w:rsidRPr="00DF40F2" w:rsidRDefault="009B2DCB" w:rsidP="00AE5356">
            <w:pPr>
              <w:contextualSpacing/>
              <w:jc w:val="both"/>
              <w:rPr>
                <w:highlight w:val="yellow"/>
              </w:rPr>
            </w:pPr>
            <w:r w:rsidRPr="00EC06EA">
              <w:rPr>
                <w:rStyle w:val="CommentReference"/>
                <w:sz w:val="24"/>
                <w:szCs w:val="24"/>
              </w:rPr>
              <w:t>Aicinām papildināt uzdevumu sadaļu “Kapitāla tirgus attīstība un investīciju kultūras veidošana” ar punktu “Nodokļu sistēmas ietekme uz Dzīvības apdrošināšanu un privātajiem pensiju fondiem”. Būtu nepieciešams pētījums par to, vai “mērenāks temps” ir saistīts ar būtiskajām izmaiņām nodokļu politikā attiecībā uz dzīvības un pensiju uzkrājumiem, kuri tika ieviesti 2008.gadā, un vai pašreizējā Latvijas nodokļu politika šajā jomā ir līdzvērtīga tai, kas ir valstīs, kuru rādītājus Latvija mēģina sasniegt.</w:t>
            </w:r>
          </w:p>
        </w:tc>
        <w:tc>
          <w:tcPr>
            <w:tcW w:w="2835" w:type="dxa"/>
            <w:tcBorders>
              <w:left w:val="single" w:sz="6" w:space="0" w:color="000000" w:themeColor="text1"/>
              <w:bottom w:val="single" w:sz="4" w:space="0" w:color="auto"/>
              <w:right w:val="single" w:sz="6" w:space="0" w:color="000000" w:themeColor="text1"/>
            </w:tcBorders>
          </w:tcPr>
          <w:p w14:paraId="3C246202" w14:textId="05B35E4F" w:rsidR="009B2DCB" w:rsidRPr="00AE5356" w:rsidRDefault="00D94934" w:rsidP="00AE5356">
            <w:pPr>
              <w:pStyle w:val="naisc"/>
              <w:spacing w:before="0" w:after="0"/>
              <w:jc w:val="left"/>
            </w:pPr>
            <w:r>
              <w:t>Panākta vienošanās elektroniskajā saskaņošanā 14.01.2021.</w:t>
            </w:r>
          </w:p>
        </w:tc>
        <w:tc>
          <w:tcPr>
            <w:tcW w:w="3544" w:type="dxa"/>
            <w:tcBorders>
              <w:top w:val="single" w:sz="4" w:space="0" w:color="auto"/>
              <w:left w:val="single" w:sz="4" w:space="0" w:color="auto"/>
              <w:bottom w:val="single" w:sz="4" w:space="0" w:color="auto"/>
            </w:tcBorders>
          </w:tcPr>
          <w:p w14:paraId="5AD0CD87" w14:textId="61A6566B" w:rsidR="009B2DCB" w:rsidRPr="00AE5356" w:rsidRDefault="00EC06EA" w:rsidP="00AE5356">
            <w:pPr>
              <w:jc w:val="both"/>
              <w:rPr>
                <w:color w:val="000000"/>
              </w:rPr>
            </w:pPr>
            <w:r w:rsidRPr="00EC06EA">
              <w:rPr>
                <w:color w:val="000000"/>
              </w:rPr>
              <w:t>Šobrīd nav plānots izstrādāt pētījumu par nodokļu sistēmas ietekmi uz dzīvības apdrošināšanu un privātajiem pensiju fondiem. Kā minēts tekstā, tad 2018.un 2019.gadā tika veiktas reformas, kas ilgtermiņā var pozitīvi ietekmēt pensiju fondu ienesīgumu. Attiecībā uz fondēto pensiju ieguldījumiem kopš 2018.gada tika paaugstināti limiti, atļaujot aktīvajiem fondiem akcijās ieguldīt līdz 75% no fondu aktīviem (iepretim līdzšinējiem 50%), kas var nodrošināt augstāku ieguldījumu atdevi. Tāpat iepriekšējos gados tika veikta reforma attiecībā uz valsts fondēto pensiju fondu iekasētajiem komisijas maksu limitiem, kas kopā ar aktīvu konkurenci no admin</w:t>
            </w:r>
            <w:r w:rsidR="009300FB">
              <w:rPr>
                <w:color w:val="000000"/>
              </w:rPr>
              <w:t xml:space="preserve">istrēšanas aspektā </w:t>
            </w:r>
            <w:r w:rsidRPr="00EC06EA">
              <w:rPr>
                <w:color w:val="000000"/>
              </w:rPr>
              <w:t xml:space="preserve">lētāko indeksu fondu plānu puses, veicināja komisijas maksu būtisku samazināšanos, kas savukārt </w:t>
            </w:r>
            <w:r w:rsidRPr="00EC06EA">
              <w:rPr>
                <w:color w:val="000000"/>
              </w:rPr>
              <w:lastRenderedPageBreak/>
              <w:t>pozitīvi ietekmē arī plānu neto ienesīgumu.</w:t>
            </w:r>
          </w:p>
        </w:tc>
      </w:tr>
      <w:tr w:rsidR="009B2DCB" w:rsidRPr="00AE5356" w14:paraId="739493FF" w14:textId="77777777" w:rsidTr="000E70CD">
        <w:tc>
          <w:tcPr>
            <w:tcW w:w="944" w:type="dxa"/>
            <w:tcBorders>
              <w:left w:val="single" w:sz="6" w:space="0" w:color="000000" w:themeColor="text1"/>
              <w:bottom w:val="single" w:sz="4" w:space="0" w:color="auto"/>
              <w:right w:val="single" w:sz="6" w:space="0" w:color="000000" w:themeColor="text1"/>
            </w:tcBorders>
          </w:tcPr>
          <w:p w14:paraId="48AB5ACE"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0C77982" w14:textId="7FEAF0E9" w:rsidR="009B2DCB" w:rsidRPr="00AE5356" w:rsidRDefault="009B2DCB" w:rsidP="00AE5356">
            <w:pPr>
              <w:pStyle w:val="naisc"/>
              <w:spacing w:before="0" w:after="0"/>
            </w:pPr>
            <w:r w:rsidRPr="00AE5356">
              <w:t>23. lpp., “Lai veicinātu finanšu pieejamību uzņēmumiem jomās, kur tirgū tas nav pieejams, AS “Attīstības finanšu institūcija Altum” (Altum) īsteno atbalsta un attīstības programmas galvenokārt finanšu instrumentu veidā, papildus ir atsevišķas grantu programmas, īstenojot valsts politiku tautsaimniecībā, kā arī nodrošinot citu normatīvajos aktos noteikto valsts deleģēto uzdevumu izpildi.”</w:t>
            </w:r>
          </w:p>
        </w:tc>
        <w:tc>
          <w:tcPr>
            <w:tcW w:w="4819" w:type="dxa"/>
            <w:gridSpan w:val="2"/>
            <w:tcBorders>
              <w:left w:val="single" w:sz="6" w:space="0" w:color="000000" w:themeColor="text1"/>
              <w:bottom w:val="single" w:sz="4" w:space="0" w:color="auto"/>
              <w:right w:val="single" w:sz="6" w:space="0" w:color="000000" w:themeColor="text1"/>
            </w:tcBorders>
          </w:tcPr>
          <w:p w14:paraId="61F043C9" w14:textId="77777777" w:rsidR="009B2DCB" w:rsidRPr="00AE5356" w:rsidRDefault="009B2DCB" w:rsidP="00AE5356">
            <w:pPr>
              <w:pStyle w:val="CommentText"/>
              <w:jc w:val="both"/>
              <w:rPr>
                <w:sz w:val="24"/>
                <w:szCs w:val="24"/>
              </w:rPr>
            </w:pPr>
            <w:r w:rsidRPr="00AE5356">
              <w:rPr>
                <w:sz w:val="24"/>
                <w:szCs w:val="24"/>
              </w:rPr>
              <w:t xml:space="preserve">Aicinām šo teikumu izteikt šādā redakcijā – </w:t>
            </w:r>
          </w:p>
          <w:p w14:paraId="2F8D66EA" w14:textId="59656A9B" w:rsidR="009B2DCB" w:rsidRPr="00AE5356" w:rsidRDefault="009B2DCB" w:rsidP="00AE5356">
            <w:pPr>
              <w:contextualSpacing/>
              <w:jc w:val="both"/>
            </w:pPr>
            <w:r w:rsidRPr="00AE5356">
              <w:t xml:space="preserve">“Lai veicinātu finanšu pieejamību </w:t>
            </w:r>
            <w:r w:rsidRPr="00AE5356">
              <w:rPr>
                <w:b/>
                <w:bCs/>
              </w:rPr>
              <w:t>segmentos, kur pastāv tirgus nepilnība</w:t>
            </w:r>
            <w:r w:rsidRPr="00AE5356">
              <w:t>, AS “Attīstības finanšu institūcija Altum” (Altum) īsteno atbalsta un attīstības programmas galvenokārt finanšu instrumentu veidā, papildus ir atsevišķas grantu programmas, īstenojot valsts politiku tautsaimniecībā, kā arī nodrošinot citu normatīvajos aktos noteikto valsts deleģēto uzdevumu izpildi”</w:t>
            </w:r>
          </w:p>
        </w:tc>
        <w:tc>
          <w:tcPr>
            <w:tcW w:w="2835" w:type="dxa"/>
            <w:tcBorders>
              <w:left w:val="single" w:sz="6" w:space="0" w:color="000000" w:themeColor="text1"/>
              <w:bottom w:val="single" w:sz="4" w:space="0" w:color="auto"/>
              <w:right w:val="single" w:sz="6" w:space="0" w:color="000000" w:themeColor="text1"/>
            </w:tcBorders>
          </w:tcPr>
          <w:p w14:paraId="5EB1EE0E" w14:textId="4B993052" w:rsidR="009B2DCB" w:rsidRPr="00AE5356" w:rsidRDefault="003D1CE2" w:rsidP="003D1CE2">
            <w:pPr>
              <w:pStyle w:val="naisc"/>
              <w:spacing w:before="0" w:after="0"/>
              <w:jc w:val="left"/>
            </w:pPr>
            <w:r>
              <w:t>Ņ</w:t>
            </w:r>
            <w:r w:rsidRPr="00AE5356">
              <w:t xml:space="preserve">emts </w:t>
            </w:r>
            <w:r w:rsidR="009B2DCB" w:rsidRPr="00AE5356">
              <w:t>vērā</w:t>
            </w:r>
            <w:r w:rsidR="0013364C">
              <w:t>.</w:t>
            </w:r>
          </w:p>
        </w:tc>
        <w:tc>
          <w:tcPr>
            <w:tcW w:w="3544" w:type="dxa"/>
            <w:tcBorders>
              <w:top w:val="single" w:sz="4" w:space="0" w:color="auto"/>
              <w:left w:val="single" w:sz="4" w:space="0" w:color="auto"/>
              <w:bottom w:val="single" w:sz="4" w:space="0" w:color="auto"/>
            </w:tcBorders>
          </w:tcPr>
          <w:p w14:paraId="14D4B474" w14:textId="77777777" w:rsidR="00C6510A" w:rsidRDefault="00A9223B" w:rsidP="00C6510A">
            <w:pPr>
              <w:jc w:val="both"/>
              <w:rPr>
                <w:color w:val="000000"/>
              </w:rPr>
            </w:pPr>
            <w:r>
              <w:rPr>
                <w:color w:val="000000"/>
              </w:rPr>
              <w:t>Precizēt</w:t>
            </w:r>
            <w:r w:rsidR="00C6510A">
              <w:rPr>
                <w:color w:val="000000"/>
              </w:rPr>
              <w:t>a</w:t>
            </w:r>
            <w:r>
              <w:rPr>
                <w:color w:val="000000"/>
              </w:rPr>
              <w:t xml:space="preserve"> 3.</w:t>
            </w:r>
            <w:r w:rsidR="00BE4C4F">
              <w:rPr>
                <w:color w:val="000000"/>
              </w:rPr>
              <w:t>7</w:t>
            </w:r>
            <w:r>
              <w:rPr>
                <w:color w:val="000000"/>
              </w:rPr>
              <w:t xml:space="preserve"> sadaļas </w:t>
            </w:r>
            <w:r w:rsidR="00C6510A">
              <w:rPr>
                <w:color w:val="000000"/>
              </w:rPr>
              <w:t>redakcija:</w:t>
            </w:r>
          </w:p>
          <w:p w14:paraId="6B068120" w14:textId="1A6934E7" w:rsidR="00C6510A" w:rsidRPr="00AE5356" w:rsidRDefault="00C6510A" w:rsidP="00C6510A">
            <w:pPr>
              <w:jc w:val="both"/>
              <w:rPr>
                <w:color w:val="000000"/>
              </w:rPr>
            </w:pPr>
            <w:r w:rsidRPr="00AE5356">
              <w:t xml:space="preserve">Lai veicinātu finanšu pieejamību uzņēmumiem jomās, kur tirgū tas nav pieejams un </w:t>
            </w:r>
            <w:r w:rsidRPr="00880C22">
              <w:rPr>
                <w:b/>
              </w:rPr>
              <w:t>kur pastāv tirgus nepilnības</w:t>
            </w:r>
            <w:r w:rsidRPr="00AE5356">
              <w:t>, AS “Attīstības finanšu institūcija Altum” (Altum) īsteno atbalsta un attīstības programmas galvenokārt finanšu instrumentu veidā, papildus ir atsevišķas grantu programmas, īstenojot valsts politiku tautsaimniecībā, kā arī nodrošinot citu normatīvajos aktos noteikto valsts deleģēto uzdevumu izpildi</w:t>
            </w:r>
            <w:r>
              <w:t>.</w:t>
            </w:r>
          </w:p>
        </w:tc>
      </w:tr>
      <w:tr w:rsidR="009B2DCB" w:rsidRPr="00AE5356" w14:paraId="0B263470" w14:textId="77777777" w:rsidTr="000E70CD">
        <w:tc>
          <w:tcPr>
            <w:tcW w:w="944" w:type="dxa"/>
            <w:tcBorders>
              <w:left w:val="single" w:sz="6" w:space="0" w:color="000000" w:themeColor="text1"/>
              <w:bottom w:val="single" w:sz="4" w:space="0" w:color="auto"/>
              <w:right w:val="single" w:sz="6" w:space="0" w:color="000000" w:themeColor="text1"/>
            </w:tcBorders>
          </w:tcPr>
          <w:p w14:paraId="25FE82B8"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2FE981AB" w14:textId="7D86F6D9" w:rsidR="009B2DCB" w:rsidRPr="00AE5356" w:rsidRDefault="009B2DCB" w:rsidP="00AE5356">
            <w:pPr>
              <w:pStyle w:val="naisc"/>
              <w:spacing w:before="0" w:after="0"/>
              <w:jc w:val="left"/>
            </w:pPr>
            <w:r w:rsidRPr="00AE5356">
              <w:t>25. lpp., 3.7.sadaļa “Starptautisko finanšu institūciju finanšu instrumenti”</w:t>
            </w:r>
          </w:p>
        </w:tc>
        <w:tc>
          <w:tcPr>
            <w:tcW w:w="4819" w:type="dxa"/>
            <w:gridSpan w:val="2"/>
            <w:tcBorders>
              <w:left w:val="single" w:sz="6" w:space="0" w:color="000000" w:themeColor="text1"/>
              <w:bottom w:val="single" w:sz="4" w:space="0" w:color="auto"/>
              <w:right w:val="single" w:sz="6" w:space="0" w:color="000000" w:themeColor="text1"/>
            </w:tcBorders>
          </w:tcPr>
          <w:p w14:paraId="2C205922" w14:textId="22B7AE6D" w:rsidR="009B2DCB" w:rsidRPr="00AE5356" w:rsidRDefault="009B2DCB" w:rsidP="00AE5356">
            <w:pPr>
              <w:contextualSpacing/>
              <w:jc w:val="both"/>
            </w:pPr>
            <w:r w:rsidRPr="00DF40F2">
              <w:t>Aicinām papildināt Plānu ar informāciju, ka arī kredītiestādēm ir noslēgti līgumi par COSME, EaSI, Innovfine ieviešanu, papildus atbalstam ES fondu 2014.-2020.gada plānošanas perioda ietvaros sniedzot iespēju piesaistīt citu finansējumu, tādējādi veicinot tā pieejamību, kā arī ir sadarbība ar EIB Covid-19 krīzes garantiju mehānisma kontekstā.</w:t>
            </w:r>
          </w:p>
        </w:tc>
        <w:tc>
          <w:tcPr>
            <w:tcW w:w="2835" w:type="dxa"/>
            <w:tcBorders>
              <w:left w:val="single" w:sz="6" w:space="0" w:color="000000" w:themeColor="text1"/>
              <w:bottom w:val="single" w:sz="4" w:space="0" w:color="auto"/>
              <w:right w:val="single" w:sz="6" w:space="0" w:color="000000" w:themeColor="text1"/>
            </w:tcBorders>
          </w:tcPr>
          <w:p w14:paraId="70084949" w14:textId="55199DE8" w:rsidR="009B2DCB" w:rsidRPr="00AE5356" w:rsidRDefault="00A65532" w:rsidP="00AE5356">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015F9134" w14:textId="77777777" w:rsidR="008769FF" w:rsidRDefault="0052612C" w:rsidP="008769FF">
            <w:pPr>
              <w:jc w:val="both"/>
              <w:rPr>
                <w:color w:val="000000"/>
              </w:rPr>
            </w:pPr>
            <w:r>
              <w:rPr>
                <w:color w:val="000000"/>
              </w:rPr>
              <w:t>Papildināta 3.8. sadaļas redakcija ar šādu teikumu:</w:t>
            </w:r>
          </w:p>
          <w:p w14:paraId="08F070DB" w14:textId="08FE888B" w:rsidR="009B2DCB" w:rsidRPr="00AE5356" w:rsidRDefault="0052612C" w:rsidP="00AE5356">
            <w:pPr>
              <w:jc w:val="both"/>
              <w:rPr>
                <w:color w:val="000000"/>
              </w:rPr>
            </w:pPr>
            <w:r>
              <w:rPr>
                <w:color w:val="000000"/>
              </w:rPr>
              <w:t>“</w:t>
            </w:r>
            <w:r>
              <w:t xml:space="preserve">Papildus ir pieejamas un </w:t>
            </w:r>
            <w:r w:rsidR="00C07461">
              <w:t xml:space="preserve">tiek </w:t>
            </w:r>
            <w:r>
              <w:t xml:space="preserve"> izmanto</w:t>
            </w:r>
            <w:r w:rsidR="00C07461">
              <w:t>tas</w:t>
            </w:r>
            <w:r>
              <w:t xml:space="preserve"> </w:t>
            </w:r>
            <w:r w:rsidR="00C07461">
              <w:t>Eiropas Investīciju fonda</w:t>
            </w:r>
            <w:r>
              <w:t xml:space="preserve"> programmas </w:t>
            </w:r>
            <w:r w:rsidRPr="00354588">
              <w:t>COSME, EaSI, Innovfine</w:t>
            </w:r>
            <w:r>
              <w:t>, kas veicina finansējuma pieejamību.”</w:t>
            </w:r>
          </w:p>
        </w:tc>
      </w:tr>
      <w:tr w:rsidR="009B2DCB" w:rsidRPr="00AE5356" w14:paraId="2EAF64C3" w14:textId="77777777" w:rsidTr="000E70CD">
        <w:tc>
          <w:tcPr>
            <w:tcW w:w="944" w:type="dxa"/>
            <w:tcBorders>
              <w:left w:val="single" w:sz="6" w:space="0" w:color="000000" w:themeColor="text1"/>
              <w:bottom w:val="single" w:sz="4" w:space="0" w:color="auto"/>
              <w:right w:val="single" w:sz="6" w:space="0" w:color="000000" w:themeColor="text1"/>
            </w:tcBorders>
          </w:tcPr>
          <w:p w14:paraId="53B66CFA"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187F86D1" w14:textId="1E32A641" w:rsidR="009B2DCB" w:rsidRPr="00AE5356" w:rsidRDefault="009B2DCB" w:rsidP="00AE5356">
            <w:pPr>
              <w:pStyle w:val="naisc"/>
              <w:spacing w:before="0" w:after="0"/>
              <w:jc w:val="left"/>
            </w:pPr>
            <w:r w:rsidRPr="00AE5356">
              <w:t xml:space="preserve">28. lpp., 1.1.3. uzdevums “Pilnveidot maksātnespējas jomas tiesisko regulējumu, </w:t>
            </w:r>
            <w:r w:rsidRPr="00AE5356">
              <w:lastRenderedPageBreak/>
              <w:t>uzsvaru liekot uz mehānismu izveidi finanšu  grūtību atrisināšanai, tādējādi, saglabājot jau esošo saimniecisko darbību.”</w:t>
            </w:r>
          </w:p>
        </w:tc>
        <w:tc>
          <w:tcPr>
            <w:tcW w:w="4819" w:type="dxa"/>
            <w:gridSpan w:val="2"/>
            <w:tcBorders>
              <w:left w:val="single" w:sz="6" w:space="0" w:color="000000" w:themeColor="text1"/>
              <w:bottom w:val="single" w:sz="4" w:space="0" w:color="auto"/>
              <w:right w:val="single" w:sz="6" w:space="0" w:color="000000" w:themeColor="text1"/>
            </w:tcBorders>
          </w:tcPr>
          <w:p w14:paraId="6F63CB27" w14:textId="4125DFB1" w:rsidR="009B2DCB" w:rsidRPr="00DF40F2" w:rsidRDefault="009B2DCB" w:rsidP="00AE5356">
            <w:pPr>
              <w:contextualSpacing/>
              <w:jc w:val="both"/>
              <w:rPr>
                <w:highlight w:val="yellow"/>
              </w:rPr>
            </w:pPr>
            <w:r w:rsidRPr="008308C4">
              <w:lastRenderedPageBreak/>
              <w:t xml:space="preserve">Lūgums papildināt, ka saimnieciskās darbības saglabāšana nav pašmērķis. Mērķis ir atjaunot darbību, kas ir konkurētspējīga, dzīvotspējīga ilgtermiņā, nodrošinot labu pārvaldību, kā arī </w:t>
            </w:r>
            <w:r w:rsidRPr="008308C4">
              <w:lastRenderedPageBreak/>
              <w:t>sniedzot atbilstošu ieguldījumu atdevi ieguldītājiem (investoriem).</w:t>
            </w:r>
          </w:p>
        </w:tc>
        <w:tc>
          <w:tcPr>
            <w:tcW w:w="2835" w:type="dxa"/>
            <w:tcBorders>
              <w:left w:val="single" w:sz="6" w:space="0" w:color="000000" w:themeColor="text1"/>
              <w:bottom w:val="single" w:sz="4" w:space="0" w:color="auto"/>
              <w:right w:val="single" w:sz="6" w:space="0" w:color="000000" w:themeColor="text1"/>
            </w:tcBorders>
          </w:tcPr>
          <w:p w14:paraId="62757F17" w14:textId="18CF9D34" w:rsidR="009B2DCB" w:rsidRPr="00AE5356" w:rsidRDefault="0027224C">
            <w:pPr>
              <w:pStyle w:val="naisc"/>
              <w:spacing w:before="0" w:after="0"/>
              <w:jc w:val="left"/>
            </w:pPr>
            <w:r>
              <w:lastRenderedPageBreak/>
              <w:t>Ņ</w:t>
            </w:r>
            <w:r w:rsidR="007671CF">
              <w:t>emts vērā.</w:t>
            </w:r>
          </w:p>
        </w:tc>
        <w:tc>
          <w:tcPr>
            <w:tcW w:w="3544" w:type="dxa"/>
            <w:tcBorders>
              <w:top w:val="single" w:sz="4" w:space="0" w:color="auto"/>
              <w:left w:val="single" w:sz="4" w:space="0" w:color="auto"/>
              <w:bottom w:val="single" w:sz="4" w:space="0" w:color="auto"/>
            </w:tcBorders>
          </w:tcPr>
          <w:p w14:paraId="50999329" w14:textId="723D6BED" w:rsidR="009B2DCB" w:rsidRPr="00AE5356" w:rsidRDefault="00B71D48" w:rsidP="00AE5356">
            <w:pPr>
              <w:jc w:val="both"/>
              <w:rPr>
                <w:color w:val="000000"/>
              </w:rPr>
            </w:pPr>
            <w:r w:rsidRPr="00DF40F2">
              <w:t>Minētais aspekts ir uzsvērts papildinot tekstu</w:t>
            </w:r>
            <w:r>
              <w:t xml:space="preserve"> 13. lpp. šādā redakcijā:</w:t>
            </w:r>
            <w:r w:rsidRPr="00DF40F2">
              <w:t xml:space="preserve"> </w:t>
            </w:r>
            <w:r w:rsidR="0027224C" w:rsidRPr="00DF40F2">
              <w:t xml:space="preserve">Efektīvs finanšu sektors ir nozīmīgs faktors </w:t>
            </w:r>
            <w:r w:rsidR="0027224C" w:rsidRPr="00DF40F2">
              <w:lastRenderedPageBreak/>
              <w:t xml:space="preserve">tautsaimniecības attīstībai, lai spētu novirzīt finansējumu </w:t>
            </w:r>
            <w:r w:rsidR="0027224C" w:rsidRPr="00DF40F2">
              <w:rPr>
                <w:b/>
              </w:rPr>
              <w:t xml:space="preserve">tiem uzņēmumiem, kuri ir labi kapitalizēti, pārvaldīti un godprātīgi veic nodokļu samaksu, </w:t>
            </w:r>
            <w:r w:rsidR="0027224C" w:rsidRPr="00DF40F2">
              <w:t>un vienlaikus stimulēt arī uzkrājumu veidošanu, dodot iespēju brīvajiem līdzekļiem pelnīt.”</w:t>
            </w:r>
          </w:p>
        </w:tc>
      </w:tr>
      <w:tr w:rsidR="009B2DCB" w:rsidRPr="00AE5356" w14:paraId="16815F7E" w14:textId="77777777" w:rsidTr="000E70CD">
        <w:tc>
          <w:tcPr>
            <w:tcW w:w="944" w:type="dxa"/>
            <w:tcBorders>
              <w:left w:val="single" w:sz="6" w:space="0" w:color="000000" w:themeColor="text1"/>
              <w:bottom w:val="single" w:sz="4" w:space="0" w:color="auto"/>
              <w:right w:val="single" w:sz="6" w:space="0" w:color="000000" w:themeColor="text1"/>
            </w:tcBorders>
          </w:tcPr>
          <w:p w14:paraId="19B950A7"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557D8E7" w14:textId="50E0C456" w:rsidR="009B2DCB" w:rsidRPr="00DF40F2" w:rsidRDefault="009B2DCB" w:rsidP="00AE5356">
            <w:pPr>
              <w:pStyle w:val="naisc"/>
              <w:spacing w:before="0" w:after="0"/>
              <w:jc w:val="left"/>
            </w:pPr>
            <w:r w:rsidRPr="00DF40F2">
              <w:t>28. lpp., 1.1.4. uzdevums “Uzlabot informācijas par fizisku personu saistībām pieejamību kredītriska vērtēšanai.”</w:t>
            </w:r>
          </w:p>
        </w:tc>
        <w:tc>
          <w:tcPr>
            <w:tcW w:w="4819" w:type="dxa"/>
            <w:gridSpan w:val="2"/>
            <w:tcBorders>
              <w:left w:val="single" w:sz="6" w:space="0" w:color="000000" w:themeColor="text1"/>
              <w:bottom w:val="single" w:sz="4" w:space="0" w:color="auto"/>
              <w:right w:val="single" w:sz="6" w:space="0" w:color="000000" w:themeColor="text1"/>
            </w:tcBorders>
          </w:tcPr>
          <w:p w14:paraId="462905A3" w14:textId="774B8348" w:rsidR="009B2DCB" w:rsidRPr="00DF40F2" w:rsidRDefault="009B2DCB" w:rsidP="00AE5356">
            <w:pPr>
              <w:contextualSpacing/>
              <w:jc w:val="both"/>
            </w:pPr>
            <w:r w:rsidRPr="00DF40F2">
              <w:rPr>
                <w:rStyle w:val="CommentReference"/>
                <w:sz w:val="24"/>
              </w:rPr>
              <w:t>Pēc Asociācijas iniciatīvas tika pieņemts Kredītinformācijas biroju likums, kura viens no mērķiem sakrīt ar uzdevumā noteikto. Tā kā Ekonomikas ministrija bija likuma virzītājs, par atbildīgo institūciju pareizi būtu noteikt to, savukārt par līdzatbildīgajām FM, VID, LFNA, PTAC, ZTI un Datu valsts inspekcija (Kredītinformācijas birojus uzraugošā institūcija). ZTI iesaiste ir nepieciešama, jo tā šogad izrādīja interesi mainīt savu cenrādi par pieprasījumu ZTI datubāzē reģistrētajām lietām. Savukārt VID ir nepieciešams, jo starp VID (un FM) un Asociāciju ir panākta vienošanās par VID izsniegto kredītņēmēja ienākumu informācijas paplašināšanu 2021.gadā.</w:t>
            </w:r>
          </w:p>
        </w:tc>
        <w:tc>
          <w:tcPr>
            <w:tcW w:w="2835" w:type="dxa"/>
            <w:tcBorders>
              <w:left w:val="single" w:sz="6" w:space="0" w:color="000000" w:themeColor="text1"/>
              <w:bottom w:val="single" w:sz="4" w:space="0" w:color="auto"/>
              <w:right w:val="single" w:sz="6" w:space="0" w:color="000000" w:themeColor="text1"/>
            </w:tcBorders>
          </w:tcPr>
          <w:p w14:paraId="01383FD5" w14:textId="3A3E4781" w:rsidR="009B2DCB" w:rsidRPr="00DF40F2" w:rsidRDefault="00A90AFF" w:rsidP="00AE5356">
            <w:pPr>
              <w:pStyle w:val="naisc"/>
              <w:spacing w:before="0" w:after="0"/>
              <w:jc w:val="left"/>
            </w:pPr>
            <w:r w:rsidRPr="00DF40F2">
              <w:t>Ņemts vērā</w:t>
            </w:r>
            <w:r w:rsidR="009B2DCB" w:rsidRPr="00DF40F2">
              <w:t>.</w:t>
            </w:r>
          </w:p>
          <w:p w14:paraId="243B6AF0" w14:textId="77777777" w:rsidR="009B2DCB" w:rsidRPr="00DF40F2" w:rsidRDefault="009B2DCB" w:rsidP="00AE5356">
            <w:pPr>
              <w:pStyle w:val="naisc"/>
              <w:spacing w:before="0" w:after="0"/>
              <w:jc w:val="left"/>
            </w:pPr>
          </w:p>
          <w:p w14:paraId="2ECA1176" w14:textId="69757E1E" w:rsidR="009B2DCB" w:rsidRPr="00DF40F2" w:rsidRDefault="009B2DCB" w:rsidP="00AE5356">
            <w:pPr>
              <w:pStyle w:val="naisc"/>
              <w:spacing w:before="0" w:after="0"/>
              <w:jc w:val="left"/>
            </w:pPr>
          </w:p>
        </w:tc>
        <w:tc>
          <w:tcPr>
            <w:tcW w:w="3544" w:type="dxa"/>
            <w:tcBorders>
              <w:top w:val="single" w:sz="4" w:space="0" w:color="auto"/>
              <w:left w:val="single" w:sz="4" w:space="0" w:color="auto"/>
              <w:bottom w:val="single" w:sz="4" w:space="0" w:color="auto"/>
            </w:tcBorders>
          </w:tcPr>
          <w:p w14:paraId="3701E946" w14:textId="77777777" w:rsidR="00ED71FA" w:rsidRDefault="00ED71FA" w:rsidP="00AE5356">
            <w:pPr>
              <w:jc w:val="both"/>
              <w:rPr>
                <w:color w:val="000000"/>
              </w:rPr>
            </w:pPr>
            <w:r>
              <w:rPr>
                <w:color w:val="000000"/>
              </w:rPr>
              <w:t>Precizēts:</w:t>
            </w:r>
          </w:p>
          <w:p w14:paraId="592F8F30" w14:textId="007C2E1E" w:rsidR="009B2DCB" w:rsidRDefault="006223CD" w:rsidP="00AE5356">
            <w:pPr>
              <w:jc w:val="both"/>
              <w:rPr>
                <w:color w:val="000000"/>
              </w:rPr>
            </w:pPr>
            <w:r>
              <w:rPr>
                <w:color w:val="000000"/>
              </w:rPr>
              <w:t>Atbildīgā institūcija: EM</w:t>
            </w:r>
          </w:p>
          <w:p w14:paraId="190CAE24" w14:textId="374832E0" w:rsidR="006223CD" w:rsidRPr="00AE5356" w:rsidRDefault="006223CD" w:rsidP="00AE5356">
            <w:pPr>
              <w:jc w:val="both"/>
              <w:rPr>
                <w:color w:val="000000"/>
              </w:rPr>
            </w:pPr>
            <w:r>
              <w:rPr>
                <w:color w:val="000000"/>
              </w:rPr>
              <w:t xml:space="preserve">Līdzatbildīgās institūcijas: </w:t>
            </w:r>
            <w:r w:rsidRPr="006223CD">
              <w:rPr>
                <w:color w:val="000000"/>
              </w:rPr>
              <w:t>FM, VID, LFNA, PTAC, ZTI, DVI</w:t>
            </w:r>
          </w:p>
        </w:tc>
      </w:tr>
      <w:tr w:rsidR="009B2DCB" w:rsidRPr="00AE5356" w14:paraId="11AB073A" w14:textId="77777777" w:rsidTr="000E70CD">
        <w:tc>
          <w:tcPr>
            <w:tcW w:w="944" w:type="dxa"/>
            <w:tcBorders>
              <w:left w:val="single" w:sz="6" w:space="0" w:color="000000" w:themeColor="text1"/>
              <w:bottom w:val="single" w:sz="4" w:space="0" w:color="auto"/>
              <w:right w:val="single" w:sz="6" w:space="0" w:color="000000" w:themeColor="text1"/>
            </w:tcBorders>
          </w:tcPr>
          <w:p w14:paraId="7C391207"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34758BA8" w14:textId="7F3AD32E" w:rsidR="009B2DCB" w:rsidRPr="00AE5356" w:rsidRDefault="009B2DCB" w:rsidP="00AE5356">
            <w:pPr>
              <w:pStyle w:val="naisc"/>
              <w:spacing w:before="0" w:after="0"/>
            </w:pPr>
            <w:r w:rsidRPr="00AE5356">
              <w:t>29. lpp., 1.1.6.darbības rezultāts “Pilnveidota publiskā un privātā sektora informētība un izpratne par iespējām piesaistīt starptautisko finanšu institūciju investīcijas.”</w:t>
            </w:r>
          </w:p>
        </w:tc>
        <w:tc>
          <w:tcPr>
            <w:tcW w:w="4819" w:type="dxa"/>
            <w:gridSpan w:val="2"/>
            <w:tcBorders>
              <w:left w:val="single" w:sz="6" w:space="0" w:color="000000" w:themeColor="text1"/>
              <w:bottom w:val="single" w:sz="4" w:space="0" w:color="auto"/>
              <w:right w:val="single" w:sz="6" w:space="0" w:color="000000" w:themeColor="text1"/>
            </w:tcBorders>
          </w:tcPr>
          <w:p w14:paraId="1C7B8247" w14:textId="26F85C1E" w:rsidR="009B2DCB" w:rsidRPr="00AE5356" w:rsidRDefault="009B2DCB" w:rsidP="00AE5356">
            <w:pPr>
              <w:contextualSpacing/>
              <w:jc w:val="both"/>
            </w:pPr>
            <w:r w:rsidRPr="00DF40F2">
              <w:t>Aicinām izvērtēt iespēju konkrētāk definēt darba uzdevumu. Vienlaikus vēršam uzmanību, ka</w:t>
            </w:r>
            <w:r w:rsidRPr="00DF40F2">
              <w:rPr>
                <w:rStyle w:val="CommentReference"/>
                <w:sz w:val="24"/>
              </w:rPr>
              <w:t xml:space="preserve"> SFI ieguldījumi ietekmēs kredītiestāžu aizdevuma apjomu. </w:t>
            </w:r>
            <w:r w:rsidRPr="00DF40F2">
              <w:t xml:space="preserve">Aicinām precizēt, kādās jomās valsts vēlas paplašināt SFI ieguldījumus – tehniskā palīdzība ilgtspējai, PPP, ESCO ieviešana, liela mēroga infrastruktūras attīstība utt. Nacionālo instrumentu trūkums, valsts </w:t>
            </w:r>
            <w:r w:rsidRPr="00DF40F2">
              <w:lastRenderedPageBreak/>
              <w:t>pieprasījuma veidošana šobrīd nav spēcīga iepriekšminētajos virzienos.</w:t>
            </w:r>
          </w:p>
        </w:tc>
        <w:tc>
          <w:tcPr>
            <w:tcW w:w="2835" w:type="dxa"/>
            <w:tcBorders>
              <w:left w:val="single" w:sz="6" w:space="0" w:color="000000" w:themeColor="text1"/>
              <w:bottom w:val="single" w:sz="4" w:space="0" w:color="auto"/>
              <w:right w:val="single" w:sz="6" w:space="0" w:color="000000" w:themeColor="text1"/>
            </w:tcBorders>
          </w:tcPr>
          <w:p w14:paraId="494193E4" w14:textId="34E87A3B" w:rsidR="009B2DCB" w:rsidRPr="00AE5356" w:rsidRDefault="002A2A1E" w:rsidP="00AE5356">
            <w:pPr>
              <w:pStyle w:val="naisc"/>
              <w:spacing w:before="0" w:after="0"/>
              <w:jc w:val="left"/>
            </w:pPr>
            <w:r>
              <w:lastRenderedPageBreak/>
              <w:t>Ņ</w:t>
            </w:r>
            <w:r w:rsidR="009B2DCB" w:rsidRPr="00AE5356">
              <w:t>emts vērā.</w:t>
            </w:r>
          </w:p>
        </w:tc>
        <w:tc>
          <w:tcPr>
            <w:tcW w:w="3544" w:type="dxa"/>
            <w:tcBorders>
              <w:top w:val="single" w:sz="4" w:space="0" w:color="auto"/>
              <w:left w:val="single" w:sz="4" w:space="0" w:color="auto"/>
              <w:bottom w:val="single" w:sz="4" w:space="0" w:color="auto"/>
            </w:tcBorders>
          </w:tcPr>
          <w:p w14:paraId="1FC654B4" w14:textId="77777777" w:rsidR="00302C5E" w:rsidRPr="00AE5356" w:rsidRDefault="00302C5E" w:rsidP="00AE5356">
            <w:pPr>
              <w:jc w:val="both"/>
              <w:rPr>
                <w:color w:val="000000"/>
              </w:rPr>
            </w:pPr>
            <w:r w:rsidRPr="00AE5356">
              <w:rPr>
                <w:color w:val="000000"/>
              </w:rPr>
              <w:t>Papildināta 1.1.6. darbības rezultāta redakcija:</w:t>
            </w:r>
          </w:p>
          <w:p w14:paraId="16AC41A7" w14:textId="77777777" w:rsidR="00302C5E" w:rsidRPr="00AE5356" w:rsidRDefault="00302C5E" w:rsidP="00AE5356">
            <w:pPr>
              <w:jc w:val="both"/>
            </w:pPr>
            <w:r w:rsidRPr="00AE5356">
              <w:t xml:space="preserve">“Pilnveidota publiskā un privātā sektora informētība un izpratne par iespējām piesaistīt starptautisko finanšu institūciju investīcijas </w:t>
            </w:r>
            <w:r w:rsidRPr="00AE5356">
              <w:rPr>
                <w:b/>
              </w:rPr>
              <w:t xml:space="preserve">un tehnisko atbalstu, tai skaitā tādās jomās kā zaļā pāreja, </w:t>
            </w:r>
            <w:r w:rsidRPr="00AE5356">
              <w:rPr>
                <w:b/>
              </w:rPr>
              <w:lastRenderedPageBreak/>
              <w:t>digitalizācija, inovācijas, kapitāla tirgus, PPP</w:t>
            </w:r>
            <w:r w:rsidRPr="00AE5356">
              <w:t>.”</w:t>
            </w:r>
          </w:p>
          <w:p w14:paraId="695F6959" w14:textId="77777777" w:rsidR="00302C5E" w:rsidRPr="00AE5356" w:rsidRDefault="00302C5E" w:rsidP="00AE5356">
            <w:pPr>
              <w:jc w:val="both"/>
            </w:pPr>
          </w:p>
          <w:p w14:paraId="0C5978B1" w14:textId="77777777" w:rsidR="00302C5E" w:rsidRPr="00AE5356" w:rsidRDefault="00302C5E" w:rsidP="00AE5356">
            <w:pPr>
              <w:jc w:val="both"/>
              <w:rPr>
                <w:color w:val="000000"/>
              </w:rPr>
            </w:pPr>
            <w:r w:rsidRPr="00AE5356">
              <w:t>Papildus precizēta 1.1.6. uzdevuma/pasākuma redakcija:</w:t>
            </w:r>
          </w:p>
          <w:p w14:paraId="73D37136" w14:textId="4C1C0FDA" w:rsidR="009B2DCB" w:rsidRPr="00AE5356" w:rsidRDefault="00302C5E" w:rsidP="001721A2">
            <w:pPr>
              <w:jc w:val="both"/>
              <w:rPr>
                <w:color w:val="000000"/>
              </w:rPr>
            </w:pPr>
            <w:r w:rsidRPr="00AE5356">
              <w:rPr>
                <w:color w:val="000000"/>
              </w:rPr>
              <w:t>“Veicināt starptautisko finanšu institūciju investīcijas un tehnisko atbalstu Latvijā, jomās, kur pastāv ierobežota finansējuma pieejamība.”</w:t>
            </w:r>
          </w:p>
        </w:tc>
      </w:tr>
      <w:tr w:rsidR="009B2DCB" w:rsidRPr="00AE5356" w14:paraId="71D30D80" w14:textId="77777777" w:rsidTr="000E70CD">
        <w:tc>
          <w:tcPr>
            <w:tcW w:w="944" w:type="dxa"/>
            <w:tcBorders>
              <w:left w:val="single" w:sz="6" w:space="0" w:color="000000" w:themeColor="text1"/>
              <w:bottom w:val="single" w:sz="4" w:space="0" w:color="auto"/>
              <w:right w:val="single" w:sz="6" w:space="0" w:color="000000" w:themeColor="text1"/>
            </w:tcBorders>
          </w:tcPr>
          <w:p w14:paraId="6940F10B"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B6C1CF1" w14:textId="58921D71" w:rsidR="009B2DCB" w:rsidRPr="00AE5356" w:rsidRDefault="009B2DCB" w:rsidP="00AE5356">
            <w:pPr>
              <w:pStyle w:val="naisc"/>
              <w:spacing w:before="0" w:after="0"/>
              <w:jc w:val="left"/>
            </w:pPr>
            <w:r w:rsidRPr="00AE5356">
              <w:t>30. lpp., 1.2.2.uzdevums “Turpināt uzsākto atbalsta programmu uzņēmumu ieiešanai kapitāla tirgū”</w:t>
            </w:r>
          </w:p>
        </w:tc>
        <w:tc>
          <w:tcPr>
            <w:tcW w:w="4819" w:type="dxa"/>
            <w:gridSpan w:val="2"/>
            <w:tcBorders>
              <w:left w:val="single" w:sz="6" w:space="0" w:color="000000" w:themeColor="text1"/>
              <w:bottom w:val="single" w:sz="4" w:space="0" w:color="auto"/>
              <w:right w:val="single" w:sz="6" w:space="0" w:color="000000" w:themeColor="text1"/>
            </w:tcBorders>
          </w:tcPr>
          <w:p w14:paraId="7D9F439B" w14:textId="20F2A139" w:rsidR="009B2DCB" w:rsidRPr="00AE5356" w:rsidRDefault="009B2DCB" w:rsidP="00AE5356">
            <w:pPr>
              <w:contextualSpacing/>
              <w:jc w:val="both"/>
            </w:pPr>
            <w:r w:rsidRPr="00DF40F2">
              <w:t>Papildināt ar nepieciešamību aktīvāk, koordinēti un mērķtiecīgi komunicēt par šo programmu. Vēlams noteikt šai programmai arī kvantitatīvus sasniedzamos rādītājus, piemēram, uzņēmumu skaitu, kuru vēlamies iesaistīt kapitāla tirgū ik gadu.</w:t>
            </w:r>
            <w:r w:rsidRPr="00AE5356">
              <w:t xml:space="preserve">  </w:t>
            </w:r>
          </w:p>
        </w:tc>
        <w:tc>
          <w:tcPr>
            <w:tcW w:w="2835" w:type="dxa"/>
            <w:tcBorders>
              <w:left w:val="single" w:sz="6" w:space="0" w:color="000000" w:themeColor="text1"/>
              <w:bottom w:val="single" w:sz="4" w:space="0" w:color="auto"/>
              <w:right w:val="single" w:sz="6" w:space="0" w:color="000000" w:themeColor="text1"/>
            </w:tcBorders>
          </w:tcPr>
          <w:p w14:paraId="61F18D77" w14:textId="7B2F7355" w:rsidR="009B2DCB" w:rsidRPr="00AE5356" w:rsidRDefault="002C4967" w:rsidP="00AE5356">
            <w:pPr>
              <w:pStyle w:val="naisc"/>
              <w:spacing w:before="0" w:after="0"/>
              <w:jc w:val="left"/>
            </w:pPr>
            <w:r>
              <w:t>Daļēji ņemts vērā.</w:t>
            </w:r>
            <w:r w:rsidR="009B2DCB">
              <w:t xml:space="preserve"> </w:t>
            </w:r>
          </w:p>
        </w:tc>
        <w:tc>
          <w:tcPr>
            <w:tcW w:w="3544" w:type="dxa"/>
            <w:tcBorders>
              <w:top w:val="single" w:sz="4" w:space="0" w:color="auto"/>
              <w:left w:val="single" w:sz="4" w:space="0" w:color="auto"/>
              <w:bottom w:val="single" w:sz="4" w:space="0" w:color="auto"/>
            </w:tcBorders>
          </w:tcPr>
          <w:p w14:paraId="0ACCE753" w14:textId="77777777" w:rsidR="009B2DCB" w:rsidRPr="00AE5356" w:rsidRDefault="002C4967" w:rsidP="00AE5356">
            <w:pPr>
              <w:jc w:val="both"/>
              <w:rPr>
                <w:color w:val="000000"/>
              </w:rPr>
            </w:pPr>
            <w:r w:rsidRPr="002C4967">
              <w:rPr>
                <w:color w:val="000000"/>
              </w:rPr>
              <w:t>Pēc 2020.gadā ir uzsāktās valsts atbalsta programma mazo un vidējo uzņēmumu kotācijai biržā, ir nepieciešams izvērtēt šīs programmas efektivitāti pirms tiek pieņemts lēmums par patstāvīgas šādas programmas nepieciešamību. Šādu pasākumu var ieviest tikai vēlākā posmā FSAP pārskatīšanas stadijā</w:t>
            </w:r>
            <w:r>
              <w:rPr>
                <w:color w:val="000000"/>
              </w:rPr>
              <w:t>, papildinot ar uzdevumu par patstāvīgas programmas izveidi.</w:t>
            </w:r>
          </w:p>
        </w:tc>
      </w:tr>
      <w:tr w:rsidR="009B2DCB" w:rsidRPr="00AE5356" w14:paraId="7B60DB04" w14:textId="77777777" w:rsidTr="000E70CD">
        <w:tc>
          <w:tcPr>
            <w:tcW w:w="944" w:type="dxa"/>
            <w:tcBorders>
              <w:left w:val="single" w:sz="6" w:space="0" w:color="000000" w:themeColor="text1"/>
              <w:bottom w:val="single" w:sz="4" w:space="0" w:color="auto"/>
              <w:right w:val="single" w:sz="6" w:space="0" w:color="000000" w:themeColor="text1"/>
            </w:tcBorders>
          </w:tcPr>
          <w:p w14:paraId="48B9EA1A"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1F56B200" w14:textId="70258731" w:rsidR="009B2DCB" w:rsidRPr="00AE5356" w:rsidRDefault="009B2DCB" w:rsidP="00AE5356">
            <w:pPr>
              <w:pStyle w:val="naisc"/>
              <w:spacing w:before="0" w:after="0"/>
              <w:jc w:val="left"/>
            </w:pPr>
            <w:r w:rsidRPr="00AE5356">
              <w:t>31. lpp., 1.2.7.uzdevums “Pilnveidot vērtspapīrošanas regulējumu.”</w:t>
            </w:r>
          </w:p>
        </w:tc>
        <w:tc>
          <w:tcPr>
            <w:tcW w:w="4819" w:type="dxa"/>
            <w:gridSpan w:val="2"/>
            <w:tcBorders>
              <w:left w:val="single" w:sz="6" w:space="0" w:color="000000" w:themeColor="text1"/>
              <w:bottom w:val="single" w:sz="4" w:space="0" w:color="auto"/>
              <w:right w:val="single" w:sz="6" w:space="0" w:color="000000" w:themeColor="text1"/>
            </w:tcBorders>
          </w:tcPr>
          <w:p w14:paraId="5BF77993" w14:textId="171FD5A3" w:rsidR="009B2DCB" w:rsidRPr="00AE5356" w:rsidRDefault="009B2DCB" w:rsidP="00AE5356">
            <w:pPr>
              <w:contextualSpacing/>
              <w:jc w:val="both"/>
            </w:pPr>
            <w:r w:rsidRPr="00AE5356">
              <w:t>P</w:t>
            </w:r>
            <w:r w:rsidRPr="00DF40F2">
              <w:t xml:space="preserve">apildināt ar norādi, ka vērstpapīrošanas regulējumam būtu jābūt arī ar nacionālām īpatnībām, piemēram, kā Luksemburgā, kur </w:t>
            </w:r>
            <w:r w:rsidRPr="00DF40F2">
              <w:rPr>
                <w:i/>
              </w:rPr>
              <w:t>tranšu</w:t>
            </w:r>
            <w:r w:rsidRPr="00DF40F2">
              <w:t xml:space="preserve"> veidošana nav obligāta; tas būtu aktuāli arī jaunu, vienkāršāku un inovatīvu risinājumu ieviešanai. Vērstpapīrošanas regulējumam jāiet sasaistē ar atbilstošu nodokļu režīmu, it īpaši, nepietiekamās kapitalizācijas normām Uzņēmumu ienākuma nodokļa likumā.</w:t>
            </w:r>
            <w:r w:rsidRPr="00AE5356">
              <w:t xml:space="preserve"> </w:t>
            </w:r>
          </w:p>
        </w:tc>
        <w:tc>
          <w:tcPr>
            <w:tcW w:w="2835" w:type="dxa"/>
            <w:tcBorders>
              <w:left w:val="single" w:sz="6" w:space="0" w:color="000000" w:themeColor="text1"/>
              <w:bottom w:val="single" w:sz="4" w:space="0" w:color="auto"/>
              <w:right w:val="single" w:sz="6" w:space="0" w:color="000000" w:themeColor="text1"/>
            </w:tcBorders>
          </w:tcPr>
          <w:p w14:paraId="3FFFD27F" w14:textId="1ACA52F7" w:rsidR="009B2DCB" w:rsidRPr="00AE5356" w:rsidRDefault="002C4967" w:rsidP="00AE5356">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543B20A9" w14:textId="77777777" w:rsidR="009B2DCB" w:rsidRPr="00AE5356" w:rsidRDefault="002C4967" w:rsidP="00AE5356">
            <w:pPr>
              <w:jc w:val="both"/>
              <w:rPr>
                <w:color w:val="000000"/>
              </w:rPr>
            </w:pPr>
            <w:r>
              <w:rPr>
                <w:color w:val="000000"/>
              </w:rPr>
              <w:t>1.27. uzdevums papildināts ar norādi uz Latvijas kapitāla tirgus īpatnībām.</w:t>
            </w:r>
          </w:p>
        </w:tc>
      </w:tr>
      <w:tr w:rsidR="009B2DCB" w:rsidRPr="00AE5356" w14:paraId="535F9E43" w14:textId="77777777" w:rsidTr="000E70CD">
        <w:tc>
          <w:tcPr>
            <w:tcW w:w="944" w:type="dxa"/>
            <w:tcBorders>
              <w:left w:val="single" w:sz="6" w:space="0" w:color="000000" w:themeColor="text1"/>
              <w:bottom w:val="single" w:sz="4" w:space="0" w:color="auto"/>
              <w:right w:val="single" w:sz="6" w:space="0" w:color="000000" w:themeColor="text1"/>
            </w:tcBorders>
          </w:tcPr>
          <w:p w14:paraId="4DBF30AC"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5BE8594C" w14:textId="05BC0EE7" w:rsidR="009B2DCB" w:rsidRPr="00AE5356" w:rsidRDefault="009B2DCB" w:rsidP="00AE5356">
            <w:pPr>
              <w:jc w:val="both"/>
            </w:pPr>
            <w:r w:rsidRPr="00AE5356">
              <w:t>31. lpp., 1.3.1. darbības rezultāts “Padarīt pieejamāku informāciju par trešo pensiju līmeni.</w:t>
            </w:r>
          </w:p>
          <w:p w14:paraId="7BB6A853" w14:textId="77777777" w:rsidR="009B2DCB" w:rsidRPr="00AE5356" w:rsidRDefault="009B2DCB" w:rsidP="00AE5356">
            <w:pPr>
              <w:jc w:val="both"/>
            </w:pPr>
            <w:r w:rsidRPr="00AE5356">
              <w:t>Apkopot visu pensiju uzkrājumu vienkopus.</w:t>
            </w:r>
          </w:p>
          <w:p w14:paraId="3ABB1904" w14:textId="296471B0" w:rsidR="009B2DCB" w:rsidRPr="00AE5356" w:rsidRDefault="009B2DCB" w:rsidP="00AE5356">
            <w:pPr>
              <w:pStyle w:val="naisc"/>
              <w:spacing w:before="0" w:after="0"/>
            </w:pPr>
            <w:r w:rsidRPr="00AE5356">
              <w:t>Informēt par sagaidāmo pensiju apmēru atkarībā no veiktajām iemaksām.”</w:t>
            </w:r>
          </w:p>
        </w:tc>
        <w:tc>
          <w:tcPr>
            <w:tcW w:w="4819" w:type="dxa"/>
            <w:gridSpan w:val="2"/>
            <w:tcBorders>
              <w:left w:val="single" w:sz="6" w:space="0" w:color="000000" w:themeColor="text1"/>
              <w:bottom w:val="single" w:sz="4" w:space="0" w:color="auto"/>
              <w:right w:val="single" w:sz="6" w:space="0" w:color="000000" w:themeColor="text1"/>
            </w:tcBorders>
          </w:tcPr>
          <w:p w14:paraId="3B537E18" w14:textId="77777777" w:rsidR="009B2DCB" w:rsidRPr="00AE5356" w:rsidRDefault="009B2DCB" w:rsidP="00AE5356">
            <w:pPr>
              <w:pStyle w:val="CommentText"/>
              <w:jc w:val="both"/>
              <w:rPr>
                <w:sz w:val="24"/>
                <w:szCs w:val="24"/>
              </w:rPr>
            </w:pPr>
            <w:r w:rsidRPr="00DF40F2">
              <w:rPr>
                <w:sz w:val="24"/>
              </w:rPr>
              <w:t>Aicinām papildināt ar nepieciešamību sniegt iespēju kredītiestāžu klientiem saņemt informāciju internetbankā par viņu valsts fondēto pensiju uzkrājumu.</w:t>
            </w:r>
          </w:p>
          <w:p w14:paraId="36BB82D3" w14:textId="77777777" w:rsidR="009B2DCB" w:rsidRPr="00AE5356" w:rsidRDefault="009B2DCB" w:rsidP="00AE5356">
            <w:pPr>
              <w:ind w:left="360"/>
              <w:contextualSpacing/>
              <w:jc w:val="both"/>
            </w:pPr>
          </w:p>
        </w:tc>
        <w:tc>
          <w:tcPr>
            <w:tcW w:w="2835" w:type="dxa"/>
            <w:tcBorders>
              <w:left w:val="single" w:sz="6" w:space="0" w:color="000000" w:themeColor="text1"/>
              <w:bottom w:val="single" w:sz="4" w:space="0" w:color="auto"/>
              <w:right w:val="single" w:sz="6" w:space="0" w:color="000000" w:themeColor="text1"/>
            </w:tcBorders>
          </w:tcPr>
          <w:p w14:paraId="5296A05C" w14:textId="3FB7647A" w:rsidR="009B2DCB" w:rsidRPr="00AE5356" w:rsidRDefault="002C4967" w:rsidP="00AE5356">
            <w:pPr>
              <w:pStyle w:val="naisc"/>
              <w:spacing w:before="0" w:after="0"/>
              <w:jc w:val="left"/>
            </w:pPr>
            <w:r>
              <w:t>Daļēji ņemts vērā.</w:t>
            </w:r>
          </w:p>
        </w:tc>
        <w:tc>
          <w:tcPr>
            <w:tcW w:w="3544" w:type="dxa"/>
            <w:tcBorders>
              <w:top w:val="single" w:sz="4" w:space="0" w:color="auto"/>
              <w:left w:val="single" w:sz="4" w:space="0" w:color="auto"/>
              <w:bottom w:val="single" w:sz="4" w:space="0" w:color="auto"/>
            </w:tcBorders>
          </w:tcPr>
          <w:p w14:paraId="7792BCBD" w14:textId="77777777" w:rsidR="009B2DCB" w:rsidRPr="00AE5356" w:rsidRDefault="002C4967" w:rsidP="00AE5356">
            <w:pPr>
              <w:jc w:val="both"/>
              <w:rPr>
                <w:color w:val="000000"/>
              </w:rPr>
            </w:pPr>
            <w:r>
              <w:rPr>
                <w:color w:val="000000"/>
              </w:rPr>
              <w:t xml:space="preserve">1.2.6.uzdevumā ir paredzēts veikt izvērtējumu, kur cita starpā tiks vērtēta iespēja </w:t>
            </w:r>
            <w:r w:rsidRPr="002C4967">
              <w:rPr>
                <w:color w:val="000000"/>
              </w:rPr>
              <w:t>kredītiestāžu klientiem saņemt informāciju internetbankā par viņu valsts fondēto pensiju uzkrājumu</w:t>
            </w:r>
          </w:p>
        </w:tc>
      </w:tr>
      <w:tr w:rsidR="009B2DCB" w:rsidRPr="00AE5356" w14:paraId="15CE5D94" w14:textId="77777777" w:rsidTr="000E70CD">
        <w:tc>
          <w:tcPr>
            <w:tcW w:w="944" w:type="dxa"/>
            <w:tcBorders>
              <w:left w:val="single" w:sz="6" w:space="0" w:color="000000" w:themeColor="text1"/>
              <w:bottom w:val="single" w:sz="4" w:space="0" w:color="auto"/>
              <w:right w:val="single" w:sz="6" w:space="0" w:color="000000" w:themeColor="text1"/>
            </w:tcBorders>
          </w:tcPr>
          <w:p w14:paraId="16475712"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49E40223" w14:textId="63323501" w:rsidR="009B2DCB" w:rsidRPr="00AE5356" w:rsidRDefault="009B2DCB" w:rsidP="00AE5356">
            <w:pPr>
              <w:pStyle w:val="naisc"/>
              <w:spacing w:before="0" w:after="0"/>
              <w:jc w:val="left"/>
            </w:pPr>
            <w:r w:rsidRPr="00AE5356">
              <w:t>31. lpp., 1.3.2.uzdevums “Veicināt un popularizēt jau izstrādāto satura un metodikas materiālu par finanšu pratību plašāku izmantošanu esošajās mācību programmās.”</w:t>
            </w:r>
          </w:p>
        </w:tc>
        <w:tc>
          <w:tcPr>
            <w:tcW w:w="4819" w:type="dxa"/>
            <w:gridSpan w:val="2"/>
            <w:tcBorders>
              <w:left w:val="single" w:sz="6" w:space="0" w:color="000000" w:themeColor="text1"/>
              <w:bottom w:val="single" w:sz="4" w:space="0" w:color="auto"/>
              <w:right w:val="single" w:sz="6" w:space="0" w:color="000000" w:themeColor="text1"/>
            </w:tcBorders>
          </w:tcPr>
          <w:p w14:paraId="0D193B2F" w14:textId="77777777" w:rsidR="009B2DCB" w:rsidRPr="00AE5356" w:rsidRDefault="009B2DCB" w:rsidP="00AE5356">
            <w:pPr>
              <w:pStyle w:val="CommentText"/>
              <w:jc w:val="both"/>
              <w:rPr>
                <w:sz w:val="24"/>
                <w:szCs w:val="24"/>
              </w:rPr>
            </w:pPr>
            <w:r w:rsidRPr="00AE5356">
              <w:rPr>
                <w:sz w:val="24"/>
                <w:szCs w:val="24"/>
              </w:rPr>
              <w:t>Lūgums precizēt, kas ir domāts ar šo uzdevumu.</w:t>
            </w:r>
          </w:p>
          <w:p w14:paraId="4B32E62F" w14:textId="77777777" w:rsidR="009B2DCB" w:rsidRPr="00AE5356" w:rsidRDefault="009B2DCB" w:rsidP="00AE5356">
            <w:pPr>
              <w:ind w:left="360"/>
              <w:contextualSpacing/>
              <w:jc w:val="both"/>
            </w:pPr>
          </w:p>
        </w:tc>
        <w:tc>
          <w:tcPr>
            <w:tcW w:w="2835" w:type="dxa"/>
            <w:tcBorders>
              <w:left w:val="single" w:sz="6" w:space="0" w:color="000000" w:themeColor="text1"/>
              <w:bottom w:val="single" w:sz="4" w:space="0" w:color="auto"/>
              <w:right w:val="single" w:sz="6" w:space="0" w:color="000000" w:themeColor="text1"/>
            </w:tcBorders>
          </w:tcPr>
          <w:p w14:paraId="7AB5815F" w14:textId="4B11D25D" w:rsidR="009B2DCB" w:rsidRPr="00AE5356" w:rsidRDefault="00D94934" w:rsidP="00AE5356">
            <w:pPr>
              <w:pStyle w:val="naisc"/>
              <w:spacing w:before="0" w:after="0"/>
              <w:jc w:val="left"/>
            </w:pPr>
            <w:r>
              <w:t>Panākta vienošanās elektroniskajā saskaņošanā 14.01.2021.</w:t>
            </w:r>
            <w:r w:rsidR="002C4967">
              <w:t>.</w:t>
            </w:r>
          </w:p>
        </w:tc>
        <w:tc>
          <w:tcPr>
            <w:tcW w:w="3544" w:type="dxa"/>
            <w:tcBorders>
              <w:top w:val="single" w:sz="4" w:space="0" w:color="auto"/>
              <w:left w:val="single" w:sz="4" w:space="0" w:color="auto"/>
              <w:bottom w:val="single" w:sz="4" w:space="0" w:color="auto"/>
            </w:tcBorders>
          </w:tcPr>
          <w:p w14:paraId="203113B9" w14:textId="77777777" w:rsidR="009B2DCB" w:rsidRPr="00AE5356" w:rsidRDefault="002C4967" w:rsidP="00AE5356">
            <w:pPr>
              <w:jc w:val="both"/>
              <w:rPr>
                <w:color w:val="000000"/>
              </w:rPr>
            </w:pPr>
            <w:r w:rsidRPr="002C4967">
              <w:rPr>
                <w:color w:val="000000"/>
              </w:rPr>
              <w:t xml:space="preserve">Finanšu un kapitāla tirgus komisija izstrādā stratēģiju finanšu pratības jomā, kurā tiks paredzēti detalizēti pasākumi visās jomās, tai skaitā </w:t>
            </w:r>
            <w:r>
              <w:rPr>
                <w:color w:val="000000"/>
              </w:rPr>
              <w:t>finanšu pratības iekļaušana mācību programmās. Šis jautājums risināms ar šīs stratēģijas palīdzību.</w:t>
            </w:r>
          </w:p>
        </w:tc>
      </w:tr>
      <w:tr w:rsidR="009B2DCB" w:rsidRPr="00AE5356" w14:paraId="559578B9" w14:textId="77777777" w:rsidTr="000E70CD">
        <w:tc>
          <w:tcPr>
            <w:tcW w:w="944" w:type="dxa"/>
            <w:tcBorders>
              <w:left w:val="single" w:sz="6" w:space="0" w:color="000000" w:themeColor="text1"/>
              <w:bottom w:val="single" w:sz="4" w:space="0" w:color="auto"/>
              <w:right w:val="single" w:sz="6" w:space="0" w:color="000000" w:themeColor="text1"/>
            </w:tcBorders>
          </w:tcPr>
          <w:p w14:paraId="28E8A12D"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3F022ACC" w14:textId="2170B6E7" w:rsidR="009B2DCB" w:rsidRPr="00AE5356" w:rsidRDefault="009B2DCB" w:rsidP="00AE5356">
            <w:pPr>
              <w:jc w:val="both"/>
            </w:pPr>
            <w:r w:rsidRPr="00AE5356">
              <w:t>32. lpp., 1.3.4.uzdevums “Veicināt fokusētas, dažādām mērķauditorijām piemērotas informācijas sniegšanu par atbildīgu aizņemšanos.”</w:t>
            </w:r>
          </w:p>
          <w:p w14:paraId="7F7C0DD7" w14:textId="51309F1D" w:rsidR="009B2DCB" w:rsidRPr="00AE5356" w:rsidRDefault="009B2DCB" w:rsidP="00AE5356">
            <w:pPr>
              <w:pStyle w:val="naisc"/>
              <w:spacing w:before="0" w:after="0"/>
            </w:pPr>
            <w:r w:rsidRPr="00AE5356">
              <w:t>Atbildīgā institūcija – FKTK (LB)/PTAC</w:t>
            </w:r>
          </w:p>
        </w:tc>
        <w:tc>
          <w:tcPr>
            <w:tcW w:w="4819" w:type="dxa"/>
            <w:gridSpan w:val="2"/>
            <w:tcBorders>
              <w:left w:val="single" w:sz="6" w:space="0" w:color="000000" w:themeColor="text1"/>
              <w:bottom w:val="single" w:sz="4" w:space="0" w:color="auto"/>
              <w:right w:val="single" w:sz="6" w:space="0" w:color="000000" w:themeColor="text1"/>
            </w:tcBorders>
          </w:tcPr>
          <w:p w14:paraId="1C003319" w14:textId="77777777" w:rsidR="009B2DCB" w:rsidRPr="00AE5356" w:rsidRDefault="009B2DCB" w:rsidP="00AE5356">
            <w:pPr>
              <w:pStyle w:val="CommentText"/>
              <w:jc w:val="both"/>
              <w:rPr>
                <w:rStyle w:val="CommentReference"/>
                <w:sz w:val="24"/>
                <w:szCs w:val="24"/>
              </w:rPr>
            </w:pPr>
            <w:r w:rsidRPr="00AE5356">
              <w:rPr>
                <w:sz w:val="24"/>
                <w:szCs w:val="24"/>
              </w:rPr>
              <w:t>Komunikācija par atbildīgu aizņemšanos no banku sektora puses ir aktīva, un tā tiks turpināta. Nepieciešama arī valsts pārvaldes aktīvāka iesaiste, lai vecinātu gan aizņēmēju pašu izpratni, gan pievērstu papildu uzmanību šiem jautājumiem. Šāda iesaiste būtu arī svarīga, lai kopīgiem spēkiem mazinātu mazproduktīvu retoriku, ka kredītiestādes nepiešķir aizdevumus un izvirza neadekvātas prasības to saņemšanai.</w:t>
            </w:r>
          </w:p>
          <w:p w14:paraId="4EB50253" w14:textId="77777777" w:rsidR="009B2DCB" w:rsidRPr="00AE5356" w:rsidRDefault="009B2DCB" w:rsidP="00AE5356">
            <w:pPr>
              <w:pStyle w:val="CommentText"/>
              <w:jc w:val="both"/>
              <w:rPr>
                <w:sz w:val="24"/>
                <w:szCs w:val="24"/>
              </w:rPr>
            </w:pPr>
          </w:p>
          <w:p w14:paraId="1127057E" w14:textId="77777777" w:rsidR="009B2DCB" w:rsidRPr="00AE5356" w:rsidRDefault="009B2DCB" w:rsidP="00AE5356">
            <w:pPr>
              <w:jc w:val="both"/>
            </w:pPr>
            <w:r w:rsidRPr="00AE5356">
              <w:t xml:space="preserve">Lūdzam papildināt 1.3.4.uzdevumu un izteikt to šādā redakcijā: “Veicināt fokusētas, dažādām mērķauditorijām piemērotas informācijas </w:t>
            </w:r>
            <w:r w:rsidRPr="00AE5356">
              <w:lastRenderedPageBreak/>
              <w:t xml:space="preserve">sniegšanu par atbildīgu aizņemšanos un par aizdevumu izsniegšanas principiem”. </w:t>
            </w:r>
          </w:p>
          <w:p w14:paraId="210A765C" w14:textId="77777777" w:rsidR="009B2DCB" w:rsidRPr="00AE5356" w:rsidRDefault="009B2DCB" w:rsidP="00AE5356">
            <w:pPr>
              <w:jc w:val="both"/>
            </w:pPr>
            <w:r w:rsidRPr="00AE5356">
              <w:t xml:space="preserve">Atbildīgā institūcija – FKTK (LB)/PTAC, FM </w:t>
            </w:r>
          </w:p>
          <w:p w14:paraId="552BF0C8" w14:textId="77777777" w:rsidR="009B2DCB" w:rsidRPr="00AE5356" w:rsidRDefault="009B2DCB" w:rsidP="00AE5356">
            <w:pPr>
              <w:ind w:left="360"/>
              <w:contextualSpacing/>
              <w:jc w:val="both"/>
            </w:pPr>
          </w:p>
        </w:tc>
        <w:tc>
          <w:tcPr>
            <w:tcW w:w="2835" w:type="dxa"/>
            <w:tcBorders>
              <w:left w:val="single" w:sz="6" w:space="0" w:color="000000" w:themeColor="text1"/>
              <w:bottom w:val="single" w:sz="4" w:space="0" w:color="auto"/>
              <w:right w:val="single" w:sz="6" w:space="0" w:color="000000" w:themeColor="text1"/>
            </w:tcBorders>
          </w:tcPr>
          <w:p w14:paraId="11C11648" w14:textId="5F16025C" w:rsidR="009B2DCB" w:rsidRPr="00AE5356" w:rsidRDefault="00D94934" w:rsidP="00AE5356">
            <w:pPr>
              <w:pStyle w:val="naisc"/>
              <w:spacing w:before="0" w:after="0"/>
              <w:jc w:val="left"/>
            </w:pPr>
            <w:r>
              <w:lastRenderedPageBreak/>
              <w:t>Panākta vienošanās elektroniskajā saskaņošanā 14.01.2021.</w:t>
            </w:r>
            <w:r w:rsidR="002C4967">
              <w:t>.</w:t>
            </w:r>
          </w:p>
        </w:tc>
        <w:tc>
          <w:tcPr>
            <w:tcW w:w="3544" w:type="dxa"/>
            <w:tcBorders>
              <w:top w:val="single" w:sz="4" w:space="0" w:color="auto"/>
              <w:left w:val="single" w:sz="4" w:space="0" w:color="auto"/>
              <w:bottom w:val="single" w:sz="4" w:space="0" w:color="auto"/>
            </w:tcBorders>
          </w:tcPr>
          <w:p w14:paraId="378071AB" w14:textId="77777777" w:rsidR="009B2DCB" w:rsidRPr="00AE5356" w:rsidRDefault="002C4967" w:rsidP="00AE5356">
            <w:pPr>
              <w:jc w:val="both"/>
              <w:rPr>
                <w:color w:val="000000"/>
              </w:rPr>
            </w:pPr>
            <w:r w:rsidRPr="002C4967">
              <w:rPr>
                <w:color w:val="000000"/>
              </w:rPr>
              <w:t>Finanšu un kapitāla tirgus komisija izstrādā stratēģiju finanšu pratības jomā, kurā tiks paredzēti detalizēti pasākumi visās jomās</w:t>
            </w:r>
            <w:r>
              <w:rPr>
                <w:color w:val="000000"/>
              </w:rPr>
              <w:t>. Šis jautājums risināms ar FKTK stratēģijas palīdzību un konkrētu pasākumu plānošanu.</w:t>
            </w:r>
          </w:p>
        </w:tc>
      </w:tr>
      <w:tr w:rsidR="009B2DCB" w:rsidRPr="00AE5356" w14:paraId="54B416B8" w14:textId="77777777" w:rsidTr="000E70CD">
        <w:tc>
          <w:tcPr>
            <w:tcW w:w="944" w:type="dxa"/>
            <w:tcBorders>
              <w:left w:val="single" w:sz="6" w:space="0" w:color="000000" w:themeColor="text1"/>
              <w:bottom w:val="single" w:sz="4" w:space="0" w:color="auto"/>
              <w:right w:val="single" w:sz="6" w:space="0" w:color="000000" w:themeColor="text1"/>
            </w:tcBorders>
          </w:tcPr>
          <w:p w14:paraId="5C12B11C"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5421581C"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1E3E1B51" w14:textId="296B7B1E" w:rsidR="009B2DCB" w:rsidRPr="00AE5356" w:rsidRDefault="009B2DCB" w:rsidP="00AE5356">
            <w:pPr>
              <w:ind w:left="360"/>
              <w:contextualSpacing/>
              <w:jc w:val="both"/>
            </w:pPr>
            <w:r w:rsidRPr="00AE5356">
              <w:rPr>
                <w:b/>
                <w:bCs/>
              </w:rPr>
              <w:t>Digitalizācija un inovatīvu pakalpojumu pieejamība</w:t>
            </w:r>
          </w:p>
        </w:tc>
        <w:tc>
          <w:tcPr>
            <w:tcW w:w="2835" w:type="dxa"/>
            <w:tcBorders>
              <w:left w:val="single" w:sz="6" w:space="0" w:color="000000" w:themeColor="text1"/>
              <w:bottom w:val="single" w:sz="4" w:space="0" w:color="auto"/>
              <w:right w:val="single" w:sz="6" w:space="0" w:color="000000" w:themeColor="text1"/>
            </w:tcBorders>
          </w:tcPr>
          <w:p w14:paraId="4FAAB08A" w14:textId="77777777" w:rsidR="009B2DCB" w:rsidRPr="00AE5356" w:rsidRDefault="009B2DCB" w:rsidP="00AE5356">
            <w:pPr>
              <w:pStyle w:val="naisc"/>
              <w:spacing w:before="0" w:after="0"/>
            </w:pPr>
          </w:p>
        </w:tc>
        <w:tc>
          <w:tcPr>
            <w:tcW w:w="3544" w:type="dxa"/>
            <w:tcBorders>
              <w:top w:val="single" w:sz="4" w:space="0" w:color="auto"/>
              <w:left w:val="single" w:sz="4" w:space="0" w:color="auto"/>
              <w:bottom w:val="single" w:sz="4" w:space="0" w:color="auto"/>
            </w:tcBorders>
          </w:tcPr>
          <w:p w14:paraId="62438E39" w14:textId="77777777" w:rsidR="009B2DCB" w:rsidRPr="00AE5356" w:rsidRDefault="009B2DCB" w:rsidP="00AE5356">
            <w:pPr>
              <w:jc w:val="both"/>
              <w:rPr>
                <w:color w:val="000000"/>
              </w:rPr>
            </w:pPr>
          </w:p>
        </w:tc>
      </w:tr>
      <w:tr w:rsidR="009B2DCB" w:rsidRPr="00AE5356" w14:paraId="2E2E90FF" w14:textId="77777777" w:rsidTr="000E70CD">
        <w:tc>
          <w:tcPr>
            <w:tcW w:w="944" w:type="dxa"/>
            <w:tcBorders>
              <w:left w:val="single" w:sz="6" w:space="0" w:color="000000" w:themeColor="text1"/>
              <w:bottom w:val="single" w:sz="4" w:space="0" w:color="auto"/>
              <w:right w:val="single" w:sz="6" w:space="0" w:color="000000" w:themeColor="text1"/>
            </w:tcBorders>
          </w:tcPr>
          <w:p w14:paraId="1BD86DE8"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58FD27AF" w14:textId="55B4979F" w:rsidR="009B2DCB" w:rsidRPr="00AE5356" w:rsidRDefault="009B2DCB" w:rsidP="00AE5356">
            <w:pPr>
              <w:pStyle w:val="naisc"/>
              <w:spacing w:before="0" w:after="0"/>
              <w:jc w:val="left"/>
            </w:pPr>
            <w:r w:rsidRPr="00AE5356">
              <w:t>33. lpp., Vispārīgs komentārs</w:t>
            </w:r>
          </w:p>
        </w:tc>
        <w:tc>
          <w:tcPr>
            <w:tcW w:w="4819" w:type="dxa"/>
            <w:gridSpan w:val="2"/>
            <w:tcBorders>
              <w:left w:val="single" w:sz="6" w:space="0" w:color="000000" w:themeColor="text1"/>
              <w:bottom w:val="single" w:sz="4" w:space="0" w:color="auto"/>
              <w:right w:val="single" w:sz="6" w:space="0" w:color="000000" w:themeColor="text1"/>
            </w:tcBorders>
          </w:tcPr>
          <w:p w14:paraId="02E84C94" w14:textId="1B5F039E" w:rsidR="009B2DCB" w:rsidRPr="00AE5356" w:rsidRDefault="009B2DCB" w:rsidP="00AE5356">
            <w:pPr>
              <w:contextualSpacing/>
              <w:jc w:val="both"/>
            </w:pPr>
            <w:r w:rsidRPr="00AE5356">
              <w:t xml:space="preserve">Latvijā </w:t>
            </w:r>
            <w:r w:rsidRPr="00DF40F2">
              <w:t xml:space="preserve">Eiropas </w:t>
            </w:r>
            <w:r w:rsidRPr="00DF40F2">
              <w:rPr>
                <w:b/>
              </w:rPr>
              <w:t>mērogā</w:t>
            </w:r>
            <w:r w:rsidRPr="00DF40F2">
              <w:t xml:space="preserve"> ir salīdzinoši ļoti zemas digitālās prasmes gan uzņēmumiem, gan privātpersonām. </w:t>
            </w:r>
            <w:r w:rsidRPr="00DF40F2">
              <w:rPr>
                <w:b/>
              </w:rPr>
              <w:t>Svarīgi</w:t>
            </w:r>
            <w:r w:rsidRPr="00DF40F2">
              <w:t>, ka COVID-19 finansējums, t.sk. no Recovery Fund tiek mērķtiecīgi un jēgpilni ieguldīts šo prasmju attīstīšanā atbilstoši Finanšu sektora attīstības plānā noteiktajam. Tāpat nepieciešami pilnveidojumi publisko pakalpojumu jomā – klientiem draudzīga, ērta, pieejama, saprotama e-vide un e-pakalpojumi.</w:t>
            </w:r>
          </w:p>
        </w:tc>
        <w:tc>
          <w:tcPr>
            <w:tcW w:w="2835" w:type="dxa"/>
            <w:tcBorders>
              <w:left w:val="single" w:sz="6" w:space="0" w:color="000000" w:themeColor="text1"/>
              <w:bottom w:val="single" w:sz="4" w:space="0" w:color="auto"/>
              <w:right w:val="single" w:sz="6" w:space="0" w:color="000000" w:themeColor="text1"/>
            </w:tcBorders>
          </w:tcPr>
          <w:p w14:paraId="24CE81BD" w14:textId="2875EB66" w:rsidR="009B2DCB" w:rsidRPr="00AE5356" w:rsidRDefault="009D3261" w:rsidP="00DA5197">
            <w:pPr>
              <w:pStyle w:val="naisc"/>
              <w:spacing w:before="0" w:after="0"/>
              <w:jc w:val="left"/>
            </w:pPr>
            <w:r>
              <w:t>Daļēji ņ</w:t>
            </w:r>
            <w:r w:rsidR="0002120B">
              <w:t>emts vērā</w:t>
            </w:r>
            <w:r w:rsidR="00DA5197">
              <w:t>.</w:t>
            </w:r>
          </w:p>
        </w:tc>
        <w:tc>
          <w:tcPr>
            <w:tcW w:w="3544" w:type="dxa"/>
            <w:tcBorders>
              <w:top w:val="single" w:sz="4" w:space="0" w:color="auto"/>
              <w:left w:val="single" w:sz="4" w:space="0" w:color="auto"/>
              <w:bottom w:val="single" w:sz="4" w:space="0" w:color="auto"/>
            </w:tcBorders>
          </w:tcPr>
          <w:p w14:paraId="2153FD71" w14:textId="6E1BED69" w:rsidR="009B2DCB" w:rsidRPr="00AE5356" w:rsidRDefault="00977839" w:rsidP="00AE5356">
            <w:pPr>
              <w:jc w:val="both"/>
              <w:rPr>
                <w:color w:val="000000"/>
              </w:rPr>
            </w:pPr>
            <w:r>
              <w:rPr>
                <w:color w:val="000000"/>
              </w:rPr>
              <w:t>Informācija par digitālajām prasmēm jau ir iekļauta 57. lpp.</w:t>
            </w:r>
          </w:p>
        </w:tc>
      </w:tr>
      <w:tr w:rsidR="009B2DCB" w:rsidRPr="00AE5356" w14:paraId="29CA23B5" w14:textId="77777777" w:rsidTr="000E70CD">
        <w:tc>
          <w:tcPr>
            <w:tcW w:w="944" w:type="dxa"/>
            <w:tcBorders>
              <w:left w:val="single" w:sz="6" w:space="0" w:color="000000" w:themeColor="text1"/>
              <w:bottom w:val="single" w:sz="4" w:space="0" w:color="auto"/>
              <w:right w:val="single" w:sz="6" w:space="0" w:color="000000" w:themeColor="text1"/>
            </w:tcBorders>
          </w:tcPr>
          <w:p w14:paraId="4B7D6246"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242FF6E4" w14:textId="3880AB39" w:rsidR="009B2DCB" w:rsidRPr="00AE5356" w:rsidRDefault="009B2DCB" w:rsidP="00AE5356">
            <w:pPr>
              <w:pStyle w:val="naisc"/>
              <w:spacing w:before="0" w:after="0"/>
              <w:jc w:val="left"/>
            </w:pPr>
            <w:r w:rsidRPr="00AE5356">
              <w:t>37. lpp., “Šķietami galvenais pamatojums šādām izmaiņām ir fokuss uz klienta vēlmēm, proti, šādi maksājumu risinājumi tiek veidoti ar izpratni, ka klients vēlas saņemt preci vai pakalpojumu, nevis patērēt laiku, lai veiktu maksājumu par to.”</w:t>
            </w:r>
          </w:p>
        </w:tc>
        <w:tc>
          <w:tcPr>
            <w:tcW w:w="4819" w:type="dxa"/>
            <w:gridSpan w:val="2"/>
            <w:tcBorders>
              <w:left w:val="single" w:sz="6" w:space="0" w:color="000000" w:themeColor="text1"/>
              <w:bottom w:val="single" w:sz="4" w:space="0" w:color="auto"/>
              <w:right w:val="single" w:sz="6" w:space="0" w:color="000000" w:themeColor="text1"/>
            </w:tcBorders>
          </w:tcPr>
          <w:p w14:paraId="5F1F4C0A" w14:textId="271A9672" w:rsidR="009B2DCB" w:rsidRPr="00DF40F2" w:rsidRDefault="009B2DCB" w:rsidP="00AE5356">
            <w:pPr>
              <w:contextualSpacing/>
              <w:jc w:val="both"/>
              <w:rPr>
                <w:highlight w:val="yellow"/>
              </w:rPr>
            </w:pPr>
            <w:r w:rsidRPr="007C49C7">
              <w:t>Lūgums papildināt, ka šādi pētījumi tiek veikti regulāri un finanšu sektors, kā arī citi ekosistēmas dalībnieki veicina arī to, lai skaidras naudas izmantošana samazinātos liela apjoma darījumos. Tāpat svarīgi uzsvērt valsts lomu komunikācijā, it sevišķi komunikācijā par kiberdrošības jautājumiem. Svarīgi, lai šie jautājumi būtu iekļauti sabiedrisko plašsaziņas līd</w:t>
            </w:r>
            <w:r w:rsidRPr="000B4BD2">
              <w:t xml:space="preserve">zekļu darba plānos un par tiem tiktu veidoti atbilstoši, profesionāli radījumi (komunikācija). </w:t>
            </w:r>
          </w:p>
        </w:tc>
        <w:tc>
          <w:tcPr>
            <w:tcW w:w="2835" w:type="dxa"/>
            <w:tcBorders>
              <w:left w:val="single" w:sz="6" w:space="0" w:color="000000" w:themeColor="text1"/>
              <w:bottom w:val="single" w:sz="4" w:space="0" w:color="auto"/>
              <w:right w:val="single" w:sz="6" w:space="0" w:color="000000" w:themeColor="text1"/>
            </w:tcBorders>
          </w:tcPr>
          <w:p w14:paraId="4EB4F2D9" w14:textId="2E5F41A7" w:rsidR="009B2DCB" w:rsidRPr="00AE5356" w:rsidRDefault="00847B8A" w:rsidP="00AE5356">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0ED55929" w14:textId="4E7408F5" w:rsidR="009B2DCB" w:rsidRPr="00AE5356" w:rsidRDefault="00F536AD" w:rsidP="00AE5356">
            <w:pPr>
              <w:jc w:val="both"/>
              <w:rPr>
                <w:color w:val="000000"/>
              </w:rPr>
            </w:pPr>
            <w:r>
              <w:rPr>
                <w:color w:val="000000"/>
              </w:rPr>
              <w:t xml:space="preserve">Rindkopa papildināta šādā redakcijā: </w:t>
            </w:r>
            <w:r>
              <w:t xml:space="preserve">Līdzīgi pētījumi tiek veikti regulāri </w:t>
            </w:r>
            <w:r w:rsidRPr="00A73C53">
              <w:t>un finanšu sektors, kā arī citi ekosistēmas dalībnieki veicina arī to, lai skaidras naudas izmantošana samazinātos liela apjoma darījumos.</w:t>
            </w:r>
            <w:r>
              <w:t xml:space="preserve"> Tāpat svarīga</w:t>
            </w:r>
            <w:r w:rsidRPr="00A73C53">
              <w:t xml:space="preserve"> </w:t>
            </w:r>
            <w:r>
              <w:t>ir valsts loma</w:t>
            </w:r>
            <w:r w:rsidRPr="00A73C53">
              <w:t xml:space="preserve"> komunikācijā, it sevišķi komunikācijā par kiberdrošības jautājumiem.</w:t>
            </w:r>
          </w:p>
        </w:tc>
      </w:tr>
      <w:tr w:rsidR="009B2DCB" w:rsidRPr="00AE5356" w14:paraId="4654D29A" w14:textId="77777777" w:rsidTr="000E70CD">
        <w:tc>
          <w:tcPr>
            <w:tcW w:w="944" w:type="dxa"/>
            <w:tcBorders>
              <w:left w:val="single" w:sz="6" w:space="0" w:color="000000" w:themeColor="text1"/>
              <w:bottom w:val="single" w:sz="4" w:space="0" w:color="auto"/>
              <w:right w:val="single" w:sz="6" w:space="0" w:color="000000" w:themeColor="text1"/>
            </w:tcBorders>
          </w:tcPr>
          <w:p w14:paraId="4AC897DE" w14:textId="77777777" w:rsidR="009B2DCB" w:rsidRPr="00DF40F2"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C76F392" w14:textId="7EFE7528" w:rsidR="009B2DCB" w:rsidRPr="00DF40F2" w:rsidRDefault="009B2DCB" w:rsidP="00AE5356">
            <w:pPr>
              <w:pStyle w:val="naisc"/>
              <w:spacing w:before="0" w:after="0"/>
              <w:jc w:val="left"/>
            </w:pPr>
            <w:r w:rsidRPr="00DF40F2">
              <w:t xml:space="preserve">38. lpp., “Līdz ar zibprasījumu ieviešanu Latvijas Banka būs nodrošinājusi </w:t>
            </w:r>
            <w:r w:rsidRPr="00DF40F2">
              <w:lastRenderedPageBreak/>
              <w:t>visaptverošu komplektu inovatīvu starpbanku maksājumu attīstībai un plašai izmantošanai ērtākiem maksājumiem starp personām, e-komercijā, tirdzniecībā, rēķinu apmaksā, klātienes maksājumos (piemēram, par valsts sniegtajiem pakalpojumiem) un faktiski jebkurā citā jomā.”</w:t>
            </w:r>
          </w:p>
        </w:tc>
        <w:tc>
          <w:tcPr>
            <w:tcW w:w="4819" w:type="dxa"/>
            <w:gridSpan w:val="2"/>
            <w:tcBorders>
              <w:left w:val="single" w:sz="6" w:space="0" w:color="000000" w:themeColor="text1"/>
              <w:bottom w:val="single" w:sz="4" w:space="0" w:color="auto"/>
              <w:right w:val="single" w:sz="6" w:space="0" w:color="000000" w:themeColor="text1"/>
            </w:tcBorders>
          </w:tcPr>
          <w:p w14:paraId="420A6948" w14:textId="77777777" w:rsidR="009B2DCB" w:rsidRPr="00DF40F2" w:rsidRDefault="009B2DCB" w:rsidP="00AE5356">
            <w:pPr>
              <w:pStyle w:val="CommentText"/>
              <w:jc w:val="both"/>
              <w:rPr>
                <w:sz w:val="24"/>
              </w:rPr>
            </w:pPr>
            <w:r w:rsidRPr="00DF40F2">
              <w:rPr>
                <w:sz w:val="24"/>
              </w:rPr>
              <w:lastRenderedPageBreak/>
              <w:t xml:space="preserve">Aicinām uzsvērt nepieciešamību plānveidīgi,  kolektīvi un saskaņoti šo jautājumu komunicēt uzņēmējiem, t.sk. sadarbībā ar valsts pārvaldi. Svarīgi, lai šie jautājumi būtu iekļauti </w:t>
            </w:r>
            <w:r w:rsidRPr="00DF40F2">
              <w:rPr>
                <w:sz w:val="24"/>
              </w:rPr>
              <w:lastRenderedPageBreak/>
              <w:t xml:space="preserve">sabiedrisko plašsaziņas līdzekļu darba plānos un par tiem tiktu veidoti atbilstoši, profesionāli radījumi (komunikācija). </w:t>
            </w:r>
          </w:p>
          <w:p w14:paraId="4A6AEC4C" w14:textId="77777777" w:rsidR="009B2DCB" w:rsidRPr="00DF40F2" w:rsidRDefault="009B2DCB" w:rsidP="00AE5356">
            <w:pPr>
              <w:ind w:left="360"/>
              <w:contextualSpacing/>
              <w:jc w:val="both"/>
            </w:pPr>
          </w:p>
        </w:tc>
        <w:tc>
          <w:tcPr>
            <w:tcW w:w="2835" w:type="dxa"/>
            <w:tcBorders>
              <w:left w:val="single" w:sz="6" w:space="0" w:color="000000" w:themeColor="text1"/>
              <w:bottom w:val="single" w:sz="4" w:space="0" w:color="auto"/>
              <w:right w:val="single" w:sz="6" w:space="0" w:color="000000" w:themeColor="text1"/>
            </w:tcBorders>
          </w:tcPr>
          <w:p w14:paraId="6A1F558D" w14:textId="27F28884" w:rsidR="009B2DCB" w:rsidRPr="00DF40F2" w:rsidRDefault="009B2DCB" w:rsidP="00AE5356">
            <w:pPr>
              <w:pStyle w:val="naisc"/>
              <w:spacing w:before="0" w:after="0"/>
              <w:jc w:val="left"/>
            </w:pPr>
            <w:r w:rsidRPr="00DF40F2">
              <w:lastRenderedPageBreak/>
              <w:t>Ņemts vērā.</w:t>
            </w:r>
          </w:p>
          <w:p w14:paraId="3FD5D131" w14:textId="77777777" w:rsidR="009B2DCB" w:rsidRPr="00DF40F2" w:rsidRDefault="009B2DCB" w:rsidP="00AE5356">
            <w:pPr>
              <w:pStyle w:val="naisc"/>
              <w:spacing w:before="0" w:after="0"/>
              <w:jc w:val="left"/>
            </w:pPr>
          </w:p>
          <w:p w14:paraId="02F80BA9" w14:textId="7B1DC32F" w:rsidR="009B2DCB" w:rsidRPr="00DF40F2" w:rsidRDefault="009B2DCB" w:rsidP="00AE5356">
            <w:pPr>
              <w:pStyle w:val="naisc"/>
              <w:spacing w:before="0" w:after="0"/>
              <w:jc w:val="left"/>
            </w:pPr>
          </w:p>
        </w:tc>
        <w:tc>
          <w:tcPr>
            <w:tcW w:w="3544" w:type="dxa"/>
            <w:tcBorders>
              <w:top w:val="single" w:sz="4" w:space="0" w:color="auto"/>
              <w:left w:val="single" w:sz="4" w:space="0" w:color="auto"/>
              <w:bottom w:val="single" w:sz="4" w:space="0" w:color="auto"/>
            </w:tcBorders>
          </w:tcPr>
          <w:p w14:paraId="00E40307" w14:textId="4AA515E3" w:rsidR="009B2DCB" w:rsidRPr="00AE5356" w:rsidRDefault="009B2DCB" w:rsidP="00AE5356">
            <w:pPr>
              <w:jc w:val="both"/>
              <w:rPr>
                <w:color w:val="000000"/>
              </w:rPr>
            </w:pPr>
            <w:r w:rsidRPr="00AE5356">
              <w:rPr>
                <w:color w:val="000000"/>
              </w:rPr>
              <w:t xml:space="preserve">Rindkopa papildināta: Svarīgi, lai kredītiestādes pievienojas zibmaksājumiem, zibsaitēm, un ātrāk ievieš zibprasījumus, kā arī </w:t>
            </w:r>
            <w:r w:rsidRPr="00AE5356">
              <w:rPr>
                <w:color w:val="000000"/>
              </w:rPr>
              <w:lastRenderedPageBreak/>
              <w:t>apliecina gatavību attīstīt uz šiem pakalpojumiem balstītus produktus uzņēmumiem. Latvijas Bankai, kredītiestādēm un valsts pārvaldes iestādēm būtu laicīgi un saskaņoti jāinformē uzņēmumi par jaunu risinājumu sniegtajām priekšrocībām un specifiku, kā arī jāveicina profesionālās diskusijas un sabiedrības izglītotība par šiem jautājumiem.</w:t>
            </w:r>
          </w:p>
        </w:tc>
      </w:tr>
      <w:tr w:rsidR="009B2DCB" w:rsidRPr="00AE5356" w14:paraId="435DC6E1" w14:textId="77777777" w:rsidTr="000E70CD">
        <w:tc>
          <w:tcPr>
            <w:tcW w:w="944" w:type="dxa"/>
            <w:tcBorders>
              <w:left w:val="single" w:sz="6" w:space="0" w:color="000000" w:themeColor="text1"/>
              <w:bottom w:val="single" w:sz="4" w:space="0" w:color="auto"/>
              <w:right w:val="single" w:sz="6" w:space="0" w:color="000000" w:themeColor="text1"/>
            </w:tcBorders>
          </w:tcPr>
          <w:p w14:paraId="3F202B1E"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5022E814" w14:textId="34C0151A" w:rsidR="009B2DCB" w:rsidRPr="00AE5356" w:rsidRDefault="009B2DCB" w:rsidP="00AE5356">
            <w:pPr>
              <w:pStyle w:val="naisc"/>
              <w:spacing w:before="0" w:after="0"/>
              <w:jc w:val="left"/>
            </w:pPr>
            <w:r w:rsidRPr="00AE5356">
              <w:t>42. lpp., “Fintech nozare paļaujas uz tradicionālajiem banku pakalpojumiem, jo visām fintech kompānijām ir nepieciešams konts bankā, tādējādi padarot tās būtiski atkarīgas no banku politikas.”</w:t>
            </w:r>
          </w:p>
        </w:tc>
        <w:tc>
          <w:tcPr>
            <w:tcW w:w="4819" w:type="dxa"/>
            <w:gridSpan w:val="2"/>
            <w:tcBorders>
              <w:left w:val="single" w:sz="6" w:space="0" w:color="000000" w:themeColor="text1"/>
              <w:bottom w:val="single" w:sz="4" w:space="0" w:color="auto"/>
              <w:right w:val="single" w:sz="6" w:space="0" w:color="000000" w:themeColor="text1"/>
            </w:tcBorders>
          </w:tcPr>
          <w:p w14:paraId="662E1A5C" w14:textId="2475CF24" w:rsidR="009B2DCB" w:rsidRPr="00AE5356" w:rsidRDefault="009B2DCB" w:rsidP="00AE5356">
            <w:pPr>
              <w:contextualSpacing/>
              <w:jc w:val="both"/>
            </w:pPr>
            <w:r w:rsidRPr="00DF40F2">
              <w:rPr>
                <w:rStyle w:val="CommentReference"/>
                <w:sz w:val="24"/>
              </w:rPr>
              <w:t>Lai to risinātu, būtu izvērtējama lielāka Latvijas Bankas loma, iespēju robežās dodot maksājumu iestādēm tiešu piekļuvi norēķiniem. Lūgums atbilstoši papildināt Plānu.</w:t>
            </w:r>
          </w:p>
        </w:tc>
        <w:tc>
          <w:tcPr>
            <w:tcW w:w="2835" w:type="dxa"/>
            <w:tcBorders>
              <w:left w:val="single" w:sz="6" w:space="0" w:color="000000" w:themeColor="text1"/>
              <w:bottom w:val="single" w:sz="4" w:space="0" w:color="auto"/>
              <w:right w:val="single" w:sz="6" w:space="0" w:color="000000" w:themeColor="text1"/>
            </w:tcBorders>
          </w:tcPr>
          <w:p w14:paraId="0B75819E" w14:textId="47B9F545" w:rsidR="009B2DCB" w:rsidRPr="00AE5356" w:rsidRDefault="00FB7284" w:rsidP="00AE5356">
            <w:pPr>
              <w:pStyle w:val="naisc"/>
              <w:spacing w:before="0" w:after="0"/>
              <w:jc w:val="left"/>
            </w:pPr>
            <w:r w:rsidRPr="00AE5356">
              <w:t xml:space="preserve">Ņemts vērā. </w:t>
            </w:r>
          </w:p>
          <w:p w14:paraId="7E2EE9C2" w14:textId="77777777" w:rsidR="009B2DCB" w:rsidRPr="00AE5356" w:rsidRDefault="009B2DCB" w:rsidP="00AE5356">
            <w:pPr>
              <w:pStyle w:val="naisc"/>
              <w:spacing w:before="0" w:after="0"/>
              <w:jc w:val="left"/>
            </w:pPr>
          </w:p>
          <w:p w14:paraId="11B6261F" w14:textId="494BD058" w:rsidR="009B2DCB" w:rsidRPr="00AE5356" w:rsidRDefault="009B2DCB" w:rsidP="00AE5356">
            <w:pPr>
              <w:pStyle w:val="naisc"/>
              <w:spacing w:before="0" w:after="0"/>
              <w:jc w:val="left"/>
            </w:pPr>
          </w:p>
        </w:tc>
        <w:tc>
          <w:tcPr>
            <w:tcW w:w="3544" w:type="dxa"/>
            <w:tcBorders>
              <w:top w:val="single" w:sz="4" w:space="0" w:color="auto"/>
              <w:left w:val="single" w:sz="4" w:space="0" w:color="auto"/>
              <w:bottom w:val="single" w:sz="4" w:space="0" w:color="auto"/>
            </w:tcBorders>
          </w:tcPr>
          <w:p w14:paraId="13E13FEB" w14:textId="5F5F9AB6" w:rsidR="009B2DCB" w:rsidRPr="00AE5356" w:rsidRDefault="00A63BAC" w:rsidP="00AE5356">
            <w:pPr>
              <w:jc w:val="both"/>
              <w:rPr>
                <w:color w:val="000000"/>
              </w:rPr>
            </w:pPr>
            <w:r w:rsidRPr="00AE5356">
              <w:t>Plānots risināt ar uzd</w:t>
            </w:r>
            <w:r>
              <w:t>evumu</w:t>
            </w:r>
            <w:r w:rsidRPr="00AE5356">
              <w:t xml:space="preserve"> 2.2.1.</w:t>
            </w:r>
          </w:p>
        </w:tc>
      </w:tr>
      <w:tr w:rsidR="009B2DCB" w:rsidRPr="00AE5356" w14:paraId="1E6FA426" w14:textId="77777777" w:rsidTr="000E70CD">
        <w:tc>
          <w:tcPr>
            <w:tcW w:w="944" w:type="dxa"/>
            <w:tcBorders>
              <w:left w:val="single" w:sz="6" w:space="0" w:color="000000" w:themeColor="text1"/>
              <w:bottom w:val="single" w:sz="4" w:space="0" w:color="auto"/>
              <w:right w:val="single" w:sz="6" w:space="0" w:color="000000" w:themeColor="text1"/>
            </w:tcBorders>
          </w:tcPr>
          <w:p w14:paraId="7FA37B87"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3DC6E96C" w14:textId="51C75724" w:rsidR="009B2DCB" w:rsidRPr="00AE5356" w:rsidRDefault="009B2DCB" w:rsidP="00AE5356">
            <w:pPr>
              <w:pStyle w:val="naisc"/>
              <w:spacing w:before="0" w:after="0"/>
              <w:jc w:val="left"/>
            </w:pPr>
            <w:r w:rsidRPr="00AE5356">
              <w:t xml:space="preserve">43. lpp., “Papildus, pie nozīmīgam barjerām fintech attīstībai Latvijā šobrīd var pieskaitīt: grūtības atvērt kontu bankā, neskatoties uz Maksājumu pakalpojumu un elektroniskās naudas </w:t>
            </w:r>
            <w:r w:rsidRPr="00AE5356">
              <w:lastRenderedPageBreak/>
              <w:t>likumā minēto iestāžu nediskriminācijas principu; ierobežojumus attālinātai klientu reģistrācijai un konta atvēršanai, nacionālās atbalsta programmas trūkums.”</w:t>
            </w:r>
          </w:p>
        </w:tc>
        <w:tc>
          <w:tcPr>
            <w:tcW w:w="4819" w:type="dxa"/>
            <w:gridSpan w:val="2"/>
            <w:tcBorders>
              <w:left w:val="single" w:sz="6" w:space="0" w:color="000000" w:themeColor="text1"/>
              <w:bottom w:val="single" w:sz="4" w:space="0" w:color="auto"/>
              <w:right w:val="single" w:sz="6" w:space="0" w:color="000000" w:themeColor="text1"/>
            </w:tcBorders>
          </w:tcPr>
          <w:p w14:paraId="569865B4" w14:textId="77777777" w:rsidR="009B2DCB" w:rsidRPr="00AE5356" w:rsidRDefault="009B2DCB" w:rsidP="00AE5356">
            <w:pPr>
              <w:pStyle w:val="CommentText"/>
              <w:jc w:val="both"/>
              <w:rPr>
                <w:sz w:val="24"/>
                <w:szCs w:val="24"/>
              </w:rPr>
            </w:pPr>
            <w:r w:rsidRPr="00DF40F2">
              <w:rPr>
                <w:sz w:val="24"/>
              </w:rPr>
              <w:lastRenderedPageBreak/>
              <w:t xml:space="preserve">Asociācija aicina minēto teikumu svītrot, ņemot vērā, ka, pirmkārt, tajā minētais apgalvojums par diskrimināciju nav pamatots ar faktiem. Ja šādi fakti, kas pamato apgalvojumu, ka fintech jomas uzņēmumi saskaras ar grūtībām atvērt kontus nepamatoti, neatbilstoši normatīvajam regulējumam, ir Finanšu ministrijas rīcībā, Asociācija lūdz par tiem informēt. Otrkārt, Asociācija norāda, ka minētie uzņēmumi, tāpat </w:t>
            </w:r>
            <w:r w:rsidRPr="00DF40F2">
              <w:rPr>
                <w:sz w:val="24"/>
              </w:rPr>
              <w:lastRenderedPageBreak/>
              <w:t>kā jebkuri citi, var atvērt kontu kredītiestādē, ja uzņēmums izpilda KYC/AML prasības atbilstoši likumiem un Finanšu un kapitāla tirgus komisijas normatīvajiem noteikumiem! Treškārt, norādām, ka attālināta klientu reģistrācija (identifikācija) un konta atvēršana šobrīd ir pieļaujama tajos gadījumos, kuros to atļauj normatīvais regulējums, kā arī, kuros Finanšu un kapitāla tirgus komisija ir saskaņojusi attiecīgās bankas procedūras. Proti, banka nevar brīvi izvēlēties kam un atbilstoši kādiem nosacījumiem pieļaujama attālināta klientu reģistrācija (identifikācija) un kontu atvēršana. Papildus aicinām arī šī teikuma kontekstā apsvērt iespēju kontus atvērt tieši Latvijas Bankā.</w:t>
            </w:r>
            <w:r w:rsidRPr="00AE5356">
              <w:rPr>
                <w:sz w:val="24"/>
                <w:szCs w:val="24"/>
              </w:rPr>
              <w:t xml:space="preserve"> </w:t>
            </w:r>
          </w:p>
          <w:p w14:paraId="2F828B20" w14:textId="77777777" w:rsidR="009B2DCB" w:rsidRPr="00AE5356" w:rsidRDefault="009B2DCB" w:rsidP="00AE5356">
            <w:pPr>
              <w:pStyle w:val="CommentText"/>
              <w:jc w:val="both"/>
              <w:rPr>
                <w:sz w:val="24"/>
                <w:szCs w:val="24"/>
              </w:rPr>
            </w:pPr>
          </w:p>
          <w:p w14:paraId="12F5A5FC" w14:textId="3E201135" w:rsidR="009B2DCB" w:rsidRPr="00AE5356" w:rsidRDefault="009B2DCB" w:rsidP="00AE5356">
            <w:pPr>
              <w:contextualSpacing/>
              <w:jc w:val="both"/>
            </w:pPr>
            <w:r w:rsidRPr="00AE5356">
              <w:t>Ievērojot minēto, šo teikumu aicinām svītrot, vienlaikus papildinot ar nepieciešamību veikt novērtējumu par iespējām šīm iestādēm atvērt kontu tieši Latvijas Bankā.</w:t>
            </w:r>
          </w:p>
        </w:tc>
        <w:tc>
          <w:tcPr>
            <w:tcW w:w="2835" w:type="dxa"/>
            <w:tcBorders>
              <w:left w:val="single" w:sz="6" w:space="0" w:color="000000" w:themeColor="text1"/>
              <w:bottom w:val="single" w:sz="4" w:space="0" w:color="auto"/>
              <w:right w:val="single" w:sz="6" w:space="0" w:color="000000" w:themeColor="text1"/>
            </w:tcBorders>
          </w:tcPr>
          <w:p w14:paraId="0A8806B5" w14:textId="71930E78" w:rsidR="009B2DCB" w:rsidRPr="00AE5356" w:rsidRDefault="00FB7284" w:rsidP="00AE5356">
            <w:pPr>
              <w:pStyle w:val="naisc"/>
              <w:spacing w:before="0" w:after="0"/>
              <w:jc w:val="left"/>
            </w:pPr>
            <w:r w:rsidRPr="00AE5356">
              <w:lastRenderedPageBreak/>
              <w:t>Ņ</w:t>
            </w:r>
            <w:r w:rsidR="009B2DCB" w:rsidRPr="00AE5356">
              <w:t>emts vērā.</w:t>
            </w:r>
          </w:p>
          <w:p w14:paraId="2AFFF0C2" w14:textId="77777777" w:rsidR="009B2DCB" w:rsidRPr="00AE5356" w:rsidRDefault="009B2DCB" w:rsidP="00AE5356">
            <w:pPr>
              <w:pStyle w:val="naisc"/>
              <w:spacing w:before="0" w:after="0"/>
              <w:jc w:val="left"/>
            </w:pPr>
          </w:p>
          <w:p w14:paraId="74ED6E8A" w14:textId="12ED6C6F" w:rsidR="009B2DCB" w:rsidRPr="00AE5356" w:rsidRDefault="009B2DCB" w:rsidP="00AE5356">
            <w:pPr>
              <w:pStyle w:val="naisc"/>
              <w:spacing w:before="0" w:after="0"/>
              <w:jc w:val="left"/>
            </w:pPr>
          </w:p>
        </w:tc>
        <w:tc>
          <w:tcPr>
            <w:tcW w:w="3544" w:type="dxa"/>
            <w:tcBorders>
              <w:top w:val="single" w:sz="4" w:space="0" w:color="auto"/>
              <w:left w:val="single" w:sz="4" w:space="0" w:color="auto"/>
              <w:bottom w:val="single" w:sz="4" w:space="0" w:color="auto"/>
            </w:tcBorders>
          </w:tcPr>
          <w:p w14:paraId="53B69499" w14:textId="26E9B43B" w:rsidR="009B2DCB" w:rsidRPr="00AE5356" w:rsidRDefault="000B4BD2" w:rsidP="00AE5356">
            <w:pPr>
              <w:jc w:val="both"/>
              <w:rPr>
                <w:color w:val="000000"/>
              </w:rPr>
            </w:pPr>
            <w:r>
              <w:rPr>
                <w:color w:val="000000"/>
              </w:rPr>
              <w:t xml:space="preserve">Izteikts šādā redakcijā: </w:t>
            </w:r>
            <w:r w:rsidR="00AB5678" w:rsidRPr="00AE5356">
              <w:rPr>
                <w:color w:val="000000"/>
              </w:rPr>
              <w:t xml:space="preserve">Pie </w:t>
            </w:r>
            <w:r w:rsidR="00FB7284" w:rsidRPr="00AE5356">
              <w:rPr>
                <w:color w:val="000000"/>
              </w:rPr>
              <w:t>barjerām fintech attīstībai Latvijā šobrīd var pieskaitīt: bankas konta nepieciešamība,</w:t>
            </w:r>
            <w:r w:rsidR="000252CD">
              <w:rPr>
                <w:color w:val="000000"/>
              </w:rPr>
              <w:t xml:space="preserve"> </w:t>
            </w:r>
            <w:r w:rsidR="000252CD" w:rsidRPr="000252CD">
              <w:rPr>
                <w:color w:val="000000"/>
              </w:rPr>
              <w:t>ierobežojumus attālinātai klientu reģistrācijai un konta atvēršanai, nacionālās atbalsta programmas trūkums.</w:t>
            </w:r>
          </w:p>
        </w:tc>
      </w:tr>
      <w:tr w:rsidR="009B2DCB" w:rsidRPr="00AE5356" w14:paraId="6DDB18C3" w14:textId="77777777" w:rsidTr="000E70CD">
        <w:tc>
          <w:tcPr>
            <w:tcW w:w="944" w:type="dxa"/>
            <w:tcBorders>
              <w:left w:val="single" w:sz="6" w:space="0" w:color="000000" w:themeColor="text1"/>
              <w:bottom w:val="single" w:sz="4" w:space="0" w:color="auto"/>
              <w:right w:val="single" w:sz="6" w:space="0" w:color="000000" w:themeColor="text1"/>
            </w:tcBorders>
          </w:tcPr>
          <w:p w14:paraId="3BF9153B"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5DB04097" w14:textId="76B95587" w:rsidR="009B2DCB" w:rsidRPr="00AE5356" w:rsidRDefault="009B2DCB" w:rsidP="00AE5356">
            <w:pPr>
              <w:pStyle w:val="naisc"/>
              <w:spacing w:before="0" w:after="0"/>
              <w:jc w:val="left"/>
            </w:pPr>
            <w:r w:rsidRPr="00AE5356">
              <w:t xml:space="preserve">50. lpp., 2.2.1.uzdevums “Veikt izvērtējumu un novērst šķēršļus un ierobežojumus, kas ierobežo maksājumu un elektroniskās naudas iestādēm iespēju atvērt norēķinu kontu Maksājumu pakalpojumu un elektroniskās naudas </w:t>
            </w:r>
            <w:r w:rsidRPr="00AE5356">
              <w:lastRenderedPageBreak/>
              <w:t>likuma 38.panta prasību izpildei.”</w:t>
            </w:r>
          </w:p>
        </w:tc>
        <w:tc>
          <w:tcPr>
            <w:tcW w:w="4819" w:type="dxa"/>
            <w:gridSpan w:val="2"/>
            <w:tcBorders>
              <w:left w:val="single" w:sz="6" w:space="0" w:color="000000" w:themeColor="text1"/>
              <w:bottom w:val="single" w:sz="4" w:space="0" w:color="auto"/>
              <w:right w:val="single" w:sz="6" w:space="0" w:color="000000" w:themeColor="text1"/>
            </w:tcBorders>
          </w:tcPr>
          <w:p w14:paraId="4DAAB79F" w14:textId="6F40FC23" w:rsidR="009B2DCB" w:rsidRPr="00DF40F2" w:rsidRDefault="009B2DCB" w:rsidP="00AE5356">
            <w:pPr>
              <w:contextualSpacing/>
              <w:jc w:val="both"/>
            </w:pPr>
            <w:r w:rsidRPr="00DF40F2">
              <w:lastRenderedPageBreak/>
              <w:t>Asociācija norāda, ka līdzīgi kā, izvērtējot bankām noteiktos šķēršļus, izpildot noziedzīgi iegūtu līdzekļu legalizācijas prasības un to novēršanas iespējas, arī maksājumu un elektroniskās naudas iestādēm šķēršļi ir atceļami, ja tie ir nepamatoti un nesamērīgi noteikti. Ievērojot minēto, Asociācija aicina papildināt teikumu aiz vārda “novērst” ar vārdu “nepamatotos”. Papildus aicinām papildināt ar nepieciešamību veikt novērtējumu par iespējām šīm iestādēm atvērt kontu tieši Latvijas Bankā.</w:t>
            </w:r>
          </w:p>
        </w:tc>
        <w:tc>
          <w:tcPr>
            <w:tcW w:w="2835" w:type="dxa"/>
            <w:tcBorders>
              <w:left w:val="single" w:sz="6" w:space="0" w:color="000000" w:themeColor="text1"/>
              <w:bottom w:val="single" w:sz="4" w:space="0" w:color="auto"/>
              <w:right w:val="single" w:sz="6" w:space="0" w:color="000000" w:themeColor="text1"/>
            </w:tcBorders>
          </w:tcPr>
          <w:p w14:paraId="295335A4" w14:textId="2D952386" w:rsidR="009B2DCB" w:rsidRPr="00AE5356" w:rsidRDefault="00EC47BE" w:rsidP="00EF4D7A">
            <w:pPr>
              <w:pStyle w:val="naisc"/>
              <w:spacing w:before="0" w:after="0"/>
              <w:jc w:val="left"/>
            </w:pPr>
            <w:r>
              <w:t>Ņ</w:t>
            </w:r>
            <w:r w:rsidR="00AE41AE" w:rsidRPr="00AE5356">
              <w:t>emts vērā.</w:t>
            </w:r>
          </w:p>
        </w:tc>
        <w:tc>
          <w:tcPr>
            <w:tcW w:w="3544" w:type="dxa"/>
            <w:tcBorders>
              <w:top w:val="single" w:sz="4" w:space="0" w:color="auto"/>
              <w:left w:val="single" w:sz="4" w:space="0" w:color="auto"/>
              <w:bottom w:val="single" w:sz="4" w:space="0" w:color="auto"/>
            </w:tcBorders>
          </w:tcPr>
          <w:p w14:paraId="783D971D" w14:textId="62425915" w:rsidR="009B2DCB" w:rsidRPr="00AE5356" w:rsidRDefault="00AE41AE" w:rsidP="00AE5356">
            <w:pPr>
              <w:jc w:val="both"/>
              <w:rPr>
                <w:color w:val="000000"/>
              </w:rPr>
            </w:pPr>
            <w:r w:rsidRPr="00AE5356">
              <w:t>Veidojot ietvaru fintech attīstībai, jāņem vērā konkrēta biznesa modeļa riski un jānodrošina atbilstoša uzraudzība.</w:t>
            </w:r>
          </w:p>
        </w:tc>
      </w:tr>
      <w:tr w:rsidR="009B2DCB" w:rsidRPr="00AE5356" w14:paraId="1C0090F5" w14:textId="77777777" w:rsidTr="000E70CD">
        <w:tc>
          <w:tcPr>
            <w:tcW w:w="944" w:type="dxa"/>
            <w:tcBorders>
              <w:left w:val="single" w:sz="6" w:space="0" w:color="000000" w:themeColor="text1"/>
              <w:bottom w:val="single" w:sz="4" w:space="0" w:color="auto"/>
              <w:right w:val="single" w:sz="6" w:space="0" w:color="000000" w:themeColor="text1"/>
            </w:tcBorders>
          </w:tcPr>
          <w:p w14:paraId="678581F3"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EE2E1E1" w14:textId="3B482A5C" w:rsidR="009B2DCB" w:rsidRPr="00AE5356" w:rsidRDefault="009B2DCB" w:rsidP="00AE5356">
            <w:pPr>
              <w:jc w:val="both"/>
            </w:pPr>
            <w:r w:rsidRPr="00AE5356">
              <w:t>50. lpp., 2.2.5.uzdevums “</w:t>
            </w:r>
            <w:r w:rsidRPr="00AE5356">
              <w:rPr>
                <w:u w:val="single"/>
              </w:rPr>
              <w:t>Veicināt</w:t>
            </w:r>
            <w:r w:rsidRPr="00AE5356">
              <w:t xml:space="preserve"> nacionālās e-rēķinu un e-čeku infrastruktūras attīstību un tās salāgošanu ar maksājumu risinājumiem, t.sk. zibprasījumiem.”</w:t>
            </w:r>
          </w:p>
          <w:p w14:paraId="07D7483C" w14:textId="61007431" w:rsidR="009B2DCB" w:rsidRPr="00AE5356" w:rsidRDefault="009B2DCB" w:rsidP="00AE5356">
            <w:pPr>
              <w:pStyle w:val="naisc"/>
              <w:spacing w:before="0" w:after="0"/>
            </w:pPr>
            <w:r w:rsidRPr="00AE5356">
              <w:t>Termiņš – 31.12.2023</w:t>
            </w:r>
          </w:p>
        </w:tc>
        <w:tc>
          <w:tcPr>
            <w:tcW w:w="4819" w:type="dxa"/>
            <w:gridSpan w:val="2"/>
            <w:tcBorders>
              <w:left w:val="single" w:sz="6" w:space="0" w:color="000000" w:themeColor="text1"/>
              <w:bottom w:val="single" w:sz="4" w:space="0" w:color="auto"/>
              <w:right w:val="single" w:sz="6" w:space="0" w:color="000000" w:themeColor="text1"/>
            </w:tcBorders>
          </w:tcPr>
          <w:p w14:paraId="68FACA0F" w14:textId="2B15BB69" w:rsidR="009B2DCB" w:rsidRPr="000D533E" w:rsidRDefault="009B2DCB" w:rsidP="00AE5356">
            <w:pPr>
              <w:contextualSpacing/>
              <w:jc w:val="both"/>
            </w:pPr>
            <w:r w:rsidRPr="00242229">
              <w:t xml:space="preserve">Lūgums skaidrot, kāpēc šim uzdevumam ir noteikts tik nesamērīgi garš termiņš? Aicinām pārformulēt mērķi, uzdodot </w:t>
            </w:r>
            <w:r w:rsidRPr="00242229">
              <w:rPr>
                <w:u w:val="single"/>
              </w:rPr>
              <w:t>izstrādāt</w:t>
            </w:r>
            <w:r w:rsidRPr="00242229">
              <w:t xml:space="preserve"> nacionālo e-rēķinu un e-čeku infrastruktūru un nodrošināt tās salāgošanu ar maksājumu risinājumiem, t.sk. zibprasījumiem.</w:t>
            </w:r>
          </w:p>
        </w:tc>
        <w:tc>
          <w:tcPr>
            <w:tcW w:w="2835" w:type="dxa"/>
            <w:tcBorders>
              <w:left w:val="single" w:sz="6" w:space="0" w:color="000000" w:themeColor="text1"/>
              <w:bottom w:val="single" w:sz="4" w:space="0" w:color="auto"/>
              <w:right w:val="single" w:sz="6" w:space="0" w:color="000000" w:themeColor="text1"/>
            </w:tcBorders>
          </w:tcPr>
          <w:p w14:paraId="78269E5A" w14:textId="22C94F78" w:rsidR="009B2DCB" w:rsidRPr="00AE5356" w:rsidRDefault="00B631A2" w:rsidP="00AE5356">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7C95DB07" w14:textId="31ECB1C4" w:rsidR="009B2DCB" w:rsidRPr="00AE5356" w:rsidRDefault="00B631A2" w:rsidP="00AE5356">
            <w:pPr>
              <w:jc w:val="both"/>
              <w:rPr>
                <w:color w:val="000000"/>
              </w:rPr>
            </w:pPr>
            <w:r>
              <w:rPr>
                <w:color w:val="000000"/>
              </w:rPr>
              <w:t>Skaidrojam, ka uzdevumam noteikts termiņš, ņemot vērā ES fondu projekta īstenošanas laiku</w:t>
            </w:r>
            <w:r w:rsidR="00396752">
              <w:rPr>
                <w:color w:val="000000"/>
              </w:rPr>
              <w:t>, VID ieviešot sistēmu infrastruktūras iz</w:t>
            </w:r>
            <w:r w:rsidR="009300FB">
              <w:rPr>
                <w:color w:val="000000"/>
              </w:rPr>
              <w:t>v</w:t>
            </w:r>
            <w:r w:rsidR="00396752">
              <w:rPr>
                <w:color w:val="000000"/>
              </w:rPr>
              <w:t>eidei.</w:t>
            </w:r>
          </w:p>
        </w:tc>
      </w:tr>
      <w:tr w:rsidR="009B2DCB" w:rsidRPr="00AE5356" w14:paraId="11629A91" w14:textId="77777777" w:rsidTr="000E70CD">
        <w:tc>
          <w:tcPr>
            <w:tcW w:w="944" w:type="dxa"/>
            <w:tcBorders>
              <w:left w:val="single" w:sz="6" w:space="0" w:color="000000" w:themeColor="text1"/>
              <w:bottom w:val="single" w:sz="4" w:space="0" w:color="auto"/>
              <w:right w:val="single" w:sz="6" w:space="0" w:color="000000" w:themeColor="text1"/>
            </w:tcBorders>
          </w:tcPr>
          <w:p w14:paraId="5CC5D2C1"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2C332875" w14:textId="267172E3" w:rsidR="009B2DCB" w:rsidRPr="00AE5356" w:rsidRDefault="009B2DCB" w:rsidP="00AE5356">
            <w:pPr>
              <w:pStyle w:val="naisc"/>
              <w:spacing w:before="0" w:after="0"/>
              <w:jc w:val="left"/>
            </w:pPr>
            <w:r w:rsidRPr="00AE5356">
              <w:t>50. lpp., 2.3.1.uzdevums “Veicināt iedzīvotāju izpratni digitālo drošību (informētību par kibernoziegumiem, krāpniecību), mazināt uzņēmību pret krāpšanu (it īpaši interneta vidē), iesaistot valsts tiesībaizsardzības iestādes.”</w:t>
            </w:r>
          </w:p>
        </w:tc>
        <w:tc>
          <w:tcPr>
            <w:tcW w:w="4819" w:type="dxa"/>
            <w:gridSpan w:val="2"/>
            <w:tcBorders>
              <w:left w:val="single" w:sz="6" w:space="0" w:color="000000" w:themeColor="text1"/>
              <w:bottom w:val="single" w:sz="4" w:space="0" w:color="auto"/>
              <w:right w:val="single" w:sz="6" w:space="0" w:color="000000" w:themeColor="text1"/>
            </w:tcBorders>
          </w:tcPr>
          <w:p w14:paraId="41A3CB06" w14:textId="7BC365CF" w:rsidR="009B2DCB" w:rsidRPr="00AE5356" w:rsidRDefault="009B2DCB" w:rsidP="00AE5356">
            <w:pPr>
              <w:contextualSpacing/>
              <w:jc w:val="both"/>
            </w:pPr>
            <w:r w:rsidRPr="00AE5356">
              <w:t>Aicinām pārformulēt punktu, paredzot konkrētāku uzdevumu ar skaidri definētiem rezultatīvajiem rādītājiem, paredzot valsts plašsaziņas līdzekļu iesaisti - TV, radio utt.</w:t>
            </w:r>
          </w:p>
        </w:tc>
        <w:tc>
          <w:tcPr>
            <w:tcW w:w="2835" w:type="dxa"/>
            <w:tcBorders>
              <w:left w:val="single" w:sz="6" w:space="0" w:color="000000" w:themeColor="text1"/>
              <w:bottom w:val="single" w:sz="4" w:space="0" w:color="auto"/>
              <w:right w:val="single" w:sz="6" w:space="0" w:color="000000" w:themeColor="text1"/>
            </w:tcBorders>
          </w:tcPr>
          <w:p w14:paraId="43B079B3" w14:textId="4D7E4954" w:rsidR="009B2DCB" w:rsidRPr="00AE5356" w:rsidRDefault="00DD727F" w:rsidP="00DD727F">
            <w:pPr>
              <w:pStyle w:val="naisc"/>
              <w:spacing w:before="0" w:after="0"/>
              <w:jc w:val="left"/>
            </w:pPr>
            <w:r>
              <w:t>Daļēji ņ</w:t>
            </w:r>
            <w:r w:rsidR="009B2DCB" w:rsidRPr="00AE5356">
              <w:t>emts vērā</w:t>
            </w:r>
            <w:r w:rsidR="00D6218B" w:rsidRPr="00AE5356">
              <w:t xml:space="preserve">. </w:t>
            </w:r>
          </w:p>
        </w:tc>
        <w:tc>
          <w:tcPr>
            <w:tcW w:w="3544" w:type="dxa"/>
            <w:tcBorders>
              <w:top w:val="single" w:sz="4" w:space="0" w:color="auto"/>
              <w:left w:val="single" w:sz="4" w:space="0" w:color="auto"/>
              <w:bottom w:val="single" w:sz="4" w:space="0" w:color="auto"/>
            </w:tcBorders>
          </w:tcPr>
          <w:p w14:paraId="64399DAB" w14:textId="66B34829" w:rsidR="009B2DCB" w:rsidRPr="00AE5356" w:rsidRDefault="00DD727F" w:rsidP="00AE5356">
            <w:pPr>
              <w:jc w:val="both"/>
              <w:rPr>
                <w:color w:val="000000"/>
              </w:rPr>
            </w:pPr>
            <w:r w:rsidRPr="00AE5356">
              <w:t xml:space="preserve">Plānots, ka </w:t>
            </w:r>
            <w:r>
              <w:t xml:space="preserve">jautājums </w:t>
            </w:r>
            <w:r w:rsidRPr="00AE5356">
              <w:t>tiks risināts ar Finanšu pratības stratēģiju.</w:t>
            </w:r>
          </w:p>
        </w:tc>
      </w:tr>
      <w:tr w:rsidR="009B2DCB" w:rsidRPr="00AE5356" w14:paraId="5B768CD0" w14:textId="77777777" w:rsidTr="000E70CD">
        <w:tc>
          <w:tcPr>
            <w:tcW w:w="944" w:type="dxa"/>
            <w:tcBorders>
              <w:left w:val="single" w:sz="6" w:space="0" w:color="000000" w:themeColor="text1"/>
              <w:bottom w:val="single" w:sz="4" w:space="0" w:color="auto"/>
              <w:right w:val="single" w:sz="6" w:space="0" w:color="000000" w:themeColor="text1"/>
            </w:tcBorders>
          </w:tcPr>
          <w:p w14:paraId="0ED0604E"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6B0B4994"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2B12AA47" w14:textId="1225BF05" w:rsidR="009B2DCB" w:rsidRPr="00AE5356" w:rsidRDefault="009B2DCB" w:rsidP="00AE5356">
            <w:pPr>
              <w:ind w:left="360"/>
              <w:contextualSpacing/>
              <w:jc w:val="both"/>
            </w:pPr>
            <w:r w:rsidRPr="00AE5356">
              <w:rPr>
                <w:rStyle w:val="CommentReference"/>
                <w:b/>
                <w:bCs/>
                <w:sz w:val="24"/>
                <w:szCs w:val="24"/>
              </w:rPr>
              <w:t>Ilgtspējīgas finanses</w:t>
            </w:r>
          </w:p>
        </w:tc>
        <w:tc>
          <w:tcPr>
            <w:tcW w:w="2835" w:type="dxa"/>
            <w:tcBorders>
              <w:left w:val="single" w:sz="6" w:space="0" w:color="000000" w:themeColor="text1"/>
              <w:bottom w:val="single" w:sz="4" w:space="0" w:color="auto"/>
              <w:right w:val="single" w:sz="6" w:space="0" w:color="000000" w:themeColor="text1"/>
            </w:tcBorders>
          </w:tcPr>
          <w:p w14:paraId="061B34D9" w14:textId="77777777" w:rsidR="009B2DCB" w:rsidRPr="00AE5356" w:rsidRDefault="009B2DCB" w:rsidP="00AE5356">
            <w:pPr>
              <w:pStyle w:val="naisc"/>
              <w:spacing w:before="0" w:after="0"/>
            </w:pPr>
          </w:p>
        </w:tc>
        <w:tc>
          <w:tcPr>
            <w:tcW w:w="3544" w:type="dxa"/>
            <w:tcBorders>
              <w:top w:val="single" w:sz="4" w:space="0" w:color="auto"/>
              <w:left w:val="single" w:sz="4" w:space="0" w:color="auto"/>
              <w:bottom w:val="single" w:sz="4" w:space="0" w:color="auto"/>
            </w:tcBorders>
          </w:tcPr>
          <w:p w14:paraId="5CC70E25" w14:textId="77777777" w:rsidR="009B2DCB" w:rsidRPr="00AE5356" w:rsidRDefault="009B2DCB" w:rsidP="00AE5356">
            <w:pPr>
              <w:jc w:val="both"/>
              <w:rPr>
                <w:color w:val="000000"/>
              </w:rPr>
            </w:pPr>
          </w:p>
        </w:tc>
      </w:tr>
      <w:tr w:rsidR="009B2DCB" w:rsidRPr="00AE5356" w14:paraId="4F3B869F" w14:textId="77777777" w:rsidTr="000E70CD">
        <w:tc>
          <w:tcPr>
            <w:tcW w:w="944" w:type="dxa"/>
            <w:tcBorders>
              <w:left w:val="single" w:sz="6" w:space="0" w:color="000000" w:themeColor="text1"/>
              <w:bottom w:val="single" w:sz="4" w:space="0" w:color="auto"/>
              <w:right w:val="single" w:sz="6" w:space="0" w:color="000000" w:themeColor="text1"/>
            </w:tcBorders>
          </w:tcPr>
          <w:p w14:paraId="6E04EC90"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4DF44AD2" w14:textId="777A6B35" w:rsidR="009B2DCB" w:rsidRPr="00AE5356" w:rsidRDefault="009B2DCB" w:rsidP="00AE5356">
            <w:pPr>
              <w:pStyle w:val="naisc"/>
              <w:spacing w:before="0" w:after="0"/>
              <w:jc w:val="left"/>
            </w:pPr>
            <w:r w:rsidRPr="00AE5356">
              <w:t>53. lpp., 5.1.sadaļa “ES iniciatīvas par klimata pārmaiņām un ilgtspējīgām finansēm”</w:t>
            </w:r>
          </w:p>
        </w:tc>
        <w:tc>
          <w:tcPr>
            <w:tcW w:w="4819" w:type="dxa"/>
            <w:gridSpan w:val="2"/>
            <w:tcBorders>
              <w:left w:val="single" w:sz="6" w:space="0" w:color="000000" w:themeColor="text1"/>
              <w:bottom w:val="single" w:sz="4" w:space="0" w:color="auto"/>
              <w:right w:val="single" w:sz="6" w:space="0" w:color="000000" w:themeColor="text1"/>
            </w:tcBorders>
          </w:tcPr>
          <w:p w14:paraId="2FE73388" w14:textId="4D1DF05E" w:rsidR="009B2DCB" w:rsidRPr="00AE5356" w:rsidRDefault="009B2DCB" w:rsidP="00AE5356">
            <w:pPr>
              <w:contextualSpacing/>
              <w:jc w:val="both"/>
            </w:pPr>
            <w:r w:rsidRPr="00AE5356">
              <w:t xml:space="preserve">Ar ilgtspēju saprotam ne tikai labu pārvaldību, bet arī ilgtspējas kritēriju kopumu, attiecīgi nepieciešams izvērtējums par šo nozaru transformāciju un šīs transformācijas ietekmi uz tautsaimniecību (respektīvi, novērojams, ka valsts fondu (finansējuma) sadalē būtiski pietrūkst kopējās izpratnes, ko plānotās un atbalstītās pārmaiņas nozīmēs nozarēm, ražošanas ķēdēm, un cik svarīga ir dažādo </w:t>
            </w:r>
            <w:r w:rsidRPr="00AE5356">
              <w:lastRenderedPageBreak/>
              <w:t xml:space="preserve">nacionālo stratēģiju integritāte, saskaņotība tieši konkrētu pasākumu līmenī. Piemēram, kontekstā ar pārmaiņām un ar tām saistītajiem riskiem, it īpaši jau nodibināto saistību pienācīgas izpildes riskiem – vai Pārresoru koordinācijas centrs plāno veikt atbilstošu analīzi (SWOT vai Stress test) par klimata pārmaiņu scenārijiem konkrētās nozarēs? </w:t>
            </w:r>
          </w:p>
        </w:tc>
        <w:tc>
          <w:tcPr>
            <w:tcW w:w="2835" w:type="dxa"/>
            <w:tcBorders>
              <w:left w:val="single" w:sz="6" w:space="0" w:color="000000" w:themeColor="text1"/>
              <w:bottom w:val="single" w:sz="4" w:space="0" w:color="auto"/>
              <w:right w:val="single" w:sz="6" w:space="0" w:color="000000" w:themeColor="text1"/>
            </w:tcBorders>
          </w:tcPr>
          <w:p w14:paraId="53B0A8B2" w14:textId="0FAB7C4D" w:rsidR="009B2DCB" w:rsidRPr="00AE5356" w:rsidRDefault="00C5433A" w:rsidP="00AE5356">
            <w:pPr>
              <w:pStyle w:val="naisc"/>
              <w:spacing w:before="0" w:after="0"/>
              <w:jc w:val="left"/>
            </w:pPr>
            <w:r>
              <w:lastRenderedPageBreak/>
              <w:t>Ņemts vērā</w:t>
            </w:r>
          </w:p>
        </w:tc>
        <w:tc>
          <w:tcPr>
            <w:tcW w:w="3544" w:type="dxa"/>
            <w:tcBorders>
              <w:top w:val="single" w:sz="4" w:space="0" w:color="auto"/>
              <w:left w:val="single" w:sz="4" w:space="0" w:color="auto"/>
              <w:bottom w:val="single" w:sz="4" w:space="0" w:color="auto"/>
            </w:tcBorders>
          </w:tcPr>
          <w:p w14:paraId="3B4488A9" w14:textId="77777777" w:rsidR="009B2DCB" w:rsidRPr="00AE5356" w:rsidRDefault="00C5433A" w:rsidP="00AE5356">
            <w:pPr>
              <w:jc w:val="both"/>
              <w:rPr>
                <w:color w:val="000000"/>
              </w:rPr>
            </w:pPr>
            <w:r>
              <w:rPr>
                <w:color w:val="000000"/>
              </w:rPr>
              <w:t>FSAP teksts papildināts ar norādi, kas tiek saprasts ar ilgtspējīgām finansēm. Papildus, ja tiks apstiprināts SRSS projekts par ilgtspējīgām finansēm, tad atbilstoši šim projektam FSAP pārskatīšanā tiks veikti papildinājumi ar jauniem uzdevumiem.</w:t>
            </w:r>
          </w:p>
        </w:tc>
      </w:tr>
      <w:tr w:rsidR="009B2DCB" w:rsidRPr="00AE5356" w14:paraId="6942FCFC" w14:textId="77777777" w:rsidTr="000E70CD">
        <w:tc>
          <w:tcPr>
            <w:tcW w:w="944" w:type="dxa"/>
            <w:tcBorders>
              <w:left w:val="single" w:sz="6" w:space="0" w:color="000000" w:themeColor="text1"/>
              <w:bottom w:val="single" w:sz="4" w:space="0" w:color="auto"/>
              <w:right w:val="single" w:sz="6" w:space="0" w:color="000000" w:themeColor="text1"/>
            </w:tcBorders>
          </w:tcPr>
          <w:p w14:paraId="39A869B0"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CEB5C4F" w14:textId="0D94BF9A" w:rsidR="009B2DCB" w:rsidRPr="00AE5356" w:rsidRDefault="009B2DCB" w:rsidP="00AE5356">
            <w:pPr>
              <w:pStyle w:val="naisc"/>
              <w:spacing w:before="0" w:after="0"/>
              <w:jc w:val="left"/>
            </w:pPr>
            <w:r w:rsidRPr="00AE5356">
              <w:t>Vispārīgs komentārs</w:t>
            </w:r>
          </w:p>
        </w:tc>
        <w:tc>
          <w:tcPr>
            <w:tcW w:w="4819" w:type="dxa"/>
            <w:gridSpan w:val="2"/>
            <w:tcBorders>
              <w:left w:val="single" w:sz="6" w:space="0" w:color="000000" w:themeColor="text1"/>
              <w:bottom w:val="single" w:sz="4" w:space="0" w:color="auto"/>
              <w:right w:val="single" w:sz="6" w:space="0" w:color="000000" w:themeColor="text1"/>
            </w:tcBorders>
          </w:tcPr>
          <w:p w14:paraId="3C40EE3C" w14:textId="109B1FEA" w:rsidR="009B2DCB" w:rsidRPr="00AE5356" w:rsidRDefault="009B2DCB" w:rsidP="00AE5356">
            <w:pPr>
              <w:contextualSpacing/>
              <w:jc w:val="both"/>
            </w:pPr>
            <w:r w:rsidRPr="00AE5356">
              <w:t xml:space="preserve">Taksonomija ar klasifikāciju videi draudzīgām darbībām ietekmēs ekonomiku, arī valsts pārvaldi kā politikas plānotāju, ieviesēju, uzraugu, ārkārtīgi svarīga būs kvalitatīvu, uzticamu </w:t>
            </w:r>
            <w:r w:rsidRPr="00AE5356">
              <w:rPr>
                <w:b/>
              </w:rPr>
              <w:t>datu pieejamība un analīze</w:t>
            </w:r>
            <w:r w:rsidRPr="00AE5356">
              <w:t>. Svarīgi, ka publiskais sektors uzsāk to vākšanu, apkopošanu, analīzi un nodrošina to pieejamību arī privātajam sektoram. Lūdzam atbilstoši precizēt Plānu.</w:t>
            </w:r>
          </w:p>
        </w:tc>
        <w:tc>
          <w:tcPr>
            <w:tcW w:w="2835" w:type="dxa"/>
            <w:tcBorders>
              <w:left w:val="single" w:sz="6" w:space="0" w:color="000000" w:themeColor="text1"/>
              <w:bottom w:val="single" w:sz="4" w:space="0" w:color="auto"/>
              <w:right w:val="single" w:sz="6" w:space="0" w:color="000000" w:themeColor="text1"/>
            </w:tcBorders>
          </w:tcPr>
          <w:p w14:paraId="3CE8FDC8" w14:textId="46632651" w:rsidR="009B2DCB" w:rsidRPr="00AE5356" w:rsidRDefault="00C5433A" w:rsidP="00AE5356">
            <w:pPr>
              <w:pStyle w:val="naisc"/>
              <w:spacing w:before="0" w:after="0"/>
              <w:jc w:val="left"/>
            </w:pPr>
            <w:r>
              <w:t xml:space="preserve">Ņemts vērā </w:t>
            </w:r>
          </w:p>
          <w:p w14:paraId="0B419C18" w14:textId="77777777" w:rsidR="009B2DCB" w:rsidRPr="00AE5356" w:rsidRDefault="009B2DCB" w:rsidP="00AE5356">
            <w:pPr>
              <w:pStyle w:val="naisc"/>
              <w:spacing w:before="0" w:after="0"/>
              <w:jc w:val="left"/>
            </w:pPr>
          </w:p>
          <w:p w14:paraId="22003BBB" w14:textId="43D2DBA8" w:rsidR="009B2DCB" w:rsidRPr="00AE5356" w:rsidRDefault="009B2DCB" w:rsidP="00AE5356">
            <w:pPr>
              <w:pStyle w:val="naisc"/>
              <w:spacing w:before="0" w:after="0"/>
              <w:jc w:val="left"/>
            </w:pPr>
          </w:p>
        </w:tc>
        <w:tc>
          <w:tcPr>
            <w:tcW w:w="3544" w:type="dxa"/>
            <w:tcBorders>
              <w:top w:val="single" w:sz="4" w:space="0" w:color="auto"/>
              <w:left w:val="single" w:sz="4" w:space="0" w:color="auto"/>
              <w:bottom w:val="single" w:sz="4" w:space="0" w:color="auto"/>
            </w:tcBorders>
          </w:tcPr>
          <w:p w14:paraId="7E0036CB" w14:textId="77777777" w:rsidR="009B2DCB" w:rsidRPr="00AE5356" w:rsidRDefault="00C5433A" w:rsidP="00AE5356">
            <w:pPr>
              <w:jc w:val="both"/>
              <w:rPr>
                <w:color w:val="000000"/>
              </w:rPr>
            </w:pPr>
            <w:r>
              <w:rPr>
                <w:color w:val="000000"/>
              </w:rPr>
              <w:t>Skatīt 3.2.1. uzdevumu.</w:t>
            </w:r>
          </w:p>
        </w:tc>
      </w:tr>
      <w:tr w:rsidR="009B2DCB" w:rsidRPr="00AE5356" w14:paraId="1E7A1C12" w14:textId="77777777" w:rsidTr="000E70CD">
        <w:tc>
          <w:tcPr>
            <w:tcW w:w="944" w:type="dxa"/>
            <w:tcBorders>
              <w:left w:val="single" w:sz="6" w:space="0" w:color="000000" w:themeColor="text1"/>
              <w:bottom w:val="single" w:sz="4" w:space="0" w:color="auto"/>
              <w:right w:val="single" w:sz="6" w:space="0" w:color="000000" w:themeColor="text1"/>
            </w:tcBorders>
          </w:tcPr>
          <w:p w14:paraId="49F03779"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1F8CF453" w14:textId="76739ABE" w:rsidR="009B2DCB" w:rsidRPr="00AE5356" w:rsidRDefault="009B2DCB" w:rsidP="00AE5356">
            <w:pPr>
              <w:pStyle w:val="naisc"/>
              <w:spacing w:before="0" w:after="0"/>
              <w:jc w:val="left"/>
            </w:pPr>
            <w:r w:rsidRPr="00AE5356">
              <w:t>56. lpp., “Kopumā Nasdaq korporatīvo parāda vērtspapīru sarakstā šobrīd ir trīs uzņēmumu obligācijas, papildus šo divu uzņēmumu obligācijām sarakstā ir iekļautas arī Lietuvas uzņēmuma AUGA group, AB emitētās obligācijas.”</w:t>
            </w:r>
          </w:p>
        </w:tc>
        <w:tc>
          <w:tcPr>
            <w:tcW w:w="4819" w:type="dxa"/>
            <w:gridSpan w:val="2"/>
            <w:tcBorders>
              <w:left w:val="single" w:sz="6" w:space="0" w:color="000000" w:themeColor="text1"/>
              <w:bottom w:val="single" w:sz="4" w:space="0" w:color="auto"/>
              <w:right w:val="single" w:sz="6" w:space="0" w:color="000000" w:themeColor="text1"/>
            </w:tcBorders>
          </w:tcPr>
          <w:p w14:paraId="2A241EB7" w14:textId="77777777" w:rsidR="009B2DCB" w:rsidRPr="00AE5356" w:rsidRDefault="009B2DCB" w:rsidP="00AE5356">
            <w:pPr>
              <w:pStyle w:val="CommentText"/>
              <w:jc w:val="both"/>
              <w:rPr>
                <w:sz w:val="24"/>
                <w:szCs w:val="24"/>
              </w:rPr>
            </w:pPr>
            <w:r w:rsidRPr="00AE5356">
              <w:rPr>
                <w:sz w:val="24"/>
                <w:szCs w:val="24"/>
              </w:rPr>
              <w:t>Aicinām papildināt ar Ignitis Group: https://ignitisgrupe.lt/en/bonds</w:t>
            </w:r>
          </w:p>
          <w:p w14:paraId="7D85E60C" w14:textId="77777777" w:rsidR="009B2DCB" w:rsidRPr="00AE5356" w:rsidRDefault="009B2DCB" w:rsidP="00AE5356">
            <w:pPr>
              <w:ind w:left="360"/>
              <w:contextualSpacing/>
              <w:jc w:val="both"/>
            </w:pPr>
          </w:p>
        </w:tc>
        <w:tc>
          <w:tcPr>
            <w:tcW w:w="2835" w:type="dxa"/>
            <w:tcBorders>
              <w:left w:val="single" w:sz="6" w:space="0" w:color="000000" w:themeColor="text1"/>
              <w:bottom w:val="single" w:sz="4" w:space="0" w:color="auto"/>
              <w:right w:val="single" w:sz="6" w:space="0" w:color="000000" w:themeColor="text1"/>
            </w:tcBorders>
          </w:tcPr>
          <w:p w14:paraId="14D748A8" w14:textId="66DADA39" w:rsidR="009B2DCB" w:rsidRPr="00AE5356" w:rsidRDefault="00C5433A" w:rsidP="00AE5356">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220B16E5" w14:textId="77777777" w:rsidR="009B2DCB" w:rsidRPr="00AE5356" w:rsidRDefault="00C5433A" w:rsidP="00AE5356">
            <w:pPr>
              <w:jc w:val="both"/>
              <w:rPr>
                <w:color w:val="000000"/>
              </w:rPr>
            </w:pPr>
            <w:r>
              <w:rPr>
                <w:color w:val="000000"/>
              </w:rPr>
              <w:t>Teksts papildināts ar Ignitis Group.</w:t>
            </w:r>
          </w:p>
        </w:tc>
      </w:tr>
      <w:tr w:rsidR="009B2DCB" w:rsidRPr="00AE5356" w14:paraId="6B39AF4E" w14:textId="77777777" w:rsidTr="000E70CD">
        <w:tc>
          <w:tcPr>
            <w:tcW w:w="944" w:type="dxa"/>
            <w:tcBorders>
              <w:left w:val="single" w:sz="6" w:space="0" w:color="000000" w:themeColor="text1"/>
              <w:bottom w:val="single" w:sz="4" w:space="0" w:color="auto"/>
              <w:right w:val="single" w:sz="6" w:space="0" w:color="000000" w:themeColor="text1"/>
            </w:tcBorders>
          </w:tcPr>
          <w:p w14:paraId="4D939FF3"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336C1D12" w14:textId="330C3945" w:rsidR="009B2DCB" w:rsidRPr="00AE5356" w:rsidRDefault="009B2DCB" w:rsidP="00AE5356">
            <w:pPr>
              <w:pStyle w:val="naisc"/>
              <w:spacing w:before="0" w:after="0"/>
              <w:jc w:val="left"/>
            </w:pPr>
            <w:r w:rsidRPr="00AE5356">
              <w:t xml:space="preserve">56. lpp., “Klimata riski nav būtiski sistēmiskie riski Latvijas finanšu sektoram, ņemot vērā </w:t>
            </w:r>
            <w:r w:rsidRPr="00AE5356">
              <w:lastRenderedPageBreak/>
              <w:t>Latvijas tautsaimniecības oglekļa ietilpību un kredītiestāžu kredītportfeļa struktūru. Tomēr vienlaikus jānorāda, ka nepieciešama šā jautājuma tālāka izpēte un uzraudzību.  ”</w:t>
            </w:r>
          </w:p>
        </w:tc>
        <w:tc>
          <w:tcPr>
            <w:tcW w:w="4819" w:type="dxa"/>
            <w:gridSpan w:val="2"/>
            <w:tcBorders>
              <w:left w:val="single" w:sz="6" w:space="0" w:color="000000" w:themeColor="text1"/>
              <w:bottom w:val="single" w:sz="4" w:space="0" w:color="auto"/>
              <w:right w:val="single" w:sz="6" w:space="0" w:color="000000" w:themeColor="text1"/>
            </w:tcBorders>
          </w:tcPr>
          <w:p w14:paraId="55A415AD" w14:textId="46BB09A1" w:rsidR="009B2DCB" w:rsidRPr="00AE5356" w:rsidRDefault="009B2DCB" w:rsidP="00AE5356">
            <w:pPr>
              <w:contextualSpacing/>
              <w:jc w:val="both"/>
            </w:pPr>
            <w:r w:rsidRPr="00AE5356">
              <w:rPr>
                <w:rStyle w:val="CommentReference"/>
                <w:sz w:val="24"/>
                <w:szCs w:val="24"/>
              </w:rPr>
              <w:lastRenderedPageBreak/>
              <w:t xml:space="preserve">Fiziskie riski nav relatīvi augsti, tomēr klimata pārejas riski ietekmē arī finanšu iestādes, jo šie pārejas riski nozīmē jaunu likumu pieņemšanu, tehnoloģiju maiņu, pieprasījuma izmaiņu un, </w:t>
            </w:r>
            <w:r w:rsidRPr="00AE5356">
              <w:rPr>
                <w:rStyle w:val="CommentReference"/>
                <w:sz w:val="24"/>
                <w:szCs w:val="24"/>
              </w:rPr>
              <w:lastRenderedPageBreak/>
              <w:t xml:space="preserve">protams, risku pārvaldība bankas pusē ietver arī reputācijas risku saistībā ar klimata pārmaiņu risku vadību. Vidējais Latvijas uzņēmums nav tik zinošs tehnoloģiju jomā, lai būtu pilnībā gatavs pārmaiņām, kas saistītas ar Zaļā kursa ieviešanu, īpaša uzmanība jāpievērš transporta, nekustamā īpašuma, rūpniecības sektoram. Tāpat arī bankām ir jābūt gatavām izmaiņām, paredzot nepieciešamās investīcijas un kompetences palielināšanu. Redzam nepieciešamību valsts pusē (piemēram, Pārresoru koordinācijas centrs) veikt atbilstošu analīzi (SWOT vai Stress test) par klimata pārmaiņu scenārijiem konkrētajās nozarēs, kā arī to ietekmi uz finanšu sektoru un tautsaimniecību kopumā. </w:t>
            </w:r>
            <w:r w:rsidRPr="00AE5356">
              <w:t>Lūdzam atbilstoši precizēt Plānu.</w:t>
            </w:r>
          </w:p>
        </w:tc>
        <w:tc>
          <w:tcPr>
            <w:tcW w:w="2835" w:type="dxa"/>
            <w:tcBorders>
              <w:left w:val="single" w:sz="6" w:space="0" w:color="000000" w:themeColor="text1"/>
              <w:bottom w:val="single" w:sz="4" w:space="0" w:color="auto"/>
              <w:right w:val="single" w:sz="6" w:space="0" w:color="000000" w:themeColor="text1"/>
            </w:tcBorders>
          </w:tcPr>
          <w:p w14:paraId="12E07B65" w14:textId="6E462CCF" w:rsidR="009B2DCB" w:rsidRPr="00AE5356" w:rsidRDefault="00C5433A" w:rsidP="00AE5356">
            <w:pPr>
              <w:pStyle w:val="naisc"/>
              <w:spacing w:before="0" w:after="0"/>
              <w:jc w:val="left"/>
            </w:pPr>
            <w:r>
              <w:lastRenderedPageBreak/>
              <w:t>Ņemts vērā.</w:t>
            </w:r>
          </w:p>
        </w:tc>
        <w:tc>
          <w:tcPr>
            <w:tcW w:w="3544" w:type="dxa"/>
            <w:tcBorders>
              <w:top w:val="single" w:sz="4" w:space="0" w:color="auto"/>
              <w:left w:val="single" w:sz="4" w:space="0" w:color="auto"/>
              <w:bottom w:val="single" w:sz="4" w:space="0" w:color="auto"/>
            </w:tcBorders>
          </w:tcPr>
          <w:p w14:paraId="48EA9A99" w14:textId="77777777" w:rsidR="009B2DCB" w:rsidRPr="00AE5356" w:rsidRDefault="00C5433A" w:rsidP="00AE5356">
            <w:pPr>
              <w:jc w:val="both"/>
              <w:rPr>
                <w:color w:val="000000"/>
              </w:rPr>
            </w:pPr>
            <w:r>
              <w:rPr>
                <w:color w:val="000000"/>
              </w:rPr>
              <w:t xml:space="preserve">FSAP teksts papildināts ar norādi, kas tiek saprasts ar ilgtspējīgām finansēm. Papildus, ja tiks apstiprināts SRSS projekts par </w:t>
            </w:r>
            <w:r>
              <w:rPr>
                <w:color w:val="000000"/>
              </w:rPr>
              <w:lastRenderedPageBreak/>
              <w:t>ilgtspējīgām finansēm, tad atbilstoši šim projektam FSAP pārskatīšanā tiks veikti papildinājumi ar jauniem uzdevumiem.</w:t>
            </w:r>
          </w:p>
        </w:tc>
      </w:tr>
      <w:tr w:rsidR="009B2DCB" w:rsidRPr="00AE5356" w14:paraId="6B763A17" w14:textId="77777777" w:rsidTr="000E70CD">
        <w:tc>
          <w:tcPr>
            <w:tcW w:w="944" w:type="dxa"/>
            <w:tcBorders>
              <w:left w:val="single" w:sz="6" w:space="0" w:color="000000" w:themeColor="text1"/>
              <w:bottom w:val="single" w:sz="4" w:space="0" w:color="auto"/>
              <w:right w:val="single" w:sz="6" w:space="0" w:color="000000" w:themeColor="text1"/>
            </w:tcBorders>
          </w:tcPr>
          <w:p w14:paraId="1F07275E"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07E0781" w14:textId="193EF494" w:rsidR="009B2DCB" w:rsidRPr="00AE5356" w:rsidRDefault="009B2DCB" w:rsidP="00AE5356">
            <w:pPr>
              <w:pStyle w:val="naisc"/>
              <w:spacing w:before="0" w:after="0"/>
              <w:jc w:val="left"/>
            </w:pPr>
            <w:r w:rsidRPr="00AE5356">
              <w:t>58. lpp., “Ilgtspējīgas finanses arvien vairāk kļūst par daļu no finanšu sistēmas, kas palīdz sasniegt ilgtspējīgas ekonomikas attīstību. Tādējādi plāna ietvaros, nodrošinot sasniedzamos mērķus tuvāko trīs gadu laikā, tiks iekļauti pasākumi, kas atbilst šādām prioritātēm:”</w:t>
            </w:r>
          </w:p>
        </w:tc>
        <w:tc>
          <w:tcPr>
            <w:tcW w:w="4819" w:type="dxa"/>
            <w:gridSpan w:val="2"/>
            <w:tcBorders>
              <w:left w:val="single" w:sz="6" w:space="0" w:color="000000" w:themeColor="text1"/>
              <w:bottom w:val="single" w:sz="4" w:space="0" w:color="auto"/>
              <w:right w:val="single" w:sz="6" w:space="0" w:color="000000" w:themeColor="text1"/>
            </w:tcBorders>
          </w:tcPr>
          <w:p w14:paraId="2DF2CF35" w14:textId="106D3358" w:rsidR="009B2DCB" w:rsidRPr="00AE5356" w:rsidRDefault="009B2DCB" w:rsidP="00AE5356">
            <w:pPr>
              <w:contextualSpacing/>
              <w:jc w:val="both"/>
            </w:pPr>
            <w:r w:rsidRPr="00AE5356">
              <w:t>Aicinām papildināt ar</w:t>
            </w:r>
            <w:r w:rsidRPr="00AE5356">
              <w:rPr>
                <w:rStyle w:val="CommentReference"/>
                <w:sz w:val="24"/>
                <w:szCs w:val="24"/>
              </w:rPr>
              <w:t xml:space="preserve"> sadaļu, </w:t>
            </w:r>
            <w:r w:rsidRPr="00AE5356">
              <w:t>kā šīs pārmaiņas ietekmēs kredītiestādes, proti, jaunās prasības būs jāintegrē ilgtspējas riska modeļos, jāveido kompetence, lai varētu atbalstīt klientus, jāveido IT risinājumi, kas saistīti ar datu vākšanu un infrastruktūras veidošanu. Lūdzam skatīt arī komentāru iepriekš, proti, ka taksonomija ar klasifikāciju videi draudzīgām darbībām ietekmēs ekonomiku, arī valsts pārvaldi kā politikas plānotāju, ieviesēju, uzraugu, ārkārtīgi svarīga būs kvalitatīvu, uzticamu datu pieejamība un analīze; svarīgi, ka publiskais sektors uzsāk to vākšanu, apkopošanu, analīzi un nodrošina to pieejamību arī privātajam sektoram.</w:t>
            </w:r>
          </w:p>
        </w:tc>
        <w:tc>
          <w:tcPr>
            <w:tcW w:w="2835" w:type="dxa"/>
            <w:tcBorders>
              <w:left w:val="single" w:sz="6" w:space="0" w:color="000000" w:themeColor="text1"/>
              <w:bottom w:val="single" w:sz="4" w:space="0" w:color="auto"/>
              <w:right w:val="single" w:sz="6" w:space="0" w:color="000000" w:themeColor="text1"/>
            </w:tcBorders>
          </w:tcPr>
          <w:p w14:paraId="5703FB18" w14:textId="5B03C1FA" w:rsidR="009B2DCB" w:rsidRPr="00AE5356" w:rsidRDefault="00C5433A" w:rsidP="00AE5356">
            <w:pPr>
              <w:pStyle w:val="naisc"/>
              <w:spacing w:before="0" w:after="0"/>
              <w:jc w:val="left"/>
            </w:pPr>
            <w:r>
              <w:t>Daļēji ņemts vērā.</w:t>
            </w:r>
          </w:p>
        </w:tc>
        <w:tc>
          <w:tcPr>
            <w:tcW w:w="3544" w:type="dxa"/>
            <w:tcBorders>
              <w:top w:val="single" w:sz="4" w:space="0" w:color="auto"/>
              <w:left w:val="single" w:sz="4" w:space="0" w:color="auto"/>
              <w:bottom w:val="single" w:sz="4" w:space="0" w:color="auto"/>
            </w:tcBorders>
          </w:tcPr>
          <w:p w14:paraId="4EC4B590" w14:textId="77777777" w:rsidR="009B2DCB" w:rsidRPr="00AE5356" w:rsidRDefault="00C5433A" w:rsidP="00AE5356">
            <w:pPr>
              <w:jc w:val="both"/>
              <w:rPr>
                <w:color w:val="000000"/>
              </w:rPr>
            </w:pPr>
            <w:r>
              <w:rPr>
                <w:color w:val="000000"/>
              </w:rPr>
              <w:t>FSAP teksts papildināts ar norādi, kas tiek saprasts ar ilgtspējīgām finansēm. Papildus, ja tiks apstiprināts SRSS projekts par ilgtspējīgām finansēm, tad atbilstoši šim projektam FSAP pārskatīšanā tiks veikti papildinājumi ar jauniem uzdevumiem.</w:t>
            </w:r>
          </w:p>
        </w:tc>
      </w:tr>
      <w:tr w:rsidR="009B2DCB" w:rsidRPr="00AE5356" w14:paraId="75C5E99A" w14:textId="77777777" w:rsidTr="000E70CD">
        <w:tc>
          <w:tcPr>
            <w:tcW w:w="944" w:type="dxa"/>
            <w:tcBorders>
              <w:left w:val="single" w:sz="6" w:space="0" w:color="000000" w:themeColor="text1"/>
              <w:bottom w:val="single" w:sz="4" w:space="0" w:color="auto"/>
              <w:right w:val="single" w:sz="6" w:space="0" w:color="000000" w:themeColor="text1"/>
            </w:tcBorders>
          </w:tcPr>
          <w:p w14:paraId="319F69F6"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4BB0C188" w14:textId="2BCC95F2" w:rsidR="009B2DCB" w:rsidRPr="00AE5356" w:rsidRDefault="009B2DCB" w:rsidP="00AE5356">
            <w:pPr>
              <w:pStyle w:val="naisc"/>
              <w:spacing w:before="0" w:after="0"/>
              <w:jc w:val="left"/>
            </w:pPr>
            <w:r w:rsidRPr="00AE5356">
              <w:t>58. lpp., 3.2.1.uzdevums “ESG datu pieejamības pilnveidošana”</w:t>
            </w:r>
          </w:p>
        </w:tc>
        <w:tc>
          <w:tcPr>
            <w:tcW w:w="4819" w:type="dxa"/>
            <w:gridSpan w:val="2"/>
            <w:tcBorders>
              <w:left w:val="single" w:sz="6" w:space="0" w:color="000000" w:themeColor="text1"/>
              <w:bottom w:val="single" w:sz="4" w:space="0" w:color="auto"/>
              <w:right w:val="single" w:sz="6" w:space="0" w:color="000000" w:themeColor="text1"/>
            </w:tcBorders>
          </w:tcPr>
          <w:p w14:paraId="56FD5CF7" w14:textId="2603DE89" w:rsidR="009B2DCB" w:rsidRPr="00AE5356" w:rsidRDefault="009B2DCB" w:rsidP="00AE5356">
            <w:pPr>
              <w:jc w:val="both"/>
            </w:pPr>
            <w:r w:rsidRPr="00AE5356">
              <w:t>Lūgums precīzāk definēt, ko tieši plānots sasniegt šī uzdevuma ietvaros, jāuzsver, ka nepieciešams izvērtēt, kā uzlabot datu vākšanu no uzņēmumiem (tai skaitā mazajiem), kādus ne-finanšu datus varētu pieprasīt gada pārskatu ietvaros, kādus publiskos reģistrus veidot, lai arī kredītiestādēm un citiem finansētājiem būtu pieeja šai informācijai un to varētu integrēt lēmumu pieņemšanas procesā. Šo uzdevumu īstenošanai būtu nepieciešams izveidot darba grupu ar FM, VID, VARAM, LFNA u.c. institūciju pārstāvniecību. Lūdzam atbilstoši precizēt Plānu.</w:t>
            </w:r>
          </w:p>
        </w:tc>
        <w:tc>
          <w:tcPr>
            <w:tcW w:w="2835" w:type="dxa"/>
            <w:tcBorders>
              <w:left w:val="single" w:sz="6" w:space="0" w:color="000000" w:themeColor="text1"/>
              <w:bottom w:val="single" w:sz="4" w:space="0" w:color="auto"/>
              <w:right w:val="single" w:sz="6" w:space="0" w:color="000000" w:themeColor="text1"/>
            </w:tcBorders>
          </w:tcPr>
          <w:p w14:paraId="50E45269" w14:textId="5DB8E1BC" w:rsidR="009B2DCB" w:rsidRPr="00AE5356" w:rsidRDefault="00C5433A" w:rsidP="00AE5356">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623A6873" w14:textId="1C6AC75A" w:rsidR="009B2DCB" w:rsidRPr="00AE5356" w:rsidRDefault="009300FB" w:rsidP="00AE5356">
            <w:pPr>
              <w:jc w:val="both"/>
              <w:rPr>
                <w:color w:val="000000"/>
              </w:rPr>
            </w:pPr>
            <w:r>
              <w:rPr>
                <w:color w:val="000000"/>
              </w:rPr>
              <w:t>Jau šo</w:t>
            </w:r>
            <w:r w:rsidR="00C5433A">
              <w:rPr>
                <w:color w:val="000000"/>
              </w:rPr>
              <w:t xml:space="preserve">brīd iekļautajā 3.2.1. punktā ir paredzēta izvērtējuma sagatavošana, kurā tiks vērtēts </w:t>
            </w:r>
            <w:r w:rsidR="00D10216">
              <w:rPr>
                <w:color w:val="000000"/>
              </w:rPr>
              <w:t>kā un kādus datus ir nepieciešams iegūt un arī kā to paveikt.</w:t>
            </w:r>
          </w:p>
        </w:tc>
      </w:tr>
      <w:tr w:rsidR="009B2DCB" w:rsidRPr="00AE5356" w14:paraId="2CAED5A9" w14:textId="77777777" w:rsidTr="000E70CD">
        <w:tc>
          <w:tcPr>
            <w:tcW w:w="944" w:type="dxa"/>
            <w:tcBorders>
              <w:left w:val="single" w:sz="6" w:space="0" w:color="000000" w:themeColor="text1"/>
              <w:bottom w:val="single" w:sz="4" w:space="0" w:color="auto"/>
              <w:right w:val="single" w:sz="6" w:space="0" w:color="000000" w:themeColor="text1"/>
            </w:tcBorders>
          </w:tcPr>
          <w:p w14:paraId="131B72B2"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1F0BBF47" w14:textId="77777777" w:rsidR="009B2DCB" w:rsidRPr="00DF40F2"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4FEE4D5A" w14:textId="1B7DD4A2" w:rsidR="009B2DCB" w:rsidRPr="00DF40F2" w:rsidRDefault="009B2DCB" w:rsidP="00AE5356">
            <w:pPr>
              <w:contextualSpacing/>
              <w:jc w:val="both"/>
              <w:rPr>
                <w:b/>
                <w:u w:val="single"/>
              </w:rPr>
            </w:pPr>
            <w:r w:rsidRPr="00DF40F2">
              <w:rPr>
                <w:b/>
                <w:u w:val="single"/>
              </w:rPr>
              <w:t>Ārlietu ministrija:</w:t>
            </w:r>
          </w:p>
          <w:p w14:paraId="2F5F2EDD" w14:textId="1DB19C75" w:rsidR="009B2DCB" w:rsidRPr="00DF40F2" w:rsidRDefault="009B2DCB" w:rsidP="00AE5356">
            <w:pPr>
              <w:contextualSpacing/>
              <w:jc w:val="both"/>
            </w:pPr>
            <w:r w:rsidRPr="00DF40F2">
              <w:t>7. lpp., Lūdzam saskaņot ar Latvijas Banku nepieciešamību norādīt, ka 3. kārtas ilgāka termiņa refinansēšanas mērķoperāciju (TLTRO) ietvaros īstenotā izsolē š.g. 24.jūnijā “Citadele” banka Latvijā saņēma 440 milj. EUR.</w:t>
            </w:r>
          </w:p>
          <w:p w14:paraId="20B5CB81" w14:textId="173FD33F" w:rsidR="009B2DCB" w:rsidRPr="00DF40F2" w:rsidRDefault="009B2DCB" w:rsidP="00AE5356">
            <w:pPr>
              <w:contextualSpacing/>
              <w:jc w:val="both"/>
            </w:pPr>
          </w:p>
        </w:tc>
        <w:tc>
          <w:tcPr>
            <w:tcW w:w="2835" w:type="dxa"/>
            <w:tcBorders>
              <w:left w:val="single" w:sz="6" w:space="0" w:color="000000" w:themeColor="text1"/>
              <w:bottom w:val="single" w:sz="4" w:space="0" w:color="auto"/>
              <w:right w:val="single" w:sz="6" w:space="0" w:color="000000" w:themeColor="text1"/>
            </w:tcBorders>
          </w:tcPr>
          <w:p w14:paraId="794CDCFD" w14:textId="20E3D88C" w:rsidR="009B2DCB" w:rsidRPr="00DF40F2" w:rsidRDefault="009B2DCB" w:rsidP="00AE5356">
            <w:pPr>
              <w:pStyle w:val="naisc"/>
              <w:spacing w:before="0" w:after="0"/>
              <w:jc w:val="left"/>
            </w:pPr>
            <w:r w:rsidRPr="00DF40F2">
              <w:t>Ņemts vērā</w:t>
            </w:r>
          </w:p>
        </w:tc>
        <w:tc>
          <w:tcPr>
            <w:tcW w:w="3544" w:type="dxa"/>
            <w:tcBorders>
              <w:top w:val="single" w:sz="4" w:space="0" w:color="auto"/>
              <w:left w:val="single" w:sz="4" w:space="0" w:color="auto"/>
              <w:bottom w:val="single" w:sz="4" w:space="0" w:color="auto"/>
            </w:tcBorders>
          </w:tcPr>
          <w:p w14:paraId="14C6E0E8" w14:textId="7A8966AF" w:rsidR="009B2DCB" w:rsidRPr="00DF40F2" w:rsidRDefault="009B2DCB" w:rsidP="00AE5356">
            <w:pPr>
              <w:jc w:val="both"/>
            </w:pPr>
            <w:r w:rsidRPr="00DF40F2">
              <w:t>Latvijā ilgāka termiņa mērķoperācijās III piedalījās vairākas kredītiestādes. Jūnija un septembra izsolēs tās kopā pieprasīja un saņēma šos kredītus 1.26 miljardu eiro apjomā.</w:t>
            </w:r>
          </w:p>
        </w:tc>
      </w:tr>
      <w:tr w:rsidR="009B2DCB" w:rsidRPr="00AE5356" w14:paraId="51B8B5DE" w14:textId="77777777" w:rsidTr="000E70CD">
        <w:tc>
          <w:tcPr>
            <w:tcW w:w="944" w:type="dxa"/>
            <w:tcBorders>
              <w:left w:val="single" w:sz="6" w:space="0" w:color="000000" w:themeColor="text1"/>
              <w:bottom w:val="single" w:sz="4" w:space="0" w:color="auto"/>
              <w:right w:val="single" w:sz="6" w:space="0" w:color="000000" w:themeColor="text1"/>
            </w:tcBorders>
          </w:tcPr>
          <w:p w14:paraId="4A4782C5"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34709942"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5652200D" w14:textId="1DF83D2B" w:rsidR="009B2DCB" w:rsidRPr="00C938FD" w:rsidRDefault="009B2DCB" w:rsidP="00AE5356">
            <w:pPr>
              <w:contextualSpacing/>
              <w:jc w:val="both"/>
            </w:pPr>
            <w:r w:rsidRPr="00C938FD">
              <w:t xml:space="preserve">7. lpp., Lūdzam saskaņot ierosinātos koriģējumus. </w:t>
            </w:r>
          </w:p>
          <w:p w14:paraId="27A4866A" w14:textId="77777777" w:rsidR="009B2DCB" w:rsidRPr="00C938FD" w:rsidRDefault="009B2DCB" w:rsidP="00AE5356">
            <w:pPr>
              <w:contextualSpacing/>
              <w:jc w:val="both"/>
            </w:pPr>
          </w:p>
          <w:p w14:paraId="5EB43CB6" w14:textId="6DC5555D" w:rsidR="009B2DCB" w:rsidRPr="00C938FD" w:rsidRDefault="009B2DCB" w:rsidP="00AE5356">
            <w:pPr>
              <w:contextualSpacing/>
              <w:jc w:val="both"/>
            </w:pPr>
            <w:r w:rsidRPr="00C938FD">
              <w:t>Lūdzam izvērtēt nepieciešamību norādīt Latvijas dalību SURE, kā arī nostāju par nepieciešamības gadījumā Latvijai pieejamo ESM kredītu līnijas un EIB garantiju fonda finanšu atbalstu.</w:t>
            </w:r>
          </w:p>
        </w:tc>
        <w:tc>
          <w:tcPr>
            <w:tcW w:w="2835" w:type="dxa"/>
            <w:tcBorders>
              <w:left w:val="single" w:sz="6" w:space="0" w:color="000000" w:themeColor="text1"/>
              <w:bottom w:val="single" w:sz="4" w:space="0" w:color="auto"/>
              <w:right w:val="single" w:sz="6" w:space="0" w:color="000000" w:themeColor="text1"/>
            </w:tcBorders>
          </w:tcPr>
          <w:p w14:paraId="4389F3C0" w14:textId="17856801" w:rsidR="009B2DCB" w:rsidRPr="00AE5356" w:rsidRDefault="00D07B28" w:rsidP="00AE5356">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1E58DA3A" w14:textId="6F69407F" w:rsidR="009B2DCB" w:rsidRPr="00AE5356" w:rsidRDefault="00D07B28" w:rsidP="00AE5356">
            <w:pPr>
              <w:jc w:val="both"/>
              <w:rPr>
                <w:color w:val="000000"/>
              </w:rPr>
            </w:pPr>
            <w:r>
              <w:rPr>
                <w:color w:val="000000"/>
              </w:rPr>
              <w:t>Izvērtējot nepieciešamību šādas informācijas pievienošanai, secinājām, ka t</w:t>
            </w:r>
            <w:r w:rsidR="00442469">
              <w:rPr>
                <w:color w:val="000000"/>
              </w:rPr>
              <w:t>ā nav būtiska, ņemot vērā plāna mērķus un kontekstu.</w:t>
            </w:r>
          </w:p>
        </w:tc>
      </w:tr>
      <w:tr w:rsidR="009B2DCB" w:rsidRPr="00AE5356" w14:paraId="5FC93C7B" w14:textId="77777777" w:rsidTr="000E70CD">
        <w:tc>
          <w:tcPr>
            <w:tcW w:w="944" w:type="dxa"/>
            <w:tcBorders>
              <w:left w:val="single" w:sz="6" w:space="0" w:color="000000" w:themeColor="text1"/>
              <w:bottom w:val="single" w:sz="4" w:space="0" w:color="auto"/>
              <w:right w:val="single" w:sz="6" w:space="0" w:color="000000" w:themeColor="text1"/>
            </w:tcBorders>
          </w:tcPr>
          <w:p w14:paraId="3625D479"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64550317"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2C648118" w14:textId="568FDCCD" w:rsidR="009B2DCB" w:rsidRPr="00C938FD" w:rsidRDefault="009B2DCB" w:rsidP="00AE5356">
            <w:pPr>
              <w:contextualSpacing/>
              <w:jc w:val="both"/>
            </w:pPr>
            <w:r w:rsidRPr="00C938FD">
              <w:t xml:space="preserve">9. lpp., Saskaņā ar Ārlietu ministrijas pozīciju Par Eiropas Komisijas 2021. gada darba programmu, ierosinām papildināt ar informāciju par aktuālajiem ES līmeņa pasākumiem </w:t>
            </w:r>
            <w:r w:rsidRPr="00C938FD">
              <w:lastRenderedPageBreak/>
              <w:t>AML/CFT jomā, lai stiprinātu ES finanšu sektora drošību, pilnveidojot ES līmeņa uzraudzības sistēmu AML/CFT novēršanai.</w:t>
            </w:r>
          </w:p>
        </w:tc>
        <w:tc>
          <w:tcPr>
            <w:tcW w:w="2835" w:type="dxa"/>
            <w:tcBorders>
              <w:left w:val="single" w:sz="6" w:space="0" w:color="000000" w:themeColor="text1"/>
              <w:bottom w:val="single" w:sz="4" w:space="0" w:color="auto"/>
              <w:right w:val="single" w:sz="6" w:space="0" w:color="000000" w:themeColor="text1"/>
            </w:tcBorders>
          </w:tcPr>
          <w:p w14:paraId="26B9333D" w14:textId="5A010BF7" w:rsidR="009B2DCB" w:rsidRPr="00AE5356" w:rsidRDefault="00E119C4" w:rsidP="00EB0A54">
            <w:pPr>
              <w:pStyle w:val="naisc"/>
              <w:spacing w:before="0" w:after="0"/>
              <w:jc w:val="left"/>
            </w:pPr>
            <w:r>
              <w:lastRenderedPageBreak/>
              <w:t>Daļēji</w:t>
            </w:r>
            <w:r w:rsidRPr="00AE5356">
              <w:t xml:space="preserve"> </w:t>
            </w:r>
            <w:r w:rsidR="009B2DCB" w:rsidRPr="00AE5356">
              <w:t xml:space="preserve">ņemts vērā. </w:t>
            </w:r>
          </w:p>
        </w:tc>
        <w:tc>
          <w:tcPr>
            <w:tcW w:w="3544" w:type="dxa"/>
            <w:tcBorders>
              <w:top w:val="single" w:sz="4" w:space="0" w:color="auto"/>
              <w:left w:val="single" w:sz="4" w:space="0" w:color="auto"/>
              <w:bottom w:val="single" w:sz="4" w:space="0" w:color="auto"/>
            </w:tcBorders>
          </w:tcPr>
          <w:p w14:paraId="29EF6382" w14:textId="1E88D3BF" w:rsidR="009B2DCB" w:rsidRPr="00AE5356" w:rsidRDefault="00442469" w:rsidP="00AE5356">
            <w:pPr>
              <w:jc w:val="both"/>
              <w:rPr>
                <w:color w:val="000000"/>
              </w:rPr>
            </w:pPr>
            <w:r w:rsidRPr="005A5688">
              <w:t xml:space="preserve">Ņemts vērā atbilstoši Pasākumu plāna samērīgas pieejas nostiprināšanai, izpildot noziedzīgi iegūtu līdzekļu </w:t>
            </w:r>
            <w:r w:rsidRPr="005A5688">
              <w:lastRenderedPageBreak/>
              <w:t>legalizācijas un terorisma un proliferācijas finansēšanas novēršanas prasības uzdevumiem, taču netiek apskatīts šī plāna ietvaros.</w:t>
            </w:r>
          </w:p>
        </w:tc>
      </w:tr>
      <w:tr w:rsidR="009B2DCB" w:rsidRPr="00AE5356" w14:paraId="7585D420" w14:textId="77777777" w:rsidTr="000E70CD">
        <w:tc>
          <w:tcPr>
            <w:tcW w:w="944" w:type="dxa"/>
            <w:tcBorders>
              <w:left w:val="single" w:sz="6" w:space="0" w:color="000000" w:themeColor="text1"/>
              <w:bottom w:val="single" w:sz="4" w:space="0" w:color="auto"/>
              <w:right w:val="single" w:sz="6" w:space="0" w:color="000000" w:themeColor="text1"/>
            </w:tcBorders>
          </w:tcPr>
          <w:p w14:paraId="449FB361"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3DB16296"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591FDFDE" w14:textId="40004300" w:rsidR="009B2DCB" w:rsidRPr="00C938FD" w:rsidRDefault="009B2DCB" w:rsidP="00AE5356">
            <w:pPr>
              <w:contextualSpacing/>
              <w:jc w:val="both"/>
            </w:pPr>
            <w:r w:rsidRPr="00C938FD">
              <w:t>9. lpp., Ierosinām iekļaut šādu Latvijas nostāju par turpmāko ES līmeņa pasākumu attīstību AML/CFT jomā.</w:t>
            </w:r>
          </w:p>
        </w:tc>
        <w:tc>
          <w:tcPr>
            <w:tcW w:w="2835" w:type="dxa"/>
            <w:tcBorders>
              <w:left w:val="single" w:sz="6" w:space="0" w:color="000000" w:themeColor="text1"/>
              <w:bottom w:val="single" w:sz="4" w:space="0" w:color="auto"/>
              <w:right w:val="single" w:sz="6" w:space="0" w:color="000000" w:themeColor="text1"/>
            </w:tcBorders>
          </w:tcPr>
          <w:p w14:paraId="36DC3D83" w14:textId="39B6658F" w:rsidR="009B2DCB" w:rsidRPr="00AE5356" w:rsidRDefault="00E119C4" w:rsidP="00DF40F2">
            <w:pPr>
              <w:pStyle w:val="naisc"/>
              <w:spacing w:before="0" w:after="0"/>
              <w:jc w:val="left"/>
            </w:pPr>
            <w:r>
              <w:t>Daļēji ņemts vērā.</w:t>
            </w:r>
          </w:p>
        </w:tc>
        <w:tc>
          <w:tcPr>
            <w:tcW w:w="3544" w:type="dxa"/>
            <w:tcBorders>
              <w:top w:val="single" w:sz="4" w:space="0" w:color="auto"/>
              <w:left w:val="single" w:sz="4" w:space="0" w:color="auto"/>
              <w:bottom w:val="single" w:sz="4" w:space="0" w:color="auto"/>
            </w:tcBorders>
          </w:tcPr>
          <w:p w14:paraId="3A3099B7" w14:textId="58C520FA" w:rsidR="009B2DCB" w:rsidRPr="00DF40F2" w:rsidRDefault="00F31F26" w:rsidP="00DF40F2">
            <w:pPr>
              <w:pStyle w:val="xmsonormal"/>
            </w:pPr>
            <w:r w:rsidRPr="005A5688">
              <w:rPr>
                <w:rFonts w:ascii="Times New Roman" w:eastAsia="Times New Roman" w:hAnsi="Times New Roman" w:cs="Times New Roman"/>
                <w:sz w:val="24"/>
                <w:szCs w:val="24"/>
              </w:rPr>
              <w:t>Ņemts vērā atbilstoši Pasākumu plāna samērīgas pieejas nostiprināšanai, izpildot noziedzīgi iegūtu līdzekļu legalizācijas un terorisma un proliferācijas finansēšanas novēršanas prasības uzdevumiem, taču netiek apskatīts šī plāna ietvaros.</w:t>
            </w:r>
            <w:r>
              <w:rPr>
                <w:rFonts w:ascii="Times New Roman" w:eastAsia="Times New Roman" w:hAnsi="Times New Roman" w:cs="Times New Roman"/>
                <w:sz w:val="24"/>
                <w:szCs w:val="24"/>
              </w:rPr>
              <w:t xml:space="preserve"> </w:t>
            </w:r>
            <w:r w:rsidR="00D07B28">
              <w:rPr>
                <w:color w:val="000000"/>
              </w:rPr>
              <w:t>Pasākums nr. 1.</w:t>
            </w:r>
          </w:p>
        </w:tc>
      </w:tr>
      <w:tr w:rsidR="009B2DCB" w:rsidRPr="00AE5356" w14:paraId="3B98D5FA" w14:textId="77777777" w:rsidTr="000E70CD">
        <w:tc>
          <w:tcPr>
            <w:tcW w:w="944" w:type="dxa"/>
            <w:tcBorders>
              <w:left w:val="single" w:sz="6" w:space="0" w:color="000000" w:themeColor="text1"/>
              <w:bottom w:val="single" w:sz="4" w:space="0" w:color="auto"/>
              <w:right w:val="single" w:sz="6" w:space="0" w:color="000000" w:themeColor="text1"/>
            </w:tcBorders>
          </w:tcPr>
          <w:p w14:paraId="03BC1715"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61CE2D6F"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3DB1ECFE" w14:textId="0C9BC8FA" w:rsidR="009B2DCB" w:rsidRPr="00AE5356" w:rsidRDefault="009B2DCB" w:rsidP="00AE5356">
            <w:pPr>
              <w:contextualSpacing/>
              <w:jc w:val="both"/>
            </w:pPr>
            <w:r w:rsidRPr="00DF40F2">
              <w:t>15. lpp., Ierosinām akcentēt CMU padziļināšanas mērķi dažādot uzņēmējdarbībai pieejamo finansējuma avotus, nodrošinot papildu alternatīvas iespējas banku sektora kredītiem.</w:t>
            </w:r>
          </w:p>
        </w:tc>
        <w:tc>
          <w:tcPr>
            <w:tcW w:w="2835" w:type="dxa"/>
            <w:tcBorders>
              <w:left w:val="single" w:sz="6" w:space="0" w:color="000000" w:themeColor="text1"/>
              <w:bottom w:val="single" w:sz="4" w:space="0" w:color="auto"/>
              <w:right w:val="single" w:sz="6" w:space="0" w:color="000000" w:themeColor="text1"/>
            </w:tcBorders>
          </w:tcPr>
          <w:p w14:paraId="6DDD94CD" w14:textId="11AFC431" w:rsidR="009B2DCB" w:rsidRPr="00AE5356" w:rsidRDefault="00D94934" w:rsidP="00AE5356">
            <w:pPr>
              <w:pStyle w:val="naisc"/>
              <w:spacing w:before="0" w:after="0"/>
              <w:jc w:val="left"/>
            </w:pPr>
            <w:r>
              <w:t>Panākta vienošanās elektroniskajā saskaņošanā 14.01.2021.</w:t>
            </w:r>
          </w:p>
        </w:tc>
        <w:tc>
          <w:tcPr>
            <w:tcW w:w="3544" w:type="dxa"/>
            <w:tcBorders>
              <w:top w:val="single" w:sz="4" w:space="0" w:color="auto"/>
              <w:left w:val="single" w:sz="4" w:space="0" w:color="auto"/>
              <w:bottom w:val="single" w:sz="4" w:space="0" w:color="auto"/>
            </w:tcBorders>
          </w:tcPr>
          <w:p w14:paraId="68A27614" w14:textId="77777777" w:rsidR="009B2DCB" w:rsidRPr="00AE5356" w:rsidRDefault="00D10216" w:rsidP="00AE5356">
            <w:pPr>
              <w:jc w:val="both"/>
              <w:rPr>
                <w:color w:val="000000"/>
              </w:rPr>
            </w:pPr>
            <w:r>
              <w:rPr>
                <w:color w:val="000000"/>
              </w:rPr>
              <w:t xml:space="preserve">FSAP tiek iekļauti uzdevumi, kas ir nozīmīgi kopējā finanšu sektora attīstībai neliekot uzsvaru uz vienu konkrētu ES iniciatīvu. </w:t>
            </w:r>
          </w:p>
        </w:tc>
      </w:tr>
      <w:tr w:rsidR="009B2DCB" w:rsidRPr="00AE5356" w14:paraId="5C3CD0F0" w14:textId="77777777" w:rsidTr="000E70CD">
        <w:tc>
          <w:tcPr>
            <w:tcW w:w="944" w:type="dxa"/>
            <w:tcBorders>
              <w:left w:val="single" w:sz="6" w:space="0" w:color="000000" w:themeColor="text1"/>
              <w:bottom w:val="single" w:sz="4" w:space="0" w:color="auto"/>
              <w:right w:val="single" w:sz="6" w:space="0" w:color="000000" w:themeColor="text1"/>
            </w:tcBorders>
          </w:tcPr>
          <w:p w14:paraId="641BEA37"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1DF51ACC"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5F11BD47" w14:textId="54EAAD25" w:rsidR="009B2DCB" w:rsidRPr="00DF40F2" w:rsidRDefault="009B2DCB" w:rsidP="00AE5356">
            <w:pPr>
              <w:contextualSpacing/>
              <w:jc w:val="both"/>
            </w:pPr>
            <w:r w:rsidRPr="00DF40F2">
              <w:t>15. lpp., Aicinām izvērtēt nepieciešamību precizēt Finanšu ministrijas ieskatā Latvijai aktuālākās komponentes CMU jaunajā rīcības plānā, kuru virzību ES līmenī saredzam kā Latvijai īpaši svarīgu.</w:t>
            </w:r>
          </w:p>
        </w:tc>
        <w:tc>
          <w:tcPr>
            <w:tcW w:w="2835" w:type="dxa"/>
            <w:tcBorders>
              <w:left w:val="single" w:sz="6" w:space="0" w:color="000000" w:themeColor="text1"/>
              <w:bottom w:val="single" w:sz="4" w:space="0" w:color="auto"/>
              <w:right w:val="single" w:sz="6" w:space="0" w:color="000000" w:themeColor="text1"/>
            </w:tcBorders>
          </w:tcPr>
          <w:p w14:paraId="46973D56" w14:textId="0BF3DEDD" w:rsidR="009B2DCB" w:rsidRPr="00AE5356" w:rsidRDefault="00D94934" w:rsidP="00DF40F2">
            <w:pPr>
              <w:pStyle w:val="naisc"/>
              <w:spacing w:before="0" w:after="0"/>
              <w:jc w:val="left"/>
            </w:pPr>
            <w:r>
              <w:t>Panākta vienošanās elektroniskajā saskaņošanā 14.01.2021.</w:t>
            </w:r>
          </w:p>
        </w:tc>
        <w:tc>
          <w:tcPr>
            <w:tcW w:w="3544" w:type="dxa"/>
            <w:tcBorders>
              <w:top w:val="single" w:sz="4" w:space="0" w:color="auto"/>
              <w:left w:val="single" w:sz="4" w:space="0" w:color="auto"/>
              <w:bottom w:val="single" w:sz="4" w:space="0" w:color="auto"/>
            </w:tcBorders>
          </w:tcPr>
          <w:p w14:paraId="3318DF57" w14:textId="192135D8" w:rsidR="009B2DCB" w:rsidRPr="00AE5356" w:rsidRDefault="00D10216" w:rsidP="00AE5356">
            <w:pPr>
              <w:jc w:val="both"/>
              <w:rPr>
                <w:color w:val="000000"/>
              </w:rPr>
            </w:pPr>
            <w:r>
              <w:rPr>
                <w:color w:val="000000"/>
              </w:rPr>
              <w:t>ES līmeņa iniciatīvas tiek vērtētas nacionālajās pozīcijās un līdz ar to caur FSAP neti</w:t>
            </w:r>
            <w:r w:rsidR="00D94934">
              <w:rPr>
                <w:color w:val="000000"/>
              </w:rPr>
              <w:t>e</w:t>
            </w:r>
            <w:r>
              <w:rPr>
                <w:color w:val="000000"/>
              </w:rPr>
              <w:t>k formulēta nacionālā poz</w:t>
            </w:r>
            <w:r w:rsidR="009300FB">
              <w:rPr>
                <w:color w:val="000000"/>
              </w:rPr>
              <w:t>īcija par konkrētu ES dokum</w:t>
            </w:r>
            <w:r>
              <w:rPr>
                <w:color w:val="000000"/>
              </w:rPr>
              <w:t>e</w:t>
            </w:r>
            <w:r w:rsidR="009300FB">
              <w:rPr>
                <w:color w:val="000000"/>
              </w:rPr>
              <w:t>n</w:t>
            </w:r>
            <w:r>
              <w:rPr>
                <w:color w:val="000000"/>
              </w:rPr>
              <w:t>tu.</w:t>
            </w:r>
          </w:p>
        </w:tc>
      </w:tr>
      <w:tr w:rsidR="009B2DCB" w:rsidRPr="00AE5356" w14:paraId="398E01A1" w14:textId="77777777" w:rsidTr="000E70CD">
        <w:tc>
          <w:tcPr>
            <w:tcW w:w="944" w:type="dxa"/>
            <w:tcBorders>
              <w:left w:val="single" w:sz="6" w:space="0" w:color="000000" w:themeColor="text1"/>
              <w:bottom w:val="single" w:sz="4" w:space="0" w:color="auto"/>
              <w:right w:val="single" w:sz="6" w:space="0" w:color="000000" w:themeColor="text1"/>
            </w:tcBorders>
          </w:tcPr>
          <w:p w14:paraId="6FFED3CE"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1E106F6A"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778EE66F" w14:textId="2B382022" w:rsidR="009B2DCB" w:rsidRPr="00DF40F2" w:rsidRDefault="009B2DCB" w:rsidP="00AE5356">
            <w:pPr>
              <w:contextualSpacing/>
              <w:jc w:val="both"/>
            </w:pPr>
            <w:r w:rsidRPr="00DF40F2">
              <w:t>16. lpp., Saskaņā ar Finanšu ministrijas pozīciju par CMU jauno rīcības plānu, lūdzam izvērtēt nepieciešamību pie iniciatīvām minēt arī Saeimā iesniegto likumprojektu “Segto obligāciju likums”, kā vienu no komponentēm, lai sekmētu reģionāla Baltijas valstu kapitāla tirgus izveidi nākotnē.</w:t>
            </w:r>
          </w:p>
        </w:tc>
        <w:tc>
          <w:tcPr>
            <w:tcW w:w="2835" w:type="dxa"/>
            <w:tcBorders>
              <w:left w:val="single" w:sz="6" w:space="0" w:color="000000" w:themeColor="text1"/>
              <w:bottom w:val="single" w:sz="4" w:space="0" w:color="auto"/>
              <w:right w:val="single" w:sz="6" w:space="0" w:color="000000" w:themeColor="text1"/>
            </w:tcBorders>
          </w:tcPr>
          <w:p w14:paraId="402B219E" w14:textId="48235162" w:rsidR="009B2DCB" w:rsidRPr="00AE5356" w:rsidRDefault="00D94934" w:rsidP="00AE5356">
            <w:pPr>
              <w:pStyle w:val="naisc"/>
              <w:spacing w:before="0" w:after="0"/>
              <w:jc w:val="left"/>
            </w:pPr>
            <w:r>
              <w:t>Panākta vienošanās elektroniskajā saskaņošanā 14.01.2021.</w:t>
            </w:r>
          </w:p>
        </w:tc>
        <w:tc>
          <w:tcPr>
            <w:tcW w:w="3544" w:type="dxa"/>
            <w:tcBorders>
              <w:top w:val="single" w:sz="4" w:space="0" w:color="auto"/>
              <w:left w:val="single" w:sz="4" w:space="0" w:color="auto"/>
              <w:bottom w:val="single" w:sz="4" w:space="0" w:color="auto"/>
            </w:tcBorders>
          </w:tcPr>
          <w:p w14:paraId="51B57673" w14:textId="77777777" w:rsidR="009B2DCB" w:rsidRPr="00AE5356" w:rsidRDefault="00D10216" w:rsidP="00AE5356">
            <w:pPr>
              <w:jc w:val="both"/>
              <w:rPr>
                <w:color w:val="000000"/>
              </w:rPr>
            </w:pPr>
            <w:r>
              <w:rPr>
                <w:color w:val="000000"/>
              </w:rPr>
              <w:t>Segto obligāciju likums ir Saeimā iesniegts, lai nodrošinātu direktīvas ieviešanu  un attiecīgu Latvijas saistību izpildi pret ES.</w:t>
            </w:r>
          </w:p>
        </w:tc>
      </w:tr>
      <w:tr w:rsidR="009B2DCB" w:rsidRPr="00AE5356" w14:paraId="01E44F4E" w14:textId="77777777" w:rsidTr="000E70CD">
        <w:tc>
          <w:tcPr>
            <w:tcW w:w="944" w:type="dxa"/>
            <w:tcBorders>
              <w:left w:val="single" w:sz="6" w:space="0" w:color="000000" w:themeColor="text1"/>
              <w:bottom w:val="single" w:sz="4" w:space="0" w:color="auto"/>
              <w:right w:val="single" w:sz="6" w:space="0" w:color="000000" w:themeColor="text1"/>
            </w:tcBorders>
          </w:tcPr>
          <w:p w14:paraId="17E14DE4"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3975D37C"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783F039A" w14:textId="03687798" w:rsidR="009B2DCB" w:rsidRPr="00DF40F2" w:rsidRDefault="009B2DCB" w:rsidP="00AE5356">
            <w:pPr>
              <w:contextualSpacing/>
              <w:jc w:val="both"/>
            </w:pPr>
            <w:r w:rsidRPr="00DF40F2">
              <w:t>16. lpp., Lūdzam precizēt, kādā stadijā  ir IPO fonda izveide? Vai zināms, kad varētu tikt pabeigts process?</w:t>
            </w:r>
          </w:p>
        </w:tc>
        <w:tc>
          <w:tcPr>
            <w:tcW w:w="2835" w:type="dxa"/>
            <w:tcBorders>
              <w:left w:val="single" w:sz="6" w:space="0" w:color="000000" w:themeColor="text1"/>
              <w:bottom w:val="single" w:sz="4" w:space="0" w:color="auto"/>
              <w:right w:val="single" w:sz="6" w:space="0" w:color="000000" w:themeColor="text1"/>
            </w:tcBorders>
          </w:tcPr>
          <w:p w14:paraId="247A16B2" w14:textId="06FC7B4A" w:rsidR="009B2DCB" w:rsidRPr="00AE5356" w:rsidRDefault="00D10216" w:rsidP="00AE5356">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7AC565EE" w14:textId="77777777" w:rsidR="009B2DCB" w:rsidRPr="00AE5356" w:rsidRDefault="00D10216" w:rsidP="00AE5356">
            <w:pPr>
              <w:jc w:val="both"/>
              <w:rPr>
                <w:color w:val="000000"/>
              </w:rPr>
            </w:pPr>
            <w:r>
              <w:rPr>
                <w:color w:val="000000"/>
              </w:rPr>
              <w:t>Tekstā ir norāde uz IPO fonda izveidi un FSAP pasākumu plānā ir iekļaus 1.2.2.uzdevums.</w:t>
            </w:r>
          </w:p>
        </w:tc>
      </w:tr>
      <w:tr w:rsidR="009B2DCB" w:rsidRPr="00AE5356" w14:paraId="2DDCF66D" w14:textId="77777777" w:rsidTr="000E70CD">
        <w:tc>
          <w:tcPr>
            <w:tcW w:w="944" w:type="dxa"/>
            <w:tcBorders>
              <w:left w:val="single" w:sz="6" w:space="0" w:color="000000" w:themeColor="text1"/>
              <w:bottom w:val="single" w:sz="4" w:space="0" w:color="auto"/>
              <w:right w:val="single" w:sz="6" w:space="0" w:color="000000" w:themeColor="text1"/>
            </w:tcBorders>
          </w:tcPr>
          <w:p w14:paraId="2EC30FEB"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C468723"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08BB0F41" w14:textId="1BAA2F78" w:rsidR="009B2DCB" w:rsidRPr="00DF40F2" w:rsidRDefault="009B2DCB" w:rsidP="00AE5356">
            <w:pPr>
              <w:contextualSpacing/>
              <w:jc w:val="both"/>
            </w:pPr>
            <w:r w:rsidRPr="00DF40F2">
              <w:t>17. lpp., Būtiska loma kapitāla tirgus potenciāla stiprināšanai ir reģionālo kapitāla tirgu izveide. Lūgums precizēt aktuālo informāciju.</w:t>
            </w:r>
          </w:p>
        </w:tc>
        <w:tc>
          <w:tcPr>
            <w:tcW w:w="2835" w:type="dxa"/>
            <w:tcBorders>
              <w:left w:val="single" w:sz="6" w:space="0" w:color="000000" w:themeColor="text1"/>
              <w:bottom w:val="single" w:sz="4" w:space="0" w:color="auto"/>
              <w:right w:val="single" w:sz="6" w:space="0" w:color="000000" w:themeColor="text1"/>
            </w:tcBorders>
          </w:tcPr>
          <w:p w14:paraId="0B44D34F" w14:textId="7F319E11" w:rsidR="009B2DCB" w:rsidRPr="00AE5356" w:rsidRDefault="000B3ACD" w:rsidP="00DF40F2">
            <w:pPr>
              <w:pStyle w:val="naisc"/>
              <w:spacing w:before="0" w:after="0"/>
              <w:jc w:val="left"/>
            </w:pPr>
            <w:r>
              <w:t>Daļēji ņemts vērā.</w:t>
            </w:r>
          </w:p>
        </w:tc>
        <w:tc>
          <w:tcPr>
            <w:tcW w:w="3544" w:type="dxa"/>
            <w:tcBorders>
              <w:top w:val="single" w:sz="4" w:space="0" w:color="auto"/>
              <w:left w:val="single" w:sz="4" w:space="0" w:color="auto"/>
              <w:bottom w:val="single" w:sz="4" w:space="0" w:color="auto"/>
            </w:tcBorders>
          </w:tcPr>
          <w:p w14:paraId="6A6B34FE" w14:textId="3E4E6153" w:rsidR="009B2DCB" w:rsidRPr="00AE5356" w:rsidRDefault="000B3ACD" w:rsidP="00AE5356">
            <w:pPr>
              <w:jc w:val="both"/>
              <w:rPr>
                <w:color w:val="000000"/>
              </w:rPr>
            </w:pPr>
            <w:r>
              <w:rPr>
                <w:color w:val="000000"/>
              </w:rPr>
              <w:t>Jau š</w:t>
            </w:r>
            <w:r w:rsidR="009300FB">
              <w:rPr>
                <w:color w:val="000000"/>
              </w:rPr>
              <w:t>o</w:t>
            </w:r>
            <w:r>
              <w:rPr>
                <w:color w:val="000000"/>
              </w:rPr>
              <w:t>brīd tekstā ir norādīts tas, ka lai stiprinātu kap</w:t>
            </w:r>
            <w:r w:rsidR="009300FB">
              <w:rPr>
                <w:color w:val="000000"/>
              </w:rPr>
              <w:t>itāla tirgu trīs Baltijas valst</w:t>
            </w:r>
            <w:r>
              <w:rPr>
                <w:color w:val="000000"/>
              </w:rPr>
              <w:t>is pl</w:t>
            </w:r>
            <w:r w:rsidR="009300FB">
              <w:rPr>
                <w:color w:val="000000"/>
              </w:rPr>
              <w:t>āno izveidot IPO fondu, ar kura</w:t>
            </w:r>
            <w:bookmarkStart w:id="0" w:name="_GoBack"/>
            <w:bookmarkEnd w:id="0"/>
            <w:r w:rsidR="009300FB">
              <w:rPr>
                <w:color w:val="000000"/>
              </w:rPr>
              <w:t xml:space="preserve"> </w:t>
            </w:r>
            <w:r>
              <w:rPr>
                <w:color w:val="000000"/>
              </w:rPr>
              <w:t>palīdzību tiks attīstīts tieši Baltijas valstu kapitāla tirgus.</w:t>
            </w:r>
          </w:p>
        </w:tc>
      </w:tr>
      <w:tr w:rsidR="009B2DCB" w:rsidRPr="00AE5356" w14:paraId="45145FF5" w14:textId="77777777" w:rsidTr="000E70CD">
        <w:tc>
          <w:tcPr>
            <w:tcW w:w="944" w:type="dxa"/>
            <w:tcBorders>
              <w:left w:val="single" w:sz="6" w:space="0" w:color="000000" w:themeColor="text1"/>
              <w:bottom w:val="single" w:sz="4" w:space="0" w:color="auto"/>
              <w:right w:val="single" w:sz="6" w:space="0" w:color="000000" w:themeColor="text1"/>
            </w:tcBorders>
          </w:tcPr>
          <w:p w14:paraId="10E67AA2"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4FB53D1"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68CB7741" w14:textId="10E8B434" w:rsidR="009B2DCB" w:rsidRPr="00AE5356" w:rsidRDefault="009B2DCB" w:rsidP="00AE5356">
            <w:pPr>
              <w:contextualSpacing/>
              <w:jc w:val="both"/>
            </w:pPr>
            <w:r w:rsidRPr="00DF40F2">
              <w:t>18. lpp., Lūdzam izvērtēt nepieciešamību papildināt informāciju attiecībā uz š.g. 24.09. EK Kapitāla tirgu savienības Rīcības plāna 9. darbībā atspoguļotajām iecerēm pilnveidot uzraudzību, informācija pieejamību un dialogu starp EK un ES dalībvalstīm par dalībvalstu pensiju sistēmām.</w:t>
            </w:r>
          </w:p>
        </w:tc>
        <w:tc>
          <w:tcPr>
            <w:tcW w:w="2835" w:type="dxa"/>
            <w:tcBorders>
              <w:left w:val="single" w:sz="6" w:space="0" w:color="000000" w:themeColor="text1"/>
              <w:bottom w:val="single" w:sz="4" w:space="0" w:color="auto"/>
              <w:right w:val="single" w:sz="6" w:space="0" w:color="000000" w:themeColor="text1"/>
            </w:tcBorders>
          </w:tcPr>
          <w:p w14:paraId="60AADC0B" w14:textId="08F7561B" w:rsidR="009B2DCB" w:rsidRPr="00AE5356" w:rsidRDefault="00D94934" w:rsidP="00AE5356">
            <w:pPr>
              <w:pStyle w:val="naisc"/>
              <w:spacing w:before="0" w:after="0"/>
              <w:jc w:val="left"/>
            </w:pPr>
            <w:r>
              <w:t>Panākta vienošanās elektroniskajā saskaņošanā 14.01.2021.</w:t>
            </w:r>
          </w:p>
        </w:tc>
        <w:tc>
          <w:tcPr>
            <w:tcW w:w="3544" w:type="dxa"/>
            <w:tcBorders>
              <w:top w:val="single" w:sz="4" w:space="0" w:color="auto"/>
              <w:left w:val="single" w:sz="4" w:space="0" w:color="auto"/>
              <w:bottom w:val="single" w:sz="4" w:space="0" w:color="auto"/>
            </w:tcBorders>
          </w:tcPr>
          <w:p w14:paraId="15C86D43" w14:textId="443F6B22" w:rsidR="009B2DCB" w:rsidRPr="00AE5356" w:rsidRDefault="000B3ACD" w:rsidP="00AE5356">
            <w:pPr>
              <w:jc w:val="both"/>
              <w:rPr>
                <w:color w:val="000000"/>
              </w:rPr>
            </w:pPr>
            <w:r w:rsidRPr="000B3ACD">
              <w:rPr>
                <w:color w:val="000000"/>
              </w:rPr>
              <w:t>ES līmeņa iniciatīvas tiek vērtētas nacionālajās pozīcijās un līdz ar to caur FSAP neti</w:t>
            </w:r>
            <w:r w:rsidR="00872E5D">
              <w:rPr>
                <w:color w:val="000000"/>
              </w:rPr>
              <w:t>e</w:t>
            </w:r>
            <w:r w:rsidRPr="000B3ACD">
              <w:rPr>
                <w:color w:val="000000"/>
              </w:rPr>
              <w:t>k formulēta nacionālā pozīcija par konkrētu ES dokum</w:t>
            </w:r>
            <w:r>
              <w:rPr>
                <w:color w:val="000000"/>
              </w:rPr>
              <w:t>en</w:t>
            </w:r>
            <w:r w:rsidRPr="000B3ACD">
              <w:rPr>
                <w:color w:val="000000"/>
              </w:rPr>
              <w:t>tu.</w:t>
            </w:r>
          </w:p>
        </w:tc>
      </w:tr>
      <w:tr w:rsidR="009B2DCB" w:rsidRPr="00AE5356" w14:paraId="1C5EC6EC" w14:textId="77777777" w:rsidTr="000E70CD">
        <w:tc>
          <w:tcPr>
            <w:tcW w:w="944" w:type="dxa"/>
            <w:tcBorders>
              <w:left w:val="single" w:sz="6" w:space="0" w:color="000000" w:themeColor="text1"/>
              <w:bottom w:val="single" w:sz="4" w:space="0" w:color="auto"/>
              <w:right w:val="single" w:sz="6" w:space="0" w:color="000000" w:themeColor="text1"/>
            </w:tcBorders>
          </w:tcPr>
          <w:p w14:paraId="39B211D2"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F627AA1"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00076E6D" w14:textId="0C891A68" w:rsidR="009B2DCB" w:rsidRPr="00DF40F2" w:rsidRDefault="009B2DCB" w:rsidP="00AE5356">
            <w:pPr>
              <w:contextualSpacing/>
              <w:jc w:val="both"/>
            </w:pPr>
            <w:r w:rsidRPr="00DF40F2">
              <w:t>19. lpp., Lūdzam precizēt laika periodu.</w:t>
            </w:r>
          </w:p>
        </w:tc>
        <w:tc>
          <w:tcPr>
            <w:tcW w:w="2835" w:type="dxa"/>
            <w:tcBorders>
              <w:left w:val="single" w:sz="6" w:space="0" w:color="000000" w:themeColor="text1"/>
              <w:bottom w:val="single" w:sz="4" w:space="0" w:color="auto"/>
              <w:right w:val="single" w:sz="6" w:space="0" w:color="000000" w:themeColor="text1"/>
            </w:tcBorders>
          </w:tcPr>
          <w:p w14:paraId="3823E97F" w14:textId="77777777" w:rsidR="009B2DCB" w:rsidRPr="00AE5356" w:rsidRDefault="000B3ACD" w:rsidP="00AE5356">
            <w:pPr>
              <w:pStyle w:val="naisc"/>
              <w:spacing w:before="0" w:after="0"/>
            </w:pPr>
            <w:r>
              <w:t>Ņemts vērā</w:t>
            </w:r>
          </w:p>
        </w:tc>
        <w:tc>
          <w:tcPr>
            <w:tcW w:w="3544" w:type="dxa"/>
            <w:tcBorders>
              <w:top w:val="single" w:sz="4" w:space="0" w:color="auto"/>
              <w:left w:val="single" w:sz="4" w:space="0" w:color="auto"/>
              <w:bottom w:val="single" w:sz="4" w:space="0" w:color="auto"/>
            </w:tcBorders>
          </w:tcPr>
          <w:p w14:paraId="54C172D2" w14:textId="77777777" w:rsidR="009B2DCB" w:rsidRPr="00AE5356" w:rsidRDefault="000B3ACD" w:rsidP="00AE5356">
            <w:pPr>
              <w:jc w:val="both"/>
              <w:rPr>
                <w:color w:val="000000"/>
              </w:rPr>
            </w:pPr>
            <w:r>
              <w:rPr>
                <w:color w:val="000000"/>
              </w:rPr>
              <w:t>Teksts precizēts.</w:t>
            </w:r>
          </w:p>
        </w:tc>
      </w:tr>
      <w:tr w:rsidR="009B2DCB" w:rsidRPr="00AE5356" w14:paraId="7DA75BD6" w14:textId="77777777" w:rsidTr="000E70CD">
        <w:tc>
          <w:tcPr>
            <w:tcW w:w="944" w:type="dxa"/>
            <w:tcBorders>
              <w:left w:val="single" w:sz="6" w:space="0" w:color="000000" w:themeColor="text1"/>
              <w:bottom w:val="single" w:sz="4" w:space="0" w:color="auto"/>
              <w:right w:val="single" w:sz="6" w:space="0" w:color="000000" w:themeColor="text1"/>
            </w:tcBorders>
          </w:tcPr>
          <w:p w14:paraId="2087EDA5"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19B4A84A"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6173AAFB" w14:textId="77777777" w:rsidR="009B2DCB" w:rsidRPr="00DF40F2" w:rsidRDefault="009B2DCB" w:rsidP="00AE5356">
            <w:pPr>
              <w:contextualSpacing/>
              <w:jc w:val="both"/>
            </w:pPr>
            <w:r w:rsidRPr="00DF40F2">
              <w:t xml:space="preserve">20. lpp., Lūdzam precizēt rindkopu, jo šobrīd tā nav skaidra. 2016. gadā pēc OECD datiem komisijas maksa brīvprātīgajiem pensiju fondiem bija salīdzinoši augsta, bet 2018. gada vidū tā samazinājās? Kāda ir komisijas maksa 2019. gadā, vai turpināja samazināties? </w:t>
            </w:r>
          </w:p>
          <w:p w14:paraId="42A8CE16" w14:textId="2D734DC7" w:rsidR="009B2DCB" w:rsidRPr="00DF40F2" w:rsidRDefault="009B2DCB" w:rsidP="00AE5356">
            <w:pPr>
              <w:contextualSpacing/>
              <w:jc w:val="both"/>
            </w:pPr>
            <w:r w:rsidRPr="00DF40F2">
              <w:t>Ierosinām šādu formulējumu - lai gan 2018. gada vidū komisijas maksa samazinājās, tā joprojām paliek [aktuālā komisijas maksa], kas joprojām ir starp austākajiem rādītājiem OECD dalībvalstu starpā.</w:t>
            </w:r>
          </w:p>
        </w:tc>
        <w:tc>
          <w:tcPr>
            <w:tcW w:w="2835" w:type="dxa"/>
            <w:tcBorders>
              <w:left w:val="single" w:sz="6" w:space="0" w:color="000000" w:themeColor="text1"/>
              <w:bottom w:val="single" w:sz="4" w:space="0" w:color="auto"/>
              <w:right w:val="single" w:sz="6" w:space="0" w:color="000000" w:themeColor="text1"/>
            </w:tcBorders>
          </w:tcPr>
          <w:p w14:paraId="60F70C77" w14:textId="7D9C0E0C" w:rsidR="009B2DCB" w:rsidRPr="00AE5356" w:rsidRDefault="00D94934" w:rsidP="00AE5356">
            <w:pPr>
              <w:pStyle w:val="naisc"/>
              <w:spacing w:before="0" w:after="0"/>
              <w:jc w:val="left"/>
            </w:pPr>
            <w:r>
              <w:t>Panākta vienošanās elektroniskajā saskaņošanā 14.01.2021.</w:t>
            </w:r>
          </w:p>
        </w:tc>
        <w:tc>
          <w:tcPr>
            <w:tcW w:w="3544" w:type="dxa"/>
            <w:tcBorders>
              <w:top w:val="single" w:sz="4" w:space="0" w:color="auto"/>
              <w:left w:val="single" w:sz="4" w:space="0" w:color="auto"/>
              <w:bottom w:val="single" w:sz="4" w:space="0" w:color="auto"/>
            </w:tcBorders>
          </w:tcPr>
          <w:p w14:paraId="00A60F58" w14:textId="1923DF63" w:rsidR="009B2DCB" w:rsidRPr="00AE5356" w:rsidRDefault="000B3ACD" w:rsidP="00AE5356">
            <w:pPr>
              <w:jc w:val="both"/>
              <w:rPr>
                <w:color w:val="000000"/>
              </w:rPr>
            </w:pPr>
            <w:r>
              <w:rPr>
                <w:color w:val="000000"/>
              </w:rPr>
              <w:t>Attiecībā uz komisijas maksām 2018.gadā tika veiktas reformas, tomēr konkrētu k</w:t>
            </w:r>
            <w:r w:rsidR="00872E5D">
              <w:rPr>
                <w:color w:val="000000"/>
              </w:rPr>
              <w:t>omisijas maksu noteikšanas prin</w:t>
            </w:r>
            <w:r>
              <w:rPr>
                <w:color w:val="000000"/>
              </w:rPr>
              <w:t>cipi atbilstoši jaunajam regulējumam ir kredītiestāžu vai pensijas fondu atbildībā.</w:t>
            </w:r>
          </w:p>
        </w:tc>
      </w:tr>
      <w:tr w:rsidR="009B2DCB" w:rsidRPr="00AE5356" w14:paraId="4338B353" w14:textId="77777777" w:rsidTr="000E70CD">
        <w:tc>
          <w:tcPr>
            <w:tcW w:w="944" w:type="dxa"/>
            <w:tcBorders>
              <w:left w:val="single" w:sz="6" w:space="0" w:color="000000" w:themeColor="text1"/>
              <w:bottom w:val="single" w:sz="4" w:space="0" w:color="auto"/>
              <w:right w:val="single" w:sz="6" w:space="0" w:color="000000" w:themeColor="text1"/>
            </w:tcBorders>
          </w:tcPr>
          <w:p w14:paraId="187B1BC7"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45E56A0C"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0D223683" w14:textId="6FE781F8" w:rsidR="009B2DCB" w:rsidRPr="00DF40F2" w:rsidRDefault="009B2DCB" w:rsidP="00AE5356">
            <w:pPr>
              <w:contextualSpacing/>
              <w:jc w:val="both"/>
            </w:pPr>
            <w:r w:rsidRPr="00DF40F2">
              <w:t xml:space="preserve">21. lpp., Lūdzam izvērtēt iespēju šajā sadaļā iekļaut informāciju par EK CMU jaunā rīcības plāna 3. darbības punktu, kurš paredz pārskatīt tiesisko regulējumu Eiropas ilgtermiņa </w:t>
            </w:r>
            <w:r w:rsidRPr="00DF40F2">
              <w:lastRenderedPageBreak/>
              <w:t>ieguldījumu fondiem (ELTIF), lai pilnveidotu ES līmeņa piesardzības pasākumus ar mērķi stiprināt noturību uzņēmumu maksātspējai</w:t>
            </w:r>
          </w:p>
        </w:tc>
        <w:tc>
          <w:tcPr>
            <w:tcW w:w="2835" w:type="dxa"/>
            <w:tcBorders>
              <w:left w:val="single" w:sz="6" w:space="0" w:color="000000" w:themeColor="text1"/>
              <w:bottom w:val="single" w:sz="4" w:space="0" w:color="auto"/>
              <w:right w:val="single" w:sz="6" w:space="0" w:color="000000" w:themeColor="text1"/>
            </w:tcBorders>
          </w:tcPr>
          <w:p w14:paraId="7492057F" w14:textId="0C577EA1" w:rsidR="009B2DCB" w:rsidRPr="00AE5356" w:rsidRDefault="00D94934" w:rsidP="00AE5356">
            <w:pPr>
              <w:pStyle w:val="naisc"/>
              <w:spacing w:before="0" w:after="0"/>
              <w:jc w:val="left"/>
            </w:pPr>
            <w:r>
              <w:lastRenderedPageBreak/>
              <w:t>Panākta vienošanās elektroniskajā saskaņošanā 14.01.2021.</w:t>
            </w:r>
          </w:p>
        </w:tc>
        <w:tc>
          <w:tcPr>
            <w:tcW w:w="3544" w:type="dxa"/>
            <w:tcBorders>
              <w:top w:val="single" w:sz="4" w:space="0" w:color="auto"/>
              <w:left w:val="single" w:sz="4" w:space="0" w:color="auto"/>
              <w:bottom w:val="single" w:sz="4" w:space="0" w:color="auto"/>
            </w:tcBorders>
          </w:tcPr>
          <w:p w14:paraId="20E9C509" w14:textId="3C83F113" w:rsidR="009B2DCB" w:rsidRPr="00AE5356" w:rsidRDefault="000B3ACD" w:rsidP="00AE5356">
            <w:pPr>
              <w:jc w:val="both"/>
              <w:rPr>
                <w:color w:val="000000"/>
              </w:rPr>
            </w:pPr>
            <w:r w:rsidRPr="000B3ACD">
              <w:rPr>
                <w:color w:val="000000"/>
              </w:rPr>
              <w:t>ES līmeņa iniciatīvas tiek vērtētas nacionālajās pozīcijās un līdz ar to caur FSAP neti</w:t>
            </w:r>
            <w:r w:rsidR="00872E5D">
              <w:rPr>
                <w:color w:val="000000"/>
              </w:rPr>
              <w:t>e</w:t>
            </w:r>
            <w:r w:rsidRPr="000B3ACD">
              <w:rPr>
                <w:color w:val="000000"/>
              </w:rPr>
              <w:t xml:space="preserve">k formulēta </w:t>
            </w:r>
            <w:r w:rsidRPr="000B3ACD">
              <w:rPr>
                <w:color w:val="000000"/>
              </w:rPr>
              <w:lastRenderedPageBreak/>
              <w:t>nacionālā pozīcija par konkrētu ES dokum</w:t>
            </w:r>
            <w:r>
              <w:rPr>
                <w:color w:val="000000"/>
              </w:rPr>
              <w:t>en</w:t>
            </w:r>
            <w:r w:rsidRPr="000B3ACD">
              <w:rPr>
                <w:color w:val="000000"/>
              </w:rPr>
              <w:t>tu.</w:t>
            </w:r>
          </w:p>
        </w:tc>
      </w:tr>
      <w:tr w:rsidR="009B2DCB" w:rsidRPr="00AE5356" w14:paraId="5F651C95" w14:textId="77777777" w:rsidTr="000E70CD">
        <w:tc>
          <w:tcPr>
            <w:tcW w:w="944" w:type="dxa"/>
            <w:tcBorders>
              <w:left w:val="single" w:sz="6" w:space="0" w:color="000000" w:themeColor="text1"/>
              <w:bottom w:val="single" w:sz="4" w:space="0" w:color="auto"/>
              <w:right w:val="single" w:sz="6" w:space="0" w:color="000000" w:themeColor="text1"/>
            </w:tcBorders>
          </w:tcPr>
          <w:p w14:paraId="714454CF"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65768B59"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0FCCC2CE" w14:textId="523A5380" w:rsidR="009B2DCB" w:rsidRPr="00DF40F2" w:rsidRDefault="009B2DCB" w:rsidP="00AE5356">
            <w:pPr>
              <w:contextualSpacing/>
              <w:jc w:val="both"/>
            </w:pPr>
            <w:r w:rsidRPr="00DF40F2">
              <w:t>23. lpp., EK CMU jaunais Rīcības plāns ir vērsts ne tikai uz uzņēmumiem, bet arī uz iedzīvotājiem, norādot, ka finanšu pratība ir būtiska (Rīcības plāna 7. darbība), lai iedzīvotāji pieņemtu informētus lēmumus par saviem finanšu ieguldījumiem, tādējādi nodrošinot ilgtspējīgus ieņēmumus. Lūgums izvērtēt šī aspekta iekļaušanu nacionālajā finanšu sektora attīstības plānā 2021.-2023.gadam.</w:t>
            </w:r>
          </w:p>
        </w:tc>
        <w:tc>
          <w:tcPr>
            <w:tcW w:w="2835" w:type="dxa"/>
            <w:tcBorders>
              <w:left w:val="single" w:sz="6" w:space="0" w:color="000000" w:themeColor="text1"/>
              <w:bottom w:val="single" w:sz="4" w:space="0" w:color="auto"/>
              <w:right w:val="single" w:sz="6" w:space="0" w:color="000000" w:themeColor="text1"/>
            </w:tcBorders>
          </w:tcPr>
          <w:p w14:paraId="3D5A1AC6" w14:textId="06C813BE" w:rsidR="009B2DCB" w:rsidRPr="00AE5356" w:rsidRDefault="00D94934" w:rsidP="00DF40F2">
            <w:pPr>
              <w:pStyle w:val="naisc"/>
              <w:spacing w:before="0" w:after="0"/>
              <w:jc w:val="left"/>
            </w:pPr>
            <w:r>
              <w:t>Panākta vienošanās elektroniskajā saskaņošanā 14.01.2021.</w:t>
            </w:r>
          </w:p>
        </w:tc>
        <w:tc>
          <w:tcPr>
            <w:tcW w:w="3544" w:type="dxa"/>
            <w:tcBorders>
              <w:top w:val="single" w:sz="4" w:space="0" w:color="auto"/>
              <w:left w:val="single" w:sz="4" w:space="0" w:color="auto"/>
              <w:bottom w:val="single" w:sz="4" w:space="0" w:color="auto"/>
            </w:tcBorders>
          </w:tcPr>
          <w:p w14:paraId="44C1F1C6" w14:textId="4BDC18A3" w:rsidR="009B2DCB" w:rsidRPr="00AE5356" w:rsidRDefault="000B3ACD" w:rsidP="00AE5356">
            <w:pPr>
              <w:jc w:val="both"/>
              <w:rPr>
                <w:color w:val="000000"/>
              </w:rPr>
            </w:pPr>
            <w:r w:rsidRPr="000B3ACD">
              <w:rPr>
                <w:color w:val="000000"/>
              </w:rPr>
              <w:t>ES līmeņa iniciatīvas tiek vērtētas nacionālajās pozīcijās un līdz ar to caur FSAP neti</w:t>
            </w:r>
            <w:r w:rsidR="00872E5D">
              <w:rPr>
                <w:color w:val="000000"/>
              </w:rPr>
              <w:t>e</w:t>
            </w:r>
            <w:r w:rsidRPr="000B3ACD">
              <w:rPr>
                <w:color w:val="000000"/>
              </w:rPr>
              <w:t>k formulēta nacionālā pozīcija par konkrētu ES dokumentu.</w:t>
            </w:r>
            <w:r>
              <w:rPr>
                <w:color w:val="000000"/>
              </w:rPr>
              <w:t xml:space="preserve"> Papildus </w:t>
            </w:r>
            <w:r w:rsidRPr="002C4967">
              <w:rPr>
                <w:color w:val="000000"/>
              </w:rPr>
              <w:t>Finanšu un kapitāla tirgus komisija izstrādā stratēģiju finanšu pratības jomā, kurā tiks paredzēti detalizēti pasākumi visās jomās</w:t>
            </w:r>
            <w:r>
              <w:rPr>
                <w:color w:val="000000"/>
              </w:rPr>
              <w:t>. Šis jautājums risināms ar FKTK stratēģijas palīdzību un konkrētu pasākumu plānošanu.</w:t>
            </w:r>
          </w:p>
        </w:tc>
      </w:tr>
      <w:tr w:rsidR="009B2DCB" w:rsidRPr="00AE5356" w14:paraId="53E941B8" w14:textId="77777777" w:rsidTr="000E70CD">
        <w:tc>
          <w:tcPr>
            <w:tcW w:w="944" w:type="dxa"/>
            <w:tcBorders>
              <w:left w:val="single" w:sz="6" w:space="0" w:color="000000" w:themeColor="text1"/>
              <w:bottom w:val="single" w:sz="4" w:space="0" w:color="auto"/>
              <w:right w:val="single" w:sz="6" w:space="0" w:color="000000" w:themeColor="text1"/>
            </w:tcBorders>
          </w:tcPr>
          <w:p w14:paraId="4506704C"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230EEA3B" w14:textId="6C2B3493" w:rsidR="009B2DCB" w:rsidRPr="00AE5356" w:rsidRDefault="00A549DB" w:rsidP="00AE5356">
            <w:pPr>
              <w:pStyle w:val="naisc"/>
              <w:spacing w:before="0" w:after="0"/>
            </w:pPr>
            <w:r w:rsidRPr="00A76FC3">
              <w:t>Covid-19 pandēmija ir izcēlusi nepieciešamību paātrināt digitālo pāreju.</w:t>
            </w:r>
            <w:r>
              <w:t xml:space="preserve"> Šī pāreja būs kritiski svarīga ekonomikas</w:t>
            </w:r>
            <w:r w:rsidRPr="00A76FC3">
              <w:t xml:space="preserve"> </w:t>
            </w:r>
            <w:r>
              <w:t>atveseļošanā</w:t>
            </w:r>
            <w:r w:rsidRPr="00A76FC3">
              <w:t xml:space="preserve">, lai nodrošinātu tehnoloģisko </w:t>
            </w:r>
            <w:r>
              <w:t>neatkarību</w:t>
            </w:r>
            <w:r w:rsidRPr="00A76FC3">
              <w:t>, konkurētspēj</w:t>
            </w:r>
            <w:r>
              <w:t>u</w:t>
            </w:r>
            <w:r w:rsidRPr="00A76FC3">
              <w:t>, zaļ</w:t>
            </w:r>
            <w:r>
              <w:t>o</w:t>
            </w:r>
            <w:r w:rsidRPr="00A76FC3">
              <w:t xml:space="preserve"> pārej</w:t>
            </w:r>
            <w:r>
              <w:t>u</w:t>
            </w:r>
            <w:r w:rsidRPr="00A76FC3">
              <w:t>, darba vietu veidošan</w:t>
            </w:r>
            <w:r>
              <w:t>u</w:t>
            </w:r>
            <w:r w:rsidRPr="00A76FC3">
              <w:t xml:space="preserve"> un iedzīvotāju dzīves apstākļu uzlabošan</w:t>
            </w:r>
            <w:r>
              <w:t>u</w:t>
            </w:r>
            <w:r w:rsidRPr="00A76FC3">
              <w:t>.</w:t>
            </w:r>
          </w:p>
        </w:tc>
        <w:tc>
          <w:tcPr>
            <w:tcW w:w="4819" w:type="dxa"/>
            <w:gridSpan w:val="2"/>
            <w:tcBorders>
              <w:left w:val="single" w:sz="6" w:space="0" w:color="000000" w:themeColor="text1"/>
              <w:bottom w:val="single" w:sz="4" w:space="0" w:color="auto"/>
              <w:right w:val="single" w:sz="6" w:space="0" w:color="000000" w:themeColor="text1"/>
            </w:tcBorders>
          </w:tcPr>
          <w:p w14:paraId="0E3C8C03" w14:textId="613E6730" w:rsidR="009B2DCB" w:rsidRPr="00DF40F2" w:rsidRDefault="009B2DCB" w:rsidP="00AE5356">
            <w:pPr>
              <w:contextualSpacing/>
              <w:jc w:val="both"/>
            </w:pPr>
            <w:r w:rsidRPr="00DF40F2">
              <w:t>35. lpp., Ierosinām mīkstināt apgalvojumu, ņemot vērā, ka ekonomikas atveseļošanas procesam paredzēts pienesums gan no ilgtermiņa ES klimata mērķu īstenošanas, gan pārejas uz digitalizāciju.</w:t>
            </w:r>
          </w:p>
        </w:tc>
        <w:tc>
          <w:tcPr>
            <w:tcW w:w="2835" w:type="dxa"/>
            <w:tcBorders>
              <w:left w:val="single" w:sz="6" w:space="0" w:color="000000" w:themeColor="text1"/>
              <w:bottom w:val="single" w:sz="4" w:space="0" w:color="auto"/>
              <w:right w:val="single" w:sz="6" w:space="0" w:color="000000" w:themeColor="text1"/>
            </w:tcBorders>
          </w:tcPr>
          <w:p w14:paraId="43D419DE" w14:textId="5250A023" w:rsidR="009B2DCB" w:rsidRPr="00AE5356" w:rsidRDefault="009B2DCB" w:rsidP="00AE5356">
            <w:pPr>
              <w:pStyle w:val="naisc"/>
              <w:spacing w:before="0" w:after="0"/>
              <w:jc w:val="left"/>
            </w:pPr>
            <w:r w:rsidRPr="00AE5356">
              <w:t>Ņemts vērā.</w:t>
            </w:r>
          </w:p>
        </w:tc>
        <w:tc>
          <w:tcPr>
            <w:tcW w:w="3544" w:type="dxa"/>
            <w:tcBorders>
              <w:top w:val="single" w:sz="4" w:space="0" w:color="auto"/>
              <w:left w:val="single" w:sz="4" w:space="0" w:color="auto"/>
              <w:bottom w:val="single" w:sz="4" w:space="0" w:color="auto"/>
            </w:tcBorders>
          </w:tcPr>
          <w:p w14:paraId="3AF13E21" w14:textId="0C4A48E3" w:rsidR="009B2DCB" w:rsidRPr="00AE5356" w:rsidRDefault="000B3ACD" w:rsidP="00A549DB">
            <w:pPr>
              <w:jc w:val="both"/>
              <w:rPr>
                <w:color w:val="000000"/>
              </w:rPr>
            </w:pPr>
            <w:r>
              <w:rPr>
                <w:color w:val="000000"/>
              </w:rPr>
              <w:t>Teksts precizēts.</w:t>
            </w:r>
            <w:r w:rsidR="00A549DB" w:rsidRPr="00A549DB">
              <w:rPr>
                <w:color w:val="000000"/>
              </w:rPr>
              <w:t>Covid-19 pandēmija ir izcēlusi nepieciešamību paātrināt</w:t>
            </w:r>
            <w:r w:rsidR="00A549DB">
              <w:rPr>
                <w:color w:val="000000"/>
              </w:rPr>
              <w:t xml:space="preserve"> digitālo pāreju. Šī pāreja būs </w:t>
            </w:r>
            <w:r w:rsidR="00A549DB" w:rsidRPr="00A549DB">
              <w:rPr>
                <w:color w:val="000000"/>
              </w:rPr>
              <w:t>svarīga ekonomikas atveseļošanā, lai nodrošinātu tehnoloģisko neatkarību, konkurētspēju, zaļo pāreju, darba vietu veidošanu un iedzīvotāju dzīves apstākļu uzlabošanu.</w:t>
            </w:r>
          </w:p>
        </w:tc>
      </w:tr>
      <w:tr w:rsidR="009B2DCB" w:rsidRPr="00AE5356" w14:paraId="04CEE4D2" w14:textId="77777777" w:rsidTr="000E70CD">
        <w:tc>
          <w:tcPr>
            <w:tcW w:w="944" w:type="dxa"/>
            <w:tcBorders>
              <w:left w:val="single" w:sz="6" w:space="0" w:color="000000" w:themeColor="text1"/>
              <w:bottom w:val="single" w:sz="4" w:space="0" w:color="auto"/>
              <w:right w:val="single" w:sz="6" w:space="0" w:color="000000" w:themeColor="text1"/>
            </w:tcBorders>
          </w:tcPr>
          <w:p w14:paraId="368AFF7E"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D7861D6" w14:textId="0DD58901" w:rsidR="009B2DCB" w:rsidRPr="00AE5356" w:rsidRDefault="006C48D5" w:rsidP="006C48D5">
            <w:pPr>
              <w:pStyle w:val="naisc"/>
              <w:spacing w:before="0" w:after="0"/>
            </w:pPr>
            <w:r w:rsidRPr="006C48D5">
              <w:t>Pilotrežīma mērķis ir iegūt pieredzi, pārbaudot tehnoloģijas darbību praksē.</w:t>
            </w:r>
          </w:p>
        </w:tc>
        <w:tc>
          <w:tcPr>
            <w:tcW w:w="4819" w:type="dxa"/>
            <w:gridSpan w:val="2"/>
            <w:tcBorders>
              <w:left w:val="single" w:sz="6" w:space="0" w:color="000000" w:themeColor="text1"/>
              <w:bottom w:val="single" w:sz="4" w:space="0" w:color="auto"/>
              <w:right w:val="single" w:sz="6" w:space="0" w:color="000000" w:themeColor="text1"/>
            </w:tcBorders>
          </w:tcPr>
          <w:p w14:paraId="5E4E1925" w14:textId="05532C78" w:rsidR="009B2DCB" w:rsidRPr="00AE5356" w:rsidRDefault="009B2DCB" w:rsidP="00AE5356">
            <w:pPr>
              <w:contextualSpacing/>
              <w:jc w:val="both"/>
            </w:pPr>
            <w:r w:rsidRPr="00DF40F2">
              <w:t xml:space="preserve">38. lpp., Lūdzam precizēt, vai pilotrežīmam ir plānota sasaiste ar ES līmeņa pasākumiem cīņai pret noziedzīgi iegūtu līdzekļu legalizāciju un terorisma finansēšanu (AML/CFT). Proti, </w:t>
            </w:r>
            <w:r w:rsidRPr="00DF40F2">
              <w:lastRenderedPageBreak/>
              <w:t>iespējas veidot tiesisko satvaru pārvaldības, noregulējuma un uzraudzības mehānismiem, noteikumiem, standartiem un piesardzības prasībām, AML/CFT kontekstā.</w:t>
            </w:r>
          </w:p>
        </w:tc>
        <w:tc>
          <w:tcPr>
            <w:tcW w:w="2835" w:type="dxa"/>
            <w:tcBorders>
              <w:left w:val="single" w:sz="6" w:space="0" w:color="000000" w:themeColor="text1"/>
              <w:bottom w:val="single" w:sz="4" w:space="0" w:color="auto"/>
              <w:right w:val="single" w:sz="6" w:space="0" w:color="000000" w:themeColor="text1"/>
            </w:tcBorders>
          </w:tcPr>
          <w:p w14:paraId="75278870" w14:textId="75836345" w:rsidR="009B2DCB" w:rsidRPr="00AE5356" w:rsidRDefault="00485CAD" w:rsidP="00AE5356">
            <w:pPr>
              <w:pStyle w:val="naisc"/>
              <w:spacing w:before="0" w:after="0"/>
              <w:jc w:val="left"/>
            </w:pPr>
            <w:r w:rsidRPr="00AE5356">
              <w:lastRenderedPageBreak/>
              <w:t>Ņemts vērā.</w:t>
            </w:r>
          </w:p>
        </w:tc>
        <w:tc>
          <w:tcPr>
            <w:tcW w:w="3544" w:type="dxa"/>
            <w:tcBorders>
              <w:top w:val="single" w:sz="4" w:space="0" w:color="auto"/>
              <w:left w:val="single" w:sz="4" w:space="0" w:color="auto"/>
              <w:bottom w:val="single" w:sz="4" w:space="0" w:color="auto"/>
            </w:tcBorders>
          </w:tcPr>
          <w:p w14:paraId="08AA3564" w14:textId="7520592C" w:rsidR="009B2DCB" w:rsidRPr="00AE5356" w:rsidRDefault="00522BD6" w:rsidP="00522BD6">
            <w:pPr>
              <w:jc w:val="both"/>
              <w:rPr>
                <w:color w:val="000000"/>
              </w:rPr>
            </w:pPr>
            <w:r w:rsidRPr="00522BD6">
              <w:rPr>
                <w:color w:val="000000"/>
              </w:rPr>
              <w:t>Pilotr</w:t>
            </w:r>
            <w:r>
              <w:rPr>
                <w:color w:val="000000"/>
              </w:rPr>
              <w:t xml:space="preserve">ežīma mērķis ir iegūt pieredzi, </w:t>
            </w:r>
            <w:r w:rsidR="00A21EDF" w:rsidRPr="00AE5356">
              <w:rPr>
                <w:color w:val="000000"/>
              </w:rPr>
              <w:t>pārbaudot tehnoloģijas darbību praksē.</w:t>
            </w:r>
            <w:r w:rsidRPr="00522BD6">
              <w:rPr>
                <w:color w:val="000000"/>
              </w:rPr>
              <w:t xml:space="preserve">atbalstīt inovācijas, nodrošināt paredzamu regulējumu, </w:t>
            </w:r>
            <w:r w:rsidRPr="00522BD6">
              <w:rPr>
                <w:color w:val="000000"/>
              </w:rPr>
              <w:lastRenderedPageBreak/>
              <w:t>ierobežot krāpšanas un noziedzīgi iegūtu līdzekļu legalizācijas riskus kripto aktīvu tirgos, nodrošināt patērētāju aizsardzību un finanšu stabilitāti.</w:t>
            </w:r>
          </w:p>
        </w:tc>
      </w:tr>
      <w:tr w:rsidR="009B2DCB" w:rsidRPr="00AE5356" w14:paraId="1DBDD3CD" w14:textId="77777777" w:rsidTr="000E70CD">
        <w:tc>
          <w:tcPr>
            <w:tcW w:w="944" w:type="dxa"/>
            <w:tcBorders>
              <w:left w:val="single" w:sz="6" w:space="0" w:color="000000" w:themeColor="text1"/>
              <w:bottom w:val="single" w:sz="4" w:space="0" w:color="auto"/>
              <w:right w:val="single" w:sz="6" w:space="0" w:color="000000" w:themeColor="text1"/>
            </w:tcBorders>
          </w:tcPr>
          <w:p w14:paraId="102CF534"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27C7861D"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3842B638" w14:textId="77777777" w:rsidR="009B2DCB" w:rsidRPr="00DF40F2" w:rsidRDefault="009B2DCB" w:rsidP="00AE5356">
            <w:pPr>
              <w:contextualSpacing/>
              <w:jc w:val="both"/>
            </w:pPr>
            <w:r w:rsidRPr="00DF40F2">
              <w:t>38. lpp., Ierosinām papildināt informāciju ar šādu digitāla eiro idejas virsmērķi.</w:t>
            </w:r>
          </w:p>
          <w:p w14:paraId="03397EB5" w14:textId="77777777" w:rsidR="009B2DCB" w:rsidRPr="00DF40F2" w:rsidRDefault="009B2DCB" w:rsidP="00AE5356">
            <w:pPr>
              <w:contextualSpacing/>
              <w:jc w:val="both"/>
            </w:pPr>
            <w:r w:rsidRPr="00DF40F2">
              <w:t>Lūdzam saskaņot piedāvāto formulējumu  ar Latvijas Banku.</w:t>
            </w:r>
          </w:p>
          <w:p w14:paraId="2C70BF2F" w14:textId="200831C8" w:rsidR="009B2DCB" w:rsidRPr="00AE5356" w:rsidRDefault="009B2DCB" w:rsidP="00AE5356">
            <w:pPr>
              <w:contextualSpacing/>
              <w:jc w:val="both"/>
            </w:pPr>
            <w:r w:rsidRPr="00DF40F2">
              <w:t>Digitālā eiro mērķis būtu ieviest drošu digitālās valūtas formu dažādiem finanšu darījumu norēķiniem, tādējādi papildinot skaidras naudas izmantošanu.</w:t>
            </w:r>
          </w:p>
        </w:tc>
        <w:tc>
          <w:tcPr>
            <w:tcW w:w="2835" w:type="dxa"/>
            <w:tcBorders>
              <w:left w:val="single" w:sz="6" w:space="0" w:color="000000" w:themeColor="text1"/>
              <w:bottom w:val="single" w:sz="4" w:space="0" w:color="auto"/>
              <w:right w:val="single" w:sz="6" w:space="0" w:color="000000" w:themeColor="text1"/>
            </w:tcBorders>
          </w:tcPr>
          <w:p w14:paraId="7C632DD6" w14:textId="0BA1580D" w:rsidR="009B2DCB" w:rsidRPr="00AE5356" w:rsidRDefault="00A21EDF" w:rsidP="00DF40F2">
            <w:pPr>
              <w:pStyle w:val="naisc"/>
              <w:spacing w:before="0" w:after="0"/>
              <w:jc w:val="left"/>
            </w:pPr>
            <w:r w:rsidRPr="00AE5356">
              <w:t>Ņemts vērā.</w:t>
            </w:r>
          </w:p>
        </w:tc>
        <w:tc>
          <w:tcPr>
            <w:tcW w:w="3544" w:type="dxa"/>
            <w:tcBorders>
              <w:top w:val="single" w:sz="4" w:space="0" w:color="auto"/>
              <w:left w:val="single" w:sz="4" w:space="0" w:color="auto"/>
              <w:bottom w:val="single" w:sz="4" w:space="0" w:color="auto"/>
            </w:tcBorders>
          </w:tcPr>
          <w:p w14:paraId="03E25AB0" w14:textId="18920FF6" w:rsidR="009B2DCB" w:rsidRPr="00AE5356" w:rsidRDefault="00A21EDF" w:rsidP="00AE5356">
            <w:pPr>
              <w:jc w:val="both"/>
              <w:rPr>
                <w:color w:val="000000"/>
              </w:rPr>
            </w:pPr>
            <w:r w:rsidRPr="00AE5356">
              <w:rPr>
                <w:color w:val="000000"/>
              </w:rPr>
              <w:t>Digitālā eiro mērķis būtu ieviest drošu digitālās valūtas formu dažādiem finanšu darījumu norēķiniem, tādējādi papildinot skaidras naudas izmantošanu.</w:t>
            </w:r>
          </w:p>
        </w:tc>
      </w:tr>
      <w:tr w:rsidR="009B2DCB" w:rsidRPr="00AE5356" w14:paraId="1B638D41" w14:textId="77777777" w:rsidTr="000E70CD">
        <w:tc>
          <w:tcPr>
            <w:tcW w:w="944" w:type="dxa"/>
            <w:tcBorders>
              <w:left w:val="single" w:sz="6" w:space="0" w:color="000000" w:themeColor="text1"/>
              <w:bottom w:val="single" w:sz="4" w:space="0" w:color="auto"/>
              <w:right w:val="single" w:sz="6" w:space="0" w:color="000000" w:themeColor="text1"/>
            </w:tcBorders>
          </w:tcPr>
          <w:p w14:paraId="16732C5A"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5B793A1B"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54B70D9A" w14:textId="3AA83F5D" w:rsidR="009B2DCB" w:rsidRPr="00AE5356" w:rsidRDefault="009B2DCB" w:rsidP="00AE5356">
            <w:pPr>
              <w:contextualSpacing/>
              <w:jc w:val="both"/>
            </w:pPr>
            <w:r w:rsidRPr="00DF40F2">
              <w:t xml:space="preserve">40. lpp., </w:t>
            </w:r>
            <w:bookmarkStart w:id="1" w:name="_Hlk56672367"/>
            <w:r w:rsidRPr="00DF40F2">
              <w:t>Lūdzam īsi precizēt kādā veidā  minētās inovācijas atšķiras no jau esošiem citiem maksājumu veidiem? Kāpēc tieši uzņēmējiem tas būs izdevīgāk? Ātrāka piekļuve gūtajiem ienākumiem?</w:t>
            </w:r>
            <w:bookmarkEnd w:id="1"/>
          </w:p>
        </w:tc>
        <w:tc>
          <w:tcPr>
            <w:tcW w:w="2835" w:type="dxa"/>
            <w:tcBorders>
              <w:left w:val="single" w:sz="6" w:space="0" w:color="000000" w:themeColor="text1"/>
              <w:bottom w:val="single" w:sz="4" w:space="0" w:color="auto"/>
              <w:right w:val="single" w:sz="6" w:space="0" w:color="000000" w:themeColor="text1"/>
            </w:tcBorders>
          </w:tcPr>
          <w:p w14:paraId="0D91A716" w14:textId="130004CC" w:rsidR="009B2DCB" w:rsidRPr="00AE5356" w:rsidRDefault="00A21EDF" w:rsidP="00DF40F2">
            <w:pPr>
              <w:pStyle w:val="naisc"/>
              <w:spacing w:before="0" w:after="0"/>
              <w:jc w:val="left"/>
            </w:pPr>
            <w:r w:rsidRPr="00AE5356">
              <w:t>Ņemts vērā.</w:t>
            </w:r>
          </w:p>
        </w:tc>
        <w:tc>
          <w:tcPr>
            <w:tcW w:w="3544" w:type="dxa"/>
            <w:tcBorders>
              <w:top w:val="single" w:sz="4" w:space="0" w:color="auto"/>
              <w:left w:val="single" w:sz="4" w:space="0" w:color="auto"/>
              <w:bottom w:val="single" w:sz="4" w:space="0" w:color="auto"/>
            </w:tcBorders>
          </w:tcPr>
          <w:p w14:paraId="27C3BE2D" w14:textId="5B2E574F" w:rsidR="009B2DCB" w:rsidRPr="00AE5356" w:rsidRDefault="00A21EDF" w:rsidP="00AE5356">
            <w:pPr>
              <w:jc w:val="both"/>
              <w:rPr>
                <w:color w:val="000000"/>
              </w:rPr>
            </w:pPr>
            <w:r w:rsidRPr="00AE5356">
              <w:rPr>
                <w:color w:val="000000"/>
              </w:rPr>
              <w:t xml:space="preserve">Šī inovācija </w:t>
            </w:r>
            <w:r w:rsidR="008057FE" w:rsidRPr="00AE5356">
              <w:t>gan uzņēmējiem, gan patērētājiem ļaus izdarīt maksājumus ērtāk un ātrāk.</w:t>
            </w:r>
          </w:p>
        </w:tc>
      </w:tr>
      <w:tr w:rsidR="009B2DCB" w:rsidRPr="00AE5356" w14:paraId="209EC2B6" w14:textId="77777777" w:rsidTr="000E70CD">
        <w:tc>
          <w:tcPr>
            <w:tcW w:w="944" w:type="dxa"/>
            <w:tcBorders>
              <w:left w:val="single" w:sz="6" w:space="0" w:color="000000" w:themeColor="text1"/>
              <w:bottom w:val="single" w:sz="4" w:space="0" w:color="auto"/>
              <w:right w:val="single" w:sz="6" w:space="0" w:color="000000" w:themeColor="text1"/>
            </w:tcBorders>
          </w:tcPr>
          <w:p w14:paraId="73A9B22E"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50258552"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4A78894F" w14:textId="5181A8C4" w:rsidR="009B2DCB" w:rsidRPr="00AE5356" w:rsidRDefault="009B2DCB" w:rsidP="00AE5356">
            <w:pPr>
              <w:contextualSpacing/>
              <w:jc w:val="both"/>
            </w:pPr>
            <w:r w:rsidRPr="00DF40F2">
              <w:t>47. lpp., Tehnoloģiju izstrādē LV neuzrāda vienus no zemākajiem rezultātiem ES. / Aicinām precizēt, norādot konkrēti, kas tiek domāts ar ģeogrāfisko novietojumu – Latvijā starp reģioniem, pilsētām vai globāli.</w:t>
            </w:r>
          </w:p>
        </w:tc>
        <w:tc>
          <w:tcPr>
            <w:tcW w:w="2835" w:type="dxa"/>
            <w:tcBorders>
              <w:left w:val="single" w:sz="6" w:space="0" w:color="000000" w:themeColor="text1"/>
              <w:bottom w:val="single" w:sz="4" w:space="0" w:color="auto"/>
              <w:right w:val="single" w:sz="6" w:space="0" w:color="000000" w:themeColor="text1"/>
            </w:tcBorders>
          </w:tcPr>
          <w:p w14:paraId="0D387278" w14:textId="243FF0B7" w:rsidR="009B2DCB" w:rsidRPr="00AE5356" w:rsidRDefault="00C34B1A" w:rsidP="00DF40F2">
            <w:pPr>
              <w:pStyle w:val="naisc"/>
              <w:spacing w:before="0" w:after="0"/>
              <w:jc w:val="left"/>
            </w:pPr>
            <w:r w:rsidRPr="00AE5356">
              <w:t>Ņemts v</w:t>
            </w:r>
            <w:r w:rsidR="00C53869">
              <w:t>ērā.</w:t>
            </w:r>
          </w:p>
        </w:tc>
        <w:tc>
          <w:tcPr>
            <w:tcW w:w="3544" w:type="dxa"/>
            <w:tcBorders>
              <w:top w:val="single" w:sz="4" w:space="0" w:color="auto"/>
              <w:left w:val="single" w:sz="4" w:space="0" w:color="auto"/>
              <w:bottom w:val="single" w:sz="4" w:space="0" w:color="auto"/>
            </w:tcBorders>
          </w:tcPr>
          <w:p w14:paraId="18E0E5E5" w14:textId="77777777" w:rsidR="009B2DCB" w:rsidRDefault="00C53869" w:rsidP="00AE5356">
            <w:pPr>
              <w:jc w:val="both"/>
              <w:rPr>
                <w:color w:val="000000"/>
              </w:rPr>
            </w:pPr>
            <w:r w:rsidRPr="00C53869">
              <w:rPr>
                <w:color w:val="000000"/>
              </w:rPr>
              <w:t>Atsevišķu tehnoloģiju un nozaru griezu</w:t>
            </w:r>
            <w:r>
              <w:rPr>
                <w:color w:val="000000"/>
              </w:rPr>
              <w:t>mā Latvijas uzņēmumiem ir labāki rezultāti</w:t>
            </w:r>
            <w:r w:rsidRPr="00C53869">
              <w:rPr>
                <w:color w:val="000000"/>
              </w:rPr>
              <w:t xml:space="preserve"> nekā ES vidēji, tač</w:t>
            </w:r>
            <w:r>
              <w:rPr>
                <w:color w:val="000000"/>
              </w:rPr>
              <w:t>u lielā</w:t>
            </w:r>
            <w:r w:rsidRPr="00C53869">
              <w:rPr>
                <w:color w:val="000000"/>
              </w:rPr>
              <w:t xml:space="preserve"> daļā nozaru un digitālo tehnoloģiju pielietošanā Latvija uzrāda vienus no zemākajiem rezultātiem Eiropā.</w:t>
            </w:r>
          </w:p>
          <w:p w14:paraId="1D8D1761" w14:textId="77777777" w:rsidR="00C53869" w:rsidRDefault="00C53869" w:rsidP="00AE5356">
            <w:pPr>
              <w:jc w:val="both"/>
              <w:rPr>
                <w:color w:val="000000"/>
              </w:rPr>
            </w:pPr>
          </w:p>
          <w:p w14:paraId="498C261B" w14:textId="58C73819" w:rsidR="00C53869" w:rsidRPr="00AE5356" w:rsidRDefault="00C53869" w:rsidP="00AE5356">
            <w:pPr>
              <w:jc w:val="both"/>
              <w:rPr>
                <w:color w:val="000000"/>
              </w:rPr>
            </w:pPr>
            <w:r w:rsidRPr="00C53869">
              <w:rPr>
                <w:color w:val="000000"/>
              </w:rPr>
              <w:t xml:space="preserve">MVU digitalizācijas līmenis atšķiras atkarībā no ģeogrāfiskā novietojuma (starp dažādiem ES reģioniem) un nozares, kā arī digitalizācija prasa papildus </w:t>
            </w:r>
            <w:r w:rsidRPr="00C53869">
              <w:rPr>
                <w:color w:val="000000"/>
              </w:rPr>
              <w:lastRenderedPageBreak/>
              <w:t>finanšu ieguldījumus, kas ir ierobežoti.</w:t>
            </w:r>
          </w:p>
        </w:tc>
      </w:tr>
      <w:tr w:rsidR="009B2DCB" w:rsidRPr="00AE5356" w14:paraId="7C18BC64" w14:textId="77777777" w:rsidTr="000E70CD">
        <w:tc>
          <w:tcPr>
            <w:tcW w:w="944" w:type="dxa"/>
            <w:tcBorders>
              <w:left w:val="single" w:sz="6" w:space="0" w:color="000000" w:themeColor="text1"/>
              <w:bottom w:val="single" w:sz="4" w:space="0" w:color="auto"/>
              <w:right w:val="single" w:sz="6" w:space="0" w:color="000000" w:themeColor="text1"/>
            </w:tcBorders>
          </w:tcPr>
          <w:p w14:paraId="05A07EFC"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9344C3B"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665D6699" w14:textId="57E8DAAE" w:rsidR="009B2DCB" w:rsidRPr="00DF40F2" w:rsidRDefault="009B2DCB" w:rsidP="00AE5356">
            <w:pPr>
              <w:contextualSpacing/>
              <w:jc w:val="both"/>
            </w:pPr>
            <w:r w:rsidRPr="00DF40F2">
              <w:t>55. lpp., Lūdzam izvērtēt nepieciešamību papildināt informāciju par EK idejām veidot digitālo platformu investīciju zaļināšanai.</w:t>
            </w:r>
          </w:p>
        </w:tc>
        <w:tc>
          <w:tcPr>
            <w:tcW w:w="2835" w:type="dxa"/>
            <w:tcBorders>
              <w:left w:val="single" w:sz="6" w:space="0" w:color="000000" w:themeColor="text1"/>
              <w:bottom w:val="single" w:sz="4" w:space="0" w:color="auto"/>
              <w:right w:val="single" w:sz="6" w:space="0" w:color="000000" w:themeColor="text1"/>
            </w:tcBorders>
          </w:tcPr>
          <w:p w14:paraId="2835DC77" w14:textId="204BBEB7" w:rsidR="009B2DCB" w:rsidRPr="00AE5356" w:rsidRDefault="00D94934" w:rsidP="00DF40F2">
            <w:pPr>
              <w:pStyle w:val="naisc"/>
              <w:spacing w:before="0" w:after="0"/>
              <w:jc w:val="left"/>
            </w:pPr>
            <w:r>
              <w:t>Panākta vienošanās elektroniskajā saskaņošanā 14.01.2021.</w:t>
            </w:r>
          </w:p>
        </w:tc>
        <w:tc>
          <w:tcPr>
            <w:tcW w:w="3544" w:type="dxa"/>
            <w:tcBorders>
              <w:top w:val="single" w:sz="4" w:space="0" w:color="auto"/>
              <w:left w:val="single" w:sz="4" w:space="0" w:color="auto"/>
              <w:bottom w:val="single" w:sz="4" w:space="0" w:color="auto"/>
            </w:tcBorders>
          </w:tcPr>
          <w:p w14:paraId="355795C0" w14:textId="2F8209F8" w:rsidR="009B2DCB" w:rsidRPr="00AE5356" w:rsidRDefault="00025F0C" w:rsidP="00AE5356">
            <w:pPr>
              <w:jc w:val="both"/>
              <w:rPr>
                <w:color w:val="000000"/>
              </w:rPr>
            </w:pPr>
            <w:r w:rsidRPr="00025F0C">
              <w:rPr>
                <w:color w:val="000000"/>
              </w:rPr>
              <w:t>ES līmeņa iniciatīvas tiek vērtētas nacionālajās pozīcijās un līdz ar to caur FSAP neti</w:t>
            </w:r>
            <w:r w:rsidR="00872E5D">
              <w:rPr>
                <w:color w:val="000000"/>
              </w:rPr>
              <w:t>e</w:t>
            </w:r>
            <w:r w:rsidRPr="00025F0C">
              <w:rPr>
                <w:color w:val="000000"/>
              </w:rPr>
              <w:t>k formulēta nacionālā pozīcija par konkrētu ES dokumentu.</w:t>
            </w:r>
            <w:r>
              <w:rPr>
                <w:color w:val="000000"/>
              </w:rPr>
              <w:t xml:space="preserve"> Papildus tam šobrīd platforma ir tikai izveides procesā un nav pildu informāciju par to kā tieši ir plānots zaļināt investīcijas.</w:t>
            </w:r>
          </w:p>
        </w:tc>
      </w:tr>
      <w:tr w:rsidR="009B2DCB" w:rsidRPr="00AE5356" w14:paraId="69E32D14" w14:textId="77777777" w:rsidTr="000E70CD">
        <w:tc>
          <w:tcPr>
            <w:tcW w:w="944" w:type="dxa"/>
            <w:tcBorders>
              <w:left w:val="single" w:sz="6" w:space="0" w:color="000000" w:themeColor="text1"/>
              <w:bottom w:val="single" w:sz="4" w:space="0" w:color="auto"/>
              <w:right w:val="single" w:sz="6" w:space="0" w:color="000000" w:themeColor="text1"/>
            </w:tcBorders>
          </w:tcPr>
          <w:p w14:paraId="5C0039C5"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FB514B5"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30E82AF0" w14:textId="01F5BFD5" w:rsidR="009B2DCB" w:rsidRPr="00DF40F2" w:rsidRDefault="009B2DCB" w:rsidP="00AE5356">
            <w:pPr>
              <w:contextualSpacing/>
              <w:jc w:val="both"/>
            </w:pPr>
            <w:r w:rsidRPr="00DF40F2">
              <w:t xml:space="preserve">56. lpp., </w:t>
            </w:r>
            <w:bookmarkStart w:id="2" w:name="_Hlk56685415"/>
            <w:r w:rsidRPr="00DF40F2">
              <w:t xml:space="preserve">Lūdzam papildināt ar informāciju, kāpēc </w:t>
            </w:r>
            <w:r w:rsidRPr="00DF40F2">
              <w:rPr>
                <w:i/>
              </w:rPr>
              <w:t xml:space="preserve">Disclosure </w:t>
            </w:r>
            <w:r w:rsidRPr="00DF40F2">
              <w:t>regula ir svarīga ilgtspējīgo finanšu ziņā?</w:t>
            </w:r>
            <w:bookmarkEnd w:id="2"/>
            <w:r w:rsidRPr="00DF40F2">
              <w:t xml:space="preserve">  </w:t>
            </w:r>
          </w:p>
        </w:tc>
        <w:tc>
          <w:tcPr>
            <w:tcW w:w="2835" w:type="dxa"/>
            <w:tcBorders>
              <w:left w:val="single" w:sz="6" w:space="0" w:color="000000" w:themeColor="text1"/>
              <w:bottom w:val="single" w:sz="4" w:space="0" w:color="auto"/>
              <w:right w:val="single" w:sz="6" w:space="0" w:color="000000" w:themeColor="text1"/>
            </w:tcBorders>
          </w:tcPr>
          <w:p w14:paraId="55C40217" w14:textId="0330712A" w:rsidR="009B2DCB" w:rsidRPr="00AE5356" w:rsidRDefault="00025F0C" w:rsidP="00DF40F2">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5B912271" w14:textId="77777777" w:rsidR="009B2DCB" w:rsidRPr="00AE5356" w:rsidRDefault="00025F0C" w:rsidP="00AE5356">
            <w:pPr>
              <w:jc w:val="both"/>
              <w:rPr>
                <w:color w:val="000000"/>
              </w:rPr>
            </w:pPr>
            <w:r>
              <w:rPr>
                <w:color w:val="000000"/>
              </w:rPr>
              <w:t>Teksts papildināts.</w:t>
            </w:r>
          </w:p>
        </w:tc>
      </w:tr>
      <w:tr w:rsidR="009B2DCB" w:rsidRPr="00AE5356" w14:paraId="42D4C584" w14:textId="77777777" w:rsidTr="000E70CD">
        <w:tc>
          <w:tcPr>
            <w:tcW w:w="944" w:type="dxa"/>
            <w:tcBorders>
              <w:left w:val="single" w:sz="6" w:space="0" w:color="000000" w:themeColor="text1"/>
              <w:bottom w:val="single" w:sz="4" w:space="0" w:color="auto"/>
              <w:right w:val="single" w:sz="6" w:space="0" w:color="000000" w:themeColor="text1"/>
            </w:tcBorders>
          </w:tcPr>
          <w:p w14:paraId="4B4544E9"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3B718705"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58412AFF" w14:textId="77777777" w:rsidR="009B2DCB" w:rsidRPr="00AE5356" w:rsidRDefault="009B2DCB" w:rsidP="00AE5356">
            <w:pPr>
              <w:contextualSpacing/>
              <w:jc w:val="both"/>
              <w:rPr>
                <w:b/>
                <w:u w:val="single"/>
              </w:rPr>
            </w:pPr>
            <w:r w:rsidRPr="00AE5356">
              <w:rPr>
                <w:b/>
                <w:u w:val="single"/>
              </w:rPr>
              <w:t>Iekšlietu ministrija:</w:t>
            </w:r>
          </w:p>
          <w:p w14:paraId="27C6D767" w14:textId="77777777" w:rsidR="009B2DCB" w:rsidRPr="00AE5356" w:rsidRDefault="009B2DCB" w:rsidP="00AE5356">
            <w:pPr>
              <w:contextualSpacing/>
              <w:jc w:val="both"/>
            </w:pPr>
            <w:r w:rsidRPr="00AE5356">
              <w:t>Iekšlietu ministrija ir izskatījusi Finanšu ministrijas izstrādāto plāna projektu “Finanšu sektora attīstības plāns 2021.-2023 .gadam”, kā arī Ministru kabineta sēdes protokollēmuma projektu  un atbalsta to tālāku virzību bez iebildumiem.</w:t>
            </w:r>
          </w:p>
          <w:p w14:paraId="50B655DC" w14:textId="77777777" w:rsidR="009B2DCB" w:rsidRPr="00AE5356" w:rsidRDefault="009B2DCB" w:rsidP="00AE5356">
            <w:pPr>
              <w:contextualSpacing/>
              <w:jc w:val="both"/>
            </w:pPr>
            <w:r w:rsidRPr="00AE5356">
              <w:t>Vienlaikus izsakām šādus priekšlikumus:</w:t>
            </w:r>
          </w:p>
          <w:p w14:paraId="0D55A5A2" w14:textId="35FA3EF0" w:rsidR="009B2DCB" w:rsidRPr="00AE5356" w:rsidRDefault="009B2DCB" w:rsidP="00AE5356">
            <w:pPr>
              <w:contextualSpacing/>
              <w:jc w:val="both"/>
            </w:pPr>
            <w:r w:rsidRPr="00AE5356">
              <w:t>precizēt plāna projekta 3. sadaļas tabulas 1.1.1., 1.1.6., 1.2.1., 1.3.1., 1.3.3., 1.3.4. punktā, 4. sadaļas tabulas 2.3.1. punktā un 5. sadaļas tabulas 3.3.1. punktā izpildes termiņus</w:t>
            </w:r>
          </w:p>
        </w:tc>
        <w:tc>
          <w:tcPr>
            <w:tcW w:w="2835" w:type="dxa"/>
            <w:tcBorders>
              <w:left w:val="single" w:sz="6" w:space="0" w:color="000000" w:themeColor="text1"/>
              <w:bottom w:val="single" w:sz="4" w:space="0" w:color="auto"/>
              <w:right w:val="single" w:sz="6" w:space="0" w:color="000000" w:themeColor="text1"/>
            </w:tcBorders>
          </w:tcPr>
          <w:p w14:paraId="29BFF106" w14:textId="3B90A909" w:rsidR="009B2DCB" w:rsidRPr="00AE5356" w:rsidRDefault="00D26CA9" w:rsidP="00A85B0E">
            <w:pPr>
              <w:pStyle w:val="naisc"/>
              <w:spacing w:before="0" w:after="0"/>
              <w:jc w:val="left"/>
            </w:pPr>
            <w:r>
              <w:t>Daļēji ņemts vērā.</w:t>
            </w:r>
          </w:p>
        </w:tc>
        <w:tc>
          <w:tcPr>
            <w:tcW w:w="3544" w:type="dxa"/>
            <w:tcBorders>
              <w:top w:val="single" w:sz="4" w:space="0" w:color="auto"/>
              <w:left w:val="single" w:sz="4" w:space="0" w:color="auto"/>
              <w:bottom w:val="single" w:sz="4" w:space="0" w:color="auto"/>
            </w:tcBorders>
          </w:tcPr>
          <w:p w14:paraId="438E3D5C" w14:textId="21A39AD4" w:rsidR="009B2DCB" w:rsidRPr="00AE5356" w:rsidRDefault="000650DC" w:rsidP="00AE5356">
            <w:pPr>
              <w:jc w:val="both"/>
              <w:rPr>
                <w:color w:val="000000"/>
              </w:rPr>
            </w:pPr>
            <w:r>
              <w:rPr>
                <w:color w:val="000000"/>
              </w:rPr>
              <w:t>Daļai uzdevumu nav viena beigu termiņa. Tā vietā noteikti regulāri pasākumi, kuriem norādīts biežums.</w:t>
            </w:r>
          </w:p>
        </w:tc>
      </w:tr>
      <w:tr w:rsidR="009B2DCB" w:rsidRPr="00AE5356" w14:paraId="59612D2A" w14:textId="77777777" w:rsidTr="000E70CD">
        <w:tc>
          <w:tcPr>
            <w:tcW w:w="944" w:type="dxa"/>
            <w:tcBorders>
              <w:left w:val="single" w:sz="6" w:space="0" w:color="000000" w:themeColor="text1"/>
              <w:bottom w:val="single" w:sz="4" w:space="0" w:color="auto"/>
              <w:right w:val="single" w:sz="6" w:space="0" w:color="000000" w:themeColor="text1"/>
            </w:tcBorders>
          </w:tcPr>
          <w:p w14:paraId="77AA43A6"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59F22A52"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3A4E5EBC" w14:textId="3D83F185" w:rsidR="009B2DCB" w:rsidRPr="00AE5356" w:rsidRDefault="009B2DCB" w:rsidP="00AE5356">
            <w:pPr>
              <w:contextualSpacing/>
              <w:jc w:val="both"/>
            </w:pPr>
            <w:r w:rsidRPr="00EB02A5">
              <w:t>lūdzam ievērot konsekvenci rezultatīvo rādītāju formulējumā (plāna projekta 3. sadaļas tabulas 1.1.1., 1.2.1., 1.2.5., 1.3.2., 1.3.4. punktā,  4. sadaļas tabulas  2.1.1., 2.1.2., 2.2.6. punktā un 5. sadaļas tabulas 3.1.1., 3.1.2., 3.3.1. punktā)</w:t>
            </w:r>
          </w:p>
        </w:tc>
        <w:tc>
          <w:tcPr>
            <w:tcW w:w="2835" w:type="dxa"/>
            <w:tcBorders>
              <w:left w:val="single" w:sz="6" w:space="0" w:color="000000" w:themeColor="text1"/>
              <w:bottom w:val="single" w:sz="4" w:space="0" w:color="auto"/>
              <w:right w:val="single" w:sz="6" w:space="0" w:color="000000" w:themeColor="text1"/>
            </w:tcBorders>
          </w:tcPr>
          <w:p w14:paraId="6B952F0E" w14:textId="28AC2707" w:rsidR="009B2DCB" w:rsidRPr="00AE5356" w:rsidRDefault="00D26CA9" w:rsidP="00A85B0E">
            <w:pPr>
              <w:pStyle w:val="naisc"/>
              <w:spacing w:before="0" w:after="0"/>
              <w:jc w:val="left"/>
            </w:pPr>
            <w:r>
              <w:t>Ņemts vērā</w:t>
            </w:r>
            <w:r w:rsidR="00C4674C">
              <w:t>.</w:t>
            </w:r>
          </w:p>
        </w:tc>
        <w:tc>
          <w:tcPr>
            <w:tcW w:w="3544" w:type="dxa"/>
            <w:tcBorders>
              <w:top w:val="single" w:sz="4" w:space="0" w:color="auto"/>
              <w:left w:val="single" w:sz="4" w:space="0" w:color="auto"/>
              <w:bottom w:val="single" w:sz="4" w:space="0" w:color="auto"/>
            </w:tcBorders>
          </w:tcPr>
          <w:p w14:paraId="553B2758" w14:textId="48A5E54D" w:rsidR="009B2DCB" w:rsidRPr="00AE5356" w:rsidRDefault="00632725" w:rsidP="00AE5356">
            <w:pPr>
              <w:jc w:val="both"/>
              <w:rPr>
                <w:color w:val="000000"/>
              </w:rPr>
            </w:pPr>
            <w:r>
              <w:rPr>
                <w:color w:val="000000"/>
              </w:rPr>
              <w:t>Rezultatīvie rādītāji laboti atbilstoši formulējumiem pārējos plāna uzdevumos.</w:t>
            </w:r>
          </w:p>
        </w:tc>
      </w:tr>
      <w:tr w:rsidR="009B2DCB" w:rsidRPr="00AE5356" w14:paraId="4A960BCD" w14:textId="77777777" w:rsidTr="000E70CD">
        <w:tc>
          <w:tcPr>
            <w:tcW w:w="944" w:type="dxa"/>
            <w:tcBorders>
              <w:left w:val="single" w:sz="6" w:space="0" w:color="000000" w:themeColor="text1"/>
              <w:bottom w:val="single" w:sz="4" w:space="0" w:color="auto"/>
              <w:right w:val="single" w:sz="6" w:space="0" w:color="000000" w:themeColor="text1"/>
            </w:tcBorders>
          </w:tcPr>
          <w:p w14:paraId="22B17944"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D85E9BE"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6564CECD" w14:textId="7DD00DAB" w:rsidR="009B2DCB" w:rsidRPr="00AE5356" w:rsidRDefault="009B2DCB" w:rsidP="00AE5356">
            <w:pPr>
              <w:contextualSpacing/>
              <w:jc w:val="both"/>
            </w:pPr>
            <w:r w:rsidRPr="00AE5356">
              <w:t xml:space="preserve">izteikt plāna projekta 3. sadaļas tabulas 1.1.8. punkta darbības rezultātu šādā redakcijā: </w:t>
            </w:r>
            <w:r w:rsidRPr="00AE5356">
              <w:lastRenderedPageBreak/>
              <w:t>“Izstrādāts efektīvs ārpustiesas parādu atgūšanas regulējums” un rezultatīvo rādītāju šādā redakcijā: “Likumprojekts iesniegts izskatīšanai MK”</w:t>
            </w:r>
          </w:p>
        </w:tc>
        <w:tc>
          <w:tcPr>
            <w:tcW w:w="2835" w:type="dxa"/>
            <w:tcBorders>
              <w:left w:val="single" w:sz="6" w:space="0" w:color="000000" w:themeColor="text1"/>
              <w:bottom w:val="single" w:sz="4" w:space="0" w:color="auto"/>
              <w:right w:val="single" w:sz="6" w:space="0" w:color="000000" w:themeColor="text1"/>
            </w:tcBorders>
          </w:tcPr>
          <w:p w14:paraId="675E71D3" w14:textId="25E0EB6F" w:rsidR="009B2DCB" w:rsidRPr="00AE5356" w:rsidRDefault="00C4674C" w:rsidP="00A85B0E">
            <w:pPr>
              <w:pStyle w:val="naisc"/>
              <w:spacing w:before="0" w:after="0"/>
              <w:jc w:val="left"/>
            </w:pPr>
            <w:r>
              <w:lastRenderedPageBreak/>
              <w:t>Daļēji</w:t>
            </w:r>
            <w:r w:rsidR="00D26CA9">
              <w:t xml:space="preserve"> ņemts vērā.</w:t>
            </w:r>
          </w:p>
        </w:tc>
        <w:tc>
          <w:tcPr>
            <w:tcW w:w="3544" w:type="dxa"/>
            <w:tcBorders>
              <w:top w:val="single" w:sz="4" w:space="0" w:color="auto"/>
              <w:left w:val="single" w:sz="4" w:space="0" w:color="auto"/>
              <w:bottom w:val="single" w:sz="4" w:space="0" w:color="auto"/>
            </w:tcBorders>
          </w:tcPr>
          <w:p w14:paraId="33B55EEE" w14:textId="77777777" w:rsidR="009B2DCB" w:rsidRDefault="000D533E" w:rsidP="00AE5356">
            <w:pPr>
              <w:jc w:val="both"/>
              <w:rPr>
                <w:color w:val="000000"/>
              </w:rPr>
            </w:pPr>
            <w:r>
              <w:rPr>
                <w:color w:val="000000"/>
              </w:rPr>
              <w:t>Uzdevums izteikts šādā redakcijā:</w:t>
            </w:r>
          </w:p>
          <w:p w14:paraId="43A89E6B" w14:textId="77777777" w:rsidR="000D533E" w:rsidRDefault="000D533E" w:rsidP="00AE5356">
            <w:pPr>
              <w:jc w:val="both"/>
              <w:rPr>
                <w:color w:val="000000"/>
              </w:rPr>
            </w:pPr>
            <w:r>
              <w:rPr>
                <w:color w:val="000000"/>
              </w:rPr>
              <w:lastRenderedPageBreak/>
              <w:t xml:space="preserve">Darbības rezultāts: </w:t>
            </w:r>
            <w:r w:rsidRPr="000D533E">
              <w:rPr>
                <w:color w:val="000000"/>
              </w:rPr>
              <w:t>Mazināti šķēršļi paātrinātai parāda atgūšanai</w:t>
            </w:r>
            <w:r>
              <w:rPr>
                <w:color w:val="000000"/>
              </w:rPr>
              <w:t>.</w:t>
            </w:r>
          </w:p>
          <w:p w14:paraId="6FCE36BC" w14:textId="77777777" w:rsidR="000D533E" w:rsidRDefault="000D533E" w:rsidP="00AE5356">
            <w:pPr>
              <w:jc w:val="both"/>
              <w:rPr>
                <w:color w:val="000000"/>
              </w:rPr>
            </w:pPr>
            <w:r>
              <w:rPr>
                <w:color w:val="000000"/>
              </w:rPr>
              <w:t xml:space="preserve">Rezultatīvais rādītājs: </w:t>
            </w:r>
            <w:r w:rsidRPr="000D533E">
              <w:rPr>
                <w:color w:val="000000"/>
              </w:rPr>
              <w:t>Izstrādāti nepieciešamie grozījumi normatīvajos aktos.</w:t>
            </w:r>
          </w:p>
          <w:p w14:paraId="2D41A650" w14:textId="5F05106D" w:rsidR="000D533E" w:rsidRPr="00AE5356" w:rsidRDefault="00EB02A5" w:rsidP="00EB02A5">
            <w:pPr>
              <w:jc w:val="both"/>
              <w:rPr>
                <w:color w:val="000000"/>
              </w:rPr>
            </w:pPr>
            <w:r>
              <w:rPr>
                <w:color w:val="000000"/>
              </w:rPr>
              <w:t>Skatīt arī 41. iebildumu.</w:t>
            </w:r>
          </w:p>
        </w:tc>
      </w:tr>
      <w:tr w:rsidR="009B2DCB" w:rsidRPr="00AE5356" w14:paraId="1732E983" w14:textId="77777777" w:rsidTr="000E70CD">
        <w:tc>
          <w:tcPr>
            <w:tcW w:w="944" w:type="dxa"/>
            <w:tcBorders>
              <w:left w:val="single" w:sz="6" w:space="0" w:color="000000" w:themeColor="text1"/>
              <w:bottom w:val="single" w:sz="4" w:space="0" w:color="auto"/>
              <w:right w:val="single" w:sz="6" w:space="0" w:color="000000" w:themeColor="text1"/>
            </w:tcBorders>
          </w:tcPr>
          <w:p w14:paraId="794F8EE9"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C2A7FDF"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05787857" w14:textId="2801DB99" w:rsidR="009B2DCB" w:rsidRPr="00AE5356" w:rsidRDefault="009B2DCB" w:rsidP="00AE5356">
            <w:pPr>
              <w:contextualSpacing/>
              <w:jc w:val="both"/>
            </w:pPr>
            <w:r w:rsidRPr="00DF40F2">
              <w:t>norādīt plāna projekta 4. sadaļas tabulas  2.2.5. punktā  darbības rezultātu un rezultatīvo rādītāju</w:t>
            </w:r>
          </w:p>
        </w:tc>
        <w:tc>
          <w:tcPr>
            <w:tcW w:w="2835" w:type="dxa"/>
            <w:tcBorders>
              <w:left w:val="single" w:sz="6" w:space="0" w:color="000000" w:themeColor="text1"/>
              <w:bottom w:val="single" w:sz="4" w:space="0" w:color="auto"/>
              <w:right w:val="single" w:sz="6" w:space="0" w:color="000000" w:themeColor="text1"/>
            </w:tcBorders>
          </w:tcPr>
          <w:p w14:paraId="79AD4B7D" w14:textId="2B438A6A" w:rsidR="009B2DCB" w:rsidRPr="00AE5356" w:rsidRDefault="00C34B1A" w:rsidP="00A85B0E">
            <w:pPr>
              <w:pStyle w:val="naisc"/>
              <w:spacing w:before="0" w:after="0"/>
              <w:jc w:val="left"/>
            </w:pPr>
            <w:r w:rsidRPr="00AE5356">
              <w:t>Ņemts vērā.</w:t>
            </w:r>
          </w:p>
        </w:tc>
        <w:tc>
          <w:tcPr>
            <w:tcW w:w="3544" w:type="dxa"/>
            <w:tcBorders>
              <w:top w:val="single" w:sz="4" w:space="0" w:color="auto"/>
              <w:left w:val="single" w:sz="4" w:space="0" w:color="auto"/>
              <w:bottom w:val="single" w:sz="4" w:space="0" w:color="auto"/>
            </w:tcBorders>
          </w:tcPr>
          <w:p w14:paraId="62F7A03B" w14:textId="77777777" w:rsidR="009B2DCB" w:rsidRDefault="005725CD" w:rsidP="00AE5356">
            <w:pPr>
              <w:jc w:val="both"/>
              <w:rPr>
                <w:color w:val="000000"/>
              </w:rPr>
            </w:pPr>
            <w:r>
              <w:rPr>
                <w:color w:val="000000"/>
              </w:rPr>
              <w:t xml:space="preserve">Darbības rezultāts: </w:t>
            </w:r>
            <w:r w:rsidRPr="005725CD">
              <w:rPr>
                <w:color w:val="000000"/>
              </w:rPr>
              <w:t>Uzlabota pieejamība inovatīviem pakalpojumiem.</w:t>
            </w:r>
          </w:p>
          <w:p w14:paraId="0835E8DC" w14:textId="77E460D3" w:rsidR="005725CD" w:rsidRPr="00AE5356" w:rsidRDefault="005725CD" w:rsidP="00AE5356">
            <w:pPr>
              <w:jc w:val="both"/>
              <w:rPr>
                <w:color w:val="000000"/>
              </w:rPr>
            </w:pPr>
            <w:r>
              <w:rPr>
                <w:color w:val="000000"/>
              </w:rPr>
              <w:t xml:space="preserve">Rezultatīvais rādītājs: </w:t>
            </w:r>
            <w:r w:rsidRPr="005725CD">
              <w:rPr>
                <w:color w:val="000000"/>
              </w:rPr>
              <w:t>Sagatavots izvērtējums</w:t>
            </w:r>
            <w:r>
              <w:rPr>
                <w:color w:val="000000"/>
              </w:rPr>
              <w:t>.</w:t>
            </w:r>
          </w:p>
        </w:tc>
      </w:tr>
      <w:tr w:rsidR="009B2DCB" w:rsidRPr="00AE5356" w14:paraId="1ADA98D2" w14:textId="77777777" w:rsidTr="000E70CD">
        <w:tc>
          <w:tcPr>
            <w:tcW w:w="944" w:type="dxa"/>
            <w:tcBorders>
              <w:left w:val="single" w:sz="6" w:space="0" w:color="000000" w:themeColor="text1"/>
              <w:bottom w:val="single" w:sz="4" w:space="0" w:color="auto"/>
              <w:right w:val="single" w:sz="6" w:space="0" w:color="000000" w:themeColor="text1"/>
            </w:tcBorders>
          </w:tcPr>
          <w:p w14:paraId="1734F2CD"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65535C64"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4A0C51D4" w14:textId="09827592" w:rsidR="009B2DCB" w:rsidRPr="00DF40F2" w:rsidRDefault="009B2DCB" w:rsidP="00AE5356">
            <w:pPr>
              <w:contextualSpacing/>
              <w:jc w:val="both"/>
            </w:pPr>
            <w:r w:rsidRPr="00DF40F2">
              <w:t>svītrot  plāna projekta 5. sadaļas tabulas 3.3.1. punktā  rezultatīvo rādītāju “mājaslapa uzturēšana”, jo šis uzskatāms par ikdienas darbu</w:t>
            </w:r>
          </w:p>
        </w:tc>
        <w:tc>
          <w:tcPr>
            <w:tcW w:w="2835" w:type="dxa"/>
            <w:tcBorders>
              <w:left w:val="single" w:sz="6" w:space="0" w:color="000000" w:themeColor="text1"/>
              <w:bottom w:val="single" w:sz="4" w:space="0" w:color="auto"/>
              <w:right w:val="single" w:sz="6" w:space="0" w:color="000000" w:themeColor="text1"/>
            </w:tcBorders>
          </w:tcPr>
          <w:p w14:paraId="55AC0243" w14:textId="77777777" w:rsidR="009B2DCB" w:rsidRPr="00AE5356" w:rsidRDefault="00025F0C" w:rsidP="00A85B0E">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42DFB2C9" w14:textId="77777777" w:rsidR="009B2DCB" w:rsidRPr="00AE5356" w:rsidRDefault="00025F0C" w:rsidP="00AE5356">
            <w:pPr>
              <w:jc w:val="both"/>
              <w:rPr>
                <w:color w:val="000000"/>
              </w:rPr>
            </w:pPr>
            <w:r>
              <w:rPr>
                <w:color w:val="000000"/>
              </w:rPr>
              <w:t>Uzdevums precizēts.</w:t>
            </w:r>
          </w:p>
        </w:tc>
      </w:tr>
      <w:tr w:rsidR="009B2DCB" w:rsidRPr="00AE5356" w14:paraId="2091F8C1" w14:textId="77777777" w:rsidTr="000E70CD">
        <w:tc>
          <w:tcPr>
            <w:tcW w:w="944" w:type="dxa"/>
            <w:tcBorders>
              <w:left w:val="single" w:sz="6" w:space="0" w:color="000000" w:themeColor="text1"/>
              <w:bottom w:val="single" w:sz="4" w:space="0" w:color="auto"/>
              <w:right w:val="single" w:sz="6" w:space="0" w:color="000000" w:themeColor="text1"/>
            </w:tcBorders>
          </w:tcPr>
          <w:p w14:paraId="000E8811"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4886A58E"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708A06F6" w14:textId="2009BB11" w:rsidR="009B2DCB" w:rsidRPr="00AE5356" w:rsidRDefault="009B2DCB" w:rsidP="00AE5356">
            <w:pPr>
              <w:contextualSpacing/>
              <w:jc w:val="both"/>
            </w:pPr>
            <w:r w:rsidRPr="00DF40F2">
              <w:t>papildināt plāna projekta 5. sadaļas tabulu ar kolonnu nosaukumiem.</w:t>
            </w:r>
          </w:p>
        </w:tc>
        <w:tc>
          <w:tcPr>
            <w:tcW w:w="2835" w:type="dxa"/>
            <w:tcBorders>
              <w:left w:val="single" w:sz="6" w:space="0" w:color="000000" w:themeColor="text1"/>
              <w:bottom w:val="single" w:sz="4" w:space="0" w:color="auto"/>
              <w:right w:val="single" w:sz="6" w:space="0" w:color="000000" w:themeColor="text1"/>
            </w:tcBorders>
          </w:tcPr>
          <w:p w14:paraId="7A39F2B1" w14:textId="77777777" w:rsidR="009B2DCB" w:rsidRPr="00AE5356" w:rsidRDefault="00025F0C" w:rsidP="00A85B0E">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1C205CB9" w14:textId="77777777" w:rsidR="009B2DCB" w:rsidRPr="00AE5356" w:rsidRDefault="00025F0C" w:rsidP="00AE5356">
            <w:pPr>
              <w:jc w:val="both"/>
              <w:rPr>
                <w:color w:val="000000"/>
              </w:rPr>
            </w:pPr>
            <w:r>
              <w:rPr>
                <w:color w:val="000000"/>
              </w:rPr>
              <w:t>Veikti precizējumi</w:t>
            </w:r>
          </w:p>
        </w:tc>
      </w:tr>
      <w:tr w:rsidR="009B2DCB" w:rsidRPr="00AE5356" w14:paraId="2E05397A" w14:textId="77777777" w:rsidTr="000E70CD">
        <w:tc>
          <w:tcPr>
            <w:tcW w:w="944" w:type="dxa"/>
            <w:tcBorders>
              <w:left w:val="single" w:sz="6" w:space="0" w:color="000000" w:themeColor="text1"/>
              <w:bottom w:val="single" w:sz="4" w:space="0" w:color="auto"/>
              <w:right w:val="single" w:sz="6" w:space="0" w:color="000000" w:themeColor="text1"/>
            </w:tcBorders>
          </w:tcPr>
          <w:p w14:paraId="36B94C4C"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DB0CBA8"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0DD73197" w14:textId="1EA539CE" w:rsidR="009B2DCB" w:rsidRPr="00DF40F2" w:rsidRDefault="009B2DCB" w:rsidP="00AE5356">
            <w:pPr>
              <w:contextualSpacing/>
              <w:jc w:val="both"/>
              <w:rPr>
                <w:b/>
                <w:color w:val="000000" w:themeColor="text1"/>
                <w:u w:val="single"/>
              </w:rPr>
            </w:pPr>
            <w:r w:rsidRPr="00DF40F2">
              <w:rPr>
                <w:b/>
                <w:color w:val="000000" w:themeColor="text1"/>
                <w:u w:val="single"/>
              </w:rPr>
              <w:t>Vides aizsardzības un reģionālās attīstības ministrija:</w:t>
            </w:r>
          </w:p>
          <w:p w14:paraId="3594ABB1" w14:textId="77777777" w:rsidR="009B2DCB" w:rsidRPr="00DF40F2" w:rsidRDefault="009B2DCB" w:rsidP="00AE5356">
            <w:pPr>
              <w:contextualSpacing/>
              <w:jc w:val="both"/>
              <w:rPr>
                <w:color w:val="000000" w:themeColor="text1"/>
              </w:rPr>
            </w:pPr>
            <w:r w:rsidRPr="00DF40F2">
              <w:rPr>
                <w:color w:val="000000" w:themeColor="text1"/>
              </w:rPr>
              <w:t>Vides aizsardzības un reģionālās attīstības ministrija atbilstoši savai kompetencei ir izvērtējusi Finanšu ministrijas izstrādāto plāna projektu "Finanšu sektora attīstības plāns 2021.–2023.gadam" (VSS-939) (turpmāk  – plāns) un atbalsta projekta virzību, vienlaikus izsakot šādus iebildumus:</w:t>
            </w:r>
          </w:p>
          <w:p w14:paraId="0281FA40" w14:textId="5B156AF5" w:rsidR="009B2DCB" w:rsidRPr="00DF40F2" w:rsidRDefault="009B2DCB" w:rsidP="00AE5356">
            <w:pPr>
              <w:contextualSpacing/>
              <w:jc w:val="both"/>
            </w:pPr>
            <w:r w:rsidRPr="00DF40F2">
              <w:t>1.</w:t>
            </w:r>
            <w:r w:rsidRPr="00DF40F2">
              <w:tab/>
              <w:t>Pāna 4.4. daļā “Datu atvērtība un digitalizācija Latvijā” (44. lp, otrā rindkopa, Ilustrācija 14) izmantot aktuālo informāciju, jo OECD Open, Useful and Re-usable data (OURdata) atvērto datu indekss ir atjaunots 2019. gadā (http://www.oecd.org/gov/digital-</w:t>
            </w:r>
            <w:r w:rsidRPr="00DF40F2">
              <w:lastRenderedPageBreak/>
              <w:t>government/policy-paper-ourdata-index-2019.htm).</w:t>
            </w:r>
          </w:p>
        </w:tc>
        <w:tc>
          <w:tcPr>
            <w:tcW w:w="2835" w:type="dxa"/>
            <w:tcBorders>
              <w:left w:val="single" w:sz="6" w:space="0" w:color="000000" w:themeColor="text1"/>
              <w:bottom w:val="single" w:sz="4" w:space="0" w:color="auto"/>
              <w:right w:val="single" w:sz="6" w:space="0" w:color="000000" w:themeColor="text1"/>
            </w:tcBorders>
          </w:tcPr>
          <w:p w14:paraId="4F6A136F" w14:textId="732AE1B7" w:rsidR="009B2DCB" w:rsidRPr="00AE5356" w:rsidRDefault="009B2DCB" w:rsidP="00AE5356">
            <w:pPr>
              <w:pStyle w:val="naisc"/>
              <w:spacing w:before="0" w:after="0"/>
              <w:jc w:val="left"/>
            </w:pPr>
            <w:r w:rsidRPr="00AE5356">
              <w:lastRenderedPageBreak/>
              <w:t>Ņemts vērā.</w:t>
            </w:r>
          </w:p>
        </w:tc>
        <w:tc>
          <w:tcPr>
            <w:tcW w:w="3544" w:type="dxa"/>
            <w:tcBorders>
              <w:top w:val="single" w:sz="4" w:space="0" w:color="auto"/>
              <w:left w:val="single" w:sz="4" w:space="0" w:color="auto"/>
              <w:bottom w:val="single" w:sz="4" w:space="0" w:color="auto"/>
            </w:tcBorders>
          </w:tcPr>
          <w:p w14:paraId="33786D48" w14:textId="214CC900" w:rsidR="009B2DCB" w:rsidRPr="00AE5356" w:rsidRDefault="00F44235" w:rsidP="00AE5356">
            <w:pPr>
              <w:jc w:val="both"/>
              <w:rPr>
                <w:color w:val="000000"/>
              </w:rPr>
            </w:pPr>
            <w:r>
              <w:rPr>
                <w:color w:val="000000"/>
              </w:rPr>
              <w:t>Pievienota informācija un grafiks atbilstoši jaunākajiem datiem.</w:t>
            </w:r>
          </w:p>
        </w:tc>
      </w:tr>
      <w:tr w:rsidR="009B2DCB" w:rsidRPr="00AE5356" w14:paraId="3790E5E4" w14:textId="77777777" w:rsidTr="000E70CD">
        <w:tc>
          <w:tcPr>
            <w:tcW w:w="944" w:type="dxa"/>
            <w:tcBorders>
              <w:left w:val="single" w:sz="6" w:space="0" w:color="000000" w:themeColor="text1"/>
              <w:bottom w:val="single" w:sz="4" w:space="0" w:color="auto"/>
              <w:right w:val="single" w:sz="6" w:space="0" w:color="000000" w:themeColor="text1"/>
            </w:tcBorders>
          </w:tcPr>
          <w:p w14:paraId="197ABA64"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144D433B"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7318EB0C" w14:textId="0F23C252" w:rsidR="009B2DCB" w:rsidRPr="00DF40F2" w:rsidRDefault="009B2DCB" w:rsidP="00AE5356">
            <w:pPr>
              <w:contextualSpacing/>
              <w:jc w:val="both"/>
            </w:pPr>
            <w:r w:rsidRPr="00DF40F2">
              <w:rPr>
                <w:rStyle w:val="Strong"/>
                <w:color w:val="000000" w:themeColor="text1"/>
              </w:rPr>
              <w:t xml:space="preserve">Plānā plašāk izvērst taksonomijas jautājumu un tās ietekmi uz finanšu sektoru valstī, nefokusējoties tikai uz klimata ietvaru. Taksonomijas regula kopumā ietver sešus vides mērķus - </w:t>
            </w:r>
            <w:r w:rsidRPr="00DF40F2">
              <w:rPr>
                <w:color w:val="000000" w:themeColor="text1"/>
              </w:rPr>
              <w:t xml:space="preserve">klimata pārmaiņu mazināšana; pielāgošanās klimata pārmaiņām; ilgtspējīga ūdens un jūras resursu izmantošana un aizsardzība; pāreja uz aprites ekonomiku; piesārņojuma novēršana un kontrole; bioloģiskās daudzveidības un ekosistēmu aizsardzība un atjaunošana. Plāna darbības termiņa ietvarā </w:t>
            </w:r>
            <w:r w:rsidRPr="00DF40F2">
              <w:rPr>
                <w:rStyle w:val="Strong"/>
                <w:color w:val="000000" w:themeColor="text1"/>
              </w:rPr>
              <w:t xml:space="preserve">Eiropas </w:t>
            </w:r>
            <w:r w:rsidRPr="00DF40F2">
              <w:rPr>
                <w:color w:val="000000" w:themeColor="text1"/>
              </w:rPr>
              <w:t>Komisija pieņems deleģētos aktus, kuros būs iekļauti īpaši tehniskās pārbaudes kritēriji, lai papildinātu taksonomijas regulā izklāstītos principus un noteiktu, kuras saimnieciskās darbības var kvalificēt katram vides mērķim. Kritēriji attiecībā uz klimata pārmaiņu mazināšanu un pielāgošanos tām tiks pieņemti līdz 2020. gada beigām, bet kritēriji attiecībā uz pārējiem četriem vides mērķiem (ūdens un jūras resursu ilgtspējīga izmantošana un aizsardzība, pāreja uz aprites ekonomiku, piesārņojuma novēršana un kontrole, bioloģiskās daudzveidības un ekosistēmu aizsardzība un atjaunošana) – līdz 2021. gada beigām</w:t>
            </w:r>
            <w:r w:rsidRPr="00DF40F2">
              <w:rPr>
                <w:rStyle w:val="FootnoteReference"/>
                <w:color w:val="000000" w:themeColor="text1"/>
              </w:rPr>
              <w:footnoteReference w:id="4"/>
            </w:r>
            <w:r w:rsidRPr="00DF40F2">
              <w:rPr>
                <w:color w:val="000000" w:themeColor="text1"/>
              </w:rPr>
              <w:t xml:space="preserve"> .</w:t>
            </w:r>
          </w:p>
        </w:tc>
        <w:tc>
          <w:tcPr>
            <w:tcW w:w="2835" w:type="dxa"/>
            <w:tcBorders>
              <w:left w:val="single" w:sz="6" w:space="0" w:color="000000" w:themeColor="text1"/>
              <w:bottom w:val="single" w:sz="4" w:space="0" w:color="auto"/>
              <w:right w:val="single" w:sz="6" w:space="0" w:color="000000" w:themeColor="text1"/>
            </w:tcBorders>
          </w:tcPr>
          <w:p w14:paraId="1DFE298B" w14:textId="4C2A1D1A" w:rsidR="009B2DCB" w:rsidRPr="00AE5356" w:rsidRDefault="00ED2DF3" w:rsidP="00AE5356">
            <w:pPr>
              <w:pStyle w:val="naisc"/>
              <w:spacing w:before="0" w:after="0"/>
              <w:jc w:val="left"/>
            </w:pPr>
            <w:r>
              <w:t>Ņ</w:t>
            </w:r>
            <w:r w:rsidR="00025F0C">
              <w:t>emts vērā</w:t>
            </w:r>
          </w:p>
        </w:tc>
        <w:tc>
          <w:tcPr>
            <w:tcW w:w="3544" w:type="dxa"/>
            <w:tcBorders>
              <w:top w:val="single" w:sz="4" w:space="0" w:color="auto"/>
              <w:left w:val="single" w:sz="4" w:space="0" w:color="auto"/>
              <w:bottom w:val="single" w:sz="4" w:space="0" w:color="auto"/>
            </w:tcBorders>
          </w:tcPr>
          <w:p w14:paraId="3A8C687A" w14:textId="19607F74" w:rsidR="009B2DCB" w:rsidRPr="00AE5356" w:rsidRDefault="00872E5D" w:rsidP="00AE5356">
            <w:pPr>
              <w:jc w:val="both"/>
              <w:rPr>
                <w:color w:val="000000"/>
              </w:rPr>
            </w:pPr>
            <w:r>
              <w:rPr>
                <w:color w:val="000000"/>
              </w:rPr>
              <w:t xml:space="preserve">Teksts precizēts ar </w:t>
            </w:r>
            <w:r w:rsidR="00025F0C">
              <w:rPr>
                <w:color w:val="000000"/>
              </w:rPr>
              <w:t>s</w:t>
            </w:r>
            <w:r>
              <w:rPr>
                <w:color w:val="000000"/>
              </w:rPr>
              <w:t>k</w:t>
            </w:r>
            <w:r w:rsidR="00025F0C">
              <w:rPr>
                <w:color w:val="000000"/>
              </w:rPr>
              <w:t>aidrojumu ko nozīmē ilgtspējīgas fina</w:t>
            </w:r>
            <w:r>
              <w:rPr>
                <w:color w:val="000000"/>
              </w:rPr>
              <w:t>n</w:t>
            </w:r>
            <w:r w:rsidR="00025F0C">
              <w:rPr>
                <w:color w:val="000000"/>
              </w:rPr>
              <w:t>ses.</w:t>
            </w:r>
          </w:p>
        </w:tc>
      </w:tr>
      <w:tr w:rsidR="009B2DCB" w:rsidRPr="00AE5356" w14:paraId="42E96D72" w14:textId="77777777" w:rsidTr="000E70CD">
        <w:tc>
          <w:tcPr>
            <w:tcW w:w="944" w:type="dxa"/>
            <w:tcBorders>
              <w:left w:val="single" w:sz="6" w:space="0" w:color="000000" w:themeColor="text1"/>
              <w:bottom w:val="single" w:sz="4" w:space="0" w:color="auto"/>
              <w:right w:val="single" w:sz="6" w:space="0" w:color="000000" w:themeColor="text1"/>
            </w:tcBorders>
          </w:tcPr>
          <w:p w14:paraId="4CD01FF0"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6766184C"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52BEFAD8" w14:textId="6466EC57" w:rsidR="009B2DCB" w:rsidRPr="00DF40F2" w:rsidRDefault="009B2DCB" w:rsidP="00AE5356">
            <w:pPr>
              <w:contextualSpacing/>
              <w:jc w:val="both"/>
            </w:pPr>
            <w:r w:rsidRPr="00DF40F2">
              <w:rPr>
                <w:color w:val="000000" w:themeColor="text1"/>
              </w:rPr>
              <w:t xml:space="preserve">Ņemot vērā, ka Eiropas Komisija šobrīd izstrādā  budžeta zaļināšanas ietvara kritērijus </w:t>
            </w:r>
            <w:r w:rsidRPr="00DF40F2">
              <w:rPr>
                <w:color w:val="000000" w:themeColor="text1"/>
              </w:rPr>
              <w:lastRenderedPageBreak/>
              <w:t>un ilgtspējīga finansējuma taksonomiju plānots piemērot arī valsts sektoram, aicinām papildināt plānu ar pasākumu – aktualizēt un izvērtēt budžeta zaļināšanas jautājumu.</w:t>
            </w:r>
          </w:p>
        </w:tc>
        <w:tc>
          <w:tcPr>
            <w:tcW w:w="2835" w:type="dxa"/>
            <w:tcBorders>
              <w:left w:val="single" w:sz="6" w:space="0" w:color="000000" w:themeColor="text1"/>
              <w:bottom w:val="single" w:sz="4" w:space="0" w:color="auto"/>
              <w:right w:val="single" w:sz="6" w:space="0" w:color="000000" w:themeColor="text1"/>
            </w:tcBorders>
          </w:tcPr>
          <w:p w14:paraId="03AA0524" w14:textId="00A386BD" w:rsidR="009B2DCB" w:rsidRPr="00AE5356" w:rsidRDefault="00025F0C" w:rsidP="00AE5356">
            <w:pPr>
              <w:pStyle w:val="naisc"/>
              <w:spacing w:before="0" w:after="0"/>
              <w:jc w:val="left"/>
            </w:pPr>
            <w:r>
              <w:lastRenderedPageBreak/>
              <w:t>Daļēji ņemts vērā.</w:t>
            </w:r>
          </w:p>
        </w:tc>
        <w:tc>
          <w:tcPr>
            <w:tcW w:w="3544" w:type="dxa"/>
            <w:tcBorders>
              <w:top w:val="single" w:sz="4" w:space="0" w:color="auto"/>
              <w:left w:val="single" w:sz="4" w:space="0" w:color="auto"/>
              <w:bottom w:val="single" w:sz="4" w:space="0" w:color="auto"/>
            </w:tcBorders>
          </w:tcPr>
          <w:p w14:paraId="2C93F34C" w14:textId="20FF1D07" w:rsidR="009B2DCB" w:rsidRPr="00AE5356" w:rsidRDefault="00025F0C" w:rsidP="00AE5356">
            <w:pPr>
              <w:jc w:val="both"/>
              <w:rPr>
                <w:color w:val="000000"/>
              </w:rPr>
            </w:pPr>
            <w:r>
              <w:rPr>
                <w:color w:val="000000"/>
              </w:rPr>
              <w:t>3.1.1.</w:t>
            </w:r>
            <w:r>
              <w:t xml:space="preserve"> uzdevumā ir paredzēts izveidot </w:t>
            </w:r>
            <w:r w:rsidRPr="00025F0C">
              <w:rPr>
                <w:color w:val="000000"/>
              </w:rPr>
              <w:t xml:space="preserve">Starpinstitūciju darba </w:t>
            </w:r>
            <w:r w:rsidRPr="00025F0C">
              <w:rPr>
                <w:color w:val="000000"/>
              </w:rPr>
              <w:lastRenderedPageBreak/>
              <w:t>grupas/ komitejas izveidošana un Ilgtspējīgo finanšu stratēģijas sagatavošana, kas ietvers sevī konkrēto darbību plānu un ceļa karti finanšu sektoram ceļā uz ilgtspējīgo finanšu ieviešanu valstī</w:t>
            </w:r>
            <w:r w:rsidR="009852D0">
              <w:rPr>
                <w:color w:val="000000"/>
              </w:rPr>
              <w:t>, kur sasniedz</w:t>
            </w:r>
            <w:r w:rsidR="00872E5D">
              <w:rPr>
                <w:color w:val="000000"/>
              </w:rPr>
              <w:t>a</w:t>
            </w:r>
            <w:r w:rsidR="009852D0">
              <w:rPr>
                <w:color w:val="000000"/>
              </w:rPr>
              <w:t>mais mērķis ir identificēti politikas mērķus un veicamos uzdevumus, tai skaitā izskatīt jautājumu par budžeta zaļināšanu.</w:t>
            </w:r>
          </w:p>
        </w:tc>
      </w:tr>
      <w:tr w:rsidR="009B2DCB" w:rsidRPr="00AE5356" w14:paraId="4A1AF80F" w14:textId="77777777" w:rsidTr="000E70CD">
        <w:tc>
          <w:tcPr>
            <w:tcW w:w="944" w:type="dxa"/>
            <w:tcBorders>
              <w:left w:val="single" w:sz="6" w:space="0" w:color="000000" w:themeColor="text1"/>
              <w:bottom w:val="single" w:sz="4" w:space="0" w:color="auto"/>
              <w:right w:val="single" w:sz="6" w:space="0" w:color="000000" w:themeColor="text1"/>
            </w:tcBorders>
          </w:tcPr>
          <w:p w14:paraId="10188928"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185275BC"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2E7B7B99" w14:textId="14F74990" w:rsidR="009B2DCB" w:rsidRPr="00DF40F2" w:rsidRDefault="009B2DCB" w:rsidP="00AE5356">
            <w:pPr>
              <w:contextualSpacing/>
              <w:jc w:val="both"/>
            </w:pPr>
            <w:r w:rsidRPr="00DF40F2">
              <w:rPr>
                <w:color w:val="000000" w:themeColor="text1"/>
              </w:rPr>
              <w:t>Precizēt plāna 3.1.1. pasākuma rezultātu, kas paredz veicināt skaidrāku politikas mērķu un ceļa kartes definēšanu konkrētās tautsaimniecības nozarēs klimata neitralitātes sasniegšanai. Saskaņā ar pasākuma aprakstu, paredzēts, ka starpinstitūciju darba grupa/komiteja un ilgtspējīgo finanšu stratēģija ietvers ceļa karti un darbību plānu finanšu sektoram ceļā uz ilgtspējīgu finanšu ieviešanu valstī, tādējādi jāizvērtē ne tikai klimatneitralitātes ietvars, bet arī citu mērķu sasniegšana (piemēram, skatot Eiropas zaļā kursa vai taksonomijas ietvaros), kuru sasniegšanai ir būtiskas ilgtspējīgas finanses. Attiecīgi nepieciešams precizēt uzdevuma salāgojamību ar darbības rezultātu. Jo uzdevums saistīts ar finanšu nozari, taču darbības virziens uzliek definēt mērķus vairākās tautsaimniecības nozarēs. Ilgtspējību raksturo trīs savstarpēji saistītas dimensijas – vides (ne tikai klimats), ekonomikas un sociālā.</w:t>
            </w:r>
          </w:p>
        </w:tc>
        <w:tc>
          <w:tcPr>
            <w:tcW w:w="2835" w:type="dxa"/>
            <w:tcBorders>
              <w:left w:val="single" w:sz="6" w:space="0" w:color="000000" w:themeColor="text1"/>
              <w:bottom w:val="single" w:sz="4" w:space="0" w:color="auto"/>
              <w:right w:val="single" w:sz="6" w:space="0" w:color="000000" w:themeColor="text1"/>
            </w:tcBorders>
          </w:tcPr>
          <w:p w14:paraId="52416F4D" w14:textId="08C43895" w:rsidR="009B2DCB" w:rsidRPr="00AE5356" w:rsidRDefault="009852D0" w:rsidP="00AE5356">
            <w:pPr>
              <w:pStyle w:val="naisc"/>
              <w:spacing w:before="0" w:after="0"/>
              <w:jc w:val="left"/>
            </w:pPr>
            <w:r>
              <w:t>Ņemts vērā.</w:t>
            </w:r>
            <w:r w:rsidR="009B2DCB" w:rsidRPr="00AE5356">
              <w:t xml:space="preserve"> </w:t>
            </w:r>
          </w:p>
        </w:tc>
        <w:tc>
          <w:tcPr>
            <w:tcW w:w="3544" w:type="dxa"/>
            <w:tcBorders>
              <w:top w:val="single" w:sz="4" w:space="0" w:color="auto"/>
              <w:left w:val="single" w:sz="4" w:space="0" w:color="auto"/>
              <w:bottom w:val="single" w:sz="4" w:space="0" w:color="auto"/>
            </w:tcBorders>
          </w:tcPr>
          <w:p w14:paraId="3357CB31" w14:textId="77777777" w:rsidR="009B2DCB" w:rsidRPr="00AE5356" w:rsidRDefault="009852D0" w:rsidP="00AE5356">
            <w:pPr>
              <w:jc w:val="both"/>
              <w:rPr>
                <w:color w:val="000000"/>
              </w:rPr>
            </w:pPr>
            <w:r>
              <w:rPr>
                <w:color w:val="000000"/>
              </w:rPr>
              <w:t>Teksts precizēts.</w:t>
            </w:r>
          </w:p>
        </w:tc>
      </w:tr>
      <w:tr w:rsidR="009B2DCB" w:rsidRPr="00AE5356" w14:paraId="1A34178E" w14:textId="77777777" w:rsidTr="000E70CD">
        <w:tc>
          <w:tcPr>
            <w:tcW w:w="944" w:type="dxa"/>
            <w:tcBorders>
              <w:left w:val="single" w:sz="6" w:space="0" w:color="000000" w:themeColor="text1"/>
              <w:bottom w:val="single" w:sz="4" w:space="0" w:color="auto"/>
              <w:right w:val="single" w:sz="6" w:space="0" w:color="000000" w:themeColor="text1"/>
            </w:tcBorders>
          </w:tcPr>
          <w:p w14:paraId="07AB2873"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4C3B84D1"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226312E1" w14:textId="3A9EB41E" w:rsidR="009B2DCB" w:rsidRPr="00DF40F2" w:rsidRDefault="009B2DCB" w:rsidP="00AE5356">
            <w:pPr>
              <w:contextualSpacing/>
              <w:jc w:val="both"/>
            </w:pPr>
            <w:r w:rsidRPr="00DF40F2">
              <w:t>Neskatoties uz sniegto situācijas aprakstu par Eiropas Savienības (ES) iniciatīvām (5. sadaļa) un esošo situāciju par zaļajām obligācijām Latvijā, vēlams papildināt plānu ar to kā tieši šīs ES iniciatīvas ietekmēs finanšu sektora attīstību Latvijā un kādi soļi ir jāveic.</w:t>
            </w:r>
          </w:p>
        </w:tc>
        <w:tc>
          <w:tcPr>
            <w:tcW w:w="2835" w:type="dxa"/>
            <w:tcBorders>
              <w:left w:val="single" w:sz="6" w:space="0" w:color="000000" w:themeColor="text1"/>
              <w:bottom w:val="single" w:sz="4" w:space="0" w:color="auto"/>
              <w:right w:val="single" w:sz="6" w:space="0" w:color="000000" w:themeColor="text1"/>
            </w:tcBorders>
          </w:tcPr>
          <w:p w14:paraId="4DD80A1E" w14:textId="1C364308" w:rsidR="009B2DCB" w:rsidRPr="00AE5356" w:rsidRDefault="00D94934" w:rsidP="00AE5356">
            <w:pPr>
              <w:pStyle w:val="naisc"/>
              <w:spacing w:before="0" w:after="0"/>
              <w:jc w:val="left"/>
            </w:pPr>
            <w:r>
              <w:t>Panākta vienošanās elektroniskajā saskaņošanā 14.01.2021.</w:t>
            </w:r>
          </w:p>
        </w:tc>
        <w:tc>
          <w:tcPr>
            <w:tcW w:w="3544" w:type="dxa"/>
            <w:tcBorders>
              <w:top w:val="single" w:sz="4" w:space="0" w:color="auto"/>
              <w:left w:val="single" w:sz="4" w:space="0" w:color="auto"/>
              <w:bottom w:val="single" w:sz="4" w:space="0" w:color="auto"/>
            </w:tcBorders>
          </w:tcPr>
          <w:p w14:paraId="74090C91" w14:textId="442FBC48" w:rsidR="009B2DCB" w:rsidRPr="00AE5356" w:rsidRDefault="009852D0" w:rsidP="00AE5356">
            <w:pPr>
              <w:jc w:val="both"/>
              <w:rPr>
                <w:color w:val="000000"/>
              </w:rPr>
            </w:pPr>
            <w:r>
              <w:rPr>
                <w:color w:val="000000"/>
              </w:rPr>
              <w:t>5.sadaļā uzdevumi 3.1.1. un 3.1.2. ir savstarpēji saistīti, jo ar pirmo uzdevumu ir plānots noteikt sasniedzmos mērķus un attiecīgu pasākumu prioritizēšanu un savukārt ar nākošo uzdevumu ir paredzēta līdzek</w:t>
            </w:r>
            <w:r w:rsidR="00872E5D">
              <w:rPr>
                <w:color w:val="000000"/>
              </w:rPr>
              <w:t>ļu piesaiste ilgtspējīgajām prio</w:t>
            </w:r>
            <w:r>
              <w:rPr>
                <w:color w:val="000000"/>
              </w:rPr>
              <w:t>ritātēm.</w:t>
            </w:r>
          </w:p>
        </w:tc>
      </w:tr>
      <w:tr w:rsidR="009B2DCB" w:rsidRPr="00AE5356" w14:paraId="68AB6CFB" w14:textId="77777777" w:rsidTr="000E70CD">
        <w:tc>
          <w:tcPr>
            <w:tcW w:w="944" w:type="dxa"/>
            <w:tcBorders>
              <w:left w:val="single" w:sz="6" w:space="0" w:color="000000" w:themeColor="text1"/>
              <w:bottom w:val="single" w:sz="4" w:space="0" w:color="auto"/>
              <w:right w:val="single" w:sz="6" w:space="0" w:color="000000" w:themeColor="text1"/>
            </w:tcBorders>
          </w:tcPr>
          <w:p w14:paraId="26ABB967"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24F4604A"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4E1EAF61" w14:textId="012186A7" w:rsidR="009B2DCB" w:rsidRPr="00DF40F2" w:rsidRDefault="009B2DCB" w:rsidP="00AE5356">
            <w:pPr>
              <w:contextualSpacing/>
              <w:jc w:val="both"/>
            </w:pPr>
            <w:r w:rsidRPr="00DF40F2">
              <w:t>Precizēt plāna 5.1. sadaļas nosaukumu, jo ilgtspējīga izaugsme, Zaļais kurss utt. nesatur tikai klimata dimensiju. Ilgtspējīgu attīstību raksturo trīs savstarpēji saistītas dimensijas: vides, ekonomiskā, sociālā. Lūdzam papildināt 5. sadaļu ar aprakstu arī par citām ilgtspējīgas attīstības dimensijām.</w:t>
            </w:r>
          </w:p>
        </w:tc>
        <w:tc>
          <w:tcPr>
            <w:tcW w:w="2835" w:type="dxa"/>
            <w:tcBorders>
              <w:left w:val="single" w:sz="6" w:space="0" w:color="000000" w:themeColor="text1"/>
              <w:bottom w:val="single" w:sz="4" w:space="0" w:color="auto"/>
              <w:right w:val="single" w:sz="6" w:space="0" w:color="000000" w:themeColor="text1"/>
            </w:tcBorders>
          </w:tcPr>
          <w:p w14:paraId="0A3AF46F" w14:textId="3369E9E7" w:rsidR="009B2DCB" w:rsidRPr="00AE5356" w:rsidRDefault="009B2DCB" w:rsidP="00AE5356">
            <w:pPr>
              <w:pStyle w:val="naisc"/>
              <w:spacing w:before="0" w:after="0"/>
              <w:jc w:val="left"/>
            </w:pPr>
            <w:r w:rsidRPr="00AE5356">
              <w:t>Ņemts vērā.</w:t>
            </w:r>
          </w:p>
        </w:tc>
        <w:tc>
          <w:tcPr>
            <w:tcW w:w="3544" w:type="dxa"/>
            <w:tcBorders>
              <w:top w:val="single" w:sz="4" w:space="0" w:color="auto"/>
              <w:left w:val="single" w:sz="4" w:space="0" w:color="auto"/>
              <w:bottom w:val="single" w:sz="4" w:space="0" w:color="auto"/>
            </w:tcBorders>
          </w:tcPr>
          <w:p w14:paraId="12BFF1C9" w14:textId="77777777" w:rsidR="009B2DCB" w:rsidRPr="00AE5356" w:rsidRDefault="009852D0" w:rsidP="00AE5356">
            <w:pPr>
              <w:jc w:val="both"/>
              <w:rPr>
                <w:color w:val="000000"/>
              </w:rPr>
            </w:pPr>
            <w:r>
              <w:rPr>
                <w:color w:val="000000"/>
              </w:rPr>
              <w:t>Teksts precizēts.</w:t>
            </w:r>
          </w:p>
        </w:tc>
      </w:tr>
      <w:tr w:rsidR="009B2DCB" w:rsidRPr="00AE5356" w14:paraId="7DB8A772" w14:textId="77777777" w:rsidTr="000E70CD">
        <w:tc>
          <w:tcPr>
            <w:tcW w:w="944" w:type="dxa"/>
            <w:tcBorders>
              <w:left w:val="single" w:sz="6" w:space="0" w:color="000000" w:themeColor="text1"/>
              <w:bottom w:val="single" w:sz="4" w:space="0" w:color="auto"/>
              <w:right w:val="single" w:sz="6" w:space="0" w:color="000000" w:themeColor="text1"/>
            </w:tcBorders>
          </w:tcPr>
          <w:p w14:paraId="1380C588"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4E26BEE8"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3F76B594" w14:textId="6A295C5B" w:rsidR="009B2DCB" w:rsidRPr="00DF40F2" w:rsidRDefault="009B2DCB" w:rsidP="00AE5356">
            <w:pPr>
              <w:contextualSpacing/>
              <w:jc w:val="both"/>
            </w:pPr>
            <w:r w:rsidRPr="00DF40F2">
              <w:t>Lai gan 5.1. sadaļā ir minēta gan taksonomijas regula, gan arī EU Disclosures Regulation, jānorāda, ka šajā plāna sadaļā nav vērtēta trešā regula no šo trīs regulu pakotnes – Regula par ES klimata pārejas etaloniem, Parīzes nolīgumam pielāgotiem ES etaloniem (https://eur-lex.europa.eu/legal-content/EN/TXT/?uri=celex:32019R2089). Lūgums papildināt plānu ar šo etalonu regulu un tās potenciālo ietekmi uz Latvijas finanšu sektoru.</w:t>
            </w:r>
          </w:p>
        </w:tc>
        <w:tc>
          <w:tcPr>
            <w:tcW w:w="2835" w:type="dxa"/>
            <w:tcBorders>
              <w:left w:val="single" w:sz="6" w:space="0" w:color="000000" w:themeColor="text1"/>
              <w:bottom w:val="single" w:sz="4" w:space="0" w:color="auto"/>
              <w:right w:val="single" w:sz="6" w:space="0" w:color="000000" w:themeColor="text1"/>
            </w:tcBorders>
          </w:tcPr>
          <w:p w14:paraId="4820CCCD" w14:textId="6230D5F9" w:rsidR="009B2DCB" w:rsidRPr="00AE5356" w:rsidRDefault="00D94934" w:rsidP="00AE5356">
            <w:pPr>
              <w:pStyle w:val="naisc"/>
              <w:spacing w:before="0" w:after="0"/>
              <w:jc w:val="left"/>
            </w:pPr>
            <w:r>
              <w:t>Panākta vienošanās elektroniskajā saskaņošanā 14.01.2021.</w:t>
            </w:r>
          </w:p>
        </w:tc>
        <w:tc>
          <w:tcPr>
            <w:tcW w:w="3544" w:type="dxa"/>
            <w:tcBorders>
              <w:top w:val="single" w:sz="4" w:space="0" w:color="auto"/>
              <w:left w:val="single" w:sz="4" w:space="0" w:color="auto"/>
              <w:bottom w:val="single" w:sz="4" w:space="0" w:color="auto"/>
            </w:tcBorders>
          </w:tcPr>
          <w:p w14:paraId="2D5DACBD" w14:textId="77777777" w:rsidR="009B2DCB" w:rsidRPr="00AE5356" w:rsidRDefault="009852D0" w:rsidP="00AE5356">
            <w:pPr>
              <w:jc w:val="both"/>
              <w:rPr>
                <w:color w:val="000000"/>
              </w:rPr>
            </w:pPr>
            <w:r>
              <w:rPr>
                <w:color w:val="000000"/>
              </w:rPr>
              <w:t>Latvijā šobrīd nav tādu uzņēmumu, kas atbilstu šīs regulas prasībām, tādēļ tekstā nav iekļauta informācija par jomu, kas nav aktuāla.</w:t>
            </w:r>
          </w:p>
        </w:tc>
      </w:tr>
      <w:tr w:rsidR="009B2DCB" w:rsidRPr="00AE5356" w14:paraId="4B20FA96" w14:textId="77777777" w:rsidTr="000E70CD">
        <w:tc>
          <w:tcPr>
            <w:tcW w:w="944" w:type="dxa"/>
            <w:tcBorders>
              <w:left w:val="single" w:sz="6" w:space="0" w:color="000000" w:themeColor="text1"/>
              <w:bottom w:val="single" w:sz="4" w:space="0" w:color="auto"/>
              <w:right w:val="single" w:sz="6" w:space="0" w:color="000000" w:themeColor="text1"/>
            </w:tcBorders>
          </w:tcPr>
          <w:p w14:paraId="2FFCC9FC" w14:textId="77777777" w:rsidR="009B2DCB" w:rsidRPr="00AE5356" w:rsidRDefault="009B2DCB"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FDD8EE8" w14:textId="77777777" w:rsidR="009B2DCB" w:rsidRPr="00AE5356" w:rsidRDefault="009B2DCB"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41C02343" w14:textId="2D2B54E8" w:rsidR="009B2DCB" w:rsidRPr="00DF40F2" w:rsidRDefault="009B2DCB" w:rsidP="00AE5356">
            <w:pPr>
              <w:contextualSpacing/>
              <w:jc w:val="both"/>
            </w:pPr>
            <w:r w:rsidRPr="00DF40F2">
              <w:t xml:space="preserve">Plāna 56.lpp ir norādīts apakšvirsraksts “Klimata pārmaiņu ietekme uz Latvijas finanšu sektoru”. Lūdzam skaidrot vai tā ir atsevišķa nodaļa. Ja tā ir, tad nepieciešams precizēt, jo tā nevar būt zem zaļo obligāciju sadaļas. Turklāt veidojot atsevišķu sadaļu vajadzētu mainīt  arī </w:t>
            </w:r>
            <w:r w:rsidRPr="00DF40F2">
              <w:lastRenderedPageBreak/>
              <w:t>nosaukumu, jo ilgtspējīgas finanses un taksonomija pēc būtības nav tikai klimata jautājumi (neaprobežojoties uz to, ka taksonomija uz doto brīdi (pagaidām) aptver tikai klimata pārmaiņu mazināšanas un pielāgošanās mērķus).</w:t>
            </w:r>
          </w:p>
        </w:tc>
        <w:tc>
          <w:tcPr>
            <w:tcW w:w="2835" w:type="dxa"/>
            <w:tcBorders>
              <w:left w:val="single" w:sz="6" w:space="0" w:color="000000" w:themeColor="text1"/>
              <w:bottom w:val="single" w:sz="4" w:space="0" w:color="auto"/>
              <w:right w:val="single" w:sz="6" w:space="0" w:color="000000" w:themeColor="text1"/>
            </w:tcBorders>
          </w:tcPr>
          <w:p w14:paraId="03159809" w14:textId="1C5B9AEA" w:rsidR="009B2DCB" w:rsidRPr="00AE5356" w:rsidRDefault="009B2DCB" w:rsidP="00AE5356">
            <w:pPr>
              <w:pStyle w:val="naisc"/>
              <w:spacing w:before="0" w:after="0"/>
              <w:jc w:val="left"/>
            </w:pPr>
            <w:r w:rsidRPr="00AE5356">
              <w:lastRenderedPageBreak/>
              <w:t>Ņemts vērā.</w:t>
            </w:r>
          </w:p>
        </w:tc>
        <w:tc>
          <w:tcPr>
            <w:tcW w:w="3544" w:type="dxa"/>
            <w:tcBorders>
              <w:top w:val="single" w:sz="4" w:space="0" w:color="auto"/>
              <w:left w:val="single" w:sz="4" w:space="0" w:color="auto"/>
              <w:bottom w:val="single" w:sz="4" w:space="0" w:color="auto"/>
            </w:tcBorders>
          </w:tcPr>
          <w:p w14:paraId="6E764AD0" w14:textId="77777777" w:rsidR="009B2DCB" w:rsidRPr="00AE5356" w:rsidRDefault="009852D0" w:rsidP="00AE5356">
            <w:pPr>
              <w:jc w:val="both"/>
              <w:rPr>
                <w:color w:val="000000"/>
              </w:rPr>
            </w:pPr>
            <w:r>
              <w:rPr>
                <w:color w:val="000000"/>
              </w:rPr>
              <w:t>Noformēta kā atsevišķa nodaļa.</w:t>
            </w:r>
          </w:p>
        </w:tc>
      </w:tr>
      <w:tr w:rsidR="00191FC8" w:rsidRPr="00AE5356" w14:paraId="5472C078" w14:textId="77777777" w:rsidTr="000E70CD">
        <w:tc>
          <w:tcPr>
            <w:tcW w:w="944" w:type="dxa"/>
            <w:tcBorders>
              <w:left w:val="single" w:sz="6" w:space="0" w:color="000000" w:themeColor="text1"/>
              <w:bottom w:val="single" w:sz="4" w:space="0" w:color="auto"/>
              <w:right w:val="single" w:sz="6" w:space="0" w:color="000000" w:themeColor="text1"/>
            </w:tcBorders>
          </w:tcPr>
          <w:p w14:paraId="604A4651" w14:textId="77777777" w:rsidR="00191FC8" w:rsidRPr="00AE5356" w:rsidRDefault="00191FC8"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1C787FCC" w14:textId="3AFFE343" w:rsidR="00191FC8" w:rsidRPr="00AE5356" w:rsidRDefault="00A85B0E" w:rsidP="00AE5356">
            <w:pPr>
              <w:pStyle w:val="naisc"/>
              <w:spacing w:before="0" w:after="0"/>
            </w:pPr>
            <w:r w:rsidRPr="00191FC8">
              <w:rPr>
                <w:b/>
              </w:rPr>
              <w:t>Atkārtota elektroniska saskaņošana</w:t>
            </w:r>
          </w:p>
        </w:tc>
        <w:tc>
          <w:tcPr>
            <w:tcW w:w="4819" w:type="dxa"/>
            <w:gridSpan w:val="2"/>
            <w:tcBorders>
              <w:left w:val="single" w:sz="6" w:space="0" w:color="000000" w:themeColor="text1"/>
              <w:bottom w:val="single" w:sz="4" w:space="0" w:color="auto"/>
              <w:right w:val="single" w:sz="6" w:space="0" w:color="000000" w:themeColor="text1"/>
            </w:tcBorders>
          </w:tcPr>
          <w:p w14:paraId="601122AE" w14:textId="1E3EE8BB" w:rsidR="00191FC8" w:rsidRPr="00191FC8" w:rsidRDefault="00191FC8" w:rsidP="00AE5356">
            <w:pPr>
              <w:contextualSpacing/>
              <w:jc w:val="both"/>
              <w:rPr>
                <w:b/>
                <w:u w:val="single"/>
              </w:rPr>
            </w:pPr>
            <w:r w:rsidRPr="00191FC8">
              <w:rPr>
                <w:b/>
                <w:u w:val="single"/>
              </w:rPr>
              <w:t>Latvijas apdrošinātāju asociācija:</w:t>
            </w:r>
          </w:p>
          <w:p w14:paraId="55CB7DF0" w14:textId="5FDEF7EF" w:rsidR="00191FC8" w:rsidRPr="00DF40F2" w:rsidRDefault="00191FC8" w:rsidP="00AE5356">
            <w:pPr>
              <w:contextualSpacing/>
              <w:jc w:val="both"/>
            </w:pPr>
            <w:r w:rsidRPr="00191FC8">
              <w:t>Papildināt plānu ar jaunu pasākumu punktu nr. 1.2.7., secīgi numurējot nākamos punktus:</w:t>
            </w:r>
            <w:r>
              <w:t xml:space="preserve"> </w:t>
            </w:r>
            <w:r w:rsidRPr="00191FC8">
              <w:t>Nodrošināt iespēju Mūža pensijas kapitālu ieguldīt finanšu instrumentos</w:t>
            </w:r>
            <w:r>
              <w:t>.</w:t>
            </w:r>
          </w:p>
        </w:tc>
        <w:tc>
          <w:tcPr>
            <w:tcW w:w="2835" w:type="dxa"/>
            <w:tcBorders>
              <w:left w:val="single" w:sz="6" w:space="0" w:color="000000" w:themeColor="text1"/>
              <w:bottom w:val="single" w:sz="4" w:space="0" w:color="auto"/>
              <w:right w:val="single" w:sz="6" w:space="0" w:color="000000" w:themeColor="text1"/>
            </w:tcBorders>
          </w:tcPr>
          <w:p w14:paraId="7AAB4F4E" w14:textId="442D9009" w:rsidR="00191FC8" w:rsidRPr="00AE5356" w:rsidRDefault="0081575C" w:rsidP="00AE5356">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1D141A7D" w14:textId="77777777" w:rsidR="0081575C" w:rsidRDefault="0081575C" w:rsidP="00AE5356">
            <w:pPr>
              <w:jc w:val="both"/>
              <w:rPr>
                <w:color w:val="000000"/>
              </w:rPr>
            </w:pPr>
            <w:r>
              <w:rPr>
                <w:color w:val="000000"/>
              </w:rPr>
              <w:t>Uzdevums 1.2.10.</w:t>
            </w:r>
          </w:p>
          <w:p w14:paraId="5C2907F1" w14:textId="77777777" w:rsidR="0081575C" w:rsidRDefault="0081575C" w:rsidP="00AE5356">
            <w:pPr>
              <w:jc w:val="both"/>
              <w:rPr>
                <w:color w:val="000000"/>
              </w:rPr>
            </w:pPr>
            <w:r>
              <w:rPr>
                <w:color w:val="000000"/>
              </w:rPr>
              <w:t xml:space="preserve">Uzdevums/pasākums: </w:t>
            </w:r>
            <w:r w:rsidRPr="0081575C">
              <w:rPr>
                <w:color w:val="000000"/>
              </w:rPr>
              <w:t>Izvērtēt iespēju izveidot augstāka riska Mūža pensijas produktu, kas paredz kapitāl</w:t>
            </w:r>
            <w:r>
              <w:rPr>
                <w:color w:val="000000"/>
              </w:rPr>
              <w:t>u ieguldīt finanšu instrumentos</w:t>
            </w:r>
            <w:r w:rsidRPr="0081575C">
              <w:rPr>
                <w:color w:val="000000"/>
              </w:rPr>
              <w:t>.</w:t>
            </w:r>
          </w:p>
          <w:p w14:paraId="04D69FB5" w14:textId="7152A2D6" w:rsidR="0081575C" w:rsidRDefault="0081575C" w:rsidP="00AE5356">
            <w:pPr>
              <w:jc w:val="both"/>
            </w:pPr>
            <w:r>
              <w:rPr>
                <w:color w:val="000000"/>
              </w:rPr>
              <w:t xml:space="preserve">Darbības rezultāts: </w:t>
            </w:r>
            <w:r w:rsidRPr="00C6780C">
              <w:t>Veicināta personu dalība investīciju tirgū, investīciju kultūras attīstība</w:t>
            </w:r>
            <w:r>
              <w:t>.</w:t>
            </w:r>
          </w:p>
          <w:p w14:paraId="0A3DDB8A" w14:textId="4B031F3B" w:rsidR="0081575C" w:rsidRDefault="0081575C" w:rsidP="00AE5356">
            <w:pPr>
              <w:jc w:val="both"/>
            </w:pPr>
            <w:r>
              <w:t xml:space="preserve">Rezultatīvais rādītājs: </w:t>
            </w:r>
            <w:r w:rsidRPr="0081575C">
              <w:t>Veikts izvērtējums un, ja nepieciešams, izstrādāti priekšlikumi</w:t>
            </w:r>
            <w:r>
              <w:t xml:space="preserve"> grozījumiem normatīvajos aktos</w:t>
            </w:r>
            <w:r w:rsidRPr="0081575C">
              <w:t>.</w:t>
            </w:r>
          </w:p>
          <w:p w14:paraId="51D1E729" w14:textId="0202E615" w:rsidR="0081575C" w:rsidRDefault="0081575C" w:rsidP="00AE5356">
            <w:pPr>
              <w:jc w:val="both"/>
            </w:pPr>
            <w:r>
              <w:t>Atbildīgā institūcija: FM</w:t>
            </w:r>
          </w:p>
          <w:p w14:paraId="444162D5" w14:textId="64407307" w:rsidR="0081575C" w:rsidRDefault="0081575C" w:rsidP="00AE5356">
            <w:pPr>
              <w:jc w:val="both"/>
            </w:pPr>
            <w:r>
              <w:t>Līdzatbildīgās institūcijas: LAA</w:t>
            </w:r>
          </w:p>
          <w:p w14:paraId="1789CA75" w14:textId="5B1D657B" w:rsidR="0081575C" w:rsidRDefault="0081575C" w:rsidP="00AE5356">
            <w:pPr>
              <w:jc w:val="both"/>
              <w:rPr>
                <w:color w:val="000000"/>
              </w:rPr>
            </w:pPr>
            <w:r>
              <w:t>Izpildes termiņš: 31.12.2022.</w:t>
            </w:r>
          </w:p>
          <w:p w14:paraId="190E4B7D" w14:textId="0A128DCD" w:rsidR="0081575C" w:rsidRDefault="0081575C" w:rsidP="00AE5356">
            <w:pPr>
              <w:jc w:val="both"/>
              <w:rPr>
                <w:color w:val="000000"/>
              </w:rPr>
            </w:pPr>
          </w:p>
        </w:tc>
      </w:tr>
      <w:tr w:rsidR="00191FC8" w:rsidRPr="00AE5356" w14:paraId="1ADB9DA4" w14:textId="77777777" w:rsidTr="000E70CD">
        <w:tc>
          <w:tcPr>
            <w:tcW w:w="944" w:type="dxa"/>
            <w:tcBorders>
              <w:left w:val="single" w:sz="6" w:space="0" w:color="000000" w:themeColor="text1"/>
              <w:bottom w:val="single" w:sz="4" w:space="0" w:color="auto"/>
              <w:right w:val="single" w:sz="6" w:space="0" w:color="000000" w:themeColor="text1"/>
            </w:tcBorders>
          </w:tcPr>
          <w:p w14:paraId="78234913" w14:textId="77777777" w:rsidR="00191FC8" w:rsidRPr="00AE5356" w:rsidRDefault="00191FC8"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CB74B98" w14:textId="77777777" w:rsidR="00191FC8" w:rsidRPr="00AE5356" w:rsidRDefault="00191FC8"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1EDC036D" w14:textId="08E997B6" w:rsidR="00191FC8" w:rsidRPr="00DF40F2" w:rsidRDefault="00191FC8" w:rsidP="00AE5356">
            <w:pPr>
              <w:contextualSpacing/>
              <w:jc w:val="both"/>
            </w:pPr>
            <w:r>
              <w:t>P</w:t>
            </w:r>
            <w:r w:rsidRPr="00191FC8">
              <w:t>lāna pasākumu 1.3.3. punktā veikt papildinājumu, aiz vārdiem “3.līmeni” pievienojot vārdus “uzkrājošo dzīvības apdrošināšanu”:</w:t>
            </w:r>
            <w:r>
              <w:t xml:space="preserve"> </w:t>
            </w:r>
            <w:r w:rsidRPr="00191FC8">
              <w:t>Veicināt izpratni par ieguldījumu nepieciešamību, tai skaitā par pensiju 2. un 3.līmeni, uzkrājošo dzīvības apdrošināšanu, ieguldījumiem kapitāla tirgū).</w:t>
            </w:r>
          </w:p>
        </w:tc>
        <w:tc>
          <w:tcPr>
            <w:tcW w:w="2835" w:type="dxa"/>
            <w:tcBorders>
              <w:left w:val="single" w:sz="6" w:space="0" w:color="000000" w:themeColor="text1"/>
              <w:bottom w:val="single" w:sz="4" w:space="0" w:color="auto"/>
              <w:right w:val="single" w:sz="6" w:space="0" w:color="000000" w:themeColor="text1"/>
            </w:tcBorders>
          </w:tcPr>
          <w:p w14:paraId="797C3427" w14:textId="7CDAEF79" w:rsidR="00191FC8" w:rsidRPr="00AE5356" w:rsidRDefault="00D94934" w:rsidP="00AE5356">
            <w:pPr>
              <w:pStyle w:val="naisc"/>
              <w:spacing w:before="0" w:after="0"/>
              <w:jc w:val="left"/>
            </w:pPr>
            <w:r>
              <w:t>Panākta vienošanās elektroniskajā saskaņošanā 14.01.2021.</w:t>
            </w:r>
          </w:p>
        </w:tc>
        <w:tc>
          <w:tcPr>
            <w:tcW w:w="3544" w:type="dxa"/>
            <w:tcBorders>
              <w:top w:val="single" w:sz="4" w:space="0" w:color="auto"/>
              <w:left w:val="single" w:sz="4" w:space="0" w:color="auto"/>
              <w:bottom w:val="single" w:sz="4" w:space="0" w:color="auto"/>
            </w:tcBorders>
          </w:tcPr>
          <w:p w14:paraId="2CE9A7EB" w14:textId="77BE1B04" w:rsidR="00191FC8" w:rsidRDefault="001107EC" w:rsidP="00AE5356">
            <w:pPr>
              <w:jc w:val="both"/>
              <w:rPr>
                <w:color w:val="000000"/>
              </w:rPr>
            </w:pPr>
            <w:r>
              <w:rPr>
                <w:color w:val="000000"/>
              </w:rPr>
              <w:t>Uzdevuma mērķis ir uzlabot izpratni par ieguldījumiem kopumā, neuzsverot specifiskus produktus.</w:t>
            </w:r>
          </w:p>
        </w:tc>
      </w:tr>
      <w:tr w:rsidR="00191FC8" w:rsidRPr="00AE5356" w14:paraId="7E7C5AB3" w14:textId="77777777" w:rsidTr="000E70CD">
        <w:tc>
          <w:tcPr>
            <w:tcW w:w="944" w:type="dxa"/>
            <w:tcBorders>
              <w:left w:val="single" w:sz="6" w:space="0" w:color="000000" w:themeColor="text1"/>
              <w:bottom w:val="single" w:sz="4" w:space="0" w:color="auto"/>
              <w:right w:val="single" w:sz="6" w:space="0" w:color="000000" w:themeColor="text1"/>
            </w:tcBorders>
          </w:tcPr>
          <w:p w14:paraId="763B6A0D" w14:textId="77777777" w:rsidR="00191FC8" w:rsidRPr="00AE5356" w:rsidRDefault="00191FC8" w:rsidP="00AE5356">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60606DE1" w14:textId="77777777" w:rsidR="00191FC8" w:rsidRPr="00AE5356" w:rsidRDefault="00191FC8" w:rsidP="00AE5356">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58C94E39" w14:textId="77777777" w:rsidR="00191FC8" w:rsidRPr="0081575C" w:rsidRDefault="00191FC8" w:rsidP="00AE5356">
            <w:pPr>
              <w:contextualSpacing/>
              <w:jc w:val="both"/>
              <w:rPr>
                <w:b/>
                <w:u w:val="single"/>
              </w:rPr>
            </w:pPr>
            <w:r w:rsidRPr="0081575C">
              <w:rPr>
                <w:b/>
                <w:u w:val="single"/>
              </w:rPr>
              <w:t>Latvijas banka:</w:t>
            </w:r>
          </w:p>
          <w:p w14:paraId="6E644600" w14:textId="53B6C469" w:rsidR="00191FC8" w:rsidRPr="00DF40F2" w:rsidRDefault="00191FC8" w:rsidP="0081575C">
            <w:pPr>
              <w:contextualSpacing/>
              <w:jc w:val="both"/>
            </w:pPr>
            <w:r>
              <w:lastRenderedPageBreak/>
              <w:t>P</w:t>
            </w:r>
            <w:r w:rsidRPr="00191FC8">
              <w:t>apildināt  plāna  projekta  5.1.sadaļas 60.lpp. pēdējās  r</w:t>
            </w:r>
            <w:r w:rsidR="0081575C">
              <w:t>i</w:t>
            </w:r>
            <w:r w:rsidRPr="00191FC8">
              <w:t>ndkopas  teikumu “Konkrētāk,  vides  apsvērumi  attiecas  uz  klimata  pārmaiņu  mazināšanu  un pielāgošanos tām, kā arī uz vides aizsardzību plašākā ziņā  un saistītajiem riskiem (piemēram, dabas katastrofām).” ar zemsvītras piezīmi aiz vārdiem “kā arī uz vides aizsardzību plašākā ziņā” šādā redakcijā: “Piemēram, attiecībā uz gaisa un ūdens piesārņojumu, dabas resursu noplicināšanu un bioloģiskās daudzveidības zudumu”</w:t>
            </w:r>
          </w:p>
        </w:tc>
        <w:tc>
          <w:tcPr>
            <w:tcW w:w="2835" w:type="dxa"/>
            <w:tcBorders>
              <w:left w:val="single" w:sz="6" w:space="0" w:color="000000" w:themeColor="text1"/>
              <w:bottom w:val="single" w:sz="4" w:space="0" w:color="auto"/>
              <w:right w:val="single" w:sz="6" w:space="0" w:color="000000" w:themeColor="text1"/>
            </w:tcBorders>
          </w:tcPr>
          <w:p w14:paraId="17DE521B" w14:textId="56516170" w:rsidR="00191FC8" w:rsidRPr="00AE5356" w:rsidRDefault="00191FC8" w:rsidP="00AE5356">
            <w:pPr>
              <w:pStyle w:val="naisc"/>
              <w:spacing w:before="0" w:after="0"/>
              <w:jc w:val="left"/>
            </w:pPr>
            <w:r>
              <w:lastRenderedPageBreak/>
              <w:t>Ņemts vērā.</w:t>
            </w:r>
          </w:p>
        </w:tc>
        <w:tc>
          <w:tcPr>
            <w:tcW w:w="3544" w:type="dxa"/>
            <w:tcBorders>
              <w:top w:val="single" w:sz="4" w:space="0" w:color="auto"/>
              <w:left w:val="single" w:sz="4" w:space="0" w:color="auto"/>
              <w:bottom w:val="single" w:sz="4" w:space="0" w:color="auto"/>
            </w:tcBorders>
          </w:tcPr>
          <w:p w14:paraId="4700A30F" w14:textId="3073A9F0" w:rsidR="00191FC8" w:rsidRDefault="0081575C" w:rsidP="00AE5356">
            <w:pPr>
              <w:jc w:val="both"/>
              <w:rPr>
                <w:color w:val="000000"/>
              </w:rPr>
            </w:pPr>
            <w:r>
              <w:rPr>
                <w:color w:val="000000"/>
              </w:rPr>
              <w:t>Papildināts teksts 68. lpp.</w:t>
            </w:r>
          </w:p>
        </w:tc>
      </w:tr>
      <w:tr w:rsidR="00191FC8" w:rsidRPr="00AE5356" w14:paraId="3E9A33CB" w14:textId="77777777" w:rsidTr="000E70CD">
        <w:tc>
          <w:tcPr>
            <w:tcW w:w="944" w:type="dxa"/>
            <w:tcBorders>
              <w:left w:val="single" w:sz="6" w:space="0" w:color="000000" w:themeColor="text1"/>
              <w:bottom w:val="single" w:sz="4" w:space="0" w:color="auto"/>
              <w:right w:val="single" w:sz="6" w:space="0" w:color="000000" w:themeColor="text1"/>
            </w:tcBorders>
          </w:tcPr>
          <w:p w14:paraId="7CFDBF3F" w14:textId="77777777" w:rsidR="00191FC8" w:rsidRPr="00AE5356" w:rsidRDefault="00191FC8" w:rsidP="00191FC8">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2D9EDC08" w14:textId="77777777" w:rsidR="00191FC8" w:rsidRPr="00AE5356" w:rsidRDefault="00191FC8" w:rsidP="00191FC8">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426BFA65" w14:textId="26431A8E" w:rsidR="00191FC8" w:rsidRPr="00DF40F2" w:rsidRDefault="00191FC8" w:rsidP="00191FC8">
            <w:pPr>
              <w:contextualSpacing/>
              <w:jc w:val="both"/>
            </w:pPr>
            <w:r>
              <w:t>P</w:t>
            </w:r>
            <w:r w:rsidRPr="00191FC8">
              <w:t xml:space="preserve">apildināt  plāna  projekta  1.  sadaļas  7.  lpp.  2.  rindkopu,  izsakot  to  sekojošā redakcijā: "Reaģējot uz ekonomiskās situācijas kraso pasliktināšanos saistībā ar Covid-19 krīzi, pasaules valstu centrālās bankas ir pastiprinājušas monetārās stimulēšanas pasākumus. ASV Federālo rezervju sistēma 2020.gada  15.martā samazināja bāzes procentu likmi līdz 0-0,25%, bet 23.martā paziņoja par valsts vērtspapīru iegādi neierobežotā apmērā, lai palīdzētu pārvarēt Covid-19 krīzes ietekmi. ECB savukārt  2020.gada   19.martā  uzsāka  valdības  un  uzņēmumu  obligāciju uzpirkšanas programmu (Pandemic  Emergency  Purchase  Programme,  PEPP) 750 miljardu euroapmērā. ECB palielināja arī esošās aktīvu iegādes programmas apjomu,  atviegloja  ilgāka  termiņa  mērķoperāciju  nosacījumus,  kā  arī  uzsāka pandēmijas ilgāka termiņa mērķoperācijas. 2020.gada jūnijā un decembrī PEPP programmas  apjoms  un  ilgums  vēl  vairāk  tika  </w:t>
            </w:r>
            <w:r w:rsidRPr="00191FC8">
              <w:lastRenderedPageBreak/>
              <w:t>palielināts,  līdz  pat  1850 miljardiem euro un vismaz līdz 2022. gada marta beigām. Latvijā ilgāka termiņa mērķoperācijās III piedalījās vairākas kredītiestādes. Jūnija un septembra izsolēs tās kopā pieprasīja un saņēma šos kredītus 1.26 miljardu euro apjomā. Covid-19 krīzei  ieilgstot  arī  ilgāka  termiņa  mērķoperācijas  III  tika  pārkalibrētas,  gan pagarinot šo operāciju īpašo labvēlības periodu, gan veicot 2021. gadā vēl papildu ilgāka termiņa mērķoperācijas."</w:t>
            </w:r>
          </w:p>
        </w:tc>
        <w:tc>
          <w:tcPr>
            <w:tcW w:w="2835" w:type="dxa"/>
            <w:tcBorders>
              <w:left w:val="single" w:sz="6" w:space="0" w:color="000000" w:themeColor="text1"/>
              <w:bottom w:val="single" w:sz="4" w:space="0" w:color="auto"/>
              <w:right w:val="single" w:sz="6" w:space="0" w:color="000000" w:themeColor="text1"/>
            </w:tcBorders>
          </w:tcPr>
          <w:p w14:paraId="4371C637" w14:textId="2BEC2005" w:rsidR="00191FC8" w:rsidRPr="00AE5356" w:rsidRDefault="00191FC8" w:rsidP="00191FC8">
            <w:pPr>
              <w:pStyle w:val="naisc"/>
              <w:spacing w:before="0" w:after="0"/>
              <w:jc w:val="left"/>
            </w:pPr>
            <w:r>
              <w:lastRenderedPageBreak/>
              <w:t>Ņemts vērā.</w:t>
            </w:r>
          </w:p>
        </w:tc>
        <w:tc>
          <w:tcPr>
            <w:tcW w:w="3544" w:type="dxa"/>
            <w:tcBorders>
              <w:top w:val="single" w:sz="4" w:space="0" w:color="auto"/>
              <w:left w:val="single" w:sz="4" w:space="0" w:color="auto"/>
              <w:bottom w:val="single" w:sz="4" w:space="0" w:color="auto"/>
            </w:tcBorders>
          </w:tcPr>
          <w:p w14:paraId="7ECDF76E" w14:textId="7CC95B1D" w:rsidR="00191FC8" w:rsidRDefault="0081575C" w:rsidP="00191FC8">
            <w:pPr>
              <w:jc w:val="both"/>
              <w:rPr>
                <w:color w:val="000000"/>
              </w:rPr>
            </w:pPr>
            <w:r>
              <w:rPr>
                <w:color w:val="000000"/>
              </w:rPr>
              <w:t>Rindkopa 7. lpp. izteikta piedāvātajā redakcijā.</w:t>
            </w:r>
          </w:p>
        </w:tc>
      </w:tr>
      <w:tr w:rsidR="00191FC8" w:rsidRPr="00AE5356" w14:paraId="12F3B41A" w14:textId="77777777" w:rsidTr="000E70CD">
        <w:tc>
          <w:tcPr>
            <w:tcW w:w="944" w:type="dxa"/>
            <w:tcBorders>
              <w:left w:val="single" w:sz="6" w:space="0" w:color="000000" w:themeColor="text1"/>
              <w:bottom w:val="single" w:sz="4" w:space="0" w:color="auto"/>
              <w:right w:val="single" w:sz="6" w:space="0" w:color="000000" w:themeColor="text1"/>
            </w:tcBorders>
          </w:tcPr>
          <w:p w14:paraId="3CC1BDE6" w14:textId="77777777" w:rsidR="00191FC8" w:rsidRPr="00AE5356" w:rsidRDefault="00191FC8" w:rsidP="00191FC8">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6F9F0182" w14:textId="77777777" w:rsidR="00191FC8" w:rsidRPr="00AE5356" w:rsidRDefault="00191FC8" w:rsidP="00191FC8">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4209DA14" w14:textId="0C72B4A3" w:rsidR="00191FC8" w:rsidRPr="00DF40F2" w:rsidRDefault="00191FC8" w:rsidP="00191FC8">
            <w:pPr>
              <w:contextualSpacing/>
              <w:jc w:val="both"/>
            </w:pPr>
            <w:r>
              <w:t>A</w:t>
            </w:r>
            <w:r w:rsidRPr="00191FC8">
              <w:t>psvērt iespēju saglabāt iepriekšējā plāna projekta redakcijā norādīto uzdevumu 1.1.3.  "Pilnveidot maksātnespējas jomas tiesisko regulējumu, uzsvaru liekot uz mehānismu izveidi finanšu  grūtību atrisināšanai, tādējādi, saglabājot jau esošo saimniecisko darbību.", vienlaikus veicot</w:t>
            </w:r>
            <w:r w:rsidR="00FB591C">
              <w:t xml:space="preserve"> </w:t>
            </w:r>
            <w:r w:rsidRPr="00191FC8">
              <w:t>par šī uzdevumu atbildīgās institūcijas –Tieslietu ministrijas –ierosinātos precizējumus šī uzdevuma tvērumā (atbilstoši izziņā norādītajam 39. jautājumam). Ņemot vērā šī uzdevuma nozīmi ilgtspējīgas kreditēšanas  veicināšanā,</w:t>
            </w:r>
            <w:r w:rsidR="00FB591C">
              <w:t xml:space="preserve"> </w:t>
            </w:r>
            <w:r w:rsidRPr="00191FC8">
              <w:t>kā  arī  to,  ka  Tieslietu  ministrija  neiebilst  pret  šī pasākuma ieviešanu kā tādu, bet gan tā tvēruma aspektiem, uzskatām, ka nebūtu pamatoti uzdevumu pilnībā dzēst no plāna.</w:t>
            </w:r>
          </w:p>
        </w:tc>
        <w:tc>
          <w:tcPr>
            <w:tcW w:w="2835" w:type="dxa"/>
            <w:tcBorders>
              <w:left w:val="single" w:sz="6" w:space="0" w:color="000000" w:themeColor="text1"/>
              <w:bottom w:val="single" w:sz="4" w:space="0" w:color="auto"/>
              <w:right w:val="single" w:sz="6" w:space="0" w:color="000000" w:themeColor="text1"/>
            </w:tcBorders>
          </w:tcPr>
          <w:p w14:paraId="0F0002DE" w14:textId="7880F7AD" w:rsidR="00191FC8" w:rsidRPr="00AE5356" w:rsidRDefault="00D94934" w:rsidP="00191FC8">
            <w:pPr>
              <w:pStyle w:val="naisc"/>
              <w:spacing w:before="0" w:after="0"/>
              <w:jc w:val="left"/>
            </w:pPr>
            <w:r>
              <w:t>Panākta vienošanās elektroniskajā saskaņošanā 14.01.2021.</w:t>
            </w:r>
          </w:p>
        </w:tc>
        <w:tc>
          <w:tcPr>
            <w:tcW w:w="3544" w:type="dxa"/>
            <w:tcBorders>
              <w:top w:val="single" w:sz="4" w:space="0" w:color="auto"/>
              <w:left w:val="single" w:sz="4" w:space="0" w:color="auto"/>
              <w:bottom w:val="single" w:sz="4" w:space="0" w:color="auto"/>
            </w:tcBorders>
          </w:tcPr>
          <w:p w14:paraId="0E7AAAB6" w14:textId="36C58692" w:rsidR="00191FC8" w:rsidRDefault="001107EC" w:rsidP="00191FC8">
            <w:pPr>
              <w:jc w:val="both"/>
              <w:rPr>
                <w:color w:val="000000"/>
              </w:rPr>
            </w:pPr>
            <w:r>
              <w:rPr>
                <w:color w:val="000000"/>
              </w:rPr>
              <w:t>Maksātnespējas regulējuma pilnveidošanas nozīme ir uzsvērta Plāna tekstā. Uzdevums netiek iekļauts, jo nav finanšu tirgus politikas jautājums.</w:t>
            </w:r>
          </w:p>
        </w:tc>
      </w:tr>
      <w:tr w:rsidR="00191FC8" w:rsidRPr="00AE5356" w14:paraId="0FE8CAA6" w14:textId="77777777" w:rsidTr="000E70CD">
        <w:tc>
          <w:tcPr>
            <w:tcW w:w="944" w:type="dxa"/>
            <w:tcBorders>
              <w:left w:val="single" w:sz="6" w:space="0" w:color="000000" w:themeColor="text1"/>
              <w:bottom w:val="single" w:sz="4" w:space="0" w:color="auto"/>
              <w:right w:val="single" w:sz="6" w:space="0" w:color="000000" w:themeColor="text1"/>
            </w:tcBorders>
          </w:tcPr>
          <w:p w14:paraId="2A5114D3" w14:textId="77777777" w:rsidR="00191FC8" w:rsidRPr="00AE5356" w:rsidRDefault="00191FC8" w:rsidP="00191FC8">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398B228" w14:textId="77777777" w:rsidR="00191FC8" w:rsidRPr="00AE5356" w:rsidRDefault="00191FC8" w:rsidP="00191FC8">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08F9A7F8" w14:textId="0099D081" w:rsidR="00B838CD" w:rsidRPr="00B838CD" w:rsidRDefault="00B838CD" w:rsidP="00736E52">
            <w:pPr>
              <w:contextualSpacing/>
              <w:jc w:val="both"/>
              <w:rPr>
                <w:b/>
                <w:u w:val="single"/>
              </w:rPr>
            </w:pPr>
            <w:r w:rsidRPr="00B838CD">
              <w:rPr>
                <w:b/>
                <w:u w:val="single"/>
              </w:rPr>
              <w:t>Latvijas finanšu nozares asociācija:</w:t>
            </w:r>
          </w:p>
          <w:p w14:paraId="6B74320C" w14:textId="5CF6F3F3" w:rsidR="00736E52" w:rsidRDefault="00736E52" w:rsidP="00736E52">
            <w:pPr>
              <w:contextualSpacing/>
              <w:jc w:val="both"/>
            </w:pPr>
            <w:r>
              <w:t xml:space="preserve">Plāna 8.lpp. ir norādīts, ka “vienlaikus nevienmērīgā jauno prasību izpratne, kā arī papildu noziedzīgi iegūtu līdzekļu legalizācijas gadījumi Baltijas un Ziemeļvalstu finanšu </w:t>
            </w:r>
            <w:r>
              <w:lastRenderedPageBreak/>
              <w:t xml:space="preserve">sektorā ietekmē privātā sektora vēlmi izvairīties no riskiem, nevis vadīt tos, tādējādi apgrūtinot savstarpējo sadarbību starp finanšu sektoru un uzņēmumiem, un privātpersonām”. Asociācija turpina uzturēt iebildumu un nepiekrīt apgalvojumam, ka minētie iemesli ir vienīgie un būtiskākie, kas šobrīd rada privātā sektora vēlmi izvairīties no riskiem vai tā saucamo de-riskingu. Stigrā pieeja, atverot kontus privātpersonām, viennozīmīgi nav kredītiestāžu vienpusēja iniciatīva vai vēlme, bet gan vairāku iemeslu, prasību un apstākļu rezultāts. De-riskingu kā fenomenu un problēmu pētījušas un turpina pētīt virkne starptautisko organizāciju un iestāžu12. Nevienā no pētījumiem nav secināts, ka finanšu iestādēm izvirzīto prasību izpratne būtu vienīgā problēma. Tādējādi Plānā ietvertais apgalvojums, ka vēlme atteikties no riska rodas tikai prasību neprecīzas izpratnes rezultātā, nav pietiekami pamatota ar konkrētiem datiem. Vienlaikus Asociācija piekrīt izziņā norādītajam, ka samērīgas pieejas veidošana noziedzīgi iegūtu līdzekļu legalizācijas un terorisma un proliferācijas finansēšanas novēršanas jomā nav šī Plāna uzdevums. Ievērojot minēto, Asociācija lūdz minēto rindkopu svītrot vai izteikt to šādā redakcijā: </w:t>
            </w:r>
          </w:p>
          <w:p w14:paraId="63B0E4F4" w14:textId="77777777" w:rsidR="00736E52" w:rsidRDefault="00736E52" w:rsidP="00736E52">
            <w:pPr>
              <w:contextualSpacing/>
              <w:jc w:val="both"/>
            </w:pPr>
          </w:p>
          <w:p w14:paraId="13F7514C" w14:textId="144C4261" w:rsidR="00191FC8" w:rsidRPr="00DF40F2" w:rsidRDefault="00736E52" w:rsidP="00736E52">
            <w:pPr>
              <w:contextualSpacing/>
              <w:jc w:val="both"/>
            </w:pPr>
            <w:r>
              <w:t xml:space="preserve">“Vienlaikus formālas normatīvo aktu prasības, kas liedz piemērot riskos balstīto pieeju pēc būtības, kā arī nesamērīgas un reģionu līmenī atšķirīgas noteikumos noteiktās risku </w:t>
            </w:r>
            <w:r>
              <w:lastRenderedPageBreak/>
              <w:t>pārvaldības prasības un virkne citu jomas praktisko aspektu rada situāciju, kurā privātais sektors labāk izvēlas atteikties no riskiem, nevis uzņemas tos saprātīgi vadīt. Rezultātā  finanšu sektora un privātpersonu sadarbība tiek nesamērīgi apgrūtināta.”</w:t>
            </w:r>
          </w:p>
        </w:tc>
        <w:tc>
          <w:tcPr>
            <w:tcW w:w="2835" w:type="dxa"/>
            <w:tcBorders>
              <w:left w:val="single" w:sz="6" w:space="0" w:color="000000" w:themeColor="text1"/>
              <w:bottom w:val="single" w:sz="4" w:space="0" w:color="auto"/>
              <w:right w:val="single" w:sz="6" w:space="0" w:color="000000" w:themeColor="text1"/>
            </w:tcBorders>
          </w:tcPr>
          <w:p w14:paraId="11F67CE5" w14:textId="6B317A12" w:rsidR="00191FC8" w:rsidRPr="00AE5356" w:rsidRDefault="007D004B" w:rsidP="00191FC8">
            <w:pPr>
              <w:pStyle w:val="naisc"/>
              <w:spacing w:before="0" w:after="0"/>
              <w:jc w:val="left"/>
            </w:pPr>
            <w:r>
              <w:lastRenderedPageBreak/>
              <w:t>Ņ</w:t>
            </w:r>
            <w:r w:rsidR="00736E52">
              <w:t>emts vērā.</w:t>
            </w:r>
          </w:p>
        </w:tc>
        <w:tc>
          <w:tcPr>
            <w:tcW w:w="3544" w:type="dxa"/>
            <w:tcBorders>
              <w:top w:val="single" w:sz="4" w:space="0" w:color="auto"/>
              <w:left w:val="single" w:sz="4" w:space="0" w:color="auto"/>
              <w:bottom w:val="single" w:sz="4" w:space="0" w:color="auto"/>
            </w:tcBorders>
          </w:tcPr>
          <w:p w14:paraId="38221E15" w14:textId="6FFDAE28" w:rsidR="00191FC8" w:rsidRDefault="007D004B" w:rsidP="00191FC8">
            <w:pPr>
              <w:jc w:val="both"/>
              <w:rPr>
                <w:color w:val="000000"/>
              </w:rPr>
            </w:pPr>
            <w:r>
              <w:rPr>
                <w:color w:val="000000"/>
              </w:rPr>
              <w:t>Teikums dzēsts.</w:t>
            </w:r>
          </w:p>
        </w:tc>
      </w:tr>
      <w:tr w:rsidR="00191FC8" w:rsidRPr="00AE5356" w14:paraId="2FA289DF" w14:textId="77777777" w:rsidTr="000E70CD">
        <w:tc>
          <w:tcPr>
            <w:tcW w:w="944" w:type="dxa"/>
            <w:tcBorders>
              <w:left w:val="single" w:sz="6" w:space="0" w:color="000000" w:themeColor="text1"/>
              <w:bottom w:val="single" w:sz="4" w:space="0" w:color="auto"/>
              <w:right w:val="single" w:sz="6" w:space="0" w:color="000000" w:themeColor="text1"/>
            </w:tcBorders>
          </w:tcPr>
          <w:p w14:paraId="70B2EC90" w14:textId="77777777" w:rsidR="00191FC8" w:rsidRPr="00AE5356" w:rsidRDefault="00191FC8" w:rsidP="00191FC8">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1B2A3B3D" w14:textId="77777777" w:rsidR="00191FC8" w:rsidRPr="00AE5356" w:rsidRDefault="00191FC8" w:rsidP="00191FC8">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3E2F4E6E" w14:textId="024DC628" w:rsidR="00191FC8" w:rsidRPr="00DF40F2" w:rsidRDefault="00736E52" w:rsidP="00191FC8">
            <w:pPr>
              <w:contextualSpacing/>
              <w:jc w:val="both"/>
            </w:pPr>
            <w:r w:rsidRPr="00736E52">
              <w:t>Attiecībā uz finansējuma pieejamību un kredītiestāžu konkurenci (14.lpp.) vēlamies uzsvērt, ka fakts, ka četras lielākās kredītiestādes izsniedz virs 80% kredītu, nenozīmē, ka to starpā nepastāv konkurence. Lūgums atbilstoši papildināt Plānu.</w:t>
            </w:r>
          </w:p>
        </w:tc>
        <w:tc>
          <w:tcPr>
            <w:tcW w:w="2835" w:type="dxa"/>
            <w:tcBorders>
              <w:left w:val="single" w:sz="6" w:space="0" w:color="000000" w:themeColor="text1"/>
              <w:bottom w:val="single" w:sz="4" w:space="0" w:color="auto"/>
              <w:right w:val="single" w:sz="6" w:space="0" w:color="000000" w:themeColor="text1"/>
            </w:tcBorders>
          </w:tcPr>
          <w:p w14:paraId="37E09F70" w14:textId="30FE62EA" w:rsidR="00191FC8" w:rsidRPr="00AE5356" w:rsidRDefault="00D94934" w:rsidP="00191FC8">
            <w:pPr>
              <w:pStyle w:val="naisc"/>
              <w:spacing w:before="0" w:after="0"/>
              <w:jc w:val="left"/>
            </w:pPr>
            <w:r>
              <w:t>Panākta vienošanās elektroniskajā saskaņošanā 14.01.2021.</w:t>
            </w:r>
            <w:r w:rsidR="00736E52">
              <w:t>.</w:t>
            </w:r>
          </w:p>
        </w:tc>
        <w:tc>
          <w:tcPr>
            <w:tcW w:w="3544" w:type="dxa"/>
            <w:tcBorders>
              <w:top w:val="single" w:sz="4" w:space="0" w:color="auto"/>
              <w:left w:val="single" w:sz="4" w:space="0" w:color="auto"/>
              <w:bottom w:val="single" w:sz="4" w:space="0" w:color="auto"/>
            </w:tcBorders>
          </w:tcPr>
          <w:p w14:paraId="3F515E7C" w14:textId="23720065" w:rsidR="00191FC8" w:rsidRDefault="00881B84" w:rsidP="00FB591C">
            <w:pPr>
              <w:jc w:val="both"/>
              <w:rPr>
                <w:color w:val="000000"/>
              </w:rPr>
            </w:pPr>
            <w:r>
              <w:rPr>
                <w:color w:val="000000"/>
              </w:rPr>
              <w:t xml:space="preserve">Rādītājs </w:t>
            </w:r>
            <w:r w:rsidR="00FB591C">
              <w:rPr>
                <w:color w:val="000000"/>
              </w:rPr>
              <w:t>raksturo</w:t>
            </w:r>
            <w:r>
              <w:rPr>
                <w:color w:val="000000"/>
              </w:rPr>
              <w:t xml:space="preserve"> situāciju tirgū. </w:t>
            </w:r>
          </w:p>
        </w:tc>
      </w:tr>
      <w:tr w:rsidR="00191FC8" w:rsidRPr="00AE5356" w14:paraId="125880B3" w14:textId="77777777" w:rsidTr="000E70CD">
        <w:tc>
          <w:tcPr>
            <w:tcW w:w="944" w:type="dxa"/>
            <w:tcBorders>
              <w:left w:val="single" w:sz="6" w:space="0" w:color="000000" w:themeColor="text1"/>
              <w:bottom w:val="single" w:sz="4" w:space="0" w:color="auto"/>
              <w:right w:val="single" w:sz="6" w:space="0" w:color="000000" w:themeColor="text1"/>
            </w:tcBorders>
          </w:tcPr>
          <w:p w14:paraId="5698B51B" w14:textId="77777777" w:rsidR="00191FC8" w:rsidRPr="00AE5356" w:rsidRDefault="00191FC8" w:rsidP="00191FC8">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3B68BB41" w14:textId="77777777" w:rsidR="00191FC8" w:rsidRPr="00AE5356" w:rsidRDefault="00191FC8" w:rsidP="00191FC8">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49FDC8C8" w14:textId="77777777" w:rsidR="00B838CD" w:rsidRDefault="00B838CD" w:rsidP="00B838CD">
            <w:pPr>
              <w:contextualSpacing/>
              <w:jc w:val="both"/>
            </w:pPr>
            <w:r>
              <w:t xml:space="preserve">Aicinām papildināt Plānā sniegto informāciju par valsts fondēto pensiju komisijas maksām (21.lpp.) ar šādu skaidrojumu: </w:t>
            </w:r>
          </w:p>
          <w:p w14:paraId="280C8968" w14:textId="77777777" w:rsidR="00B838CD" w:rsidRDefault="00B838CD" w:rsidP="00B838CD">
            <w:pPr>
              <w:contextualSpacing/>
              <w:jc w:val="both"/>
            </w:pPr>
          </w:p>
          <w:p w14:paraId="04003214" w14:textId="77777777" w:rsidR="00B838CD" w:rsidRDefault="00B838CD" w:rsidP="00B838CD">
            <w:pPr>
              <w:contextualSpacing/>
              <w:jc w:val="both"/>
            </w:pPr>
            <w:r>
              <w:t xml:space="preserve">“Pēdējo trīs gadu laikā maksājumi par ieguldījumu plānu pārvaldīšanu ir vairākas reizes samazinājušies. </w:t>
            </w:r>
          </w:p>
          <w:p w14:paraId="168DCDD5" w14:textId="77777777" w:rsidR="00B838CD" w:rsidRDefault="00B838CD" w:rsidP="00B838CD">
            <w:pPr>
              <w:contextualSpacing/>
              <w:jc w:val="both"/>
            </w:pPr>
          </w:p>
          <w:p w14:paraId="591E306E" w14:textId="096B61DD" w:rsidR="00B838CD" w:rsidRDefault="00B838CD" w:rsidP="00B838CD">
            <w:pPr>
              <w:contextualSpacing/>
              <w:jc w:val="both"/>
            </w:pPr>
            <w:r>
              <w:t xml:space="preserve">1. Valsts sociālās apdrošināšanas aģentūras (turpmāk -VSAA) pārskata “Pārskats par valsts fondēto pensiju shēmas darbību 2019. gadā” (22.lpp.) ir apkopota informācija par kopējo izdevumu koeficientu (turpmāk - KIK) pa ieguldījumu plāniem un gadiem 2019.gadā. Salīdzinot KIK rādītāju, kas ir atspoguļots VSAA pārskatos par 2016.-2019.gadu, var redzēt izmaksu samazinājuma tendenci no 1,57% līdz 0,48; </w:t>
            </w:r>
          </w:p>
          <w:p w14:paraId="7634D3CF" w14:textId="77777777" w:rsidR="00B838CD" w:rsidRDefault="00B838CD" w:rsidP="00B838CD">
            <w:pPr>
              <w:contextualSpacing/>
              <w:jc w:val="both"/>
            </w:pPr>
          </w:p>
          <w:p w14:paraId="63AEA2F5" w14:textId="197DDB0C" w:rsidR="00B838CD" w:rsidRDefault="00B838CD" w:rsidP="00B838CD">
            <w:pPr>
              <w:contextualSpacing/>
              <w:jc w:val="both"/>
            </w:pPr>
            <w:r>
              <w:lastRenderedPageBreak/>
              <w:t xml:space="preserve">2. OECD pētījumos par pensijām ir iespējams salīdzināt Latvijas pensiju plānu pārvaldītāju izmaksas ar citu valstu pensiju plānu pārvaldītāju izmaksām, kur uzskatāmi redzams, ka tās ir pielīdzināmas citu valstu maksām3; </w:t>
            </w:r>
          </w:p>
          <w:p w14:paraId="3DAE8D76" w14:textId="77777777" w:rsidR="00B838CD" w:rsidRDefault="00B838CD" w:rsidP="00B838CD">
            <w:pPr>
              <w:contextualSpacing/>
              <w:jc w:val="both"/>
            </w:pPr>
          </w:p>
          <w:p w14:paraId="3BE47C6A" w14:textId="606DAADE" w:rsidR="00191FC8" w:rsidRPr="00DF40F2" w:rsidRDefault="00B838CD" w:rsidP="00B838CD">
            <w:pPr>
              <w:contextualSpacing/>
              <w:jc w:val="both"/>
            </w:pPr>
            <w:r>
              <w:t>3. Komisiju samazināšanas tendence ir iestrādāta komisiju aprēķina algoritmā – palielinoties pārvaldāmo līdzekļu apjomam, vidējā svērtā industrijas komisija arvien vairāk tuvosies 0.4%, kas ir maksimālais limits, pārvaldot investīciju apjomu virs 300mEUR (atsevišķiem plāniem izmaksas ir noteiktas zem 0,4%).”</w:t>
            </w:r>
          </w:p>
        </w:tc>
        <w:tc>
          <w:tcPr>
            <w:tcW w:w="2835" w:type="dxa"/>
            <w:tcBorders>
              <w:left w:val="single" w:sz="6" w:space="0" w:color="000000" w:themeColor="text1"/>
              <w:bottom w:val="single" w:sz="4" w:space="0" w:color="auto"/>
              <w:right w:val="single" w:sz="6" w:space="0" w:color="000000" w:themeColor="text1"/>
            </w:tcBorders>
          </w:tcPr>
          <w:p w14:paraId="4785B324" w14:textId="3C3D4AFA" w:rsidR="00191FC8" w:rsidRPr="00AE5356" w:rsidRDefault="00B838CD" w:rsidP="00191FC8">
            <w:pPr>
              <w:pStyle w:val="naisc"/>
              <w:spacing w:before="0" w:after="0"/>
              <w:jc w:val="left"/>
            </w:pPr>
            <w:r>
              <w:lastRenderedPageBreak/>
              <w:t>Ņemts vērā.</w:t>
            </w:r>
          </w:p>
        </w:tc>
        <w:tc>
          <w:tcPr>
            <w:tcW w:w="3544" w:type="dxa"/>
            <w:tcBorders>
              <w:top w:val="single" w:sz="4" w:space="0" w:color="auto"/>
              <w:left w:val="single" w:sz="4" w:space="0" w:color="auto"/>
              <w:bottom w:val="single" w:sz="4" w:space="0" w:color="auto"/>
            </w:tcBorders>
          </w:tcPr>
          <w:p w14:paraId="6F36549A" w14:textId="6122AEFD" w:rsidR="00191FC8" w:rsidRDefault="00FD4579" w:rsidP="00FB591C">
            <w:pPr>
              <w:jc w:val="both"/>
              <w:rPr>
                <w:color w:val="000000"/>
              </w:rPr>
            </w:pPr>
            <w:r>
              <w:rPr>
                <w:color w:val="000000"/>
              </w:rPr>
              <w:t xml:space="preserve">Pievienota informācija par izmaksu tendenci: </w:t>
            </w:r>
            <w:r w:rsidR="00FB591C" w:rsidRPr="00FB591C">
              <w:rPr>
                <w:color w:val="000000"/>
              </w:rPr>
              <w:t>. Arī salīdzinot kopējo izdevumu koeficientu, kas ir atspoguļots VSAA pārskatos par 2016.-2019.gadu, var redzēt izmaksu samazinājuma tendenci no aptuveni 1,6% līdz aptuveni 0,5% no</w:t>
            </w:r>
            <w:r w:rsidR="00FB591C">
              <w:rPr>
                <w:color w:val="000000"/>
              </w:rPr>
              <w:t xml:space="preserve"> gada vidējā </w:t>
            </w:r>
            <w:r w:rsidR="00FB591C" w:rsidRPr="00FB591C">
              <w:rPr>
                <w:color w:val="000000"/>
              </w:rPr>
              <w:t>aktīvu apmēra.</w:t>
            </w:r>
          </w:p>
        </w:tc>
      </w:tr>
      <w:tr w:rsidR="00191FC8" w:rsidRPr="00AE5356" w14:paraId="5A44596C" w14:textId="77777777" w:rsidTr="000E70CD">
        <w:tc>
          <w:tcPr>
            <w:tcW w:w="944" w:type="dxa"/>
            <w:tcBorders>
              <w:left w:val="single" w:sz="6" w:space="0" w:color="000000" w:themeColor="text1"/>
              <w:bottom w:val="single" w:sz="4" w:space="0" w:color="auto"/>
              <w:right w:val="single" w:sz="6" w:space="0" w:color="000000" w:themeColor="text1"/>
            </w:tcBorders>
          </w:tcPr>
          <w:p w14:paraId="684E041A" w14:textId="77777777" w:rsidR="00191FC8" w:rsidRPr="00AE5356" w:rsidRDefault="00191FC8" w:rsidP="00191FC8">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140058AD" w14:textId="77777777" w:rsidR="00191FC8" w:rsidRPr="00AE5356" w:rsidRDefault="00191FC8" w:rsidP="00191FC8">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6C56A8A8" w14:textId="70D09685" w:rsidR="00191FC8" w:rsidRPr="00DF40F2" w:rsidRDefault="00B838CD" w:rsidP="00191FC8">
            <w:pPr>
              <w:contextualSpacing/>
              <w:jc w:val="both"/>
            </w:pPr>
            <w:r w:rsidRPr="00B838CD">
              <w:t>Lūdzam precizēt 1.3.1.uzdevumu (37.lpp.), nepārprotami paredzot, ka datu nodošana atbilsto</w:t>
            </w:r>
            <w:r>
              <w:t>ši Privāto pensiju fondu likumā</w:t>
            </w:r>
            <w:r w:rsidRPr="00B838CD">
              <w:t xml:space="preserve"> paredzētajam latvija.lv par 3.pensiju līmeņa uzkrājumiem ir brīvprātīga., Vienlaikus latvija.lv platformu varētu izmantot ikgadējo Privāto pensiju fondu likuma 33.panta ceturtajā daļā minētā pārskata nodošanai klientiem, kas nav sasniedzami, izmantojot citus informācijas apmaiņas (komunikācijas) kanālus.</w:t>
            </w:r>
          </w:p>
        </w:tc>
        <w:tc>
          <w:tcPr>
            <w:tcW w:w="2835" w:type="dxa"/>
            <w:tcBorders>
              <w:left w:val="single" w:sz="6" w:space="0" w:color="000000" w:themeColor="text1"/>
              <w:bottom w:val="single" w:sz="4" w:space="0" w:color="auto"/>
              <w:right w:val="single" w:sz="6" w:space="0" w:color="000000" w:themeColor="text1"/>
            </w:tcBorders>
          </w:tcPr>
          <w:p w14:paraId="53911DA1" w14:textId="07BE5F81" w:rsidR="00191FC8" w:rsidRPr="00AE5356" w:rsidRDefault="00FB591C" w:rsidP="00191FC8">
            <w:pPr>
              <w:pStyle w:val="naisc"/>
              <w:spacing w:before="0" w:after="0"/>
              <w:jc w:val="left"/>
            </w:pPr>
            <w:r>
              <w:t>Ņ</w:t>
            </w:r>
            <w:r w:rsidR="00E46FDC">
              <w:t xml:space="preserve">emts vērā. </w:t>
            </w:r>
          </w:p>
        </w:tc>
        <w:tc>
          <w:tcPr>
            <w:tcW w:w="3544" w:type="dxa"/>
            <w:tcBorders>
              <w:top w:val="single" w:sz="4" w:space="0" w:color="auto"/>
              <w:left w:val="single" w:sz="4" w:space="0" w:color="auto"/>
              <w:bottom w:val="single" w:sz="4" w:space="0" w:color="auto"/>
            </w:tcBorders>
          </w:tcPr>
          <w:p w14:paraId="012A9936" w14:textId="2E7305E8" w:rsidR="00191FC8" w:rsidRDefault="00E46FDC" w:rsidP="00191FC8">
            <w:pPr>
              <w:jc w:val="both"/>
              <w:rPr>
                <w:color w:val="000000"/>
              </w:rPr>
            </w:pPr>
            <w:r>
              <w:rPr>
                <w:color w:val="000000"/>
              </w:rPr>
              <w:t xml:space="preserve">Precizēts rezultatīvais rādītājs, lai neierobežotu rezultātu līdz vienam konkrētam risinājumam: </w:t>
            </w:r>
            <w:r w:rsidRPr="00E46FDC">
              <w:rPr>
                <w:color w:val="000000"/>
              </w:rPr>
              <w:t>Izveidota elektroniska pieeja,  informācijai par 3.pensiju līmenī uzkrāto līdzekļu un iemaksu apjomu, no</w:t>
            </w:r>
            <w:r>
              <w:rPr>
                <w:color w:val="000000"/>
              </w:rPr>
              <w:t>drošinot, ka vienkopus pieejami</w:t>
            </w:r>
            <w:r w:rsidRPr="00E46FDC">
              <w:rPr>
                <w:color w:val="000000"/>
              </w:rPr>
              <w:t xml:space="preserve"> dati par 1., 2. un 3.pensiju līmenī uzkrā</w:t>
            </w:r>
            <w:r>
              <w:rPr>
                <w:color w:val="000000"/>
              </w:rPr>
              <w:t xml:space="preserve">to līdzekļu un iemaksu apjomu, </w:t>
            </w:r>
            <w:r w:rsidRPr="00E46FDC">
              <w:rPr>
                <w:color w:val="000000"/>
              </w:rPr>
              <w:t>izvērtējot efektīvāko informācijas nodošanas veidu, kas nodrošina mazāku administratīvo slogu.</w:t>
            </w:r>
          </w:p>
        </w:tc>
      </w:tr>
      <w:tr w:rsidR="00191FC8" w:rsidRPr="00AE5356" w14:paraId="42F5D44D" w14:textId="77777777" w:rsidTr="000E70CD">
        <w:tc>
          <w:tcPr>
            <w:tcW w:w="944" w:type="dxa"/>
            <w:tcBorders>
              <w:left w:val="single" w:sz="6" w:space="0" w:color="000000" w:themeColor="text1"/>
              <w:bottom w:val="single" w:sz="4" w:space="0" w:color="auto"/>
              <w:right w:val="single" w:sz="6" w:space="0" w:color="000000" w:themeColor="text1"/>
            </w:tcBorders>
          </w:tcPr>
          <w:p w14:paraId="0B2775E8" w14:textId="77777777" w:rsidR="00191FC8" w:rsidRPr="00AE5356" w:rsidRDefault="00191FC8" w:rsidP="00191FC8">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3E2F2EB" w14:textId="77777777" w:rsidR="00191FC8" w:rsidRPr="00AE5356" w:rsidRDefault="00191FC8" w:rsidP="00191FC8">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348DC63D" w14:textId="1EC82EDB" w:rsidR="00191FC8" w:rsidRPr="008D4978" w:rsidRDefault="00B838CD" w:rsidP="00191FC8">
            <w:pPr>
              <w:contextualSpacing/>
              <w:jc w:val="both"/>
              <w:rPr>
                <w:highlight w:val="yellow"/>
              </w:rPr>
            </w:pPr>
            <w:r w:rsidRPr="00D80724">
              <w:t xml:space="preserve">Atgādinām, ka Latvijas Finanšu nozares asociācija kopā ar Latvijas Apdrošinātāju asociāciju 2020.gada 17.decembra vēstulē5 aicināja Ministru prezidentu un Finanšu ministriju noteikt vienu atbildīgo valsts </w:t>
            </w:r>
            <w:r w:rsidRPr="00D80724">
              <w:lastRenderedPageBreak/>
              <w:t>institūciju, kas turpmāk nodarbosies ar ilgtspējas jautājumu vadību, visaptverošu uzraudzību un koordinēšanu. Tādējādi nodrošinot prioritāšu integritāti un atbilstību ilgtspējas mērķiem. Atbildīgajam, piesaistot dažādu institūciju pārstāvjus (piemēram, Finanšu ministriju, Latvijas Banku, Finanšu un kapitāla tirgus komisiju, Ekonomikas ministriju, Vides aizsardzības un reģionālās attīstības ministriju, Satiksmes ministriju, Zemkopības ministriju, Pārresoru koordinācijas centru, Latvijas Finanšu nozares asociāciju, Latvijas Apdrošinātāju asociāciju, uzņēmējus pārstāvošās sabiedriskās organizācijas u.c.), būtu jāizstrādā visaptverošs rīcības plāns tautsaimniecības ilgtspējīgai transformācijai, kā arī jāsagatavo un jāīsteno nepieciešamais, atbalstošais komunikācijas plāns, kā arī jāseko finanšu resursu sadalei un izlietojuma atbilstībai ilgtspējas mērķiem. Lūdzam atbilstoši papildināt Plānu!</w:t>
            </w:r>
          </w:p>
        </w:tc>
        <w:tc>
          <w:tcPr>
            <w:tcW w:w="2835" w:type="dxa"/>
            <w:tcBorders>
              <w:left w:val="single" w:sz="6" w:space="0" w:color="000000" w:themeColor="text1"/>
              <w:bottom w:val="single" w:sz="4" w:space="0" w:color="auto"/>
              <w:right w:val="single" w:sz="6" w:space="0" w:color="000000" w:themeColor="text1"/>
            </w:tcBorders>
          </w:tcPr>
          <w:p w14:paraId="3DFAD3B9" w14:textId="4DA79461" w:rsidR="00191FC8" w:rsidRPr="00AE5356" w:rsidRDefault="00D94934" w:rsidP="00191FC8">
            <w:pPr>
              <w:pStyle w:val="naisc"/>
              <w:spacing w:before="0" w:after="0"/>
              <w:jc w:val="left"/>
            </w:pPr>
            <w:r>
              <w:lastRenderedPageBreak/>
              <w:t>Panākta vienošanās elektroniskajā saskaņošanā 14.01.2021.</w:t>
            </w:r>
          </w:p>
        </w:tc>
        <w:tc>
          <w:tcPr>
            <w:tcW w:w="3544" w:type="dxa"/>
            <w:tcBorders>
              <w:top w:val="single" w:sz="4" w:space="0" w:color="auto"/>
              <w:left w:val="single" w:sz="4" w:space="0" w:color="auto"/>
              <w:bottom w:val="single" w:sz="4" w:space="0" w:color="auto"/>
            </w:tcBorders>
          </w:tcPr>
          <w:p w14:paraId="5A993792" w14:textId="6581D0E5" w:rsidR="00D80724" w:rsidRDefault="00D80724" w:rsidP="00D80724">
            <w:pPr>
              <w:jc w:val="both"/>
              <w:rPr>
                <w:color w:val="000000"/>
              </w:rPr>
            </w:pPr>
            <w:r>
              <w:rPr>
                <w:color w:val="000000"/>
              </w:rPr>
              <w:t>Minētais jautājums aptver plašāku politikas jomu un nav tikai finanšu tirgus politikas jautājums.</w:t>
            </w:r>
            <w:r w:rsidR="00D9738D">
              <w:rPr>
                <w:color w:val="000000"/>
              </w:rPr>
              <w:t xml:space="preserve"> Tas jārisina plašākā ilgtspējas politikas veidošanas kontekstā.</w:t>
            </w:r>
          </w:p>
        </w:tc>
      </w:tr>
      <w:tr w:rsidR="00191FC8" w:rsidRPr="00AE5356" w14:paraId="59B2AA34" w14:textId="77777777" w:rsidTr="000E70CD">
        <w:tc>
          <w:tcPr>
            <w:tcW w:w="944" w:type="dxa"/>
            <w:tcBorders>
              <w:left w:val="single" w:sz="6" w:space="0" w:color="000000" w:themeColor="text1"/>
              <w:bottom w:val="single" w:sz="4" w:space="0" w:color="auto"/>
              <w:right w:val="single" w:sz="6" w:space="0" w:color="000000" w:themeColor="text1"/>
            </w:tcBorders>
          </w:tcPr>
          <w:p w14:paraId="6BDE55E7" w14:textId="77777777" w:rsidR="00191FC8" w:rsidRPr="00AE5356" w:rsidRDefault="00191FC8" w:rsidP="00191FC8">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4B926725" w14:textId="77777777" w:rsidR="00191FC8" w:rsidRPr="00AE5356" w:rsidRDefault="00191FC8" w:rsidP="00191FC8">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4BD6B4CA" w14:textId="77777777" w:rsidR="00191FC8" w:rsidRPr="00B838CD" w:rsidRDefault="00B838CD" w:rsidP="00191FC8">
            <w:pPr>
              <w:contextualSpacing/>
              <w:jc w:val="both"/>
              <w:rPr>
                <w:b/>
                <w:u w:val="single"/>
              </w:rPr>
            </w:pPr>
            <w:r w:rsidRPr="00B838CD">
              <w:rPr>
                <w:b/>
                <w:u w:val="single"/>
              </w:rPr>
              <w:t>Latvijas privātā un riska kapitāla asociācija:</w:t>
            </w:r>
          </w:p>
          <w:p w14:paraId="4A8BC364" w14:textId="053CB014" w:rsidR="00B838CD" w:rsidRPr="00DF40F2" w:rsidRDefault="00B838CD" w:rsidP="00191FC8">
            <w:pPr>
              <w:contextualSpacing/>
              <w:jc w:val="both"/>
            </w:pPr>
            <w:r w:rsidRPr="00B838CD">
              <w:t>LVCA iekļaut kā līdzatbildīgo institūciju pasākumam Nr. 1.1.7. Pilnveidot finanšu instrumentu atbalsta programmas, vērtējot mezanīna instrumenta turpmākas attīstības iespējas</w:t>
            </w:r>
            <w:r>
              <w:t>.</w:t>
            </w:r>
          </w:p>
        </w:tc>
        <w:tc>
          <w:tcPr>
            <w:tcW w:w="2835" w:type="dxa"/>
            <w:tcBorders>
              <w:left w:val="single" w:sz="6" w:space="0" w:color="000000" w:themeColor="text1"/>
              <w:bottom w:val="single" w:sz="4" w:space="0" w:color="auto"/>
              <w:right w:val="single" w:sz="6" w:space="0" w:color="000000" w:themeColor="text1"/>
            </w:tcBorders>
          </w:tcPr>
          <w:p w14:paraId="6ED3C212" w14:textId="4ADB4F74" w:rsidR="00191FC8" w:rsidRPr="00AE5356" w:rsidRDefault="00B838CD" w:rsidP="00191FC8">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4CC91836" w14:textId="554D6AFE" w:rsidR="00191FC8" w:rsidRDefault="00862F81" w:rsidP="00191FC8">
            <w:pPr>
              <w:jc w:val="both"/>
              <w:rPr>
                <w:color w:val="000000"/>
              </w:rPr>
            </w:pPr>
            <w:r>
              <w:rPr>
                <w:color w:val="000000"/>
              </w:rPr>
              <w:t>LVCA pievienota kā līdzatbildīgā institūcija pasākumam Nr. 1.1.7.</w:t>
            </w:r>
          </w:p>
        </w:tc>
      </w:tr>
      <w:tr w:rsidR="00191FC8" w:rsidRPr="00AE5356" w14:paraId="2C900617" w14:textId="77777777" w:rsidTr="000E70CD">
        <w:tc>
          <w:tcPr>
            <w:tcW w:w="944" w:type="dxa"/>
            <w:tcBorders>
              <w:left w:val="single" w:sz="6" w:space="0" w:color="000000" w:themeColor="text1"/>
              <w:bottom w:val="single" w:sz="4" w:space="0" w:color="auto"/>
              <w:right w:val="single" w:sz="6" w:space="0" w:color="000000" w:themeColor="text1"/>
            </w:tcBorders>
          </w:tcPr>
          <w:p w14:paraId="36387DE2" w14:textId="77777777" w:rsidR="00191FC8" w:rsidRPr="00AE5356" w:rsidRDefault="00191FC8" w:rsidP="00191FC8">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30421DA5" w14:textId="77777777" w:rsidR="00191FC8" w:rsidRPr="00AE5356" w:rsidRDefault="00191FC8" w:rsidP="00191FC8">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737814E9" w14:textId="7AB49496" w:rsidR="00191FC8" w:rsidRPr="00DF40F2" w:rsidRDefault="00B838CD" w:rsidP="00191FC8">
            <w:pPr>
              <w:contextualSpacing/>
              <w:jc w:val="both"/>
            </w:pPr>
            <w:r w:rsidRPr="00B838CD">
              <w:t>LVCA iekļaut kā līdzatbildīgo institūciju pasākumam Nr. 1.2.8. Veikt izglītojošus pasākumus riska kapitāla ieguldījumu lomas un nozīmes skaidrošanā</w:t>
            </w:r>
            <w:r>
              <w:t>.</w:t>
            </w:r>
          </w:p>
        </w:tc>
        <w:tc>
          <w:tcPr>
            <w:tcW w:w="2835" w:type="dxa"/>
            <w:tcBorders>
              <w:left w:val="single" w:sz="6" w:space="0" w:color="000000" w:themeColor="text1"/>
              <w:bottom w:val="single" w:sz="4" w:space="0" w:color="auto"/>
              <w:right w:val="single" w:sz="6" w:space="0" w:color="000000" w:themeColor="text1"/>
            </w:tcBorders>
          </w:tcPr>
          <w:p w14:paraId="60C723E8" w14:textId="033991A7" w:rsidR="00191FC8" w:rsidRPr="00AE5356" w:rsidRDefault="00B838CD" w:rsidP="00191FC8">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52B95F76" w14:textId="085443ED" w:rsidR="00191FC8" w:rsidRDefault="00F97B13" w:rsidP="00191FC8">
            <w:pPr>
              <w:jc w:val="both"/>
              <w:rPr>
                <w:color w:val="000000"/>
              </w:rPr>
            </w:pPr>
            <w:r>
              <w:rPr>
                <w:color w:val="000000"/>
              </w:rPr>
              <w:t>LVCA pievienota kā līdzatbildīgā institūcija pasākumam Nr. 1.2.8.</w:t>
            </w:r>
          </w:p>
        </w:tc>
      </w:tr>
      <w:tr w:rsidR="00191FC8" w:rsidRPr="00AE5356" w14:paraId="515BF156" w14:textId="77777777" w:rsidTr="000E70CD">
        <w:tc>
          <w:tcPr>
            <w:tcW w:w="944" w:type="dxa"/>
            <w:tcBorders>
              <w:left w:val="single" w:sz="6" w:space="0" w:color="000000" w:themeColor="text1"/>
              <w:bottom w:val="single" w:sz="4" w:space="0" w:color="auto"/>
              <w:right w:val="single" w:sz="6" w:space="0" w:color="000000" w:themeColor="text1"/>
            </w:tcBorders>
          </w:tcPr>
          <w:p w14:paraId="2C465A20" w14:textId="77777777" w:rsidR="00191FC8" w:rsidRPr="00AE5356" w:rsidRDefault="00191FC8" w:rsidP="00191FC8">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21FC5931" w14:textId="77777777" w:rsidR="00191FC8" w:rsidRPr="00AE5356" w:rsidRDefault="00191FC8" w:rsidP="00191FC8">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68F65EED" w14:textId="3E664893" w:rsidR="00191FC8" w:rsidRPr="00DF40F2" w:rsidRDefault="00B838CD" w:rsidP="00191FC8">
            <w:pPr>
              <w:contextualSpacing/>
              <w:jc w:val="both"/>
            </w:pPr>
            <w:r w:rsidRPr="00B838CD">
              <w:t>LVCA iekļaut kā līdzatbildīgo institūciju pasākumam Nr. 1.2.9. Turpināt attīstīt Latvijas riska kapitāla tirgu, veidojot nākamās paaudzes valsts līdzfinansētus riska kapitāla fondus</w:t>
            </w:r>
            <w:r>
              <w:t>.</w:t>
            </w:r>
          </w:p>
        </w:tc>
        <w:tc>
          <w:tcPr>
            <w:tcW w:w="2835" w:type="dxa"/>
            <w:tcBorders>
              <w:left w:val="single" w:sz="6" w:space="0" w:color="000000" w:themeColor="text1"/>
              <w:bottom w:val="single" w:sz="4" w:space="0" w:color="auto"/>
              <w:right w:val="single" w:sz="6" w:space="0" w:color="000000" w:themeColor="text1"/>
            </w:tcBorders>
          </w:tcPr>
          <w:p w14:paraId="4EA497CB" w14:textId="592C1A9D" w:rsidR="00191FC8" w:rsidRPr="00AE5356" w:rsidRDefault="00B838CD" w:rsidP="00191FC8">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1B601D97" w14:textId="4B2A0776" w:rsidR="00191FC8" w:rsidRDefault="00F97B13" w:rsidP="00191FC8">
            <w:pPr>
              <w:jc w:val="both"/>
              <w:rPr>
                <w:color w:val="000000"/>
              </w:rPr>
            </w:pPr>
            <w:r>
              <w:rPr>
                <w:color w:val="000000"/>
              </w:rPr>
              <w:t>LVCA pievienota kā līdzatbildīgā institūcija pasākumam Nr. 1.2.9.</w:t>
            </w:r>
          </w:p>
        </w:tc>
      </w:tr>
      <w:tr w:rsidR="00191FC8" w:rsidRPr="00AE5356" w14:paraId="596E1EC9" w14:textId="77777777" w:rsidTr="000E70CD">
        <w:tc>
          <w:tcPr>
            <w:tcW w:w="944" w:type="dxa"/>
            <w:tcBorders>
              <w:left w:val="single" w:sz="6" w:space="0" w:color="000000" w:themeColor="text1"/>
              <w:bottom w:val="single" w:sz="4" w:space="0" w:color="auto"/>
              <w:right w:val="single" w:sz="6" w:space="0" w:color="000000" w:themeColor="text1"/>
            </w:tcBorders>
          </w:tcPr>
          <w:p w14:paraId="4F465505" w14:textId="77777777" w:rsidR="00191FC8" w:rsidRPr="00AE5356" w:rsidRDefault="00191FC8" w:rsidP="00191FC8">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5838866B" w14:textId="77777777" w:rsidR="00191FC8" w:rsidRPr="00AE5356" w:rsidRDefault="00191FC8" w:rsidP="00191FC8">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60E05323" w14:textId="77777777" w:rsidR="00191FC8" w:rsidRPr="004776AA" w:rsidRDefault="00953D03" w:rsidP="00191FC8">
            <w:pPr>
              <w:contextualSpacing/>
              <w:jc w:val="both"/>
              <w:rPr>
                <w:b/>
              </w:rPr>
            </w:pPr>
            <w:r w:rsidRPr="004776AA">
              <w:rPr>
                <w:b/>
              </w:rPr>
              <w:t>Birža "Nasdaq Riga":</w:t>
            </w:r>
          </w:p>
          <w:p w14:paraId="01C870C4" w14:textId="65AFFBEC" w:rsidR="00953D03" w:rsidRPr="004776AA" w:rsidRDefault="00953D03" w:rsidP="00953D03">
            <w:pPr>
              <w:contextualSpacing/>
              <w:jc w:val="both"/>
            </w:pPr>
            <w:r w:rsidRPr="004776AA">
              <w:t>1.3.3. papildināt ar teikumu: “Veicināt uzkrājumu kultūras  attīstību, sniedzot iespējas Latvijas iedzīvotājiem ieguldīt valstij piederošajos aktīvos caur  publiskajiem piedāvājumiem.”</w:t>
            </w:r>
          </w:p>
          <w:p w14:paraId="0B899C67" w14:textId="21D84B2B" w:rsidR="00953D03" w:rsidRPr="004776AA" w:rsidRDefault="00953D03" w:rsidP="00191FC8">
            <w:pPr>
              <w:contextualSpacing/>
              <w:jc w:val="both"/>
            </w:pPr>
          </w:p>
        </w:tc>
        <w:tc>
          <w:tcPr>
            <w:tcW w:w="2835" w:type="dxa"/>
            <w:tcBorders>
              <w:left w:val="single" w:sz="6" w:space="0" w:color="000000" w:themeColor="text1"/>
              <w:bottom w:val="single" w:sz="4" w:space="0" w:color="auto"/>
              <w:right w:val="single" w:sz="6" w:space="0" w:color="000000" w:themeColor="text1"/>
            </w:tcBorders>
          </w:tcPr>
          <w:p w14:paraId="3941D39D" w14:textId="3379527A" w:rsidR="00191FC8" w:rsidRPr="00AE5356" w:rsidRDefault="00953D03" w:rsidP="00191FC8">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2D6010B8" w14:textId="350DD1A1" w:rsidR="00191FC8" w:rsidRDefault="004776AA" w:rsidP="00191FC8">
            <w:pPr>
              <w:jc w:val="both"/>
              <w:rPr>
                <w:color w:val="000000"/>
              </w:rPr>
            </w:pPr>
            <w:r w:rsidRPr="004776AA">
              <w:rPr>
                <w:color w:val="000000"/>
              </w:rPr>
              <w:t>Veicināt izpratni par ieguldījumu nepiecieša</w:t>
            </w:r>
            <w:r w:rsidR="00A7077B">
              <w:rPr>
                <w:color w:val="000000"/>
              </w:rPr>
              <w:t>mību, tai skaitā kapitāla tirgū</w:t>
            </w:r>
            <w:r w:rsidRPr="004776AA">
              <w:rPr>
                <w:color w:val="000000"/>
              </w:rPr>
              <w:t>. Veicināt uzkrājumu kultūras  attīstību, sniedzot iespējas Latvijas iedzīvotājiem ieguldīt valstij piederošajos aktīvos caur  publiskajiem piedāvājumiem.</w:t>
            </w:r>
          </w:p>
        </w:tc>
      </w:tr>
      <w:tr w:rsidR="00191FC8" w:rsidRPr="00AE5356" w14:paraId="25114831" w14:textId="77777777" w:rsidTr="000E70CD">
        <w:tc>
          <w:tcPr>
            <w:tcW w:w="944" w:type="dxa"/>
            <w:tcBorders>
              <w:left w:val="single" w:sz="6" w:space="0" w:color="000000" w:themeColor="text1"/>
              <w:bottom w:val="single" w:sz="4" w:space="0" w:color="auto"/>
              <w:right w:val="single" w:sz="6" w:space="0" w:color="000000" w:themeColor="text1"/>
            </w:tcBorders>
          </w:tcPr>
          <w:p w14:paraId="709FEAD8" w14:textId="77777777" w:rsidR="00191FC8" w:rsidRPr="00AE5356" w:rsidRDefault="00191FC8" w:rsidP="00191FC8">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42015AE7" w14:textId="77777777" w:rsidR="00191FC8" w:rsidRPr="00AE5356" w:rsidRDefault="00191FC8" w:rsidP="00191FC8">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07AF044D" w14:textId="77777777" w:rsidR="00191FC8" w:rsidRPr="00BC5C84" w:rsidRDefault="00BC5C84" w:rsidP="00191FC8">
            <w:pPr>
              <w:contextualSpacing/>
              <w:jc w:val="both"/>
              <w:rPr>
                <w:b/>
                <w:u w:val="single"/>
              </w:rPr>
            </w:pPr>
            <w:r w:rsidRPr="00BC5C84">
              <w:rPr>
                <w:b/>
                <w:u w:val="single"/>
              </w:rPr>
              <w:t>Tieslietu ministrija:</w:t>
            </w:r>
          </w:p>
          <w:p w14:paraId="3EA9AB2F" w14:textId="4D394E4E" w:rsidR="00BC5C84" w:rsidRDefault="00BC5C84" w:rsidP="00BC5C84">
            <w:pPr>
              <w:contextualSpacing/>
              <w:jc w:val="both"/>
            </w:pPr>
            <w:r>
              <w:t xml:space="preserve">Plāna projekta 14. lpp. ir papildināta ar šādu teikumu: "Tāpat nepieciešams turpināt uzņēmējdarbības  tiesiskās vides pilnveidi, ņemot vērā, ka 59% visu juridisko personu procesu tiek pabeigti ar ziņojumu par  mantas neesamību, savukārt maksātnespējas procesa izmaksas pārsniedz ieguvumu , kā arī uzsvērt  agrās brīdināšanas sistēmas ieviešanas nepieciešamību." </w:t>
            </w:r>
          </w:p>
          <w:p w14:paraId="0E18F72E" w14:textId="77777777" w:rsidR="00BC5C84" w:rsidRDefault="00BC5C84" w:rsidP="00BC5C84">
            <w:pPr>
              <w:contextualSpacing/>
              <w:jc w:val="both"/>
            </w:pPr>
          </w:p>
          <w:p w14:paraId="6ECF4FAA" w14:textId="77777777" w:rsidR="00BC5C84" w:rsidRDefault="00BC5C84" w:rsidP="00BC5C84">
            <w:pPr>
              <w:contextualSpacing/>
              <w:jc w:val="both"/>
            </w:pPr>
            <w:r>
              <w:t xml:space="preserve">Izvērtējot minēto papildinājumu, Tieslietu ministrija iebilst: </w:t>
            </w:r>
          </w:p>
          <w:p w14:paraId="22301031" w14:textId="77777777" w:rsidR="00BC5C84" w:rsidRDefault="00BC5C84" w:rsidP="00BC5C84">
            <w:pPr>
              <w:contextualSpacing/>
              <w:jc w:val="both"/>
            </w:pPr>
          </w:p>
          <w:p w14:paraId="22DD9415" w14:textId="1BCCA260" w:rsidR="00BC5C84" w:rsidRDefault="00BC5C84" w:rsidP="00BC5C84">
            <w:pPr>
              <w:contextualSpacing/>
              <w:jc w:val="both"/>
            </w:pPr>
            <w:r>
              <w:t>1)</w:t>
            </w:r>
            <w:r>
              <w:tab/>
              <w:t xml:space="preserve">pret papildināto norādi "savukārt maksātnespējas procesa izmaksas pārsniedz ieguvumu", jo  plānā nav ietverts plašāks skaidrojums, kas ar šādu norādi tiek saprasts, tajā skaitā nav ietverts  datos balstīts pamatojums šādam apgalvojumam. Tas ir, vai ar šo norādi tiek pausts viedoklis par  kreditoru </w:t>
            </w:r>
            <w:r>
              <w:lastRenderedPageBreak/>
              <w:t xml:space="preserve">prasījumu atgūšanas rādītāju vai maksātnespējas procesa izmaksu rādītāju, vai kādu  citu rādītāju. Līdz ar to lūdzam plāna tekstā attiecībā uz šo norādi ietvert plašāku skaidrojumu, ja  šāda skaidrojuma nav – dzēst attiecīgo norādi;  </w:t>
            </w:r>
          </w:p>
          <w:p w14:paraId="2986B409" w14:textId="77777777" w:rsidR="00BC5C84" w:rsidRDefault="00BC5C84" w:rsidP="00BC5C84">
            <w:pPr>
              <w:contextualSpacing/>
              <w:jc w:val="both"/>
            </w:pPr>
          </w:p>
          <w:p w14:paraId="49092244" w14:textId="064D3687" w:rsidR="00BC5C84" w:rsidRPr="00DF40F2" w:rsidRDefault="00BC5C84" w:rsidP="00BC5C84">
            <w:pPr>
              <w:contextualSpacing/>
              <w:jc w:val="both"/>
            </w:pPr>
            <w:r>
              <w:t>2)</w:t>
            </w:r>
            <w:r>
              <w:tab/>
              <w:t>pret plāna papildinājumu, kas ietver norādi "kā arī uzsvērt agrās brīdināšanas sistēmas  ieviešanas nepieciešamību". Vēršam uzmanību, ka jau iepriekšējā atzinumā Tieslietu ministrija  skaidroja agrīnās brīdināšanas sistēmas esamību Latvijā, kā arī vērsa uzmanību uz jau  uzsāktajām aktivitātēm. Attiecīgi, neatkārtojot izklāstu, lūdzam minēto frāzi dzēst vai precizēt.</w:t>
            </w:r>
          </w:p>
        </w:tc>
        <w:tc>
          <w:tcPr>
            <w:tcW w:w="2835" w:type="dxa"/>
            <w:tcBorders>
              <w:left w:val="single" w:sz="6" w:space="0" w:color="000000" w:themeColor="text1"/>
              <w:bottom w:val="single" w:sz="4" w:space="0" w:color="auto"/>
              <w:right w:val="single" w:sz="6" w:space="0" w:color="000000" w:themeColor="text1"/>
            </w:tcBorders>
          </w:tcPr>
          <w:p w14:paraId="7E745614" w14:textId="0F946CC0" w:rsidR="00191FC8" w:rsidRPr="00AE5356" w:rsidRDefault="003C1E96" w:rsidP="00191FC8">
            <w:pPr>
              <w:pStyle w:val="naisc"/>
              <w:spacing w:before="0" w:after="0"/>
              <w:jc w:val="left"/>
            </w:pPr>
            <w:r>
              <w:lastRenderedPageBreak/>
              <w:t>Ņemts vērā.</w:t>
            </w:r>
          </w:p>
        </w:tc>
        <w:tc>
          <w:tcPr>
            <w:tcW w:w="3544" w:type="dxa"/>
            <w:tcBorders>
              <w:top w:val="single" w:sz="4" w:space="0" w:color="auto"/>
              <w:left w:val="single" w:sz="4" w:space="0" w:color="auto"/>
              <w:bottom w:val="single" w:sz="4" w:space="0" w:color="auto"/>
            </w:tcBorders>
          </w:tcPr>
          <w:p w14:paraId="11339D3B" w14:textId="77777777" w:rsidR="00191FC8" w:rsidRDefault="004776AA" w:rsidP="00191FC8">
            <w:pPr>
              <w:jc w:val="both"/>
              <w:rPr>
                <w:color w:val="000000"/>
              </w:rPr>
            </w:pPr>
            <w:r w:rsidRPr="004776AA">
              <w:rPr>
                <w:color w:val="000000"/>
              </w:rPr>
              <w:t>Tāpat nepieciešams turpināt uzņēmējdarbības tiesiskās vides  pilnveidi, ņemot vērā, ka 59% visu juridisko personu procesu tiek pabeigti ar ziņojumu par mantas neesamību, savukārt maksātnespējas procesa izmaksas, lai gan rādītājs uzlabojas, joprojām ir ļoti augstas .”, kā arī uzsvērt agrās brīdināšanas sistēmas darbības uzlabošanu.</w:t>
            </w:r>
          </w:p>
          <w:p w14:paraId="5144D34F" w14:textId="77777777" w:rsidR="004776AA" w:rsidRDefault="004776AA" w:rsidP="00191FC8">
            <w:pPr>
              <w:jc w:val="both"/>
              <w:rPr>
                <w:color w:val="000000"/>
              </w:rPr>
            </w:pPr>
          </w:p>
          <w:p w14:paraId="50173321" w14:textId="316CC0EE" w:rsidR="004776AA" w:rsidRDefault="004776AA" w:rsidP="00191FC8">
            <w:pPr>
              <w:jc w:val="both"/>
              <w:rPr>
                <w:color w:val="000000"/>
              </w:rPr>
            </w:pPr>
            <w:r>
              <w:rPr>
                <w:color w:val="000000"/>
              </w:rPr>
              <w:t xml:space="preserve">Pievienots datu avots: </w:t>
            </w:r>
            <w:r w:rsidRPr="004776AA">
              <w:rPr>
                <w:color w:val="000000"/>
              </w:rPr>
              <w:t>Maksātnespējas kontroles dienesta 2019. gada ziņojums, 26.lpp., http://mkd.gov.lv/lv/parmums/link_part_201/</w:t>
            </w:r>
          </w:p>
        </w:tc>
      </w:tr>
      <w:tr w:rsidR="00736E52" w:rsidRPr="00AE5356" w14:paraId="61B06272" w14:textId="77777777" w:rsidTr="000E70CD">
        <w:tc>
          <w:tcPr>
            <w:tcW w:w="944" w:type="dxa"/>
            <w:tcBorders>
              <w:left w:val="single" w:sz="6" w:space="0" w:color="000000" w:themeColor="text1"/>
              <w:bottom w:val="single" w:sz="4" w:space="0" w:color="auto"/>
              <w:right w:val="single" w:sz="6" w:space="0" w:color="000000" w:themeColor="text1"/>
            </w:tcBorders>
          </w:tcPr>
          <w:p w14:paraId="7EC90E0D" w14:textId="77777777" w:rsidR="00736E52" w:rsidRPr="00AE5356" w:rsidRDefault="00736E52" w:rsidP="00191FC8">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022D0BED" w14:textId="77777777" w:rsidR="00736E52" w:rsidRPr="00AE5356" w:rsidRDefault="00736E52" w:rsidP="00191FC8">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4B1E2EE1" w14:textId="77777777" w:rsidR="003C1E96" w:rsidRDefault="003C1E96" w:rsidP="003C1E96">
            <w:pPr>
              <w:contextualSpacing/>
              <w:jc w:val="both"/>
            </w:pPr>
            <w:r>
              <w:t xml:space="preserve">1.28.uzdevums kā sasniedzamo rezultātu paredz "Sagatavots izvērtējums ar  </w:t>
            </w:r>
          </w:p>
          <w:p w14:paraId="5FF942DB" w14:textId="77777777" w:rsidR="003C1E96" w:rsidRDefault="003C1E96" w:rsidP="003C1E96">
            <w:pPr>
              <w:contextualSpacing/>
              <w:jc w:val="both"/>
            </w:pPr>
          </w:p>
          <w:p w14:paraId="38DFD921" w14:textId="279B8701" w:rsidR="003C1E96" w:rsidRDefault="003C1E96" w:rsidP="003C1E96">
            <w:pPr>
              <w:contextualSpacing/>
              <w:jc w:val="both"/>
            </w:pPr>
            <w:r>
              <w:t xml:space="preserve">priekšlikumiem, izmaiņām normatīvajos aktos". Ierosinām pārformulēt šo sasniedzamo  rezultātu, lai izvairītos no situācijām, kad, tā vietā, lai uzreiz izstrādātu normatīvo aktu  izmaiņas, ir formāli jāgatavo izvērtējums (apraksts) par pilnīgi skaidrām normatīvo aktu   izmaiņām. Tieslietu ministrijas ieskatā, izvērtējumā būtu jāietver konceptuālas, būtiskas  </w:t>
            </w:r>
          </w:p>
          <w:p w14:paraId="184A47F1" w14:textId="3E5B4EE1" w:rsidR="003C1E96" w:rsidRDefault="003C1E96" w:rsidP="003C1E96">
            <w:pPr>
              <w:contextualSpacing/>
              <w:jc w:val="both"/>
            </w:pPr>
            <w:r>
              <w:t xml:space="preserve">vai apjomīgas izmaiņas, savukārt, pārējās izmaiņas jāizstrādā kā normatīvo aktu   grozījumi. Tā piemēram, Tieslietu ministrija jau šobrīd ir identificējusi, ka atbilstoši FKTK   izstrādātajai 10 soļu programmai Latvijas kapitāla tirgus attīstībai būtu nepieciešamas   </w:t>
            </w:r>
            <w:r>
              <w:lastRenderedPageBreak/>
              <w:t xml:space="preserve">izmaiņas Komerclikuma 295.pantā un 304.pantā, lai samazinātu biržā kotēto sabiedrību  valdes un padomes locekļu minimālo likumā noteikto skaitu. Šādu potenciālo izmaiņu  </w:t>
            </w:r>
          </w:p>
          <w:p w14:paraId="152F38AD" w14:textId="61E1DBD6" w:rsidR="00736E52" w:rsidRPr="00DF40F2" w:rsidRDefault="003C1E96" w:rsidP="003C1E96">
            <w:pPr>
              <w:contextualSpacing/>
              <w:jc w:val="both"/>
            </w:pPr>
            <w:r>
              <w:t>ietveršana izvērtējumā (tā vietā, lai ar tām strādātu kā ar normatīvo aktu grozījumiem)   būtu uzskatāma par birokrātisku prasību un nelietderīgu cilvēkstundu patēriņu.</w:t>
            </w:r>
          </w:p>
        </w:tc>
        <w:tc>
          <w:tcPr>
            <w:tcW w:w="2835" w:type="dxa"/>
            <w:tcBorders>
              <w:left w:val="single" w:sz="6" w:space="0" w:color="000000" w:themeColor="text1"/>
              <w:bottom w:val="single" w:sz="4" w:space="0" w:color="auto"/>
              <w:right w:val="single" w:sz="6" w:space="0" w:color="000000" w:themeColor="text1"/>
            </w:tcBorders>
          </w:tcPr>
          <w:p w14:paraId="4F9DF374" w14:textId="4B88479F" w:rsidR="00736E52" w:rsidRPr="00AE5356" w:rsidRDefault="004776AA" w:rsidP="00191FC8">
            <w:pPr>
              <w:pStyle w:val="naisc"/>
              <w:spacing w:before="0" w:after="0"/>
              <w:jc w:val="left"/>
            </w:pPr>
            <w:r>
              <w:lastRenderedPageBreak/>
              <w:t>Ņemts vērā.</w:t>
            </w:r>
          </w:p>
        </w:tc>
        <w:tc>
          <w:tcPr>
            <w:tcW w:w="3544" w:type="dxa"/>
            <w:tcBorders>
              <w:top w:val="single" w:sz="4" w:space="0" w:color="auto"/>
              <w:left w:val="single" w:sz="4" w:space="0" w:color="auto"/>
              <w:bottom w:val="single" w:sz="4" w:space="0" w:color="auto"/>
            </w:tcBorders>
          </w:tcPr>
          <w:p w14:paraId="7991993B" w14:textId="4C972425" w:rsidR="00736E52" w:rsidRDefault="00B97C08" w:rsidP="00191FC8">
            <w:pPr>
              <w:jc w:val="both"/>
              <w:rPr>
                <w:color w:val="000000"/>
              </w:rPr>
            </w:pPr>
            <w:r>
              <w:rPr>
                <w:color w:val="000000"/>
              </w:rPr>
              <w:t xml:space="preserve">Rezultatīvais rādītājs: </w:t>
            </w:r>
            <w:r w:rsidR="004776AA" w:rsidRPr="004776AA">
              <w:rPr>
                <w:color w:val="000000"/>
              </w:rPr>
              <w:t>Izstrādāti priekšlikumi grozījumiem normatīvajos aktos.</w:t>
            </w:r>
          </w:p>
        </w:tc>
      </w:tr>
      <w:tr w:rsidR="00736E52" w:rsidRPr="00AE5356" w14:paraId="36AA8BD3" w14:textId="77777777" w:rsidTr="000E70CD">
        <w:tc>
          <w:tcPr>
            <w:tcW w:w="944" w:type="dxa"/>
            <w:tcBorders>
              <w:left w:val="single" w:sz="6" w:space="0" w:color="000000" w:themeColor="text1"/>
              <w:bottom w:val="single" w:sz="4" w:space="0" w:color="auto"/>
              <w:right w:val="single" w:sz="6" w:space="0" w:color="000000" w:themeColor="text1"/>
            </w:tcBorders>
          </w:tcPr>
          <w:p w14:paraId="46BD8C8D" w14:textId="77777777" w:rsidR="00736E52" w:rsidRPr="00AE5356" w:rsidRDefault="00736E52" w:rsidP="00191FC8">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0C5CE98" w14:textId="77777777" w:rsidR="00736E52" w:rsidRPr="00AE5356" w:rsidRDefault="00736E52" w:rsidP="00191FC8">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3DA18990" w14:textId="77777777" w:rsidR="003C1E96" w:rsidRPr="00EC58CC" w:rsidRDefault="003C1E96" w:rsidP="003C1E96">
            <w:pPr>
              <w:pStyle w:val="paragraph"/>
              <w:spacing w:before="0" w:beforeAutospacing="0" w:after="0" w:afterAutospacing="0"/>
              <w:textAlignment w:val="baseline"/>
            </w:pPr>
            <w:r w:rsidRPr="00EC58CC">
              <w:t>1.2.14. uzdevums paredz korporatīvās pārvaldības reitinga izveidošanu un par  </w:t>
            </w:r>
          </w:p>
          <w:p w14:paraId="792732D9" w14:textId="77777777" w:rsidR="003C1E96" w:rsidRPr="00EC58CC" w:rsidRDefault="003C1E96" w:rsidP="003C1E96">
            <w:pPr>
              <w:pStyle w:val="paragraph"/>
              <w:spacing w:before="0" w:beforeAutospacing="0" w:after="0" w:afterAutospacing="0"/>
              <w:textAlignment w:val="baseline"/>
            </w:pPr>
            <w:r w:rsidRPr="00EC58CC">
              <w:t>atbildīgo institūciju nosaka Tieslietu ministriju, bet par līdzatbildīgajām - FKTK, BICG un  </w:t>
            </w:r>
          </w:p>
          <w:p w14:paraId="6FD6B15B" w14:textId="77777777" w:rsidR="003C1E96" w:rsidRPr="00EC58CC" w:rsidRDefault="003C1E96" w:rsidP="003C1E96">
            <w:pPr>
              <w:pStyle w:val="paragraph"/>
              <w:spacing w:before="0" w:beforeAutospacing="0" w:after="0" w:afterAutospacing="0"/>
              <w:textAlignment w:val="baseline"/>
            </w:pPr>
            <w:r w:rsidRPr="00EC58CC">
              <w:t>Nasdaq. Tieslietu ministrija konceptuāli neatbalsta, ka valsts institūcijas veido privātu  </w:t>
            </w:r>
          </w:p>
          <w:p w14:paraId="1A5EDA16" w14:textId="77777777" w:rsidR="003C1E96" w:rsidRPr="00EC58CC" w:rsidRDefault="003C1E96" w:rsidP="003C1E96">
            <w:pPr>
              <w:pStyle w:val="paragraph"/>
              <w:spacing w:before="0" w:beforeAutospacing="0" w:after="0" w:afterAutospacing="0"/>
              <w:textAlignment w:val="baseline"/>
            </w:pPr>
            <w:r w:rsidRPr="00EC58CC">
              <w:t>kapitālsabiedrību novērtējumus un reitingus. Šāda vērtēšanas kārtība nav saderīga ar tās  </w:t>
            </w:r>
          </w:p>
          <w:p w14:paraId="43E1325E" w14:textId="77777777" w:rsidR="003C1E96" w:rsidRPr="00EC58CC" w:rsidRDefault="003C1E96" w:rsidP="003C1E96">
            <w:pPr>
              <w:pStyle w:val="paragraph"/>
              <w:spacing w:before="0" w:beforeAutospacing="0" w:after="0" w:afterAutospacing="0"/>
              <w:textAlignment w:val="baseline"/>
            </w:pPr>
            <w:r w:rsidRPr="00EC58CC">
              <w:t>būtību. Tieslietu ministrijas ieskatā šāda vērtēšanas kārtība var radīt būtisku risku par  </w:t>
            </w:r>
          </w:p>
          <w:p w14:paraId="315618B7" w14:textId="77777777" w:rsidR="003C1E96" w:rsidRPr="00EC58CC" w:rsidRDefault="003C1E96" w:rsidP="003C1E96">
            <w:pPr>
              <w:pStyle w:val="paragraph"/>
              <w:spacing w:before="0" w:beforeAutospacing="0" w:after="0" w:afterAutospacing="0"/>
              <w:textAlignment w:val="baseline"/>
            </w:pPr>
            <w:r w:rsidRPr="00EC58CC">
              <w:t>valsts sniegtu atbalstu konkrētām kapitālsabiedrībām un favorītismu no valsts pārvaldes  </w:t>
            </w:r>
          </w:p>
          <w:p w14:paraId="4EFEF2C8" w14:textId="77777777" w:rsidR="003C1E96" w:rsidRPr="00EC58CC" w:rsidRDefault="003C1E96" w:rsidP="003C1E96">
            <w:pPr>
              <w:pStyle w:val="paragraph"/>
              <w:spacing w:before="0" w:beforeAutospacing="0" w:after="0" w:afterAutospacing="0"/>
              <w:textAlignment w:val="baseline"/>
            </w:pPr>
            <w:r w:rsidRPr="00EC58CC">
              <w:t>iestāžu puses. Ņemot vērā minēto, Tieslietu ministrijas ieskatā vienīgais reitinga  </w:t>
            </w:r>
          </w:p>
          <w:p w14:paraId="25B4B561" w14:textId="77777777" w:rsidR="003C1E96" w:rsidRPr="00EC58CC" w:rsidRDefault="003C1E96" w:rsidP="003C1E96">
            <w:pPr>
              <w:pStyle w:val="paragraph"/>
              <w:spacing w:before="0" w:beforeAutospacing="0" w:after="0" w:afterAutospacing="0"/>
              <w:textAlignment w:val="baseline"/>
            </w:pPr>
            <w:r w:rsidRPr="00EC58CC">
              <w:t>veidotājs var būt privātā sektora pārstāvis, bet valsts institūcijas būtu izslēdzamas no  </w:t>
            </w:r>
          </w:p>
          <w:p w14:paraId="209F1219" w14:textId="77777777" w:rsidR="003C1E96" w:rsidRPr="00EC58CC" w:rsidRDefault="003C1E96" w:rsidP="003C1E96">
            <w:pPr>
              <w:pStyle w:val="paragraph"/>
              <w:spacing w:before="0" w:beforeAutospacing="0" w:after="0" w:afterAutospacing="0"/>
              <w:textAlignment w:val="baseline"/>
            </w:pPr>
            <w:r w:rsidRPr="00EC58CC">
              <w:t>šāda reitinga veidošanas;</w:t>
            </w:r>
          </w:p>
          <w:p w14:paraId="6F938118" w14:textId="77777777" w:rsidR="00736E52" w:rsidRPr="00DF40F2" w:rsidRDefault="00736E52" w:rsidP="00191FC8">
            <w:pPr>
              <w:contextualSpacing/>
              <w:jc w:val="both"/>
            </w:pPr>
          </w:p>
        </w:tc>
        <w:tc>
          <w:tcPr>
            <w:tcW w:w="2835" w:type="dxa"/>
            <w:tcBorders>
              <w:left w:val="single" w:sz="6" w:space="0" w:color="000000" w:themeColor="text1"/>
              <w:bottom w:val="single" w:sz="4" w:space="0" w:color="auto"/>
              <w:right w:val="single" w:sz="6" w:space="0" w:color="000000" w:themeColor="text1"/>
            </w:tcBorders>
          </w:tcPr>
          <w:p w14:paraId="08CC7ADF" w14:textId="7527972C" w:rsidR="00736E52" w:rsidRPr="00AE5356" w:rsidRDefault="00647F04" w:rsidP="00191FC8">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197FD1C9" w14:textId="77777777" w:rsidR="00EC58CC" w:rsidRDefault="00EC58CC" w:rsidP="00191FC8">
            <w:pPr>
              <w:jc w:val="both"/>
              <w:rPr>
                <w:color w:val="000000"/>
              </w:rPr>
            </w:pPr>
            <w:r>
              <w:rPr>
                <w:color w:val="000000"/>
              </w:rPr>
              <w:t>Uzdevums/pasākums Nr. 1.2.15.</w:t>
            </w:r>
          </w:p>
          <w:p w14:paraId="43758B13" w14:textId="061E4AB4" w:rsidR="00736E52" w:rsidRDefault="00647F04" w:rsidP="00191FC8">
            <w:pPr>
              <w:jc w:val="both"/>
              <w:rPr>
                <w:color w:val="000000"/>
              </w:rPr>
            </w:pPr>
            <w:r>
              <w:rPr>
                <w:color w:val="000000"/>
              </w:rPr>
              <w:t xml:space="preserve">Atbildīgā institūcija: </w:t>
            </w:r>
            <w:r w:rsidR="00EC58CC">
              <w:rPr>
                <w:color w:val="000000"/>
              </w:rPr>
              <w:t>FKTK</w:t>
            </w:r>
          </w:p>
          <w:p w14:paraId="279267F3" w14:textId="1DC1E377" w:rsidR="00647F04" w:rsidRDefault="00647F04" w:rsidP="00EC58CC">
            <w:pPr>
              <w:jc w:val="both"/>
              <w:rPr>
                <w:color w:val="000000"/>
              </w:rPr>
            </w:pPr>
            <w:r>
              <w:rPr>
                <w:color w:val="000000"/>
              </w:rPr>
              <w:t xml:space="preserve">Līdzatbildīgās institūcijas: </w:t>
            </w:r>
            <w:r w:rsidR="00EC58CC">
              <w:rPr>
                <w:color w:val="000000"/>
              </w:rPr>
              <w:t>BICG</w:t>
            </w:r>
          </w:p>
        </w:tc>
      </w:tr>
      <w:tr w:rsidR="005F6EEE" w:rsidRPr="00AE5356" w14:paraId="3E20719E" w14:textId="77777777" w:rsidTr="000E70CD">
        <w:tc>
          <w:tcPr>
            <w:tcW w:w="944" w:type="dxa"/>
            <w:tcBorders>
              <w:left w:val="single" w:sz="6" w:space="0" w:color="000000" w:themeColor="text1"/>
              <w:bottom w:val="single" w:sz="4" w:space="0" w:color="auto"/>
              <w:right w:val="single" w:sz="6" w:space="0" w:color="000000" w:themeColor="text1"/>
            </w:tcBorders>
          </w:tcPr>
          <w:p w14:paraId="6EB6E7B5" w14:textId="77777777" w:rsidR="005F6EEE" w:rsidRPr="00AE5356" w:rsidRDefault="005F6EEE" w:rsidP="00191FC8">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9E3F872" w14:textId="77777777" w:rsidR="005F6EEE" w:rsidRPr="00AE5356" w:rsidRDefault="005F6EEE" w:rsidP="00191FC8">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39BF2A9F" w14:textId="3DA97AB3" w:rsidR="005F6EEE" w:rsidRPr="00EC58CC" w:rsidRDefault="005F6EEE" w:rsidP="003C1E96">
            <w:pPr>
              <w:pStyle w:val="paragraph"/>
              <w:spacing w:before="0" w:beforeAutospacing="0" w:after="0" w:afterAutospacing="0"/>
              <w:textAlignment w:val="baseline"/>
            </w:pPr>
            <w:r w:rsidRPr="005F6EEE">
              <w:t xml:space="preserve">1.2.16. uzdevums paredz apmācības tiesībaizsardzības institūcijām par tirgus manipulācijām un iekšējās informācijas izmantošanu. Pirmkārt, norādām, ka kapitāla tirgus politika ietilpst Finanšu ministrijas, nevis </w:t>
            </w:r>
            <w:r w:rsidRPr="005F6EEE">
              <w:lastRenderedPageBreak/>
              <w:t>Tieslietu ministrijas kompetencē. Attiecīgi minētā uzdevuma izpilde viennozīmīgi ir uzticama Finanšu ministrijai, nevis Tieslietu ministrijai. Savukārt Tieslietu ministrija piekrīt būt par līdzatbildīgo institūciju uzdevuma izpildē un, ņemot vērā Tieslietu ministrijas pieredzi, iesaisti un sadarbību ar apmācības veicošajām institūcijām, sniegt atbalstu apmācību organizēšanā. Otrkārt, Tieslietu ministrija ļoti augstu novērtē FKTK kolēģu zināšanas un pieredzi tirgus manipulāciju un iekšējās informācijas izmantošanas jomā un uzskata, ka tieši FKTK kolēģi vispilnvērtīgāk spēj nodrošināt apmācības šajā jomā.</w:t>
            </w:r>
          </w:p>
        </w:tc>
        <w:tc>
          <w:tcPr>
            <w:tcW w:w="2835" w:type="dxa"/>
            <w:tcBorders>
              <w:left w:val="single" w:sz="6" w:space="0" w:color="000000" w:themeColor="text1"/>
              <w:bottom w:val="single" w:sz="4" w:space="0" w:color="auto"/>
              <w:right w:val="single" w:sz="6" w:space="0" w:color="000000" w:themeColor="text1"/>
            </w:tcBorders>
          </w:tcPr>
          <w:p w14:paraId="75D2DD51" w14:textId="496A59DC" w:rsidR="005F6EEE" w:rsidRDefault="005F6EEE" w:rsidP="00191FC8">
            <w:pPr>
              <w:pStyle w:val="naisc"/>
              <w:spacing w:before="0" w:after="0"/>
              <w:jc w:val="left"/>
            </w:pPr>
            <w:r>
              <w:lastRenderedPageBreak/>
              <w:t>Daļēji ņemts vērā.</w:t>
            </w:r>
          </w:p>
        </w:tc>
        <w:tc>
          <w:tcPr>
            <w:tcW w:w="3544" w:type="dxa"/>
            <w:tcBorders>
              <w:top w:val="single" w:sz="4" w:space="0" w:color="auto"/>
              <w:left w:val="single" w:sz="4" w:space="0" w:color="auto"/>
              <w:bottom w:val="single" w:sz="4" w:space="0" w:color="auto"/>
            </w:tcBorders>
          </w:tcPr>
          <w:p w14:paraId="3C94559E" w14:textId="385BC712" w:rsidR="005F6EEE" w:rsidRDefault="005F6EEE" w:rsidP="005F6EEE">
            <w:pPr>
              <w:jc w:val="both"/>
              <w:rPr>
                <w:color w:val="000000"/>
              </w:rPr>
            </w:pPr>
            <w:r>
              <w:rPr>
                <w:color w:val="000000"/>
              </w:rPr>
              <w:t xml:space="preserve">Uzdevums sadalīts divos apakšuzdevumos, nosakot atšķirīgus rezultatīvos rādītājus: Sagatavots apmācību plāns un Sagatavots mācību kurss (atbildīgā </w:t>
            </w:r>
            <w:r>
              <w:rPr>
                <w:color w:val="000000"/>
              </w:rPr>
              <w:lastRenderedPageBreak/>
              <w:t xml:space="preserve">institūcija: FKTK) un </w:t>
            </w:r>
            <w:r w:rsidRPr="005F6EEE">
              <w:rPr>
                <w:color w:val="000000"/>
              </w:rPr>
              <w:t>Veiktas apmācības iesaistītaj</w:t>
            </w:r>
            <w:r>
              <w:rPr>
                <w:color w:val="000000"/>
              </w:rPr>
              <w:t xml:space="preserve">ām tiesībaizsardzības iestādēm (atbildīgā institūcija: TM). </w:t>
            </w:r>
            <w:r w:rsidR="00BF5D03">
              <w:rPr>
                <w:color w:val="000000"/>
              </w:rPr>
              <w:t>Tieslietu ministrijas iesaiste nepieciešama, jo apmācību mērķa grupa ir tieslietu sistēmas darbinieki.</w:t>
            </w:r>
          </w:p>
          <w:p w14:paraId="3581582C" w14:textId="63EAAA4E" w:rsidR="005F6EEE" w:rsidRDefault="005F6EEE" w:rsidP="00191FC8">
            <w:pPr>
              <w:jc w:val="both"/>
              <w:rPr>
                <w:color w:val="000000"/>
              </w:rPr>
            </w:pPr>
          </w:p>
        </w:tc>
      </w:tr>
      <w:tr w:rsidR="00736E52" w:rsidRPr="00AE5356" w14:paraId="202EF981" w14:textId="77777777" w:rsidTr="00EA01A0">
        <w:tc>
          <w:tcPr>
            <w:tcW w:w="944" w:type="dxa"/>
            <w:tcBorders>
              <w:left w:val="single" w:sz="6" w:space="0" w:color="000000" w:themeColor="text1"/>
              <w:bottom w:val="single" w:sz="4" w:space="0" w:color="auto"/>
              <w:right w:val="single" w:sz="6" w:space="0" w:color="000000" w:themeColor="text1"/>
            </w:tcBorders>
          </w:tcPr>
          <w:p w14:paraId="47C3007C" w14:textId="77777777" w:rsidR="00736E52" w:rsidRPr="00AE5356" w:rsidRDefault="00736E52" w:rsidP="00191FC8">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1EF65EEE" w14:textId="77777777" w:rsidR="00736E52" w:rsidRPr="00AE5356" w:rsidRDefault="00736E52" w:rsidP="00191FC8">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7D12D93B" w14:textId="77777777" w:rsidR="00736E52" w:rsidRPr="00820DB9" w:rsidRDefault="008E2659" w:rsidP="00191FC8">
            <w:pPr>
              <w:contextualSpacing/>
              <w:jc w:val="both"/>
              <w:rPr>
                <w:b/>
                <w:u w:val="single"/>
              </w:rPr>
            </w:pPr>
            <w:r w:rsidRPr="00820DB9">
              <w:rPr>
                <w:b/>
                <w:u w:val="single"/>
              </w:rPr>
              <w:t>Vides aizsardzības un reģionālās attīstības ministrija:</w:t>
            </w:r>
          </w:p>
          <w:p w14:paraId="393F83A2" w14:textId="77777777" w:rsidR="008E2659" w:rsidRDefault="008E2659" w:rsidP="008E2659">
            <w:pPr>
              <w:contextualSpacing/>
              <w:jc w:val="both"/>
            </w:pPr>
            <w:r>
              <w:t xml:space="preserve">Vides aizsardzības un reģionālās attīstības ministrija (turpmāk – VARAM) atbilstoši savai kompetencei ir izvērtējusi Finanšu ministrijas izstrādāto precizēto plāna projektu "Finanšu sektora attīstības plāns 2021.–2023.gadam" (VSS-939) (turpmāk  – plāns) un atbalsta projekta virzību atkārtoti aicinot 3.1.1. pasākumā (66.lpp) veikt uzdevuma salāgošanu ar darbības rezultātu, jo uzdevums saistīts ar finanšu nozari, taču darbības virziens uzliek definēt mērķus vairākās tautsaimniecības nozarēs. Precizējot darbības rezultātu šim pasākumam, lūdzam ņemt vērā, ka darbība - “Veicināt…” nevar būt darbības rezultāts. Turklāt norādām, ka “Veicināt skaidrāku politikas mērķu un ceļa kartes definēšanu </w:t>
            </w:r>
            <w:r>
              <w:lastRenderedPageBreak/>
              <w:t xml:space="preserve">konkrētās tautsaimniecības nozarēs klimata neitralitātes sasniegšanai” tajā pašā 66.lpp ir norādīts gan kā prioritāte (virs tabulas), gan arī kā darbības rezultāts tabulā, tikai jau plašākā vērienā “Veicināt skaidrāku politikas mērķu un ceļa kartes definēšanu konkrētās tautsaimniecības nozarēs ilgtspējas mērķu sasniegšanai.”   </w:t>
            </w:r>
          </w:p>
          <w:p w14:paraId="54A9AABA" w14:textId="77777777" w:rsidR="008E2659" w:rsidRDefault="008E2659" w:rsidP="008E2659">
            <w:pPr>
              <w:contextualSpacing/>
              <w:jc w:val="both"/>
            </w:pPr>
          </w:p>
          <w:p w14:paraId="6CA487AE" w14:textId="0C078959" w:rsidR="008E2659" w:rsidRPr="00DF40F2" w:rsidRDefault="008E2659" w:rsidP="008E2659">
            <w:pPr>
              <w:contextualSpacing/>
              <w:jc w:val="both"/>
            </w:pPr>
            <w:r>
              <w:t>Vienlaikus aicinām precizēt uzdevuma (Starpinstitūciju darba grupas/ komitejas izveidošana un Ilgtspējīgo finanšu stratēģijas sagatavošana, kas ietvers sevī konkrēto darbību plānu un ceļa karti finanšu sektoram ceļā uz ilgtspējīgo finanšu ieviešanu valstī) atbilstību rezultatīvajam rādītājām, t.i. rezultatīvajā rādītājā aizstāt vārdus “Identificēti politikas mērķi un veicamie uzdevumi” ar vārdiem “Sagatavota ilgtspējīgo finanšu stratēģija”.</w:t>
            </w:r>
          </w:p>
        </w:tc>
        <w:tc>
          <w:tcPr>
            <w:tcW w:w="2835" w:type="dxa"/>
            <w:tcBorders>
              <w:left w:val="single" w:sz="6" w:space="0" w:color="000000" w:themeColor="text1"/>
              <w:bottom w:val="single" w:sz="4" w:space="0" w:color="auto"/>
              <w:right w:val="single" w:sz="6" w:space="0" w:color="000000" w:themeColor="text1"/>
            </w:tcBorders>
            <w:shd w:val="clear" w:color="auto" w:fill="auto"/>
          </w:tcPr>
          <w:p w14:paraId="7EF61964" w14:textId="5F61CCC5" w:rsidR="00736E52" w:rsidRPr="00AE5356" w:rsidRDefault="00C82DE9" w:rsidP="00191FC8">
            <w:pPr>
              <w:pStyle w:val="naisc"/>
              <w:spacing w:before="0" w:after="0"/>
              <w:jc w:val="left"/>
            </w:pPr>
            <w:r w:rsidRPr="00EA01A0">
              <w:lastRenderedPageBreak/>
              <w:t>Ņemts vērā.</w:t>
            </w:r>
          </w:p>
        </w:tc>
        <w:tc>
          <w:tcPr>
            <w:tcW w:w="3544" w:type="dxa"/>
            <w:tcBorders>
              <w:top w:val="single" w:sz="4" w:space="0" w:color="auto"/>
              <w:left w:val="single" w:sz="4" w:space="0" w:color="auto"/>
              <w:bottom w:val="single" w:sz="4" w:space="0" w:color="auto"/>
            </w:tcBorders>
          </w:tcPr>
          <w:p w14:paraId="423902D8" w14:textId="296E7F16" w:rsidR="00736E52" w:rsidRDefault="00B40669" w:rsidP="00191FC8">
            <w:pPr>
              <w:jc w:val="both"/>
              <w:rPr>
                <w:color w:val="000000"/>
              </w:rPr>
            </w:pPr>
            <w:r>
              <w:rPr>
                <w:color w:val="000000"/>
              </w:rPr>
              <w:t xml:space="preserve">Rezultatīvais rādītājs: </w:t>
            </w:r>
            <w:r w:rsidR="00C82DE9" w:rsidRPr="00C82DE9">
              <w:rPr>
                <w:color w:val="000000"/>
              </w:rPr>
              <w:t>Sagatavota i</w:t>
            </w:r>
            <w:r w:rsidR="001C0889">
              <w:rPr>
                <w:color w:val="000000"/>
              </w:rPr>
              <w:t>lg</w:t>
            </w:r>
            <w:r w:rsidR="00C82DE9" w:rsidRPr="00C82DE9">
              <w:rPr>
                <w:color w:val="000000"/>
              </w:rPr>
              <w:t>tspējīgu finanšu stratēģija.</w:t>
            </w:r>
          </w:p>
        </w:tc>
      </w:tr>
      <w:tr w:rsidR="00736E52" w:rsidRPr="00AE5356" w14:paraId="741BF0C9" w14:textId="77777777" w:rsidTr="000E70CD">
        <w:tc>
          <w:tcPr>
            <w:tcW w:w="944" w:type="dxa"/>
            <w:tcBorders>
              <w:left w:val="single" w:sz="6" w:space="0" w:color="000000" w:themeColor="text1"/>
              <w:bottom w:val="single" w:sz="4" w:space="0" w:color="auto"/>
              <w:right w:val="single" w:sz="6" w:space="0" w:color="000000" w:themeColor="text1"/>
            </w:tcBorders>
          </w:tcPr>
          <w:p w14:paraId="452685F5" w14:textId="77777777" w:rsidR="00736E52" w:rsidRPr="00AE5356" w:rsidRDefault="00736E52" w:rsidP="00191FC8">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71EDD567" w14:textId="77777777" w:rsidR="00736E52" w:rsidRPr="00AE5356" w:rsidRDefault="00736E52" w:rsidP="00191FC8">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2170B76D" w14:textId="77777777" w:rsidR="008E2659" w:rsidRDefault="008E2659" w:rsidP="008E2659">
            <w:pPr>
              <w:contextualSpacing/>
              <w:jc w:val="both"/>
            </w:pPr>
            <w:r>
              <w:t xml:space="preserve">VARAM izsaka sekojošo iebildumu: </w:t>
            </w:r>
          </w:p>
          <w:p w14:paraId="7C39A08B" w14:textId="77777777" w:rsidR="008E2659" w:rsidRDefault="008E2659" w:rsidP="008E2659">
            <w:pPr>
              <w:contextualSpacing/>
              <w:jc w:val="both"/>
            </w:pPr>
          </w:p>
          <w:p w14:paraId="4C20C29C" w14:textId="49D0ED6E" w:rsidR="00736E52" w:rsidRPr="00DF40F2" w:rsidRDefault="008E2659" w:rsidP="008E2659">
            <w:pPr>
              <w:contextualSpacing/>
              <w:jc w:val="both"/>
            </w:pPr>
            <w:r>
              <w:t xml:space="preserve">2.2.5. apakšpunktā noteiktais datums ir pārāk vēls tikai izvērtējumam. Saskaņā ar Ministru kabineta 2020. gada 16. jūnija sēdes protokola Nr. 41 55.§ un 56.§ 2. punktā noteikto, Finanšu ministrijai ir jāorganizē darba grupa par attaisnojumu dokumentu un preču pavaddokumentu elektroniskās aprites sistēmas ieviešanu, iesaistot Ekonomikas ministrijas, Vides aizsardzības un reģionālās attīstības ministrijas, Satiksmes ministrijas, Labklājības ministrijas, Veselības ministrijas, Zemkopības </w:t>
            </w:r>
            <w:r>
              <w:lastRenderedPageBreak/>
              <w:t>ministrijas pārstāvjus, kā arī nepieciešamības gadījumā pieaicinot arī nozaru ekspertus, un jāsagatavo informatīvais ziņojums par sistēmas ieguvumiem, riskiem, sistēmas ieviešanas izmaksām un priekšlikumiem par tālāko rīcību. Vienlaikus darba grupai, izstrādājot risinājumu informācijas sistēmu pielāgošanai elektronisko rēķinu saņemšanai un apstrādei nodokļu administrēšanas vajadzībām, ēnu ekonomikas mazināšanas nolūkos vienlaicīgi jāizskata arī jautājums par blokķēdes tehnoloģijas izmantošanas iespējām kases aparātos un tajos reģistrēto datu nodošanu VID tiešsaistes režīmā un jāizstrādā konceptuāls risinājums līdz 2021. gada 1. martam. 2023. gada beigās jābūt pilnībā gatavam risinājumam.</w:t>
            </w:r>
          </w:p>
        </w:tc>
        <w:tc>
          <w:tcPr>
            <w:tcW w:w="2835" w:type="dxa"/>
            <w:tcBorders>
              <w:left w:val="single" w:sz="6" w:space="0" w:color="000000" w:themeColor="text1"/>
              <w:bottom w:val="single" w:sz="4" w:space="0" w:color="auto"/>
              <w:right w:val="single" w:sz="6" w:space="0" w:color="000000" w:themeColor="text1"/>
            </w:tcBorders>
          </w:tcPr>
          <w:p w14:paraId="1FD6AD9F" w14:textId="48FE65EA" w:rsidR="00736E52" w:rsidRPr="00AE5356" w:rsidRDefault="00C82DE9" w:rsidP="00191FC8">
            <w:pPr>
              <w:pStyle w:val="naisc"/>
              <w:spacing w:before="0" w:after="0"/>
              <w:jc w:val="left"/>
            </w:pPr>
            <w:r w:rsidRPr="00EA01A0">
              <w:lastRenderedPageBreak/>
              <w:t>Ņemts vērā.</w:t>
            </w:r>
          </w:p>
        </w:tc>
        <w:tc>
          <w:tcPr>
            <w:tcW w:w="3544" w:type="dxa"/>
            <w:tcBorders>
              <w:top w:val="single" w:sz="4" w:space="0" w:color="auto"/>
              <w:left w:val="single" w:sz="4" w:space="0" w:color="auto"/>
              <w:bottom w:val="single" w:sz="4" w:space="0" w:color="auto"/>
            </w:tcBorders>
          </w:tcPr>
          <w:p w14:paraId="09CF632A" w14:textId="3C6C5D57" w:rsidR="00736E52" w:rsidRDefault="00EA01A0" w:rsidP="00191FC8">
            <w:pPr>
              <w:jc w:val="both"/>
              <w:rPr>
                <w:color w:val="000000"/>
              </w:rPr>
            </w:pPr>
            <w:r>
              <w:rPr>
                <w:color w:val="000000"/>
              </w:rPr>
              <w:t xml:space="preserve">Rezultatīvais rādītājs: </w:t>
            </w:r>
            <w:r w:rsidR="00C82DE9" w:rsidRPr="00C82DE9">
              <w:rPr>
                <w:color w:val="000000"/>
              </w:rPr>
              <w:t>Izveidota notarizēta maiņvieta strukturētajiem finanšu dokumentiem un izstrādāts nepieciešamais normatīvais regulējums.</w:t>
            </w:r>
          </w:p>
        </w:tc>
      </w:tr>
      <w:tr w:rsidR="00736E52" w:rsidRPr="00AE5356" w14:paraId="7CDB4D5A" w14:textId="77777777" w:rsidTr="000E70CD">
        <w:tc>
          <w:tcPr>
            <w:tcW w:w="944" w:type="dxa"/>
            <w:tcBorders>
              <w:left w:val="single" w:sz="6" w:space="0" w:color="000000" w:themeColor="text1"/>
              <w:bottom w:val="single" w:sz="4" w:space="0" w:color="auto"/>
              <w:right w:val="single" w:sz="6" w:space="0" w:color="000000" w:themeColor="text1"/>
            </w:tcBorders>
          </w:tcPr>
          <w:p w14:paraId="6EF14780" w14:textId="77777777" w:rsidR="00736E52" w:rsidRPr="00AE5356" w:rsidRDefault="00736E52" w:rsidP="00191FC8">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3950FCB3" w14:textId="77777777" w:rsidR="00736E52" w:rsidRPr="00AE5356" w:rsidRDefault="00736E52" w:rsidP="00191FC8">
            <w:pPr>
              <w:pStyle w:val="naisc"/>
              <w:spacing w:before="0" w:after="0"/>
            </w:pPr>
          </w:p>
        </w:tc>
        <w:tc>
          <w:tcPr>
            <w:tcW w:w="4819" w:type="dxa"/>
            <w:gridSpan w:val="2"/>
            <w:tcBorders>
              <w:left w:val="single" w:sz="6" w:space="0" w:color="000000" w:themeColor="text1"/>
              <w:bottom w:val="single" w:sz="4" w:space="0" w:color="auto"/>
              <w:right w:val="single" w:sz="6" w:space="0" w:color="000000" w:themeColor="text1"/>
            </w:tcBorders>
          </w:tcPr>
          <w:p w14:paraId="4B54D9D9" w14:textId="77777777" w:rsidR="008E2659" w:rsidRPr="001670CD" w:rsidRDefault="008E2659" w:rsidP="008E2659">
            <w:pPr>
              <w:contextualSpacing/>
              <w:jc w:val="both"/>
            </w:pPr>
            <w:r w:rsidRPr="001670CD">
              <w:t xml:space="preserve">Vienlaikus VARAM izsaka sekojošo priekšlikumu: </w:t>
            </w:r>
          </w:p>
          <w:p w14:paraId="11364090" w14:textId="77777777" w:rsidR="008E2659" w:rsidRPr="001670CD" w:rsidRDefault="008E2659" w:rsidP="008E2659">
            <w:pPr>
              <w:contextualSpacing/>
              <w:jc w:val="both"/>
            </w:pPr>
          </w:p>
          <w:p w14:paraId="59F28FDC" w14:textId="77777777" w:rsidR="00736E52" w:rsidRPr="001670CD" w:rsidRDefault="008E2659" w:rsidP="008E2659">
            <w:pPr>
              <w:contextualSpacing/>
              <w:jc w:val="both"/>
            </w:pPr>
            <w:r w:rsidRPr="001670CD">
              <w:t>Papildināt sadaļu “Sabiedrības izglītošana par finanšu tehnoloģiju iespējām un riskiem” ar 2.3.4. apakšpunktu.</w:t>
            </w:r>
          </w:p>
          <w:p w14:paraId="443DE288" w14:textId="13923F22" w:rsidR="0068771F" w:rsidRPr="001670CD" w:rsidRDefault="0068771F" w:rsidP="008E2659">
            <w:pPr>
              <w:contextualSpacing/>
              <w:jc w:val="both"/>
            </w:pPr>
            <w:r w:rsidRPr="001670CD">
              <w:t>Uzdevums: Veicināt informācijas pieejamību par digitālajiem finanšu aktīviem latviešu valodā.</w:t>
            </w:r>
          </w:p>
          <w:p w14:paraId="6C8CC920" w14:textId="33B0CA4A" w:rsidR="0068771F" w:rsidRPr="001670CD" w:rsidRDefault="0068771F" w:rsidP="008E2659">
            <w:pPr>
              <w:contextualSpacing/>
              <w:jc w:val="both"/>
            </w:pPr>
            <w:r w:rsidRPr="001670CD">
              <w:t>Darbības rezultāts: Veicināta sabiedrības izpratnes par digitālajiem finanšu aktīviem.</w:t>
            </w:r>
          </w:p>
          <w:p w14:paraId="204D59C4" w14:textId="73255E52" w:rsidR="0068771F" w:rsidRPr="001670CD" w:rsidRDefault="0068771F" w:rsidP="008E2659">
            <w:pPr>
              <w:contextualSpacing/>
              <w:jc w:val="both"/>
            </w:pPr>
            <w:r w:rsidRPr="001670CD">
              <w:t>Rezultatīvais rādītājs: Sagatavots ECB ziņojuma par “Par Digitālo euro” pilnais tulkojums latviešu valodā vai sagatavots jauns izvērtējums latviešu valodā.</w:t>
            </w:r>
          </w:p>
          <w:p w14:paraId="72FB3AF6" w14:textId="2547881F" w:rsidR="0068771F" w:rsidRPr="001670CD" w:rsidRDefault="0068771F" w:rsidP="008E2659">
            <w:pPr>
              <w:contextualSpacing/>
              <w:jc w:val="both"/>
            </w:pPr>
          </w:p>
        </w:tc>
        <w:tc>
          <w:tcPr>
            <w:tcW w:w="2835" w:type="dxa"/>
            <w:tcBorders>
              <w:left w:val="single" w:sz="6" w:space="0" w:color="000000" w:themeColor="text1"/>
              <w:bottom w:val="single" w:sz="4" w:space="0" w:color="auto"/>
              <w:right w:val="single" w:sz="6" w:space="0" w:color="000000" w:themeColor="text1"/>
            </w:tcBorders>
          </w:tcPr>
          <w:p w14:paraId="2B11EAB3" w14:textId="0AEBD0AA" w:rsidR="00736E52" w:rsidRPr="001670CD" w:rsidRDefault="003E75CF" w:rsidP="00191FC8">
            <w:pPr>
              <w:pStyle w:val="naisc"/>
              <w:spacing w:before="0" w:after="0"/>
              <w:jc w:val="left"/>
            </w:pPr>
            <w:r w:rsidRPr="001670CD">
              <w:t>Daļēji</w:t>
            </w:r>
            <w:r w:rsidR="0068771F" w:rsidRPr="001670CD">
              <w:t xml:space="preserve"> ņemts vērā.</w:t>
            </w:r>
          </w:p>
        </w:tc>
        <w:tc>
          <w:tcPr>
            <w:tcW w:w="3544" w:type="dxa"/>
            <w:tcBorders>
              <w:top w:val="single" w:sz="4" w:space="0" w:color="auto"/>
              <w:left w:val="single" w:sz="4" w:space="0" w:color="auto"/>
              <w:bottom w:val="single" w:sz="4" w:space="0" w:color="auto"/>
            </w:tcBorders>
          </w:tcPr>
          <w:p w14:paraId="6965AE44" w14:textId="732B9971" w:rsidR="00736E52" w:rsidRDefault="001670CD" w:rsidP="00191FC8">
            <w:pPr>
              <w:jc w:val="both"/>
              <w:rPr>
                <w:color w:val="000000"/>
              </w:rPr>
            </w:pPr>
            <w:r>
              <w:rPr>
                <w:color w:val="000000"/>
              </w:rPr>
              <w:t xml:space="preserve">Teksts 49. lpp. papildināts, lai uzsvērtu informācijas pieejamību par inovatīviem finanšu pakalpojumiem: </w:t>
            </w:r>
            <w:r w:rsidRPr="001670CD">
              <w:rPr>
                <w:color w:val="000000"/>
              </w:rPr>
              <w:t>Apzinoties, ka naudas digitālā transformācija ietekmē katru Latvijas iedzīvotāju, svarīgi veicināt informācijas pieejamību un sabiedrības izpratni par digitālajiem finanšu aktīviem un citiem inovatīviem finanšu pakalpojumiem.</w:t>
            </w:r>
          </w:p>
        </w:tc>
      </w:tr>
      <w:tr w:rsidR="00736E52" w:rsidRPr="00AE5356" w14:paraId="0B64577A" w14:textId="77777777" w:rsidTr="000E70CD">
        <w:tc>
          <w:tcPr>
            <w:tcW w:w="944" w:type="dxa"/>
            <w:tcBorders>
              <w:left w:val="single" w:sz="6" w:space="0" w:color="000000" w:themeColor="text1"/>
              <w:bottom w:val="single" w:sz="4" w:space="0" w:color="auto"/>
              <w:right w:val="single" w:sz="6" w:space="0" w:color="000000" w:themeColor="text1"/>
            </w:tcBorders>
          </w:tcPr>
          <w:p w14:paraId="0433700F" w14:textId="77777777" w:rsidR="00736E52" w:rsidRPr="00AE5356" w:rsidRDefault="00736E52" w:rsidP="00191FC8">
            <w:pPr>
              <w:pStyle w:val="naisc"/>
              <w:numPr>
                <w:ilvl w:val="0"/>
                <w:numId w:val="19"/>
              </w:numPr>
              <w:spacing w:before="0" w:after="0"/>
              <w:jc w:val="left"/>
            </w:pPr>
          </w:p>
        </w:tc>
        <w:tc>
          <w:tcPr>
            <w:tcW w:w="2661" w:type="dxa"/>
            <w:tcBorders>
              <w:left w:val="single" w:sz="6" w:space="0" w:color="000000" w:themeColor="text1"/>
              <w:bottom w:val="single" w:sz="4" w:space="0" w:color="auto"/>
              <w:right w:val="single" w:sz="6" w:space="0" w:color="000000" w:themeColor="text1"/>
            </w:tcBorders>
          </w:tcPr>
          <w:p w14:paraId="445E9464" w14:textId="1EE8ACFC" w:rsidR="00736E52" w:rsidRPr="00AE5356" w:rsidRDefault="0068771F" w:rsidP="0068771F">
            <w:pPr>
              <w:pStyle w:val="naisc"/>
              <w:spacing w:before="0" w:after="0"/>
              <w:jc w:val="left"/>
            </w:pPr>
            <w:r w:rsidRPr="0068771F">
              <w:t>Aktualizēt Valsts kancelejas izstrādāto metodisko norādījumu/metodikas “Tiesību akta projekta ietekmes sākotnējā izvērtēšana” II sadaļu “Tiesību akta projekta ietekme uz sabiedrību, tautsaimniecības attīstību un administratīvo slogu”, aprakstot metodiku, kādā novērtēt tiesiskā regulējuma ietekmi uz kreditēšanu (tostarp kreditēšanas izmaksām), paredzot, ka tā ir obligāti aizpildāma, izstrādājot tiesību aktus.</w:t>
            </w:r>
          </w:p>
        </w:tc>
        <w:tc>
          <w:tcPr>
            <w:tcW w:w="4819" w:type="dxa"/>
            <w:gridSpan w:val="2"/>
            <w:tcBorders>
              <w:left w:val="single" w:sz="6" w:space="0" w:color="000000" w:themeColor="text1"/>
              <w:bottom w:val="single" w:sz="4" w:space="0" w:color="auto"/>
              <w:right w:val="single" w:sz="6" w:space="0" w:color="000000" w:themeColor="text1"/>
            </w:tcBorders>
          </w:tcPr>
          <w:p w14:paraId="2255DDDD" w14:textId="77777777" w:rsidR="00736E52" w:rsidRPr="00CE607F" w:rsidRDefault="008E2659" w:rsidP="008E2659">
            <w:pPr>
              <w:rPr>
                <w:b/>
                <w:u w:val="single"/>
              </w:rPr>
            </w:pPr>
            <w:r w:rsidRPr="00CE607F">
              <w:rPr>
                <w:b/>
                <w:u w:val="single"/>
              </w:rPr>
              <w:t>Valsts kanceleja:</w:t>
            </w:r>
          </w:p>
          <w:p w14:paraId="093B8DF1" w14:textId="77777777" w:rsidR="008E2659" w:rsidRPr="008E2659" w:rsidRDefault="008E2659" w:rsidP="008E2659">
            <w:pPr>
              <w:rPr>
                <w:sz w:val="20"/>
                <w:szCs w:val="18"/>
              </w:rPr>
            </w:pPr>
            <w:r w:rsidRPr="008E2659">
              <w:rPr>
                <w:rStyle w:val="normaltextrun"/>
                <w:szCs w:val="22"/>
              </w:rPr>
              <w:t>Informējam, ka kopumā atbalstām plāna turpmāko virzību, vienlaicīgi izsakot iebildumu </w:t>
            </w:r>
            <w:r w:rsidRPr="008E2659">
              <w:rPr>
                <w:rStyle w:val="eop"/>
                <w:szCs w:val="22"/>
              </w:rPr>
              <w:t> </w:t>
            </w:r>
          </w:p>
          <w:p w14:paraId="4CC10887" w14:textId="77777777" w:rsidR="008E2659" w:rsidRPr="008E2659" w:rsidRDefault="008E2659" w:rsidP="008E2659">
            <w:pPr>
              <w:rPr>
                <w:sz w:val="20"/>
                <w:szCs w:val="18"/>
              </w:rPr>
            </w:pPr>
            <w:r w:rsidRPr="008E2659">
              <w:rPr>
                <w:rStyle w:val="normaltextrun"/>
                <w:szCs w:val="22"/>
              </w:rPr>
              <w:t>par tā uzdevumu/pasākumu 1.1.4.: “Aktualizēt Valsts kancelejas izstrādāto metodisko </w:t>
            </w:r>
            <w:r w:rsidRPr="008E2659">
              <w:rPr>
                <w:rStyle w:val="eop"/>
                <w:szCs w:val="22"/>
              </w:rPr>
              <w:t> </w:t>
            </w:r>
          </w:p>
          <w:p w14:paraId="247102CE" w14:textId="77777777" w:rsidR="008E2659" w:rsidRPr="008E2659" w:rsidRDefault="008E2659" w:rsidP="008E2659">
            <w:pPr>
              <w:rPr>
                <w:sz w:val="20"/>
                <w:szCs w:val="18"/>
              </w:rPr>
            </w:pPr>
            <w:r w:rsidRPr="008E2659">
              <w:rPr>
                <w:rStyle w:val="normaltextrun"/>
                <w:szCs w:val="22"/>
              </w:rPr>
              <w:t>norādījumu/metodikas “Tiesību akta projekta ietekmes sākotnējā izvērtēšana” II sadaļu </w:t>
            </w:r>
            <w:r w:rsidRPr="008E2659">
              <w:rPr>
                <w:rStyle w:val="eop"/>
                <w:szCs w:val="22"/>
              </w:rPr>
              <w:t> </w:t>
            </w:r>
          </w:p>
          <w:p w14:paraId="1E85518F" w14:textId="77777777" w:rsidR="008E2659" w:rsidRPr="008E2659" w:rsidRDefault="008E2659" w:rsidP="008E2659">
            <w:pPr>
              <w:rPr>
                <w:sz w:val="20"/>
                <w:szCs w:val="18"/>
              </w:rPr>
            </w:pPr>
            <w:r w:rsidRPr="008E2659">
              <w:rPr>
                <w:rStyle w:val="normaltextrun"/>
                <w:szCs w:val="22"/>
              </w:rPr>
              <w:t>“Tiesību akta projekta ietekme uz sabiedrību, tautsaimniecības attīstību un administratīvo </w:t>
            </w:r>
            <w:r w:rsidRPr="008E2659">
              <w:rPr>
                <w:rStyle w:val="eop"/>
                <w:szCs w:val="22"/>
              </w:rPr>
              <w:t> </w:t>
            </w:r>
          </w:p>
          <w:p w14:paraId="7B96A1AE" w14:textId="77777777" w:rsidR="008E2659" w:rsidRPr="008E2659" w:rsidRDefault="008E2659" w:rsidP="008E2659">
            <w:pPr>
              <w:rPr>
                <w:sz w:val="20"/>
                <w:szCs w:val="18"/>
              </w:rPr>
            </w:pPr>
            <w:r w:rsidRPr="008E2659">
              <w:rPr>
                <w:rStyle w:val="normaltextrun"/>
                <w:szCs w:val="22"/>
              </w:rPr>
              <w:t>slogu”, aprakstot metodiku, kādā novērtēt tiesiskā regulējuma ietekmi uz kreditēšanu </w:t>
            </w:r>
            <w:r w:rsidRPr="008E2659">
              <w:rPr>
                <w:rStyle w:val="eop"/>
                <w:szCs w:val="22"/>
              </w:rPr>
              <w:t> </w:t>
            </w:r>
          </w:p>
          <w:p w14:paraId="5CC57C08" w14:textId="77777777" w:rsidR="008E2659" w:rsidRPr="008E2659" w:rsidRDefault="008E2659" w:rsidP="008E2659">
            <w:pPr>
              <w:rPr>
                <w:sz w:val="20"/>
                <w:szCs w:val="18"/>
              </w:rPr>
            </w:pPr>
            <w:r w:rsidRPr="008E2659">
              <w:rPr>
                <w:rStyle w:val="normaltextrun"/>
                <w:szCs w:val="22"/>
              </w:rPr>
              <w:t>(tostarp kreditēšanas izmaksām), paredzot, ka tā ir obligāti aizpildāma, izstrādājot tiesību </w:t>
            </w:r>
            <w:r w:rsidRPr="008E2659">
              <w:rPr>
                <w:rStyle w:val="eop"/>
                <w:szCs w:val="22"/>
              </w:rPr>
              <w:t> </w:t>
            </w:r>
          </w:p>
          <w:p w14:paraId="1F34276F" w14:textId="77777777" w:rsidR="008E2659" w:rsidRPr="008E2659" w:rsidRDefault="008E2659" w:rsidP="008E2659">
            <w:pPr>
              <w:rPr>
                <w:sz w:val="20"/>
                <w:szCs w:val="18"/>
              </w:rPr>
            </w:pPr>
            <w:r w:rsidRPr="008E2659">
              <w:rPr>
                <w:rStyle w:val="normaltextrun"/>
                <w:szCs w:val="22"/>
              </w:rPr>
              <w:t>aktus” (32.lpp.) </w:t>
            </w:r>
            <w:r w:rsidRPr="008E2659">
              <w:rPr>
                <w:rStyle w:val="eop"/>
                <w:szCs w:val="22"/>
              </w:rPr>
              <w:t> </w:t>
            </w:r>
          </w:p>
          <w:p w14:paraId="2ED98FB6" w14:textId="77777777" w:rsidR="008E2659" w:rsidRPr="008E2659" w:rsidRDefault="008E2659" w:rsidP="008E2659">
            <w:pPr>
              <w:rPr>
                <w:sz w:val="20"/>
                <w:szCs w:val="18"/>
              </w:rPr>
            </w:pPr>
            <w:r w:rsidRPr="008E2659">
              <w:rPr>
                <w:rStyle w:val="normaltextrun"/>
                <w:szCs w:val="22"/>
              </w:rPr>
              <w:t>Ņemot vērā, ka “ietekme uz kreditēšanu un kreditēšanas izmaksām” ir specifiskā joma, </w:t>
            </w:r>
            <w:r w:rsidRPr="008E2659">
              <w:rPr>
                <w:rStyle w:val="eop"/>
                <w:szCs w:val="22"/>
              </w:rPr>
              <w:t> </w:t>
            </w:r>
          </w:p>
          <w:p w14:paraId="6B6B1068" w14:textId="77777777" w:rsidR="008E2659" w:rsidRPr="008E2659" w:rsidRDefault="008E2659" w:rsidP="008E2659">
            <w:pPr>
              <w:rPr>
                <w:sz w:val="20"/>
                <w:szCs w:val="18"/>
              </w:rPr>
            </w:pPr>
            <w:r w:rsidRPr="008E2659">
              <w:rPr>
                <w:rStyle w:val="normaltextrun"/>
                <w:szCs w:val="22"/>
              </w:rPr>
              <w:t>kas skar nelielu tiesību aktu projektu skaitu, uzskatām, ka obligātas vispārīgas prasības </w:t>
            </w:r>
            <w:r w:rsidRPr="008E2659">
              <w:rPr>
                <w:rStyle w:val="eop"/>
                <w:szCs w:val="22"/>
              </w:rPr>
              <w:t> </w:t>
            </w:r>
          </w:p>
          <w:p w14:paraId="05615714" w14:textId="77777777" w:rsidR="008E2659" w:rsidRPr="008E2659" w:rsidRDefault="008E2659" w:rsidP="008E2659">
            <w:pPr>
              <w:rPr>
                <w:sz w:val="20"/>
                <w:szCs w:val="18"/>
              </w:rPr>
            </w:pPr>
            <w:r w:rsidRPr="008E2659">
              <w:rPr>
                <w:rStyle w:val="normaltextrun"/>
                <w:szCs w:val="22"/>
              </w:rPr>
              <w:t>ieviešana izvērtēt visus projektus uz šādu ietekmi nav samērīga un radīs nepamatotu </w:t>
            </w:r>
            <w:r w:rsidRPr="008E2659">
              <w:rPr>
                <w:rStyle w:val="eop"/>
                <w:szCs w:val="22"/>
              </w:rPr>
              <w:t> </w:t>
            </w:r>
          </w:p>
          <w:p w14:paraId="02563FF5" w14:textId="77777777" w:rsidR="008E2659" w:rsidRPr="008E2659" w:rsidRDefault="008E2659" w:rsidP="008E2659">
            <w:pPr>
              <w:rPr>
                <w:sz w:val="20"/>
                <w:szCs w:val="18"/>
              </w:rPr>
            </w:pPr>
            <w:r w:rsidRPr="008E2659">
              <w:rPr>
                <w:rStyle w:val="normaltextrun"/>
                <w:szCs w:val="22"/>
              </w:rPr>
              <w:t>papildus administratīvo slogu tiesību aktu projektu izstrādātājiem. Aicinām no </w:t>
            </w:r>
            <w:r w:rsidRPr="008E2659">
              <w:rPr>
                <w:rStyle w:val="eop"/>
                <w:szCs w:val="22"/>
              </w:rPr>
              <w:t> </w:t>
            </w:r>
          </w:p>
          <w:p w14:paraId="41E05B7E" w14:textId="77777777" w:rsidR="008E2659" w:rsidRPr="008E2659" w:rsidRDefault="008E2659" w:rsidP="008E2659">
            <w:pPr>
              <w:rPr>
                <w:sz w:val="20"/>
                <w:szCs w:val="18"/>
              </w:rPr>
            </w:pPr>
            <w:r w:rsidRPr="008E2659">
              <w:rPr>
                <w:rStyle w:val="normaltextrun"/>
                <w:szCs w:val="22"/>
              </w:rPr>
              <w:t>uzdevuma/pasākuma 1.1.4. izslēgt vārdus “paredzot, ka tā ir obligāti aizpildāma, </w:t>
            </w:r>
            <w:r w:rsidRPr="008E2659">
              <w:rPr>
                <w:rStyle w:val="eop"/>
                <w:szCs w:val="22"/>
              </w:rPr>
              <w:t> </w:t>
            </w:r>
          </w:p>
          <w:p w14:paraId="5722C12C" w14:textId="77777777" w:rsidR="008E2659" w:rsidRPr="008E2659" w:rsidRDefault="008E2659" w:rsidP="008E2659">
            <w:pPr>
              <w:rPr>
                <w:sz w:val="20"/>
                <w:szCs w:val="18"/>
              </w:rPr>
            </w:pPr>
            <w:r w:rsidRPr="008E2659">
              <w:rPr>
                <w:rStyle w:val="normaltextrun"/>
                <w:szCs w:val="22"/>
              </w:rPr>
              <w:t>izstrādājot tiesību aktus”.</w:t>
            </w:r>
          </w:p>
          <w:p w14:paraId="7B6F88DB" w14:textId="64DA35FB" w:rsidR="008E2659" w:rsidRPr="00DF40F2" w:rsidRDefault="008E2659" w:rsidP="00191FC8">
            <w:pPr>
              <w:contextualSpacing/>
              <w:jc w:val="both"/>
            </w:pPr>
          </w:p>
        </w:tc>
        <w:tc>
          <w:tcPr>
            <w:tcW w:w="2835" w:type="dxa"/>
            <w:tcBorders>
              <w:left w:val="single" w:sz="6" w:space="0" w:color="000000" w:themeColor="text1"/>
              <w:bottom w:val="single" w:sz="4" w:space="0" w:color="auto"/>
              <w:right w:val="single" w:sz="6" w:space="0" w:color="000000" w:themeColor="text1"/>
            </w:tcBorders>
          </w:tcPr>
          <w:p w14:paraId="00E2332C" w14:textId="34B23C48" w:rsidR="00736E52" w:rsidRPr="00AE5356" w:rsidRDefault="0068771F" w:rsidP="00191FC8">
            <w:pPr>
              <w:pStyle w:val="naisc"/>
              <w:spacing w:before="0" w:after="0"/>
              <w:jc w:val="left"/>
            </w:pPr>
            <w:r>
              <w:t>Ņemts vērā.</w:t>
            </w:r>
          </w:p>
        </w:tc>
        <w:tc>
          <w:tcPr>
            <w:tcW w:w="3544" w:type="dxa"/>
            <w:tcBorders>
              <w:top w:val="single" w:sz="4" w:space="0" w:color="auto"/>
              <w:left w:val="single" w:sz="4" w:space="0" w:color="auto"/>
              <w:bottom w:val="single" w:sz="4" w:space="0" w:color="auto"/>
            </w:tcBorders>
          </w:tcPr>
          <w:p w14:paraId="53440567" w14:textId="69A6BC37" w:rsidR="00D62753" w:rsidRDefault="00D62753" w:rsidP="00191FC8">
            <w:pPr>
              <w:jc w:val="both"/>
              <w:rPr>
                <w:color w:val="000000"/>
              </w:rPr>
            </w:pPr>
            <w:r>
              <w:rPr>
                <w:color w:val="000000"/>
              </w:rPr>
              <w:t>Uzdevums dzēsts. Minētais aspekts atspoguļots tekstā 15. lpp.</w:t>
            </w:r>
          </w:p>
          <w:p w14:paraId="00D1CAF9" w14:textId="502524F3" w:rsidR="00D62753" w:rsidRDefault="00D62753" w:rsidP="00191FC8">
            <w:pPr>
              <w:jc w:val="both"/>
              <w:rPr>
                <w:color w:val="000000"/>
              </w:rPr>
            </w:pPr>
          </w:p>
        </w:tc>
      </w:tr>
      <w:tr w:rsidR="009F1DBB" w:rsidRPr="003001E9" w14:paraId="7FF6F5E9" w14:textId="77777777" w:rsidTr="0003142C">
        <w:tblPrEx>
          <w:tblBorders>
            <w:top w:val="none" w:sz="0" w:space="0" w:color="auto"/>
            <w:left w:val="none" w:sz="0" w:space="0" w:color="auto"/>
            <w:bottom w:val="none" w:sz="0" w:space="0" w:color="auto"/>
            <w:right w:val="none" w:sz="0" w:space="0" w:color="auto"/>
          </w:tblBorders>
        </w:tblPrEx>
        <w:trPr>
          <w:gridAfter w:val="3"/>
          <w:wAfter w:w="6447" w:type="dxa"/>
        </w:trPr>
        <w:tc>
          <w:tcPr>
            <w:tcW w:w="8356"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C1D1ED1" w14:textId="77777777" w:rsidR="009F1DBB" w:rsidRPr="00AE5356" w:rsidRDefault="009F1DBB" w:rsidP="00191FC8">
            <w:pPr>
              <w:pStyle w:val="naiskr"/>
              <w:spacing w:before="0" w:after="0"/>
            </w:pPr>
            <w:r w:rsidRPr="00AE5356">
              <w:t>Atbildīgā amatpersona:</w:t>
            </w:r>
          </w:p>
          <w:p w14:paraId="643428D7" w14:textId="77777777" w:rsidR="009F1DBB" w:rsidRPr="00AE5356" w:rsidRDefault="009F1DBB" w:rsidP="00191FC8">
            <w:pPr>
              <w:pStyle w:val="naiskr"/>
              <w:spacing w:before="0" w:after="0"/>
            </w:pPr>
          </w:p>
          <w:p w14:paraId="400FB60B" w14:textId="77777777" w:rsidR="009F1DBB" w:rsidRPr="00AE5356" w:rsidRDefault="009F1DBB" w:rsidP="00191FC8">
            <w:pPr>
              <w:pStyle w:val="naiskr"/>
              <w:spacing w:before="0" w:after="0"/>
            </w:pPr>
            <w:r w:rsidRPr="00AE5356">
              <w:t>Dina Buse</w:t>
            </w:r>
          </w:p>
          <w:p w14:paraId="35C79A17" w14:textId="77777777" w:rsidR="009F1DBB" w:rsidRPr="00AE5356" w:rsidRDefault="009F1DBB" w:rsidP="00191FC8">
            <w:pPr>
              <w:pStyle w:val="naiskr"/>
              <w:spacing w:before="0" w:after="0"/>
            </w:pPr>
            <w:r w:rsidRPr="00AE5356">
              <w:t xml:space="preserve">Finanšu tirgus politikas departamenta </w:t>
            </w:r>
          </w:p>
          <w:p w14:paraId="456F32E1" w14:textId="77777777" w:rsidR="009F1DBB" w:rsidRPr="00AE5356" w:rsidRDefault="009F1DBB" w:rsidP="00191FC8">
            <w:pPr>
              <w:pStyle w:val="naiskr"/>
              <w:spacing w:before="0" w:after="0"/>
            </w:pPr>
            <w:r w:rsidRPr="00AE5356">
              <w:t>Finanšu sektora pārvaldības nodaļas vadītāja vietniece</w:t>
            </w:r>
          </w:p>
          <w:p w14:paraId="55FFC95D" w14:textId="77777777" w:rsidR="009F1DBB" w:rsidRPr="00AE5356" w:rsidRDefault="009F1DBB" w:rsidP="00191FC8">
            <w:pPr>
              <w:pStyle w:val="naiskr"/>
              <w:spacing w:before="0" w:after="0"/>
            </w:pPr>
            <w:r w:rsidRPr="00AE5356">
              <w:lastRenderedPageBreak/>
              <w:t>Tālr. 67095535</w:t>
            </w:r>
          </w:p>
          <w:p w14:paraId="1A81F0B1" w14:textId="50DCD6A4" w:rsidR="009F1DBB" w:rsidRPr="003001E9" w:rsidRDefault="009F1DBB" w:rsidP="009F1DBB">
            <w:pPr>
              <w:pStyle w:val="naiskr"/>
              <w:spacing w:before="0" w:after="0"/>
            </w:pPr>
            <w:r w:rsidRPr="00AE5356">
              <w:t>e- pasts: Dina.Buse@fm.gov.lv</w:t>
            </w:r>
          </w:p>
        </w:tc>
      </w:tr>
    </w:tbl>
    <w:p w14:paraId="562F1EBC" w14:textId="13F0D0F0" w:rsidR="007116C7" w:rsidRPr="009F1DBB" w:rsidRDefault="007116C7" w:rsidP="009F1DBB">
      <w:pPr>
        <w:tabs>
          <w:tab w:val="left" w:pos="1212"/>
        </w:tabs>
      </w:pPr>
    </w:p>
    <w:sectPr w:rsidR="007116C7" w:rsidRPr="009F1DBB"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88A99" w14:textId="77777777" w:rsidR="0003142C" w:rsidRDefault="0003142C">
      <w:r>
        <w:separator/>
      </w:r>
    </w:p>
  </w:endnote>
  <w:endnote w:type="continuationSeparator" w:id="0">
    <w:p w14:paraId="25130323" w14:textId="77777777" w:rsidR="0003142C" w:rsidRDefault="0003142C">
      <w:r>
        <w:continuationSeparator/>
      </w:r>
    </w:p>
  </w:endnote>
  <w:endnote w:type="continuationNotice" w:id="1">
    <w:p w14:paraId="7E305CE1" w14:textId="77777777" w:rsidR="0003142C" w:rsidRDefault="00031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E72D" w14:textId="77777777" w:rsidR="0003142C" w:rsidRPr="005C01B4" w:rsidRDefault="0003142C" w:rsidP="005C01B4">
    <w:pPr>
      <w:pStyle w:val="naisf"/>
      <w:spacing w:before="0" w:after="0"/>
      <w:ind w:firstLine="0"/>
      <w:rPr>
        <w:sz w:val="20"/>
        <w:szCs w:val="20"/>
      </w:rPr>
    </w:pPr>
    <w:r w:rsidRPr="0048323E">
      <w:rPr>
        <w:sz w:val="20"/>
        <w:szCs w:val="20"/>
      </w:rPr>
      <w:t>FM</w:t>
    </w:r>
    <w:r>
      <w:rPr>
        <w:sz w:val="20"/>
        <w:szCs w:val="20"/>
      </w:rPr>
      <w:t>I</w:t>
    </w:r>
    <w:r w:rsidRPr="0048323E">
      <w:rPr>
        <w:sz w:val="20"/>
        <w:szCs w:val="20"/>
      </w:rPr>
      <w:t>zz_FSAP</w:t>
    </w:r>
  </w:p>
  <w:p w14:paraId="4BDB5498" w14:textId="77777777" w:rsidR="0003142C" w:rsidRPr="0048323E" w:rsidRDefault="0003142C" w:rsidP="005C01B4">
    <w:pPr>
      <w:pStyle w:val="Footer"/>
      <w:rPr>
        <w:sz w:val="20"/>
        <w:szCs w:val="20"/>
      </w:rPr>
    </w:pPr>
  </w:p>
  <w:p w14:paraId="2916C19D" w14:textId="77777777" w:rsidR="0003142C" w:rsidRPr="0048323E" w:rsidRDefault="0003142C" w:rsidP="0048323E">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3368F" w14:textId="77777777" w:rsidR="0003142C" w:rsidRPr="005C01B4" w:rsidRDefault="0003142C" w:rsidP="005C01B4">
    <w:pPr>
      <w:pStyle w:val="naisf"/>
      <w:spacing w:before="0" w:after="0"/>
      <w:ind w:firstLine="0"/>
      <w:rPr>
        <w:sz w:val="20"/>
        <w:szCs w:val="20"/>
      </w:rPr>
    </w:pPr>
    <w:r w:rsidRPr="0048323E">
      <w:rPr>
        <w:sz w:val="20"/>
        <w:szCs w:val="20"/>
      </w:rPr>
      <w:t>FM</w:t>
    </w:r>
    <w:r>
      <w:rPr>
        <w:sz w:val="20"/>
        <w:szCs w:val="20"/>
      </w:rPr>
      <w:t>I</w:t>
    </w:r>
    <w:r w:rsidRPr="0048323E">
      <w:rPr>
        <w:sz w:val="20"/>
        <w:szCs w:val="20"/>
      </w:rPr>
      <w:t>zz_FSAP</w:t>
    </w:r>
    <w:r>
      <w:rPr>
        <w:sz w:val="20"/>
        <w:szCs w:val="20"/>
      </w:rPr>
      <w:t xml:space="preserve"> </w:t>
    </w:r>
  </w:p>
  <w:p w14:paraId="07F023C8" w14:textId="77777777" w:rsidR="0003142C" w:rsidRPr="0048323E" w:rsidRDefault="0003142C" w:rsidP="00364BB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227FB" w14:textId="77777777" w:rsidR="0003142C" w:rsidRDefault="0003142C">
      <w:r>
        <w:separator/>
      </w:r>
    </w:p>
  </w:footnote>
  <w:footnote w:type="continuationSeparator" w:id="0">
    <w:p w14:paraId="26F07906" w14:textId="77777777" w:rsidR="0003142C" w:rsidRDefault="0003142C">
      <w:r>
        <w:continuationSeparator/>
      </w:r>
    </w:p>
  </w:footnote>
  <w:footnote w:type="continuationNotice" w:id="1">
    <w:p w14:paraId="59073CA6" w14:textId="77777777" w:rsidR="0003142C" w:rsidRDefault="0003142C"/>
  </w:footnote>
  <w:footnote w:id="2">
    <w:p w14:paraId="65477790" w14:textId="77777777" w:rsidR="0003142C" w:rsidRPr="00F63792" w:rsidRDefault="0003142C">
      <w:pPr>
        <w:pStyle w:val="FootnoteText"/>
        <w:rPr>
          <w:rFonts w:ascii="Book Antiqua" w:hAnsi="Book Antiqua"/>
        </w:rPr>
      </w:pPr>
      <w:r w:rsidRPr="00F63792">
        <w:rPr>
          <w:rStyle w:val="FootnoteReference"/>
          <w:rFonts w:ascii="Book Antiqua" w:hAnsi="Book Antiqua"/>
        </w:rPr>
        <w:footnoteRef/>
      </w:r>
      <w:r w:rsidRPr="007509B5">
        <w:rPr>
          <w:rFonts w:ascii="Book Antiqua" w:hAnsi="Book Antiqua"/>
        </w:rPr>
        <w:t xml:space="preserve"> Asociācijas 2020.gada 1.septembra vēstule Nr. 1-23/156_e “Par priekšlikumiem Finanšu sektora attīstības plānam 2021. – 2023.gadam”</w:t>
      </w:r>
    </w:p>
  </w:footnote>
  <w:footnote w:id="3">
    <w:p w14:paraId="013AD680" w14:textId="77777777" w:rsidR="0003142C" w:rsidRPr="006021BA" w:rsidRDefault="0003142C" w:rsidP="00704AD1">
      <w:pPr>
        <w:pStyle w:val="FootnoteText"/>
        <w:rPr>
          <w:rFonts w:ascii="Book Antiqua" w:hAnsi="Book Antiqua"/>
        </w:rPr>
      </w:pPr>
      <w:r w:rsidRPr="00CB575D">
        <w:rPr>
          <w:rStyle w:val="FootnoteReference"/>
          <w:rFonts w:ascii="Book Antiqua" w:hAnsi="Book Antiqua"/>
        </w:rPr>
        <w:footnoteRef/>
      </w:r>
      <w:r w:rsidRPr="00CB575D">
        <w:rPr>
          <w:rFonts w:ascii="Book Antiqua" w:hAnsi="Book Antiqua"/>
        </w:rPr>
        <w:t xml:space="preserve"> </w:t>
      </w:r>
      <w:hyperlink r:id="rId1" w:history="1">
        <w:r w:rsidRPr="00F63792">
          <w:rPr>
            <w:rStyle w:val="Hyperlink"/>
            <w:rFonts w:ascii="Book Antiqua" w:hAnsi="Book Antiqua"/>
          </w:rPr>
          <w:t>https://www.financelatvia.eu/wp-content/uploads/2020/08/Asociacija_kreditu_likmes_noteicosie_faktori.pdf</w:t>
        </w:r>
      </w:hyperlink>
      <w:r w:rsidRPr="00CB575D">
        <w:rPr>
          <w:rFonts w:ascii="Book Antiqua" w:hAnsi="Book Antiqua"/>
        </w:rPr>
        <w:t xml:space="preserve">  </w:t>
      </w:r>
    </w:p>
  </w:footnote>
  <w:footnote w:id="4">
    <w:p w14:paraId="69E28952" w14:textId="77777777" w:rsidR="0003142C" w:rsidRPr="00736041" w:rsidRDefault="0003142C" w:rsidP="00D53A59">
      <w:pPr>
        <w:pStyle w:val="FootnoteText"/>
      </w:pPr>
      <w:r w:rsidRPr="00736041">
        <w:rPr>
          <w:rStyle w:val="FootnoteReference"/>
        </w:rPr>
        <w:footnoteRef/>
      </w:r>
      <w:r w:rsidRPr="00736041">
        <w:t xml:space="preserve"> </w:t>
      </w:r>
      <w:r w:rsidRPr="0027322B">
        <w:rPr>
          <w:rFonts w:ascii="Times New Roman" w:hAnsi="Times New Roman"/>
          <w:color w:val="000000" w:themeColor="text1"/>
        </w:rPr>
        <w:t xml:space="preserve">skatīt: </w:t>
      </w:r>
      <w:hyperlink r:id="rId2" w:history="1">
        <w:r w:rsidRPr="0027322B">
          <w:rPr>
            <w:rStyle w:val="Hyperlink"/>
            <w:rFonts w:ascii="Times New Roman" w:eastAsia="Times New Roman" w:hAnsi="Times New Roman"/>
            <w:color w:val="000000" w:themeColor="text1"/>
          </w:rPr>
          <w:t>https://ec.europa.eu/info/sites/info/files/business_economy_euro/banking_and_finance/documents/200309-sustainable-finance-teg-final-report-taxonomy_en.pdf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03142C" w:rsidRDefault="0003142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EE48EE" w14:textId="77777777" w:rsidR="0003142C" w:rsidRDefault="00031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576311F1" w:rsidR="0003142C" w:rsidRDefault="0003142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0FB">
      <w:rPr>
        <w:rStyle w:val="PageNumber"/>
        <w:noProof/>
      </w:rPr>
      <w:t>84</w:t>
    </w:r>
    <w:r>
      <w:rPr>
        <w:rStyle w:val="PageNumber"/>
      </w:rPr>
      <w:fldChar w:fldCharType="end"/>
    </w:r>
  </w:p>
  <w:p w14:paraId="74869460" w14:textId="77777777" w:rsidR="0003142C" w:rsidRDefault="00031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 w15:restartNumberingAfterBreak="0">
    <w:nsid w:val="00C110FB"/>
    <w:multiLevelType w:val="hybridMultilevel"/>
    <w:tmpl w:val="27A4148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D43AEF"/>
    <w:multiLevelType w:val="hybridMultilevel"/>
    <w:tmpl w:val="58FE80C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054009F9"/>
    <w:multiLevelType w:val="hybridMultilevel"/>
    <w:tmpl w:val="28F6BADC"/>
    <w:lvl w:ilvl="0" w:tplc="67BCF81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E1872"/>
    <w:multiLevelType w:val="hybridMultilevel"/>
    <w:tmpl w:val="C89E06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E6090C"/>
    <w:multiLevelType w:val="multilevel"/>
    <w:tmpl w:val="98EE7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C8668A"/>
    <w:multiLevelType w:val="hybridMultilevel"/>
    <w:tmpl w:val="FC4EBE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BD04C5"/>
    <w:multiLevelType w:val="hybridMultilevel"/>
    <w:tmpl w:val="3FF05E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4603AD"/>
    <w:multiLevelType w:val="hybridMultilevel"/>
    <w:tmpl w:val="769E1190"/>
    <w:lvl w:ilvl="0" w:tplc="1F86C448">
      <w:start w:val="1"/>
      <w:numFmt w:val="bullet"/>
      <w:lvlText w:val=""/>
      <w:lvlJc w:val="left"/>
      <w:pPr>
        <w:ind w:left="720" w:hanging="360"/>
      </w:pPr>
      <w:rPr>
        <w:rFonts w:ascii="Symbol" w:hAnsi="Symbol" w:hint="default"/>
      </w:rPr>
    </w:lvl>
    <w:lvl w:ilvl="1" w:tplc="BAA6E57E">
      <w:start w:val="1"/>
      <w:numFmt w:val="bullet"/>
      <w:lvlText w:val="o"/>
      <w:lvlJc w:val="left"/>
      <w:pPr>
        <w:ind w:left="1440" w:hanging="360"/>
      </w:pPr>
      <w:rPr>
        <w:rFonts w:ascii="Courier New" w:hAnsi="Courier New" w:hint="default"/>
      </w:rPr>
    </w:lvl>
    <w:lvl w:ilvl="2" w:tplc="98D46D2E">
      <w:start w:val="1"/>
      <w:numFmt w:val="bullet"/>
      <w:lvlText w:val=""/>
      <w:lvlJc w:val="left"/>
      <w:pPr>
        <w:ind w:left="2160" w:hanging="360"/>
      </w:pPr>
      <w:rPr>
        <w:rFonts w:ascii="Wingdings" w:hAnsi="Wingdings" w:hint="default"/>
      </w:rPr>
    </w:lvl>
    <w:lvl w:ilvl="3" w:tplc="E18C39AA">
      <w:start w:val="1"/>
      <w:numFmt w:val="bullet"/>
      <w:lvlText w:val=""/>
      <w:lvlJc w:val="left"/>
      <w:pPr>
        <w:ind w:left="2880" w:hanging="360"/>
      </w:pPr>
      <w:rPr>
        <w:rFonts w:ascii="Symbol" w:hAnsi="Symbol" w:hint="default"/>
      </w:rPr>
    </w:lvl>
    <w:lvl w:ilvl="4" w:tplc="8FAEAFC8">
      <w:start w:val="1"/>
      <w:numFmt w:val="bullet"/>
      <w:lvlText w:val="o"/>
      <w:lvlJc w:val="left"/>
      <w:pPr>
        <w:ind w:left="3600" w:hanging="360"/>
      </w:pPr>
      <w:rPr>
        <w:rFonts w:ascii="Courier New" w:hAnsi="Courier New" w:hint="default"/>
      </w:rPr>
    </w:lvl>
    <w:lvl w:ilvl="5" w:tplc="14FEA96A">
      <w:start w:val="1"/>
      <w:numFmt w:val="bullet"/>
      <w:lvlText w:val=""/>
      <w:lvlJc w:val="left"/>
      <w:pPr>
        <w:ind w:left="4320" w:hanging="360"/>
      </w:pPr>
      <w:rPr>
        <w:rFonts w:ascii="Wingdings" w:hAnsi="Wingdings" w:hint="default"/>
      </w:rPr>
    </w:lvl>
    <w:lvl w:ilvl="6" w:tplc="D6A27C9A">
      <w:start w:val="1"/>
      <w:numFmt w:val="bullet"/>
      <w:lvlText w:val=""/>
      <w:lvlJc w:val="left"/>
      <w:pPr>
        <w:ind w:left="5040" w:hanging="360"/>
      </w:pPr>
      <w:rPr>
        <w:rFonts w:ascii="Symbol" w:hAnsi="Symbol" w:hint="default"/>
      </w:rPr>
    </w:lvl>
    <w:lvl w:ilvl="7" w:tplc="AFC0FCA4">
      <w:start w:val="1"/>
      <w:numFmt w:val="bullet"/>
      <w:lvlText w:val="o"/>
      <w:lvlJc w:val="left"/>
      <w:pPr>
        <w:ind w:left="5760" w:hanging="360"/>
      </w:pPr>
      <w:rPr>
        <w:rFonts w:ascii="Courier New" w:hAnsi="Courier New" w:hint="default"/>
      </w:rPr>
    </w:lvl>
    <w:lvl w:ilvl="8" w:tplc="DD10471E">
      <w:start w:val="1"/>
      <w:numFmt w:val="bullet"/>
      <w:lvlText w:val=""/>
      <w:lvlJc w:val="left"/>
      <w:pPr>
        <w:ind w:left="6480" w:hanging="360"/>
      </w:pPr>
      <w:rPr>
        <w:rFonts w:ascii="Wingdings" w:hAnsi="Wingdings" w:hint="default"/>
      </w:rPr>
    </w:lvl>
  </w:abstractNum>
  <w:abstractNum w:abstractNumId="9" w15:restartNumberingAfterBreak="0">
    <w:nsid w:val="477A6782"/>
    <w:multiLevelType w:val="hybridMultilevel"/>
    <w:tmpl w:val="279C05D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91F653B"/>
    <w:multiLevelType w:val="hybridMultilevel"/>
    <w:tmpl w:val="12268A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1D5CBF"/>
    <w:multiLevelType w:val="hybridMultilevel"/>
    <w:tmpl w:val="9BA0B480"/>
    <w:lvl w:ilvl="0" w:tplc="27DC6EBA">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193070E"/>
    <w:multiLevelType w:val="hybridMultilevel"/>
    <w:tmpl w:val="5CC8FE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00F3F57"/>
    <w:multiLevelType w:val="hybridMultilevel"/>
    <w:tmpl w:val="71FAFB82"/>
    <w:lvl w:ilvl="0" w:tplc="3050B31C">
      <w:start w:val="1"/>
      <w:numFmt w:val="decimal"/>
      <w:lvlText w:val="%1."/>
      <w:lvlJc w:val="left"/>
      <w:pPr>
        <w:ind w:left="720" w:hanging="360"/>
      </w:pPr>
    </w:lvl>
    <w:lvl w:ilvl="1" w:tplc="A9E8C224">
      <w:start w:val="1"/>
      <w:numFmt w:val="lowerLetter"/>
      <w:lvlText w:val="%2."/>
      <w:lvlJc w:val="left"/>
      <w:pPr>
        <w:ind w:left="1440" w:hanging="360"/>
      </w:pPr>
    </w:lvl>
    <w:lvl w:ilvl="2" w:tplc="6F0A44EC">
      <w:start w:val="1"/>
      <w:numFmt w:val="lowerRoman"/>
      <w:lvlText w:val="%3."/>
      <w:lvlJc w:val="right"/>
      <w:pPr>
        <w:ind w:left="2160" w:hanging="180"/>
      </w:pPr>
    </w:lvl>
    <w:lvl w:ilvl="3" w:tplc="93745328">
      <w:start w:val="1"/>
      <w:numFmt w:val="decimal"/>
      <w:lvlText w:val="%4."/>
      <w:lvlJc w:val="left"/>
      <w:pPr>
        <w:ind w:left="2880" w:hanging="360"/>
      </w:pPr>
    </w:lvl>
    <w:lvl w:ilvl="4" w:tplc="90ACBFF6">
      <w:start w:val="1"/>
      <w:numFmt w:val="lowerLetter"/>
      <w:lvlText w:val="%5."/>
      <w:lvlJc w:val="left"/>
      <w:pPr>
        <w:ind w:left="3600" w:hanging="360"/>
      </w:pPr>
    </w:lvl>
    <w:lvl w:ilvl="5" w:tplc="B874DA12">
      <w:start w:val="1"/>
      <w:numFmt w:val="lowerRoman"/>
      <w:lvlText w:val="%6."/>
      <w:lvlJc w:val="right"/>
      <w:pPr>
        <w:ind w:left="4320" w:hanging="180"/>
      </w:pPr>
    </w:lvl>
    <w:lvl w:ilvl="6" w:tplc="A89C187E">
      <w:start w:val="1"/>
      <w:numFmt w:val="decimal"/>
      <w:lvlText w:val="%7."/>
      <w:lvlJc w:val="left"/>
      <w:pPr>
        <w:ind w:left="5040" w:hanging="360"/>
      </w:pPr>
    </w:lvl>
    <w:lvl w:ilvl="7" w:tplc="E03E3F90">
      <w:start w:val="1"/>
      <w:numFmt w:val="lowerLetter"/>
      <w:lvlText w:val="%8."/>
      <w:lvlJc w:val="left"/>
      <w:pPr>
        <w:ind w:left="5760" w:hanging="360"/>
      </w:pPr>
    </w:lvl>
    <w:lvl w:ilvl="8" w:tplc="0506F4BC">
      <w:start w:val="1"/>
      <w:numFmt w:val="lowerRoman"/>
      <w:lvlText w:val="%9."/>
      <w:lvlJc w:val="right"/>
      <w:pPr>
        <w:ind w:left="6480" w:hanging="180"/>
      </w:pPr>
    </w:lvl>
  </w:abstractNum>
  <w:abstractNum w:abstractNumId="17" w15:restartNumberingAfterBreak="0">
    <w:nsid w:val="797C593E"/>
    <w:multiLevelType w:val="hybridMultilevel"/>
    <w:tmpl w:val="B510D8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A8080A"/>
    <w:multiLevelType w:val="multilevel"/>
    <w:tmpl w:val="3FC00D1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9" w15:restartNumberingAfterBreak="0">
    <w:nsid w:val="7D10278F"/>
    <w:multiLevelType w:val="hybridMultilevel"/>
    <w:tmpl w:val="DB46BDCE"/>
    <w:lvl w:ilvl="0" w:tplc="56E294FA">
      <w:start w:val="1"/>
      <w:numFmt w:val="bullet"/>
      <w:lvlText w:val=""/>
      <w:lvlJc w:val="left"/>
      <w:pPr>
        <w:tabs>
          <w:tab w:val="num" w:pos="720"/>
        </w:tabs>
        <w:ind w:left="720" w:hanging="360"/>
      </w:pPr>
      <w:rPr>
        <w:rFonts w:ascii="Symbol" w:hAnsi="Symbol" w:hint="default"/>
        <w:sz w:val="20"/>
      </w:rPr>
    </w:lvl>
    <w:lvl w:ilvl="1" w:tplc="A60E0D3C" w:tentative="1">
      <w:start w:val="1"/>
      <w:numFmt w:val="bullet"/>
      <w:lvlText w:val="o"/>
      <w:lvlJc w:val="left"/>
      <w:pPr>
        <w:tabs>
          <w:tab w:val="num" w:pos="1440"/>
        </w:tabs>
        <w:ind w:left="1440" w:hanging="360"/>
      </w:pPr>
      <w:rPr>
        <w:rFonts w:ascii="Courier New" w:hAnsi="Courier New" w:hint="default"/>
        <w:sz w:val="20"/>
      </w:rPr>
    </w:lvl>
    <w:lvl w:ilvl="2" w:tplc="2DF6A9CA" w:tentative="1">
      <w:start w:val="1"/>
      <w:numFmt w:val="bullet"/>
      <w:lvlText w:val=""/>
      <w:lvlJc w:val="left"/>
      <w:pPr>
        <w:tabs>
          <w:tab w:val="num" w:pos="2160"/>
        </w:tabs>
        <w:ind w:left="2160" w:hanging="360"/>
      </w:pPr>
      <w:rPr>
        <w:rFonts w:ascii="Wingdings" w:hAnsi="Wingdings" w:hint="default"/>
        <w:sz w:val="20"/>
      </w:rPr>
    </w:lvl>
    <w:lvl w:ilvl="3" w:tplc="3846528C" w:tentative="1">
      <w:start w:val="1"/>
      <w:numFmt w:val="bullet"/>
      <w:lvlText w:val=""/>
      <w:lvlJc w:val="left"/>
      <w:pPr>
        <w:tabs>
          <w:tab w:val="num" w:pos="2880"/>
        </w:tabs>
        <w:ind w:left="2880" w:hanging="360"/>
      </w:pPr>
      <w:rPr>
        <w:rFonts w:ascii="Wingdings" w:hAnsi="Wingdings" w:hint="default"/>
        <w:sz w:val="20"/>
      </w:rPr>
    </w:lvl>
    <w:lvl w:ilvl="4" w:tplc="34F4C856" w:tentative="1">
      <w:start w:val="1"/>
      <w:numFmt w:val="bullet"/>
      <w:lvlText w:val=""/>
      <w:lvlJc w:val="left"/>
      <w:pPr>
        <w:tabs>
          <w:tab w:val="num" w:pos="3600"/>
        </w:tabs>
        <w:ind w:left="3600" w:hanging="360"/>
      </w:pPr>
      <w:rPr>
        <w:rFonts w:ascii="Wingdings" w:hAnsi="Wingdings" w:hint="default"/>
        <w:sz w:val="20"/>
      </w:rPr>
    </w:lvl>
    <w:lvl w:ilvl="5" w:tplc="2B8265C2" w:tentative="1">
      <w:start w:val="1"/>
      <w:numFmt w:val="bullet"/>
      <w:lvlText w:val=""/>
      <w:lvlJc w:val="left"/>
      <w:pPr>
        <w:tabs>
          <w:tab w:val="num" w:pos="4320"/>
        </w:tabs>
        <w:ind w:left="4320" w:hanging="360"/>
      </w:pPr>
      <w:rPr>
        <w:rFonts w:ascii="Wingdings" w:hAnsi="Wingdings" w:hint="default"/>
        <w:sz w:val="20"/>
      </w:rPr>
    </w:lvl>
    <w:lvl w:ilvl="6" w:tplc="3948E716" w:tentative="1">
      <w:start w:val="1"/>
      <w:numFmt w:val="bullet"/>
      <w:lvlText w:val=""/>
      <w:lvlJc w:val="left"/>
      <w:pPr>
        <w:tabs>
          <w:tab w:val="num" w:pos="5040"/>
        </w:tabs>
        <w:ind w:left="5040" w:hanging="360"/>
      </w:pPr>
      <w:rPr>
        <w:rFonts w:ascii="Wingdings" w:hAnsi="Wingdings" w:hint="default"/>
        <w:sz w:val="20"/>
      </w:rPr>
    </w:lvl>
    <w:lvl w:ilvl="7" w:tplc="F1808060" w:tentative="1">
      <w:start w:val="1"/>
      <w:numFmt w:val="bullet"/>
      <w:lvlText w:val=""/>
      <w:lvlJc w:val="left"/>
      <w:pPr>
        <w:tabs>
          <w:tab w:val="num" w:pos="5760"/>
        </w:tabs>
        <w:ind w:left="5760" w:hanging="360"/>
      </w:pPr>
      <w:rPr>
        <w:rFonts w:ascii="Wingdings" w:hAnsi="Wingdings" w:hint="default"/>
        <w:sz w:val="20"/>
      </w:rPr>
    </w:lvl>
    <w:lvl w:ilvl="8" w:tplc="645ECE7C"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9"/>
  </w:num>
  <w:num w:numId="4">
    <w:abstractNumId w:val="18"/>
  </w:num>
  <w:num w:numId="5">
    <w:abstractNumId w:val="15"/>
  </w:num>
  <w:num w:numId="6">
    <w:abstractNumId w:val="13"/>
  </w:num>
  <w:num w:numId="7">
    <w:abstractNumId w:val="11"/>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0"/>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9"/>
  </w:num>
  <w:num w:numId="18">
    <w:abstractNumId w:val="17"/>
  </w:num>
  <w:num w:numId="19">
    <w:abstractNumId w:val="6"/>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3E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080D"/>
    <w:rsid w:val="00020ACF"/>
    <w:rsid w:val="00020CAD"/>
    <w:rsid w:val="0002120B"/>
    <w:rsid w:val="00022338"/>
    <w:rsid w:val="0002296A"/>
    <w:rsid w:val="00022B0F"/>
    <w:rsid w:val="00022B9A"/>
    <w:rsid w:val="00023FD6"/>
    <w:rsid w:val="0002416A"/>
    <w:rsid w:val="00024CCD"/>
    <w:rsid w:val="00024D20"/>
    <w:rsid w:val="000252CD"/>
    <w:rsid w:val="000253DB"/>
    <w:rsid w:val="00025F0C"/>
    <w:rsid w:val="000278E7"/>
    <w:rsid w:val="00027A63"/>
    <w:rsid w:val="00027F9D"/>
    <w:rsid w:val="000307B5"/>
    <w:rsid w:val="0003142C"/>
    <w:rsid w:val="00032457"/>
    <w:rsid w:val="0003413A"/>
    <w:rsid w:val="000349CA"/>
    <w:rsid w:val="0003557A"/>
    <w:rsid w:val="00035C06"/>
    <w:rsid w:val="000366DF"/>
    <w:rsid w:val="00036F1B"/>
    <w:rsid w:val="000376CD"/>
    <w:rsid w:val="00040A5C"/>
    <w:rsid w:val="00043005"/>
    <w:rsid w:val="0004345F"/>
    <w:rsid w:val="00044026"/>
    <w:rsid w:val="00045214"/>
    <w:rsid w:val="00045586"/>
    <w:rsid w:val="00046075"/>
    <w:rsid w:val="00046CAD"/>
    <w:rsid w:val="00046F5C"/>
    <w:rsid w:val="00047385"/>
    <w:rsid w:val="00047D7F"/>
    <w:rsid w:val="00050554"/>
    <w:rsid w:val="0005362C"/>
    <w:rsid w:val="00053706"/>
    <w:rsid w:val="00053E04"/>
    <w:rsid w:val="00054D47"/>
    <w:rsid w:val="000579E6"/>
    <w:rsid w:val="00060E03"/>
    <w:rsid w:val="000631F4"/>
    <w:rsid w:val="00063671"/>
    <w:rsid w:val="000641CE"/>
    <w:rsid w:val="000650DC"/>
    <w:rsid w:val="00065271"/>
    <w:rsid w:val="00065669"/>
    <w:rsid w:val="00066176"/>
    <w:rsid w:val="0006618D"/>
    <w:rsid w:val="00066885"/>
    <w:rsid w:val="0006694E"/>
    <w:rsid w:val="00066A37"/>
    <w:rsid w:val="00066F05"/>
    <w:rsid w:val="000700EB"/>
    <w:rsid w:val="00070648"/>
    <w:rsid w:val="00072628"/>
    <w:rsid w:val="000728ED"/>
    <w:rsid w:val="00072B9A"/>
    <w:rsid w:val="000733F5"/>
    <w:rsid w:val="000733FF"/>
    <w:rsid w:val="0007577A"/>
    <w:rsid w:val="0007613A"/>
    <w:rsid w:val="000775D0"/>
    <w:rsid w:val="00081B0F"/>
    <w:rsid w:val="0008283D"/>
    <w:rsid w:val="000829A5"/>
    <w:rsid w:val="00083090"/>
    <w:rsid w:val="00083214"/>
    <w:rsid w:val="00083AAA"/>
    <w:rsid w:val="00083B8F"/>
    <w:rsid w:val="00084B11"/>
    <w:rsid w:val="00085322"/>
    <w:rsid w:val="0008656F"/>
    <w:rsid w:val="00086AB9"/>
    <w:rsid w:val="00086BCE"/>
    <w:rsid w:val="00086ED5"/>
    <w:rsid w:val="00086F36"/>
    <w:rsid w:val="00090168"/>
    <w:rsid w:val="00090C76"/>
    <w:rsid w:val="00091033"/>
    <w:rsid w:val="000910EC"/>
    <w:rsid w:val="000912C5"/>
    <w:rsid w:val="00091B80"/>
    <w:rsid w:val="00091F10"/>
    <w:rsid w:val="0009302B"/>
    <w:rsid w:val="00093EC2"/>
    <w:rsid w:val="00094B91"/>
    <w:rsid w:val="000958A2"/>
    <w:rsid w:val="000965E7"/>
    <w:rsid w:val="000A0041"/>
    <w:rsid w:val="000A06FC"/>
    <w:rsid w:val="000A0D30"/>
    <w:rsid w:val="000A1A02"/>
    <w:rsid w:val="000A4035"/>
    <w:rsid w:val="000A41E8"/>
    <w:rsid w:val="000A483A"/>
    <w:rsid w:val="000A55D2"/>
    <w:rsid w:val="000A5820"/>
    <w:rsid w:val="000A64D3"/>
    <w:rsid w:val="000A77B9"/>
    <w:rsid w:val="000A7EA7"/>
    <w:rsid w:val="000B0403"/>
    <w:rsid w:val="000B057B"/>
    <w:rsid w:val="000B06E7"/>
    <w:rsid w:val="000B0C94"/>
    <w:rsid w:val="000B15E5"/>
    <w:rsid w:val="000B2382"/>
    <w:rsid w:val="000B2779"/>
    <w:rsid w:val="000B3171"/>
    <w:rsid w:val="000B34A5"/>
    <w:rsid w:val="000B3ACD"/>
    <w:rsid w:val="000B3CDA"/>
    <w:rsid w:val="000B4746"/>
    <w:rsid w:val="000B4BD2"/>
    <w:rsid w:val="000B4F0C"/>
    <w:rsid w:val="000B7966"/>
    <w:rsid w:val="000B7CB1"/>
    <w:rsid w:val="000C0AE6"/>
    <w:rsid w:val="000C0D0D"/>
    <w:rsid w:val="000C2555"/>
    <w:rsid w:val="000C3545"/>
    <w:rsid w:val="000C48B0"/>
    <w:rsid w:val="000C498A"/>
    <w:rsid w:val="000C4C16"/>
    <w:rsid w:val="000C4C7D"/>
    <w:rsid w:val="000C56FC"/>
    <w:rsid w:val="000C59D7"/>
    <w:rsid w:val="000C7907"/>
    <w:rsid w:val="000C7A11"/>
    <w:rsid w:val="000C7F5E"/>
    <w:rsid w:val="000D00AC"/>
    <w:rsid w:val="000D0AED"/>
    <w:rsid w:val="000D3189"/>
    <w:rsid w:val="000D3602"/>
    <w:rsid w:val="000D4D89"/>
    <w:rsid w:val="000D533E"/>
    <w:rsid w:val="000D66DF"/>
    <w:rsid w:val="000D6BBD"/>
    <w:rsid w:val="000D7751"/>
    <w:rsid w:val="000D7C23"/>
    <w:rsid w:val="000E0A16"/>
    <w:rsid w:val="000E1BFA"/>
    <w:rsid w:val="000E2142"/>
    <w:rsid w:val="000E21D0"/>
    <w:rsid w:val="000E2A38"/>
    <w:rsid w:val="000E2ACC"/>
    <w:rsid w:val="000E4309"/>
    <w:rsid w:val="000E471B"/>
    <w:rsid w:val="000E4DA3"/>
    <w:rsid w:val="000E5509"/>
    <w:rsid w:val="000E585F"/>
    <w:rsid w:val="000E5C05"/>
    <w:rsid w:val="000E66F8"/>
    <w:rsid w:val="000E70CD"/>
    <w:rsid w:val="000E7687"/>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0F7FEA"/>
    <w:rsid w:val="00100B33"/>
    <w:rsid w:val="001012E3"/>
    <w:rsid w:val="00101EEB"/>
    <w:rsid w:val="001030F8"/>
    <w:rsid w:val="0010375A"/>
    <w:rsid w:val="001038ED"/>
    <w:rsid w:val="001042B0"/>
    <w:rsid w:val="00106F4F"/>
    <w:rsid w:val="001071D3"/>
    <w:rsid w:val="001075A8"/>
    <w:rsid w:val="00110259"/>
    <w:rsid w:val="001107EC"/>
    <w:rsid w:val="00110AA9"/>
    <w:rsid w:val="00111FC3"/>
    <w:rsid w:val="0011254D"/>
    <w:rsid w:val="001139C2"/>
    <w:rsid w:val="00114559"/>
    <w:rsid w:val="00114EA9"/>
    <w:rsid w:val="00115ED0"/>
    <w:rsid w:val="00116804"/>
    <w:rsid w:val="0011683C"/>
    <w:rsid w:val="001179E8"/>
    <w:rsid w:val="0012021B"/>
    <w:rsid w:val="0012222D"/>
    <w:rsid w:val="001255E6"/>
    <w:rsid w:val="0013053A"/>
    <w:rsid w:val="0013066A"/>
    <w:rsid w:val="001315EF"/>
    <w:rsid w:val="001317AB"/>
    <w:rsid w:val="00131F39"/>
    <w:rsid w:val="00132375"/>
    <w:rsid w:val="00132E73"/>
    <w:rsid w:val="00133505"/>
    <w:rsid w:val="0013364C"/>
    <w:rsid w:val="00134188"/>
    <w:rsid w:val="00137403"/>
    <w:rsid w:val="00140706"/>
    <w:rsid w:val="00140BF9"/>
    <w:rsid w:val="0014122A"/>
    <w:rsid w:val="00141E85"/>
    <w:rsid w:val="0014319C"/>
    <w:rsid w:val="001436B3"/>
    <w:rsid w:val="00143976"/>
    <w:rsid w:val="00143AA4"/>
    <w:rsid w:val="00143DAC"/>
    <w:rsid w:val="00144622"/>
    <w:rsid w:val="00144781"/>
    <w:rsid w:val="00144917"/>
    <w:rsid w:val="001465D1"/>
    <w:rsid w:val="0014702D"/>
    <w:rsid w:val="00147596"/>
    <w:rsid w:val="001506A6"/>
    <w:rsid w:val="00152718"/>
    <w:rsid w:val="00152F6E"/>
    <w:rsid w:val="001530CF"/>
    <w:rsid w:val="00153607"/>
    <w:rsid w:val="00153F12"/>
    <w:rsid w:val="001543DB"/>
    <w:rsid w:val="00155473"/>
    <w:rsid w:val="00155DC2"/>
    <w:rsid w:val="00156D90"/>
    <w:rsid w:val="00156E9F"/>
    <w:rsid w:val="00157320"/>
    <w:rsid w:val="00157A57"/>
    <w:rsid w:val="00157CFC"/>
    <w:rsid w:val="00157DB6"/>
    <w:rsid w:val="00157EC2"/>
    <w:rsid w:val="00162A68"/>
    <w:rsid w:val="00162E08"/>
    <w:rsid w:val="001633F1"/>
    <w:rsid w:val="0016531E"/>
    <w:rsid w:val="0016565C"/>
    <w:rsid w:val="00166314"/>
    <w:rsid w:val="00166746"/>
    <w:rsid w:val="001670CD"/>
    <w:rsid w:val="00167590"/>
    <w:rsid w:val="00167918"/>
    <w:rsid w:val="00167C1E"/>
    <w:rsid w:val="0017043B"/>
    <w:rsid w:val="001706A1"/>
    <w:rsid w:val="00170914"/>
    <w:rsid w:val="00170DF2"/>
    <w:rsid w:val="001721A2"/>
    <w:rsid w:val="00174841"/>
    <w:rsid w:val="001761FD"/>
    <w:rsid w:val="00177D61"/>
    <w:rsid w:val="00180125"/>
    <w:rsid w:val="00180248"/>
    <w:rsid w:val="001808CA"/>
    <w:rsid w:val="00180923"/>
    <w:rsid w:val="00180CE5"/>
    <w:rsid w:val="00181BAA"/>
    <w:rsid w:val="00181D2D"/>
    <w:rsid w:val="0018210A"/>
    <w:rsid w:val="00182DE0"/>
    <w:rsid w:val="0018386C"/>
    <w:rsid w:val="001842B3"/>
    <w:rsid w:val="00184479"/>
    <w:rsid w:val="0018472C"/>
    <w:rsid w:val="00184838"/>
    <w:rsid w:val="00185755"/>
    <w:rsid w:val="00187398"/>
    <w:rsid w:val="00187F73"/>
    <w:rsid w:val="00187FB0"/>
    <w:rsid w:val="001902E9"/>
    <w:rsid w:val="00190327"/>
    <w:rsid w:val="00190A0A"/>
    <w:rsid w:val="0019174A"/>
    <w:rsid w:val="00191FC8"/>
    <w:rsid w:val="001926F2"/>
    <w:rsid w:val="00193BCE"/>
    <w:rsid w:val="00194B87"/>
    <w:rsid w:val="0019569A"/>
    <w:rsid w:val="00195962"/>
    <w:rsid w:val="00197533"/>
    <w:rsid w:val="001977E7"/>
    <w:rsid w:val="001978DF"/>
    <w:rsid w:val="00197CCA"/>
    <w:rsid w:val="001A0D8A"/>
    <w:rsid w:val="001A192D"/>
    <w:rsid w:val="001A2676"/>
    <w:rsid w:val="001A7C72"/>
    <w:rsid w:val="001B084B"/>
    <w:rsid w:val="001B0CEC"/>
    <w:rsid w:val="001B0FFC"/>
    <w:rsid w:val="001B1CF2"/>
    <w:rsid w:val="001B30DE"/>
    <w:rsid w:val="001B3918"/>
    <w:rsid w:val="001B4388"/>
    <w:rsid w:val="001B463E"/>
    <w:rsid w:val="001B49E0"/>
    <w:rsid w:val="001B5377"/>
    <w:rsid w:val="001B6553"/>
    <w:rsid w:val="001B6647"/>
    <w:rsid w:val="001B6A47"/>
    <w:rsid w:val="001B6B0A"/>
    <w:rsid w:val="001B6C3C"/>
    <w:rsid w:val="001C0824"/>
    <w:rsid w:val="001C0889"/>
    <w:rsid w:val="001C0B83"/>
    <w:rsid w:val="001C1510"/>
    <w:rsid w:val="001C1989"/>
    <w:rsid w:val="001C1AAD"/>
    <w:rsid w:val="001C28FD"/>
    <w:rsid w:val="001C3349"/>
    <w:rsid w:val="001C4ABA"/>
    <w:rsid w:val="001C546B"/>
    <w:rsid w:val="001C5EA2"/>
    <w:rsid w:val="001C6386"/>
    <w:rsid w:val="001C6608"/>
    <w:rsid w:val="001C67E8"/>
    <w:rsid w:val="001C6C7D"/>
    <w:rsid w:val="001C7D36"/>
    <w:rsid w:val="001D1CB1"/>
    <w:rsid w:val="001D2AC0"/>
    <w:rsid w:val="001D2DBA"/>
    <w:rsid w:val="001D2FD0"/>
    <w:rsid w:val="001D3573"/>
    <w:rsid w:val="001D3830"/>
    <w:rsid w:val="001D3BA6"/>
    <w:rsid w:val="001D47A0"/>
    <w:rsid w:val="001D5564"/>
    <w:rsid w:val="001D6FAA"/>
    <w:rsid w:val="001D70FA"/>
    <w:rsid w:val="001D7BA9"/>
    <w:rsid w:val="001E039D"/>
    <w:rsid w:val="001E22E7"/>
    <w:rsid w:val="001E2714"/>
    <w:rsid w:val="001E398C"/>
    <w:rsid w:val="001E3DF6"/>
    <w:rsid w:val="001E4456"/>
    <w:rsid w:val="001E4DDC"/>
    <w:rsid w:val="001E55D0"/>
    <w:rsid w:val="001E6824"/>
    <w:rsid w:val="001E7087"/>
    <w:rsid w:val="001E774F"/>
    <w:rsid w:val="001E7C1D"/>
    <w:rsid w:val="001F073F"/>
    <w:rsid w:val="001F0ABC"/>
    <w:rsid w:val="001F3009"/>
    <w:rsid w:val="001F3358"/>
    <w:rsid w:val="001F35CB"/>
    <w:rsid w:val="001F390F"/>
    <w:rsid w:val="001F5CD1"/>
    <w:rsid w:val="001F7257"/>
    <w:rsid w:val="001F7739"/>
    <w:rsid w:val="0020011B"/>
    <w:rsid w:val="00200CF4"/>
    <w:rsid w:val="00200E98"/>
    <w:rsid w:val="0020187E"/>
    <w:rsid w:val="002018ED"/>
    <w:rsid w:val="00201DC6"/>
    <w:rsid w:val="00202375"/>
    <w:rsid w:val="002025EA"/>
    <w:rsid w:val="00202884"/>
    <w:rsid w:val="00202E44"/>
    <w:rsid w:val="00203556"/>
    <w:rsid w:val="00204D0F"/>
    <w:rsid w:val="00204DB6"/>
    <w:rsid w:val="002056ED"/>
    <w:rsid w:val="00205C3A"/>
    <w:rsid w:val="00206255"/>
    <w:rsid w:val="00207540"/>
    <w:rsid w:val="00207D2D"/>
    <w:rsid w:val="00211793"/>
    <w:rsid w:val="00211C11"/>
    <w:rsid w:val="00211CCF"/>
    <w:rsid w:val="00212345"/>
    <w:rsid w:val="00213739"/>
    <w:rsid w:val="00214809"/>
    <w:rsid w:val="002149A1"/>
    <w:rsid w:val="00214E7A"/>
    <w:rsid w:val="00215251"/>
    <w:rsid w:val="00215BFE"/>
    <w:rsid w:val="00215C44"/>
    <w:rsid w:val="00215EF7"/>
    <w:rsid w:val="00216E73"/>
    <w:rsid w:val="0021774C"/>
    <w:rsid w:val="00217FF6"/>
    <w:rsid w:val="0022134F"/>
    <w:rsid w:val="002219C3"/>
    <w:rsid w:val="00221C4C"/>
    <w:rsid w:val="00222386"/>
    <w:rsid w:val="002225E9"/>
    <w:rsid w:val="00222F51"/>
    <w:rsid w:val="002230E1"/>
    <w:rsid w:val="00223361"/>
    <w:rsid w:val="002244BA"/>
    <w:rsid w:val="002247AA"/>
    <w:rsid w:val="00224B3D"/>
    <w:rsid w:val="00224DA7"/>
    <w:rsid w:val="002261CB"/>
    <w:rsid w:val="002267C7"/>
    <w:rsid w:val="002268BF"/>
    <w:rsid w:val="00227BDE"/>
    <w:rsid w:val="00230045"/>
    <w:rsid w:val="0023014E"/>
    <w:rsid w:val="002308FA"/>
    <w:rsid w:val="0023132F"/>
    <w:rsid w:val="00231AA5"/>
    <w:rsid w:val="002329B3"/>
    <w:rsid w:val="00232F90"/>
    <w:rsid w:val="0023339B"/>
    <w:rsid w:val="00234281"/>
    <w:rsid w:val="0023469C"/>
    <w:rsid w:val="00234C71"/>
    <w:rsid w:val="00235511"/>
    <w:rsid w:val="002366E0"/>
    <w:rsid w:val="00236DE1"/>
    <w:rsid w:val="002372EE"/>
    <w:rsid w:val="002372FD"/>
    <w:rsid w:val="0023764D"/>
    <w:rsid w:val="00240E95"/>
    <w:rsid w:val="002415BC"/>
    <w:rsid w:val="00242229"/>
    <w:rsid w:val="002434B2"/>
    <w:rsid w:val="002442F4"/>
    <w:rsid w:val="002445EA"/>
    <w:rsid w:val="00244ECE"/>
    <w:rsid w:val="00244FC5"/>
    <w:rsid w:val="00245D1D"/>
    <w:rsid w:val="00250EDA"/>
    <w:rsid w:val="00251502"/>
    <w:rsid w:val="002518E8"/>
    <w:rsid w:val="00251C10"/>
    <w:rsid w:val="00252661"/>
    <w:rsid w:val="00252E1E"/>
    <w:rsid w:val="002538BA"/>
    <w:rsid w:val="00253DBE"/>
    <w:rsid w:val="0025469D"/>
    <w:rsid w:val="002552B1"/>
    <w:rsid w:val="00255D01"/>
    <w:rsid w:val="00256E55"/>
    <w:rsid w:val="00257E0E"/>
    <w:rsid w:val="00257FF4"/>
    <w:rsid w:val="00260FCB"/>
    <w:rsid w:val="002615F5"/>
    <w:rsid w:val="002616B9"/>
    <w:rsid w:val="0026217B"/>
    <w:rsid w:val="002629E4"/>
    <w:rsid w:val="00263760"/>
    <w:rsid w:val="00263FE3"/>
    <w:rsid w:val="00265593"/>
    <w:rsid w:val="0026628F"/>
    <w:rsid w:val="00266911"/>
    <w:rsid w:val="002675EA"/>
    <w:rsid w:val="00267BC5"/>
    <w:rsid w:val="00267CBE"/>
    <w:rsid w:val="00267E0B"/>
    <w:rsid w:val="00270680"/>
    <w:rsid w:val="00270E1D"/>
    <w:rsid w:val="00271103"/>
    <w:rsid w:val="002719AD"/>
    <w:rsid w:val="002721FA"/>
    <w:rsid w:val="0027224C"/>
    <w:rsid w:val="0027230C"/>
    <w:rsid w:val="00272B99"/>
    <w:rsid w:val="00273108"/>
    <w:rsid w:val="0027380D"/>
    <w:rsid w:val="00273E7A"/>
    <w:rsid w:val="0027468E"/>
    <w:rsid w:val="00274826"/>
    <w:rsid w:val="00274964"/>
    <w:rsid w:val="00275005"/>
    <w:rsid w:val="002752AB"/>
    <w:rsid w:val="002756D6"/>
    <w:rsid w:val="0027573C"/>
    <w:rsid w:val="00276BBF"/>
    <w:rsid w:val="002815D0"/>
    <w:rsid w:val="002820A7"/>
    <w:rsid w:val="00282ABB"/>
    <w:rsid w:val="00283B82"/>
    <w:rsid w:val="00283E13"/>
    <w:rsid w:val="00286478"/>
    <w:rsid w:val="00287EDD"/>
    <w:rsid w:val="0029141B"/>
    <w:rsid w:val="002927D3"/>
    <w:rsid w:val="00292B79"/>
    <w:rsid w:val="00294BDE"/>
    <w:rsid w:val="002958C2"/>
    <w:rsid w:val="00295C55"/>
    <w:rsid w:val="00295DB6"/>
    <w:rsid w:val="00296D06"/>
    <w:rsid w:val="0029788B"/>
    <w:rsid w:val="00297D1B"/>
    <w:rsid w:val="00297F4D"/>
    <w:rsid w:val="002A0226"/>
    <w:rsid w:val="002A0661"/>
    <w:rsid w:val="002A1453"/>
    <w:rsid w:val="002A1CF2"/>
    <w:rsid w:val="002A2A1E"/>
    <w:rsid w:val="002A2ED0"/>
    <w:rsid w:val="002A3A84"/>
    <w:rsid w:val="002A40A9"/>
    <w:rsid w:val="002A48EF"/>
    <w:rsid w:val="002A4C3E"/>
    <w:rsid w:val="002A5390"/>
    <w:rsid w:val="002A56BC"/>
    <w:rsid w:val="002A5C53"/>
    <w:rsid w:val="002A6AD6"/>
    <w:rsid w:val="002A72CC"/>
    <w:rsid w:val="002A7625"/>
    <w:rsid w:val="002A76AB"/>
    <w:rsid w:val="002A7A4F"/>
    <w:rsid w:val="002A7AFE"/>
    <w:rsid w:val="002B01DB"/>
    <w:rsid w:val="002B09C0"/>
    <w:rsid w:val="002B0C88"/>
    <w:rsid w:val="002B13B3"/>
    <w:rsid w:val="002B183D"/>
    <w:rsid w:val="002B1D11"/>
    <w:rsid w:val="002B1DBF"/>
    <w:rsid w:val="002B207F"/>
    <w:rsid w:val="002B2A48"/>
    <w:rsid w:val="002B2BEE"/>
    <w:rsid w:val="002B31AD"/>
    <w:rsid w:val="002B3638"/>
    <w:rsid w:val="002B3EA7"/>
    <w:rsid w:val="002B4BAE"/>
    <w:rsid w:val="002B538B"/>
    <w:rsid w:val="002B581B"/>
    <w:rsid w:val="002B64E8"/>
    <w:rsid w:val="002C2892"/>
    <w:rsid w:val="002C4967"/>
    <w:rsid w:val="002C58AB"/>
    <w:rsid w:val="002C6D84"/>
    <w:rsid w:val="002C7D21"/>
    <w:rsid w:val="002D1564"/>
    <w:rsid w:val="002D1C02"/>
    <w:rsid w:val="002D1CA4"/>
    <w:rsid w:val="002D2C09"/>
    <w:rsid w:val="002D2C45"/>
    <w:rsid w:val="002D4969"/>
    <w:rsid w:val="002D4EE1"/>
    <w:rsid w:val="002D4F49"/>
    <w:rsid w:val="002D6C70"/>
    <w:rsid w:val="002D778E"/>
    <w:rsid w:val="002E04D7"/>
    <w:rsid w:val="002E06DD"/>
    <w:rsid w:val="002E0BE7"/>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A42"/>
    <w:rsid w:val="002F3D1C"/>
    <w:rsid w:val="002F4EA1"/>
    <w:rsid w:val="002F52DE"/>
    <w:rsid w:val="002F55C1"/>
    <w:rsid w:val="002F797A"/>
    <w:rsid w:val="003001E9"/>
    <w:rsid w:val="00300483"/>
    <w:rsid w:val="0030144F"/>
    <w:rsid w:val="00301C91"/>
    <w:rsid w:val="00302C5E"/>
    <w:rsid w:val="00303F2B"/>
    <w:rsid w:val="00304607"/>
    <w:rsid w:val="0030467A"/>
    <w:rsid w:val="00304D4E"/>
    <w:rsid w:val="00304D66"/>
    <w:rsid w:val="00304FFD"/>
    <w:rsid w:val="00305608"/>
    <w:rsid w:val="00305B72"/>
    <w:rsid w:val="0030610A"/>
    <w:rsid w:val="00306627"/>
    <w:rsid w:val="003069DD"/>
    <w:rsid w:val="00306CAB"/>
    <w:rsid w:val="00306D11"/>
    <w:rsid w:val="00310062"/>
    <w:rsid w:val="0031146F"/>
    <w:rsid w:val="00311795"/>
    <w:rsid w:val="003117B1"/>
    <w:rsid w:val="00311B70"/>
    <w:rsid w:val="00311CBE"/>
    <w:rsid w:val="00312280"/>
    <w:rsid w:val="00312CD0"/>
    <w:rsid w:val="00313D3F"/>
    <w:rsid w:val="00313D74"/>
    <w:rsid w:val="0031449F"/>
    <w:rsid w:val="003145A5"/>
    <w:rsid w:val="003148B9"/>
    <w:rsid w:val="00314A2E"/>
    <w:rsid w:val="00315266"/>
    <w:rsid w:val="0031693B"/>
    <w:rsid w:val="003169CE"/>
    <w:rsid w:val="00316F0A"/>
    <w:rsid w:val="00317DC7"/>
    <w:rsid w:val="003200F9"/>
    <w:rsid w:val="00320F38"/>
    <w:rsid w:val="00321183"/>
    <w:rsid w:val="003211A6"/>
    <w:rsid w:val="00321694"/>
    <w:rsid w:val="00321F0A"/>
    <w:rsid w:val="003223CE"/>
    <w:rsid w:val="00322A2D"/>
    <w:rsid w:val="00322E80"/>
    <w:rsid w:val="00324754"/>
    <w:rsid w:val="00324D5B"/>
    <w:rsid w:val="00325045"/>
    <w:rsid w:val="00325D91"/>
    <w:rsid w:val="003267B4"/>
    <w:rsid w:val="003268B7"/>
    <w:rsid w:val="00331193"/>
    <w:rsid w:val="0033147C"/>
    <w:rsid w:val="003333D4"/>
    <w:rsid w:val="00334951"/>
    <w:rsid w:val="00336411"/>
    <w:rsid w:val="0033678D"/>
    <w:rsid w:val="0033720D"/>
    <w:rsid w:val="003373E8"/>
    <w:rsid w:val="003377BB"/>
    <w:rsid w:val="003415D1"/>
    <w:rsid w:val="003443DD"/>
    <w:rsid w:val="00344D5A"/>
    <w:rsid w:val="00346EB6"/>
    <w:rsid w:val="00347EDB"/>
    <w:rsid w:val="00350797"/>
    <w:rsid w:val="003514E1"/>
    <w:rsid w:val="00351A85"/>
    <w:rsid w:val="00351BF6"/>
    <w:rsid w:val="003522E8"/>
    <w:rsid w:val="00353989"/>
    <w:rsid w:val="00355B7A"/>
    <w:rsid w:val="0035617C"/>
    <w:rsid w:val="00356E7E"/>
    <w:rsid w:val="00356EB8"/>
    <w:rsid w:val="00357B83"/>
    <w:rsid w:val="003614A8"/>
    <w:rsid w:val="0036160E"/>
    <w:rsid w:val="00362610"/>
    <w:rsid w:val="003627DF"/>
    <w:rsid w:val="00363830"/>
    <w:rsid w:val="00363D2D"/>
    <w:rsid w:val="00364BB6"/>
    <w:rsid w:val="00364D6B"/>
    <w:rsid w:val="00365408"/>
    <w:rsid w:val="003656D9"/>
    <w:rsid w:val="00365CC0"/>
    <w:rsid w:val="003668DF"/>
    <w:rsid w:val="00367688"/>
    <w:rsid w:val="00372221"/>
    <w:rsid w:val="00372CF2"/>
    <w:rsid w:val="0037355D"/>
    <w:rsid w:val="00373BAA"/>
    <w:rsid w:val="00374C7E"/>
    <w:rsid w:val="00376699"/>
    <w:rsid w:val="00377353"/>
    <w:rsid w:val="0037736B"/>
    <w:rsid w:val="00377758"/>
    <w:rsid w:val="00381F57"/>
    <w:rsid w:val="0038216E"/>
    <w:rsid w:val="003822E5"/>
    <w:rsid w:val="003830B8"/>
    <w:rsid w:val="00383262"/>
    <w:rsid w:val="00391CA2"/>
    <w:rsid w:val="00396752"/>
    <w:rsid w:val="003A157A"/>
    <w:rsid w:val="003A283F"/>
    <w:rsid w:val="003A2A16"/>
    <w:rsid w:val="003A2BEC"/>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1E96"/>
    <w:rsid w:val="003C20A2"/>
    <w:rsid w:val="003C2673"/>
    <w:rsid w:val="003C27A2"/>
    <w:rsid w:val="003C2F62"/>
    <w:rsid w:val="003C567C"/>
    <w:rsid w:val="003C575D"/>
    <w:rsid w:val="003C59B8"/>
    <w:rsid w:val="003C6809"/>
    <w:rsid w:val="003C7897"/>
    <w:rsid w:val="003D08CD"/>
    <w:rsid w:val="003D0937"/>
    <w:rsid w:val="003D17E6"/>
    <w:rsid w:val="003D1A20"/>
    <w:rsid w:val="003D1AC9"/>
    <w:rsid w:val="003D1CE2"/>
    <w:rsid w:val="003D2AC9"/>
    <w:rsid w:val="003D2CD8"/>
    <w:rsid w:val="003D362E"/>
    <w:rsid w:val="003D3724"/>
    <w:rsid w:val="003D46A7"/>
    <w:rsid w:val="003D6376"/>
    <w:rsid w:val="003E1235"/>
    <w:rsid w:val="003E2A35"/>
    <w:rsid w:val="003E2B56"/>
    <w:rsid w:val="003E2CE1"/>
    <w:rsid w:val="003E2DCB"/>
    <w:rsid w:val="003E4C3F"/>
    <w:rsid w:val="003E4D7C"/>
    <w:rsid w:val="003E5FA8"/>
    <w:rsid w:val="003E6252"/>
    <w:rsid w:val="003E62C8"/>
    <w:rsid w:val="003E69E0"/>
    <w:rsid w:val="003E75CF"/>
    <w:rsid w:val="003F1200"/>
    <w:rsid w:val="003F1421"/>
    <w:rsid w:val="003F1844"/>
    <w:rsid w:val="003F1CDA"/>
    <w:rsid w:val="003F241E"/>
    <w:rsid w:val="003F28C0"/>
    <w:rsid w:val="003F52B2"/>
    <w:rsid w:val="003F716E"/>
    <w:rsid w:val="00400061"/>
    <w:rsid w:val="0040068A"/>
    <w:rsid w:val="00400813"/>
    <w:rsid w:val="004013AD"/>
    <w:rsid w:val="004016DC"/>
    <w:rsid w:val="00402215"/>
    <w:rsid w:val="00402C35"/>
    <w:rsid w:val="0040405B"/>
    <w:rsid w:val="00404195"/>
    <w:rsid w:val="00404211"/>
    <w:rsid w:val="004042A4"/>
    <w:rsid w:val="00404346"/>
    <w:rsid w:val="004043F3"/>
    <w:rsid w:val="00404DAA"/>
    <w:rsid w:val="00404DDD"/>
    <w:rsid w:val="0040578B"/>
    <w:rsid w:val="00405B96"/>
    <w:rsid w:val="004065D6"/>
    <w:rsid w:val="0040687D"/>
    <w:rsid w:val="0040709D"/>
    <w:rsid w:val="0040713F"/>
    <w:rsid w:val="004075A3"/>
    <w:rsid w:val="004107D5"/>
    <w:rsid w:val="00410BB5"/>
    <w:rsid w:val="00410C48"/>
    <w:rsid w:val="00416277"/>
    <w:rsid w:val="00416E24"/>
    <w:rsid w:val="0042063D"/>
    <w:rsid w:val="0042274F"/>
    <w:rsid w:val="00422B23"/>
    <w:rsid w:val="00422DAE"/>
    <w:rsid w:val="00423A60"/>
    <w:rsid w:val="004254B5"/>
    <w:rsid w:val="00425C56"/>
    <w:rsid w:val="0042651C"/>
    <w:rsid w:val="00426E9B"/>
    <w:rsid w:val="00427D55"/>
    <w:rsid w:val="00431A36"/>
    <w:rsid w:val="0043233C"/>
    <w:rsid w:val="004345A6"/>
    <w:rsid w:val="00435B2F"/>
    <w:rsid w:val="00435E03"/>
    <w:rsid w:val="00436301"/>
    <w:rsid w:val="004373E1"/>
    <w:rsid w:val="004374A3"/>
    <w:rsid w:val="00437A7E"/>
    <w:rsid w:val="00437B6C"/>
    <w:rsid w:val="00440144"/>
    <w:rsid w:val="0044064E"/>
    <w:rsid w:val="00440805"/>
    <w:rsid w:val="004412E1"/>
    <w:rsid w:val="0044130A"/>
    <w:rsid w:val="00441554"/>
    <w:rsid w:val="00442469"/>
    <w:rsid w:val="00442E48"/>
    <w:rsid w:val="00443DCD"/>
    <w:rsid w:val="00443E7E"/>
    <w:rsid w:val="00444909"/>
    <w:rsid w:val="00444C06"/>
    <w:rsid w:val="004454DF"/>
    <w:rsid w:val="00445A2A"/>
    <w:rsid w:val="0044645E"/>
    <w:rsid w:val="00446804"/>
    <w:rsid w:val="004478D4"/>
    <w:rsid w:val="00450380"/>
    <w:rsid w:val="004505C6"/>
    <w:rsid w:val="00451BEF"/>
    <w:rsid w:val="004520CD"/>
    <w:rsid w:val="00452DF3"/>
    <w:rsid w:val="004534F5"/>
    <w:rsid w:val="00453765"/>
    <w:rsid w:val="00454EC3"/>
    <w:rsid w:val="0045530A"/>
    <w:rsid w:val="004554AE"/>
    <w:rsid w:val="004554C3"/>
    <w:rsid w:val="00455FB6"/>
    <w:rsid w:val="00457197"/>
    <w:rsid w:val="00457555"/>
    <w:rsid w:val="00457971"/>
    <w:rsid w:val="00457C89"/>
    <w:rsid w:val="00457DD8"/>
    <w:rsid w:val="0046025D"/>
    <w:rsid w:val="004603D0"/>
    <w:rsid w:val="004624AE"/>
    <w:rsid w:val="0046250E"/>
    <w:rsid w:val="00462E9C"/>
    <w:rsid w:val="00464B48"/>
    <w:rsid w:val="00465231"/>
    <w:rsid w:val="004662AD"/>
    <w:rsid w:val="004663EA"/>
    <w:rsid w:val="00466516"/>
    <w:rsid w:val="00467B65"/>
    <w:rsid w:val="00467DB1"/>
    <w:rsid w:val="0047065F"/>
    <w:rsid w:val="00471EA5"/>
    <w:rsid w:val="004720C9"/>
    <w:rsid w:val="00472257"/>
    <w:rsid w:val="00472E49"/>
    <w:rsid w:val="004732BB"/>
    <w:rsid w:val="0047463A"/>
    <w:rsid w:val="00474C60"/>
    <w:rsid w:val="00475944"/>
    <w:rsid w:val="00475DF0"/>
    <w:rsid w:val="00476525"/>
    <w:rsid w:val="004772E2"/>
    <w:rsid w:val="0047739F"/>
    <w:rsid w:val="004776AA"/>
    <w:rsid w:val="00477F97"/>
    <w:rsid w:val="00480A2D"/>
    <w:rsid w:val="00480A51"/>
    <w:rsid w:val="00480AFB"/>
    <w:rsid w:val="00481247"/>
    <w:rsid w:val="004828DC"/>
    <w:rsid w:val="00482FF7"/>
    <w:rsid w:val="00483098"/>
    <w:rsid w:val="0048323E"/>
    <w:rsid w:val="00483AFB"/>
    <w:rsid w:val="0048402B"/>
    <w:rsid w:val="0048414A"/>
    <w:rsid w:val="00485C56"/>
    <w:rsid w:val="00485CAD"/>
    <w:rsid w:val="00486B44"/>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4E1"/>
    <w:rsid w:val="004A3B0D"/>
    <w:rsid w:val="004A52F5"/>
    <w:rsid w:val="004A5D3A"/>
    <w:rsid w:val="004A6897"/>
    <w:rsid w:val="004A692B"/>
    <w:rsid w:val="004A6EB6"/>
    <w:rsid w:val="004A794C"/>
    <w:rsid w:val="004B3D6C"/>
    <w:rsid w:val="004B3EC7"/>
    <w:rsid w:val="004B5664"/>
    <w:rsid w:val="004B762D"/>
    <w:rsid w:val="004B7CB6"/>
    <w:rsid w:val="004C0791"/>
    <w:rsid w:val="004C080B"/>
    <w:rsid w:val="004C2107"/>
    <w:rsid w:val="004C5FC6"/>
    <w:rsid w:val="004C6435"/>
    <w:rsid w:val="004C649B"/>
    <w:rsid w:val="004C7B9C"/>
    <w:rsid w:val="004C7D55"/>
    <w:rsid w:val="004D089A"/>
    <w:rsid w:val="004D1828"/>
    <w:rsid w:val="004D3184"/>
    <w:rsid w:val="004D5030"/>
    <w:rsid w:val="004D6045"/>
    <w:rsid w:val="004D7546"/>
    <w:rsid w:val="004D7EC5"/>
    <w:rsid w:val="004E02B0"/>
    <w:rsid w:val="004E0B29"/>
    <w:rsid w:val="004E0E11"/>
    <w:rsid w:val="004E0E6A"/>
    <w:rsid w:val="004E0F08"/>
    <w:rsid w:val="004E1546"/>
    <w:rsid w:val="004E19DC"/>
    <w:rsid w:val="004E35E8"/>
    <w:rsid w:val="004E50F0"/>
    <w:rsid w:val="004E6A03"/>
    <w:rsid w:val="004F0070"/>
    <w:rsid w:val="004F0468"/>
    <w:rsid w:val="004F0C51"/>
    <w:rsid w:val="004F0E46"/>
    <w:rsid w:val="004F263C"/>
    <w:rsid w:val="004F2BB1"/>
    <w:rsid w:val="004F2EC7"/>
    <w:rsid w:val="004F3CE8"/>
    <w:rsid w:val="004F67D8"/>
    <w:rsid w:val="004F6BFB"/>
    <w:rsid w:val="004F7E4A"/>
    <w:rsid w:val="00500C8D"/>
    <w:rsid w:val="0050147C"/>
    <w:rsid w:val="0050182B"/>
    <w:rsid w:val="00502579"/>
    <w:rsid w:val="005029F7"/>
    <w:rsid w:val="00503D4C"/>
    <w:rsid w:val="00503DB7"/>
    <w:rsid w:val="00504258"/>
    <w:rsid w:val="00504C0C"/>
    <w:rsid w:val="00504E48"/>
    <w:rsid w:val="005070C3"/>
    <w:rsid w:val="005070FF"/>
    <w:rsid w:val="00511505"/>
    <w:rsid w:val="00511812"/>
    <w:rsid w:val="0051255B"/>
    <w:rsid w:val="00512BBC"/>
    <w:rsid w:val="00512E38"/>
    <w:rsid w:val="005134FB"/>
    <w:rsid w:val="005135FD"/>
    <w:rsid w:val="0051366C"/>
    <w:rsid w:val="005162F6"/>
    <w:rsid w:val="0051684F"/>
    <w:rsid w:val="00516A92"/>
    <w:rsid w:val="00516B9F"/>
    <w:rsid w:val="00517693"/>
    <w:rsid w:val="00517BE2"/>
    <w:rsid w:val="005205AB"/>
    <w:rsid w:val="00520B27"/>
    <w:rsid w:val="00522BD6"/>
    <w:rsid w:val="00523378"/>
    <w:rsid w:val="005242BF"/>
    <w:rsid w:val="0052550F"/>
    <w:rsid w:val="0052612C"/>
    <w:rsid w:val="00526C0F"/>
    <w:rsid w:val="0052702A"/>
    <w:rsid w:val="00527153"/>
    <w:rsid w:val="00530397"/>
    <w:rsid w:val="00530F73"/>
    <w:rsid w:val="00533B8E"/>
    <w:rsid w:val="00535417"/>
    <w:rsid w:val="00535833"/>
    <w:rsid w:val="00536D28"/>
    <w:rsid w:val="005372C5"/>
    <w:rsid w:val="00537A26"/>
    <w:rsid w:val="00540265"/>
    <w:rsid w:val="00540E47"/>
    <w:rsid w:val="00543283"/>
    <w:rsid w:val="0054364C"/>
    <w:rsid w:val="00543FEC"/>
    <w:rsid w:val="00544BCE"/>
    <w:rsid w:val="00546747"/>
    <w:rsid w:val="00547510"/>
    <w:rsid w:val="0054782F"/>
    <w:rsid w:val="00547ECC"/>
    <w:rsid w:val="00551D5A"/>
    <w:rsid w:val="00551EC3"/>
    <w:rsid w:val="00552FF4"/>
    <w:rsid w:val="00553119"/>
    <w:rsid w:val="00554A44"/>
    <w:rsid w:val="00554C53"/>
    <w:rsid w:val="00554F18"/>
    <w:rsid w:val="00555220"/>
    <w:rsid w:val="005554E0"/>
    <w:rsid w:val="005555F0"/>
    <w:rsid w:val="00555739"/>
    <w:rsid w:val="00556E75"/>
    <w:rsid w:val="00556F2D"/>
    <w:rsid w:val="0055787F"/>
    <w:rsid w:val="0056069A"/>
    <w:rsid w:val="00560C3B"/>
    <w:rsid w:val="00561D3C"/>
    <w:rsid w:val="00561EA1"/>
    <w:rsid w:val="00562799"/>
    <w:rsid w:val="005636DE"/>
    <w:rsid w:val="005637E9"/>
    <w:rsid w:val="005646E5"/>
    <w:rsid w:val="00564804"/>
    <w:rsid w:val="00565598"/>
    <w:rsid w:val="00565B5A"/>
    <w:rsid w:val="00566697"/>
    <w:rsid w:val="00567E8F"/>
    <w:rsid w:val="005702D6"/>
    <w:rsid w:val="00572543"/>
    <w:rsid w:val="00572588"/>
    <w:rsid w:val="005725CD"/>
    <w:rsid w:val="00573A50"/>
    <w:rsid w:val="005746D2"/>
    <w:rsid w:val="00574E8A"/>
    <w:rsid w:val="00575A1E"/>
    <w:rsid w:val="00577775"/>
    <w:rsid w:val="00580524"/>
    <w:rsid w:val="0058121A"/>
    <w:rsid w:val="00581863"/>
    <w:rsid w:val="00581EA3"/>
    <w:rsid w:val="0058205A"/>
    <w:rsid w:val="0058260B"/>
    <w:rsid w:val="0058372C"/>
    <w:rsid w:val="00583E26"/>
    <w:rsid w:val="00584D1E"/>
    <w:rsid w:val="00584F66"/>
    <w:rsid w:val="005853F6"/>
    <w:rsid w:val="00586795"/>
    <w:rsid w:val="00586B82"/>
    <w:rsid w:val="005873C4"/>
    <w:rsid w:val="005878D4"/>
    <w:rsid w:val="00587E13"/>
    <w:rsid w:val="0059010F"/>
    <w:rsid w:val="005918F8"/>
    <w:rsid w:val="005933AA"/>
    <w:rsid w:val="005940AA"/>
    <w:rsid w:val="00594614"/>
    <w:rsid w:val="00594A03"/>
    <w:rsid w:val="00594E10"/>
    <w:rsid w:val="00595F2C"/>
    <w:rsid w:val="00596306"/>
    <w:rsid w:val="00596487"/>
    <w:rsid w:val="005A0809"/>
    <w:rsid w:val="005A0B91"/>
    <w:rsid w:val="005A1494"/>
    <w:rsid w:val="005A2CE0"/>
    <w:rsid w:val="005A3590"/>
    <w:rsid w:val="005A44D0"/>
    <w:rsid w:val="005A4A1C"/>
    <w:rsid w:val="005A55A0"/>
    <w:rsid w:val="005A5688"/>
    <w:rsid w:val="005A5BD8"/>
    <w:rsid w:val="005A62AC"/>
    <w:rsid w:val="005A692A"/>
    <w:rsid w:val="005A6AB8"/>
    <w:rsid w:val="005B1089"/>
    <w:rsid w:val="005B11C2"/>
    <w:rsid w:val="005B180A"/>
    <w:rsid w:val="005B382C"/>
    <w:rsid w:val="005B3C11"/>
    <w:rsid w:val="005B40DA"/>
    <w:rsid w:val="005B4226"/>
    <w:rsid w:val="005B4426"/>
    <w:rsid w:val="005B5AA4"/>
    <w:rsid w:val="005B656B"/>
    <w:rsid w:val="005B71B3"/>
    <w:rsid w:val="005B76A4"/>
    <w:rsid w:val="005B7E21"/>
    <w:rsid w:val="005C01B4"/>
    <w:rsid w:val="005C02DC"/>
    <w:rsid w:val="005C04A7"/>
    <w:rsid w:val="005C17A4"/>
    <w:rsid w:val="005C27CC"/>
    <w:rsid w:val="005C370D"/>
    <w:rsid w:val="005C3BF7"/>
    <w:rsid w:val="005C44E7"/>
    <w:rsid w:val="005C504E"/>
    <w:rsid w:val="005C6153"/>
    <w:rsid w:val="005C628E"/>
    <w:rsid w:val="005C78B0"/>
    <w:rsid w:val="005C7B95"/>
    <w:rsid w:val="005D01EB"/>
    <w:rsid w:val="005D0DFB"/>
    <w:rsid w:val="005D1112"/>
    <w:rsid w:val="005D1555"/>
    <w:rsid w:val="005D237C"/>
    <w:rsid w:val="005D25E2"/>
    <w:rsid w:val="005D25FF"/>
    <w:rsid w:val="005D2632"/>
    <w:rsid w:val="005D2895"/>
    <w:rsid w:val="005D38E0"/>
    <w:rsid w:val="005D3F32"/>
    <w:rsid w:val="005D4E3E"/>
    <w:rsid w:val="005D54B3"/>
    <w:rsid w:val="005D5740"/>
    <w:rsid w:val="005D67F7"/>
    <w:rsid w:val="005D7D7E"/>
    <w:rsid w:val="005E0B59"/>
    <w:rsid w:val="005E1105"/>
    <w:rsid w:val="005E162F"/>
    <w:rsid w:val="005E2C60"/>
    <w:rsid w:val="005E31F6"/>
    <w:rsid w:val="005E3622"/>
    <w:rsid w:val="005E3AAC"/>
    <w:rsid w:val="005E60B3"/>
    <w:rsid w:val="005E676C"/>
    <w:rsid w:val="005E6CB9"/>
    <w:rsid w:val="005E7DE3"/>
    <w:rsid w:val="005E7F14"/>
    <w:rsid w:val="005F0154"/>
    <w:rsid w:val="005F0176"/>
    <w:rsid w:val="005F021D"/>
    <w:rsid w:val="005F1B04"/>
    <w:rsid w:val="005F1EAC"/>
    <w:rsid w:val="005F211E"/>
    <w:rsid w:val="005F308F"/>
    <w:rsid w:val="005F3E9F"/>
    <w:rsid w:val="005F4869"/>
    <w:rsid w:val="005F4BFD"/>
    <w:rsid w:val="005F5748"/>
    <w:rsid w:val="005F5834"/>
    <w:rsid w:val="005F5E11"/>
    <w:rsid w:val="005F6EEE"/>
    <w:rsid w:val="005F7609"/>
    <w:rsid w:val="006003E5"/>
    <w:rsid w:val="00600E63"/>
    <w:rsid w:val="00601561"/>
    <w:rsid w:val="00601E55"/>
    <w:rsid w:val="00602037"/>
    <w:rsid w:val="006029DD"/>
    <w:rsid w:val="00602C6A"/>
    <w:rsid w:val="00603AF5"/>
    <w:rsid w:val="006064DD"/>
    <w:rsid w:val="00606C66"/>
    <w:rsid w:val="00606F63"/>
    <w:rsid w:val="00610145"/>
    <w:rsid w:val="00610D1F"/>
    <w:rsid w:val="00611FEE"/>
    <w:rsid w:val="006123C6"/>
    <w:rsid w:val="00612C02"/>
    <w:rsid w:val="00612CDD"/>
    <w:rsid w:val="0061562E"/>
    <w:rsid w:val="00615A0C"/>
    <w:rsid w:val="00616C5C"/>
    <w:rsid w:val="00616CE1"/>
    <w:rsid w:val="00616D41"/>
    <w:rsid w:val="00617292"/>
    <w:rsid w:val="006200A9"/>
    <w:rsid w:val="00622225"/>
    <w:rsid w:val="006223CD"/>
    <w:rsid w:val="00622D03"/>
    <w:rsid w:val="00622DCD"/>
    <w:rsid w:val="00622F57"/>
    <w:rsid w:val="00623DD5"/>
    <w:rsid w:val="00623F75"/>
    <w:rsid w:val="00624269"/>
    <w:rsid w:val="00624A34"/>
    <w:rsid w:val="0062568D"/>
    <w:rsid w:val="006256D3"/>
    <w:rsid w:val="00626502"/>
    <w:rsid w:val="006267F5"/>
    <w:rsid w:val="00627337"/>
    <w:rsid w:val="006276C2"/>
    <w:rsid w:val="00630069"/>
    <w:rsid w:val="00630583"/>
    <w:rsid w:val="00630D2E"/>
    <w:rsid w:val="00630D39"/>
    <w:rsid w:val="006313CC"/>
    <w:rsid w:val="00631569"/>
    <w:rsid w:val="00631E19"/>
    <w:rsid w:val="00632725"/>
    <w:rsid w:val="00633678"/>
    <w:rsid w:val="00633E76"/>
    <w:rsid w:val="00633EC9"/>
    <w:rsid w:val="006340F5"/>
    <w:rsid w:val="00634542"/>
    <w:rsid w:val="00634FD4"/>
    <w:rsid w:val="00635E4D"/>
    <w:rsid w:val="0063620C"/>
    <w:rsid w:val="00636289"/>
    <w:rsid w:val="00636884"/>
    <w:rsid w:val="00637E18"/>
    <w:rsid w:val="0064032E"/>
    <w:rsid w:val="0064038D"/>
    <w:rsid w:val="00640534"/>
    <w:rsid w:val="00641A0B"/>
    <w:rsid w:val="00641D5A"/>
    <w:rsid w:val="00641E06"/>
    <w:rsid w:val="00643007"/>
    <w:rsid w:val="006431D0"/>
    <w:rsid w:val="006432C5"/>
    <w:rsid w:val="00643441"/>
    <w:rsid w:val="006436FA"/>
    <w:rsid w:val="00643852"/>
    <w:rsid w:val="00643C27"/>
    <w:rsid w:val="006455E7"/>
    <w:rsid w:val="00645732"/>
    <w:rsid w:val="00645758"/>
    <w:rsid w:val="006461A1"/>
    <w:rsid w:val="00646262"/>
    <w:rsid w:val="00647422"/>
    <w:rsid w:val="00647AA9"/>
    <w:rsid w:val="00647E6B"/>
    <w:rsid w:val="00647F04"/>
    <w:rsid w:val="00650E84"/>
    <w:rsid w:val="0065198B"/>
    <w:rsid w:val="006525AF"/>
    <w:rsid w:val="0065266A"/>
    <w:rsid w:val="00653F9C"/>
    <w:rsid w:val="00655470"/>
    <w:rsid w:val="006557E0"/>
    <w:rsid w:val="00656EE3"/>
    <w:rsid w:val="00656FEE"/>
    <w:rsid w:val="0065758F"/>
    <w:rsid w:val="00660897"/>
    <w:rsid w:val="00661028"/>
    <w:rsid w:val="006617BD"/>
    <w:rsid w:val="0066194D"/>
    <w:rsid w:val="00664695"/>
    <w:rsid w:val="00664840"/>
    <w:rsid w:val="00664B44"/>
    <w:rsid w:val="00665131"/>
    <w:rsid w:val="006652BF"/>
    <w:rsid w:val="0066630C"/>
    <w:rsid w:val="00667BBD"/>
    <w:rsid w:val="00670CE0"/>
    <w:rsid w:val="00671149"/>
    <w:rsid w:val="00671615"/>
    <w:rsid w:val="00671741"/>
    <w:rsid w:val="00671766"/>
    <w:rsid w:val="00672914"/>
    <w:rsid w:val="006744C3"/>
    <w:rsid w:val="0067537F"/>
    <w:rsid w:val="0067538D"/>
    <w:rsid w:val="0067568F"/>
    <w:rsid w:val="00676410"/>
    <w:rsid w:val="00680509"/>
    <w:rsid w:val="006805CB"/>
    <w:rsid w:val="0068152B"/>
    <w:rsid w:val="00681CC1"/>
    <w:rsid w:val="0068233B"/>
    <w:rsid w:val="00682E11"/>
    <w:rsid w:val="00683081"/>
    <w:rsid w:val="00684C95"/>
    <w:rsid w:val="006850D3"/>
    <w:rsid w:val="00685249"/>
    <w:rsid w:val="00685663"/>
    <w:rsid w:val="006856B9"/>
    <w:rsid w:val="00685BDE"/>
    <w:rsid w:val="00686085"/>
    <w:rsid w:val="00686D17"/>
    <w:rsid w:val="0068771F"/>
    <w:rsid w:val="00687C0D"/>
    <w:rsid w:val="006903D3"/>
    <w:rsid w:val="00691237"/>
    <w:rsid w:val="006920E6"/>
    <w:rsid w:val="00692555"/>
    <w:rsid w:val="0069357B"/>
    <w:rsid w:val="00695DFE"/>
    <w:rsid w:val="00696566"/>
    <w:rsid w:val="006966BA"/>
    <w:rsid w:val="0069722D"/>
    <w:rsid w:val="006A0052"/>
    <w:rsid w:val="006A0A9E"/>
    <w:rsid w:val="006A1D8F"/>
    <w:rsid w:val="006A1F1C"/>
    <w:rsid w:val="006A3836"/>
    <w:rsid w:val="006A3BC8"/>
    <w:rsid w:val="006A3DD3"/>
    <w:rsid w:val="006A4625"/>
    <w:rsid w:val="006A47AE"/>
    <w:rsid w:val="006A5B5E"/>
    <w:rsid w:val="006A67CB"/>
    <w:rsid w:val="006B0368"/>
    <w:rsid w:val="006B0F6E"/>
    <w:rsid w:val="006B13D9"/>
    <w:rsid w:val="006B1D7B"/>
    <w:rsid w:val="006B27D4"/>
    <w:rsid w:val="006B2C9C"/>
    <w:rsid w:val="006B48EB"/>
    <w:rsid w:val="006B4C00"/>
    <w:rsid w:val="006B56FC"/>
    <w:rsid w:val="006B6DDA"/>
    <w:rsid w:val="006B73D9"/>
    <w:rsid w:val="006B7DF0"/>
    <w:rsid w:val="006B7E74"/>
    <w:rsid w:val="006C049E"/>
    <w:rsid w:val="006C0D75"/>
    <w:rsid w:val="006C1C48"/>
    <w:rsid w:val="006C3C1D"/>
    <w:rsid w:val="006C41FF"/>
    <w:rsid w:val="006C48D5"/>
    <w:rsid w:val="006C5145"/>
    <w:rsid w:val="006C5C46"/>
    <w:rsid w:val="006C65A8"/>
    <w:rsid w:val="006D05AD"/>
    <w:rsid w:val="006D0EC1"/>
    <w:rsid w:val="006D16F8"/>
    <w:rsid w:val="006D1813"/>
    <w:rsid w:val="006D24A9"/>
    <w:rsid w:val="006D2AF3"/>
    <w:rsid w:val="006D4275"/>
    <w:rsid w:val="006D472B"/>
    <w:rsid w:val="006D4D79"/>
    <w:rsid w:val="006D4FBD"/>
    <w:rsid w:val="006D5310"/>
    <w:rsid w:val="006D5879"/>
    <w:rsid w:val="006D5A83"/>
    <w:rsid w:val="006D63FD"/>
    <w:rsid w:val="006D65B4"/>
    <w:rsid w:val="006D754A"/>
    <w:rsid w:val="006D7B9C"/>
    <w:rsid w:val="006E04C6"/>
    <w:rsid w:val="006E0A65"/>
    <w:rsid w:val="006E1B01"/>
    <w:rsid w:val="006E3E3D"/>
    <w:rsid w:val="006E4836"/>
    <w:rsid w:val="006E4A59"/>
    <w:rsid w:val="006E599F"/>
    <w:rsid w:val="006E5DDD"/>
    <w:rsid w:val="006E727A"/>
    <w:rsid w:val="006E7811"/>
    <w:rsid w:val="006E7867"/>
    <w:rsid w:val="006E7F0E"/>
    <w:rsid w:val="006F04DA"/>
    <w:rsid w:val="006F0557"/>
    <w:rsid w:val="006F0EA3"/>
    <w:rsid w:val="006F1B5D"/>
    <w:rsid w:val="006F1F10"/>
    <w:rsid w:val="006F212B"/>
    <w:rsid w:val="006F37F7"/>
    <w:rsid w:val="006F4A61"/>
    <w:rsid w:val="006F4ADC"/>
    <w:rsid w:val="006F643D"/>
    <w:rsid w:val="006F675C"/>
    <w:rsid w:val="006F6D13"/>
    <w:rsid w:val="006F7344"/>
    <w:rsid w:val="006F7759"/>
    <w:rsid w:val="006F7D95"/>
    <w:rsid w:val="00700D41"/>
    <w:rsid w:val="00701B21"/>
    <w:rsid w:val="00702384"/>
    <w:rsid w:val="00704AD1"/>
    <w:rsid w:val="00704BAE"/>
    <w:rsid w:val="00705807"/>
    <w:rsid w:val="00705C74"/>
    <w:rsid w:val="00705C78"/>
    <w:rsid w:val="007060E1"/>
    <w:rsid w:val="007065B8"/>
    <w:rsid w:val="00706824"/>
    <w:rsid w:val="00706B85"/>
    <w:rsid w:val="007071FC"/>
    <w:rsid w:val="00707C84"/>
    <w:rsid w:val="00710A59"/>
    <w:rsid w:val="00710FDE"/>
    <w:rsid w:val="007116C7"/>
    <w:rsid w:val="00711C5A"/>
    <w:rsid w:val="00712B66"/>
    <w:rsid w:val="00713793"/>
    <w:rsid w:val="007139FA"/>
    <w:rsid w:val="00713A9F"/>
    <w:rsid w:val="00713C31"/>
    <w:rsid w:val="0071428D"/>
    <w:rsid w:val="007144C9"/>
    <w:rsid w:val="00716B3C"/>
    <w:rsid w:val="007170C2"/>
    <w:rsid w:val="00717EE4"/>
    <w:rsid w:val="00717F2D"/>
    <w:rsid w:val="00720453"/>
    <w:rsid w:val="00720853"/>
    <w:rsid w:val="00722129"/>
    <w:rsid w:val="00723843"/>
    <w:rsid w:val="00723C0E"/>
    <w:rsid w:val="00723D9D"/>
    <w:rsid w:val="00724173"/>
    <w:rsid w:val="0072617C"/>
    <w:rsid w:val="00726730"/>
    <w:rsid w:val="00730598"/>
    <w:rsid w:val="00731C24"/>
    <w:rsid w:val="0073257E"/>
    <w:rsid w:val="00732A32"/>
    <w:rsid w:val="00733066"/>
    <w:rsid w:val="007330A9"/>
    <w:rsid w:val="00733469"/>
    <w:rsid w:val="00733539"/>
    <w:rsid w:val="00735557"/>
    <w:rsid w:val="00736398"/>
    <w:rsid w:val="00736E52"/>
    <w:rsid w:val="00737108"/>
    <w:rsid w:val="007379CE"/>
    <w:rsid w:val="007419A7"/>
    <w:rsid w:val="00741B21"/>
    <w:rsid w:val="00741DD8"/>
    <w:rsid w:val="00741E49"/>
    <w:rsid w:val="0074250D"/>
    <w:rsid w:val="0074310C"/>
    <w:rsid w:val="007445E2"/>
    <w:rsid w:val="00745496"/>
    <w:rsid w:val="007457EB"/>
    <w:rsid w:val="007460DA"/>
    <w:rsid w:val="0074705B"/>
    <w:rsid w:val="007470EC"/>
    <w:rsid w:val="0075020B"/>
    <w:rsid w:val="00751017"/>
    <w:rsid w:val="007511C3"/>
    <w:rsid w:val="00751960"/>
    <w:rsid w:val="00751FB7"/>
    <w:rsid w:val="007535C7"/>
    <w:rsid w:val="00755370"/>
    <w:rsid w:val="00756551"/>
    <w:rsid w:val="007568A3"/>
    <w:rsid w:val="00757769"/>
    <w:rsid w:val="0076067E"/>
    <w:rsid w:val="00760C01"/>
    <w:rsid w:val="00761328"/>
    <w:rsid w:val="00761BFD"/>
    <w:rsid w:val="00761D5C"/>
    <w:rsid w:val="00761FE5"/>
    <w:rsid w:val="007621D4"/>
    <w:rsid w:val="00762476"/>
    <w:rsid w:val="00762A18"/>
    <w:rsid w:val="00763AE2"/>
    <w:rsid w:val="00763FEC"/>
    <w:rsid w:val="00764607"/>
    <w:rsid w:val="0076467D"/>
    <w:rsid w:val="00766D90"/>
    <w:rsid w:val="007671CF"/>
    <w:rsid w:val="00767BF3"/>
    <w:rsid w:val="00767C08"/>
    <w:rsid w:val="00767C19"/>
    <w:rsid w:val="00767D4E"/>
    <w:rsid w:val="00771067"/>
    <w:rsid w:val="007722ED"/>
    <w:rsid w:val="0077408B"/>
    <w:rsid w:val="00774AF6"/>
    <w:rsid w:val="00774EC8"/>
    <w:rsid w:val="00776781"/>
    <w:rsid w:val="007776CC"/>
    <w:rsid w:val="00777CE9"/>
    <w:rsid w:val="00780D05"/>
    <w:rsid w:val="00782A65"/>
    <w:rsid w:val="00783C7B"/>
    <w:rsid w:val="0078556C"/>
    <w:rsid w:val="007855C5"/>
    <w:rsid w:val="007856D3"/>
    <w:rsid w:val="00785ABD"/>
    <w:rsid w:val="007860C6"/>
    <w:rsid w:val="00786254"/>
    <w:rsid w:val="00786DB0"/>
    <w:rsid w:val="00786EB0"/>
    <w:rsid w:val="00787D47"/>
    <w:rsid w:val="0079014E"/>
    <w:rsid w:val="0079148B"/>
    <w:rsid w:val="0079286A"/>
    <w:rsid w:val="00792971"/>
    <w:rsid w:val="00792D6C"/>
    <w:rsid w:val="007935C6"/>
    <w:rsid w:val="00794129"/>
    <w:rsid w:val="00794516"/>
    <w:rsid w:val="00794878"/>
    <w:rsid w:val="0079535F"/>
    <w:rsid w:val="00795512"/>
    <w:rsid w:val="00795684"/>
    <w:rsid w:val="00795AB7"/>
    <w:rsid w:val="00795E37"/>
    <w:rsid w:val="0079694C"/>
    <w:rsid w:val="00796D89"/>
    <w:rsid w:val="00796DA2"/>
    <w:rsid w:val="00797F22"/>
    <w:rsid w:val="007A0415"/>
    <w:rsid w:val="007A06BA"/>
    <w:rsid w:val="007A07BF"/>
    <w:rsid w:val="007A27BD"/>
    <w:rsid w:val="007A294A"/>
    <w:rsid w:val="007A2960"/>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69A"/>
    <w:rsid w:val="007B4C0F"/>
    <w:rsid w:val="007B5E25"/>
    <w:rsid w:val="007B6E0E"/>
    <w:rsid w:val="007B7DE6"/>
    <w:rsid w:val="007C03B2"/>
    <w:rsid w:val="007C27FB"/>
    <w:rsid w:val="007C2CBB"/>
    <w:rsid w:val="007C309C"/>
    <w:rsid w:val="007C4209"/>
    <w:rsid w:val="007C49C7"/>
    <w:rsid w:val="007C5D4D"/>
    <w:rsid w:val="007C5EB9"/>
    <w:rsid w:val="007C7449"/>
    <w:rsid w:val="007C7EA5"/>
    <w:rsid w:val="007D004B"/>
    <w:rsid w:val="007D1A95"/>
    <w:rsid w:val="007D245E"/>
    <w:rsid w:val="007D3764"/>
    <w:rsid w:val="007D3C99"/>
    <w:rsid w:val="007D485A"/>
    <w:rsid w:val="007D54FF"/>
    <w:rsid w:val="007D57D4"/>
    <w:rsid w:val="007D6315"/>
    <w:rsid w:val="007D724A"/>
    <w:rsid w:val="007D75A3"/>
    <w:rsid w:val="007E0C21"/>
    <w:rsid w:val="007E16E2"/>
    <w:rsid w:val="007E19FE"/>
    <w:rsid w:val="007E1AAC"/>
    <w:rsid w:val="007E33EA"/>
    <w:rsid w:val="007E3B9C"/>
    <w:rsid w:val="007E3F29"/>
    <w:rsid w:val="007E4A2F"/>
    <w:rsid w:val="007E5C4A"/>
    <w:rsid w:val="007E5C85"/>
    <w:rsid w:val="007E6915"/>
    <w:rsid w:val="007E74CA"/>
    <w:rsid w:val="007E7AD3"/>
    <w:rsid w:val="007F0070"/>
    <w:rsid w:val="007F0441"/>
    <w:rsid w:val="007F0E99"/>
    <w:rsid w:val="007F20F1"/>
    <w:rsid w:val="007F4224"/>
    <w:rsid w:val="007F4DD2"/>
    <w:rsid w:val="007F4FB9"/>
    <w:rsid w:val="007F6CD4"/>
    <w:rsid w:val="007F6FEE"/>
    <w:rsid w:val="007F7022"/>
    <w:rsid w:val="007F7690"/>
    <w:rsid w:val="0080114D"/>
    <w:rsid w:val="008011CC"/>
    <w:rsid w:val="00801404"/>
    <w:rsid w:val="008017AA"/>
    <w:rsid w:val="00801CBA"/>
    <w:rsid w:val="00801D92"/>
    <w:rsid w:val="008022C6"/>
    <w:rsid w:val="0080398B"/>
    <w:rsid w:val="00804BCF"/>
    <w:rsid w:val="00804CF9"/>
    <w:rsid w:val="00804FA4"/>
    <w:rsid w:val="00805275"/>
    <w:rsid w:val="008057FE"/>
    <w:rsid w:val="00806A62"/>
    <w:rsid w:val="00806E55"/>
    <w:rsid w:val="008075CE"/>
    <w:rsid w:val="00812179"/>
    <w:rsid w:val="008124E2"/>
    <w:rsid w:val="00813928"/>
    <w:rsid w:val="00813D4B"/>
    <w:rsid w:val="00815321"/>
    <w:rsid w:val="008156FA"/>
    <w:rsid w:val="0081575C"/>
    <w:rsid w:val="008166DB"/>
    <w:rsid w:val="00816AEE"/>
    <w:rsid w:val="008173E0"/>
    <w:rsid w:val="008175C1"/>
    <w:rsid w:val="008200D4"/>
    <w:rsid w:val="00820370"/>
    <w:rsid w:val="0082099C"/>
    <w:rsid w:val="00820CC6"/>
    <w:rsid w:val="00820DB9"/>
    <w:rsid w:val="00822C41"/>
    <w:rsid w:val="00825043"/>
    <w:rsid w:val="00825267"/>
    <w:rsid w:val="008264EC"/>
    <w:rsid w:val="00827C0D"/>
    <w:rsid w:val="00827C51"/>
    <w:rsid w:val="00830642"/>
    <w:rsid w:val="008308C4"/>
    <w:rsid w:val="00830BCF"/>
    <w:rsid w:val="00831250"/>
    <w:rsid w:val="00831D8D"/>
    <w:rsid w:val="00832372"/>
    <w:rsid w:val="00832BEA"/>
    <w:rsid w:val="008333B7"/>
    <w:rsid w:val="008336EC"/>
    <w:rsid w:val="008337B9"/>
    <w:rsid w:val="00834FBA"/>
    <w:rsid w:val="00834FD2"/>
    <w:rsid w:val="00835084"/>
    <w:rsid w:val="00835184"/>
    <w:rsid w:val="00835569"/>
    <w:rsid w:val="00835802"/>
    <w:rsid w:val="00836295"/>
    <w:rsid w:val="00836DE2"/>
    <w:rsid w:val="008370EE"/>
    <w:rsid w:val="0084093F"/>
    <w:rsid w:val="0084098A"/>
    <w:rsid w:val="00840DB0"/>
    <w:rsid w:val="00840EDE"/>
    <w:rsid w:val="008418A5"/>
    <w:rsid w:val="0084281A"/>
    <w:rsid w:val="00843548"/>
    <w:rsid w:val="0084383C"/>
    <w:rsid w:val="00843CC0"/>
    <w:rsid w:val="00844ADD"/>
    <w:rsid w:val="0084534E"/>
    <w:rsid w:val="00846062"/>
    <w:rsid w:val="008474C1"/>
    <w:rsid w:val="00847B8A"/>
    <w:rsid w:val="00847C1C"/>
    <w:rsid w:val="0085055E"/>
    <w:rsid w:val="00850C3B"/>
    <w:rsid w:val="00851605"/>
    <w:rsid w:val="0085267E"/>
    <w:rsid w:val="00852CA0"/>
    <w:rsid w:val="00852D85"/>
    <w:rsid w:val="00852F6C"/>
    <w:rsid w:val="0085319D"/>
    <w:rsid w:val="0085465C"/>
    <w:rsid w:val="00854967"/>
    <w:rsid w:val="0085540B"/>
    <w:rsid w:val="00855511"/>
    <w:rsid w:val="0085582C"/>
    <w:rsid w:val="00855FD3"/>
    <w:rsid w:val="008565E7"/>
    <w:rsid w:val="00857086"/>
    <w:rsid w:val="008570AC"/>
    <w:rsid w:val="00857572"/>
    <w:rsid w:val="00860F4D"/>
    <w:rsid w:val="008611DE"/>
    <w:rsid w:val="00861375"/>
    <w:rsid w:val="00861C56"/>
    <w:rsid w:val="00861F29"/>
    <w:rsid w:val="008620A2"/>
    <w:rsid w:val="00862741"/>
    <w:rsid w:val="00862BBD"/>
    <w:rsid w:val="00862F81"/>
    <w:rsid w:val="00863C9F"/>
    <w:rsid w:val="00863CC1"/>
    <w:rsid w:val="008645D6"/>
    <w:rsid w:val="0086552B"/>
    <w:rsid w:val="008655A2"/>
    <w:rsid w:val="0086584F"/>
    <w:rsid w:val="00866120"/>
    <w:rsid w:val="008671C7"/>
    <w:rsid w:val="00867977"/>
    <w:rsid w:val="00867A71"/>
    <w:rsid w:val="00867EB8"/>
    <w:rsid w:val="00870335"/>
    <w:rsid w:val="00870AA2"/>
    <w:rsid w:val="00872E5D"/>
    <w:rsid w:val="00873A92"/>
    <w:rsid w:val="00873CAB"/>
    <w:rsid w:val="00873D88"/>
    <w:rsid w:val="0087433B"/>
    <w:rsid w:val="0087621E"/>
    <w:rsid w:val="008767B2"/>
    <w:rsid w:val="008769FF"/>
    <w:rsid w:val="00877328"/>
    <w:rsid w:val="0087787A"/>
    <w:rsid w:val="008802F0"/>
    <w:rsid w:val="00880992"/>
    <w:rsid w:val="00881692"/>
    <w:rsid w:val="00881B84"/>
    <w:rsid w:val="00883143"/>
    <w:rsid w:val="00884EC8"/>
    <w:rsid w:val="00885CEC"/>
    <w:rsid w:val="00886154"/>
    <w:rsid w:val="00890277"/>
    <w:rsid w:val="0089061A"/>
    <w:rsid w:val="008915C6"/>
    <w:rsid w:val="00891677"/>
    <w:rsid w:val="00891C96"/>
    <w:rsid w:val="00892DB5"/>
    <w:rsid w:val="00893067"/>
    <w:rsid w:val="00894B61"/>
    <w:rsid w:val="00895255"/>
    <w:rsid w:val="00895DF1"/>
    <w:rsid w:val="00896645"/>
    <w:rsid w:val="008975D2"/>
    <w:rsid w:val="00897CC2"/>
    <w:rsid w:val="008A035B"/>
    <w:rsid w:val="008A0459"/>
    <w:rsid w:val="008A1218"/>
    <w:rsid w:val="008A15B6"/>
    <w:rsid w:val="008A1A6E"/>
    <w:rsid w:val="008A202A"/>
    <w:rsid w:val="008A36C9"/>
    <w:rsid w:val="008A585F"/>
    <w:rsid w:val="008A5AF9"/>
    <w:rsid w:val="008B16DE"/>
    <w:rsid w:val="008B251F"/>
    <w:rsid w:val="008B2602"/>
    <w:rsid w:val="008B2727"/>
    <w:rsid w:val="008B316B"/>
    <w:rsid w:val="008B39A7"/>
    <w:rsid w:val="008B5059"/>
    <w:rsid w:val="008B5BF2"/>
    <w:rsid w:val="008B6934"/>
    <w:rsid w:val="008B6CF8"/>
    <w:rsid w:val="008B72F6"/>
    <w:rsid w:val="008C119E"/>
    <w:rsid w:val="008C1E24"/>
    <w:rsid w:val="008C296B"/>
    <w:rsid w:val="008C2A46"/>
    <w:rsid w:val="008C2DF8"/>
    <w:rsid w:val="008C4278"/>
    <w:rsid w:val="008C520E"/>
    <w:rsid w:val="008C563B"/>
    <w:rsid w:val="008C567E"/>
    <w:rsid w:val="008C5DEE"/>
    <w:rsid w:val="008C6285"/>
    <w:rsid w:val="008C7182"/>
    <w:rsid w:val="008C7268"/>
    <w:rsid w:val="008C7CA5"/>
    <w:rsid w:val="008C7D9D"/>
    <w:rsid w:val="008D0416"/>
    <w:rsid w:val="008D13C6"/>
    <w:rsid w:val="008D1B04"/>
    <w:rsid w:val="008D1DA8"/>
    <w:rsid w:val="008D2ABF"/>
    <w:rsid w:val="008D3235"/>
    <w:rsid w:val="008D33C8"/>
    <w:rsid w:val="008D3893"/>
    <w:rsid w:val="008D45CD"/>
    <w:rsid w:val="008D4978"/>
    <w:rsid w:val="008D55F1"/>
    <w:rsid w:val="008D5CD7"/>
    <w:rsid w:val="008D6032"/>
    <w:rsid w:val="008D718E"/>
    <w:rsid w:val="008D7698"/>
    <w:rsid w:val="008E01D3"/>
    <w:rsid w:val="008E09C5"/>
    <w:rsid w:val="008E0AA7"/>
    <w:rsid w:val="008E2355"/>
    <w:rsid w:val="008E2659"/>
    <w:rsid w:val="008E3151"/>
    <w:rsid w:val="008E3386"/>
    <w:rsid w:val="008E5410"/>
    <w:rsid w:val="008E546C"/>
    <w:rsid w:val="008E5A3F"/>
    <w:rsid w:val="008E6BC5"/>
    <w:rsid w:val="008E7209"/>
    <w:rsid w:val="008E7448"/>
    <w:rsid w:val="008F11BB"/>
    <w:rsid w:val="008F16FF"/>
    <w:rsid w:val="008F182F"/>
    <w:rsid w:val="008F1E95"/>
    <w:rsid w:val="008F2304"/>
    <w:rsid w:val="008F481A"/>
    <w:rsid w:val="008F55D1"/>
    <w:rsid w:val="008F57DD"/>
    <w:rsid w:val="008F5AEE"/>
    <w:rsid w:val="008F6EAA"/>
    <w:rsid w:val="008F70FA"/>
    <w:rsid w:val="008F7800"/>
    <w:rsid w:val="008F7BCA"/>
    <w:rsid w:val="00900618"/>
    <w:rsid w:val="00900F4D"/>
    <w:rsid w:val="0090167B"/>
    <w:rsid w:val="00902DEC"/>
    <w:rsid w:val="0090342E"/>
    <w:rsid w:val="00903D3A"/>
    <w:rsid w:val="009044B9"/>
    <w:rsid w:val="009047B1"/>
    <w:rsid w:val="00904C86"/>
    <w:rsid w:val="0090680D"/>
    <w:rsid w:val="009078CD"/>
    <w:rsid w:val="0091045D"/>
    <w:rsid w:val="0091281A"/>
    <w:rsid w:val="00912B24"/>
    <w:rsid w:val="009139B5"/>
    <w:rsid w:val="00914514"/>
    <w:rsid w:val="00914549"/>
    <w:rsid w:val="00914C08"/>
    <w:rsid w:val="00914F2F"/>
    <w:rsid w:val="00914F5B"/>
    <w:rsid w:val="009157BA"/>
    <w:rsid w:val="00916057"/>
    <w:rsid w:val="00916AD1"/>
    <w:rsid w:val="00917637"/>
    <w:rsid w:val="00917FEE"/>
    <w:rsid w:val="0092023D"/>
    <w:rsid w:val="00920472"/>
    <w:rsid w:val="00921251"/>
    <w:rsid w:val="00921861"/>
    <w:rsid w:val="0092189E"/>
    <w:rsid w:val="009219FD"/>
    <w:rsid w:val="00921DF7"/>
    <w:rsid w:val="009250B9"/>
    <w:rsid w:val="009257B0"/>
    <w:rsid w:val="009258BD"/>
    <w:rsid w:val="00925DEB"/>
    <w:rsid w:val="009263C0"/>
    <w:rsid w:val="009300FB"/>
    <w:rsid w:val="009302D4"/>
    <w:rsid w:val="009307F2"/>
    <w:rsid w:val="00930CEC"/>
    <w:rsid w:val="00930F4A"/>
    <w:rsid w:val="0093375E"/>
    <w:rsid w:val="00933BEF"/>
    <w:rsid w:val="0093787E"/>
    <w:rsid w:val="00940F4F"/>
    <w:rsid w:val="009412CC"/>
    <w:rsid w:val="00943337"/>
    <w:rsid w:val="0094388B"/>
    <w:rsid w:val="00943D09"/>
    <w:rsid w:val="0094443F"/>
    <w:rsid w:val="00944826"/>
    <w:rsid w:val="009457A1"/>
    <w:rsid w:val="00947C5D"/>
    <w:rsid w:val="00947CA9"/>
    <w:rsid w:val="00950478"/>
    <w:rsid w:val="00950888"/>
    <w:rsid w:val="00950A12"/>
    <w:rsid w:val="00950AF9"/>
    <w:rsid w:val="00950B5F"/>
    <w:rsid w:val="00950D35"/>
    <w:rsid w:val="0095144C"/>
    <w:rsid w:val="0095165B"/>
    <w:rsid w:val="00951B17"/>
    <w:rsid w:val="00951B8D"/>
    <w:rsid w:val="009536A8"/>
    <w:rsid w:val="00953D03"/>
    <w:rsid w:val="00954596"/>
    <w:rsid w:val="00955851"/>
    <w:rsid w:val="00955C63"/>
    <w:rsid w:val="0095728A"/>
    <w:rsid w:val="00957E23"/>
    <w:rsid w:val="00961487"/>
    <w:rsid w:val="00961BA7"/>
    <w:rsid w:val="00961F01"/>
    <w:rsid w:val="00962162"/>
    <w:rsid w:val="009623BC"/>
    <w:rsid w:val="009628BE"/>
    <w:rsid w:val="009631C8"/>
    <w:rsid w:val="00963AE4"/>
    <w:rsid w:val="00963C14"/>
    <w:rsid w:val="0096452B"/>
    <w:rsid w:val="009645CD"/>
    <w:rsid w:val="00965940"/>
    <w:rsid w:val="009659FB"/>
    <w:rsid w:val="00965A4E"/>
    <w:rsid w:val="00966BE5"/>
    <w:rsid w:val="00966EB0"/>
    <w:rsid w:val="00967426"/>
    <w:rsid w:val="009677DE"/>
    <w:rsid w:val="00971116"/>
    <w:rsid w:val="00972E28"/>
    <w:rsid w:val="00973030"/>
    <w:rsid w:val="009733F3"/>
    <w:rsid w:val="009748E4"/>
    <w:rsid w:val="00975EC7"/>
    <w:rsid w:val="00976D65"/>
    <w:rsid w:val="00977839"/>
    <w:rsid w:val="00977CE6"/>
    <w:rsid w:val="00980411"/>
    <w:rsid w:val="009807AC"/>
    <w:rsid w:val="00980C18"/>
    <w:rsid w:val="009810E9"/>
    <w:rsid w:val="0098141C"/>
    <w:rsid w:val="0098167F"/>
    <w:rsid w:val="00981AA9"/>
    <w:rsid w:val="00981C91"/>
    <w:rsid w:val="00982DDF"/>
    <w:rsid w:val="00983132"/>
    <w:rsid w:val="00983314"/>
    <w:rsid w:val="00983DF2"/>
    <w:rsid w:val="0098433A"/>
    <w:rsid w:val="009852D0"/>
    <w:rsid w:val="00985675"/>
    <w:rsid w:val="00985939"/>
    <w:rsid w:val="00985D45"/>
    <w:rsid w:val="0098637F"/>
    <w:rsid w:val="00986787"/>
    <w:rsid w:val="00986A9B"/>
    <w:rsid w:val="00986B9C"/>
    <w:rsid w:val="0098752C"/>
    <w:rsid w:val="0098777D"/>
    <w:rsid w:val="00987BAB"/>
    <w:rsid w:val="009906BF"/>
    <w:rsid w:val="009913F3"/>
    <w:rsid w:val="00991DA1"/>
    <w:rsid w:val="00991F57"/>
    <w:rsid w:val="009927F1"/>
    <w:rsid w:val="009936C4"/>
    <w:rsid w:val="009948ED"/>
    <w:rsid w:val="00995ADA"/>
    <w:rsid w:val="0099643A"/>
    <w:rsid w:val="009964F5"/>
    <w:rsid w:val="00997959"/>
    <w:rsid w:val="009A0BAF"/>
    <w:rsid w:val="009A1130"/>
    <w:rsid w:val="009A1431"/>
    <w:rsid w:val="009A153D"/>
    <w:rsid w:val="009A1634"/>
    <w:rsid w:val="009A370D"/>
    <w:rsid w:val="009A3A34"/>
    <w:rsid w:val="009A3FE2"/>
    <w:rsid w:val="009A400C"/>
    <w:rsid w:val="009A4963"/>
    <w:rsid w:val="009A4B2C"/>
    <w:rsid w:val="009A5592"/>
    <w:rsid w:val="009A59BA"/>
    <w:rsid w:val="009A6417"/>
    <w:rsid w:val="009B01DF"/>
    <w:rsid w:val="009B020D"/>
    <w:rsid w:val="009B072F"/>
    <w:rsid w:val="009B07A1"/>
    <w:rsid w:val="009B09CC"/>
    <w:rsid w:val="009B173B"/>
    <w:rsid w:val="009B1A1A"/>
    <w:rsid w:val="009B23D5"/>
    <w:rsid w:val="009B24D8"/>
    <w:rsid w:val="009B2608"/>
    <w:rsid w:val="009B2A71"/>
    <w:rsid w:val="009B2DCB"/>
    <w:rsid w:val="009B4027"/>
    <w:rsid w:val="009B4975"/>
    <w:rsid w:val="009B561F"/>
    <w:rsid w:val="009B5773"/>
    <w:rsid w:val="009B5D2D"/>
    <w:rsid w:val="009C058F"/>
    <w:rsid w:val="009C2B3E"/>
    <w:rsid w:val="009C2EA2"/>
    <w:rsid w:val="009C31D5"/>
    <w:rsid w:val="009C3721"/>
    <w:rsid w:val="009C4141"/>
    <w:rsid w:val="009C4704"/>
    <w:rsid w:val="009C4B55"/>
    <w:rsid w:val="009C5FCC"/>
    <w:rsid w:val="009C61A2"/>
    <w:rsid w:val="009C6DF6"/>
    <w:rsid w:val="009C6E92"/>
    <w:rsid w:val="009D04F7"/>
    <w:rsid w:val="009D1589"/>
    <w:rsid w:val="009D2003"/>
    <w:rsid w:val="009D3261"/>
    <w:rsid w:val="009D32C2"/>
    <w:rsid w:val="009D38C2"/>
    <w:rsid w:val="009D417F"/>
    <w:rsid w:val="009D4268"/>
    <w:rsid w:val="009D45E5"/>
    <w:rsid w:val="009D4B85"/>
    <w:rsid w:val="009D535B"/>
    <w:rsid w:val="009D630B"/>
    <w:rsid w:val="009D6CAA"/>
    <w:rsid w:val="009D6CF6"/>
    <w:rsid w:val="009D6E69"/>
    <w:rsid w:val="009E02DC"/>
    <w:rsid w:val="009E2040"/>
    <w:rsid w:val="009E49AE"/>
    <w:rsid w:val="009E4DC7"/>
    <w:rsid w:val="009E5260"/>
    <w:rsid w:val="009E533B"/>
    <w:rsid w:val="009E660A"/>
    <w:rsid w:val="009E6B64"/>
    <w:rsid w:val="009E72E5"/>
    <w:rsid w:val="009F172D"/>
    <w:rsid w:val="009F1DBB"/>
    <w:rsid w:val="009F46C8"/>
    <w:rsid w:val="009F4F2A"/>
    <w:rsid w:val="009F660B"/>
    <w:rsid w:val="009F671E"/>
    <w:rsid w:val="009F72E8"/>
    <w:rsid w:val="009F7ED1"/>
    <w:rsid w:val="00A0149B"/>
    <w:rsid w:val="00A01607"/>
    <w:rsid w:val="00A018D4"/>
    <w:rsid w:val="00A02F9D"/>
    <w:rsid w:val="00A03767"/>
    <w:rsid w:val="00A03F54"/>
    <w:rsid w:val="00A04834"/>
    <w:rsid w:val="00A05628"/>
    <w:rsid w:val="00A07DCF"/>
    <w:rsid w:val="00A12979"/>
    <w:rsid w:val="00A131A9"/>
    <w:rsid w:val="00A1496E"/>
    <w:rsid w:val="00A14F84"/>
    <w:rsid w:val="00A1667B"/>
    <w:rsid w:val="00A16D6D"/>
    <w:rsid w:val="00A17C75"/>
    <w:rsid w:val="00A211C8"/>
    <w:rsid w:val="00A2121E"/>
    <w:rsid w:val="00A21EAC"/>
    <w:rsid w:val="00A21EDF"/>
    <w:rsid w:val="00A221DE"/>
    <w:rsid w:val="00A22CB2"/>
    <w:rsid w:val="00A23138"/>
    <w:rsid w:val="00A232AD"/>
    <w:rsid w:val="00A2347C"/>
    <w:rsid w:val="00A23940"/>
    <w:rsid w:val="00A23ECC"/>
    <w:rsid w:val="00A24CD3"/>
    <w:rsid w:val="00A25461"/>
    <w:rsid w:val="00A259C3"/>
    <w:rsid w:val="00A26367"/>
    <w:rsid w:val="00A2678A"/>
    <w:rsid w:val="00A269E1"/>
    <w:rsid w:val="00A27C08"/>
    <w:rsid w:val="00A27C1C"/>
    <w:rsid w:val="00A3092C"/>
    <w:rsid w:val="00A30F6A"/>
    <w:rsid w:val="00A32AEA"/>
    <w:rsid w:val="00A32F32"/>
    <w:rsid w:val="00A33E80"/>
    <w:rsid w:val="00A33EFE"/>
    <w:rsid w:val="00A4148D"/>
    <w:rsid w:val="00A41C82"/>
    <w:rsid w:val="00A44D0E"/>
    <w:rsid w:val="00A4621D"/>
    <w:rsid w:val="00A46C89"/>
    <w:rsid w:val="00A509FB"/>
    <w:rsid w:val="00A51C19"/>
    <w:rsid w:val="00A51E04"/>
    <w:rsid w:val="00A522B5"/>
    <w:rsid w:val="00A52C31"/>
    <w:rsid w:val="00A52F37"/>
    <w:rsid w:val="00A533C5"/>
    <w:rsid w:val="00A5388C"/>
    <w:rsid w:val="00A5397B"/>
    <w:rsid w:val="00A53BE1"/>
    <w:rsid w:val="00A54644"/>
    <w:rsid w:val="00A549DB"/>
    <w:rsid w:val="00A55921"/>
    <w:rsid w:val="00A560E3"/>
    <w:rsid w:val="00A5628F"/>
    <w:rsid w:val="00A564AF"/>
    <w:rsid w:val="00A566A8"/>
    <w:rsid w:val="00A56D0B"/>
    <w:rsid w:val="00A5775C"/>
    <w:rsid w:val="00A60E72"/>
    <w:rsid w:val="00A61443"/>
    <w:rsid w:val="00A61F0C"/>
    <w:rsid w:val="00A61FF0"/>
    <w:rsid w:val="00A62580"/>
    <w:rsid w:val="00A62E24"/>
    <w:rsid w:val="00A63AC9"/>
    <w:rsid w:val="00A63BAC"/>
    <w:rsid w:val="00A6449F"/>
    <w:rsid w:val="00A64502"/>
    <w:rsid w:val="00A64B5F"/>
    <w:rsid w:val="00A65532"/>
    <w:rsid w:val="00A65EA0"/>
    <w:rsid w:val="00A66517"/>
    <w:rsid w:val="00A67B0E"/>
    <w:rsid w:val="00A7077B"/>
    <w:rsid w:val="00A718EF"/>
    <w:rsid w:val="00A72134"/>
    <w:rsid w:val="00A726A8"/>
    <w:rsid w:val="00A72951"/>
    <w:rsid w:val="00A72CF7"/>
    <w:rsid w:val="00A73505"/>
    <w:rsid w:val="00A75AE1"/>
    <w:rsid w:val="00A75E02"/>
    <w:rsid w:val="00A76E79"/>
    <w:rsid w:val="00A7771B"/>
    <w:rsid w:val="00A77B53"/>
    <w:rsid w:val="00A80944"/>
    <w:rsid w:val="00A80D2A"/>
    <w:rsid w:val="00A811F1"/>
    <w:rsid w:val="00A8272A"/>
    <w:rsid w:val="00A82887"/>
    <w:rsid w:val="00A83010"/>
    <w:rsid w:val="00A835E7"/>
    <w:rsid w:val="00A83BF5"/>
    <w:rsid w:val="00A84CD1"/>
    <w:rsid w:val="00A85B0E"/>
    <w:rsid w:val="00A85E2E"/>
    <w:rsid w:val="00A861F3"/>
    <w:rsid w:val="00A8728F"/>
    <w:rsid w:val="00A8756A"/>
    <w:rsid w:val="00A87B4A"/>
    <w:rsid w:val="00A87F7D"/>
    <w:rsid w:val="00A906B7"/>
    <w:rsid w:val="00A9070E"/>
    <w:rsid w:val="00A90AFF"/>
    <w:rsid w:val="00A9223B"/>
    <w:rsid w:val="00A92DD4"/>
    <w:rsid w:val="00A94D0F"/>
    <w:rsid w:val="00A94F13"/>
    <w:rsid w:val="00A9568C"/>
    <w:rsid w:val="00A95BED"/>
    <w:rsid w:val="00A95EA2"/>
    <w:rsid w:val="00A9787E"/>
    <w:rsid w:val="00A97AF9"/>
    <w:rsid w:val="00AA08E8"/>
    <w:rsid w:val="00AA0DB4"/>
    <w:rsid w:val="00AA11C5"/>
    <w:rsid w:val="00AA17E2"/>
    <w:rsid w:val="00AA21B7"/>
    <w:rsid w:val="00AA244E"/>
    <w:rsid w:val="00AA2AE6"/>
    <w:rsid w:val="00AA2B2D"/>
    <w:rsid w:val="00AA3827"/>
    <w:rsid w:val="00AA382D"/>
    <w:rsid w:val="00AA4A2C"/>
    <w:rsid w:val="00AA59A6"/>
    <w:rsid w:val="00AA6299"/>
    <w:rsid w:val="00AA6D6E"/>
    <w:rsid w:val="00AA6E05"/>
    <w:rsid w:val="00AB0262"/>
    <w:rsid w:val="00AB14A1"/>
    <w:rsid w:val="00AB1A95"/>
    <w:rsid w:val="00AB202A"/>
    <w:rsid w:val="00AB5555"/>
    <w:rsid w:val="00AB55AD"/>
    <w:rsid w:val="00AB5678"/>
    <w:rsid w:val="00AB5D1B"/>
    <w:rsid w:val="00AB6918"/>
    <w:rsid w:val="00AB6B40"/>
    <w:rsid w:val="00AB740A"/>
    <w:rsid w:val="00AB79A2"/>
    <w:rsid w:val="00AC0496"/>
    <w:rsid w:val="00AC1DA5"/>
    <w:rsid w:val="00AC216B"/>
    <w:rsid w:val="00AC26B1"/>
    <w:rsid w:val="00AC3088"/>
    <w:rsid w:val="00AC42B8"/>
    <w:rsid w:val="00AC45C5"/>
    <w:rsid w:val="00AC4791"/>
    <w:rsid w:val="00AC4FB6"/>
    <w:rsid w:val="00AC4FD1"/>
    <w:rsid w:val="00AC5FEF"/>
    <w:rsid w:val="00AC6036"/>
    <w:rsid w:val="00AC6A25"/>
    <w:rsid w:val="00AD0328"/>
    <w:rsid w:val="00AD11DC"/>
    <w:rsid w:val="00AD1966"/>
    <w:rsid w:val="00AD19E8"/>
    <w:rsid w:val="00AD2431"/>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1AE"/>
    <w:rsid w:val="00AE503A"/>
    <w:rsid w:val="00AE5356"/>
    <w:rsid w:val="00AE68E2"/>
    <w:rsid w:val="00AE6D01"/>
    <w:rsid w:val="00AE70F0"/>
    <w:rsid w:val="00AF0157"/>
    <w:rsid w:val="00AF0374"/>
    <w:rsid w:val="00AF1B2E"/>
    <w:rsid w:val="00AF1D37"/>
    <w:rsid w:val="00AF2EC7"/>
    <w:rsid w:val="00AF3AC0"/>
    <w:rsid w:val="00AF3C74"/>
    <w:rsid w:val="00AF4F4A"/>
    <w:rsid w:val="00AF58CC"/>
    <w:rsid w:val="00B00C24"/>
    <w:rsid w:val="00B00F93"/>
    <w:rsid w:val="00B01BBE"/>
    <w:rsid w:val="00B03F92"/>
    <w:rsid w:val="00B055D8"/>
    <w:rsid w:val="00B06CD6"/>
    <w:rsid w:val="00B06EBC"/>
    <w:rsid w:val="00B11D2D"/>
    <w:rsid w:val="00B123F0"/>
    <w:rsid w:val="00B12891"/>
    <w:rsid w:val="00B135CD"/>
    <w:rsid w:val="00B146C1"/>
    <w:rsid w:val="00B146E7"/>
    <w:rsid w:val="00B156DF"/>
    <w:rsid w:val="00B15ABB"/>
    <w:rsid w:val="00B16973"/>
    <w:rsid w:val="00B2036A"/>
    <w:rsid w:val="00B21057"/>
    <w:rsid w:val="00B21D34"/>
    <w:rsid w:val="00B2202B"/>
    <w:rsid w:val="00B23422"/>
    <w:rsid w:val="00B24948"/>
    <w:rsid w:val="00B24CBD"/>
    <w:rsid w:val="00B25CA3"/>
    <w:rsid w:val="00B25D54"/>
    <w:rsid w:val="00B30028"/>
    <w:rsid w:val="00B30B00"/>
    <w:rsid w:val="00B31E8D"/>
    <w:rsid w:val="00B3313B"/>
    <w:rsid w:val="00B331E8"/>
    <w:rsid w:val="00B331EA"/>
    <w:rsid w:val="00B34732"/>
    <w:rsid w:val="00B353B8"/>
    <w:rsid w:val="00B35C56"/>
    <w:rsid w:val="00B35EED"/>
    <w:rsid w:val="00B36F17"/>
    <w:rsid w:val="00B372ED"/>
    <w:rsid w:val="00B37882"/>
    <w:rsid w:val="00B40603"/>
    <w:rsid w:val="00B40669"/>
    <w:rsid w:val="00B40AF6"/>
    <w:rsid w:val="00B41071"/>
    <w:rsid w:val="00B425C0"/>
    <w:rsid w:val="00B42DB6"/>
    <w:rsid w:val="00B4666B"/>
    <w:rsid w:val="00B46957"/>
    <w:rsid w:val="00B46A2D"/>
    <w:rsid w:val="00B47B54"/>
    <w:rsid w:val="00B50E99"/>
    <w:rsid w:val="00B51926"/>
    <w:rsid w:val="00B51F9A"/>
    <w:rsid w:val="00B52374"/>
    <w:rsid w:val="00B54DA7"/>
    <w:rsid w:val="00B57F13"/>
    <w:rsid w:val="00B600C6"/>
    <w:rsid w:val="00B60167"/>
    <w:rsid w:val="00B60FC0"/>
    <w:rsid w:val="00B61665"/>
    <w:rsid w:val="00B62B9A"/>
    <w:rsid w:val="00B631A2"/>
    <w:rsid w:val="00B63528"/>
    <w:rsid w:val="00B63DAF"/>
    <w:rsid w:val="00B63E98"/>
    <w:rsid w:val="00B65754"/>
    <w:rsid w:val="00B661AA"/>
    <w:rsid w:val="00B66242"/>
    <w:rsid w:val="00B670D3"/>
    <w:rsid w:val="00B67838"/>
    <w:rsid w:val="00B6784C"/>
    <w:rsid w:val="00B67958"/>
    <w:rsid w:val="00B701D1"/>
    <w:rsid w:val="00B716BB"/>
    <w:rsid w:val="00B716FD"/>
    <w:rsid w:val="00B71D48"/>
    <w:rsid w:val="00B720C2"/>
    <w:rsid w:val="00B734C2"/>
    <w:rsid w:val="00B737EA"/>
    <w:rsid w:val="00B73A96"/>
    <w:rsid w:val="00B73BDA"/>
    <w:rsid w:val="00B74053"/>
    <w:rsid w:val="00B765A0"/>
    <w:rsid w:val="00B76C02"/>
    <w:rsid w:val="00B77BD2"/>
    <w:rsid w:val="00B8144F"/>
    <w:rsid w:val="00B814CB"/>
    <w:rsid w:val="00B81B6A"/>
    <w:rsid w:val="00B820F4"/>
    <w:rsid w:val="00B835E0"/>
    <w:rsid w:val="00B838CD"/>
    <w:rsid w:val="00B8396D"/>
    <w:rsid w:val="00B83E3D"/>
    <w:rsid w:val="00B870B8"/>
    <w:rsid w:val="00B87C20"/>
    <w:rsid w:val="00B90331"/>
    <w:rsid w:val="00B903ED"/>
    <w:rsid w:val="00B90B2D"/>
    <w:rsid w:val="00B935A1"/>
    <w:rsid w:val="00B95481"/>
    <w:rsid w:val="00B95DAD"/>
    <w:rsid w:val="00B96C0C"/>
    <w:rsid w:val="00B9734D"/>
    <w:rsid w:val="00B97732"/>
    <w:rsid w:val="00B97A0F"/>
    <w:rsid w:val="00B97C08"/>
    <w:rsid w:val="00BA27F4"/>
    <w:rsid w:val="00BA2E40"/>
    <w:rsid w:val="00BA3CB7"/>
    <w:rsid w:val="00BA41DE"/>
    <w:rsid w:val="00BA556C"/>
    <w:rsid w:val="00BB0F31"/>
    <w:rsid w:val="00BB14AE"/>
    <w:rsid w:val="00BB15AB"/>
    <w:rsid w:val="00BB189B"/>
    <w:rsid w:val="00BB1D21"/>
    <w:rsid w:val="00BB2E51"/>
    <w:rsid w:val="00BB3C2C"/>
    <w:rsid w:val="00BB4BEA"/>
    <w:rsid w:val="00BB4C1A"/>
    <w:rsid w:val="00BB50AB"/>
    <w:rsid w:val="00BB6664"/>
    <w:rsid w:val="00BC01FC"/>
    <w:rsid w:val="00BC1F79"/>
    <w:rsid w:val="00BC2201"/>
    <w:rsid w:val="00BC3C7A"/>
    <w:rsid w:val="00BC5C84"/>
    <w:rsid w:val="00BC7DC6"/>
    <w:rsid w:val="00BD0D5D"/>
    <w:rsid w:val="00BD1039"/>
    <w:rsid w:val="00BD13B0"/>
    <w:rsid w:val="00BD13B5"/>
    <w:rsid w:val="00BD1596"/>
    <w:rsid w:val="00BD2EFC"/>
    <w:rsid w:val="00BD340E"/>
    <w:rsid w:val="00BD4D2D"/>
    <w:rsid w:val="00BD60AD"/>
    <w:rsid w:val="00BD6C02"/>
    <w:rsid w:val="00BD70C9"/>
    <w:rsid w:val="00BE1244"/>
    <w:rsid w:val="00BE165D"/>
    <w:rsid w:val="00BE2394"/>
    <w:rsid w:val="00BE2702"/>
    <w:rsid w:val="00BE4326"/>
    <w:rsid w:val="00BE4C4F"/>
    <w:rsid w:val="00BE5F4F"/>
    <w:rsid w:val="00BE60DB"/>
    <w:rsid w:val="00BF0191"/>
    <w:rsid w:val="00BF13EC"/>
    <w:rsid w:val="00BF1742"/>
    <w:rsid w:val="00BF1C07"/>
    <w:rsid w:val="00BF1F46"/>
    <w:rsid w:val="00BF3DEE"/>
    <w:rsid w:val="00BF54AC"/>
    <w:rsid w:val="00BF54BD"/>
    <w:rsid w:val="00BF598C"/>
    <w:rsid w:val="00BF5D03"/>
    <w:rsid w:val="00BF6101"/>
    <w:rsid w:val="00BF6B8E"/>
    <w:rsid w:val="00C01776"/>
    <w:rsid w:val="00C025A5"/>
    <w:rsid w:val="00C03AFA"/>
    <w:rsid w:val="00C03C78"/>
    <w:rsid w:val="00C04FD3"/>
    <w:rsid w:val="00C065A2"/>
    <w:rsid w:val="00C07461"/>
    <w:rsid w:val="00C07919"/>
    <w:rsid w:val="00C103F9"/>
    <w:rsid w:val="00C104AC"/>
    <w:rsid w:val="00C110E1"/>
    <w:rsid w:val="00C1198F"/>
    <w:rsid w:val="00C11FA1"/>
    <w:rsid w:val="00C12E21"/>
    <w:rsid w:val="00C12E65"/>
    <w:rsid w:val="00C13C20"/>
    <w:rsid w:val="00C13F74"/>
    <w:rsid w:val="00C14392"/>
    <w:rsid w:val="00C146D3"/>
    <w:rsid w:val="00C1478A"/>
    <w:rsid w:val="00C16BE0"/>
    <w:rsid w:val="00C21C39"/>
    <w:rsid w:val="00C2325C"/>
    <w:rsid w:val="00C239ED"/>
    <w:rsid w:val="00C24D9D"/>
    <w:rsid w:val="00C25CF3"/>
    <w:rsid w:val="00C263E9"/>
    <w:rsid w:val="00C27490"/>
    <w:rsid w:val="00C2775A"/>
    <w:rsid w:val="00C3063A"/>
    <w:rsid w:val="00C30BAD"/>
    <w:rsid w:val="00C31E8F"/>
    <w:rsid w:val="00C335DA"/>
    <w:rsid w:val="00C33D3E"/>
    <w:rsid w:val="00C34973"/>
    <w:rsid w:val="00C34B1A"/>
    <w:rsid w:val="00C356DC"/>
    <w:rsid w:val="00C362E0"/>
    <w:rsid w:val="00C36ED4"/>
    <w:rsid w:val="00C376CC"/>
    <w:rsid w:val="00C400F7"/>
    <w:rsid w:val="00C40EC6"/>
    <w:rsid w:val="00C411BF"/>
    <w:rsid w:val="00C415C8"/>
    <w:rsid w:val="00C419AD"/>
    <w:rsid w:val="00C41B5F"/>
    <w:rsid w:val="00C420E3"/>
    <w:rsid w:val="00C43777"/>
    <w:rsid w:val="00C437BA"/>
    <w:rsid w:val="00C44395"/>
    <w:rsid w:val="00C443B3"/>
    <w:rsid w:val="00C45CE8"/>
    <w:rsid w:val="00C4674C"/>
    <w:rsid w:val="00C46F06"/>
    <w:rsid w:val="00C47DA6"/>
    <w:rsid w:val="00C50986"/>
    <w:rsid w:val="00C50ABF"/>
    <w:rsid w:val="00C50E12"/>
    <w:rsid w:val="00C50EF2"/>
    <w:rsid w:val="00C51256"/>
    <w:rsid w:val="00C51566"/>
    <w:rsid w:val="00C516B7"/>
    <w:rsid w:val="00C516C4"/>
    <w:rsid w:val="00C51C1F"/>
    <w:rsid w:val="00C51D1C"/>
    <w:rsid w:val="00C52433"/>
    <w:rsid w:val="00C52D62"/>
    <w:rsid w:val="00C52EF3"/>
    <w:rsid w:val="00C533D4"/>
    <w:rsid w:val="00C53869"/>
    <w:rsid w:val="00C53A4C"/>
    <w:rsid w:val="00C5433A"/>
    <w:rsid w:val="00C5448D"/>
    <w:rsid w:val="00C5477F"/>
    <w:rsid w:val="00C547B7"/>
    <w:rsid w:val="00C5503B"/>
    <w:rsid w:val="00C55541"/>
    <w:rsid w:val="00C55A32"/>
    <w:rsid w:val="00C564F2"/>
    <w:rsid w:val="00C56F11"/>
    <w:rsid w:val="00C60C12"/>
    <w:rsid w:val="00C61F3A"/>
    <w:rsid w:val="00C629CB"/>
    <w:rsid w:val="00C62B75"/>
    <w:rsid w:val="00C63B69"/>
    <w:rsid w:val="00C64031"/>
    <w:rsid w:val="00C6510A"/>
    <w:rsid w:val="00C657B5"/>
    <w:rsid w:val="00C661E1"/>
    <w:rsid w:val="00C66554"/>
    <w:rsid w:val="00C66686"/>
    <w:rsid w:val="00C678C4"/>
    <w:rsid w:val="00C71215"/>
    <w:rsid w:val="00C7216B"/>
    <w:rsid w:val="00C727BE"/>
    <w:rsid w:val="00C732A9"/>
    <w:rsid w:val="00C73448"/>
    <w:rsid w:val="00C73E2E"/>
    <w:rsid w:val="00C743DE"/>
    <w:rsid w:val="00C74546"/>
    <w:rsid w:val="00C748E2"/>
    <w:rsid w:val="00C74C11"/>
    <w:rsid w:val="00C7748D"/>
    <w:rsid w:val="00C7776C"/>
    <w:rsid w:val="00C8085E"/>
    <w:rsid w:val="00C82A9F"/>
    <w:rsid w:val="00C82DE9"/>
    <w:rsid w:val="00C8398D"/>
    <w:rsid w:val="00C84BC2"/>
    <w:rsid w:val="00C85139"/>
    <w:rsid w:val="00C85657"/>
    <w:rsid w:val="00C86662"/>
    <w:rsid w:val="00C91C88"/>
    <w:rsid w:val="00C93518"/>
    <w:rsid w:val="00C938FD"/>
    <w:rsid w:val="00C939C3"/>
    <w:rsid w:val="00C94228"/>
    <w:rsid w:val="00C96D56"/>
    <w:rsid w:val="00C977E6"/>
    <w:rsid w:val="00CA0020"/>
    <w:rsid w:val="00CA0B2E"/>
    <w:rsid w:val="00CA18CA"/>
    <w:rsid w:val="00CA2557"/>
    <w:rsid w:val="00CA5413"/>
    <w:rsid w:val="00CA5674"/>
    <w:rsid w:val="00CA5BDA"/>
    <w:rsid w:val="00CA5C1A"/>
    <w:rsid w:val="00CA5CEE"/>
    <w:rsid w:val="00CA633F"/>
    <w:rsid w:val="00CA641E"/>
    <w:rsid w:val="00CA7408"/>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05EB"/>
    <w:rsid w:val="00CE1EAF"/>
    <w:rsid w:val="00CE2184"/>
    <w:rsid w:val="00CE2813"/>
    <w:rsid w:val="00CE3B7F"/>
    <w:rsid w:val="00CE3FA2"/>
    <w:rsid w:val="00CE41A0"/>
    <w:rsid w:val="00CE4958"/>
    <w:rsid w:val="00CE607F"/>
    <w:rsid w:val="00CE68E2"/>
    <w:rsid w:val="00CE706E"/>
    <w:rsid w:val="00CE70B1"/>
    <w:rsid w:val="00CE7AE4"/>
    <w:rsid w:val="00CF019B"/>
    <w:rsid w:val="00CF0788"/>
    <w:rsid w:val="00CF0A4C"/>
    <w:rsid w:val="00CF150A"/>
    <w:rsid w:val="00CF2225"/>
    <w:rsid w:val="00CF25E7"/>
    <w:rsid w:val="00CF3C77"/>
    <w:rsid w:val="00CF45A2"/>
    <w:rsid w:val="00CF52E7"/>
    <w:rsid w:val="00CF64B5"/>
    <w:rsid w:val="00CF7853"/>
    <w:rsid w:val="00CF7F25"/>
    <w:rsid w:val="00D00047"/>
    <w:rsid w:val="00D004ED"/>
    <w:rsid w:val="00D0260F"/>
    <w:rsid w:val="00D02E9A"/>
    <w:rsid w:val="00D03708"/>
    <w:rsid w:val="00D058FB"/>
    <w:rsid w:val="00D06776"/>
    <w:rsid w:val="00D06E46"/>
    <w:rsid w:val="00D06F95"/>
    <w:rsid w:val="00D07B28"/>
    <w:rsid w:val="00D10216"/>
    <w:rsid w:val="00D1158C"/>
    <w:rsid w:val="00D11600"/>
    <w:rsid w:val="00D119A2"/>
    <w:rsid w:val="00D12E31"/>
    <w:rsid w:val="00D13063"/>
    <w:rsid w:val="00D137F9"/>
    <w:rsid w:val="00D1458C"/>
    <w:rsid w:val="00D150CB"/>
    <w:rsid w:val="00D1620E"/>
    <w:rsid w:val="00D16867"/>
    <w:rsid w:val="00D16EEC"/>
    <w:rsid w:val="00D2047A"/>
    <w:rsid w:val="00D20631"/>
    <w:rsid w:val="00D207FC"/>
    <w:rsid w:val="00D2201D"/>
    <w:rsid w:val="00D2260B"/>
    <w:rsid w:val="00D22D49"/>
    <w:rsid w:val="00D23930"/>
    <w:rsid w:val="00D23A23"/>
    <w:rsid w:val="00D24D8A"/>
    <w:rsid w:val="00D24DA4"/>
    <w:rsid w:val="00D24EA4"/>
    <w:rsid w:val="00D25235"/>
    <w:rsid w:val="00D25383"/>
    <w:rsid w:val="00D25670"/>
    <w:rsid w:val="00D26CA9"/>
    <w:rsid w:val="00D301FF"/>
    <w:rsid w:val="00D324C7"/>
    <w:rsid w:val="00D3257F"/>
    <w:rsid w:val="00D340E2"/>
    <w:rsid w:val="00D36887"/>
    <w:rsid w:val="00D37075"/>
    <w:rsid w:val="00D37563"/>
    <w:rsid w:val="00D3784F"/>
    <w:rsid w:val="00D379EB"/>
    <w:rsid w:val="00D400B8"/>
    <w:rsid w:val="00D4022C"/>
    <w:rsid w:val="00D40844"/>
    <w:rsid w:val="00D41023"/>
    <w:rsid w:val="00D41C6C"/>
    <w:rsid w:val="00D42465"/>
    <w:rsid w:val="00D42E5B"/>
    <w:rsid w:val="00D439D1"/>
    <w:rsid w:val="00D43C68"/>
    <w:rsid w:val="00D444B2"/>
    <w:rsid w:val="00D453E4"/>
    <w:rsid w:val="00D460F5"/>
    <w:rsid w:val="00D47226"/>
    <w:rsid w:val="00D50B21"/>
    <w:rsid w:val="00D51349"/>
    <w:rsid w:val="00D51A69"/>
    <w:rsid w:val="00D527AF"/>
    <w:rsid w:val="00D529E1"/>
    <w:rsid w:val="00D534C2"/>
    <w:rsid w:val="00D53A59"/>
    <w:rsid w:val="00D5410F"/>
    <w:rsid w:val="00D564DF"/>
    <w:rsid w:val="00D576DD"/>
    <w:rsid w:val="00D57CB4"/>
    <w:rsid w:val="00D61477"/>
    <w:rsid w:val="00D619E2"/>
    <w:rsid w:val="00D62036"/>
    <w:rsid w:val="00D620CC"/>
    <w:rsid w:val="00D6218B"/>
    <w:rsid w:val="00D62753"/>
    <w:rsid w:val="00D634B8"/>
    <w:rsid w:val="00D63EF3"/>
    <w:rsid w:val="00D64441"/>
    <w:rsid w:val="00D64FB0"/>
    <w:rsid w:val="00D65497"/>
    <w:rsid w:val="00D654DA"/>
    <w:rsid w:val="00D6609E"/>
    <w:rsid w:val="00D67A9F"/>
    <w:rsid w:val="00D67C20"/>
    <w:rsid w:val="00D70C1B"/>
    <w:rsid w:val="00D70E5C"/>
    <w:rsid w:val="00D7146C"/>
    <w:rsid w:val="00D718CD"/>
    <w:rsid w:val="00D72292"/>
    <w:rsid w:val="00D7416F"/>
    <w:rsid w:val="00D751C5"/>
    <w:rsid w:val="00D755F2"/>
    <w:rsid w:val="00D762AC"/>
    <w:rsid w:val="00D775E7"/>
    <w:rsid w:val="00D77B9E"/>
    <w:rsid w:val="00D80724"/>
    <w:rsid w:val="00D80C7B"/>
    <w:rsid w:val="00D81CA9"/>
    <w:rsid w:val="00D839D8"/>
    <w:rsid w:val="00D83F9E"/>
    <w:rsid w:val="00D840C2"/>
    <w:rsid w:val="00D84562"/>
    <w:rsid w:val="00D856F9"/>
    <w:rsid w:val="00D85C16"/>
    <w:rsid w:val="00D85C5A"/>
    <w:rsid w:val="00D86169"/>
    <w:rsid w:val="00D8732E"/>
    <w:rsid w:val="00D91294"/>
    <w:rsid w:val="00D9186A"/>
    <w:rsid w:val="00D92D47"/>
    <w:rsid w:val="00D9338E"/>
    <w:rsid w:val="00D94213"/>
    <w:rsid w:val="00D94934"/>
    <w:rsid w:val="00D94BEB"/>
    <w:rsid w:val="00D94EA5"/>
    <w:rsid w:val="00D957D9"/>
    <w:rsid w:val="00D95F32"/>
    <w:rsid w:val="00D9738D"/>
    <w:rsid w:val="00D97DF1"/>
    <w:rsid w:val="00DA024A"/>
    <w:rsid w:val="00DA07EE"/>
    <w:rsid w:val="00DA0A58"/>
    <w:rsid w:val="00DA1C53"/>
    <w:rsid w:val="00DA1C70"/>
    <w:rsid w:val="00DA1C85"/>
    <w:rsid w:val="00DA1CC9"/>
    <w:rsid w:val="00DA2E58"/>
    <w:rsid w:val="00DA328E"/>
    <w:rsid w:val="00DA3AA6"/>
    <w:rsid w:val="00DA46C1"/>
    <w:rsid w:val="00DA5197"/>
    <w:rsid w:val="00DA70DD"/>
    <w:rsid w:val="00DB088F"/>
    <w:rsid w:val="00DB0B4A"/>
    <w:rsid w:val="00DB1487"/>
    <w:rsid w:val="00DB19B4"/>
    <w:rsid w:val="00DB19F1"/>
    <w:rsid w:val="00DB26AE"/>
    <w:rsid w:val="00DB2D6E"/>
    <w:rsid w:val="00DB4411"/>
    <w:rsid w:val="00DB466D"/>
    <w:rsid w:val="00DB5F13"/>
    <w:rsid w:val="00DB5FD0"/>
    <w:rsid w:val="00DB7395"/>
    <w:rsid w:val="00DB75C2"/>
    <w:rsid w:val="00DB7E2C"/>
    <w:rsid w:val="00DC027B"/>
    <w:rsid w:val="00DC0983"/>
    <w:rsid w:val="00DC0A64"/>
    <w:rsid w:val="00DC0FC4"/>
    <w:rsid w:val="00DC143E"/>
    <w:rsid w:val="00DC1B9A"/>
    <w:rsid w:val="00DC2344"/>
    <w:rsid w:val="00DC2E4F"/>
    <w:rsid w:val="00DC384C"/>
    <w:rsid w:val="00DC40C4"/>
    <w:rsid w:val="00DC4AFD"/>
    <w:rsid w:val="00DC4B3C"/>
    <w:rsid w:val="00DC4D87"/>
    <w:rsid w:val="00DC4D8A"/>
    <w:rsid w:val="00DC6DF6"/>
    <w:rsid w:val="00DC7BFE"/>
    <w:rsid w:val="00DD08C7"/>
    <w:rsid w:val="00DD1A10"/>
    <w:rsid w:val="00DD200D"/>
    <w:rsid w:val="00DD2990"/>
    <w:rsid w:val="00DD2FE9"/>
    <w:rsid w:val="00DD3A7E"/>
    <w:rsid w:val="00DD434E"/>
    <w:rsid w:val="00DD4402"/>
    <w:rsid w:val="00DD4AC7"/>
    <w:rsid w:val="00DD60D0"/>
    <w:rsid w:val="00DD6200"/>
    <w:rsid w:val="00DD686C"/>
    <w:rsid w:val="00DD6E86"/>
    <w:rsid w:val="00DD727F"/>
    <w:rsid w:val="00DE0E5D"/>
    <w:rsid w:val="00DE2BFF"/>
    <w:rsid w:val="00DE339B"/>
    <w:rsid w:val="00DE447F"/>
    <w:rsid w:val="00DE48F0"/>
    <w:rsid w:val="00DE4A77"/>
    <w:rsid w:val="00DE4F54"/>
    <w:rsid w:val="00DE51A6"/>
    <w:rsid w:val="00DE68EE"/>
    <w:rsid w:val="00DE6D24"/>
    <w:rsid w:val="00DE7285"/>
    <w:rsid w:val="00DE7C40"/>
    <w:rsid w:val="00DF0EA5"/>
    <w:rsid w:val="00DF1F1D"/>
    <w:rsid w:val="00DF23A5"/>
    <w:rsid w:val="00DF36BB"/>
    <w:rsid w:val="00DF40F2"/>
    <w:rsid w:val="00DF4C6E"/>
    <w:rsid w:val="00DF6666"/>
    <w:rsid w:val="00DF745E"/>
    <w:rsid w:val="00DF762E"/>
    <w:rsid w:val="00E0044E"/>
    <w:rsid w:val="00E00816"/>
    <w:rsid w:val="00E0239F"/>
    <w:rsid w:val="00E0267B"/>
    <w:rsid w:val="00E04441"/>
    <w:rsid w:val="00E05F03"/>
    <w:rsid w:val="00E05F3B"/>
    <w:rsid w:val="00E06370"/>
    <w:rsid w:val="00E06B7B"/>
    <w:rsid w:val="00E06E20"/>
    <w:rsid w:val="00E07DD9"/>
    <w:rsid w:val="00E102F8"/>
    <w:rsid w:val="00E119C4"/>
    <w:rsid w:val="00E12FCF"/>
    <w:rsid w:val="00E13273"/>
    <w:rsid w:val="00E13379"/>
    <w:rsid w:val="00E1371D"/>
    <w:rsid w:val="00E139EE"/>
    <w:rsid w:val="00E14D83"/>
    <w:rsid w:val="00E14FA6"/>
    <w:rsid w:val="00E15A0D"/>
    <w:rsid w:val="00E16640"/>
    <w:rsid w:val="00E1740F"/>
    <w:rsid w:val="00E200CF"/>
    <w:rsid w:val="00E22BBC"/>
    <w:rsid w:val="00E24112"/>
    <w:rsid w:val="00E24287"/>
    <w:rsid w:val="00E2438C"/>
    <w:rsid w:val="00E30353"/>
    <w:rsid w:val="00E31367"/>
    <w:rsid w:val="00E3181C"/>
    <w:rsid w:val="00E32E3B"/>
    <w:rsid w:val="00E32EF3"/>
    <w:rsid w:val="00E33A6D"/>
    <w:rsid w:val="00E33E21"/>
    <w:rsid w:val="00E34BC4"/>
    <w:rsid w:val="00E3540C"/>
    <w:rsid w:val="00E36187"/>
    <w:rsid w:val="00E36332"/>
    <w:rsid w:val="00E36C9B"/>
    <w:rsid w:val="00E37638"/>
    <w:rsid w:val="00E37E9D"/>
    <w:rsid w:val="00E41B71"/>
    <w:rsid w:val="00E424A3"/>
    <w:rsid w:val="00E42569"/>
    <w:rsid w:val="00E430C3"/>
    <w:rsid w:val="00E434A0"/>
    <w:rsid w:val="00E442AA"/>
    <w:rsid w:val="00E447E9"/>
    <w:rsid w:val="00E44D30"/>
    <w:rsid w:val="00E4597F"/>
    <w:rsid w:val="00E46CB7"/>
    <w:rsid w:val="00E46FDC"/>
    <w:rsid w:val="00E4723D"/>
    <w:rsid w:val="00E505BC"/>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A3F"/>
    <w:rsid w:val="00E60BA8"/>
    <w:rsid w:val="00E61E25"/>
    <w:rsid w:val="00E61E28"/>
    <w:rsid w:val="00E628E4"/>
    <w:rsid w:val="00E647F7"/>
    <w:rsid w:val="00E656F8"/>
    <w:rsid w:val="00E65FF5"/>
    <w:rsid w:val="00E66857"/>
    <w:rsid w:val="00E67556"/>
    <w:rsid w:val="00E6773E"/>
    <w:rsid w:val="00E71B1B"/>
    <w:rsid w:val="00E7252F"/>
    <w:rsid w:val="00E73FC2"/>
    <w:rsid w:val="00E74481"/>
    <w:rsid w:val="00E74517"/>
    <w:rsid w:val="00E755D7"/>
    <w:rsid w:val="00E7566D"/>
    <w:rsid w:val="00E75982"/>
    <w:rsid w:val="00E76DE5"/>
    <w:rsid w:val="00E76E91"/>
    <w:rsid w:val="00E774B4"/>
    <w:rsid w:val="00E778F5"/>
    <w:rsid w:val="00E80E7C"/>
    <w:rsid w:val="00E81779"/>
    <w:rsid w:val="00E8205B"/>
    <w:rsid w:val="00E82444"/>
    <w:rsid w:val="00E8341C"/>
    <w:rsid w:val="00E8452B"/>
    <w:rsid w:val="00E8602B"/>
    <w:rsid w:val="00E86B5F"/>
    <w:rsid w:val="00E87D05"/>
    <w:rsid w:val="00E91F96"/>
    <w:rsid w:val="00E92E99"/>
    <w:rsid w:val="00E968FD"/>
    <w:rsid w:val="00E96D55"/>
    <w:rsid w:val="00E9720F"/>
    <w:rsid w:val="00E97993"/>
    <w:rsid w:val="00EA01A0"/>
    <w:rsid w:val="00EA0624"/>
    <w:rsid w:val="00EA0D5D"/>
    <w:rsid w:val="00EA1192"/>
    <w:rsid w:val="00EA153F"/>
    <w:rsid w:val="00EA1F91"/>
    <w:rsid w:val="00EA24DD"/>
    <w:rsid w:val="00EA2788"/>
    <w:rsid w:val="00EA2C6E"/>
    <w:rsid w:val="00EA4964"/>
    <w:rsid w:val="00EA4CC3"/>
    <w:rsid w:val="00EA4F1A"/>
    <w:rsid w:val="00EA545A"/>
    <w:rsid w:val="00EA6DA2"/>
    <w:rsid w:val="00EB02A5"/>
    <w:rsid w:val="00EB02DE"/>
    <w:rsid w:val="00EB0A07"/>
    <w:rsid w:val="00EB0A54"/>
    <w:rsid w:val="00EB1B69"/>
    <w:rsid w:val="00EB1C78"/>
    <w:rsid w:val="00EB28F5"/>
    <w:rsid w:val="00EB2E22"/>
    <w:rsid w:val="00EB3B46"/>
    <w:rsid w:val="00EB3F7A"/>
    <w:rsid w:val="00EB4F08"/>
    <w:rsid w:val="00EB7BE8"/>
    <w:rsid w:val="00EC06EA"/>
    <w:rsid w:val="00EC2370"/>
    <w:rsid w:val="00EC2E07"/>
    <w:rsid w:val="00EC3FD8"/>
    <w:rsid w:val="00EC43C7"/>
    <w:rsid w:val="00EC465D"/>
    <w:rsid w:val="00EC47BE"/>
    <w:rsid w:val="00EC58CC"/>
    <w:rsid w:val="00EC5C89"/>
    <w:rsid w:val="00EC66D2"/>
    <w:rsid w:val="00EC67E7"/>
    <w:rsid w:val="00ED0533"/>
    <w:rsid w:val="00ED0A1B"/>
    <w:rsid w:val="00ED21BC"/>
    <w:rsid w:val="00ED2472"/>
    <w:rsid w:val="00ED2DF3"/>
    <w:rsid w:val="00ED2FEC"/>
    <w:rsid w:val="00ED3F67"/>
    <w:rsid w:val="00ED440A"/>
    <w:rsid w:val="00ED71FA"/>
    <w:rsid w:val="00ED7971"/>
    <w:rsid w:val="00EE0748"/>
    <w:rsid w:val="00EE1679"/>
    <w:rsid w:val="00EE29A0"/>
    <w:rsid w:val="00EE2CEA"/>
    <w:rsid w:val="00EE3365"/>
    <w:rsid w:val="00EE45CD"/>
    <w:rsid w:val="00EE48DF"/>
    <w:rsid w:val="00EE4AB3"/>
    <w:rsid w:val="00EE50CE"/>
    <w:rsid w:val="00EE6E91"/>
    <w:rsid w:val="00EE7405"/>
    <w:rsid w:val="00EE759E"/>
    <w:rsid w:val="00EF033E"/>
    <w:rsid w:val="00EF06EC"/>
    <w:rsid w:val="00EF14FF"/>
    <w:rsid w:val="00EF2BFE"/>
    <w:rsid w:val="00EF2D85"/>
    <w:rsid w:val="00EF3258"/>
    <w:rsid w:val="00EF402C"/>
    <w:rsid w:val="00EF45E0"/>
    <w:rsid w:val="00EF4D7A"/>
    <w:rsid w:val="00EF4E6F"/>
    <w:rsid w:val="00EF5C82"/>
    <w:rsid w:val="00EF7A15"/>
    <w:rsid w:val="00F01F8C"/>
    <w:rsid w:val="00F035A6"/>
    <w:rsid w:val="00F04AD0"/>
    <w:rsid w:val="00F069BF"/>
    <w:rsid w:val="00F07240"/>
    <w:rsid w:val="00F10033"/>
    <w:rsid w:val="00F10848"/>
    <w:rsid w:val="00F10B68"/>
    <w:rsid w:val="00F11F55"/>
    <w:rsid w:val="00F12723"/>
    <w:rsid w:val="00F12DEC"/>
    <w:rsid w:val="00F13151"/>
    <w:rsid w:val="00F15523"/>
    <w:rsid w:val="00F16391"/>
    <w:rsid w:val="00F16D4C"/>
    <w:rsid w:val="00F17B84"/>
    <w:rsid w:val="00F2062B"/>
    <w:rsid w:val="00F212B2"/>
    <w:rsid w:val="00F21A18"/>
    <w:rsid w:val="00F21E61"/>
    <w:rsid w:val="00F220EA"/>
    <w:rsid w:val="00F222CD"/>
    <w:rsid w:val="00F23C1E"/>
    <w:rsid w:val="00F24EA4"/>
    <w:rsid w:val="00F2625A"/>
    <w:rsid w:val="00F27D4B"/>
    <w:rsid w:val="00F30B81"/>
    <w:rsid w:val="00F31A03"/>
    <w:rsid w:val="00F31F26"/>
    <w:rsid w:val="00F3283C"/>
    <w:rsid w:val="00F32D0F"/>
    <w:rsid w:val="00F33367"/>
    <w:rsid w:val="00F343F0"/>
    <w:rsid w:val="00F34620"/>
    <w:rsid w:val="00F34AAB"/>
    <w:rsid w:val="00F34C4D"/>
    <w:rsid w:val="00F350CF"/>
    <w:rsid w:val="00F35582"/>
    <w:rsid w:val="00F37004"/>
    <w:rsid w:val="00F376A1"/>
    <w:rsid w:val="00F37B8E"/>
    <w:rsid w:val="00F410FE"/>
    <w:rsid w:val="00F41746"/>
    <w:rsid w:val="00F41BCD"/>
    <w:rsid w:val="00F41E79"/>
    <w:rsid w:val="00F4315F"/>
    <w:rsid w:val="00F43B85"/>
    <w:rsid w:val="00F44235"/>
    <w:rsid w:val="00F445F6"/>
    <w:rsid w:val="00F4512F"/>
    <w:rsid w:val="00F45763"/>
    <w:rsid w:val="00F45BCF"/>
    <w:rsid w:val="00F45BEA"/>
    <w:rsid w:val="00F45CFE"/>
    <w:rsid w:val="00F46677"/>
    <w:rsid w:val="00F46877"/>
    <w:rsid w:val="00F47523"/>
    <w:rsid w:val="00F47F3E"/>
    <w:rsid w:val="00F502B1"/>
    <w:rsid w:val="00F512E1"/>
    <w:rsid w:val="00F523D7"/>
    <w:rsid w:val="00F530E6"/>
    <w:rsid w:val="00F532C7"/>
    <w:rsid w:val="00F5352A"/>
    <w:rsid w:val="00F536AD"/>
    <w:rsid w:val="00F54EE5"/>
    <w:rsid w:val="00F55358"/>
    <w:rsid w:val="00F55685"/>
    <w:rsid w:val="00F558F6"/>
    <w:rsid w:val="00F5603C"/>
    <w:rsid w:val="00F5605C"/>
    <w:rsid w:val="00F564B9"/>
    <w:rsid w:val="00F5767C"/>
    <w:rsid w:val="00F57909"/>
    <w:rsid w:val="00F612D6"/>
    <w:rsid w:val="00F62C0E"/>
    <w:rsid w:val="00F63400"/>
    <w:rsid w:val="00F636C6"/>
    <w:rsid w:val="00F6433D"/>
    <w:rsid w:val="00F6573E"/>
    <w:rsid w:val="00F662EB"/>
    <w:rsid w:val="00F67606"/>
    <w:rsid w:val="00F677AF"/>
    <w:rsid w:val="00F67C2D"/>
    <w:rsid w:val="00F67EC8"/>
    <w:rsid w:val="00F70327"/>
    <w:rsid w:val="00F70FEF"/>
    <w:rsid w:val="00F72091"/>
    <w:rsid w:val="00F72FA8"/>
    <w:rsid w:val="00F75415"/>
    <w:rsid w:val="00F761B9"/>
    <w:rsid w:val="00F773F9"/>
    <w:rsid w:val="00F8101C"/>
    <w:rsid w:val="00F817B9"/>
    <w:rsid w:val="00F81CB7"/>
    <w:rsid w:val="00F82264"/>
    <w:rsid w:val="00F82280"/>
    <w:rsid w:val="00F8235F"/>
    <w:rsid w:val="00F83A22"/>
    <w:rsid w:val="00F83A97"/>
    <w:rsid w:val="00F844F0"/>
    <w:rsid w:val="00F84895"/>
    <w:rsid w:val="00F84E9D"/>
    <w:rsid w:val="00F85DB3"/>
    <w:rsid w:val="00F8659E"/>
    <w:rsid w:val="00F86CE4"/>
    <w:rsid w:val="00F86F42"/>
    <w:rsid w:val="00F877A9"/>
    <w:rsid w:val="00F91941"/>
    <w:rsid w:val="00F92E3F"/>
    <w:rsid w:val="00F938D2"/>
    <w:rsid w:val="00F94E31"/>
    <w:rsid w:val="00F96389"/>
    <w:rsid w:val="00F9650E"/>
    <w:rsid w:val="00F96B73"/>
    <w:rsid w:val="00F96E3F"/>
    <w:rsid w:val="00F977C7"/>
    <w:rsid w:val="00F97B13"/>
    <w:rsid w:val="00FA0890"/>
    <w:rsid w:val="00FA164A"/>
    <w:rsid w:val="00FA3B26"/>
    <w:rsid w:val="00FA3F3E"/>
    <w:rsid w:val="00FA4272"/>
    <w:rsid w:val="00FA4855"/>
    <w:rsid w:val="00FA4ACD"/>
    <w:rsid w:val="00FA6428"/>
    <w:rsid w:val="00FA685C"/>
    <w:rsid w:val="00FA7144"/>
    <w:rsid w:val="00FA7184"/>
    <w:rsid w:val="00FA7536"/>
    <w:rsid w:val="00FB1D9D"/>
    <w:rsid w:val="00FB2248"/>
    <w:rsid w:val="00FB260A"/>
    <w:rsid w:val="00FB2AA1"/>
    <w:rsid w:val="00FB3304"/>
    <w:rsid w:val="00FB46B8"/>
    <w:rsid w:val="00FB4B38"/>
    <w:rsid w:val="00FB54BB"/>
    <w:rsid w:val="00FB591C"/>
    <w:rsid w:val="00FB5AC0"/>
    <w:rsid w:val="00FB6C91"/>
    <w:rsid w:val="00FB7284"/>
    <w:rsid w:val="00FB74E8"/>
    <w:rsid w:val="00FC0263"/>
    <w:rsid w:val="00FC0348"/>
    <w:rsid w:val="00FC0481"/>
    <w:rsid w:val="00FC0FB5"/>
    <w:rsid w:val="00FC102A"/>
    <w:rsid w:val="00FC154C"/>
    <w:rsid w:val="00FC1DBC"/>
    <w:rsid w:val="00FC2139"/>
    <w:rsid w:val="00FC2637"/>
    <w:rsid w:val="00FC393B"/>
    <w:rsid w:val="00FC4052"/>
    <w:rsid w:val="00FC5252"/>
    <w:rsid w:val="00FC6356"/>
    <w:rsid w:val="00FC7D01"/>
    <w:rsid w:val="00FD0130"/>
    <w:rsid w:val="00FD0373"/>
    <w:rsid w:val="00FD0582"/>
    <w:rsid w:val="00FD0C93"/>
    <w:rsid w:val="00FD1062"/>
    <w:rsid w:val="00FD2589"/>
    <w:rsid w:val="00FD4579"/>
    <w:rsid w:val="00FD4876"/>
    <w:rsid w:val="00FD52A3"/>
    <w:rsid w:val="00FD68D4"/>
    <w:rsid w:val="00FD7C46"/>
    <w:rsid w:val="00FE00D9"/>
    <w:rsid w:val="00FE1186"/>
    <w:rsid w:val="00FE177A"/>
    <w:rsid w:val="00FE240A"/>
    <w:rsid w:val="00FE3DE2"/>
    <w:rsid w:val="00FE3E3C"/>
    <w:rsid w:val="00FE3F88"/>
    <w:rsid w:val="00FE43E7"/>
    <w:rsid w:val="00FE4A40"/>
    <w:rsid w:val="00FE4B66"/>
    <w:rsid w:val="00FE4F6E"/>
    <w:rsid w:val="00FE583F"/>
    <w:rsid w:val="00FE5CC4"/>
    <w:rsid w:val="00FE6B13"/>
    <w:rsid w:val="00FE6F59"/>
    <w:rsid w:val="00FE7575"/>
    <w:rsid w:val="00FF1070"/>
    <w:rsid w:val="00FF13E2"/>
    <w:rsid w:val="00FF2237"/>
    <w:rsid w:val="00FF229D"/>
    <w:rsid w:val="00FF4953"/>
    <w:rsid w:val="00FF5640"/>
    <w:rsid w:val="00FF5FA3"/>
    <w:rsid w:val="00FF5FCE"/>
    <w:rsid w:val="00FF6177"/>
    <w:rsid w:val="00FF6AD9"/>
    <w:rsid w:val="06C297B4"/>
    <w:rsid w:val="074E5587"/>
    <w:rsid w:val="09F81ACD"/>
    <w:rsid w:val="0BC50AAE"/>
    <w:rsid w:val="0CD72002"/>
    <w:rsid w:val="0E23B495"/>
    <w:rsid w:val="0FF59867"/>
    <w:rsid w:val="10987BD1"/>
    <w:rsid w:val="1EF51451"/>
    <w:rsid w:val="1EF9A6DD"/>
    <w:rsid w:val="21AF7A18"/>
    <w:rsid w:val="22968070"/>
    <w:rsid w:val="25A805A4"/>
    <w:rsid w:val="2682EB3B"/>
    <w:rsid w:val="281EBB9C"/>
    <w:rsid w:val="28A876A9"/>
    <w:rsid w:val="2E67BD39"/>
    <w:rsid w:val="2E74D4C3"/>
    <w:rsid w:val="2F17B82D"/>
    <w:rsid w:val="30947CCD"/>
    <w:rsid w:val="33B43B1B"/>
    <w:rsid w:val="33ED070D"/>
    <w:rsid w:val="35407515"/>
    <w:rsid w:val="3DD5D395"/>
    <w:rsid w:val="3FE2CE1E"/>
    <w:rsid w:val="4833613A"/>
    <w:rsid w:val="4B53359B"/>
    <w:rsid w:val="51AB92E5"/>
    <w:rsid w:val="522FC507"/>
    <w:rsid w:val="5711D736"/>
    <w:rsid w:val="58122949"/>
    <w:rsid w:val="5A9AC4F6"/>
    <w:rsid w:val="5F6AA48E"/>
    <w:rsid w:val="5F738856"/>
    <w:rsid w:val="62D168FF"/>
    <w:rsid w:val="6446F979"/>
    <w:rsid w:val="646D3960"/>
    <w:rsid w:val="6AF57070"/>
    <w:rsid w:val="6C42A70A"/>
    <w:rsid w:val="6E57E3A5"/>
    <w:rsid w:val="791F538F"/>
    <w:rsid w:val="7BEBE555"/>
    <w:rsid w:val="7C56F451"/>
    <w:rsid w:val="7FA7BD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87FE5"/>
  <w15:chartTrackingRefBased/>
  <w15:docId w15:val="{423D3BAA-B8F3-4355-81F5-2E004C49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0E47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locked/>
    <w:rsid w:val="00DE4F5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qFormat/>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rsid w:val="005646E5"/>
    <w:pPr>
      <w:suppressAutoHyphens/>
      <w:autoSpaceDN w:val="0"/>
      <w:textAlignment w:val="baseline"/>
    </w:pPr>
    <w:rPr>
      <w:rFonts w:ascii="Calibri" w:eastAsia="Calibri" w:hAnsi="Calibri"/>
      <w:sz w:val="20"/>
      <w:szCs w:val="20"/>
      <w:lang w:eastAsia="en-US"/>
    </w:rPr>
  </w:style>
  <w:style w:type="character" w:customStyle="1" w:styleId="FootnoteTextChar">
    <w:name w:val="Footnote Text Char"/>
    <w:link w:val="FootnoteText"/>
    <w:uiPriority w:val="99"/>
    <w:rsid w:val="005646E5"/>
    <w:rPr>
      <w:rFonts w:ascii="Calibri" w:eastAsia="Calibri" w:hAnsi="Calibri"/>
      <w:lang w:eastAsia="en-US"/>
    </w:rPr>
  </w:style>
  <w:style w:type="character" w:styleId="FootnoteReference">
    <w:name w:val="footnote reference"/>
    <w:uiPriority w:val="99"/>
    <w:rsid w:val="005646E5"/>
    <w:rPr>
      <w:position w:val="0"/>
      <w:vertAlign w:val="superscript"/>
    </w:rPr>
  </w:style>
  <w:style w:type="character" w:customStyle="1" w:styleId="apple-converted-space">
    <w:name w:val="apple-converted-space"/>
    <w:rsid w:val="00D9338E"/>
  </w:style>
  <w:style w:type="paragraph" w:styleId="NoSpacing">
    <w:name w:val="No Spacing"/>
    <w:basedOn w:val="Normal"/>
    <w:link w:val="NoSpacingChar"/>
    <w:uiPriority w:val="1"/>
    <w:qFormat/>
    <w:rsid w:val="00704AD1"/>
    <w:rPr>
      <w:rFonts w:asciiTheme="minorHAnsi" w:eastAsiaTheme="minorHAnsi" w:hAnsiTheme="minorHAnsi" w:cstheme="minorBidi"/>
      <w:sz w:val="20"/>
      <w:szCs w:val="20"/>
      <w:lang w:val="en-GB" w:eastAsia="en-US"/>
    </w:rPr>
  </w:style>
  <w:style w:type="character" w:customStyle="1" w:styleId="NoSpacingChar">
    <w:name w:val="No Spacing Char"/>
    <w:basedOn w:val="DefaultParagraphFont"/>
    <w:link w:val="NoSpacing"/>
    <w:uiPriority w:val="1"/>
    <w:rsid w:val="00704AD1"/>
    <w:rPr>
      <w:rFonts w:asciiTheme="minorHAnsi" w:eastAsiaTheme="minorHAnsi" w:hAnsiTheme="minorHAnsi" w:cstheme="minorBidi"/>
      <w:lang w:val="en-GB" w:eastAsia="en-US"/>
    </w:rPr>
  </w:style>
  <w:style w:type="character" w:customStyle="1" w:styleId="Heading3Char">
    <w:name w:val="Heading 3 Char"/>
    <w:basedOn w:val="DefaultParagraphFont"/>
    <w:link w:val="Heading3"/>
    <w:semiHidden/>
    <w:rsid w:val="00DE4F54"/>
    <w:rPr>
      <w:rFonts w:asciiTheme="majorHAnsi" w:eastAsiaTheme="majorEastAsia" w:hAnsiTheme="majorHAnsi" w:cstheme="majorBidi"/>
      <w:color w:val="1F3763" w:themeColor="accent1" w:themeShade="7F"/>
      <w:sz w:val="24"/>
      <w:szCs w:val="24"/>
      <w:lang w:val="lv-LV" w:eastAsia="lv-LV"/>
    </w:rPr>
  </w:style>
  <w:style w:type="character" w:customStyle="1" w:styleId="Heading2Char">
    <w:name w:val="Heading 2 Char"/>
    <w:basedOn w:val="DefaultParagraphFont"/>
    <w:link w:val="Heading2"/>
    <w:semiHidden/>
    <w:rsid w:val="000E471B"/>
    <w:rPr>
      <w:rFonts w:asciiTheme="majorHAnsi" w:eastAsiaTheme="majorEastAsia" w:hAnsiTheme="majorHAnsi" w:cstheme="majorBidi"/>
      <w:color w:val="2F5496" w:themeColor="accent1" w:themeShade="BF"/>
      <w:sz w:val="26"/>
      <w:szCs w:val="26"/>
      <w:lang w:val="lv-LV" w:eastAsia="lv-LV"/>
    </w:rPr>
  </w:style>
  <w:style w:type="character" w:customStyle="1" w:styleId="ListLabel15">
    <w:name w:val="ListLabel 15"/>
    <w:qFormat/>
    <w:rsid w:val="009B2DCB"/>
    <w:rPr>
      <w:rFonts w:cs="Times New Roman"/>
    </w:rPr>
  </w:style>
  <w:style w:type="paragraph" w:customStyle="1" w:styleId="xmsonormal">
    <w:name w:val="x_msonormal"/>
    <w:basedOn w:val="Normal"/>
    <w:rsid w:val="009B2DCB"/>
    <w:rPr>
      <w:rFonts w:ascii="Calibri" w:eastAsiaTheme="minorHAnsi" w:hAnsi="Calibri" w:cs="Calibri"/>
      <w:sz w:val="22"/>
      <w:szCs w:val="22"/>
    </w:rPr>
  </w:style>
  <w:style w:type="paragraph" w:styleId="Revision">
    <w:name w:val="Revision"/>
    <w:hidden/>
    <w:uiPriority w:val="99"/>
    <w:semiHidden/>
    <w:rsid w:val="006313CC"/>
    <w:rPr>
      <w:sz w:val="24"/>
      <w:szCs w:val="24"/>
      <w:lang w:val="lv-LV" w:eastAsia="lv-LV"/>
    </w:rPr>
  </w:style>
  <w:style w:type="paragraph" w:customStyle="1" w:styleId="paragraph">
    <w:name w:val="paragraph"/>
    <w:basedOn w:val="Normal"/>
    <w:rsid w:val="003C1E96"/>
    <w:pPr>
      <w:spacing w:before="100" w:beforeAutospacing="1" w:after="100" w:afterAutospacing="1"/>
    </w:pPr>
  </w:style>
  <w:style w:type="character" w:customStyle="1" w:styleId="normaltextrun">
    <w:name w:val="normaltextrun"/>
    <w:basedOn w:val="DefaultParagraphFont"/>
    <w:rsid w:val="003C1E96"/>
  </w:style>
  <w:style w:type="character" w:customStyle="1" w:styleId="eop">
    <w:name w:val="eop"/>
    <w:basedOn w:val="DefaultParagraphFont"/>
    <w:rsid w:val="003C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0114">
      <w:bodyDiv w:val="1"/>
      <w:marLeft w:val="0"/>
      <w:marRight w:val="0"/>
      <w:marTop w:val="0"/>
      <w:marBottom w:val="0"/>
      <w:divBdr>
        <w:top w:val="none" w:sz="0" w:space="0" w:color="auto"/>
        <w:left w:val="none" w:sz="0" w:space="0" w:color="auto"/>
        <w:bottom w:val="none" w:sz="0" w:space="0" w:color="auto"/>
        <w:right w:val="none" w:sz="0" w:space="0" w:color="auto"/>
      </w:divBdr>
      <w:divsChild>
        <w:div w:id="314720059">
          <w:marLeft w:val="0"/>
          <w:marRight w:val="0"/>
          <w:marTop w:val="0"/>
          <w:marBottom w:val="0"/>
          <w:divBdr>
            <w:top w:val="none" w:sz="0" w:space="0" w:color="auto"/>
            <w:left w:val="none" w:sz="0" w:space="0" w:color="auto"/>
            <w:bottom w:val="none" w:sz="0" w:space="0" w:color="auto"/>
            <w:right w:val="none" w:sz="0" w:space="0" w:color="auto"/>
          </w:divBdr>
        </w:div>
        <w:div w:id="1258712355">
          <w:marLeft w:val="0"/>
          <w:marRight w:val="0"/>
          <w:marTop w:val="0"/>
          <w:marBottom w:val="0"/>
          <w:divBdr>
            <w:top w:val="none" w:sz="0" w:space="0" w:color="auto"/>
            <w:left w:val="none" w:sz="0" w:space="0" w:color="auto"/>
            <w:bottom w:val="none" w:sz="0" w:space="0" w:color="auto"/>
            <w:right w:val="none" w:sz="0" w:space="0" w:color="auto"/>
          </w:divBdr>
        </w:div>
        <w:div w:id="2043094444">
          <w:marLeft w:val="0"/>
          <w:marRight w:val="0"/>
          <w:marTop w:val="0"/>
          <w:marBottom w:val="0"/>
          <w:divBdr>
            <w:top w:val="none" w:sz="0" w:space="0" w:color="auto"/>
            <w:left w:val="none" w:sz="0" w:space="0" w:color="auto"/>
            <w:bottom w:val="none" w:sz="0" w:space="0" w:color="auto"/>
            <w:right w:val="none" w:sz="0" w:space="0" w:color="auto"/>
          </w:divBdr>
        </w:div>
        <w:div w:id="1093627596">
          <w:marLeft w:val="0"/>
          <w:marRight w:val="0"/>
          <w:marTop w:val="0"/>
          <w:marBottom w:val="0"/>
          <w:divBdr>
            <w:top w:val="none" w:sz="0" w:space="0" w:color="auto"/>
            <w:left w:val="none" w:sz="0" w:space="0" w:color="auto"/>
            <w:bottom w:val="none" w:sz="0" w:space="0" w:color="auto"/>
            <w:right w:val="none" w:sz="0" w:space="0" w:color="auto"/>
          </w:divBdr>
        </w:div>
        <w:div w:id="602229903">
          <w:marLeft w:val="0"/>
          <w:marRight w:val="0"/>
          <w:marTop w:val="0"/>
          <w:marBottom w:val="0"/>
          <w:divBdr>
            <w:top w:val="none" w:sz="0" w:space="0" w:color="auto"/>
            <w:left w:val="none" w:sz="0" w:space="0" w:color="auto"/>
            <w:bottom w:val="none" w:sz="0" w:space="0" w:color="auto"/>
            <w:right w:val="none" w:sz="0" w:space="0" w:color="auto"/>
          </w:divBdr>
        </w:div>
        <w:div w:id="953556096">
          <w:marLeft w:val="0"/>
          <w:marRight w:val="0"/>
          <w:marTop w:val="0"/>
          <w:marBottom w:val="0"/>
          <w:divBdr>
            <w:top w:val="none" w:sz="0" w:space="0" w:color="auto"/>
            <w:left w:val="none" w:sz="0" w:space="0" w:color="auto"/>
            <w:bottom w:val="none" w:sz="0" w:space="0" w:color="auto"/>
            <w:right w:val="none" w:sz="0" w:space="0" w:color="auto"/>
          </w:divBdr>
        </w:div>
        <w:div w:id="1532646854">
          <w:marLeft w:val="0"/>
          <w:marRight w:val="0"/>
          <w:marTop w:val="0"/>
          <w:marBottom w:val="0"/>
          <w:divBdr>
            <w:top w:val="none" w:sz="0" w:space="0" w:color="auto"/>
            <w:left w:val="none" w:sz="0" w:space="0" w:color="auto"/>
            <w:bottom w:val="none" w:sz="0" w:space="0" w:color="auto"/>
            <w:right w:val="none" w:sz="0" w:space="0" w:color="auto"/>
          </w:divBdr>
        </w:div>
        <w:div w:id="588778092">
          <w:marLeft w:val="0"/>
          <w:marRight w:val="0"/>
          <w:marTop w:val="0"/>
          <w:marBottom w:val="0"/>
          <w:divBdr>
            <w:top w:val="none" w:sz="0" w:space="0" w:color="auto"/>
            <w:left w:val="none" w:sz="0" w:space="0" w:color="auto"/>
            <w:bottom w:val="none" w:sz="0" w:space="0" w:color="auto"/>
            <w:right w:val="none" w:sz="0" w:space="0" w:color="auto"/>
          </w:divBdr>
        </w:div>
        <w:div w:id="1355884417">
          <w:marLeft w:val="0"/>
          <w:marRight w:val="0"/>
          <w:marTop w:val="0"/>
          <w:marBottom w:val="0"/>
          <w:divBdr>
            <w:top w:val="none" w:sz="0" w:space="0" w:color="auto"/>
            <w:left w:val="none" w:sz="0" w:space="0" w:color="auto"/>
            <w:bottom w:val="none" w:sz="0" w:space="0" w:color="auto"/>
            <w:right w:val="none" w:sz="0" w:space="0" w:color="auto"/>
          </w:divBdr>
        </w:div>
        <w:div w:id="144974116">
          <w:marLeft w:val="0"/>
          <w:marRight w:val="0"/>
          <w:marTop w:val="0"/>
          <w:marBottom w:val="0"/>
          <w:divBdr>
            <w:top w:val="none" w:sz="0" w:space="0" w:color="auto"/>
            <w:left w:val="none" w:sz="0" w:space="0" w:color="auto"/>
            <w:bottom w:val="none" w:sz="0" w:space="0" w:color="auto"/>
            <w:right w:val="none" w:sz="0" w:space="0" w:color="auto"/>
          </w:divBdr>
        </w:div>
        <w:div w:id="1919778494">
          <w:marLeft w:val="0"/>
          <w:marRight w:val="0"/>
          <w:marTop w:val="0"/>
          <w:marBottom w:val="0"/>
          <w:divBdr>
            <w:top w:val="none" w:sz="0" w:space="0" w:color="auto"/>
            <w:left w:val="none" w:sz="0" w:space="0" w:color="auto"/>
            <w:bottom w:val="none" w:sz="0" w:space="0" w:color="auto"/>
            <w:right w:val="none" w:sz="0" w:space="0" w:color="auto"/>
          </w:divBdr>
        </w:div>
        <w:div w:id="1730686445">
          <w:marLeft w:val="0"/>
          <w:marRight w:val="0"/>
          <w:marTop w:val="0"/>
          <w:marBottom w:val="0"/>
          <w:divBdr>
            <w:top w:val="none" w:sz="0" w:space="0" w:color="auto"/>
            <w:left w:val="none" w:sz="0" w:space="0" w:color="auto"/>
            <w:bottom w:val="none" w:sz="0" w:space="0" w:color="auto"/>
            <w:right w:val="none" w:sz="0" w:space="0" w:color="auto"/>
          </w:divBdr>
        </w:div>
        <w:div w:id="2108846364">
          <w:marLeft w:val="0"/>
          <w:marRight w:val="0"/>
          <w:marTop w:val="0"/>
          <w:marBottom w:val="0"/>
          <w:divBdr>
            <w:top w:val="none" w:sz="0" w:space="0" w:color="auto"/>
            <w:left w:val="none" w:sz="0" w:space="0" w:color="auto"/>
            <w:bottom w:val="none" w:sz="0" w:space="0" w:color="auto"/>
            <w:right w:val="none" w:sz="0" w:space="0" w:color="auto"/>
          </w:divBdr>
        </w:div>
        <w:div w:id="1949505978">
          <w:marLeft w:val="0"/>
          <w:marRight w:val="0"/>
          <w:marTop w:val="0"/>
          <w:marBottom w:val="0"/>
          <w:divBdr>
            <w:top w:val="none" w:sz="0" w:space="0" w:color="auto"/>
            <w:left w:val="none" w:sz="0" w:space="0" w:color="auto"/>
            <w:bottom w:val="none" w:sz="0" w:space="0" w:color="auto"/>
            <w:right w:val="none" w:sz="0" w:space="0" w:color="auto"/>
          </w:divBdr>
        </w:div>
        <w:div w:id="138614005">
          <w:marLeft w:val="0"/>
          <w:marRight w:val="0"/>
          <w:marTop w:val="0"/>
          <w:marBottom w:val="0"/>
          <w:divBdr>
            <w:top w:val="none" w:sz="0" w:space="0" w:color="auto"/>
            <w:left w:val="none" w:sz="0" w:space="0" w:color="auto"/>
            <w:bottom w:val="none" w:sz="0" w:space="0" w:color="auto"/>
            <w:right w:val="none" w:sz="0" w:space="0" w:color="auto"/>
          </w:divBdr>
        </w:div>
      </w:divsChild>
    </w:div>
    <w:div w:id="216475250">
      <w:bodyDiv w:val="1"/>
      <w:marLeft w:val="0"/>
      <w:marRight w:val="0"/>
      <w:marTop w:val="0"/>
      <w:marBottom w:val="0"/>
      <w:divBdr>
        <w:top w:val="none" w:sz="0" w:space="0" w:color="auto"/>
        <w:left w:val="none" w:sz="0" w:space="0" w:color="auto"/>
        <w:bottom w:val="none" w:sz="0" w:space="0" w:color="auto"/>
        <w:right w:val="none" w:sz="0" w:space="0" w:color="auto"/>
      </w:divBdr>
    </w:div>
    <w:div w:id="217909478">
      <w:bodyDiv w:val="1"/>
      <w:marLeft w:val="0"/>
      <w:marRight w:val="0"/>
      <w:marTop w:val="0"/>
      <w:marBottom w:val="0"/>
      <w:divBdr>
        <w:top w:val="none" w:sz="0" w:space="0" w:color="auto"/>
        <w:left w:val="none" w:sz="0" w:space="0" w:color="auto"/>
        <w:bottom w:val="none" w:sz="0" w:space="0" w:color="auto"/>
        <w:right w:val="none" w:sz="0" w:space="0" w:color="auto"/>
      </w:divBdr>
      <w:divsChild>
        <w:div w:id="599872599">
          <w:marLeft w:val="0"/>
          <w:marRight w:val="0"/>
          <w:marTop w:val="0"/>
          <w:marBottom w:val="0"/>
          <w:divBdr>
            <w:top w:val="none" w:sz="0" w:space="0" w:color="auto"/>
            <w:left w:val="none" w:sz="0" w:space="0" w:color="auto"/>
            <w:bottom w:val="none" w:sz="0" w:space="0" w:color="auto"/>
            <w:right w:val="none" w:sz="0" w:space="0" w:color="auto"/>
          </w:divBdr>
        </w:div>
        <w:div w:id="485829298">
          <w:marLeft w:val="0"/>
          <w:marRight w:val="0"/>
          <w:marTop w:val="0"/>
          <w:marBottom w:val="0"/>
          <w:divBdr>
            <w:top w:val="none" w:sz="0" w:space="0" w:color="auto"/>
            <w:left w:val="none" w:sz="0" w:space="0" w:color="auto"/>
            <w:bottom w:val="none" w:sz="0" w:space="0" w:color="auto"/>
            <w:right w:val="none" w:sz="0" w:space="0" w:color="auto"/>
          </w:divBdr>
        </w:div>
      </w:divsChild>
    </w:div>
    <w:div w:id="307591012">
      <w:bodyDiv w:val="1"/>
      <w:marLeft w:val="0"/>
      <w:marRight w:val="0"/>
      <w:marTop w:val="0"/>
      <w:marBottom w:val="0"/>
      <w:divBdr>
        <w:top w:val="none" w:sz="0" w:space="0" w:color="auto"/>
        <w:left w:val="none" w:sz="0" w:space="0" w:color="auto"/>
        <w:bottom w:val="none" w:sz="0" w:space="0" w:color="auto"/>
        <w:right w:val="none" w:sz="0" w:space="0" w:color="auto"/>
      </w:divBdr>
      <w:divsChild>
        <w:div w:id="1659383404">
          <w:marLeft w:val="0"/>
          <w:marRight w:val="0"/>
          <w:marTop w:val="0"/>
          <w:marBottom w:val="0"/>
          <w:divBdr>
            <w:top w:val="none" w:sz="0" w:space="0" w:color="auto"/>
            <w:left w:val="none" w:sz="0" w:space="0" w:color="auto"/>
            <w:bottom w:val="none" w:sz="0" w:space="0" w:color="auto"/>
            <w:right w:val="none" w:sz="0" w:space="0" w:color="auto"/>
          </w:divBdr>
        </w:div>
        <w:div w:id="2011907701">
          <w:marLeft w:val="0"/>
          <w:marRight w:val="0"/>
          <w:marTop w:val="0"/>
          <w:marBottom w:val="0"/>
          <w:divBdr>
            <w:top w:val="none" w:sz="0" w:space="0" w:color="auto"/>
            <w:left w:val="none" w:sz="0" w:space="0" w:color="auto"/>
            <w:bottom w:val="none" w:sz="0" w:space="0" w:color="auto"/>
            <w:right w:val="none" w:sz="0" w:space="0" w:color="auto"/>
          </w:divBdr>
        </w:div>
        <w:div w:id="457770845">
          <w:marLeft w:val="0"/>
          <w:marRight w:val="0"/>
          <w:marTop w:val="0"/>
          <w:marBottom w:val="0"/>
          <w:divBdr>
            <w:top w:val="none" w:sz="0" w:space="0" w:color="auto"/>
            <w:left w:val="none" w:sz="0" w:space="0" w:color="auto"/>
            <w:bottom w:val="none" w:sz="0" w:space="0" w:color="auto"/>
            <w:right w:val="none" w:sz="0" w:space="0" w:color="auto"/>
          </w:divBdr>
        </w:div>
        <w:div w:id="297682976">
          <w:marLeft w:val="0"/>
          <w:marRight w:val="0"/>
          <w:marTop w:val="0"/>
          <w:marBottom w:val="0"/>
          <w:divBdr>
            <w:top w:val="none" w:sz="0" w:space="0" w:color="auto"/>
            <w:left w:val="none" w:sz="0" w:space="0" w:color="auto"/>
            <w:bottom w:val="none" w:sz="0" w:space="0" w:color="auto"/>
            <w:right w:val="none" w:sz="0" w:space="0" w:color="auto"/>
          </w:divBdr>
        </w:div>
        <w:div w:id="13701383">
          <w:marLeft w:val="0"/>
          <w:marRight w:val="0"/>
          <w:marTop w:val="0"/>
          <w:marBottom w:val="0"/>
          <w:divBdr>
            <w:top w:val="none" w:sz="0" w:space="0" w:color="auto"/>
            <w:left w:val="none" w:sz="0" w:space="0" w:color="auto"/>
            <w:bottom w:val="none" w:sz="0" w:space="0" w:color="auto"/>
            <w:right w:val="none" w:sz="0" w:space="0" w:color="auto"/>
          </w:divBdr>
        </w:div>
        <w:div w:id="1465733643">
          <w:marLeft w:val="0"/>
          <w:marRight w:val="0"/>
          <w:marTop w:val="0"/>
          <w:marBottom w:val="0"/>
          <w:divBdr>
            <w:top w:val="none" w:sz="0" w:space="0" w:color="auto"/>
            <w:left w:val="none" w:sz="0" w:space="0" w:color="auto"/>
            <w:bottom w:val="none" w:sz="0" w:space="0" w:color="auto"/>
            <w:right w:val="none" w:sz="0" w:space="0" w:color="auto"/>
          </w:divBdr>
        </w:div>
        <w:div w:id="145556911">
          <w:marLeft w:val="0"/>
          <w:marRight w:val="0"/>
          <w:marTop w:val="0"/>
          <w:marBottom w:val="0"/>
          <w:divBdr>
            <w:top w:val="none" w:sz="0" w:space="0" w:color="auto"/>
            <w:left w:val="none" w:sz="0" w:space="0" w:color="auto"/>
            <w:bottom w:val="none" w:sz="0" w:space="0" w:color="auto"/>
            <w:right w:val="none" w:sz="0" w:space="0" w:color="auto"/>
          </w:divBdr>
        </w:div>
        <w:div w:id="429741288">
          <w:marLeft w:val="0"/>
          <w:marRight w:val="0"/>
          <w:marTop w:val="0"/>
          <w:marBottom w:val="0"/>
          <w:divBdr>
            <w:top w:val="none" w:sz="0" w:space="0" w:color="auto"/>
            <w:left w:val="none" w:sz="0" w:space="0" w:color="auto"/>
            <w:bottom w:val="none" w:sz="0" w:space="0" w:color="auto"/>
            <w:right w:val="none" w:sz="0" w:space="0" w:color="auto"/>
          </w:divBdr>
        </w:div>
        <w:div w:id="1558274432">
          <w:marLeft w:val="0"/>
          <w:marRight w:val="0"/>
          <w:marTop w:val="0"/>
          <w:marBottom w:val="0"/>
          <w:divBdr>
            <w:top w:val="none" w:sz="0" w:space="0" w:color="auto"/>
            <w:left w:val="none" w:sz="0" w:space="0" w:color="auto"/>
            <w:bottom w:val="none" w:sz="0" w:space="0" w:color="auto"/>
            <w:right w:val="none" w:sz="0" w:space="0" w:color="auto"/>
          </w:divBdr>
        </w:div>
        <w:div w:id="283929932">
          <w:marLeft w:val="0"/>
          <w:marRight w:val="0"/>
          <w:marTop w:val="0"/>
          <w:marBottom w:val="0"/>
          <w:divBdr>
            <w:top w:val="none" w:sz="0" w:space="0" w:color="auto"/>
            <w:left w:val="none" w:sz="0" w:space="0" w:color="auto"/>
            <w:bottom w:val="none" w:sz="0" w:space="0" w:color="auto"/>
            <w:right w:val="none" w:sz="0" w:space="0" w:color="auto"/>
          </w:divBdr>
        </w:div>
        <w:div w:id="446891961">
          <w:marLeft w:val="0"/>
          <w:marRight w:val="0"/>
          <w:marTop w:val="0"/>
          <w:marBottom w:val="0"/>
          <w:divBdr>
            <w:top w:val="none" w:sz="0" w:space="0" w:color="auto"/>
            <w:left w:val="none" w:sz="0" w:space="0" w:color="auto"/>
            <w:bottom w:val="none" w:sz="0" w:space="0" w:color="auto"/>
            <w:right w:val="none" w:sz="0" w:space="0" w:color="auto"/>
          </w:divBdr>
        </w:div>
        <w:div w:id="1066539018">
          <w:marLeft w:val="0"/>
          <w:marRight w:val="0"/>
          <w:marTop w:val="0"/>
          <w:marBottom w:val="0"/>
          <w:divBdr>
            <w:top w:val="none" w:sz="0" w:space="0" w:color="auto"/>
            <w:left w:val="none" w:sz="0" w:space="0" w:color="auto"/>
            <w:bottom w:val="none" w:sz="0" w:space="0" w:color="auto"/>
            <w:right w:val="none" w:sz="0" w:space="0" w:color="auto"/>
          </w:divBdr>
        </w:div>
        <w:div w:id="1033068458">
          <w:marLeft w:val="0"/>
          <w:marRight w:val="0"/>
          <w:marTop w:val="0"/>
          <w:marBottom w:val="0"/>
          <w:divBdr>
            <w:top w:val="none" w:sz="0" w:space="0" w:color="auto"/>
            <w:left w:val="none" w:sz="0" w:space="0" w:color="auto"/>
            <w:bottom w:val="none" w:sz="0" w:space="0" w:color="auto"/>
            <w:right w:val="none" w:sz="0" w:space="0" w:color="auto"/>
          </w:divBdr>
        </w:div>
      </w:divsChild>
    </w:div>
    <w:div w:id="446579668">
      <w:bodyDiv w:val="1"/>
      <w:marLeft w:val="0"/>
      <w:marRight w:val="0"/>
      <w:marTop w:val="0"/>
      <w:marBottom w:val="0"/>
      <w:divBdr>
        <w:top w:val="none" w:sz="0" w:space="0" w:color="auto"/>
        <w:left w:val="none" w:sz="0" w:space="0" w:color="auto"/>
        <w:bottom w:val="none" w:sz="0" w:space="0" w:color="auto"/>
        <w:right w:val="none" w:sz="0" w:space="0" w:color="auto"/>
      </w:divBdr>
      <w:divsChild>
        <w:div w:id="740829168">
          <w:marLeft w:val="0"/>
          <w:marRight w:val="0"/>
          <w:marTop w:val="0"/>
          <w:marBottom w:val="0"/>
          <w:divBdr>
            <w:top w:val="none" w:sz="0" w:space="0" w:color="auto"/>
            <w:left w:val="none" w:sz="0" w:space="0" w:color="auto"/>
            <w:bottom w:val="none" w:sz="0" w:space="0" w:color="auto"/>
            <w:right w:val="none" w:sz="0" w:space="0" w:color="auto"/>
          </w:divBdr>
        </w:div>
        <w:div w:id="1008094818">
          <w:marLeft w:val="0"/>
          <w:marRight w:val="0"/>
          <w:marTop w:val="0"/>
          <w:marBottom w:val="0"/>
          <w:divBdr>
            <w:top w:val="none" w:sz="0" w:space="0" w:color="auto"/>
            <w:left w:val="none" w:sz="0" w:space="0" w:color="auto"/>
            <w:bottom w:val="none" w:sz="0" w:space="0" w:color="auto"/>
            <w:right w:val="none" w:sz="0" w:space="0" w:color="auto"/>
          </w:divBdr>
        </w:div>
        <w:div w:id="339619963">
          <w:marLeft w:val="0"/>
          <w:marRight w:val="0"/>
          <w:marTop w:val="0"/>
          <w:marBottom w:val="0"/>
          <w:divBdr>
            <w:top w:val="none" w:sz="0" w:space="0" w:color="auto"/>
            <w:left w:val="none" w:sz="0" w:space="0" w:color="auto"/>
            <w:bottom w:val="none" w:sz="0" w:space="0" w:color="auto"/>
            <w:right w:val="none" w:sz="0" w:space="0" w:color="auto"/>
          </w:divBdr>
        </w:div>
        <w:div w:id="1826242784">
          <w:marLeft w:val="0"/>
          <w:marRight w:val="0"/>
          <w:marTop w:val="0"/>
          <w:marBottom w:val="0"/>
          <w:divBdr>
            <w:top w:val="none" w:sz="0" w:space="0" w:color="auto"/>
            <w:left w:val="none" w:sz="0" w:space="0" w:color="auto"/>
            <w:bottom w:val="none" w:sz="0" w:space="0" w:color="auto"/>
            <w:right w:val="none" w:sz="0" w:space="0" w:color="auto"/>
          </w:divBdr>
        </w:div>
        <w:div w:id="1659916041">
          <w:marLeft w:val="0"/>
          <w:marRight w:val="0"/>
          <w:marTop w:val="0"/>
          <w:marBottom w:val="0"/>
          <w:divBdr>
            <w:top w:val="none" w:sz="0" w:space="0" w:color="auto"/>
            <w:left w:val="none" w:sz="0" w:space="0" w:color="auto"/>
            <w:bottom w:val="none" w:sz="0" w:space="0" w:color="auto"/>
            <w:right w:val="none" w:sz="0" w:space="0" w:color="auto"/>
          </w:divBdr>
        </w:div>
        <w:div w:id="492335506">
          <w:marLeft w:val="0"/>
          <w:marRight w:val="0"/>
          <w:marTop w:val="0"/>
          <w:marBottom w:val="0"/>
          <w:divBdr>
            <w:top w:val="none" w:sz="0" w:space="0" w:color="auto"/>
            <w:left w:val="none" w:sz="0" w:space="0" w:color="auto"/>
            <w:bottom w:val="none" w:sz="0" w:space="0" w:color="auto"/>
            <w:right w:val="none" w:sz="0" w:space="0" w:color="auto"/>
          </w:divBdr>
        </w:div>
        <w:div w:id="458449994">
          <w:marLeft w:val="0"/>
          <w:marRight w:val="0"/>
          <w:marTop w:val="0"/>
          <w:marBottom w:val="0"/>
          <w:divBdr>
            <w:top w:val="none" w:sz="0" w:space="0" w:color="auto"/>
            <w:left w:val="none" w:sz="0" w:space="0" w:color="auto"/>
            <w:bottom w:val="none" w:sz="0" w:space="0" w:color="auto"/>
            <w:right w:val="none" w:sz="0" w:space="0" w:color="auto"/>
          </w:divBdr>
        </w:div>
        <w:div w:id="75903826">
          <w:marLeft w:val="0"/>
          <w:marRight w:val="0"/>
          <w:marTop w:val="0"/>
          <w:marBottom w:val="0"/>
          <w:divBdr>
            <w:top w:val="none" w:sz="0" w:space="0" w:color="auto"/>
            <w:left w:val="none" w:sz="0" w:space="0" w:color="auto"/>
            <w:bottom w:val="none" w:sz="0" w:space="0" w:color="auto"/>
            <w:right w:val="none" w:sz="0" w:space="0" w:color="auto"/>
          </w:divBdr>
        </w:div>
        <w:div w:id="1726027279">
          <w:marLeft w:val="0"/>
          <w:marRight w:val="0"/>
          <w:marTop w:val="0"/>
          <w:marBottom w:val="0"/>
          <w:divBdr>
            <w:top w:val="none" w:sz="0" w:space="0" w:color="auto"/>
            <w:left w:val="none" w:sz="0" w:space="0" w:color="auto"/>
            <w:bottom w:val="none" w:sz="0" w:space="0" w:color="auto"/>
            <w:right w:val="none" w:sz="0" w:space="0" w:color="auto"/>
          </w:divBdr>
        </w:div>
        <w:div w:id="1391613838">
          <w:marLeft w:val="0"/>
          <w:marRight w:val="0"/>
          <w:marTop w:val="0"/>
          <w:marBottom w:val="0"/>
          <w:divBdr>
            <w:top w:val="none" w:sz="0" w:space="0" w:color="auto"/>
            <w:left w:val="none" w:sz="0" w:space="0" w:color="auto"/>
            <w:bottom w:val="none" w:sz="0" w:space="0" w:color="auto"/>
            <w:right w:val="none" w:sz="0" w:space="0" w:color="auto"/>
          </w:divBdr>
        </w:div>
        <w:div w:id="125782509">
          <w:marLeft w:val="0"/>
          <w:marRight w:val="0"/>
          <w:marTop w:val="0"/>
          <w:marBottom w:val="0"/>
          <w:divBdr>
            <w:top w:val="none" w:sz="0" w:space="0" w:color="auto"/>
            <w:left w:val="none" w:sz="0" w:space="0" w:color="auto"/>
            <w:bottom w:val="none" w:sz="0" w:space="0" w:color="auto"/>
            <w:right w:val="none" w:sz="0" w:space="0" w:color="auto"/>
          </w:divBdr>
        </w:div>
        <w:div w:id="656492740">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7117495">
      <w:bodyDiv w:val="1"/>
      <w:marLeft w:val="0"/>
      <w:marRight w:val="0"/>
      <w:marTop w:val="0"/>
      <w:marBottom w:val="0"/>
      <w:divBdr>
        <w:top w:val="none" w:sz="0" w:space="0" w:color="auto"/>
        <w:left w:val="none" w:sz="0" w:space="0" w:color="auto"/>
        <w:bottom w:val="none" w:sz="0" w:space="0" w:color="auto"/>
        <w:right w:val="none" w:sz="0" w:space="0" w:color="auto"/>
      </w:divBdr>
      <w:divsChild>
        <w:div w:id="769204915">
          <w:marLeft w:val="0"/>
          <w:marRight w:val="0"/>
          <w:marTop w:val="0"/>
          <w:marBottom w:val="0"/>
          <w:divBdr>
            <w:top w:val="none" w:sz="0" w:space="0" w:color="auto"/>
            <w:left w:val="none" w:sz="0" w:space="0" w:color="auto"/>
            <w:bottom w:val="none" w:sz="0" w:space="0" w:color="auto"/>
            <w:right w:val="none" w:sz="0" w:space="0" w:color="auto"/>
          </w:divBdr>
        </w:div>
        <w:div w:id="1348023456">
          <w:marLeft w:val="0"/>
          <w:marRight w:val="0"/>
          <w:marTop w:val="0"/>
          <w:marBottom w:val="0"/>
          <w:divBdr>
            <w:top w:val="none" w:sz="0" w:space="0" w:color="auto"/>
            <w:left w:val="none" w:sz="0" w:space="0" w:color="auto"/>
            <w:bottom w:val="none" w:sz="0" w:space="0" w:color="auto"/>
            <w:right w:val="none" w:sz="0" w:space="0" w:color="auto"/>
          </w:divBdr>
        </w:div>
        <w:div w:id="127020243">
          <w:marLeft w:val="0"/>
          <w:marRight w:val="0"/>
          <w:marTop w:val="0"/>
          <w:marBottom w:val="0"/>
          <w:divBdr>
            <w:top w:val="none" w:sz="0" w:space="0" w:color="auto"/>
            <w:left w:val="none" w:sz="0" w:space="0" w:color="auto"/>
            <w:bottom w:val="none" w:sz="0" w:space="0" w:color="auto"/>
            <w:right w:val="none" w:sz="0" w:space="0" w:color="auto"/>
          </w:divBdr>
        </w:div>
      </w:divsChild>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0959023">
      <w:bodyDiv w:val="1"/>
      <w:marLeft w:val="0"/>
      <w:marRight w:val="0"/>
      <w:marTop w:val="0"/>
      <w:marBottom w:val="0"/>
      <w:divBdr>
        <w:top w:val="none" w:sz="0" w:space="0" w:color="auto"/>
        <w:left w:val="none" w:sz="0" w:space="0" w:color="auto"/>
        <w:bottom w:val="none" w:sz="0" w:space="0" w:color="auto"/>
        <w:right w:val="none" w:sz="0" w:space="0" w:color="auto"/>
      </w:divBdr>
      <w:divsChild>
        <w:div w:id="2048407398">
          <w:marLeft w:val="0"/>
          <w:marRight w:val="0"/>
          <w:marTop w:val="0"/>
          <w:marBottom w:val="0"/>
          <w:divBdr>
            <w:top w:val="none" w:sz="0" w:space="0" w:color="auto"/>
            <w:left w:val="none" w:sz="0" w:space="0" w:color="auto"/>
            <w:bottom w:val="none" w:sz="0" w:space="0" w:color="auto"/>
            <w:right w:val="none" w:sz="0" w:space="0" w:color="auto"/>
          </w:divBdr>
        </w:div>
        <w:div w:id="1322461843">
          <w:marLeft w:val="0"/>
          <w:marRight w:val="0"/>
          <w:marTop w:val="0"/>
          <w:marBottom w:val="0"/>
          <w:divBdr>
            <w:top w:val="none" w:sz="0" w:space="0" w:color="auto"/>
            <w:left w:val="none" w:sz="0" w:space="0" w:color="auto"/>
            <w:bottom w:val="none" w:sz="0" w:space="0" w:color="auto"/>
            <w:right w:val="none" w:sz="0" w:space="0" w:color="auto"/>
          </w:divBdr>
        </w:div>
        <w:div w:id="1268541964">
          <w:marLeft w:val="0"/>
          <w:marRight w:val="0"/>
          <w:marTop w:val="0"/>
          <w:marBottom w:val="0"/>
          <w:divBdr>
            <w:top w:val="none" w:sz="0" w:space="0" w:color="auto"/>
            <w:left w:val="none" w:sz="0" w:space="0" w:color="auto"/>
            <w:bottom w:val="none" w:sz="0" w:space="0" w:color="auto"/>
            <w:right w:val="none" w:sz="0" w:space="0" w:color="auto"/>
          </w:divBdr>
        </w:div>
        <w:div w:id="2131317757">
          <w:marLeft w:val="0"/>
          <w:marRight w:val="0"/>
          <w:marTop w:val="0"/>
          <w:marBottom w:val="0"/>
          <w:divBdr>
            <w:top w:val="none" w:sz="0" w:space="0" w:color="auto"/>
            <w:left w:val="none" w:sz="0" w:space="0" w:color="auto"/>
            <w:bottom w:val="none" w:sz="0" w:space="0" w:color="auto"/>
            <w:right w:val="none" w:sz="0" w:space="0" w:color="auto"/>
          </w:divBdr>
        </w:div>
        <w:div w:id="913393684">
          <w:marLeft w:val="0"/>
          <w:marRight w:val="0"/>
          <w:marTop w:val="0"/>
          <w:marBottom w:val="0"/>
          <w:divBdr>
            <w:top w:val="none" w:sz="0" w:space="0" w:color="auto"/>
            <w:left w:val="none" w:sz="0" w:space="0" w:color="auto"/>
            <w:bottom w:val="none" w:sz="0" w:space="0" w:color="auto"/>
            <w:right w:val="none" w:sz="0" w:space="0" w:color="auto"/>
          </w:divBdr>
        </w:div>
        <w:div w:id="1324158710">
          <w:marLeft w:val="0"/>
          <w:marRight w:val="0"/>
          <w:marTop w:val="0"/>
          <w:marBottom w:val="0"/>
          <w:divBdr>
            <w:top w:val="none" w:sz="0" w:space="0" w:color="auto"/>
            <w:left w:val="none" w:sz="0" w:space="0" w:color="auto"/>
            <w:bottom w:val="none" w:sz="0" w:space="0" w:color="auto"/>
            <w:right w:val="none" w:sz="0" w:space="0" w:color="auto"/>
          </w:divBdr>
        </w:div>
        <w:div w:id="41558797">
          <w:marLeft w:val="0"/>
          <w:marRight w:val="0"/>
          <w:marTop w:val="0"/>
          <w:marBottom w:val="0"/>
          <w:divBdr>
            <w:top w:val="none" w:sz="0" w:space="0" w:color="auto"/>
            <w:left w:val="none" w:sz="0" w:space="0" w:color="auto"/>
            <w:bottom w:val="none" w:sz="0" w:space="0" w:color="auto"/>
            <w:right w:val="none" w:sz="0" w:space="0" w:color="auto"/>
          </w:divBdr>
        </w:div>
        <w:div w:id="1298604117">
          <w:marLeft w:val="0"/>
          <w:marRight w:val="0"/>
          <w:marTop w:val="0"/>
          <w:marBottom w:val="0"/>
          <w:divBdr>
            <w:top w:val="none" w:sz="0" w:space="0" w:color="auto"/>
            <w:left w:val="none" w:sz="0" w:space="0" w:color="auto"/>
            <w:bottom w:val="none" w:sz="0" w:space="0" w:color="auto"/>
            <w:right w:val="none" w:sz="0" w:space="0" w:color="auto"/>
          </w:divBdr>
        </w:div>
        <w:div w:id="1967277857">
          <w:marLeft w:val="0"/>
          <w:marRight w:val="0"/>
          <w:marTop w:val="0"/>
          <w:marBottom w:val="0"/>
          <w:divBdr>
            <w:top w:val="none" w:sz="0" w:space="0" w:color="auto"/>
            <w:left w:val="none" w:sz="0" w:space="0" w:color="auto"/>
            <w:bottom w:val="none" w:sz="0" w:space="0" w:color="auto"/>
            <w:right w:val="none" w:sz="0" w:space="0" w:color="auto"/>
          </w:divBdr>
        </w:div>
        <w:div w:id="1554075992">
          <w:marLeft w:val="0"/>
          <w:marRight w:val="0"/>
          <w:marTop w:val="0"/>
          <w:marBottom w:val="0"/>
          <w:divBdr>
            <w:top w:val="none" w:sz="0" w:space="0" w:color="auto"/>
            <w:left w:val="none" w:sz="0" w:space="0" w:color="auto"/>
            <w:bottom w:val="none" w:sz="0" w:space="0" w:color="auto"/>
            <w:right w:val="none" w:sz="0" w:space="0" w:color="auto"/>
          </w:divBdr>
        </w:div>
        <w:div w:id="1221399482">
          <w:marLeft w:val="0"/>
          <w:marRight w:val="0"/>
          <w:marTop w:val="0"/>
          <w:marBottom w:val="0"/>
          <w:divBdr>
            <w:top w:val="none" w:sz="0" w:space="0" w:color="auto"/>
            <w:left w:val="none" w:sz="0" w:space="0" w:color="auto"/>
            <w:bottom w:val="none" w:sz="0" w:space="0" w:color="auto"/>
            <w:right w:val="none" w:sz="0" w:space="0" w:color="auto"/>
          </w:divBdr>
        </w:div>
        <w:div w:id="1733040201">
          <w:marLeft w:val="0"/>
          <w:marRight w:val="0"/>
          <w:marTop w:val="0"/>
          <w:marBottom w:val="0"/>
          <w:divBdr>
            <w:top w:val="none" w:sz="0" w:space="0" w:color="auto"/>
            <w:left w:val="none" w:sz="0" w:space="0" w:color="auto"/>
            <w:bottom w:val="none" w:sz="0" w:space="0" w:color="auto"/>
            <w:right w:val="none" w:sz="0" w:space="0" w:color="auto"/>
          </w:divBdr>
        </w:div>
        <w:div w:id="1065376315">
          <w:marLeft w:val="0"/>
          <w:marRight w:val="0"/>
          <w:marTop w:val="0"/>
          <w:marBottom w:val="0"/>
          <w:divBdr>
            <w:top w:val="none" w:sz="0" w:space="0" w:color="auto"/>
            <w:left w:val="none" w:sz="0" w:space="0" w:color="auto"/>
            <w:bottom w:val="none" w:sz="0" w:space="0" w:color="auto"/>
            <w:right w:val="none" w:sz="0" w:space="0" w:color="auto"/>
          </w:divBdr>
        </w:div>
      </w:divsChild>
    </w:div>
    <w:div w:id="773944298">
      <w:bodyDiv w:val="1"/>
      <w:marLeft w:val="0"/>
      <w:marRight w:val="0"/>
      <w:marTop w:val="0"/>
      <w:marBottom w:val="0"/>
      <w:divBdr>
        <w:top w:val="none" w:sz="0" w:space="0" w:color="auto"/>
        <w:left w:val="none" w:sz="0" w:space="0" w:color="auto"/>
        <w:bottom w:val="none" w:sz="0" w:space="0" w:color="auto"/>
        <w:right w:val="none" w:sz="0" w:space="0" w:color="auto"/>
      </w:divBdr>
      <w:divsChild>
        <w:div w:id="1633048919">
          <w:marLeft w:val="0"/>
          <w:marRight w:val="0"/>
          <w:marTop w:val="0"/>
          <w:marBottom w:val="0"/>
          <w:divBdr>
            <w:top w:val="none" w:sz="0" w:space="0" w:color="auto"/>
            <w:left w:val="none" w:sz="0" w:space="0" w:color="auto"/>
            <w:bottom w:val="none" w:sz="0" w:space="0" w:color="auto"/>
            <w:right w:val="none" w:sz="0" w:space="0" w:color="auto"/>
          </w:divBdr>
        </w:div>
        <w:div w:id="50812171">
          <w:marLeft w:val="0"/>
          <w:marRight w:val="0"/>
          <w:marTop w:val="0"/>
          <w:marBottom w:val="0"/>
          <w:divBdr>
            <w:top w:val="none" w:sz="0" w:space="0" w:color="auto"/>
            <w:left w:val="none" w:sz="0" w:space="0" w:color="auto"/>
            <w:bottom w:val="none" w:sz="0" w:space="0" w:color="auto"/>
            <w:right w:val="none" w:sz="0" w:space="0" w:color="auto"/>
          </w:divBdr>
        </w:div>
      </w:divsChild>
    </w:div>
    <w:div w:id="908927551">
      <w:bodyDiv w:val="1"/>
      <w:marLeft w:val="0"/>
      <w:marRight w:val="0"/>
      <w:marTop w:val="0"/>
      <w:marBottom w:val="0"/>
      <w:divBdr>
        <w:top w:val="none" w:sz="0" w:space="0" w:color="auto"/>
        <w:left w:val="none" w:sz="0" w:space="0" w:color="auto"/>
        <w:bottom w:val="none" w:sz="0" w:space="0" w:color="auto"/>
        <w:right w:val="none" w:sz="0" w:space="0" w:color="auto"/>
      </w:divBdr>
      <w:divsChild>
        <w:div w:id="699471192">
          <w:marLeft w:val="0"/>
          <w:marRight w:val="0"/>
          <w:marTop w:val="0"/>
          <w:marBottom w:val="0"/>
          <w:divBdr>
            <w:top w:val="none" w:sz="0" w:space="0" w:color="auto"/>
            <w:left w:val="none" w:sz="0" w:space="0" w:color="auto"/>
            <w:bottom w:val="none" w:sz="0" w:space="0" w:color="auto"/>
            <w:right w:val="none" w:sz="0" w:space="0" w:color="auto"/>
          </w:divBdr>
        </w:div>
        <w:div w:id="1492284112">
          <w:marLeft w:val="0"/>
          <w:marRight w:val="0"/>
          <w:marTop w:val="0"/>
          <w:marBottom w:val="0"/>
          <w:divBdr>
            <w:top w:val="none" w:sz="0" w:space="0" w:color="auto"/>
            <w:left w:val="none" w:sz="0" w:space="0" w:color="auto"/>
            <w:bottom w:val="none" w:sz="0" w:space="0" w:color="auto"/>
            <w:right w:val="none" w:sz="0" w:space="0" w:color="auto"/>
          </w:divBdr>
        </w:div>
      </w:divsChild>
    </w:div>
    <w:div w:id="1010722248">
      <w:bodyDiv w:val="1"/>
      <w:marLeft w:val="0"/>
      <w:marRight w:val="0"/>
      <w:marTop w:val="0"/>
      <w:marBottom w:val="0"/>
      <w:divBdr>
        <w:top w:val="none" w:sz="0" w:space="0" w:color="auto"/>
        <w:left w:val="none" w:sz="0" w:space="0" w:color="auto"/>
        <w:bottom w:val="none" w:sz="0" w:space="0" w:color="auto"/>
        <w:right w:val="none" w:sz="0" w:space="0" w:color="auto"/>
      </w:divBdr>
      <w:divsChild>
        <w:div w:id="1274481467">
          <w:marLeft w:val="0"/>
          <w:marRight w:val="0"/>
          <w:marTop w:val="0"/>
          <w:marBottom w:val="0"/>
          <w:divBdr>
            <w:top w:val="none" w:sz="0" w:space="0" w:color="auto"/>
            <w:left w:val="none" w:sz="0" w:space="0" w:color="auto"/>
            <w:bottom w:val="none" w:sz="0" w:space="0" w:color="auto"/>
            <w:right w:val="none" w:sz="0" w:space="0" w:color="auto"/>
          </w:divBdr>
        </w:div>
        <w:div w:id="1880819106">
          <w:marLeft w:val="0"/>
          <w:marRight w:val="0"/>
          <w:marTop w:val="0"/>
          <w:marBottom w:val="0"/>
          <w:divBdr>
            <w:top w:val="none" w:sz="0" w:space="0" w:color="auto"/>
            <w:left w:val="none" w:sz="0" w:space="0" w:color="auto"/>
            <w:bottom w:val="none" w:sz="0" w:space="0" w:color="auto"/>
            <w:right w:val="none" w:sz="0" w:space="0" w:color="auto"/>
          </w:divBdr>
        </w:div>
        <w:div w:id="795951508">
          <w:marLeft w:val="0"/>
          <w:marRight w:val="0"/>
          <w:marTop w:val="0"/>
          <w:marBottom w:val="0"/>
          <w:divBdr>
            <w:top w:val="none" w:sz="0" w:space="0" w:color="auto"/>
            <w:left w:val="none" w:sz="0" w:space="0" w:color="auto"/>
            <w:bottom w:val="none" w:sz="0" w:space="0" w:color="auto"/>
            <w:right w:val="none" w:sz="0" w:space="0" w:color="auto"/>
          </w:divBdr>
        </w:div>
        <w:div w:id="1678271509">
          <w:marLeft w:val="0"/>
          <w:marRight w:val="0"/>
          <w:marTop w:val="0"/>
          <w:marBottom w:val="0"/>
          <w:divBdr>
            <w:top w:val="none" w:sz="0" w:space="0" w:color="auto"/>
            <w:left w:val="none" w:sz="0" w:space="0" w:color="auto"/>
            <w:bottom w:val="none" w:sz="0" w:space="0" w:color="auto"/>
            <w:right w:val="none" w:sz="0" w:space="0" w:color="auto"/>
          </w:divBdr>
        </w:div>
        <w:div w:id="294020505">
          <w:marLeft w:val="0"/>
          <w:marRight w:val="0"/>
          <w:marTop w:val="0"/>
          <w:marBottom w:val="0"/>
          <w:divBdr>
            <w:top w:val="none" w:sz="0" w:space="0" w:color="auto"/>
            <w:left w:val="none" w:sz="0" w:space="0" w:color="auto"/>
            <w:bottom w:val="none" w:sz="0" w:space="0" w:color="auto"/>
            <w:right w:val="none" w:sz="0" w:space="0" w:color="auto"/>
          </w:divBdr>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983718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5181491">
      <w:bodyDiv w:val="1"/>
      <w:marLeft w:val="0"/>
      <w:marRight w:val="0"/>
      <w:marTop w:val="0"/>
      <w:marBottom w:val="0"/>
      <w:divBdr>
        <w:top w:val="none" w:sz="0" w:space="0" w:color="auto"/>
        <w:left w:val="none" w:sz="0" w:space="0" w:color="auto"/>
        <w:bottom w:val="none" w:sz="0" w:space="0" w:color="auto"/>
        <w:right w:val="none" w:sz="0" w:space="0" w:color="auto"/>
      </w:divBdr>
      <w:divsChild>
        <w:div w:id="603196574">
          <w:marLeft w:val="0"/>
          <w:marRight w:val="0"/>
          <w:marTop w:val="0"/>
          <w:marBottom w:val="0"/>
          <w:divBdr>
            <w:top w:val="none" w:sz="0" w:space="0" w:color="auto"/>
            <w:left w:val="none" w:sz="0" w:space="0" w:color="auto"/>
            <w:bottom w:val="none" w:sz="0" w:space="0" w:color="auto"/>
            <w:right w:val="none" w:sz="0" w:space="0" w:color="auto"/>
          </w:divBdr>
        </w:div>
        <w:div w:id="355153168">
          <w:marLeft w:val="0"/>
          <w:marRight w:val="0"/>
          <w:marTop w:val="0"/>
          <w:marBottom w:val="0"/>
          <w:divBdr>
            <w:top w:val="none" w:sz="0" w:space="0" w:color="auto"/>
            <w:left w:val="none" w:sz="0" w:space="0" w:color="auto"/>
            <w:bottom w:val="none" w:sz="0" w:space="0" w:color="auto"/>
            <w:right w:val="none" w:sz="0" w:space="0" w:color="auto"/>
          </w:divBdr>
        </w:div>
        <w:div w:id="1104377005">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29590949">
      <w:bodyDiv w:val="1"/>
      <w:marLeft w:val="0"/>
      <w:marRight w:val="0"/>
      <w:marTop w:val="0"/>
      <w:marBottom w:val="0"/>
      <w:divBdr>
        <w:top w:val="none" w:sz="0" w:space="0" w:color="auto"/>
        <w:left w:val="none" w:sz="0" w:space="0" w:color="auto"/>
        <w:bottom w:val="none" w:sz="0" w:space="0" w:color="auto"/>
        <w:right w:val="none" w:sz="0" w:space="0" w:color="auto"/>
      </w:divBdr>
      <w:divsChild>
        <w:div w:id="1884169043">
          <w:marLeft w:val="0"/>
          <w:marRight w:val="0"/>
          <w:marTop w:val="0"/>
          <w:marBottom w:val="0"/>
          <w:divBdr>
            <w:top w:val="none" w:sz="0" w:space="0" w:color="auto"/>
            <w:left w:val="none" w:sz="0" w:space="0" w:color="auto"/>
            <w:bottom w:val="none" w:sz="0" w:space="0" w:color="auto"/>
            <w:right w:val="none" w:sz="0" w:space="0" w:color="auto"/>
          </w:divBdr>
        </w:div>
        <w:div w:id="1061057910">
          <w:marLeft w:val="0"/>
          <w:marRight w:val="0"/>
          <w:marTop w:val="0"/>
          <w:marBottom w:val="0"/>
          <w:divBdr>
            <w:top w:val="none" w:sz="0" w:space="0" w:color="auto"/>
            <w:left w:val="none" w:sz="0" w:space="0" w:color="auto"/>
            <w:bottom w:val="none" w:sz="0" w:space="0" w:color="auto"/>
            <w:right w:val="none" w:sz="0" w:space="0" w:color="auto"/>
          </w:divBdr>
        </w:div>
        <w:div w:id="1512842219">
          <w:marLeft w:val="0"/>
          <w:marRight w:val="0"/>
          <w:marTop w:val="0"/>
          <w:marBottom w:val="0"/>
          <w:divBdr>
            <w:top w:val="none" w:sz="0" w:space="0" w:color="auto"/>
            <w:left w:val="none" w:sz="0" w:space="0" w:color="auto"/>
            <w:bottom w:val="none" w:sz="0" w:space="0" w:color="auto"/>
            <w:right w:val="none" w:sz="0" w:space="0" w:color="auto"/>
          </w:divBdr>
        </w:div>
        <w:div w:id="172452480">
          <w:marLeft w:val="0"/>
          <w:marRight w:val="0"/>
          <w:marTop w:val="0"/>
          <w:marBottom w:val="0"/>
          <w:divBdr>
            <w:top w:val="none" w:sz="0" w:space="0" w:color="auto"/>
            <w:left w:val="none" w:sz="0" w:space="0" w:color="auto"/>
            <w:bottom w:val="none" w:sz="0" w:space="0" w:color="auto"/>
            <w:right w:val="none" w:sz="0" w:space="0" w:color="auto"/>
          </w:divBdr>
        </w:div>
        <w:div w:id="1628124935">
          <w:marLeft w:val="0"/>
          <w:marRight w:val="0"/>
          <w:marTop w:val="0"/>
          <w:marBottom w:val="0"/>
          <w:divBdr>
            <w:top w:val="none" w:sz="0" w:space="0" w:color="auto"/>
            <w:left w:val="none" w:sz="0" w:space="0" w:color="auto"/>
            <w:bottom w:val="none" w:sz="0" w:space="0" w:color="auto"/>
            <w:right w:val="none" w:sz="0" w:space="0" w:color="auto"/>
          </w:divBdr>
        </w:div>
        <w:div w:id="418252119">
          <w:marLeft w:val="0"/>
          <w:marRight w:val="0"/>
          <w:marTop w:val="0"/>
          <w:marBottom w:val="0"/>
          <w:divBdr>
            <w:top w:val="none" w:sz="0" w:space="0" w:color="auto"/>
            <w:left w:val="none" w:sz="0" w:space="0" w:color="auto"/>
            <w:bottom w:val="none" w:sz="0" w:space="0" w:color="auto"/>
            <w:right w:val="none" w:sz="0" w:space="0" w:color="auto"/>
          </w:divBdr>
        </w:div>
        <w:div w:id="1490052501">
          <w:marLeft w:val="0"/>
          <w:marRight w:val="0"/>
          <w:marTop w:val="0"/>
          <w:marBottom w:val="0"/>
          <w:divBdr>
            <w:top w:val="none" w:sz="0" w:space="0" w:color="auto"/>
            <w:left w:val="none" w:sz="0" w:space="0" w:color="auto"/>
            <w:bottom w:val="none" w:sz="0" w:space="0" w:color="auto"/>
            <w:right w:val="none" w:sz="0" w:space="0" w:color="auto"/>
          </w:divBdr>
        </w:div>
        <w:div w:id="690491153">
          <w:marLeft w:val="0"/>
          <w:marRight w:val="0"/>
          <w:marTop w:val="0"/>
          <w:marBottom w:val="0"/>
          <w:divBdr>
            <w:top w:val="none" w:sz="0" w:space="0" w:color="auto"/>
            <w:left w:val="none" w:sz="0" w:space="0" w:color="auto"/>
            <w:bottom w:val="none" w:sz="0" w:space="0" w:color="auto"/>
            <w:right w:val="none" w:sz="0" w:space="0" w:color="auto"/>
          </w:divBdr>
        </w:div>
        <w:div w:id="381442868">
          <w:marLeft w:val="0"/>
          <w:marRight w:val="0"/>
          <w:marTop w:val="0"/>
          <w:marBottom w:val="0"/>
          <w:divBdr>
            <w:top w:val="none" w:sz="0" w:space="0" w:color="auto"/>
            <w:left w:val="none" w:sz="0" w:space="0" w:color="auto"/>
            <w:bottom w:val="none" w:sz="0" w:space="0" w:color="auto"/>
            <w:right w:val="none" w:sz="0" w:space="0" w:color="auto"/>
          </w:divBdr>
        </w:div>
      </w:divsChild>
    </w:div>
    <w:div w:id="1862164944">
      <w:bodyDiv w:val="1"/>
      <w:marLeft w:val="0"/>
      <w:marRight w:val="0"/>
      <w:marTop w:val="0"/>
      <w:marBottom w:val="0"/>
      <w:divBdr>
        <w:top w:val="none" w:sz="0" w:space="0" w:color="auto"/>
        <w:left w:val="none" w:sz="0" w:space="0" w:color="auto"/>
        <w:bottom w:val="none" w:sz="0" w:space="0" w:color="auto"/>
        <w:right w:val="none" w:sz="0" w:space="0" w:color="auto"/>
      </w:divBdr>
      <w:divsChild>
        <w:div w:id="323321278">
          <w:marLeft w:val="0"/>
          <w:marRight w:val="0"/>
          <w:marTop w:val="0"/>
          <w:marBottom w:val="0"/>
          <w:divBdr>
            <w:top w:val="none" w:sz="0" w:space="0" w:color="auto"/>
            <w:left w:val="none" w:sz="0" w:space="0" w:color="auto"/>
            <w:bottom w:val="none" w:sz="0" w:space="0" w:color="auto"/>
            <w:right w:val="none" w:sz="0" w:space="0" w:color="auto"/>
          </w:divBdr>
        </w:div>
        <w:div w:id="2125928846">
          <w:marLeft w:val="0"/>
          <w:marRight w:val="0"/>
          <w:marTop w:val="0"/>
          <w:marBottom w:val="0"/>
          <w:divBdr>
            <w:top w:val="none" w:sz="0" w:space="0" w:color="auto"/>
            <w:left w:val="none" w:sz="0" w:space="0" w:color="auto"/>
            <w:bottom w:val="none" w:sz="0" w:space="0" w:color="auto"/>
            <w:right w:val="none" w:sz="0" w:space="0" w:color="auto"/>
          </w:divBdr>
        </w:div>
      </w:divsChild>
    </w:div>
    <w:div w:id="20922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sites/info/files/business_economy_euro/banking_and_finance/documents/200309-sustainable-finance-teg-final-report-taxonomy_en.pdf" TargetMode="External"/><Relationship Id="rId1" Type="http://schemas.openxmlformats.org/officeDocument/2006/relationships/hyperlink" Target="https://www.financelatvia.eu/wp-content/uploads/2020/08/Asociacija_kreditu_likmes_noteicosie_faktor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84412-27B2-4F8D-9C06-247F337C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84</Pages>
  <Words>87492</Words>
  <Characters>49871</Characters>
  <Application>Microsoft Office Word</Application>
  <DocSecurity>0</DocSecurity>
  <Lines>415</Lines>
  <Paragraphs>274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Finanšu ministrija</Company>
  <LinksUpToDate>false</LinksUpToDate>
  <CharactersWithSpaces>137089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Mārtiņš Braslavs</dc:creator>
  <cp:keywords/>
  <dc:description>67095535,dina.buse@fm.gov.lv</dc:description>
  <cp:lastModifiedBy>Mārtiņš Braslavs</cp:lastModifiedBy>
  <cp:revision>68</cp:revision>
  <cp:lastPrinted>2017-02-03T21:18:00Z</cp:lastPrinted>
  <dcterms:created xsi:type="dcterms:W3CDTF">2021-01-11T09:06:00Z</dcterms:created>
  <dcterms:modified xsi:type="dcterms:W3CDTF">2021-02-08T16:11:00Z</dcterms:modified>
</cp:coreProperties>
</file>