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F24B" w14:textId="77777777" w:rsidR="008E2E49" w:rsidRPr="00573AF3" w:rsidRDefault="008E2E49" w:rsidP="008E2E49">
      <w:pPr>
        <w:pStyle w:val="naisnod"/>
        <w:spacing w:before="0" w:after="0"/>
        <w:ind w:firstLine="720"/>
      </w:pPr>
      <w:r w:rsidRPr="00573AF3">
        <w:t>Izziņa par atzinumos sniegtajiem iebildumiem</w:t>
      </w:r>
    </w:p>
    <w:tbl>
      <w:tblPr>
        <w:tblW w:w="0" w:type="auto"/>
        <w:jc w:val="center"/>
        <w:tblLook w:val="00A0" w:firstRow="1" w:lastRow="0" w:firstColumn="1" w:lastColumn="0" w:noHBand="0" w:noVBand="0"/>
      </w:tblPr>
      <w:tblGrid>
        <w:gridCol w:w="12268"/>
      </w:tblGrid>
      <w:tr w:rsidR="00573AF3" w:rsidRPr="00573AF3" w14:paraId="1FA21233" w14:textId="77777777" w:rsidTr="00C16237">
        <w:trPr>
          <w:jc w:val="center"/>
        </w:trPr>
        <w:tc>
          <w:tcPr>
            <w:tcW w:w="12268" w:type="dxa"/>
            <w:tcBorders>
              <w:bottom w:val="single" w:sz="6" w:space="0" w:color="000000"/>
            </w:tcBorders>
          </w:tcPr>
          <w:p w14:paraId="05C2177E" w14:textId="6E355BE9" w:rsidR="008E2E49" w:rsidRPr="00573AF3" w:rsidRDefault="003467BB" w:rsidP="00C16237">
            <w:pPr>
              <w:ind w:firstLine="720"/>
              <w:jc w:val="center"/>
              <w:rPr>
                <w:b/>
                <w:bCs/>
              </w:rPr>
            </w:pPr>
            <w:r w:rsidRPr="00573AF3">
              <w:rPr>
                <w:b/>
                <w:bCs/>
              </w:rPr>
              <w:t>l</w:t>
            </w:r>
            <w:r w:rsidR="006366E7" w:rsidRPr="00573AF3">
              <w:rPr>
                <w:b/>
                <w:bCs/>
              </w:rPr>
              <w:t>ikum</w:t>
            </w:r>
            <w:r w:rsidR="008E2E49" w:rsidRPr="00573AF3">
              <w:rPr>
                <w:b/>
                <w:bCs/>
              </w:rPr>
              <w:t xml:space="preserve">projektā  </w:t>
            </w:r>
            <w:r w:rsidR="0015083B" w:rsidRPr="00573AF3">
              <w:rPr>
                <w:b/>
                <w:bCs/>
              </w:rPr>
              <w:t>"</w:t>
            </w:r>
            <w:r w:rsidR="00993A21" w:rsidRPr="00573AF3">
              <w:rPr>
                <w:b/>
                <w:bCs/>
              </w:rPr>
              <w:t>Grozījumi Privāto pensiju fondu</w:t>
            </w:r>
            <w:r w:rsidR="0015083B" w:rsidRPr="00573AF3">
              <w:rPr>
                <w:b/>
                <w:bCs/>
              </w:rPr>
              <w:t xml:space="preserve"> likum</w:t>
            </w:r>
            <w:r w:rsidR="0068204C" w:rsidRPr="00573AF3">
              <w:rPr>
                <w:b/>
                <w:bCs/>
              </w:rPr>
              <w:t>ā</w:t>
            </w:r>
            <w:r w:rsidR="0015083B" w:rsidRPr="00573AF3">
              <w:rPr>
                <w:b/>
                <w:bCs/>
              </w:rPr>
              <w:t>"</w:t>
            </w:r>
          </w:p>
          <w:p w14:paraId="020BF426" w14:textId="77777777" w:rsidR="008E2E49" w:rsidRPr="00573AF3" w:rsidRDefault="008E2E49" w:rsidP="00C16237">
            <w:pPr>
              <w:ind w:firstLine="720"/>
              <w:jc w:val="center"/>
              <w:rPr>
                <w:b/>
                <w:bCs/>
              </w:rPr>
            </w:pPr>
          </w:p>
        </w:tc>
      </w:tr>
    </w:tbl>
    <w:p w14:paraId="27A0F171" w14:textId="77777777" w:rsidR="008E2E49" w:rsidRPr="00712B66" w:rsidRDefault="008E2E49" w:rsidP="008E2E49">
      <w:pPr>
        <w:pStyle w:val="naisc"/>
        <w:spacing w:before="0" w:after="0"/>
        <w:ind w:firstLine="1080"/>
      </w:pPr>
      <w:r w:rsidRPr="00712B66">
        <w:t>(dokumenta veids un nosaukums)</w:t>
      </w:r>
    </w:p>
    <w:p w14:paraId="645B4E65" w14:textId="77777777" w:rsidR="008E2E49" w:rsidRPr="00712B66" w:rsidRDefault="008E2E49" w:rsidP="008E2E49">
      <w:pPr>
        <w:pStyle w:val="naisf"/>
        <w:spacing w:before="0" w:after="0"/>
        <w:ind w:firstLine="720"/>
      </w:pPr>
    </w:p>
    <w:p w14:paraId="1DDB6A6F" w14:textId="77777777"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14:paraId="058EF3D4" w14:textId="77777777" w:rsidR="008E2E49" w:rsidRPr="00712B66"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712B66" w14:paraId="47A6C576" w14:textId="77777777" w:rsidTr="00C16237">
        <w:tc>
          <w:tcPr>
            <w:tcW w:w="708" w:type="dxa"/>
            <w:tcBorders>
              <w:top w:val="single" w:sz="6" w:space="0" w:color="000000"/>
              <w:left w:val="single" w:sz="6" w:space="0" w:color="000000"/>
              <w:bottom w:val="single" w:sz="6" w:space="0" w:color="000000"/>
              <w:right w:val="single" w:sz="6" w:space="0" w:color="000000"/>
            </w:tcBorders>
            <w:vAlign w:val="center"/>
          </w:tcPr>
          <w:p w14:paraId="582CB4C7" w14:textId="77777777" w:rsidR="008E2E49" w:rsidRPr="00712B66" w:rsidRDefault="008E2E49" w:rsidP="00C16237">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62008F0"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603C670" w14:textId="77777777" w:rsidR="008E2E49" w:rsidRPr="00712B66" w:rsidRDefault="008E2E49" w:rsidP="00C1623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9E09C10" w14:textId="77777777" w:rsidR="008E2E49" w:rsidRPr="00712B66" w:rsidRDefault="008E2E49" w:rsidP="00C16237">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8D008CC" w14:textId="77777777" w:rsidR="008E2E49" w:rsidRPr="00712B66" w:rsidRDefault="008E2E49" w:rsidP="00C16237">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FEE6509" w14:textId="77777777" w:rsidR="008E2E49" w:rsidRPr="00712B66" w:rsidRDefault="008E2E49" w:rsidP="00C16237">
            <w:pPr>
              <w:jc w:val="center"/>
            </w:pPr>
            <w:r w:rsidRPr="00712B66">
              <w:t>Projekta attiecīgā punkta (panta) galīgā redakcija</w:t>
            </w:r>
          </w:p>
        </w:tc>
      </w:tr>
      <w:tr w:rsidR="008E2E49" w:rsidRPr="008A36C9" w14:paraId="58FA4227" w14:textId="77777777" w:rsidTr="00C16237">
        <w:tc>
          <w:tcPr>
            <w:tcW w:w="708" w:type="dxa"/>
            <w:tcBorders>
              <w:top w:val="single" w:sz="6" w:space="0" w:color="000000"/>
              <w:left w:val="single" w:sz="6" w:space="0" w:color="000000"/>
              <w:bottom w:val="single" w:sz="6" w:space="0" w:color="000000"/>
              <w:right w:val="single" w:sz="6" w:space="0" w:color="000000"/>
            </w:tcBorders>
          </w:tcPr>
          <w:p w14:paraId="63F22CBC" w14:textId="77777777" w:rsidR="008E2E49" w:rsidRPr="008A36C9" w:rsidRDefault="008E2E49" w:rsidP="00C16237">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CAB2593" w14:textId="77777777" w:rsidR="008E2E49" w:rsidRPr="008A36C9" w:rsidRDefault="008E2E49" w:rsidP="00C16237">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CD6D38" w14:textId="77777777" w:rsidR="008E2E49" w:rsidRPr="008A36C9" w:rsidRDefault="008E2E49" w:rsidP="00C16237">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E3B7A3" w14:textId="77777777" w:rsidR="008E2E49" w:rsidRPr="008A36C9" w:rsidRDefault="008E2E49" w:rsidP="00C16237">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E08CE31" w14:textId="77777777" w:rsidR="008E2E49" w:rsidRPr="008A36C9" w:rsidRDefault="008E2E49" w:rsidP="00C16237">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2DB0FCE" w14:textId="77777777" w:rsidR="008E2E49" w:rsidRPr="008A36C9" w:rsidRDefault="008E2E49" w:rsidP="00C16237">
            <w:pPr>
              <w:jc w:val="center"/>
              <w:rPr>
                <w:sz w:val="20"/>
                <w:szCs w:val="20"/>
              </w:rPr>
            </w:pPr>
            <w:r w:rsidRPr="008A36C9">
              <w:rPr>
                <w:sz w:val="20"/>
                <w:szCs w:val="20"/>
              </w:rPr>
              <w:t>6</w:t>
            </w:r>
          </w:p>
        </w:tc>
      </w:tr>
      <w:tr w:rsidR="008E2E49" w:rsidRPr="00712B66" w14:paraId="56E38AD5" w14:textId="77777777" w:rsidTr="00C16237">
        <w:tc>
          <w:tcPr>
            <w:tcW w:w="708" w:type="dxa"/>
            <w:tcBorders>
              <w:left w:val="single" w:sz="6" w:space="0" w:color="000000"/>
              <w:bottom w:val="single" w:sz="4" w:space="0" w:color="auto"/>
              <w:right w:val="single" w:sz="6" w:space="0" w:color="000000"/>
            </w:tcBorders>
          </w:tcPr>
          <w:p w14:paraId="13C8B6CD" w14:textId="77777777" w:rsidR="008E2E49" w:rsidRPr="00712B66" w:rsidRDefault="008E2E49" w:rsidP="00C16237">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61987C7" w14:textId="77777777" w:rsidR="008E2E49" w:rsidRPr="00712B66" w:rsidRDefault="008E2E49" w:rsidP="00C16237">
            <w:pPr>
              <w:pStyle w:val="naisc"/>
              <w:spacing w:before="0" w:after="0"/>
              <w:ind w:firstLine="720"/>
            </w:pPr>
            <w:r>
              <w:t>-</w:t>
            </w:r>
          </w:p>
        </w:tc>
        <w:tc>
          <w:tcPr>
            <w:tcW w:w="3118" w:type="dxa"/>
            <w:tcBorders>
              <w:left w:val="single" w:sz="6" w:space="0" w:color="000000"/>
              <w:bottom w:val="single" w:sz="4" w:space="0" w:color="auto"/>
              <w:right w:val="single" w:sz="6" w:space="0" w:color="000000"/>
            </w:tcBorders>
          </w:tcPr>
          <w:p w14:paraId="6C7AA4B2" w14:textId="77777777" w:rsidR="008E2E49" w:rsidRPr="00712B66" w:rsidRDefault="008E2E49" w:rsidP="00C16237">
            <w:pPr>
              <w:pStyle w:val="naisc"/>
              <w:spacing w:before="0" w:after="0"/>
              <w:ind w:firstLine="720"/>
            </w:pPr>
            <w:r>
              <w:t>-</w:t>
            </w:r>
          </w:p>
        </w:tc>
        <w:tc>
          <w:tcPr>
            <w:tcW w:w="2977" w:type="dxa"/>
            <w:tcBorders>
              <w:left w:val="single" w:sz="6" w:space="0" w:color="000000"/>
              <w:bottom w:val="single" w:sz="4" w:space="0" w:color="auto"/>
              <w:right w:val="single" w:sz="6" w:space="0" w:color="000000"/>
            </w:tcBorders>
          </w:tcPr>
          <w:p w14:paraId="380D44D7" w14:textId="77777777" w:rsidR="008E2E49" w:rsidRPr="00712B66" w:rsidRDefault="008E2E49" w:rsidP="00C16237">
            <w:pPr>
              <w:pStyle w:val="naisc"/>
              <w:spacing w:before="0" w:after="0"/>
              <w:ind w:firstLine="720"/>
            </w:pPr>
            <w:r>
              <w:t>-</w:t>
            </w:r>
          </w:p>
        </w:tc>
        <w:tc>
          <w:tcPr>
            <w:tcW w:w="2459" w:type="dxa"/>
            <w:tcBorders>
              <w:top w:val="single" w:sz="4" w:space="0" w:color="auto"/>
              <w:left w:val="single" w:sz="4" w:space="0" w:color="auto"/>
              <w:bottom w:val="single" w:sz="4" w:space="0" w:color="auto"/>
              <w:right w:val="single" w:sz="4" w:space="0" w:color="auto"/>
            </w:tcBorders>
          </w:tcPr>
          <w:p w14:paraId="7016AF77" w14:textId="77777777" w:rsidR="008E2E49" w:rsidRPr="00712B66" w:rsidRDefault="008E2E49" w:rsidP="00C16237">
            <w:pPr>
              <w:jc w:val="center"/>
            </w:pPr>
            <w:r>
              <w:t>-</w:t>
            </w:r>
          </w:p>
        </w:tc>
        <w:tc>
          <w:tcPr>
            <w:tcW w:w="1920" w:type="dxa"/>
            <w:tcBorders>
              <w:top w:val="single" w:sz="4" w:space="0" w:color="auto"/>
              <w:left w:val="single" w:sz="4" w:space="0" w:color="auto"/>
              <w:bottom w:val="single" w:sz="4" w:space="0" w:color="auto"/>
            </w:tcBorders>
          </w:tcPr>
          <w:p w14:paraId="31564D63" w14:textId="77777777" w:rsidR="008E2E49" w:rsidRPr="00712B66" w:rsidRDefault="008E2E49" w:rsidP="00C16237">
            <w:pPr>
              <w:jc w:val="center"/>
            </w:pPr>
            <w:r>
              <w:t>-</w:t>
            </w:r>
          </w:p>
        </w:tc>
      </w:tr>
    </w:tbl>
    <w:p w14:paraId="7251EC3C" w14:textId="77777777" w:rsidR="008E2E49" w:rsidRPr="00712B66" w:rsidRDefault="008E2E49" w:rsidP="008E2E49">
      <w:pPr>
        <w:pStyle w:val="naisf"/>
        <w:spacing w:before="0" w:after="0"/>
        <w:ind w:firstLine="0"/>
      </w:pPr>
    </w:p>
    <w:p w14:paraId="4BE0B85A" w14:textId="77777777"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14:paraId="070D2699" w14:textId="77777777"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DC0D14" w:rsidRPr="00DC0D14" w14:paraId="2F1BF6C9" w14:textId="77777777" w:rsidTr="00C16237">
        <w:tc>
          <w:tcPr>
            <w:tcW w:w="6345" w:type="dxa"/>
          </w:tcPr>
          <w:p w14:paraId="1E8E5D27" w14:textId="77777777" w:rsidR="008E2E49" w:rsidRPr="00DC0D14" w:rsidRDefault="008E2E49" w:rsidP="00C16237">
            <w:pPr>
              <w:pStyle w:val="naisf"/>
              <w:spacing w:before="0" w:after="0"/>
              <w:ind w:firstLine="0"/>
            </w:pPr>
            <w:r w:rsidRPr="00DC0D14">
              <w:t>Datums</w:t>
            </w:r>
          </w:p>
        </w:tc>
        <w:tc>
          <w:tcPr>
            <w:tcW w:w="6237" w:type="dxa"/>
            <w:tcBorders>
              <w:bottom w:val="single" w:sz="4" w:space="0" w:color="auto"/>
            </w:tcBorders>
          </w:tcPr>
          <w:p w14:paraId="56986307" w14:textId="38413BC0" w:rsidR="008E2E49" w:rsidRPr="00DC0D14" w:rsidRDefault="0015083B" w:rsidP="0015083B">
            <w:pPr>
              <w:pStyle w:val="NormalWeb"/>
              <w:spacing w:before="0" w:beforeAutospacing="0" w:after="0" w:afterAutospacing="0"/>
              <w:ind w:firstLine="720"/>
            </w:pPr>
            <w:r w:rsidRPr="00DC0D14">
              <w:t xml:space="preserve">2020.gada </w:t>
            </w:r>
            <w:r w:rsidR="008A2A21" w:rsidRPr="00DC0D14">
              <w:t xml:space="preserve">16. </w:t>
            </w:r>
            <w:r w:rsidRPr="00DC0D14">
              <w:t>novembris</w:t>
            </w:r>
            <w:r w:rsidR="00DA57D7">
              <w:t>, 2020.gada 15.decembris</w:t>
            </w:r>
          </w:p>
        </w:tc>
      </w:tr>
      <w:tr w:rsidR="00DC0D14" w:rsidRPr="00DC0D14" w14:paraId="74815340" w14:textId="77777777" w:rsidTr="00C16237">
        <w:tc>
          <w:tcPr>
            <w:tcW w:w="6345" w:type="dxa"/>
          </w:tcPr>
          <w:p w14:paraId="5ED73E6E" w14:textId="77777777" w:rsidR="008E2E49" w:rsidRPr="00DC0D14" w:rsidRDefault="008E2E49" w:rsidP="00C16237">
            <w:pPr>
              <w:pStyle w:val="naisf"/>
              <w:spacing w:before="0" w:after="0"/>
              <w:ind w:firstLine="0"/>
            </w:pPr>
          </w:p>
        </w:tc>
        <w:tc>
          <w:tcPr>
            <w:tcW w:w="6237" w:type="dxa"/>
            <w:tcBorders>
              <w:top w:val="single" w:sz="4" w:space="0" w:color="auto"/>
            </w:tcBorders>
          </w:tcPr>
          <w:p w14:paraId="0282F1C2" w14:textId="77777777" w:rsidR="008E2E49" w:rsidRPr="00DC0D14" w:rsidRDefault="008E2E49" w:rsidP="00C16237">
            <w:pPr>
              <w:pStyle w:val="NormalWeb"/>
              <w:spacing w:before="0" w:beforeAutospacing="0" w:after="0" w:afterAutospacing="0"/>
              <w:ind w:firstLine="720"/>
            </w:pPr>
          </w:p>
        </w:tc>
      </w:tr>
      <w:tr w:rsidR="008E2E49" w:rsidRPr="00DC0D14" w14:paraId="05451359" w14:textId="77777777" w:rsidTr="00C16237">
        <w:tc>
          <w:tcPr>
            <w:tcW w:w="6345" w:type="dxa"/>
          </w:tcPr>
          <w:p w14:paraId="2063ABCD" w14:textId="77777777" w:rsidR="008E2E49" w:rsidRPr="00DC0D14" w:rsidRDefault="008E2E49" w:rsidP="00C16237">
            <w:pPr>
              <w:pStyle w:val="naiskr"/>
              <w:spacing w:before="0" w:after="0"/>
            </w:pPr>
            <w:r w:rsidRPr="00DC0D14">
              <w:t>Saskaņošanas dalībnieki</w:t>
            </w:r>
          </w:p>
        </w:tc>
        <w:tc>
          <w:tcPr>
            <w:tcW w:w="6237" w:type="dxa"/>
          </w:tcPr>
          <w:p w14:paraId="05F60F8E" w14:textId="77777777" w:rsidR="008E2E49" w:rsidRPr="00DC0D14" w:rsidRDefault="0068204C" w:rsidP="0068204C">
            <w:pPr>
              <w:pStyle w:val="NormalWeb"/>
              <w:spacing w:before="0" w:beforeAutospacing="0" w:after="0" w:afterAutospacing="0"/>
            </w:pPr>
            <w:r w:rsidRPr="00DC0D14">
              <w:t>Tieslietu ministrija</w:t>
            </w:r>
            <w:r w:rsidR="00DC0D14" w:rsidRPr="00DC0D14">
              <w:t xml:space="preserve">, Aizsardzības ministrija, Ārlietu ministrija, </w:t>
            </w:r>
          </w:p>
          <w:p w14:paraId="2AC29118" w14:textId="2AF43C85" w:rsidR="00DC0D14" w:rsidRPr="00DC0D14" w:rsidRDefault="00DC0D14" w:rsidP="0068204C">
            <w:pPr>
              <w:pStyle w:val="NormalWeb"/>
              <w:spacing w:before="0" w:beforeAutospacing="0" w:after="0" w:afterAutospacing="0"/>
            </w:pPr>
            <w:r w:rsidRPr="00DC0D14">
              <w:t>Iekšlietu ministrija</w:t>
            </w:r>
          </w:p>
        </w:tc>
      </w:tr>
    </w:tbl>
    <w:p w14:paraId="4603F7B3" w14:textId="77777777" w:rsidR="008E2E49" w:rsidRPr="00DC0D14" w:rsidRDefault="008E2E49" w:rsidP="008E2E49"/>
    <w:tbl>
      <w:tblPr>
        <w:tblW w:w="12582" w:type="dxa"/>
        <w:tblLook w:val="00A0" w:firstRow="1" w:lastRow="0" w:firstColumn="1" w:lastColumn="0" w:noHBand="0" w:noVBand="0"/>
      </w:tblPr>
      <w:tblGrid>
        <w:gridCol w:w="6708"/>
        <w:gridCol w:w="840"/>
        <w:gridCol w:w="5034"/>
      </w:tblGrid>
      <w:tr w:rsidR="00DC0D14" w:rsidRPr="00DC0D14" w14:paraId="2A9C96A5" w14:textId="77777777" w:rsidTr="00C16237">
        <w:trPr>
          <w:trHeight w:val="285"/>
        </w:trPr>
        <w:tc>
          <w:tcPr>
            <w:tcW w:w="6708" w:type="dxa"/>
          </w:tcPr>
          <w:p w14:paraId="21427AFA" w14:textId="77777777" w:rsidR="008E2E49" w:rsidRPr="00DC0D14" w:rsidRDefault="008E2E49" w:rsidP="00C16237">
            <w:pPr>
              <w:pStyle w:val="naiskr"/>
              <w:spacing w:before="0" w:after="0"/>
            </w:pPr>
            <w:r w:rsidRPr="00DC0D14">
              <w:t>Saskaņošanas dalībnieki izskatīja šādu ministriju (citu institūciju) iebildumus</w:t>
            </w:r>
          </w:p>
        </w:tc>
        <w:tc>
          <w:tcPr>
            <w:tcW w:w="840" w:type="dxa"/>
          </w:tcPr>
          <w:p w14:paraId="0E748058" w14:textId="77777777" w:rsidR="008E2E49" w:rsidRPr="00DC0D14" w:rsidRDefault="008E2E49" w:rsidP="00C16237">
            <w:pPr>
              <w:pStyle w:val="naiskr"/>
              <w:spacing w:before="0" w:after="0"/>
              <w:ind w:firstLine="720"/>
            </w:pPr>
          </w:p>
        </w:tc>
        <w:tc>
          <w:tcPr>
            <w:tcW w:w="5034" w:type="dxa"/>
          </w:tcPr>
          <w:p w14:paraId="266C7A4D" w14:textId="77777777" w:rsidR="008E2E49" w:rsidRPr="00DC0D14" w:rsidRDefault="006366E7" w:rsidP="0068204C">
            <w:pPr>
              <w:pStyle w:val="naiskr"/>
              <w:spacing w:before="0" w:after="0"/>
            </w:pPr>
            <w:r w:rsidRPr="00DC0D14">
              <w:t xml:space="preserve">Tieslietu ministrijas </w:t>
            </w:r>
          </w:p>
        </w:tc>
      </w:tr>
      <w:tr w:rsidR="008E2E49" w:rsidRPr="00712B66" w14:paraId="00DDCAAD" w14:textId="77777777" w:rsidTr="00C16237">
        <w:trPr>
          <w:trHeight w:val="465"/>
        </w:trPr>
        <w:tc>
          <w:tcPr>
            <w:tcW w:w="12582" w:type="dxa"/>
            <w:gridSpan w:val="3"/>
          </w:tcPr>
          <w:p w14:paraId="544BF408" w14:textId="77777777" w:rsidR="008E2E49" w:rsidRPr="00712B66" w:rsidRDefault="008E2E49" w:rsidP="00C16237">
            <w:pPr>
              <w:pStyle w:val="naisc"/>
              <w:spacing w:before="0" w:after="0"/>
              <w:jc w:val="left"/>
            </w:pPr>
          </w:p>
        </w:tc>
      </w:tr>
      <w:tr w:rsidR="008E2E49" w:rsidRPr="00712B66" w14:paraId="232858F4" w14:textId="77777777" w:rsidTr="00C16237">
        <w:tc>
          <w:tcPr>
            <w:tcW w:w="6708" w:type="dxa"/>
          </w:tcPr>
          <w:p w14:paraId="57B4F450" w14:textId="77777777" w:rsidR="008E2E49" w:rsidRPr="00712B66" w:rsidRDefault="008E2E49" w:rsidP="00C1623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40D7402" w14:textId="77777777" w:rsidR="008E2E49" w:rsidRPr="00712B66" w:rsidRDefault="008E2E49" w:rsidP="00C16237">
            <w:pPr>
              <w:pStyle w:val="naiskr"/>
              <w:spacing w:before="0" w:after="0"/>
            </w:pPr>
          </w:p>
        </w:tc>
      </w:tr>
    </w:tbl>
    <w:p w14:paraId="5DE95584" w14:textId="77777777" w:rsidR="008E2E49" w:rsidRPr="00712B66" w:rsidRDefault="008E2E49" w:rsidP="008E2E49">
      <w:pPr>
        <w:pStyle w:val="naisf"/>
        <w:spacing w:before="0" w:after="0"/>
        <w:ind w:firstLine="720"/>
      </w:pPr>
    </w:p>
    <w:p w14:paraId="209B2123" w14:textId="77777777" w:rsidR="00DC0D14" w:rsidRDefault="00DC0D14" w:rsidP="008E2E49">
      <w:pPr>
        <w:pStyle w:val="naisf"/>
        <w:spacing w:before="0" w:after="0"/>
        <w:ind w:firstLine="0"/>
        <w:jc w:val="center"/>
        <w:rPr>
          <w:b/>
        </w:rPr>
      </w:pPr>
    </w:p>
    <w:p w14:paraId="5EE7CBD8" w14:textId="77777777" w:rsidR="00DC0D14" w:rsidRDefault="00DC0D14" w:rsidP="008E2E49">
      <w:pPr>
        <w:pStyle w:val="naisf"/>
        <w:spacing w:before="0" w:after="0"/>
        <w:ind w:firstLine="0"/>
        <w:jc w:val="center"/>
        <w:rPr>
          <w:b/>
        </w:rPr>
      </w:pPr>
    </w:p>
    <w:p w14:paraId="4E28BB8A" w14:textId="77777777" w:rsidR="00DC0D14" w:rsidRDefault="00DC0D14" w:rsidP="008E2E49">
      <w:pPr>
        <w:pStyle w:val="naisf"/>
        <w:spacing w:before="0" w:after="0"/>
        <w:ind w:firstLine="0"/>
        <w:jc w:val="center"/>
        <w:rPr>
          <w:b/>
        </w:rPr>
      </w:pPr>
    </w:p>
    <w:p w14:paraId="5B8290BA" w14:textId="7D840E62" w:rsidR="008E2E49" w:rsidRPr="00712B66" w:rsidRDefault="008E2E49" w:rsidP="008E2E49">
      <w:pPr>
        <w:pStyle w:val="naisf"/>
        <w:spacing w:before="0" w:after="0"/>
        <w:ind w:firstLine="0"/>
        <w:jc w:val="center"/>
        <w:rPr>
          <w:b/>
        </w:rPr>
      </w:pPr>
      <w:r w:rsidRPr="00712B66">
        <w:rPr>
          <w:b/>
        </w:rPr>
        <w:lastRenderedPageBreak/>
        <w:t>II. Jautājumi, par kuriem saskaņošanā vienošan</w:t>
      </w:r>
      <w:r>
        <w:rPr>
          <w:b/>
        </w:rPr>
        <w:t>ā</w:t>
      </w:r>
      <w:r w:rsidRPr="00712B66">
        <w:rPr>
          <w:b/>
        </w:rPr>
        <w:t>s ir panākta</w:t>
      </w:r>
    </w:p>
    <w:p w14:paraId="3AF71F5D" w14:textId="77777777" w:rsidR="008E2E49" w:rsidRPr="00712B66" w:rsidRDefault="008E2E49" w:rsidP="008E2E49">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712B66" w14:paraId="13E530D5" w14:textId="77777777" w:rsidTr="00D5294E">
        <w:tc>
          <w:tcPr>
            <w:tcW w:w="559" w:type="dxa"/>
            <w:tcBorders>
              <w:top w:val="single" w:sz="6" w:space="0" w:color="000000"/>
              <w:left w:val="single" w:sz="6" w:space="0" w:color="000000"/>
              <w:bottom w:val="single" w:sz="6" w:space="0" w:color="000000"/>
              <w:right w:val="single" w:sz="6" w:space="0" w:color="000000"/>
            </w:tcBorders>
            <w:vAlign w:val="center"/>
          </w:tcPr>
          <w:p w14:paraId="357B0CED" w14:textId="77777777" w:rsidR="008E2E49" w:rsidRPr="00712B66" w:rsidRDefault="008E2E49" w:rsidP="00C16237">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CABA747"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703D3E0F" w14:textId="77777777" w:rsidR="008E2E49" w:rsidRPr="00712B66" w:rsidRDefault="008E2E49" w:rsidP="00C16237">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7882BB88" w14:textId="77777777" w:rsidR="008E2E49" w:rsidRPr="00712B66" w:rsidRDefault="008E2E49" w:rsidP="00C1623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4A615ACC" w14:textId="77777777" w:rsidR="008E2E49" w:rsidRPr="00712B66" w:rsidRDefault="008E2E49" w:rsidP="00C16237">
            <w:pPr>
              <w:jc w:val="center"/>
            </w:pPr>
            <w:r w:rsidRPr="00712B66">
              <w:t>Projekta attiecīgā punkta (panta) galīgā redakcija</w:t>
            </w:r>
          </w:p>
        </w:tc>
      </w:tr>
      <w:tr w:rsidR="008E2E49" w:rsidRPr="003B71E0" w14:paraId="21348BE7"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A8F245C" w14:textId="77777777" w:rsidR="008E2E49" w:rsidRPr="003B71E0" w:rsidRDefault="008E2E49" w:rsidP="00C16237">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4072B41D" w14:textId="77777777" w:rsidR="008E2E49" w:rsidRPr="003B71E0" w:rsidRDefault="008E2E49" w:rsidP="00C16237">
            <w:pPr>
              <w:pStyle w:val="naisc"/>
              <w:spacing w:before="0" w:after="0"/>
              <w:ind w:firstLine="720"/>
              <w:rPr>
                <w:sz w:val="20"/>
                <w:szCs w:val="20"/>
              </w:rPr>
            </w:pPr>
            <w:r>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749C72" w14:textId="77777777" w:rsidR="008E2E49" w:rsidRPr="003B71E0" w:rsidRDefault="008E2E49" w:rsidP="00C16237">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3A28813" w14:textId="77777777" w:rsidR="008E2E49" w:rsidRPr="003B71E0" w:rsidRDefault="008E2E49" w:rsidP="00C16237">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14:paraId="5D4AFF64" w14:textId="77777777" w:rsidR="008E2E49" w:rsidRPr="003B71E0" w:rsidRDefault="008E2E49" w:rsidP="00C16237">
            <w:pPr>
              <w:jc w:val="center"/>
              <w:rPr>
                <w:sz w:val="20"/>
                <w:szCs w:val="20"/>
              </w:rPr>
            </w:pPr>
            <w:r w:rsidRPr="003B71E0">
              <w:rPr>
                <w:sz w:val="20"/>
                <w:szCs w:val="20"/>
              </w:rPr>
              <w:t>5</w:t>
            </w:r>
          </w:p>
        </w:tc>
      </w:tr>
      <w:tr w:rsidR="00A84716" w:rsidRPr="003B71E0" w14:paraId="794CC442"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7E7D7F5" w14:textId="77777777" w:rsidR="00A84716" w:rsidRPr="003B71E0" w:rsidRDefault="00A84716" w:rsidP="00C16237">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1454D74E" w14:textId="77777777" w:rsidR="007113A6" w:rsidRDefault="007113A6" w:rsidP="00907E4E">
            <w:pPr>
              <w:pStyle w:val="naisc"/>
              <w:spacing w:before="0" w:after="0"/>
              <w:jc w:val="both"/>
              <w:rPr>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5D48436" w14:textId="77777777" w:rsidR="00A84716" w:rsidRPr="003B71E0" w:rsidRDefault="00A84716" w:rsidP="008426AF">
            <w:pPr>
              <w:pStyle w:val="naisc"/>
              <w:spacing w:before="0" w:after="0"/>
              <w:jc w:val="both"/>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14E0B9ED" w14:textId="77777777" w:rsidR="00F443F1" w:rsidRPr="00907E4E" w:rsidRDefault="00F443F1" w:rsidP="00311F5F">
            <w:pPr>
              <w:pStyle w:val="naisc"/>
              <w:spacing w:before="0" w:after="0"/>
              <w:jc w:val="both"/>
              <w:rPr>
                <w:sz w:val="20"/>
                <w:szCs w:val="20"/>
              </w:rPr>
            </w:pPr>
          </w:p>
        </w:tc>
        <w:tc>
          <w:tcPr>
            <w:tcW w:w="3969" w:type="dxa"/>
            <w:tcBorders>
              <w:top w:val="single" w:sz="4" w:space="0" w:color="auto"/>
              <w:left w:val="single" w:sz="4" w:space="0" w:color="auto"/>
              <w:bottom w:val="single" w:sz="4" w:space="0" w:color="auto"/>
            </w:tcBorders>
          </w:tcPr>
          <w:p w14:paraId="0C497651" w14:textId="77777777" w:rsidR="00A84716" w:rsidRPr="003B71E0" w:rsidRDefault="00A84716" w:rsidP="00907E4E">
            <w:pPr>
              <w:rPr>
                <w:sz w:val="20"/>
                <w:szCs w:val="20"/>
              </w:rPr>
            </w:pPr>
          </w:p>
        </w:tc>
      </w:tr>
      <w:tr w:rsidR="00FF4A78" w:rsidRPr="009E104C" w14:paraId="6FA0621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1121915" w14:textId="77777777" w:rsidR="00FF4A78" w:rsidRPr="009E104C" w:rsidRDefault="00023F59" w:rsidP="00D26505">
            <w:pPr>
              <w:pStyle w:val="naisc"/>
              <w:spacing w:before="0" w:after="0"/>
              <w:jc w:val="both"/>
              <w:rPr>
                <w:sz w:val="22"/>
                <w:szCs w:val="22"/>
              </w:rPr>
            </w:pPr>
            <w:r w:rsidRPr="009E104C">
              <w:rPr>
                <w:sz w:val="22"/>
                <w:szCs w:val="22"/>
              </w:rPr>
              <w:t>1</w:t>
            </w:r>
            <w:r w:rsidR="00FF4A78" w:rsidRPr="009E104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E58ECE7" w14:textId="3239330C" w:rsidR="00FF4A78" w:rsidRPr="009E104C" w:rsidRDefault="00FF4A78" w:rsidP="00D26505">
            <w:pPr>
              <w:pStyle w:val="naisc"/>
              <w:ind w:firstLine="5"/>
              <w:jc w:val="both"/>
              <w:rPr>
                <w:b/>
                <w:sz w:val="22"/>
                <w:szCs w:val="22"/>
              </w:rPr>
            </w:pPr>
            <w:r w:rsidRPr="009E104C">
              <w:rPr>
                <w:b/>
                <w:sz w:val="22"/>
                <w:szCs w:val="22"/>
              </w:rPr>
              <w:t xml:space="preserve">Atzinums uz </w:t>
            </w:r>
            <w:r w:rsidR="002A6C49" w:rsidRPr="009E104C">
              <w:rPr>
                <w:b/>
                <w:sz w:val="22"/>
                <w:szCs w:val="22"/>
              </w:rPr>
              <w:t>12</w:t>
            </w:r>
            <w:r w:rsidRPr="009E104C">
              <w:rPr>
                <w:b/>
                <w:sz w:val="22"/>
                <w:szCs w:val="22"/>
              </w:rPr>
              <w:t>.11.2020.</w:t>
            </w:r>
          </w:p>
          <w:p w14:paraId="48569BC1" w14:textId="77777777" w:rsidR="00FF4A78" w:rsidRPr="009E104C" w:rsidRDefault="004A6A49" w:rsidP="004A6A49">
            <w:pPr>
              <w:jc w:val="both"/>
              <w:rPr>
                <w:sz w:val="22"/>
                <w:szCs w:val="22"/>
              </w:rPr>
            </w:pPr>
            <w:r w:rsidRPr="009E104C">
              <w:rPr>
                <w:sz w:val="22"/>
                <w:szCs w:val="22"/>
              </w:rPr>
              <w:t>1.pants</w:t>
            </w:r>
          </w:p>
          <w:p w14:paraId="3485558D" w14:textId="5C2973AE" w:rsidR="004A6A49" w:rsidRPr="009E104C" w:rsidRDefault="006C1AF3" w:rsidP="004A6A49">
            <w:pPr>
              <w:jc w:val="both"/>
              <w:rPr>
                <w:sz w:val="22"/>
                <w:szCs w:val="22"/>
              </w:rPr>
            </w:pPr>
            <w:r w:rsidRPr="009E104C">
              <w:rPr>
                <w:sz w:val="22"/>
                <w:szCs w:val="22"/>
              </w:rPr>
              <w:t>Aizstāt visā likumā, izņemot 1. panta pirmās daļas 25. punktu, 48. pantu un pārejas noteikumus, vārdu "Komisija" (attiecīgā locījumā) ar vārdiem "Latvijas Banka" (attiecīgā locījumā).</w:t>
            </w:r>
          </w:p>
        </w:tc>
        <w:tc>
          <w:tcPr>
            <w:tcW w:w="3260" w:type="dxa"/>
            <w:tcBorders>
              <w:top w:val="single" w:sz="6" w:space="0" w:color="000000"/>
              <w:left w:val="single" w:sz="6" w:space="0" w:color="000000"/>
              <w:bottom w:val="single" w:sz="6" w:space="0" w:color="000000"/>
              <w:right w:val="single" w:sz="6" w:space="0" w:color="000000"/>
            </w:tcBorders>
          </w:tcPr>
          <w:p w14:paraId="7A2FD0F8" w14:textId="77777777" w:rsidR="00FF4A78" w:rsidRPr="009E104C" w:rsidRDefault="00FF4A78" w:rsidP="00D26505">
            <w:pPr>
              <w:pStyle w:val="naisc"/>
              <w:jc w:val="both"/>
              <w:rPr>
                <w:b/>
                <w:sz w:val="22"/>
                <w:szCs w:val="22"/>
              </w:rPr>
            </w:pPr>
            <w:r w:rsidRPr="009E104C">
              <w:rPr>
                <w:b/>
                <w:sz w:val="22"/>
                <w:szCs w:val="22"/>
              </w:rPr>
              <w:t>Tieslietu ministrija</w:t>
            </w:r>
          </w:p>
          <w:p w14:paraId="5A1AEDC4" w14:textId="1F98BE6F" w:rsidR="00FF4A78" w:rsidRPr="009E104C" w:rsidRDefault="005F744E" w:rsidP="00444F42">
            <w:pPr>
              <w:ind w:right="12"/>
              <w:jc w:val="both"/>
              <w:rPr>
                <w:sz w:val="22"/>
                <w:szCs w:val="22"/>
              </w:rPr>
            </w:pPr>
            <w:r w:rsidRPr="009E104C">
              <w:rPr>
                <w:sz w:val="22"/>
                <w:szCs w:val="22"/>
              </w:rPr>
              <w:t>1. Projekta 1. pantā grozījumu, kurš paredz visā Privāto pensiju fondu likumā (turpmāk – PPFL) aizstāt vārdu “komisija” ar vārdiem “Latvijas Banka”, nepieciešams papildus izvērtēt un precizēt. Vēršam uzmanību, ka aizstāšanas izņēmumi nav jānorāda normām, kuras ar šo projektu tiek grozītas atsevišķi, proti, PPFL 1. panta pirmās daļas 25. punkts un 48. pants.</w:t>
            </w:r>
          </w:p>
        </w:tc>
        <w:tc>
          <w:tcPr>
            <w:tcW w:w="3544" w:type="dxa"/>
            <w:gridSpan w:val="2"/>
            <w:tcBorders>
              <w:top w:val="single" w:sz="6" w:space="0" w:color="000000"/>
              <w:left w:val="single" w:sz="6" w:space="0" w:color="000000"/>
              <w:bottom w:val="single" w:sz="6" w:space="0" w:color="000000"/>
              <w:right w:val="single" w:sz="6" w:space="0" w:color="000000"/>
            </w:tcBorders>
          </w:tcPr>
          <w:p w14:paraId="3C9091AB" w14:textId="77777777" w:rsidR="00A95CBB" w:rsidRPr="009E104C" w:rsidRDefault="00023F59" w:rsidP="00FB22EB">
            <w:pPr>
              <w:pStyle w:val="naisc"/>
              <w:spacing w:before="0" w:after="0"/>
              <w:jc w:val="both"/>
              <w:rPr>
                <w:b/>
                <w:sz w:val="22"/>
                <w:szCs w:val="22"/>
              </w:rPr>
            </w:pPr>
            <w:r w:rsidRPr="009E104C">
              <w:rPr>
                <w:b/>
                <w:sz w:val="22"/>
                <w:szCs w:val="22"/>
              </w:rPr>
              <w:t>Ņemts vērā.</w:t>
            </w:r>
          </w:p>
          <w:p w14:paraId="562069A5" w14:textId="14B03985" w:rsidR="00EB69FF" w:rsidRPr="009E104C" w:rsidRDefault="00EB69FF" w:rsidP="00FB22EB">
            <w:pPr>
              <w:pStyle w:val="naisc"/>
              <w:spacing w:before="0" w:after="0"/>
              <w:jc w:val="both"/>
              <w:rPr>
                <w:sz w:val="22"/>
                <w:szCs w:val="22"/>
              </w:rPr>
            </w:pPr>
            <w:r w:rsidRPr="009E104C">
              <w:rPr>
                <w:sz w:val="22"/>
                <w:szCs w:val="22"/>
              </w:rPr>
              <w:t xml:space="preserve">Veikti labojumi </w:t>
            </w:r>
            <w:r w:rsidR="00E76D5B">
              <w:rPr>
                <w:sz w:val="22"/>
                <w:szCs w:val="22"/>
              </w:rPr>
              <w:t>p</w:t>
            </w:r>
            <w:r w:rsidR="00DB30E2" w:rsidRPr="009E104C">
              <w:rPr>
                <w:sz w:val="22"/>
                <w:szCs w:val="22"/>
              </w:rPr>
              <w:t>rojekta 1. pantā un pārejas noteikumu 7</w:t>
            </w:r>
            <w:r w:rsidRPr="009E104C">
              <w:rPr>
                <w:sz w:val="22"/>
                <w:szCs w:val="22"/>
              </w:rPr>
              <w:t>. punktā.</w:t>
            </w:r>
          </w:p>
        </w:tc>
        <w:tc>
          <w:tcPr>
            <w:tcW w:w="3969" w:type="dxa"/>
            <w:tcBorders>
              <w:top w:val="single" w:sz="4" w:space="0" w:color="auto"/>
              <w:left w:val="single" w:sz="4" w:space="0" w:color="auto"/>
              <w:bottom w:val="single" w:sz="4" w:space="0" w:color="auto"/>
            </w:tcBorders>
          </w:tcPr>
          <w:p w14:paraId="5BFDE88F" w14:textId="4AFEB2A3" w:rsidR="00FF4A78" w:rsidRPr="009E104C" w:rsidRDefault="00B157FC" w:rsidP="00EB69FF">
            <w:pPr>
              <w:jc w:val="both"/>
              <w:rPr>
                <w:sz w:val="22"/>
                <w:szCs w:val="22"/>
              </w:rPr>
            </w:pPr>
            <w:r w:rsidRPr="009E104C">
              <w:rPr>
                <w:sz w:val="22"/>
                <w:szCs w:val="22"/>
              </w:rPr>
              <w:t xml:space="preserve">1. </w:t>
            </w:r>
            <w:r w:rsidR="0074337F" w:rsidRPr="009E104C">
              <w:rPr>
                <w:sz w:val="22"/>
                <w:szCs w:val="22"/>
              </w:rPr>
              <w:t>Aizstāt visā likumā, izņemot pārejas noteikumus, vārdu "Komisija" (attiecīgā locījumā) ar vārdiem "Latvijas Banka" (attiecīgā locījumā).</w:t>
            </w:r>
          </w:p>
          <w:p w14:paraId="36CF9901" w14:textId="77777777" w:rsidR="00EB69FF" w:rsidRPr="009E104C" w:rsidRDefault="00EB69FF" w:rsidP="00EB69FF">
            <w:pPr>
              <w:jc w:val="both"/>
              <w:rPr>
                <w:sz w:val="22"/>
                <w:szCs w:val="22"/>
              </w:rPr>
            </w:pPr>
          </w:p>
          <w:p w14:paraId="05EFE09E" w14:textId="007401F1" w:rsidR="00DB30E2" w:rsidRPr="009E104C" w:rsidRDefault="00C9468F" w:rsidP="00DB30E2">
            <w:pPr>
              <w:jc w:val="both"/>
              <w:rPr>
                <w:sz w:val="22"/>
                <w:szCs w:val="22"/>
              </w:rPr>
            </w:pPr>
            <w:r>
              <w:rPr>
                <w:sz w:val="22"/>
                <w:szCs w:val="22"/>
              </w:rPr>
              <w:t>11</w:t>
            </w:r>
            <w:r w:rsidR="00DB30E2" w:rsidRPr="009E104C">
              <w:rPr>
                <w:sz w:val="22"/>
                <w:szCs w:val="22"/>
              </w:rPr>
              <w:t>. Papildināt pārejas noteikumus ar 7. un 8. punktu šādā redakcijā:</w:t>
            </w:r>
          </w:p>
          <w:p w14:paraId="5E88C106" w14:textId="7D7B202A" w:rsidR="00DB30E2" w:rsidRPr="009E104C" w:rsidRDefault="00DB30E2" w:rsidP="00DB30E2">
            <w:pPr>
              <w:jc w:val="both"/>
              <w:rPr>
                <w:sz w:val="22"/>
                <w:szCs w:val="22"/>
              </w:rPr>
            </w:pPr>
            <w:r w:rsidRPr="009E104C">
              <w:rPr>
                <w:sz w:val="22"/>
                <w:szCs w:val="22"/>
              </w:rPr>
              <w:t xml:space="preserve">"7. Šā likuma grozījumi, kas saistīti ar Finanšu un kapitāla tirgus komisijas pievienošanu Latvijas Bankai (t.i., par vārda "Komisija" (attiecīgā locījumā), aizstāšanu visā likumā, izņemot pārejas noteikumus, ar vārdiem "Latvijas Banka" (attiecīgā locījumā), vārdu "normatīvie noteikumi" (attiecīgā locījumā) aizstāšanu visā likumā ar vārdu "noteikumi" (attiecīgā locījumā), vārdu "Finanšu un kapitāla tirgus komisija (turpmāk — Komisija)" 1. panta pirmās daļas 25. punktā aizstāšanu ar vārdiem "Latvijas Banka", 14. panta trešās daļas, 15. panta trešās daļas un 20. panta vienpadsmitās daļas papildināšanu pēc vārda "tiek" ar vārdiem "apstrīdēts un" un vārdu "pārsūdzēšana neaptur tā" aizstāšanu ar vārdiem "tā apstrīdēšana un pārsūdzēšana neaptur šī akta", 41. panta </w:t>
            </w:r>
            <w:r w:rsidRPr="009E104C">
              <w:rPr>
                <w:sz w:val="22"/>
                <w:szCs w:val="22"/>
              </w:rPr>
              <w:lastRenderedPageBreak/>
              <w:t>sestās daļas papildināšanu pēc vārda "apturēšanu" ar vārdiem "apstrīdēšana un") stājas spēkā vienlaikus ar Latvijas Bankas likumu.</w:t>
            </w:r>
          </w:p>
          <w:p w14:paraId="2E6D5E6E" w14:textId="77777777" w:rsidR="00DB30E2" w:rsidRPr="009E104C" w:rsidRDefault="00DB30E2" w:rsidP="00EB69FF">
            <w:pPr>
              <w:jc w:val="both"/>
              <w:rPr>
                <w:sz w:val="22"/>
                <w:szCs w:val="22"/>
              </w:rPr>
            </w:pPr>
          </w:p>
          <w:p w14:paraId="3481B8EE" w14:textId="194F9480" w:rsidR="00EB69FF" w:rsidRPr="009E104C" w:rsidRDefault="00DB30E2" w:rsidP="00EB69FF">
            <w:pPr>
              <w:jc w:val="both"/>
              <w:rPr>
                <w:sz w:val="22"/>
                <w:szCs w:val="22"/>
              </w:rPr>
            </w:pPr>
            <w:r w:rsidRPr="009E104C">
              <w:rPr>
                <w:sz w:val="22"/>
                <w:szCs w:val="22"/>
              </w:rPr>
              <w:t xml:space="preserve"> </w:t>
            </w:r>
            <w:r w:rsidR="00C9468F">
              <w:rPr>
                <w:sz w:val="22"/>
                <w:szCs w:val="22"/>
              </w:rPr>
              <w:t>[..</w:t>
            </w:r>
            <w:r w:rsidR="00EB69FF" w:rsidRPr="009E104C">
              <w:rPr>
                <w:sz w:val="22"/>
                <w:szCs w:val="22"/>
              </w:rPr>
              <w:t xml:space="preserve">] </w:t>
            </w:r>
            <w:r w:rsidRPr="009E104C">
              <w:rPr>
                <w:sz w:val="22"/>
                <w:szCs w:val="22"/>
              </w:rPr>
              <w:t>.</w:t>
            </w:r>
            <w:r w:rsidR="00EB69FF" w:rsidRPr="009E104C">
              <w:rPr>
                <w:sz w:val="22"/>
                <w:szCs w:val="22"/>
              </w:rPr>
              <w:t>“</w:t>
            </w:r>
            <w:r w:rsidRPr="009E104C">
              <w:rPr>
                <w:sz w:val="22"/>
                <w:szCs w:val="22"/>
              </w:rPr>
              <w:t>.</w:t>
            </w:r>
          </w:p>
        </w:tc>
      </w:tr>
      <w:tr w:rsidR="00FF4A78" w:rsidRPr="009E104C" w14:paraId="1931507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6DF1DAF" w14:textId="3DA204C5" w:rsidR="00FF4A78" w:rsidRPr="009E104C" w:rsidRDefault="00023F59" w:rsidP="00D26505">
            <w:pPr>
              <w:pStyle w:val="naisc"/>
              <w:spacing w:before="0" w:after="0"/>
              <w:jc w:val="both"/>
              <w:rPr>
                <w:sz w:val="22"/>
                <w:szCs w:val="22"/>
              </w:rPr>
            </w:pPr>
            <w:r w:rsidRPr="009E104C">
              <w:rPr>
                <w:sz w:val="22"/>
                <w:szCs w:val="22"/>
              </w:rPr>
              <w:lastRenderedPageBreak/>
              <w:t>2</w:t>
            </w:r>
            <w:r w:rsidR="00FF4A78" w:rsidRPr="009E104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882B7FC" w14:textId="510E210C" w:rsidR="00FF4A78" w:rsidRPr="009E104C" w:rsidRDefault="002A6C49" w:rsidP="00D26505">
            <w:pPr>
              <w:pStyle w:val="naisc"/>
              <w:ind w:firstLine="5"/>
              <w:jc w:val="both"/>
              <w:rPr>
                <w:b/>
                <w:sz w:val="22"/>
                <w:szCs w:val="22"/>
              </w:rPr>
            </w:pPr>
            <w:r w:rsidRPr="009E104C">
              <w:rPr>
                <w:b/>
                <w:sz w:val="22"/>
                <w:szCs w:val="22"/>
              </w:rPr>
              <w:t>Atzinums uz 12</w:t>
            </w:r>
            <w:r w:rsidR="00FF4A78" w:rsidRPr="009E104C">
              <w:rPr>
                <w:b/>
                <w:sz w:val="22"/>
                <w:szCs w:val="22"/>
              </w:rPr>
              <w:t>.11.2020.</w:t>
            </w:r>
          </w:p>
          <w:p w14:paraId="79D930A9" w14:textId="258671A1" w:rsidR="00FF4A78" w:rsidRPr="009E104C" w:rsidRDefault="004958A8" w:rsidP="0068204C">
            <w:pPr>
              <w:pStyle w:val="CommentText"/>
              <w:rPr>
                <w:sz w:val="22"/>
                <w:szCs w:val="22"/>
              </w:rPr>
            </w:pPr>
            <w:r w:rsidRPr="009E104C">
              <w:rPr>
                <w:sz w:val="22"/>
                <w:szCs w:val="22"/>
              </w:rPr>
              <w:t>4</w:t>
            </w:r>
            <w:r w:rsidR="00002BE2" w:rsidRPr="009E104C">
              <w:rPr>
                <w:sz w:val="22"/>
                <w:szCs w:val="22"/>
              </w:rPr>
              <w:t>.pants</w:t>
            </w:r>
          </w:p>
          <w:p w14:paraId="3A0E601A" w14:textId="0378A925" w:rsidR="00002BE2" w:rsidRPr="009E104C" w:rsidRDefault="00253FD6" w:rsidP="0068204C">
            <w:pPr>
              <w:pStyle w:val="CommentText"/>
              <w:rPr>
                <w:sz w:val="22"/>
                <w:szCs w:val="22"/>
              </w:rPr>
            </w:pPr>
            <w:r w:rsidRPr="009E104C">
              <w:rPr>
                <w:sz w:val="22"/>
                <w:szCs w:val="22"/>
                <w:lang w:eastAsia="lv-LV"/>
              </w:rPr>
              <w:t>Papildināt 14. panta trešo daļu, 15. panta trešo daļu un 20. panta vienpadsmito daļu pēc vārda "tiek" ar vārdiem "apstrīdēts un" un aizstāt vārdus "pārsūdzēšana neaptur tā" ar vārdiem "tā apstrīdēšana un pārsūdzēšana neaptur šī akta".</w:t>
            </w:r>
          </w:p>
        </w:tc>
        <w:tc>
          <w:tcPr>
            <w:tcW w:w="3260" w:type="dxa"/>
            <w:tcBorders>
              <w:top w:val="single" w:sz="6" w:space="0" w:color="000000"/>
              <w:left w:val="single" w:sz="6" w:space="0" w:color="000000"/>
              <w:bottom w:val="single" w:sz="6" w:space="0" w:color="000000"/>
              <w:right w:val="single" w:sz="6" w:space="0" w:color="000000"/>
            </w:tcBorders>
          </w:tcPr>
          <w:p w14:paraId="54898FB3" w14:textId="77777777" w:rsidR="00FF4A78" w:rsidRPr="009E104C" w:rsidRDefault="00FF4A78" w:rsidP="0068204C">
            <w:pPr>
              <w:pStyle w:val="naisc"/>
              <w:jc w:val="both"/>
              <w:rPr>
                <w:b/>
                <w:sz w:val="22"/>
                <w:szCs w:val="22"/>
              </w:rPr>
            </w:pPr>
            <w:r w:rsidRPr="009E104C">
              <w:rPr>
                <w:b/>
                <w:sz w:val="22"/>
                <w:szCs w:val="22"/>
              </w:rPr>
              <w:t>Tieslietu ministrija</w:t>
            </w:r>
          </w:p>
          <w:p w14:paraId="7BBC78EE" w14:textId="1B0455E4" w:rsidR="002E21F7" w:rsidRPr="009E104C" w:rsidRDefault="006B2F54" w:rsidP="00444F42">
            <w:pPr>
              <w:ind w:right="12"/>
              <w:jc w:val="both"/>
              <w:rPr>
                <w:sz w:val="22"/>
                <w:szCs w:val="22"/>
              </w:rPr>
            </w:pPr>
            <w:r w:rsidRPr="009E104C">
              <w:rPr>
                <w:sz w:val="22"/>
                <w:szCs w:val="22"/>
              </w:rPr>
              <w:t xml:space="preserve">2. </w:t>
            </w:r>
            <w:r w:rsidR="00253FD6" w:rsidRPr="009E104C">
              <w:rPr>
                <w:sz w:val="22"/>
                <w:szCs w:val="22"/>
              </w:rPr>
              <w:t>Projekta 4. pantā grozījumu, kurš paredz normu papildināšanu ar vārdiem dažādās PPFL normās, nepieciešams no projekta izslēgt, jo normatīvo aktu izstrādes juridiskās tehnikas nosacījumi likumprojektiem šādu grozījumu veidu neparedz. Ievērojot minēto, projektā atbilstoši noteikumu Nr.108 72. punktam jāparedz vairāki secīgi panti, kuros būtu paredzēti šie grozījumi konkrētās normās.</w:t>
            </w:r>
          </w:p>
        </w:tc>
        <w:tc>
          <w:tcPr>
            <w:tcW w:w="3544" w:type="dxa"/>
            <w:gridSpan w:val="2"/>
            <w:tcBorders>
              <w:top w:val="single" w:sz="6" w:space="0" w:color="000000"/>
              <w:left w:val="single" w:sz="6" w:space="0" w:color="000000"/>
              <w:bottom w:val="single" w:sz="6" w:space="0" w:color="000000"/>
              <w:right w:val="single" w:sz="6" w:space="0" w:color="000000"/>
            </w:tcBorders>
          </w:tcPr>
          <w:p w14:paraId="06B6BB8C" w14:textId="5AFDE833" w:rsidR="00367159" w:rsidRPr="009E104C" w:rsidRDefault="008803A3" w:rsidP="0068204C">
            <w:pPr>
              <w:pStyle w:val="naisc"/>
              <w:spacing w:before="0" w:after="0"/>
              <w:jc w:val="both"/>
              <w:rPr>
                <w:b/>
                <w:sz w:val="22"/>
                <w:szCs w:val="22"/>
              </w:rPr>
            </w:pPr>
            <w:r w:rsidRPr="009E104C">
              <w:rPr>
                <w:sz w:val="22"/>
                <w:szCs w:val="22"/>
              </w:rPr>
              <w:t>Ņ</w:t>
            </w:r>
            <w:r w:rsidR="00367159" w:rsidRPr="009E104C">
              <w:rPr>
                <w:b/>
                <w:sz w:val="22"/>
                <w:szCs w:val="22"/>
              </w:rPr>
              <w:t xml:space="preserve">emts vērā. </w:t>
            </w:r>
          </w:p>
          <w:p w14:paraId="1E942BFE" w14:textId="09C13A38" w:rsidR="00EB69FF" w:rsidRPr="009E104C" w:rsidRDefault="008803A3" w:rsidP="0068204C">
            <w:pPr>
              <w:pStyle w:val="naisc"/>
              <w:spacing w:before="0" w:after="0"/>
              <w:jc w:val="both"/>
              <w:rPr>
                <w:sz w:val="22"/>
                <w:szCs w:val="22"/>
              </w:rPr>
            </w:pPr>
            <w:r w:rsidRPr="009E104C">
              <w:rPr>
                <w:sz w:val="22"/>
                <w:szCs w:val="22"/>
              </w:rPr>
              <w:t xml:space="preserve">Veikti grozījumi projekta 4. pantā </w:t>
            </w:r>
            <w:r w:rsidR="00C9468F">
              <w:rPr>
                <w:sz w:val="22"/>
                <w:szCs w:val="22"/>
              </w:rPr>
              <w:t xml:space="preserve">(redakcija uz 12.11.2020.) </w:t>
            </w:r>
            <w:r w:rsidRPr="009E104C">
              <w:rPr>
                <w:sz w:val="22"/>
                <w:szCs w:val="22"/>
              </w:rPr>
              <w:t>un izveidoti vairāki jauni secīgi panti</w:t>
            </w:r>
            <w:r w:rsidR="00C9468F">
              <w:rPr>
                <w:sz w:val="22"/>
                <w:szCs w:val="22"/>
              </w:rPr>
              <w:t xml:space="preserve"> (5. un 6.</w:t>
            </w:r>
            <w:r w:rsidR="009E27B2">
              <w:rPr>
                <w:sz w:val="22"/>
                <w:szCs w:val="22"/>
              </w:rPr>
              <w:t xml:space="preserve"> pants)</w:t>
            </w:r>
            <w:r w:rsidRPr="009E104C">
              <w:rPr>
                <w:sz w:val="22"/>
                <w:szCs w:val="22"/>
              </w:rPr>
              <w:t xml:space="preserve">, kuros ir paredzēti šie grozījumi </w:t>
            </w:r>
            <w:r w:rsidR="00335281" w:rsidRPr="009E104C">
              <w:rPr>
                <w:sz w:val="22"/>
                <w:szCs w:val="22"/>
              </w:rPr>
              <w:t xml:space="preserve">atsevišķās, </w:t>
            </w:r>
            <w:r w:rsidRPr="009E104C">
              <w:rPr>
                <w:sz w:val="22"/>
                <w:szCs w:val="22"/>
              </w:rPr>
              <w:t xml:space="preserve">konkretās normās. </w:t>
            </w:r>
          </w:p>
          <w:p w14:paraId="2ABFC640" w14:textId="77777777" w:rsidR="00FB22EB" w:rsidRPr="009E104C" w:rsidRDefault="00FB22EB" w:rsidP="00334E90">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519D0DC1" w14:textId="083DCAC5" w:rsidR="002D3C6D" w:rsidRPr="002D3C6D" w:rsidRDefault="002D3C6D" w:rsidP="002D3C6D">
            <w:pPr>
              <w:jc w:val="both"/>
              <w:rPr>
                <w:sz w:val="22"/>
                <w:szCs w:val="22"/>
              </w:rPr>
            </w:pPr>
            <w:r>
              <w:rPr>
                <w:sz w:val="22"/>
                <w:szCs w:val="22"/>
              </w:rPr>
              <w:t>4. 14. panta trešajā daļā:</w:t>
            </w:r>
          </w:p>
          <w:p w14:paraId="66D1C4D2" w14:textId="0C91AEE0" w:rsidR="002D3C6D" w:rsidRPr="002D3C6D" w:rsidRDefault="002D3C6D" w:rsidP="002D3C6D">
            <w:pPr>
              <w:jc w:val="both"/>
              <w:rPr>
                <w:sz w:val="22"/>
                <w:szCs w:val="22"/>
              </w:rPr>
            </w:pPr>
            <w:r w:rsidRPr="002D3C6D">
              <w:rPr>
                <w:sz w:val="22"/>
                <w:szCs w:val="22"/>
              </w:rPr>
              <w:t>papildināt pēc vārda "ti</w:t>
            </w:r>
            <w:r>
              <w:rPr>
                <w:sz w:val="22"/>
                <w:szCs w:val="22"/>
              </w:rPr>
              <w:t>ek" ar vārdiem "apstrīdēts un";</w:t>
            </w:r>
          </w:p>
          <w:p w14:paraId="18788981" w14:textId="77777777" w:rsidR="002D3C6D" w:rsidRPr="002D3C6D" w:rsidRDefault="002D3C6D" w:rsidP="002D3C6D">
            <w:pPr>
              <w:jc w:val="both"/>
              <w:rPr>
                <w:sz w:val="22"/>
                <w:szCs w:val="22"/>
              </w:rPr>
            </w:pPr>
            <w:r w:rsidRPr="002D3C6D">
              <w:rPr>
                <w:sz w:val="22"/>
                <w:szCs w:val="22"/>
              </w:rPr>
              <w:t xml:space="preserve">aizstāt vārdus "pārsūdzēšana neaptur tā" ar vārdiem "tā apstrīdēšana un pārsūdzēšana neaptur šī akta". </w:t>
            </w:r>
          </w:p>
          <w:p w14:paraId="633FCBD7" w14:textId="77777777" w:rsidR="002D3C6D" w:rsidRPr="002D3C6D" w:rsidRDefault="002D3C6D" w:rsidP="002D3C6D">
            <w:pPr>
              <w:jc w:val="both"/>
              <w:rPr>
                <w:sz w:val="22"/>
                <w:szCs w:val="22"/>
              </w:rPr>
            </w:pPr>
          </w:p>
          <w:p w14:paraId="26EEBB5F" w14:textId="4BEE8364" w:rsidR="002D3C6D" w:rsidRPr="002D3C6D" w:rsidRDefault="002D3C6D" w:rsidP="002D3C6D">
            <w:pPr>
              <w:jc w:val="both"/>
              <w:rPr>
                <w:sz w:val="22"/>
                <w:szCs w:val="22"/>
              </w:rPr>
            </w:pPr>
            <w:r>
              <w:rPr>
                <w:sz w:val="22"/>
                <w:szCs w:val="22"/>
              </w:rPr>
              <w:t>5. 15. panta trešajā daļā:</w:t>
            </w:r>
          </w:p>
          <w:p w14:paraId="4CD82058" w14:textId="0AC71B94" w:rsidR="002D3C6D" w:rsidRPr="002D3C6D" w:rsidRDefault="002D3C6D" w:rsidP="002D3C6D">
            <w:pPr>
              <w:jc w:val="both"/>
              <w:rPr>
                <w:sz w:val="22"/>
                <w:szCs w:val="22"/>
              </w:rPr>
            </w:pPr>
            <w:r w:rsidRPr="002D3C6D">
              <w:rPr>
                <w:sz w:val="22"/>
                <w:szCs w:val="22"/>
              </w:rPr>
              <w:t>papildināt pēc vārda "ti</w:t>
            </w:r>
            <w:r>
              <w:rPr>
                <w:sz w:val="22"/>
                <w:szCs w:val="22"/>
              </w:rPr>
              <w:t>ek" ar vārdiem "apstrīdēts un";</w:t>
            </w:r>
          </w:p>
          <w:p w14:paraId="1A5DB86C" w14:textId="77777777" w:rsidR="002D3C6D" w:rsidRPr="002D3C6D" w:rsidRDefault="002D3C6D" w:rsidP="002D3C6D">
            <w:pPr>
              <w:jc w:val="both"/>
              <w:rPr>
                <w:sz w:val="22"/>
                <w:szCs w:val="22"/>
              </w:rPr>
            </w:pPr>
            <w:r w:rsidRPr="002D3C6D">
              <w:rPr>
                <w:sz w:val="22"/>
                <w:szCs w:val="22"/>
              </w:rPr>
              <w:t>aizstāt vārdus "pārsūdzēšana neaptur tā" ar vārdiem "tā apstrīdēšana un pārsūdzēšana neaptur šī akta".</w:t>
            </w:r>
          </w:p>
          <w:p w14:paraId="1878C2A8" w14:textId="77777777" w:rsidR="002D3C6D" w:rsidRPr="002D3C6D" w:rsidRDefault="002D3C6D" w:rsidP="002D3C6D">
            <w:pPr>
              <w:jc w:val="both"/>
              <w:rPr>
                <w:sz w:val="22"/>
                <w:szCs w:val="22"/>
              </w:rPr>
            </w:pPr>
          </w:p>
          <w:p w14:paraId="33695C2F" w14:textId="3D5438BE" w:rsidR="002D3C6D" w:rsidRPr="002D3C6D" w:rsidRDefault="002D3C6D" w:rsidP="002D3C6D">
            <w:pPr>
              <w:jc w:val="both"/>
              <w:rPr>
                <w:sz w:val="22"/>
                <w:szCs w:val="22"/>
              </w:rPr>
            </w:pPr>
            <w:r w:rsidRPr="002D3C6D">
              <w:rPr>
                <w:sz w:val="22"/>
                <w:szCs w:val="22"/>
              </w:rPr>
              <w:t>6.</w:t>
            </w:r>
            <w:r>
              <w:rPr>
                <w:sz w:val="22"/>
                <w:szCs w:val="22"/>
              </w:rPr>
              <w:t xml:space="preserve"> 20. panta vienpadsmitajā daļā:</w:t>
            </w:r>
          </w:p>
          <w:p w14:paraId="2E600445" w14:textId="346DB925" w:rsidR="002D3C6D" w:rsidRPr="002D3C6D" w:rsidRDefault="002D3C6D" w:rsidP="002D3C6D">
            <w:pPr>
              <w:jc w:val="both"/>
              <w:rPr>
                <w:sz w:val="22"/>
                <w:szCs w:val="22"/>
              </w:rPr>
            </w:pPr>
            <w:r w:rsidRPr="002D3C6D">
              <w:rPr>
                <w:sz w:val="22"/>
                <w:szCs w:val="22"/>
              </w:rPr>
              <w:t>papildināt pēc vārda "ti</w:t>
            </w:r>
            <w:r>
              <w:rPr>
                <w:sz w:val="22"/>
                <w:szCs w:val="22"/>
              </w:rPr>
              <w:t>ek" ar vārdiem "apstrīdēts un";</w:t>
            </w:r>
          </w:p>
          <w:p w14:paraId="22E3D363" w14:textId="3490959F" w:rsidR="00FF4A78" w:rsidRPr="009E104C" w:rsidRDefault="002D3C6D" w:rsidP="002D3C6D">
            <w:pPr>
              <w:jc w:val="both"/>
              <w:rPr>
                <w:sz w:val="22"/>
                <w:szCs w:val="22"/>
              </w:rPr>
            </w:pPr>
            <w:r w:rsidRPr="002D3C6D">
              <w:rPr>
                <w:sz w:val="22"/>
                <w:szCs w:val="22"/>
              </w:rPr>
              <w:t>aizstāt vārdus "pārsūdzēšana neaptur tā" ar vārdiem "tā apstrīdēšana un pārsūdzēšana neaptur šī akta".</w:t>
            </w:r>
          </w:p>
        </w:tc>
      </w:tr>
      <w:tr w:rsidR="00FF4A78" w:rsidRPr="009E104C" w14:paraId="58FE8E6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3E79981" w14:textId="29AA9F5F" w:rsidR="00FF4A78" w:rsidRPr="009E104C" w:rsidRDefault="00023F59" w:rsidP="00D26505">
            <w:pPr>
              <w:pStyle w:val="naisc"/>
              <w:spacing w:before="0" w:after="0"/>
              <w:jc w:val="both"/>
              <w:rPr>
                <w:sz w:val="22"/>
                <w:szCs w:val="22"/>
              </w:rPr>
            </w:pPr>
            <w:r w:rsidRPr="009E104C">
              <w:rPr>
                <w:sz w:val="22"/>
                <w:szCs w:val="22"/>
              </w:rPr>
              <w:t>3</w:t>
            </w:r>
            <w:r w:rsidR="00FF4A78" w:rsidRPr="009E104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36F8A1E9" w14:textId="561FD5D9" w:rsidR="00FF4A78" w:rsidRPr="009E104C" w:rsidRDefault="00FF4A78" w:rsidP="00D26505">
            <w:pPr>
              <w:pStyle w:val="naisc"/>
              <w:ind w:firstLine="5"/>
              <w:jc w:val="both"/>
              <w:rPr>
                <w:b/>
                <w:sz w:val="22"/>
                <w:szCs w:val="22"/>
              </w:rPr>
            </w:pPr>
            <w:r w:rsidRPr="009E104C">
              <w:rPr>
                <w:b/>
                <w:sz w:val="22"/>
                <w:szCs w:val="22"/>
              </w:rPr>
              <w:t xml:space="preserve">Atzinums uz </w:t>
            </w:r>
            <w:r w:rsidR="00DE77A3" w:rsidRPr="009E104C">
              <w:rPr>
                <w:b/>
                <w:sz w:val="22"/>
                <w:szCs w:val="22"/>
              </w:rPr>
              <w:t>12</w:t>
            </w:r>
            <w:r w:rsidRPr="009E104C">
              <w:rPr>
                <w:b/>
                <w:sz w:val="22"/>
                <w:szCs w:val="22"/>
              </w:rPr>
              <w:t>.11.2020.</w:t>
            </w:r>
          </w:p>
          <w:p w14:paraId="02641720" w14:textId="77777777" w:rsidR="00EA377D" w:rsidRPr="009E104C" w:rsidRDefault="00EA377D" w:rsidP="00EA377D">
            <w:pPr>
              <w:pStyle w:val="CommentText"/>
              <w:rPr>
                <w:sz w:val="22"/>
                <w:szCs w:val="22"/>
              </w:rPr>
            </w:pPr>
            <w:r w:rsidRPr="009E104C">
              <w:rPr>
                <w:sz w:val="22"/>
                <w:szCs w:val="22"/>
              </w:rPr>
              <w:t>4.pants</w:t>
            </w:r>
          </w:p>
          <w:p w14:paraId="2FD862D2" w14:textId="54D7DC6C" w:rsidR="007E4C56" w:rsidRPr="009E104C" w:rsidRDefault="00EA377D" w:rsidP="00EA377D">
            <w:pPr>
              <w:pStyle w:val="CommentText"/>
              <w:rPr>
                <w:sz w:val="22"/>
                <w:szCs w:val="22"/>
              </w:rPr>
            </w:pPr>
            <w:r w:rsidRPr="009E104C">
              <w:rPr>
                <w:sz w:val="22"/>
                <w:szCs w:val="22"/>
              </w:rPr>
              <w:t xml:space="preserve">Papildināt 14. panta trešo daļu, 15. panta trešo daļu un 20. panta vienpadsmito daļu pēc vārda "tiek" ar vārdiem "apstrīdēts un" un aizstāt vārdus "pārsūdzēšana neaptur tā" ar vārdiem "tā apstrīdēšana </w:t>
            </w:r>
            <w:r w:rsidRPr="009E104C">
              <w:rPr>
                <w:sz w:val="22"/>
                <w:szCs w:val="22"/>
              </w:rPr>
              <w:lastRenderedPageBreak/>
              <w:t>un pārsūdzēšana neaptur šī akta".</w:t>
            </w:r>
          </w:p>
        </w:tc>
        <w:tc>
          <w:tcPr>
            <w:tcW w:w="3260" w:type="dxa"/>
            <w:tcBorders>
              <w:top w:val="single" w:sz="6" w:space="0" w:color="000000"/>
              <w:left w:val="single" w:sz="6" w:space="0" w:color="000000"/>
              <w:bottom w:val="single" w:sz="6" w:space="0" w:color="000000"/>
              <w:right w:val="single" w:sz="6" w:space="0" w:color="000000"/>
            </w:tcBorders>
          </w:tcPr>
          <w:p w14:paraId="1B53D4FA" w14:textId="77777777" w:rsidR="00FF4A78" w:rsidRPr="009E104C" w:rsidRDefault="00FF4A78" w:rsidP="00D26505">
            <w:pPr>
              <w:pStyle w:val="naisc"/>
              <w:jc w:val="both"/>
              <w:rPr>
                <w:b/>
                <w:sz w:val="22"/>
                <w:szCs w:val="22"/>
              </w:rPr>
            </w:pPr>
            <w:r w:rsidRPr="009E104C">
              <w:rPr>
                <w:b/>
                <w:sz w:val="22"/>
                <w:szCs w:val="22"/>
              </w:rPr>
              <w:lastRenderedPageBreak/>
              <w:t>Tieslietu ministrija</w:t>
            </w:r>
          </w:p>
          <w:p w14:paraId="76AE7F91" w14:textId="6270F5F9" w:rsidR="0068204C" w:rsidRPr="009E104C" w:rsidRDefault="006B2F54" w:rsidP="00D26505">
            <w:pPr>
              <w:pStyle w:val="naisc"/>
              <w:jc w:val="both"/>
              <w:rPr>
                <w:b/>
                <w:sz w:val="22"/>
                <w:szCs w:val="22"/>
              </w:rPr>
            </w:pPr>
            <w:r w:rsidRPr="009E104C">
              <w:rPr>
                <w:sz w:val="22"/>
                <w:szCs w:val="22"/>
              </w:rPr>
              <w:t xml:space="preserve">3. </w:t>
            </w:r>
            <w:r w:rsidR="00EA377D" w:rsidRPr="009E104C">
              <w:rPr>
                <w:sz w:val="22"/>
                <w:szCs w:val="22"/>
              </w:rPr>
              <w:t xml:space="preserve">Projekta 4. pantā ietvertie grozījumi PPFL 14. panta trešajā daļā, 15. panta trešajā daļā, 20. panta vienpadsmitajā daļā, kā arī projekta 5. pantā ietvertie grozījumi PPFL 41. panta sestajā daļā paredz noteikt, ka Latvijas Bankas pieņemto lēmumu apstrīdēšana un pārsūdzēšana </w:t>
            </w:r>
            <w:r w:rsidR="00EA377D" w:rsidRPr="009E104C">
              <w:rPr>
                <w:sz w:val="22"/>
                <w:szCs w:val="22"/>
              </w:rPr>
              <w:lastRenderedPageBreak/>
              <w:t xml:space="preserve">neaptur to darbību. Minētās PPFL normas šobrīd paredz, ka Finanšu un kapitāla tirgus komisijas pieņemto lēmumu pārsūdzēšana neaptur to darbību. APL 80. panta pirmā daļa noteic, ka iesniegums par administratīvā akta apstrīdēšanu aptur tā darbību no dienas, kad iesniegums saņemts iestādē, izņemot gadījumus, kas paredzēti APL 360. panta otrajā un trešajā daļā, kā arī gadījumus, kad iesniegumu iesniedzis labvēlīga administratīvā akta adresāts, lai panāktu vēl labvēlīgāka administratīvā akta izdošanu, vai ja iesniegums iesniegts par vispārīgo administratīvo aktu. Tādējādi APL paredz vispārīgu principu, ka administratīvā akta apstrīdēšana aptur tā darbību. Ievērojot minēto, projekta sākotnējās ietekmes novērtējuma ziņojumu (anotāciju) nepieciešams papildināt ar pamatojumu šāda atšķirīga regulējuma noteikšanai. Vēršam uzmanību, ka PPFL spēkā esošais regulējums ir pieņemts atbilstoši APL 185. pantā noteiktajam regulējumam un ir attiecināms uz tiesas procesu, savukārt apstrīdēšanas stadijai lēmuma neapturēšanas pamatojums nav sniegts. </w:t>
            </w:r>
          </w:p>
          <w:p w14:paraId="1F60D198" w14:textId="77777777" w:rsidR="002E21F7" w:rsidRPr="009E104C" w:rsidRDefault="002E21F7" w:rsidP="0068204C">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605567B1" w14:textId="77777777" w:rsidR="00FF4A78" w:rsidRPr="009E104C" w:rsidRDefault="00FF4A78" w:rsidP="00D26505">
            <w:pPr>
              <w:pStyle w:val="naisc"/>
              <w:spacing w:before="0" w:after="0"/>
              <w:jc w:val="both"/>
              <w:rPr>
                <w:b/>
                <w:sz w:val="22"/>
                <w:szCs w:val="22"/>
              </w:rPr>
            </w:pPr>
            <w:r w:rsidRPr="009E104C">
              <w:rPr>
                <w:b/>
                <w:sz w:val="22"/>
                <w:szCs w:val="22"/>
              </w:rPr>
              <w:lastRenderedPageBreak/>
              <w:t>Ņemts vērā</w:t>
            </w:r>
          </w:p>
          <w:p w14:paraId="123FF751" w14:textId="369424C4" w:rsidR="0071083E" w:rsidRPr="00F63CE3" w:rsidRDefault="0071083E" w:rsidP="00D26505">
            <w:pPr>
              <w:pStyle w:val="naisc"/>
              <w:spacing w:before="0" w:after="0"/>
              <w:jc w:val="both"/>
              <w:rPr>
                <w:sz w:val="22"/>
                <w:szCs w:val="22"/>
              </w:rPr>
            </w:pPr>
            <w:r w:rsidRPr="00F63CE3">
              <w:rPr>
                <w:sz w:val="22"/>
                <w:szCs w:val="22"/>
              </w:rPr>
              <w:t xml:space="preserve">Skaidrojums sniegts anotācijā </w:t>
            </w:r>
          </w:p>
          <w:p w14:paraId="4777E956" w14:textId="77777777" w:rsidR="00FF4A78" w:rsidRPr="009E104C" w:rsidRDefault="00FF4A78" w:rsidP="00D26505">
            <w:pPr>
              <w:pStyle w:val="naisc"/>
              <w:spacing w:before="0" w:after="0"/>
              <w:jc w:val="both"/>
              <w:rPr>
                <w:b/>
                <w:sz w:val="22"/>
                <w:szCs w:val="22"/>
              </w:rPr>
            </w:pPr>
          </w:p>
          <w:p w14:paraId="40915214" w14:textId="3A101F32" w:rsidR="000F6B8B" w:rsidRPr="009E104C" w:rsidRDefault="000F6B8B" w:rsidP="0068204C">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22069505" w14:textId="51D48AFE" w:rsidR="00FF4A78" w:rsidRPr="009E104C" w:rsidRDefault="00315D9B" w:rsidP="0068204C">
            <w:pPr>
              <w:pStyle w:val="CommentText"/>
              <w:rPr>
                <w:sz w:val="22"/>
                <w:szCs w:val="22"/>
              </w:rPr>
            </w:pPr>
            <w:r>
              <w:rPr>
                <w:sz w:val="22"/>
                <w:szCs w:val="22"/>
              </w:rPr>
              <w:t xml:space="preserve">Anotācijas I. sadaļas 2. punktā ietvertā skaidrojuma </w:t>
            </w:r>
            <w:r w:rsidR="00F63CE3">
              <w:rPr>
                <w:sz w:val="22"/>
                <w:szCs w:val="22"/>
              </w:rPr>
              <w:t>2</w:t>
            </w:r>
            <w:r>
              <w:rPr>
                <w:sz w:val="22"/>
                <w:szCs w:val="22"/>
              </w:rPr>
              <w:t>. punkts papildināts ar skaidrojumu:</w:t>
            </w:r>
          </w:p>
          <w:p w14:paraId="449121AE" w14:textId="02AA8451" w:rsidR="00A6381F" w:rsidRPr="009E104C" w:rsidRDefault="00315D9B" w:rsidP="0071083E">
            <w:pPr>
              <w:jc w:val="both"/>
              <w:rPr>
                <w:sz w:val="22"/>
                <w:szCs w:val="22"/>
                <w:shd w:val="clear" w:color="auto" w:fill="FFFFFF"/>
              </w:rPr>
            </w:pPr>
            <w:r>
              <w:rPr>
                <w:sz w:val="22"/>
                <w:szCs w:val="22"/>
                <w:shd w:val="clear" w:color="auto" w:fill="FFFFFF"/>
              </w:rPr>
              <w:t>"</w:t>
            </w:r>
            <w:r w:rsidR="0071083E" w:rsidRPr="009E104C">
              <w:rPr>
                <w:sz w:val="22"/>
                <w:szCs w:val="22"/>
                <w:shd w:val="clear" w:color="auto" w:fill="FFFFFF"/>
              </w:rPr>
              <w:t xml:space="preserve">Normās paredzētais regulējums, kas paredz, ka Latvijas Bankas pieņemto lēmumu apstrīdēšana un pārsūdzēšana neaptur to darbību, paredzēts situācijās, kad ir nepieciešams ātri un efektīvi rīkoties, uzliekot </w:t>
            </w:r>
            <w:r w:rsidR="00D25109" w:rsidRPr="009E104C">
              <w:rPr>
                <w:sz w:val="22"/>
                <w:szCs w:val="22"/>
                <w:shd w:val="clear" w:color="auto" w:fill="FFFFFF"/>
              </w:rPr>
              <w:t>privātajam pensiju fondam</w:t>
            </w:r>
            <w:r w:rsidR="0071083E" w:rsidRPr="009E104C">
              <w:rPr>
                <w:sz w:val="22"/>
                <w:szCs w:val="22"/>
                <w:shd w:val="clear" w:color="auto" w:fill="FFFFFF"/>
              </w:rPr>
              <w:t xml:space="preserve"> veikt noteiktus pienākumus u</w:t>
            </w:r>
            <w:r w:rsidR="00D25109" w:rsidRPr="009E104C">
              <w:rPr>
                <w:sz w:val="22"/>
                <w:szCs w:val="22"/>
                <w:shd w:val="clear" w:color="auto" w:fill="FFFFFF"/>
              </w:rPr>
              <w:t xml:space="preserve">n </w:t>
            </w:r>
            <w:r w:rsidR="00D25109" w:rsidRPr="009E104C">
              <w:rPr>
                <w:sz w:val="22"/>
                <w:szCs w:val="22"/>
                <w:shd w:val="clear" w:color="auto" w:fill="FFFFFF"/>
              </w:rPr>
              <w:lastRenderedPageBreak/>
              <w:t>ierobežot tā</w:t>
            </w:r>
            <w:r w:rsidR="0071083E" w:rsidRPr="009E104C">
              <w:rPr>
                <w:sz w:val="22"/>
                <w:szCs w:val="22"/>
                <w:shd w:val="clear" w:color="auto" w:fill="FFFFFF"/>
              </w:rPr>
              <w:t xml:space="preserve"> tiesības. Šādi ties</w:t>
            </w:r>
            <w:r w:rsidR="00D25109" w:rsidRPr="009E104C">
              <w:rPr>
                <w:sz w:val="22"/>
                <w:szCs w:val="22"/>
                <w:shd w:val="clear" w:color="auto" w:fill="FFFFFF"/>
              </w:rPr>
              <w:t>ību ierobežojumi ir nelabvēlīgi</w:t>
            </w:r>
            <w:r w:rsidR="0071083E" w:rsidRPr="009E104C">
              <w:rPr>
                <w:sz w:val="22"/>
                <w:szCs w:val="22"/>
                <w:shd w:val="clear" w:color="auto" w:fill="FFFFFF"/>
              </w:rPr>
              <w:t xml:space="preserve">, taču uzraudzības iestāde tos piemēro galējā nepieciešamībā, izvērtējot, vai konkrētajā administratīvajā aktā minēto mērķi nav iespējams sasniegt ar citiem tiesiskajiem līdzekļiem, t.i. ar tādiem, kas mazāk ierobežotu </w:t>
            </w:r>
            <w:r w:rsidR="00D25109" w:rsidRPr="009E104C">
              <w:rPr>
                <w:sz w:val="22"/>
                <w:szCs w:val="22"/>
                <w:shd w:val="clear" w:color="auto" w:fill="FFFFFF"/>
              </w:rPr>
              <w:t>pensiju fonda</w:t>
            </w:r>
            <w:r w:rsidR="0071083E" w:rsidRPr="009E104C">
              <w:rPr>
                <w:sz w:val="22"/>
                <w:szCs w:val="22"/>
                <w:shd w:val="clear" w:color="auto" w:fill="FFFFFF"/>
              </w:rPr>
              <w:t xml:space="preserve"> darbību, tā lai tie saglabātu tā esošo finanšu situāciju, neradot draudus esošajiem dalībniekiem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w:t>
            </w:r>
            <w:r w:rsidR="00D25109" w:rsidRPr="009E104C">
              <w:rPr>
                <w:sz w:val="22"/>
                <w:szCs w:val="22"/>
                <w:shd w:val="clear" w:color="auto" w:fill="FFFFFF"/>
              </w:rPr>
              <w:t>pensiju plānu dalībnieku</w:t>
            </w:r>
            <w:r w:rsidR="0071083E" w:rsidRPr="009E104C">
              <w:rPr>
                <w:sz w:val="22"/>
                <w:szCs w:val="22"/>
                <w:shd w:val="clear" w:color="auto" w:fill="FFFFFF"/>
              </w:rPr>
              <w:t xml:space="preserve"> interešu aizsardzību, uzraugam ir nekavējoties jārīkojas, lai </w:t>
            </w:r>
            <w:r w:rsidR="00D25109" w:rsidRPr="009E104C">
              <w:rPr>
                <w:sz w:val="22"/>
                <w:szCs w:val="22"/>
                <w:shd w:val="clear" w:color="auto" w:fill="FFFFFF"/>
              </w:rPr>
              <w:t>privātais pensiju fonds</w:t>
            </w:r>
            <w:r w:rsidR="0071083E" w:rsidRPr="009E104C">
              <w:rPr>
                <w:sz w:val="22"/>
                <w:szCs w:val="22"/>
                <w:shd w:val="clear" w:color="auto" w:fill="FFFFFF"/>
              </w:rPr>
              <w:t xml:space="preserve"> saglabātu esošo finanšu stāvokli un aktīvu apmēru, tas būtu prognozējams un nepasliktinātos. Paredzot, ka uzraudzības iestādes administratīvā akta darbība tiek apturēta līdz ar tā apstrīdēšanas vai pārsūdzības dienu, finanšu tirgus un </w:t>
            </w:r>
            <w:r w:rsidR="00D25109" w:rsidRPr="009E104C">
              <w:rPr>
                <w:sz w:val="22"/>
                <w:szCs w:val="22"/>
                <w:shd w:val="clear" w:color="auto" w:fill="FFFFFF"/>
              </w:rPr>
              <w:t>pensiju plānu dalībnieku</w:t>
            </w:r>
            <w:r w:rsidR="0071083E" w:rsidRPr="009E104C">
              <w:rPr>
                <w:sz w:val="22"/>
                <w:szCs w:val="22"/>
                <w:shd w:val="clear" w:color="auto" w:fill="FFFFFF"/>
              </w:rPr>
              <w:t xml:space="preserve"> intereses  netiek aizsargātas, tā kā šī aizsardzība ir tieši paredzēta ar kokrētajiem uzraudzības iestādes uzlikajiem ierobežojumiem. Savukārt, pieņemot administratīvo aktu, kura darbību neaptur apstrīdēšanas vai pārsūdzības fakts,  tiek  nodrošināts tiesiskais līdzsvars starp </w:t>
            </w:r>
            <w:r w:rsidR="00D25109" w:rsidRPr="009E104C">
              <w:rPr>
                <w:sz w:val="22"/>
                <w:szCs w:val="22"/>
                <w:shd w:val="clear" w:color="auto" w:fill="FFFFFF"/>
              </w:rPr>
              <w:t>privātā pensiju fonda</w:t>
            </w:r>
            <w:r w:rsidR="002F1E8D" w:rsidRPr="009E104C">
              <w:rPr>
                <w:sz w:val="22"/>
                <w:szCs w:val="22"/>
                <w:shd w:val="clear" w:color="auto" w:fill="FFFFFF"/>
              </w:rPr>
              <w:t xml:space="preserve"> un </w:t>
            </w:r>
            <w:r w:rsidR="00D25109" w:rsidRPr="009E104C">
              <w:rPr>
                <w:sz w:val="22"/>
                <w:szCs w:val="22"/>
                <w:shd w:val="clear" w:color="auto" w:fill="FFFFFF"/>
              </w:rPr>
              <w:t>pensiju</w:t>
            </w:r>
            <w:r w:rsidR="002F1E8D" w:rsidRPr="009E104C">
              <w:rPr>
                <w:sz w:val="22"/>
                <w:szCs w:val="22"/>
                <w:shd w:val="clear" w:color="auto" w:fill="FFFFFF"/>
              </w:rPr>
              <w:t xml:space="preserve"> plānu dalībnieku</w:t>
            </w:r>
            <w:r w:rsidR="0071083E" w:rsidRPr="009E104C">
              <w:rPr>
                <w:sz w:val="22"/>
                <w:szCs w:val="22"/>
                <w:shd w:val="clear" w:color="auto" w:fill="FFFFFF"/>
              </w:rPr>
              <w:t xml:space="preserve"> </w:t>
            </w:r>
            <w:r w:rsidR="0071083E" w:rsidRPr="009E104C">
              <w:rPr>
                <w:sz w:val="22"/>
                <w:szCs w:val="22"/>
                <w:shd w:val="clear" w:color="auto" w:fill="FFFFFF"/>
              </w:rPr>
              <w:lastRenderedPageBreak/>
              <w:t>interesēm un visas sabiedrības interesēm, kā arī nerada tūlītējus satricinājumus finanšu tirgū un tautsaimniecībā.</w:t>
            </w:r>
            <w:r>
              <w:rPr>
                <w:sz w:val="22"/>
                <w:szCs w:val="22"/>
                <w:shd w:val="clear" w:color="auto" w:fill="FFFFFF"/>
              </w:rPr>
              <w:t>"</w:t>
            </w:r>
            <w:r w:rsidR="0071083E" w:rsidRPr="009E104C">
              <w:rPr>
                <w:sz w:val="22"/>
                <w:szCs w:val="22"/>
                <w:shd w:val="clear" w:color="auto" w:fill="FFFFFF"/>
              </w:rPr>
              <w:t xml:space="preserve">  </w:t>
            </w:r>
          </w:p>
          <w:p w14:paraId="0EC5E568" w14:textId="77777777" w:rsidR="00A6381F" w:rsidRPr="009E104C" w:rsidRDefault="00A6381F" w:rsidP="0068204C">
            <w:pPr>
              <w:pStyle w:val="CommentText"/>
              <w:rPr>
                <w:sz w:val="22"/>
                <w:szCs w:val="22"/>
              </w:rPr>
            </w:pPr>
          </w:p>
        </w:tc>
      </w:tr>
      <w:tr w:rsidR="00FF4A78" w:rsidRPr="009E104C" w14:paraId="5A29A932"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8AA44DC" w14:textId="3915E109" w:rsidR="00FF4A78" w:rsidRPr="009E104C" w:rsidRDefault="00023F59" w:rsidP="00D26505">
            <w:pPr>
              <w:pStyle w:val="naisc"/>
              <w:spacing w:before="0" w:after="0"/>
              <w:jc w:val="both"/>
              <w:rPr>
                <w:sz w:val="22"/>
                <w:szCs w:val="22"/>
              </w:rPr>
            </w:pPr>
            <w:r w:rsidRPr="009E104C">
              <w:rPr>
                <w:sz w:val="22"/>
                <w:szCs w:val="22"/>
              </w:rPr>
              <w:lastRenderedPageBreak/>
              <w:t>4</w:t>
            </w:r>
            <w:r w:rsidR="00FF4A78" w:rsidRPr="009E104C">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7208948" w14:textId="413941B9" w:rsidR="00FF4A78" w:rsidRPr="009E104C" w:rsidRDefault="00471385" w:rsidP="00D26505">
            <w:pPr>
              <w:pStyle w:val="naisc"/>
              <w:ind w:firstLine="5"/>
              <w:jc w:val="both"/>
              <w:rPr>
                <w:b/>
                <w:sz w:val="22"/>
                <w:szCs w:val="22"/>
              </w:rPr>
            </w:pPr>
            <w:r w:rsidRPr="009E104C">
              <w:rPr>
                <w:b/>
                <w:sz w:val="22"/>
                <w:szCs w:val="22"/>
              </w:rPr>
              <w:t>Atzinums uz 12</w:t>
            </w:r>
            <w:r w:rsidR="00FF4A78" w:rsidRPr="009E104C">
              <w:rPr>
                <w:b/>
                <w:sz w:val="22"/>
                <w:szCs w:val="22"/>
              </w:rPr>
              <w:t>.11.2020.</w:t>
            </w:r>
          </w:p>
          <w:p w14:paraId="363F756F" w14:textId="4BC8CCC0" w:rsidR="00FF4A78" w:rsidRPr="009E104C" w:rsidRDefault="001F6450" w:rsidP="002776FD">
            <w:pPr>
              <w:pStyle w:val="CommentText"/>
              <w:tabs>
                <w:tab w:val="clear" w:pos="284"/>
              </w:tabs>
              <w:ind w:firstLine="8"/>
              <w:rPr>
                <w:sz w:val="22"/>
                <w:szCs w:val="22"/>
              </w:rPr>
            </w:pPr>
            <w:r w:rsidRPr="009E104C">
              <w:rPr>
                <w:sz w:val="22"/>
                <w:szCs w:val="22"/>
              </w:rPr>
              <w:t>9</w:t>
            </w:r>
            <w:r w:rsidR="002776FD" w:rsidRPr="009E104C">
              <w:rPr>
                <w:sz w:val="22"/>
                <w:szCs w:val="22"/>
              </w:rPr>
              <w:t>.pants</w:t>
            </w:r>
          </w:p>
          <w:p w14:paraId="195F2863" w14:textId="2688462B" w:rsidR="001F6450" w:rsidRPr="009E104C" w:rsidRDefault="001F6450" w:rsidP="001F6450">
            <w:pPr>
              <w:pStyle w:val="CommentText"/>
              <w:ind w:firstLine="8"/>
              <w:rPr>
                <w:sz w:val="22"/>
                <w:szCs w:val="22"/>
                <w:shd w:val="clear" w:color="auto" w:fill="FFFFFF"/>
                <w:lang w:eastAsia="lv-LV"/>
              </w:rPr>
            </w:pPr>
            <w:r w:rsidRPr="009E104C">
              <w:rPr>
                <w:sz w:val="22"/>
                <w:szCs w:val="22"/>
                <w:shd w:val="clear" w:color="auto" w:fill="FFFFFF"/>
                <w:lang w:eastAsia="lv-LV"/>
              </w:rPr>
              <w:t>Papildināt pārejas noteikumus ar 7. un 8. punktu šādā redakcijā:</w:t>
            </w:r>
          </w:p>
          <w:p w14:paraId="729D260B" w14:textId="7041C750" w:rsidR="001F6450" w:rsidRPr="009E104C" w:rsidRDefault="001F6450" w:rsidP="001F6450">
            <w:pPr>
              <w:pStyle w:val="CommentText"/>
              <w:ind w:firstLine="8"/>
              <w:rPr>
                <w:sz w:val="22"/>
                <w:szCs w:val="22"/>
                <w:shd w:val="clear" w:color="auto" w:fill="FFFFFF"/>
                <w:lang w:eastAsia="lv-LV"/>
              </w:rPr>
            </w:pPr>
            <w:r w:rsidRPr="009E104C">
              <w:rPr>
                <w:sz w:val="22"/>
                <w:szCs w:val="22"/>
                <w:shd w:val="clear" w:color="auto" w:fill="FFFFFF"/>
                <w:lang w:eastAsia="lv-LV"/>
              </w:rPr>
              <w:t>"[...]</w:t>
            </w:r>
          </w:p>
          <w:p w14:paraId="11C96A29" w14:textId="77777777" w:rsidR="001F6450" w:rsidRPr="009E104C" w:rsidRDefault="001F6450" w:rsidP="001F6450">
            <w:pPr>
              <w:pStyle w:val="CommentText"/>
              <w:ind w:firstLine="8"/>
              <w:rPr>
                <w:sz w:val="22"/>
                <w:szCs w:val="22"/>
                <w:shd w:val="clear" w:color="auto" w:fill="FFFFFF"/>
                <w:lang w:eastAsia="lv-LV"/>
              </w:rPr>
            </w:pPr>
          </w:p>
          <w:p w14:paraId="110EC9D0" w14:textId="76FA6B9A" w:rsidR="002776FD" w:rsidRPr="009E104C" w:rsidRDefault="001F6450" w:rsidP="001F6450">
            <w:pPr>
              <w:pStyle w:val="CommentText"/>
              <w:tabs>
                <w:tab w:val="clear" w:pos="284"/>
              </w:tabs>
              <w:ind w:firstLine="8"/>
              <w:rPr>
                <w:sz w:val="22"/>
                <w:szCs w:val="22"/>
              </w:rPr>
            </w:pPr>
            <w:r w:rsidRPr="009E104C">
              <w:rPr>
                <w:sz w:val="22"/>
                <w:szCs w:val="22"/>
                <w:shd w:val="clear" w:color="auto" w:fill="FFFFFF"/>
                <w:lang w:eastAsia="lv-LV"/>
              </w:rPr>
              <w:t>8. Finanšu un kapitāla tirgus komisijas izdotie normatīvie noteikumi, kas saskaņā ar šo likumu izdoti līdz Latvijas Bankas likuma spēkā stāšanās dienai, ir spēkā līdz dienai, kad Latvijas Banka tos izdod jaunā redakcijā.".</w:t>
            </w:r>
          </w:p>
        </w:tc>
        <w:tc>
          <w:tcPr>
            <w:tcW w:w="3260" w:type="dxa"/>
            <w:tcBorders>
              <w:top w:val="single" w:sz="6" w:space="0" w:color="000000"/>
              <w:left w:val="single" w:sz="6" w:space="0" w:color="000000"/>
              <w:bottom w:val="single" w:sz="6" w:space="0" w:color="000000"/>
              <w:right w:val="single" w:sz="6" w:space="0" w:color="000000"/>
            </w:tcBorders>
          </w:tcPr>
          <w:p w14:paraId="7F60EC20" w14:textId="77777777" w:rsidR="00FF4A78" w:rsidRPr="009E104C" w:rsidRDefault="00FF4A78" w:rsidP="0068204C">
            <w:pPr>
              <w:pStyle w:val="naisc"/>
              <w:jc w:val="both"/>
              <w:rPr>
                <w:b/>
                <w:sz w:val="22"/>
                <w:szCs w:val="22"/>
              </w:rPr>
            </w:pPr>
            <w:r w:rsidRPr="009E104C">
              <w:rPr>
                <w:b/>
                <w:sz w:val="22"/>
                <w:szCs w:val="22"/>
              </w:rPr>
              <w:t>Tieslietu ministrija</w:t>
            </w:r>
          </w:p>
          <w:p w14:paraId="55AF156F" w14:textId="4B017F8B" w:rsidR="002E21F7" w:rsidRPr="009E104C" w:rsidRDefault="001F6450" w:rsidP="00E2229C">
            <w:pPr>
              <w:ind w:right="12"/>
              <w:jc w:val="both"/>
              <w:rPr>
                <w:sz w:val="22"/>
                <w:szCs w:val="22"/>
              </w:rPr>
            </w:pPr>
            <w:r w:rsidRPr="009E104C">
              <w:rPr>
                <w:sz w:val="22"/>
                <w:szCs w:val="22"/>
              </w:rPr>
              <w:t xml:space="preserve">4. Projekta 9. pantā ietvertais PPFL pārejas noteikumu 8. punkts noteic, ka Finanšu un kapitāla tirgus komisijas izdotie normatīvie noteikumi, kas saskaņā ar šo likumu izdoti līdz Latvijas Bankas likuma spēkā stāšanās dienai, ir spēkā līdz dienai, kad Latvijas Banka tos izdod jaunā redakcijā. Likumprojekta “Latvijas Bankas likums” pārejas noteikumu 3. punkts paredz, ka Latvijas Bankas un Finanšu un kapitāla tirgus komisijas normatīvie noteikumi, ieteikumi un vadlīnijas, kas pieņemti līdz likumprojekta “Latvijas Bankas likums” spēkā stāšanās dienai, piemērojami līdz dienai, kad Latvijas Banka tos izdod jaunā redakcijā, bet ne ilgāk kā līdz 2024. gada 31. decembrim. Ievērojot minēto, nepieciešams izvērtēt šāda dublējoša pārejas regulējuma lietderību, bet ja tāds nepieciešams, projektā šis pārejas noteikums jāpapildina ar termiņu, līdz kuram būs piemērojami Finanšu un kapitāla tirgus komisijas normatīvie noteikumi, tādējādi uzliekot pienākumu Latvijas Bankai izdot jaunus </w:t>
            </w:r>
            <w:r w:rsidRPr="009E104C">
              <w:rPr>
                <w:sz w:val="22"/>
                <w:szCs w:val="22"/>
              </w:rPr>
              <w:lastRenderedPageBreak/>
              <w:t>noteikumus ne vēlāk kā līdz šim termiņam.</w:t>
            </w:r>
          </w:p>
        </w:tc>
        <w:tc>
          <w:tcPr>
            <w:tcW w:w="3544" w:type="dxa"/>
            <w:gridSpan w:val="2"/>
            <w:tcBorders>
              <w:top w:val="single" w:sz="6" w:space="0" w:color="000000"/>
              <w:left w:val="single" w:sz="6" w:space="0" w:color="000000"/>
              <w:bottom w:val="single" w:sz="6" w:space="0" w:color="000000"/>
              <w:right w:val="single" w:sz="6" w:space="0" w:color="000000"/>
            </w:tcBorders>
          </w:tcPr>
          <w:p w14:paraId="0DAB71BD" w14:textId="31353E95" w:rsidR="00676A66" w:rsidRPr="009E104C" w:rsidRDefault="00202C6F" w:rsidP="00676A66">
            <w:pPr>
              <w:pStyle w:val="naisc"/>
              <w:spacing w:before="0" w:after="0"/>
              <w:jc w:val="both"/>
              <w:rPr>
                <w:b/>
                <w:color w:val="FF0000"/>
                <w:sz w:val="22"/>
                <w:szCs w:val="22"/>
              </w:rPr>
            </w:pPr>
            <w:r w:rsidRPr="009E104C">
              <w:rPr>
                <w:b/>
                <w:sz w:val="22"/>
                <w:szCs w:val="22"/>
              </w:rPr>
              <w:lastRenderedPageBreak/>
              <w:t>Ņ</w:t>
            </w:r>
            <w:r w:rsidR="003A0E3B" w:rsidRPr="009E104C">
              <w:rPr>
                <w:b/>
                <w:sz w:val="22"/>
                <w:szCs w:val="22"/>
              </w:rPr>
              <w:t>e</w:t>
            </w:r>
            <w:r w:rsidR="00FF4A78" w:rsidRPr="009E104C">
              <w:rPr>
                <w:b/>
                <w:sz w:val="22"/>
                <w:szCs w:val="22"/>
              </w:rPr>
              <w:t>mts vērā</w:t>
            </w:r>
          </w:p>
          <w:p w14:paraId="55F9FE95" w14:textId="77777777" w:rsidR="00BC0120" w:rsidRDefault="00BC0120" w:rsidP="00B957F1">
            <w:pPr>
              <w:pStyle w:val="naisc"/>
              <w:spacing w:before="0" w:after="0"/>
              <w:jc w:val="both"/>
              <w:rPr>
                <w:sz w:val="22"/>
                <w:szCs w:val="22"/>
              </w:rPr>
            </w:pPr>
          </w:p>
          <w:p w14:paraId="05371131" w14:textId="3BCEC89D" w:rsidR="00FF4A78" w:rsidRPr="009E104C" w:rsidRDefault="00202C6F" w:rsidP="00B957F1">
            <w:pPr>
              <w:pStyle w:val="naisc"/>
              <w:spacing w:before="0" w:after="0"/>
              <w:jc w:val="both"/>
              <w:rPr>
                <w:sz w:val="22"/>
                <w:szCs w:val="22"/>
              </w:rPr>
            </w:pPr>
            <w:r w:rsidRPr="009E104C">
              <w:rPr>
                <w:sz w:val="22"/>
                <w:szCs w:val="22"/>
              </w:rPr>
              <w:t>Veik</w:t>
            </w:r>
            <w:r w:rsidR="00B957F1" w:rsidRPr="009E104C">
              <w:rPr>
                <w:sz w:val="22"/>
                <w:szCs w:val="22"/>
              </w:rPr>
              <w:t>ti labojumi pārejas noteikumu 8</w:t>
            </w:r>
            <w:r w:rsidRPr="009E104C">
              <w:rPr>
                <w:sz w:val="22"/>
                <w:szCs w:val="22"/>
              </w:rPr>
              <w:t xml:space="preserve">.punktā </w:t>
            </w:r>
          </w:p>
        </w:tc>
        <w:tc>
          <w:tcPr>
            <w:tcW w:w="3969" w:type="dxa"/>
            <w:tcBorders>
              <w:top w:val="single" w:sz="4" w:space="0" w:color="auto"/>
              <w:left w:val="single" w:sz="4" w:space="0" w:color="auto"/>
              <w:bottom w:val="single" w:sz="4" w:space="0" w:color="auto"/>
            </w:tcBorders>
          </w:tcPr>
          <w:p w14:paraId="083A9F12" w14:textId="16D0AAC2" w:rsidR="00B957F1" w:rsidRPr="009E104C" w:rsidRDefault="00D540F1" w:rsidP="00B957F1">
            <w:pPr>
              <w:jc w:val="both"/>
              <w:rPr>
                <w:sz w:val="22"/>
                <w:szCs w:val="22"/>
              </w:rPr>
            </w:pPr>
            <w:r>
              <w:rPr>
                <w:sz w:val="22"/>
                <w:szCs w:val="22"/>
              </w:rPr>
              <w:t>11</w:t>
            </w:r>
            <w:r w:rsidR="00B957F1" w:rsidRPr="009E104C">
              <w:rPr>
                <w:sz w:val="22"/>
                <w:szCs w:val="22"/>
              </w:rPr>
              <w:t>.pants</w:t>
            </w:r>
          </w:p>
          <w:p w14:paraId="4BF5348E" w14:textId="77777777" w:rsidR="00B957F1" w:rsidRPr="009E104C" w:rsidRDefault="00B957F1" w:rsidP="00B957F1">
            <w:pPr>
              <w:jc w:val="both"/>
              <w:rPr>
                <w:sz w:val="22"/>
                <w:szCs w:val="22"/>
              </w:rPr>
            </w:pPr>
            <w:r w:rsidRPr="009E104C">
              <w:rPr>
                <w:sz w:val="22"/>
                <w:szCs w:val="22"/>
              </w:rPr>
              <w:t>Papildināt pārejas noteikumus ar 7. un 8. punktu šādā redakcijā:</w:t>
            </w:r>
          </w:p>
          <w:p w14:paraId="18EDFC36" w14:textId="4D13511F" w:rsidR="00B957F1" w:rsidRPr="009E104C" w:rsidRDefault="00D540F1" w:rsidP="00B957F1">
            <w:pPr>
              <w:jc w:val="both"/>
              <w:rPr>
                <w:sz w:val="22"/>
                <w:szCs w:val="22"/>
              </w:rPr>
            </w:pPr>
            <w:r>
              <w:rPr>
                <w:sz w:val="22"/>
                <w:szCs w:val="22"/>
              </w:rPr>
              <w:t>"[..</w:t>
            </w:r>
            <w:r w:rsidR="00B957F1" w:rsidRPr="009E104C">
              <w:rPr>
                <w:sz w:val="22"/>
                <w:szCs w:val="22"/>
              </w:rPr>
              <w:t>]</w:t>
            </w:r>
            <w:r>
              <w:rPr>
                <w:sz w:val="22"/>
                <w:szCs w:val="22"/>
              </w:rPr>
              <w:t>.</w:t>
            </w:r>
          </w:p>
          <w:p w14:paraId="7CF1682C" w14:textId="77777777" w:rsidR="00B957F1" w:rsidRPr="009E104C" w:rsidRDefault="00B957F1" w:rsidP="00B957F1">
            <w:pPr>
              <w:jc w:val="both"/>
              <w:rPr>
                <w:sz w:val="22"/>
                <w:szCs w:val="22"/>
              </w:rPr>
            </w:pPr>
          </w:p>
          <w:p w14:paraId="2C9B3AC0" w14:textId="49DB4F84" w:rsidR="00FF4A78" w:rsidRPr="009E104C" w:rsidRDefault="00B957F1" w:rsidP="00D540F1">
            <w:pPr>
              <w:jc w:val="both"/>
              <w:rPr>
                <w:sz w:val="22"/>
                <w:szCs w:val="22"/>
              </w:rPr>
            </w:pPr>
            <w:r w:rsidRPr="009E104C">
              <w:rPr>
                <w:sz w:val="22"/>
                <w:szCs w:val="22"/>
              </w:rPr>
              <w:t>8. Finanšu un kapitāla tirgus komisijas izdotie normatīvie noteikumi, kas saskaņā ar šo likumu izdoti līdz Latvijas Banka</w:t>
            </w:r>
            <w:r w:rsidR="00D540F1">
              <w:rPr>
                <w:sz w:val="22"/>
                <w:szCs w:val="22"/>
              </w:rPr>
              <w:t xml:space="preserve">s likuma spēkā stāšanās dienai, </w:t>
            </w:r>
            <w:r w:rsidRPr="009E104C">
              <w:rPr>
                <w:sz w:val="22"/>
                <w:szCs w:val="22"/>
              </w:rPr>
              <w:t xml:space="preserve">ir </w:t>
            </w:r>
            <w:r w:rsidR="00DC1BC5">
              <w:rPr>
                <w:sz w:val="22"/>
                <w:szCs w:val="22"/>
              </w:rPr>
              <w:t>piemērojami</w:t>
            </w:r>
            <w:r w:rsidR="00DC1BC5" w:rsidRPr="009E104C">
              <w:rPr>
                <w:sz w:val="22"/>
                <w:szCs w:val="22"/>
              </w:rPr>
              <w:t xml:space="preserve"> </w:t>
            </w:r>
            <w:r w:rsidRPr="009E104C">
              <w:rPr>
                <w:sz w:val="22"/>
                <w:szCs w:val="22"/>
              </w:rPr>
              <w:t xml:space="preserve">līdz dienai, kad Latvijas Banka </w:t>
            </w:r>
            <w:r w:rsidR="00DC1BC5" w:rsidRPr="00D540F1">
              <w:rPr>
                <w:sz w:val="22"/>
                <w:szCs w:val="22"/>
              </w:rPr>
              <w:t>apstiprina attiecīgos noteikumus</w:t>
            </w:r>
            <w:r w:rsidRPr="00D540F1">
              <w:rPr>
                <w:sz w:val="22"/>
                <w:szCs w:val="22"/>
              </w:rPr>
              <w:t>, bet ne ilgāk kā līdz 2024. gada 31. decembrim.".</w:t>
            </w:r>
          </w:p>
        </w:tc>
      </w:tr>
      <w:tr w:rsidR="00573AF3" w:rsidRPr="00DA57D7" w14:paraId="0464BC46" w14:textId="77777777"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6B02DD3B" w14:textId="562C2FA6" w:rsidR="009218BA" w:rsidRPr="00DA57D7" w:rsidRDefault="009218BA" w:rsidP="009218BA">
            <w:pPr>
              <w:pStyle w:val="naiskr"/>
              <w:spacing w:before="0" w:after="0"/>
              <w:rPr>
                <w:sz w:val="22"/>
                <w:szCs w:val="22"/>
              </w:rPr>
            </w:pPr>
          </w:p>
          <w:p w14:paraId="67EDFF5E" w14:textId="77777777" w:rsidR="009218BA" w:rsidRPr="00DA57D7" w:rsidRDefault="009218BA" w:rsidP="009218BA">
            <w:pPr>
              <w:pStyle w:val="naiskr"/>
              <w:spacing w:before="0" w:after="0"/>
              <w:rPr>
                <w:sz w:val="22"/>
                <w:szCs w:val="22"/>
              </w:rPr>
            </w:pPr>
            <w:r w:rsidRPr="00DA57D7">
              <w:rPr>
                <w:sz w:val="22"/>
                <w:szCs w:val="22"/>
              </w:rPr>
              <w:t>Atbildīgā amatpersona</w:t>
            </w:r>
          </w:p>
        </w:tc>
        <w:tc>
          <w:tcPr>
            <w:tcW w:w="6179" w:type="dxa"/>
            <w:gridSpan w:val="3"/>
          </w:tcPr>
          <w:p w14:paraId="306A9862" w14:textId="77777777" w:rsidR="009218BA" w:rsidRPr="00DA57D7" w:rsidRDefault="009218BA" w:rsidP="009218BA">
            <w:pPr>
              <w:pStyle w:val="naiskr"/>
              <w:spacing w:before="0" w:after="0"/>
              <w:ind w:firstLine="720"/>
              <w:rPr>
                <w:sz w:val="22"/>
                <w:szCs w:val="22"/>
              </w:rPr>
            </w:pPr>
            <w:r w:rsidRPr="00DA57D7">
              <w:rPr>
                <w:sz w:val="22"/>
                <w:szCs w:val="22"/>
              </w:rPr>
              <w:t>  </w:t>
            </w:r>
          </w:p>
        </w:tc>
      </w:tr>
      <w:tr w:rsidR="009218BA" w:rsidRPr="00DA57D7" w14:paraId="7BD6ACD0" w14:textId="77777777"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279786A6" w14:textId="77777777" w:rsidR="009218BA" w:rsidRPr="00DA57D7" w:rsidRDefault="009218BA" w:rsidP="009218BA">
            <w:pPr>
              <w:pStyle w:val="naiskr"/>
              <w:spacing w:before="0" w:after="0"/>
              <w:ind w:firstLine="720"/>
              <w:rPr>
                <w:sz w:val="22"/>
                <w:szCs w:val="22"/>
              </w:rPr>
            </w:pPr>
          </w:p>
        </w:tc>
        <w:tc>
          <w:tcPr>
            <w:tcW w:w="6179" w:type="dxa"/>
            <w:gridSpan w:val="3"/>
            <w:tcBorders>
              <w:top w:val="single" w:sz="6" w:space="0" w:color="000000"/>
            </w:tcBorders>
          </w:tcPr>
          <w:p w14:paraId="7B155123" w14:textId="77777777" w:rsidR="009218BA" w:rsidRPr="00DA57D7" w:rsidRDefault="009218BA" w:rsidP="009218BA">
            <w:pPr>
              <w:pStyle w:val="naisc"/>
              <w:spacing w:before="0" w:after="0"/>
              <w:ind w:firstLine="720"/>
              <w:rPr>
                <w:sz w:val="22"/>
                <w:szCs w:val="22"/>
              </w:rPr>
            </w:pPr>
            <w:r w:rsidRPr="00DA57D7">
              <w:rPr>
                <w:sz w:val="22"/>
                <w:szCs w:val="22"/>
              </w:rPr>
              <w:t>(paraksts)*</w:t>
            </w:r>
          </w:p>
        </w:tc>
      </w:tr>
    </w:tbl>
    <w:p w14:paraId="75B0A690" w14:textId="77777777" w:rsidR="008E2E49" w:rsidRPr="00DA57D7" w:rsidRDefault="008E2E49" w:rsidP="008E2E49">
      <w:pPr>
        <w:pStyle w:val="naisf"/>
        <w:spacing w:before="0" w:after="0"/>
        <w:ind w:firstLine="0"/>
        <w:rPr>
          <w:sz w:val="22"/>
          <w:szCs w:val="22"/>
        </w:rPr>
      </w:pPr>
    </w:p>
    <w:p w14:paraId="14F2DE06" w14:textId="77777777" w:rsidR="008E2E49" w:rsidRPr="00DA57D7" w:rsidRDefault="008E2E49" w:rsidP="008E2E49">
      <w:pPr>
        <w:pStyle w:val="naisf"/>
        <w:spacing w:before="0" w:after="0"/>
        <w:ind w:firstLine="720"/>
        <w:rPr>
          <w:sz w:val="22"/>
          <w:szCs w:val="22"/>
        </w:rPr>
      </w:pPr>
      <w:r w:rsidRPr="00DA57D7">
        <w:rPr>
          <w:sz w:val="22"/>
          <w:szCs w:val="22"/>
        </w:rPr>
        <w:t>Piezīme. * Dokumenta rekvizītu "paraksts" neaizpilda, ja elektroniskais dokuments ir sagatavots atbilstoši normatīvajiem aktiem par elektronisko dokumentu noformēšanu.</w:t>
      </w:r>
    </w:p>
    <w:p w14:paraId="443C3B76" w14:textId="77777777" w:rsidR="008E2E49" w:rsidRPr="00DA57D7" w:rsidRDefault="008E2E49" w:rsidP="008E2E49">
      <w:pPr>
        <w:pStyle w:val="naisf"/>
        <w:spacing w:before="0" w:after="0"/>
        <w:ind w:firstLine="0"/>
        <w:rPr>
          <w:sz w:val="22"/>
          <w:szCs w:val="22"/>
        </w:rPr>
      </w:pPr>
      <w:r w:rsidRPr="00DA57D7">
        <w:rPr>
          <w:sz w:val="22"/>
          <w:szCs w:val="22"/>
        </w:rPr>
        <w:t>Liene Jenerte</w:t>
      </w:r>
    </w:p>
    <w:tbl>
      <w:tblPr>
        <w:tblW w:w="0" w:type="auto"/>
        <w:tblLook w:val="00A0" w:firstRow="1" w:lastRow="0" w:firstColumn="1" w:lastColumn="0" w:noHBand="0" w:noVBand="0"/>
      </w:tblPr>
      <w:tblGrid>
        <w:gridCol w:w="8268"/>
      </w:tblGrid>
      <w:tr w:rsidR="00573AF3" w:rsidRPr="00DA57D7" w14:paraId="0B1265E8" w14:textId="77777777" w:rsidTr="00C16237">
        <w:tc>
          <w:tcPr>
            <w:tcW w:w="8268" w:type="dxa"/>
            <w:tcBorders>
              <w:top w:val="single" w:sz="4" w:space="0" w:color="000000"/>
            </w:tcBorders>
          </w:tcPr>
          <w:p w14:paraId="55C1E8F2" w14:textId="77777777" w:rsidR="008E2E49" w:rsidRPr="00DA57D7" w:rsidRDefault="008E2E49" w:rsidP="00C16237">
            <w:pPr>
              <w:jc w:val="center"/>
              <w:rPr>
                <w:sz w:val="22"/>
                <w:szCs w:val="22"/>
              </w:rPr>
            </w:pPr>
            <w:r w:rsidRPr="00DA57D7">
              <w:rPr>
                <w:sz w:val="22"/>
                <w:szCs w:val="22"/>
              </w:rPr>
              <w:t>(par projektu atbildīgās amatpersonas vārds un uzvārds)</w:t>
            </w:r>
          </w:p>
        </w:tc>
      </w:tr>
      <w:tr w:rsidR="00573AF3" w:rsidRPr="00DA57D7" w14:paraId="5DB3A0C6" w14:textId="77777777" w:rsidTr="00C16237">
        <w:tc>
          <w:tcPr>
            <w:tcW w:w="8268" w:type="dxa"/>
            <w:tcBorders>
              <w:bottom w:val="single" w:sz="4" w:space="0" w:color="000000"/>
            </w:tcBorders>
          </w:tcPr>
          <w:p w14:paraId="5BDC2E86" w14:textId="77777777" w:rsidR="008E2E49" w:rsidRPr="00DA57D7" w:rsidRDefault="00332E60" w:rsidP="00C16237">
            <w:pPr>
              <w:rPr>
                <w:sz w:val="22"/>
                <w:szCs w:val="22"/>
              </w:rPr>
            </w:pPr>
            <w:r w:rsidRPr="00DA57D7">
              <w:rPr>
                <w:sz w:val="22"/>
                <w:szCs w:val="22"/>
              </w:rPr>
              <w:t>Finanšu ministrijas</w:t>
            </w:r>
            <w:r w:rsidR="008E2E49" w:rsidRPr="00DA57D7">
              <w:rPr>
                <w:sz w:val="22"/>
                <w:szCs w:val="22"/>
              </w:rPr>
              <w:t xml:space="preserve"> </w:t>
            </w:r>
            <w:r w:rsidRPr="00DA57D7">
              <w:rPr>
                <w:sz w:val="22"/>
                <w:szCs w:val="22"/>
              </w:rPr>
              <w:t>Finanšu tirgus politikas</w:t>
            </w:r>
            <w:r w:rsidR="008E2E49" w:rsidRPr="00DA57D7">
              <w:rPr>
                <w:sz w:val="22"/>
                <w:szCs w:val="22"/>
              </w:rPr>
              <w:t xml:space="preserve"> departamenta</w:t>
            </w:r>
          </w:p>
          <w:p w14:paraId="28F1C231" w14:textId="5F034A1C" w:rsidR="008E2E49" w:rsidRPr="00DA57D7" w:rsidRDefault="00891D59" w:rsidP="00332E60">
            <w:pPr>
              <w:rPr>
                <w:sz w:val="22"/>
                <w:szCs w:val="22"/>
              </w:rPr>
            </w:pPr>
            <w:r w:rsidRPr="00DA57D7">
              <w:rPr>
                <w:sz w:val="22"/>
                <w:szCs w:val="22"/>
              </w:rPr>
              <w:t>Kr</w:t>
            </w:r>
            <w:r w:rsidR="00332E60" w:rsidRPr="00DA57D7">
              <w:rPr>
                <w:sz w:val="22"/>
                <w:szCs w:val="22"/>
              </w:rPr>
              <w:t>edītiestāžu un maksājumu pakalpojumu politikas nodaļas</w:t>
            </w:r>
            <w:r w:rsidR="008E2E49" w:rsidRPr="00DA57D7">
              <w:rPr>
                <w:sz w:val="22"/>
                <w:szCs w:val="22"/>
              </w:rPr>
              <w:t xml:space="preserve"> </w:t>
            </w:r>
            <w:r w:rsidR="008A2A21" w:rsidRPr="00DA57D7">
              <w:rPr>
                <w:sz w:val="22"/>
                <w:szCs w:val="22"/>
              </w:rPr>
              <w:t>juriste</w:t>
            </w:r>
          </w:p>
        </w:tc>
      </w:tr>
      <w:tr w:rsidR="00573AF3" w:rsidRPr="00DA57D7" w14:paraId="5B186A7E" w14:textId="77777777" w:rsidTr="00C16237">
        <w:tc>
          <w:tcPr>
            <w:tcW w:w="8268" w:type="dxa"/>
            <w:tcBorders>
              <w:top w:val="single" w:sz="4" w:space="0" w:color="000000"/>
            </w:tcBorders>
          </w:tcPr>
          <w:p w14:paraId="4F2BB700" w14:textId="77777777" w:rsidR="008E2E49" w:rsidRPr="00DA57D7" w:rsidRDefault="008E2E49" w:rsidP="00C16237">
            <w:pPr>
              <w:jc w:val="center"/>
              <w:rPr>
                <w:sz w:val="22"/>
                <w:szCs w:val="22"/>
              </w:rPr>
            </w:pPr>
            <w:r w:rsidRPr="00DA57D7">
              <w:rPr>
                <w:sz w:val="22"/>
                <w:szCs w:val="22"/>
              </w:rPr>
              <w:t>(amats)</w:t>
            </w:r>
          </w:p>
        </w:tc>
      </w:tr>
      <w:tr w:rsidR="00573AF3" w:rsidRPr="00DA57D7" w14:paraId="4F786F15" w14:textId="77777777" w:rsidTr="00C16237">
        <w:tc>
          <w:tcPr>
            <w:tcW w:w="8268" w:type="dxa"/>
            <w:tcBorders>
              <w:bottom w:val="single" w:sz="4" w:space="0" w:color="000000"/>
            </w:tcBorders>
          </w:tcPr>
          <w:p w14:paraId="52BA4867" w14:textId="77777777" w:rsidR="008E2E49" w:rsidRPr="00DA57D7" w:rsidRDefault="008E2E49" w:rsidP="00332E60">
            <w:pPr>
              <w:rPr>
                <w:sz w:val="22"/>
                <w:szCs w:val="22"/>
              </w:rPr>
            </w:pPr>
            <w:r w:rsidRPr="00DA57D7">
              <w:rPr>
                <w:sz w:val="22"/>
                <w:szCs w:val="22"/>
              </w:rPr>
              <w:t>Tālrunis:</w:t>
            </w:r>
            <w:r w:rsidR="00332E60" w:rsidRPr="00DA57D7">
              <w:rPr>
                <w:sz w:val="22"/>
                <w:szCs w:val="22"/>
              </w:rPr>
              <w:t xml:space="preserve"> 67095502</w:t>
            </w:r>
          </w:p>
        </w:tc>
      </w:tr>
      <w:tr w:rsidR="00573AF3" w:rsidRPr="00DA57D7" w14:paraId="734734DD" w14:textId="77777777" w:rsidTr="00C16237">
        <w:tc>
          <w:tcPr>
            <w:tcW w:w="8268" w:type="dxa"/>
            <w:tcBorders>
              <w:top w:val="single" w:sz="4" w:space="0" w:color="000000"/>
            </w:tcBorders>
          </w:tcPr>
          <w:p w14:paraId="5A4A6666" w14:textId="77777777" w:rsidR="008E2E49" w:rsidRPr="00DA57D7" w:rsidRDefault="008E2E49" w:rsidP="00C16237">
            <w:pPr>
              <w:jc w:val="center"/>
              <w:rPr>
                <w:sz w:val="22"/>
                <w:szCs w:val="22"/>
              </w:rPr>
            </w:pPr>
            <w:r w:rsidRPr="00DA57D7">
              <w:rPr>
                <w:sz w:val="22"/>
                <w:szCs w:val="22"/>
              </w:rPr>
              <w:t>(tālruņa un faksa numurs)</w:t>
            </w:r>
          </w:p>
        </w:tc>
      </w:tr>
      <w:tr w:rsidR="00573AF3" w:rsidRPr="00DA57D7" w14:paraId="3041EDF5" w14:textId="77777777" w:rsidTr="00C16237">
        <w:tc>
          <w:tcPr>
            <w:tcW w:w="8268" w:type="dxa"/>
            <w:tcBorders>
              <w:bottom w:val="single" w:sz="4" w:space="0" w:color="000000"/>
            </w:tcBorders>
          </w:tcPr>
          <w:p w14:paraId="0DC3EC03" w14:textId="77777777" w:rsidR="008E2E49" w:rsidRPr="00DA57D7" w:rsidRDefault="00DA57D7" w:rsidP="00C16237">
            <w:pPr>
              <w:rPr>
                <w:sz w:val="22"/>
                <w:szCs w:val="22"/>
              </w:rPr>
            </w:pPr>
            <w:hyperlink r:id="rId8" w:history="1">
              <w:r w:rsidR="00B3322F" w:rsidRPr="00DA57D7">
                <w:rPr>
                  <w:rStyle w:val="Hyperlink"/>
                  <w:color w:val="auto"/>
                  <w:sz w:val="22"/>
                  <w:szCs w:val="22"/>
                </w:rPr>
                <w:t>liene.jenerte@fm.gov.lv</w:t>
              </w:r>
            </w:hyperlink>
            <w:r w:rsidR="008E2E49" w:rsidRPr="00DA57D7">
              <w:rPr>
                <w:sz w:val="22"/>
                <w:szCs w:val="22"/>
              </w:rPr>
              <w:t xml:space="preserve"> </w:t>
            </w:r>
          </w:p>
        </w:tc>
      </w:tr>
      <w:tr w:rsidR="008E2E49" w:rsidRPr="00DA57D7" w14:paraId="36D25D1A" w14:textId="77777777" w:rsidTr="00C16237">
        <w:tc>
          <w:tcPr>
            <w:tcW w:w="8268" w:type="dxa"/>
            <w:tcBorders>
              <w:top w:val="single" w:sz="4" w:space="0" w:color="000000"/>
            </w:tcBorders>
          </w:tcPr>
          <w:p w14:paraId="6C5292B0" w14:textId="77777777" w:rsidR="008E2E49" w:rsidRPr="00DA57D7" w:rsidRDefault="008E2E49" w:rsidP="00C16237">
            <w:pPr>
              <w:jc w:val="center"/>
              <w:rPr>
                <w:sz w:val="22"/>
                <w:szCs w:val="22"/>
              </w:rPr>
            </w:pPr>
            <w:r w:rsidRPr="00DA57D7">
              <w:rPr>
                <w:sz w:val="22"/>
                <w:szCs w:val="22"/>
              </w:rPr>
              <w:t>(e-pasta adrese)</w:t>
            </w:r>
          </w:p>
        </w:tc>
      </w:tr>
    </w:tbl>
    <w:p w14:paraId="3F4A8F54" w14:textId="77777777" w:rsidR="008E2E49" w:rsidRPr="00DA57D7" w:rsidRDefault="008E2E49" w:rsidP="008E2E49">
      <w:pPr>
        <w:pStyle w:val="naisf"/>
        <w:spacing w:before="0" w:after="0"/>
        <w:ind w:firstLine="0"/>
        <w:jc w:val="left"/>
        <w:rPr>
          <w:sz w:val="22"/>
          <w:szCs w:val="22"/>
        </w:rPr>
      </w:pPr>
    </w:p>
    <w:p w14:paraId="64B881EB" w14:textId="77777777" w:rsidR="00573AF3" w:rsidRPr="00573AF3" w:rsidRDefault="00573AF3" w:rsidP="00573AF3">
      <w:pPr>
        <w:jc w:val="both"/>
        <w:rPr>
          <w:rFonts w:eastAsia="Calibri"/>
          <w:sz w:val="20"/>
          <w:szCs w:val="20"/>
        </w:rPr>
      </w:pPr>
      <w:proofErr w:type="spellStart"/>
      <w:r w:rsidRPr="00573AF3">
        <w:rPr>
          <w:rFonts w:eastAsia="Calibri"/>
          <w:sz w:val="20"/>
          <w:szCs w:val="20"/>
        </w:rPr>
        <w:t>Tukiša</w:t>
      </w:r>
      <w:proofErr w:type="spellEnd"/>
      <w:r w:rsidRPr="00573AF3">
        <w:rPr>
          <w:rFonts w:eastAsia="Calibri"/>
          <w:sz w:val="20"/>
          <w:szCs w:val="20"/>
        </w:rPr>
        <w:t>, 67774818</w:t>
      </w:r>
    </w:p>
    <w:p w14:paraId="155D048B" w14:textId="77777777" w:rsidR="00573AF3" w:rsidRPr="00573AF3" w:rsidRDefault="00573AF3" w:rsidP="00573AF3">
      <w:pPr>
        <w:jc w:val="both"/>
        <w:rPr>
          <w:rFonts w:eastAsia="Calibri"/>
          <w:sz w:val="20"/>
          <w:szCs w:val="20"/>
        </w:rPr>
      </w:pPr>
      <w:r w:rsidRPr="00573AF3">
        <w:rPr>
          <w:rFonts w:eastAsia="Calibri"/>
          <w:sz w:val="20"/>
          <w:szCs w:val="20"/>
        </w:rPr>
        <w:t>Sigita.Tukisa@fktk.lv</w:t>
      </w:r>
    </w:p>
    <w:p w14:paraId="434B6016" w14:textId="77777777" w:rsidR="008E2E49" w:rsidRPr="00AB1F93" w:rsidRDefault="008E2E49" w:rsidP="008E2E49">
      <w:pPr>
        <w:jc w:val="both"/>
        <w:rPr>
          <w:rFonts w:eastAsia="Calibri"/>
          <w:sz w:val="20"/>
          <w:szCs w:val="20"/>
        </w:rPr>
      </w:pPr>
      <w:r w:rsidRPr="00AB1F93">
        <w:rPr>
          <w:rFonts w:eastAsia="Calibri"/>
          <w:color w:val="0000FF"/>
          <w:sz w:val="20"/>
          <w:szCs w:val="20"/>
          <w:u w:val="single"/>
        </w:rPr>
        <w:t xml:space="preserve"> </w:t>
      </w:r>
    </w:p>
    <w:p w14:paraId="3DB205FB" w14:textId="77777777" w:rsidR="008E2E49" w:rsidRPr="003B71E0" w:rsidRDefault="008E2E49" w:rsidP="008E2E49">
      <w:pPr>
        <w:pStyle w:val="naisf"/>
        <w:spacing w:before="0" w:after="0"/>
        <w:ind w:firstLine="0"/>
        <w:jc w:val="left"/>
        <w:rPr>
          <w:sz w:val="28"/>
          <w:szCs w:val="28"/>
        </w:rPr>
      </w:pPr>
    </w:p>
    <w:p w14:paraId="719C4DCA" w14:textId="77777777" w:rsidR="008E2E49" w:rsidRDefault="008E2E49" w:rsidP="008E2E49">
      <w:pPr>
        <w:pStyle w:val="naisf"/>
        <w:tabs>
          <w:tab w:val="left" w:pos="6840"/>
        </w:tabs>
        <w:spacing w:before="0" w:after="0"/>
        <w:ind w:firstLine="720"/>
        <w:rPr>
          <w:sz w:val="28"/>
          <w:szCs w:val="28"/>
        </w:rPr>
      </w:pPr>
    </w:p>
    <w:p w14:paraId="146135E5" w14:textId="77777777" w:rsidR="008E2E49" w:rsidRDefault="008E2E49" w:rsidP="008E2E49"/>
    <w:p w14:paraId="705D613D" w14:textId="77777777" w:rsidR="00B42DF3" w:rsidRDefault="00B42DF3"/>
    <w:sectPr w:rsidR="00B42DF3"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53319" w14:textId="77777777" w:rsidR="006C206F" w:rsidRDefault="006C206F">
      <w:r>
        <w:separator/>
      </w:r>
    </w:p>
  </w:endnote>
  <w:endnote w:type="continuationSeparator" w:id="0">
    <w:p w14:paraId="3A3C4E15" w14:textId="77777777" w:rsidR="006C206F" w:rsidRDefault="006C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2A03" w14:textId="1EAFDF1E" w:rsidR="006455E7" w:rsidRPr="0015083B" w:rsidRDefault="0015083B" w:rsidP="0015083B">
    <w:pPr>
      <w:pStyle w:val="Footer"/>
      <w:rPr>
        <w:sz w:val="16"/>
        <w:szCs w:val="16"/>
      </w:rPr>
    </w:pPr>
    <w:r>
      <w:rPr>
        <w:sz w:val="16"/>
        <w:szCs w:val="16"/>
      </w:rPr>
      <w:t>FMIzz_</w:t>
    </w:r>
    <w:r w:rsidR="00DA57D7">
      <w:rPr>
        <w:sz w:val="16"/>
        <w:szCs w:val="16"/>
      </w:rPr>
      <w:t>110221</w:t>
    </w:r>
    <w:r w:rsidR="00573AF3">
      <w:rPr>
        <w:sz w:val="16"/>
        <w:szCs w:val="16"/>
      </w:rPr>
      <w:t>_PPFL_groz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822C" w14:textId="284DEBF8" w:rsidR="006455E7" w:rsidRPr="000F78F7" w:rsidRDefault="0015083B" w:rsidP="00364BB6">
    <w:pPr>
      <w:pStyle w:val="Footer"/>
      <w:rPr>
        <w:sz w:val="16"/>
        <w:szCs w:val="16"/>
      </w:rPr>
    </w:pPr>
    <w:r>
      <w:rPr>
        <w:sz w:val="16"/>
        <w:szCs w:val="16"/>
      </w:rPr>
      <w:t>FM</w:t>
    </w:r>
    <w:r w:rsidR="00000F77">
      <w:rPr>
        <w:sz w:val="16"/>
        <w:szCs w:val="16"/>
      </w:rPr>
      <w:t>Izz_</w:t>
    </w:r>
    <w:r w:rsidR="00DA57D7">
      <w:rPr>
        <w:sz w:val="16"/>
        <w:szCs w:val="16"/>
      </w:rPr>
      <w:t>110221</w:t>
    </w:r>
    <w:r w:rsidR="00573AF3">
      <w:rPr>
        <w:sz w:val="16"/>
        <w:szCs w:val="16"/>
      </w:rPr>
      <w:t>_PPFL_groz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CF06" w14:textId="77777777" w:rsidR="006C206F" w:rsidRDefault="006C206F">
      <w:r>
        <w:separator/>
      </w:r>
    </w:p>
  </w:footnote>
  <w:footnote w:type="continuationSeparator" w:id="0">
    <w:p w14:paraId="103382B2" w14:textId="77777777" w:rsidR="006C206F" w:rsidRDefault="006C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3C6"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165D7" w14:textId="77777777" w:rsidR="006455E7" w:rsidRDefault="00DA5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6202"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0F1">
      <w:rPr>
        <w:rStyle w:val="PageNumber"/>
        <w:noProof/>
      </w:rPr>
      <w:t>6</w:t>
    </w:r>
    <w:r>
      <w:rPr>
        <w:rStyle w:val="PageNumber"/>
      </w:rPr>
      <w:fldChar w:fldCharType="end"/>
    </w:r>
  </w:p>
  <w:p w14:paraId="45C5B567" w14:textId="77777777" w:rsidR="006455E7" w:rsidRDefault="00DA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20C"/>
    <w:multiLevelType w:val="hybridMultilevel"/>
    <w:tmpl w:val="E29E56C6"/>
    <w:lvl w:ilvl="0" w:tplc="AF3E6F94">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9"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4B316648"/>
    <w:multiLevelType w:val="hybridMultilevel"/>
    <w:tmpl w:val="F9748474"/>
    <w:lvl w:ilvl="0" w:tplc="04090001">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50E84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F17AEE"/>
    <w:multiLevelType w:val="multilevel"/>
    <w:tmpl w:val="8EF254F6"/>
    <w:lvl w:ilvl="0">
      <w:start w:val="1"/>
      <w:numFmt w:val="decimal"/>
      <w:lvlRestart w:val="0"/>
      <w:suff w:val="space"/>
      <w:lvlText w:val="%1."/>
      <w:lvlJc w:val="left"/>
      <w:pPr>
        <w:ind w:left="-410" w:firstLine="680"/>
      </w:pPr>
      <w:rPr>
        <w:rFonts w:hint="default"/>
      </w:rPr>
    </w:lvl>
    <w:lvl w:ilvl="1">
      <w:start w:val="1"/>
      <w:numFmt w:val="decimal"/>
      <w:suff w:val="space"/>
      <w:lvlText w:val="%1.%2."/>
      <w:lvlJc w:val="left"/>
      <w:pPr>
        <w:ind w:left="-5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none"/>
      <w:lvlRestart w:val="1"/>
      <w:suff w:val="nothing"/>
      <w:lvlText w:val="%1"/>
      <w:lvlJc w:val="left"/>
      <w:pPr>
        <w:ind w:left="0" w:firstLine="680"/>
      </w:pPr>
      <w:rPr>
        <w:rFonts w:hint="default"/>
      </w:rPr>
    </w:lvl>
    <w:lvl w:ilvl="5">
      <w:start w:val="1"/>
      <w:numFmt w:val="decimal"/>
      <w:lvlRestart w:val="1"/>
      <w:suff w:val="nothing"/>
      <w:lvlText w:val="%6"/>
      <w:lvlJc w:val="left"/>
      <w:pPr>
        <w:ind w:left="0" w:firstLine="0"/>
      </w:pPr>
      <w:rPr>
        <w:rFonts w:hint="default"/>
        <w:vertAlign w:val="baseline"/>
      </w:rPr>
    </w:lvl>
    <w:lvl w:ilvl="6">
      <w:start w:val="1"/>
      <w:numFmt w:val="decimal"/>
      <w:lvlRestart w:val="1"/>
      <w:suff w:val="nothing"/>
      <w:lvlText w:val="%7"/>
      <w:lvlJc w:val="left"/>
      <w:pPr>
        <w:ind w:left="0" w:firstLine="0"/>
      </w:pPr>
      <w:rPr>
        <w:rFonts w:hint="default"/>
      </w:rPr>
    </w:lvl>
    <w:lvl w:ilvl="7">
      <w:start w:val="1"/>
      <w:numFmt w:val="decimal"/>
      <w:lvlRestart w:val="2"/>
      <w:suff w:val="nothing"/>
      <w:lvlText w:val="%8"/>
      <w:lvlJc w:val="left"/>
      <w:pPr>
        <w:ind w:left="0" w:firstLine="0"/>
      </w:pPr>
      <w:rPr>
        <w:rFonts w:hint="default"/>
        <w:vertAlign w:val="superscript"/>
      </w:rPr>
    </w:lvl>
    <w:lvl w:ilvl="8">
      <w:start w:val="1"/>
      <w:numFmt w:val="none"/>
      <w:lvlRestart w:val="1"/>
      <w:suff w:val="nothing"/>
      <w:lvlText w:val="%2"/>
      <w:lvlJc w:val="left"/>
      <w:pPr>
        <w:ind w:left="0" w:firstLine="0"/>
      </w:pPr>
      <w:rPr>
        <w:rFonts w:hint="default"/>
        <w:vertAlign w:val="baseline"/>
      </w:rPr>
    </w:lvl>
  </w:abstractNum>
  <w:num w:numId="1">
    <w:abstractNumId w:val="11"/>
  </w:num>
  <w:num w:numId="2">
    <w:abstractNumId w:val="4"/>
  </w:num>
  <w:num w:numId="3">
    <w:abstractNumId w:val="1"/>
  </w:num>
  <w:num w:numId="4">
    <w:abstractNumId w:val="8"/>
  </w:num>
  <w:num w:numId="5">
    <w:abstractNumId w:val="6"/>
  </w:num>
  <w:num w:numId="6">
    <w:abstractNumId w:val="2"/>
  </w:num>
  <w:num w:numId="7">
    <w:abstractNumId w:val="3"/>
  </w:num>
  <w:num w:numId="8">
    <w:abstractNumId w:val="9"/>
  </w:num>
  <w:num w:numId="9">
    <w:abstractNumId w:val="7"/>
  </w:num>
  <w:num w:numId="10">
    <w:abstractNumId w:val="5"/>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49"/>
    <w:rsid w:val="00000F77"/>
    <w:rsid w:val="00002BE2"/>
    <w:rsid w:val="00023F59"/>
    <w:rsid w:val="000610F7"/>
    <w:rsid w:val="00077D57"/>
    <w:rsid w:val="000F2ED6"/>
    <w:rsid w:val="000F6B8B"/>
    <w:rsid w:val="0011515B"/>
    <w:rsid w:val="00135B2C"/>
    <w:rsid w:val="00150132"/>
    <w:rsid w:val="0015083B"/>
    <w:rsid w:val="001B3862"/>
    <w:rsid w:val="001C44DB"/>
    <w:rsid w:val="001F6450"/>
    <w:rsid w:val="00202C6F"/>
    <w:rsid w:val="002260C4"/>
    <w:rsid w:val="00236043"/>
    <w:rsid w:val="00253FD6"/>
    <w:rsid w:val="002559C7"/>
    <w:rsid w:val="00276135"/>
    <w:rsid w:val="002776FD"/>
    <w:rsid w:val="002A6C49"/>
    <w:rsid w:val="002D3C6D"/>
    <w:rsid w:val="002E05DE"/>
    <w:rsid w:val="002E21F7"/>
    <w:rsid w:val="002E3E9C"/>
    <w:rsid w:val="002F1E8D"/>
    <w:rsid w:val="0030272D"/>
    <w:rsid w:val="003116A4"/>
    <w:rsid w:val="00311F5F"/>
    <w:rsid w:val="00315D9B"/>
    <w:rsid w:val="00316719"/>
    <w:rsid w:val="00332E60"/>
    <w:rsid w:val="003345B8"/>
    <w:rsid w:val="00334E90"/>
    <w:rsid w:val="00335281"/>
    <w:rsid w:val="003467BB"/>
    <w:rsid w:val="00367159"/>
    <w:rsid w:val="00374EE2"/>
    <w:rsid w:val="00387A27"/>
    <w:rsid w:val="00390D59"/>
    <w:rsid w:val="003A0E3B"/>
    <w:rsid w:val="00401C60"/>
    <w:rsid w:val="0042374E"/>
    <w:rsid w:val="00443EDE"/>
    <w:rsid w:val="00444F42"/>
    <w:rsid w:val="00461D12"/>
    <w:rsid w:val="00471385"/>
    <w:rsid w:val="004958A8"/>
    <w:rsid w:val="004A2211"/>
    <w:rsid w:val="004A6A49"/>
    <w:rsid w:val="004B31DD"/>
    <w:rsid w:val="004C71B3"/>
    <w:rsid w:val="00521912"/>
    <w:rsid w:val="00527631"/>
    <w:rsid w:val="00534744"/>
    <w:rsid w:val="00535B0B"/>
    <w:rsid w:val="00537ABB"/>
    <w:rsid w:val="0055776B"/>
    <w:rsid w:val="00573923"/>
    <w:rsid w:val="00573AF3"/>
    <w:rsid w:val="005A60F4"/>
    <w:rsid w:val="005F744E"/>
    <w:rsid w:val="00620A5B"/>
    <w:rsid w:val="006366E7"/>
    <w:rsid w:val="00675C6F"/>
    <w:rsid w:val="00676A66"/>
    <w:rsid w:val="0068204C"/>
    <w:rsid w:val="006849B8"/>
    <w:rsid w:val="006B1F05"/>
    <w:rsid w:val="006B2F54"/>
    <w:rsid w:val="006C1AF3"/>
    <w:rsid w:val="006C206F"/>
    <w:rsid w:val="00703B2B"/>
    <w:rsid w:val="00704FBC"/>
    <w:rsid w:val="0071083E"/>
    <w:rsid w:val="007113A6"/>
    <w:rsid w:val="0074337F"/>
    <w:rsid w:val="00746154"/>
    <w:rsid w:val="0076736C"/>
    <w:rsid w:val="007966FC"/>
    <w:rsid w:val="007B0C3A"/>
    <w:rsid w:val="007B525A"/>
    <w:rsid w:val="007E33F6"/>
    <w:rsid w:val="007E4C39"/>
    <w:rsid w:val="007E4C56"/>
    <w:rsid w:val="008061E2"/>
    <w:rsid w:val="00813FD0"/>
    <w:rsid w:val="00827988"/>
    <w:rsid w:val="008426AF"/>
    <w:rsid w:val="00860287"/>
    <w:rsid w:val="008803A3"/>
    <w:rsid w:val="00891D59"/>
    <w:rsid w:val="008A2A21"/>
    <w:rsid w:val="008C3192"/>
    <w:rsid w:val="008E2E49"/>
    <w:rsid w:val="00900B89"/>
    <w:rsid w:val="009049B8"/>
    <w:rsid w:val="00907E4E"/>
    <w:rsid w:val="009218BA"/>
    <w:rsid w:val="00925C01"/>
    <w:rsid w:val="009528CC"/>
    <w:rsid w:val="00954800"/>
    <w:rsid w:val="0096765A"/>
    <w:rsid w:val="00992043"/>
    <w:rsid w:val="00993A21"/>
    <w:rsid w:val="0099763C"/>
    <w:rsid w:val="009A67A8"/>
    <w:rsid w:val="009E104C"/>
    <w:rsid w:val="009E27B2"/>
    <w:rsid w:val="009F3CA6"/>
    <w:rsid w:val="009F40C5"/>
    <w:rsid w:val="009F45B6"/>
    <w:rsid w:val="00A07BE9"/>
    <w:rsid w:val="00A46DE0"/>
    <w:rsid w:val="00A6381F"/>
    <w:rsid w:val="00A76A79"/>
    <w:rsid w:val="00A84716"/>
    <w:rsid w:val="00A8739F"/>
    <w:rsid w:val="00A92BB7"/>
    <w:rsid w:val="00A95CBB"/>
    <w:rsid w:val="00AE65C8"/>
    <w:rsid w:val="00B157FC"/>
    <w:rsid w:val="00B3322F"/>
    <w:rsid w:val="00B36B8D"/>
    <w:rsid w:val="00B42DF3"/>
    <w:rsid w:val="00B44C21"/>
    <w:rsid w:val="00B957F1"/>
    <w:rsid w:val="00BB05FF"/>
    <w:rsid w:val="00BB32F0"/>
    <w:rsid w:val="00BC0120"/>
    <w:rsid w:val="00BD324F"/>
    <w:rsid w:val="00C51271"/>
    <w:rsid w:val="00C9468F"/>
    <w:rsid w:val="00CC6666"/>
    <w:rsid w:val="00CD56FB"/>
    <w:rsid w:val="00CE50DD"/>
    <w:rsid w:val="00D065BE"/>
    <w:rsid w:val="00D14E95"/>
    <w:rsid w:val="00D25109"/>
    <w:rsid w:val="00D26505"/>
    <w:rsid w:val="00D41674"/>
    <w:rsid w:val="00D5294E"/>
    <w:rsid w:val="00D540F1"/>
    <w:rsid w:val="00D60F9A"/>
    <w:rsid w:val="00D91920"/>
    <w:rsid w:val="00D96C76"/>
    <w:rsid w:val="00DA57D7"/>
    <w:rsid w:val="00DB0364"/>
    <w:rsid w:val="00DB0409"/>
    <w:rsid w:val="00DB0B80"/>
    <w:rsid w:val="00DB30E2"/>
    <w:rsid w:val="00DC0D14"/>
    <w:rsid w:val="00DC1BC5"/>
    <w:rsid w:val="00DE77A3"/>
    <w:rsid w:val="00E11FFF"/>
    <w:rsid w:val="00E13ECB"/>
    <w:rsid w:val="00E2229C"/>
    <w:rsid w:val="00E4380C"/>
    <w:rsid w:val="00E6097B"/>
    <w:rsid w:val="00E76D5B"/>
    <w:rsid w:val="00E84FC1"/>
    <w:rsid w:val="00EA377D"/>
    <w:rsid w:val="00EB69FF"/>
    <w:rsid w:val="00F06E87"/>
    <w:rsid w:val="00F36AC2"/>
    <w:rsid w:val="00F443F1"/>
    <w:rsid w:val="00F626B6"/>
    <w:rsid w:val="00F63CE3"/>
    <w:rsid w:val="00F95A85"/>
    <w:rsid w:val="00FA4E7E"/>
    <w:rsid w:val="00FB22EB"/>
    <w:rsid w:val="00FC463D"/>
    <w:rsid w:val="00FE796F"/>
    <w:rsid w:val="00FF4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DB4F1D"/>
  <w15:docId w15:val="{251E8EF7-AE59-4F17-8777-572F75DE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qFormat/>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paragraph" w:styleId="PlainText">
    <w:name w:val="Plain Text"/>
    <w:basedOn w:val="Normal"/>
    <w:link w:val="PlainTextChar"/>
    <w:uiPriority w:val="99"/>
    <w:semiHidden/>
    <w:unhideWhenUsed/>
    <w:rsid w:val="00F95A85"/>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F95A85"/>
    <w:rPr>
      <w:rFonts w:eastAsia="Calibri" w:cs="Times New Roman"/>
      <w:szCs w:val="21"/>
    </w:rPr>
  </w:style>
  <w:style w:type="paragraph" w:styleId="CommentText">
    <w:name w:val="annotation text"/>
    <w:basedOn w:val="Normal"/>
    <w:link w:val="CommentTextChar"/>
    <w:uiPriority w:val="99"/>
    <w:rsid w:val="00BB32F0"/>
    <w:pPr>
      <w:tabs>
        <w:tab w:val="left" w:pos="284"/>
      </w:tabs>
      <w:jc w:val="both"/>
    </w:pPr>
    <w:rPr>
      <w:sz w:val="20"/>
      <w:szCs w:val="20"/>
      <w:lang w:eastAsia="en-US"/>
    </w:rPr>
  </w:style>
  <w:style w:type="character" w:customStyle="1" w:styleId="CommentTextChar">
    <w:name w:val="Comment Text Char"/>
    <w:basedOn w:val="DefaultParagraphFont"/>
    <w:link w:val="CommentText"/>
    <w:uiPriority w:val="99"/>
    <w:rsid w:val="00BB32F0"/>
    <w:rPr>
      <w:rFonts w:eastAsia="Times New Roman" w:cs="Times New Roman"/>
      <w:sz w:val="20"/>
      <w:szCs w:val="20"/>
    </w:rPr>
  </w:style>
  <w:style w:type="paragraph" w:styleId="FootnoteText">
    <w:name w:val="footnote text"/>
    <w:basedOn w:val="Normal"/>
    <w:link w:val="FootnoteTextChar"/>
    <w:unhideWhenUsed/>
    <w:rsid w:val="009218BA"/>
    <w:pPr>
      <w:widowControl w:val="0"/>
      <w:jc w:val="both"/>
    </w:pPr>
    <w:rPr>
      <w:rFonts w:eastAsia="Calibri"/>
      <w:sz w:val="20"/>
      <w:szCs w:val="20"/>
      <w:lang w:eastAsia="en-US"/>
    </w:rPr>
  </w:style>
  <w:style w:type="character" w:customStyle="1" w:styleId="FootnoteTextChar">
    <w:name w:val="Footnote Text Char"/>
    <w:basedOn w:val="DefaultParagraphFont"/>
    <w:link w:val="FootnoteText"/>
    <w:rsid w:val="009218BA"/>
    <w:rPr>
      <w:rFonts w:eastAsia="Calibri" w:cs="Times New Roman"/>
      <w:sz w:val="20"/>
      <w:szCs w:val="20"/>
    </w:rPr>
  </w:style>
  <w:style w:type="character" w:styleId="FootnoteReference">
    <w:name w:val="footnote reference"/>
    <w:basedOn w:val="DefaultParagraphFont"/>
    <w:unhideWhenUsed/>
    <w:rsid w:val="009218BA"/>
    <w:rPr>
      <w:vertAlign w:val="superscript"/>
    </w:rPr>
  </w:style>
  <w:style w:type="paragraph" w:customStyle="1" w:styleId="Normal1">
    <w:name w:val="Normal1"/>
    <w:basedOn w:val="Normal"/>
    <w:rsid w:val="00537ABB"/>
    <w:pPr>
      <w:spacing w:before="100" w:beforeAutospacing="1" w:after="100" w:afterAutospacing="1"/>
    </w:pPr>
  </w:style>
  <w:style w:type="paragraph" w:customStyle="1" w:styleId="tv213">
    <w:name w:val="tv213"/>
    <w:basedOn w:val="Normal"/>
    <w:rsid w:val="002E05DE"/>
    <w:pPr>
      <w:spacing w:before="100" w:beforeAutospacing="1" w:after="100" w:afterAutospacing="1"/>
    </w:pPr>
  </w:style>
  <w:style w:type="paragraph" w:customStyle="1" w:styleId="labojumupamats">
    <w:name w:val="labojumu_pamats"/>
    <w:basedOn w:val="Normal"/>
    <w:rsid w:val="002E05DE"/>
    <w:pPr>
      <w:spacing w:before="100" w:beforeAutospacing="1" w:after="100" w:afterAutospacing="1"/>
    </w:pPr>
  </w:style>
  <w:style w:type="paragraph" w:styleId="BodyText">
    <w:name w:val="Body Text"/>
    <w:basedOn w:val="Normal"/>
    <w:link w:val="BodyTextChar"/>
    <w:semiHidden/>
    <w:rsid w:val="00316719"/>
    <w:pPr>
      <w:jc w:val="both"/>
    </w:pPr>
    <w:rPr>
      <w:lang w:eastAsia="en-US"/>
    </w:rPr>
  </w:style>
  <w:style w:type="character" w:customStyle="1" w:styleId="BodyTextChar">
    <w:name w:val="Body Text Char"/>
    <w:basedOn w:val="DefaultParagraphFont"/>
    <w:link w:val="BodyText"/>
    <w:semiHidden/>
    <w:rsid w:val="00316719"/>
    <w:rPr>
      <w:rFonts w:eastAsia="Times New Roman" w:cs="Times New Roman"/>
      <w:szCs w:val="24"/>
    </w:rPr>
  </w:style>
  <w:style w:type="paragraph" w:customStyle="1" w:styleId="Bullet1">
    <w:name w:val="Bullet_1"/>
    <w:basedOn w:val="Normal"/>
    <w:link w:val="Bullet1Char"/>
    <w:qFormat/>
    <w:rsid w:val="00316719"/>
    <w:pPr>
      <w:numPr>
        <w:numId w:val="11"/>
      </w:numPr>
      <w:spacing w:before="120" w:after="120" w:line="276" w:lineRule="auto"/>
      <w:jc w:val="both"/>
    </w:pPr>
    <w:rPr>
      <w:rFonts w:eastAsia="Calibri"/>
      <w:szCs w:val="22"/>
      <w:lang w:val="en-GB" w:eastAsia="en-US"/>
    </w:rPr>
  </w:style>
  <w:style w:type="character" w:customStyle="1" w:styleId="Bullet1Char">
    <w:name w:val="Bullet_1 Char"/>
    <w:link w:val="Bullet1"/>
    <w:rsid w:val="00316719"/>
    <w:rPr>
      <w:rFonts w:eastAsia="Calibri" w:cs="Times New Roman"/>
      <w:lang w:val="en-GB"/>
    </w:rPr>
  </w:style>
  <w:style w:type="character" w:styleId="CommentReference">
    <w:name w:val="annotation reference"/>
    <w:basedOn w:val="DefaultParagraphFont"/>
    <w:uiPriority w:val="99"/>
    <w:semiHidden/>
    <w:unhideWhenUsed/>
    <w:rsid w:val="00676A66"/>
    <w:rPr>
      <w:sz w:val="16"/>
      <w:szCs w:val="16"/>
    </w:rPr>
  </w:style>
  <w:style w:type="paragraph" w:styleId="CommentSubject">
    <w:name w:val="annotation subject"/>
    <w:basedOn w:val="CommentText"/>
    <w:next w:val="CommentText"/>
    <w:link w:val="CommentSubjectChar"/>
    <w:uiPriority w:val="99"/>
    <w:semiHidden/>
    <w:unhideWhenUsed/>
    <w:rsid w:val="00676A66"/>
    <w:pPr>
      <w:tabs>
        <w:tab w:val="clear" w:pos="284"/>
      </w:tabs>
      <w:jc w:val="left"/>
    </w:pPr>
    <w:rPr>
      <w:b/>
      <w:bCs/>
      <w:lang w:eastAsia="lv-LV"/>
    </w:rPr>
  </w:style>
  <w:style w:type="character" w:customStyle="1" w:styleId="CommentSubjectChar">
    <w:name w:val="Comment Subject Char"/>
    <w:basedOn w:val="CommentTextChar"/>
    <w:link w:val="CommentSubject"/>
    <w:uiPriority w:val="99"/>
    <w:semiHidden/>
    <w:rsid w:val="00676A6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76A66"/>
    <w:rPr>
      <w:rFonts w:ascii="Tahoma" w:hAnsi="Tahoma" w:cs="Tahoma"/>
      <w:sz w:val="16"/>
      <w:szCs w:val="16"/>
    </w:rPr>
  </w:style>
  <w:style w:type="character" w:customStyle="1" w:styleId="BalloonTextChar">
    <w:name w:val="Balloon Text Char"/>
    <w:basedOn w:val="DefaultParagraphFont"/>
    <w:link w:val="BalloonText"/>
    <w:uiPriority w:val="99"/>
    <w:semiHidden/>
    <w:rsid w:val="00676A6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28215">
      <w:bodyDiv w:val="1"/>
      <w:marLeft w:val="0"/>
      <w:marRight w:val="0"/>
      <w:marTop w:val="0"/>
      <w:marBottom w:val="0"/>
      <w:divBdr>
        <w:top w:val="none" w:sz="0" w:space="0" w:color="auto"/>
        <w:left w:val="none" w:sz="0" w:space="0" w:color="auto"/>
        <w:bottom w:val="none" w:sz="0" w:space="0" w:color="auto"/>
        <w:right w:val="none" w:sz="0" w:space="0" w:color="auto"/>
      </w:divBdr>
    </w:div>
    <w:div w:id="18018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0BCB-A619-4378-AFC4-F689106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6935</Words>
  <Characters>3954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 likumprojektā "Grozījumi Kredītiestāžu likumā"</vt:lpstr>
    </vt:vector>
  </TitlesOfParts>
  <Company>Finanšu ministrija</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Kredītiestāžu likumā"</dc:title>
  <dc:subject>izziņa</dc:subject>
  <dc:creator>Liene Jenerte</dc:creator>
  <dc:description>67095502, liene.jenerte@fm.gov.lv</dc:description>
  <cp:lastModifiedBy>Liene Jenerte</cp:lastModifiedBy>
  <cp:revision>2</cp:revision>
  <dcterms:created xsi:type="dcterms:W3CDTF">2021-02-11T13:40:00Z</dcterms:created>
  <dcterms:modified xsi:type="dcterms:W3CDTF">2021-02-11T13:40:00Z</dcterms:modified>
</cp:coreProperties>
</file>