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DF728" w14:textId="77777777" w:rsidR="00BA076C" w:rsidRPr="002E0906" w:rsidRDefault="00BA076C" w:rsidP="00BA076C">
      <w:pPr>
        <w:pStyle w:val="naisnod"/>
        <w:spacing w:before="0" w:after="0"/>
        <w:ind w:firstLine="720"/>
        <w:rPr>
          <w:sz w:val="28"/>
          <w:szCs w:val="28"/>
        </w:rPr>
      </w:pPr>
      <w:bookmarkStart w:id="0" w:name="_Hlk57663737"/>
      <w:r w:rsidRPr="002E0906">
        <w:rPr>
          <w:sz w:val="28"/>
          <w:szCs w:val="28"/>
        </w:rPr>
        <w:t>Izziņa par atzinumos sniegtajiem iebildumiem</w:t>
      </w:r>
    </w:p>
    <w:p w14:paraId="2DBF9492" w14:textId="77777777" w:rsidR="00BA076C" w:rsidRPr="002E0906" w:rsidRDefault="00BA076C" w:rsidP="00BA076C">
      <w:pPr>
        <w:pStyle w:val="naisf"/>
        <w:spacing w:before="0" w:after="0"/>
        <w:ind w:firstLine="720"/>
      </w:pPr>
    </w:p>
    <w:tbl>
      <w:tblPr>
        <w:tblW w:w="0" w:type="auto"/>
        <w:jc w:val="center"/>
        <w:tblLook w:val="00A0" w:firstRow="1" w:lastRow="0" w:firstColumn="1" w:lastColumn="0" w:noHBand="0" w:noVBand="0"/>
      </w:tblPr>
      <w:tblGrid>
        <w:gridCol w:w="10188"/>
      </w:tblGrid>
      <w:tr w:rsidR="00BA076C" w:rsidRPr="002E0906" w14:paraId="645403B6" w14:textId="77777777" w:rsidTr="00BD26AC">
        <w:trPr>
          <w:jc w:val="center"/>
        </w:trPr>
        <w:tc>
          <w:tcPr>
            <w:tcW w:w="10188" w:type="dxa"/>
            <w:tcBorders>
              <w:bottom w:val="single" w:sz="6" w:space="0" w:color="000000"/>
            </w:tcBorders>
          </w:tcPr>
          <w:p w14:paraId="29B3731E" w14:textId="0462E7C9" w:rsidR="00BA076C" w:rsidRPr="002E0906" w:rsidRDefault="00BA076C" w:rsidP="00BD26AC">
            <w:pPr>
              <w:shd w:val="clear" w:color="auto" w:fill="FFFFFF"/>
              <w:jc w:val="center"/>
              <w:rPr>
                <w:bCs/>
                <w:color w:val="000000"/>
              </w:rPr>
            </w:pPr>
            <w:r>
              <w:rPr>
                <w:rFonts w:eastAsia="Calibri"/>
                <w:bCs/>
                <w:lang w:eastAsia="en-US"/>
              </w:rPr>
              <w:t>Likumprojekts "</w:t>
            </w:r>
            <w:r w:rsidRPr="00937E4B">
              <w:t>Grozījum</w:t>
            </w:r>
            <w:r>
              <w:t xml:space="preserve">i </w:t>
            </w:r>
            <w:r w:rsidRPr="00937E4B">
              <w:t xml:space="preserve"> </w:t>
            </w:r>
            <w:r>
              <w:t>Uzņēmumu ienākuma nodokļa</w:t>
            </w:r>
            <w:r w:rsidRPr="00937E4B">
              <w:t xml:space="preserve"> likumā</w:t>
            </w:r>
            <w:r w:rsidRPr="002E0906">
              <w:rPr>
                <w:bCs/>
                <w:color w:val="000000"/>
                <w:spacing w:val="-2"/>
              </w:rPr>
              <w:t>" sākotnējās ietekmes novērtējuma ziņojums (anotācija)</w:t>
            </w:r>
          </w:p>
        </w:tc>
      </w:tr>
    </w:tbl>
    <w:p w14:paraId="061F57B4" w14:textId="77777777" w:rsidR="00BA076C" w:rsidRPr="002E0906" w:rsidRDefault="00BA076C" w:rsidP="00BA076C">
      <w:pPr>
        <w:pStyle w:val="naisc"/>
        <w:spacing w:before="0" w:after="0"/>
        <w:ind w:firstLine="1080"/>
      </w:pPr>
      <w:r w:rsidRPr="002E0906">
        <w:t>(dokumenta veids un nosaukums)</w:t>
      </w:r>
    </w:p>
    <w:p w14:paraId="7B744E28" w14:textId="77777777" w:rsidR="00BA076C" w:rsidRPr="002E0906" w:rsidRDefault="00BA076C" w:rsidP="00BA076C">
      <w:pPr>
        <w:pStyle w:val="naisf"/>
        <w:spacing w:before="0" w:after="0"/>
        <w:ind w:firstLine="720"/>
      </w:pPr>
    </w:p>
    <w:p w14:paraId="37E75675" w14:textId="77777777" w:rsidR="00BA076C" w:rsidRPr="002E0906" w:rsidRDefault="00BA076C" w:rsidP="00BA076C">
      <w:pPr>
        <w:pStyle w:val="naisf"/>
        <w:spacing w:before="0" w:after="0"/>
        <w:ind w:firstLine="0"/>
        <w:jc w:val="center"/>
        <w:rPr>
          <w:b/>
        </w:rPr>
      </w:pPr>
      <w:r w:rsidRPr="002E0906">
        <w:rPr>
          <w:b/>
        </w:rPr>
        <w:t>I. Jautājumi, par kuriem saskaņošanā vienošanās nav panākta</w:t>
      </w:r>
    </w:p>
    <w:p w14:paraId="40EC9F25" w14:textId="77777777" w:rsidR="00BA076C" w:rsidRPr="002E0906" w:rsidRDefault="00BA076C" w:rsidP="00BA076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BA076C" w:rsidRPr="002E0906" w14:paraId="45D9ADDB" w14:textId="77777777" w:rsidTr="00BD26AC">
        <w:tc>
          <w:tcPr>
            <w:tcW w:w="708" w:type="dxa"/>
            <w:tcBorders>
              <w:top w:val="single" w:sz="6" w:space="0" w:color="000000"/>
              <w:left w:val="single" w:sz="6" w:space="0" w:color="000000"/>
              <w:bottom w:val="single" w:sz="6" w:space="0" w:color="000000"/>
              <w:right w:val="single" w:sz="6" w:space="0" w:color="000000"/>
            </w:tcBorders>
            <w:vAlign w:val="center"/>
          </w:tcPr>
          <w:p w14:paraId="50A223B6" w14:textId="77777777" w:rsidR="00BA076C" w:rsidRPr="002E0906" w:rsidRDefault="00BA076C" w:rsidP="00BD26AC">
            <w:pPr>
              <w:pStyle w:val="naisc"/>
              <w:spacing w:before="0" w:after="0"/>
            </w:pPr>
            <w:r w:rsidRPr="002E0906">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7740CBB7" w14:textId="77777777" w:rsidR="00BA076C" w:rsidRPr="002E0906" w:rsidRDefault="00BA076C" w:rsidP="00BD26AC">
            <w:pPr>
              <w:pStyle w:val="naisc"/>
              <w:spacing w:before="0" w:after="0"/>
              <w:ind w:firstLine="12"/>
            </w:pPr>
            <w:r w:rsidRPr="002E090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BD41A14" w14:textId="77777777" w:rsidR="00BA076C" w:rsidRPr="002E0906" w:rsidRDefault="00BA076C"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2F928A3" w14:textId="77777777" w:rsidR="00BA076C" w:rsidRPr="002E0906" w:rsidRDefault="00BA076C" w:rsidP="00BD26AC">
            <w:pPr>
              <w:pStyle w:val="naisc"/>
              <w:spacing w:before="0" w:after="0"/>
              <w:ind w:firstLine="21"/>
            </w:pPr>
            <w:r w:rsidRPr="002E090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B98D7F9" w14:textId="77777777" w:rsidR="00BA076C" w:rsidRPr="002E0906" w:rsidRDefault="00BA076C" w:rsidP="00BD26AC">
            <w:pPr>
              <w:jc w:val="center"/>
            </w:pPr>
            <w:r w:rsidRPr="002E090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1A22E5F" w14:textId="77777777" w:rsidR="00BA076C" w:rsidRPr="002E0906" w:rsidRDefault="00BA076C" w:rsidP="00BD26AC">
            <w:pPr>
              <w:jc w:val="center"/>
            </w:pPr>
            <w:r w:rsidRPr="002E0906">
              <w:t>Projekta attiecīgā punkta (panta) galīgā redakcija</w:t>
            </w:r>
          </w:p>
        </w:tc>
      </w:tr>
      <w:tr w:rsidR="00BA076C" w:rsidRPr="002E0906" w14:paraId="510FC7C5" w14:textId="77777777" w:rsidTr="00BD26AC">
        <w:tc>
          <w:tcPr>
            <w:tcW w:w="708" w:type="dxa"/>
            <w:tcBorders>
              <w:top w:val="single" w:sz="6" w:space="0" w:color="000000"/>
              <w:left w:val="single" w:sz="6" w:space="0" w:color="000000"/>
              <w:bottom w:val="single" w:sz="6" w:space="0" w:color="000000"/>
              <w:right w:val="single" w:sz="6" w:space="0" w:color="000000"/>
            </w:tcBorders>
          </w:tcPr>
          <w:p w14:paraId="4AEF7F01" w14:textId="77777777" w:rsidR="00BA076C" w:rsidRPr="002E0906" w:rsidRDefault="00BA076C" w:rsidP="00BD26AC">
            <w:pPr>
              <w:pStyle w:val="naisc"/>
              <w:spacing w:before="0" w:after="0"/>
              <w:rPr>
                <w:sz w:val="20"/>
                <w:szCs w:val="20"/>
              </w:rPr>
            </w:pPr>
            <w:r w:rsidRPr="002E0906">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0E82380" w14:textId="77777777" w:rsidR="00BA076C" w:rsidRPr="002E0906" w:rsidRDefault="00BA076C" w:rsidP="00BD26AC">
            <w:pPr>
              <w:pStyle w:val="naisc"/>
              <w:spacing w:before="0" w:after="0"/>
              <w:ind w:firstLine="720"/>
              <w:rPr>
                <w:sz w:val="20"/>
                <w:szCs w:val="20"/>
              </w:rPr>
            </w:pPr>
            <w:r w:rsidRPr="002E0906">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4A6D30C" w14:textId="77777777" w:rsidR="00BA076C" w:rsidRPr="002E0906" w:rsidRDefault="00BA076C" w:rsidP="00BD26AC">
            <w:pPr>
              <w:pStyle w:val="naisc"/>
              <w:spacing w:before="0" w:after="0"/>
              <w:ind w:firstLine="720"/>
              <w:rPr>
                <w:sz w:val="20"/>
                <w:szCs w:val="20"/>
              </w:rPr>
            </w:pPr>
            <w:r w:rsidRPr="002E0906">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EFB3C44" w14:textId="77777777" w:rsidR="00BA076C" w:rsidRPr="002E0906" w:rsidRDefault="00BA076C" w:rsidP="00BD26AC">
            <w:pPr>
              <w:pStyle w:val="naisc"/>
              <w:spacing w:before="0" w:after="0"/>
              <w:ind w:firstLine="720"/>
              <w:rPr>
                <w:sz w:val="20"/>
                <w:szCs w:val="20"/>
              </w:rPr>
            </w:pPr>
            <w:r w:rsidRPr="002E0906">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743CC6E" w14:textId="77777777" w:rsidR="00BA076C" w:rsidRPr="002E0906" w:rsidRDefault="00BA076C" w:rsidP="00BD26AC">
            <w:pPr>
              <w:jc w:val="center"/>
              <w:rPr>
                <w:sz w:val="20"/>
                <w:szCs w:val="20"/>
              </w:rPr>
            </w:pPr>
            <w:r w:rsidRPr="002E0906">
              <w:rPr>
                <w:sz w:val="20"/>
                <w:szCs w:val="20"/>
              </w:rPr>
              <w:t>5</w:t>
            </w:r>
          </w:p>
        </w:tc>
        <w:tc>
          <w:tcPr>
            <w:tcW w:w="1920" w:type="dxa"/>
            <w:tcBorders>
              <w:top w:val="single" w:sz="4" w:space="0" w:color="auto"/>
              <w:left w:val="single" w:sz="4" w:space="0" w:color="auto"/>
              <w:bottom w:val="single" w:sz="4" w:space="0" w:color="auto"/>
            </w:tcBorders>
          </w:tcPr>
          <w:p w14:paraId="1F0655A1" w14:textId="77777777" w:rsidR="00BA076C" w:rsidRPr="002E0906" w:rsidRDefault="00BA076C" w:rsidP="00BD26AC">
            <w:pPr>
              <w:jc w:val="center"/>
              <w:rPr>
                <w:sz w:val="20"/>
                <w:szCs w:val="20"/>
              </w:rPr>
            </w:pPr>
            <w:r w:rsidRPr="002E0906">
              <w:rPr>
                <w:sz w:val="20"/>
                <w:szCs w:val="20"/>
              </w:rPr>
              <w:t>6</w:t>
            </w:r>
          </w:p>
        </w:tc>
      </w:tr>
      <w:tr w:rsidR="00BA076C" w:rsidRPr="002E0906" w14:paraId="7BF0CA5D" w14:textId="77777777" w:rsidTr="00BD26AC">
        <w:tc>
          <w:tcPr>
            <w:tcW w:w="708" w:type="dxa"/>
            <w:tcBorders>
              <w:left w:val="single" w:sz="6" w:space="0" w:color="000000"/>
              <w:bottom w:val="single" w:sz="4" w:space="0" w:color="auto"/>
              <w:right w:val="single" w:sz="6" w:space="0" w:color="000000"/>
            </w:tcBorders>
          </w:tcPr>
          <w:p w14:paraId="656FB8F1" w14:textId="77777777" w:rsidR="00BA076C" w:rsidRPr="002E0906" w:rsidRDefault="00BA076C" w:rsidP="00BD26AC">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0A16D05E" w14:textId="77777777" w:rsidR="00BA076C" w:rsidRPr="002E0906" w:rsidRDefault="00BA076C" w:rsidP="00BD26AC">
            <w:pPr>
              <w:jc w:val="both"/>
            </w:pPr>
          </w:p>
        </w:tc>
        <w:tc>
          <w:tcPr>
            <w:tcW w:w="3118" w:type="dxa"/>
            <w:tcBorders>
              <w:left w:val="single" w:sz="6" w:space="0" w:color="000000"/>
              <w:bottom w:val="single" w:sz="4" w:space="0" w:color="auto"/>
              <w:right w:val="single" w:sz="6" w:space="0" w:color="000000"/>
            </w:tcBorders>
          </w:tcPr>
          <w:p w14:paraId="28445F52" w14:textId="77777777" w:rsidR="00BA076C" w:rsidRPr="002E0906" w:rsidRDefault="00BA076C" w:rsidP="00BD26AC">
            <w:pPr>
              <w:pStyle w:val="naisc"/>
              <w:jc w:val="both"/>
            </w:pPr>
          </w:p>
        </w:tc>
        <w:tc>
          <w:tcPr>
            <w:tcW w:w="2977" w:type="dxa"/>
            <w:tcBorders>
              <w:left w:val="single" w:sz="6" w:space="0" w:color="000000"/>
              <w:bottom w:val="single" w:sz="4" w:space="0" w:color="auto"/>
              <w:right w:val="single" w:sz="6" w:space="0" w:color="000000"/>
            </w:tcBorders>
          </w:tcPr>
          <w:p w14:paraId="620996F7" w14:textId="77777777" w:rsidR="00BA076C" w:rsidRPr="002E0906" w:rsidRDefault="00BA076C" w:rsidP="00BD26AC">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24F17B31" w14:textId="77777777" w:rsidR="00BA076C" w:rsidRPr="002E0906" w:rsidRDefault="00BA076C" w:rsidP="00BD26AC"/>
        </w:tc>
        <w:tc>
          <w:tcPr>
            <w:tcW w:w="1920" w:type="dxa"/>
            <w:tcBorders>
              <w:top w:val="single" w:sz="4" w:space="0" w:color="auto"/>
              <w:left w:val="single" w:sz="4" w:space="0" w:color="auto"/>
              <w:bottom w:val="single" w:sz="4" w:space="0" w:color="auto"/>
            </w:tcBorders>
          </w:tcPr>
          <w:p w14:paraId="5F0FCB22" w14:textId="77777777" w:rsidR="00BA076C" w:rsidRPr="002E0906" w:rsidRDefault="00BA076C" w:rsidP="00BD26AC"/>
        </w:tc>
      </w:tr>
    </w:tbl>
    <w:p w14:paraId="5F904B04" w14:textId="77777777" w:rsidR="00BA076C" w:rsidRPr="002E0906" w:rsidRDefault="00BA076C" w:rsidP="00BA076C">
      <w:pPr>
        <w:pStyle w:val="naisf"/>
        <w:spacing w:before="0" w:after="0"/>
        <w:ind w:firstLine="0"/>
      </w:pPr>
    </w:p>
    <w:p w14:paraId="3D9AD4C2" w14:textId="77777777" w:rsidR="00BA076C" w:rsidRPr="002E0906" w:rsidRDefault="00BA076C" w:rsidP="00BA076C">
      <w:pPr>
        <w:pStyle w:val="naisf"/>
        <w:spacing w:before="0" w:after="0"/>
        <w:ind w:firstLine="0"/>
        <w:rPr>
          <w:b/>
        </w:rPr>
      </w:pPr>
      <w:r w:rsidRPr="002E0906">
        <w:rPr>
          <w:b/>
        </w:rPr>
        <w:t>Informācija par starpministriju (starpinstitūciju) sanāksmi vai elektronisko saskaņošanu</w:t>
      </w:r>
    </w:p>
    <w:p w14:paraId="77E0FD6D" w14:textId="77777777" w:rsidR="00BA076C" w:rsidRPr="002E0906" w:rsidRDefault="00BA076C" w:rsidP="00BA076C">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BA076C" w:rsidRPr="002E0906" w14:paraId="0941E88A" w14:textId="77777777" w:rsidTr="00BD26AC">
        <w:tc>
          <w:tcPr>
            <w:tcW w:w="6345" w:type="dxa"/>
          </w:tcPr>
          <w:p w14:paraId="0D672E78" w14:textId="77777777" w:rsidR="00BA076C" w:rsidRPr="002E0906" w:rsidRDefault="00BA076C" w:rsidP="00BD26AC">
            <w:pPr>
              <w:pStyle w:val="naisf"/>
              <w:spacing w:before="0" w:after="0"/>
              <w:ind w:firstLine="0"/>
            </w:pPr>
            <w:r w:rsidRPr="002E0906">
              <w:t>Datums</w:t>
            </w:r>
          </w:p>
        </w:tc>
        <w:tc>
          <w:tcPr>
            <w:tcW w:w="6237" w:type="dxa"/>
            <w:gridSpan w:val="2"/>
            <w:tcBorders>
              <w:bottom w:val="single" w:sz="4" w:space="0" w:color="auto"/>
            </w:tcBorders>
          </w:tcPr>
          <w:p w14:paraId="4A6E6C6A" w14:textId="558BB292" w:rsidR="00BA076C" w:rsidRPr="002E0906" w:rsidRDefault="008F3BB0" w:rsidP="00BD26AC">
            <w:pPr>
              <w:pStyle w:val="NormalWeb"/>
              <w:spacing w:before="0" w:beforeAutospacing="0" w:after="0" w:afterAutospacing="0"/>
              <w:ind w:firstLine="720"/>
            </w:pPr>
            <w:r>
              <w:t>2020. gada 25. novembris</w:t>
            </w:r>
            <w:r w:rsidR="0016564D">
              <w:t>, 2021.gada 5.janvāris</w:t>
            </w:r>
          </w:p>
        </w:tc>
      </w:tr>
      <w:tr w:rsidR="00BA076C" w:rsidRPr="002E0906" w14:paraId="33F1828E" w14:textId="77777777" w:rsidTr="00BD26AC">
        <w:tc>
          <w:tcPr>
            <w:tcW w:w="6345" w:type="dxa"/>
          </w:tcPr>
          <w:p w14:paraId="4082BB4B" w14:textId="77777777" w:rsidR="00BA076C" w:rsidRPr="002E0906" w:rsidRDefault="00BA076C" w:rsidP="00BD26AC">
            <w:pPr>
              <w:pStyle w:val="naisf"/>
              <w:spacing w:before="0" w:after="0"/>
              <w:ind w:firstLine="0"/>
            </w:pPr>
          </w:p>
        </w:tc>
        <w:tc>
          <w:tcPr>
            <w:tcW w:w="6237" w:type="dxa"/>
            <w:gridSpan w:val="2"/>
            <w:tcBorders>
              <w:top w:val="single" w:sz="4" w:space="0" w:color="auto"/>
            </w:tcBorders>
          </w:tcPr>
          <w:p w14:paraId="7257F8D2" w14:textId="77777777" w:rsidR="00BA076C" w:rsidRPr="002E0906" w:rsidRDefault="00BA076C" w:rsidP="00BD26AC">
            <w:pPr>
              <w:pStyle w:val="NormalWeb"/>
              <w:spacing w:before="0" w:beforeAutospacing="0" w:after="0" w:afterAutospacing="0"/>
              <w:ind w:firstLine="720"/>
            </w:pPr>
          </w:p>
        </w:tc>
      </w:tr>
      <w:tr w:rsidR="00BA076C" w:rsidRPr="002E0906" w14:paraId="1B75A23D" w14:textId="77777777" w:rsidTr="00BD26AC">
        <w:tc>
          <w:tcPr>
            <w:tcW w:w="6345" w:type="dxa"/>
          </w:tcPr>
          <w:p w14:paraId="532A5B93" w14:textId="77777777" w:rsidR="00BA076C" w:rsidRPr="002E0906" w:rsidRDefault="00BA076C" w:rsidP="00BD26AC">
            <w:pPr>
              <w:pStyle w:val="naiskr"/>
              <w:spacing w:before="0" w:after="0"/>
            </w:pPr>
            <w:r w:rsidRPr="002E0906">
              <w:t>Saskaņošanas dalībnieki</w:t>
            </w:r>
          </w:p>
        </w:tc>
        <w:tc>
          <w:tcPr>
            <w:tcW w:w="6237" w:type="dxa"/>
            <w:gridSpan w:val="2"/>
          </w:tcPr>
          <w:p w14:paraId="1B07F603" w14:textId="31179F6F" w:rsidR="00BA076C" w:rsidRPr="002E0906" w:rsidRDefault="008F3BB0" w:rsidP="00BD26AC">
            <w:pPr>
              <w:pStyle w:val="NormalWeb"/>
              <w:spacing w:before="0" w:beforeAutospacing="0" w:after="0" w:afterAutospacing="0"/>
              <w:ind w:firstLine="720"/>
            </w:pPr>
            <w:r>
              <w:t>Tieslietu ministrija, Aizsardzības ministrija.</w:t>
            </w:r>
          </w:p>
        </w:tc>
      </w:tr>
      <w:tr w:rsidR="00BA076C" w:rsidRPr="002E0906" w14:paraId="58992ABA" w14:textId="77777777" w:rsidTr="00BD26AC">
        <w:tc>
          <w:tcPr>
            <w:tcW w:w="6345" w:type="dxa"/>
          </w:tcPr>
          <w:p w14:paraId="0ADDCD23" w14:textId="77777777" w:rsidR="00BA076C" w:rsidRPr="002E0906" w:rsidRDefault="00BA076C" w:rsidP="00BD26AC">
            <w:pPr>
              <w:pStyle w:val="naiskr"/>
              <w:spacing w:before="0" w:after="0"/>
              <w:ind w:firstLine="720"/>
            </w:pPr>
            <w:r w:rsidRPr="002E0906">
              <w:t>  </w:t>
            </w:r>
          </w:p>
        </w:tc>
        <w:tc>
          <w:tcPr>
            <w:tcW w:w="6237" w:type="dxa"/>
            <w:gridSpan w:val="2"/>
            <w:tcBorders>
              <w:top w:val="single" w:sz="6" w:space="0" w:color="000000"/>
              <w:bottom w:val="single" w:sz="6" w:space="0" w:color="000000"/>
            </w:tcBorders>
          </w:tcPr>
          <w:p w14:paraId="7A137C6C" w14:textId="2BC9C3C0" w:rsidR="00BA076C" w:rsidRPr="002E0906" w:rsidRDefault="008F3BB0" w:rsidP="00BD26AC">
            <w:pPr>
              <w:pStyle w:val="naiskr"/>
              <w:spacing w:before="0" w:after="0"/>
              <w:ind w:firstLine="720"/>
            </w:pPr>
            <w:r>
              <w:t>Ārlietu ministrija, Iekšlietu ministrija</w:t>
            </w:r>
          </w:p>
        </w:tc>
      </w:tr>
      <w:tr w:rsidR="00BA076C" w:rsidRPr="002E0906" w14:paraId="7C3C49D9" w14:textId="77777777" w:rsidTr="00BD26AC">
        <w:trPr>
          <w:trHeight w:val="285"/>
        </w:trPr>
        <w:tc>
          <w:tcPr>
            <w:tcW w:w="6345" w:type="dxa"/>
          </w:tcPr>
          <w:p w14:paraId="07090634" w14:textId="77777777" w:rsidR="00BA076C" w:rsidRPr="002E0906" w:rsidRDefault="00BA076C" w:rsidP="00BD26AC">
            <w:pPr>
              <w:pStyle w:val="naiskr"/>
              <w:spacing w:before="0" w:after="0"/>
            </w:pPr>
          </w:p>
        </w:tc>
        <w:tc>
          <w:tcPr>
            <w:tcW w:w="1203" w:type="dxa"/>
          </w:tcPr>
          <w:p w14:paraId="003FAA33" w14:textId="77777777" w:rsidR="00BA076C" w:rsidRPr="002E0906" w:rsidRDefault="00BA076C" w:rsidP="00BD26AC">
            <w:pPr>
              <w:pStyle w:val="naiskr"/>
              <w:spacing w:before="0" w:after="0"/>
              <w:ind w:firstLine="720"/>
            </w:pPr>
          </w:p>
        </w:tc>
        <w:tc>
          <w:tcPr>
            <w:tcW w:w="5034" w:type="dxa"/>
          </w:tcPr>
          <w:p w14:paraId="25710793" w14:textId="77777777" w:rsidR="00BA076C" w:rsidRPr="002E0906" w:rsidRDefault="00BA076C" w:rsidP="00BD26AC">
            <w:pPr>
              <w:pStyle w:val="naiskr"/>
              <w:spacing w:before="0" w:after="0"/>
              <w:ind w:firstLine="12"/>
            </w:pPr>
          </w:p>
        </w:tc>
      </w:tr>
    </w:tbl>
    <w:p w14:paraId="2FEA01F2" w14:textId="76676B1F" w:rsidR="00BA076C" w:rsidRPr="002E0906" w:rsidRDefault="00BA076C" w:rsidP="00BA076C"/>
    <w:tbl>
      <w:tblPr>
        <w:tblW w:w="12582" w:type="dxa"/>
        <w:tblLook w:val="00A0" w:firstRow="1" w:lastRow="0" w:firstColumn="1" w:lastColumn="0" w:noHBand="0" w:noVBand="0"/>
      </w:tblPr>
      <w:tblGrid>
        <w:gridCol w:w="6708"/>
        <w:gridCol w:w="840"/>
        <w:gridCol w:w="5034"/>
      </w:tblGrid>
      <w:tr w:rsidR="00BA076C" w:rsidRPr="002E0906" w14:paraId="3D819366" w14:textId="77777777" w:rsidTr="00BD26AC">
        <w:trPr>
          <w:trHeight w:val="285"/>
        </w:trPr>
        <w:tc>
          <w:tcPr>
            <w:tcW w:w="6708" w:type="dxa"/>
          </w:tcPr>
          <w:p w14:paraId="3F595AFC" w14:textId="77777777" w:rsidR="00BA076C" w:rsidRPr="002E0906" w:rsidRDefault="00BA076C" w:rsidP="00BD26AC">
            <w:pPr>
              <w:pStyle w:val="naiskr"/>
              <w:spacing w:before="0" w:after="0"/>
            </w:pPr>
            <w:r w:rsidRPr="002E0906">
              <w:t>Saskaņošanas dalībnieki izskatīja šādu ministriju (citu institūciju) iebildumus</w:t>
            </w:r>
          </w:p>
        </w:tc>
        <w:tc>
          <w:tcPr>
            <w:tcW w:w="840" w:type="dxa"/>
          </w:tcPr>
          <w:p w14:paraId="6204469E" w14:textId="77777777" w:rsidR="00BA076C" w:rsidRPr="002E0906" w:rsidRDefault="00BA076C" w:rsidP="00BD26AC">
            <w:pPr>
              <w:pStyle w:val="naiskr"/>
              <w:spacing w:before="0" w:after="0"/>
              <w:ind w:firstLine="720"/>
            </w:pPr>
          </w:p>
        </w:tc>
        <w:tc>
          <w:tcPr>
            <w:tcW w:w="5034" w:type="dxa"/>
          </w:tcPr>
          <w:p w14:paraId="591609C4" w14:textId="727D265B" w:rsidR="00BA076C" w:rsidRPr="002E0906" w:rsidRDefault="008F3BB0" w:rsidP="00BD26AC">
            <w:pPr>
              <w:pStyle w:val="naiskr"/>
              <w:spacing w:before="0" w:after="0"/>
              <w:ind w:firstLine="12"/>
            </w:pPr>
            <w:r>
              <w:t>Tieslietu ministrijas</w:t>
            </w:r>
          </w:p>
        </w:tc>
      </w:tr>
      <w:tr w:rsidR="00BA076C" w:rsidRPr="002E0906" w14:paraId="4733939A" w14:textId="77777777" w:rsidTr="00BD26AC">
        <w:trPr>
          <w:trHeight w:val="465"/>
        </w:trPr>
        <w:tc>
          <w:tcPr>
            <w:tcW w:w="6708" w:type="dxa"/>
          </w:tcPr>
          <w:p w14:paraId="2F0078D0" w14:textId="77777777" w:rsidR="00BA076C" w:rsidRPr="002E0906" w:rsidRDefault="00BA076C" w:rsidP="00BD26AC">
            <w:pPr>
              <w:pStyle w:val="naiskr"/>
              <w:spacing w:before="0" w:after="0"/>
              <w:ind w:firstLine="720"/>
            </w:pPr>
            <w:r w:rsidRPr="002E0906">
              <w:t>  </w:t>
            </w:r>
          </w:p>
        </w:tc>
        <w:tc>
          <w:tcPr>
            <w:tcW w:w="5874" w:type="dxa"/>
            <w:gridSpan w:val="2"/>
            <w:tcBorders>
              <w:top w:val="single" w:sz="6" w:space="0" w:color="000000"/>
              <w:bottom w:val="single" w:sz="6" w:space="0" w:color="000000"/>
            </w:tcBorders>
          </w:tcPr>
          <w:p w14:paraId="4027855A" w14:textId="77777777" w:rsidR="00BA076C" w:rsidRPr="002E0906" w:rsidRDefault="00BA076C" w:rsidP="00BD26AC">
            <w:pPr>
              <w:pStyle w:val="NormalWeb"/>
              <w:spacing w:before="0" w:beforeAutospacing="0" w:after="0" w:afterAutospacing="0"/>
              <w:ind w:firstLine="720"/>
            </w:pPr>
          </w:p>
        </w:tc>
      </w:tr>
      <w:tr w:rsidR="00BA076C" w:rsidRPr="002E0906" w14:paraId="77203585" w14:textId="77777777" w:rsidTr="00BD26AC">
        <w:trPr>
          <w:trHeight w:val="465"/>
        </w:trPr>
        <w:tc>
          <w:tcPr>
            <w:tcW w:w="12582" w:type="dxa"/>
            <w:gridSpan w:val="3"/>
          </w:tcPr>
          <w:p w14:paraId="20B266D8" w14:textId="77777777" w:rsidR="00BA076C" w:rsidRPr="002E0906" w:rsidRDefault="00BA076C" w:rsidP="00BD26AC">
            <w:pPr>
              <w:pStyle w:val="naisc"/>
              <w:spacing w:before="0" w:after="0"/>
              <w:ind w:left="4820" w:firstLine="720"/>
            </w:pPr>
          </w:p>
        </w:tc>
      </w:tr>
      <w:tr w:rsidR="00BA076C" w:rsidRPr="002E0906" w14:paraId="2518E577" w14:textId="77777777" w:rsidTr="00BD26AC">
        <w:tc>
          <w:tcPr>
            <w:tcW w:w="6708" w:type="dxa"/>
          </w:tcPr>
          <w:p w14:paraId="29B23357" w14:textId="77777777" w:rsidR="00BA076C" w:rsidRPr="002E0906" w:rsidRDefault="00BA076C" w:rsidP="00BD26AC">
            <w:pPr>
              <w:pStyle w:val="naiskr"/>
              <w:spacing w:before="0" w:after="0"/>
            </w:pPr>
            <w:r w:rsidRPr="002E0906">
              <w:lastRenderedPageBreak/>
              <w:t>Ministrijas (citas institūcijas), kuras nav ieradušās uz sanāksmi vai kuras nav atbildējušas uz uzaicinājumu piedalīties elektroniskajā saskaņošanā</w:t>
            </w:r>
          </w:p>
        </w:tc>
        <w:tc>
          <w:tcPr>
            <w:tcW w:w="5874" w:type="dxa"/>
            <w:gridSpan w:val="2"/>
          </w:tcPr>
          <w:p w14:paraId="34686C8B" w14:textId="77777777" w:rsidR="00BA076C" w:rsidRPr="002E0906" w:rsidRDefault="00BA076C" w:rsidP="00BD26AC">
            <w:pPr>
              <w:pStyle w:val="naiskr"/>
              <w:spacing w:before="0" w:after="0"/>
              <w:ind w:firstLine="720"/>
            </w:pPr>
          </w:p>
        </w:tc>
      </w:tr>
      <w:tr w:rsidR="00BA076C" w:rsidRPr="002E0906" w14:paraId="5D3EA219" w14:textId="77777777" w:rsidTr="00BD26AC">
        <w:tc>
          <w:tcPr>
            <w:tcW w:w="6708" w:type="dxa"/>
          </w:tcPr>
          <w:p w14:paraId="4727DF52" w14:textId="77777777" w:rsidR="00BA076C" w:rsidRPr="002E0906" w:rsidRDefault="00BA076C" w:rsidP="00BD26AC">
            <w:pPr>
              <w:pStyle w:val="naiskr"/>
              <w:spacing w:before="0" w:after="0"/>
              <w:ind w:firstLine="720"/>
            </w:pPr>
            <w:r w:rsidRPr="002E0906">
              <w:t>  </w:t>
            </w:r>
          </w:p>
        </w:tc>
        <w:tc>
          <w:tcPr>
            <w:tcW w:w="5874" w:type="dxa"/>
            <w:gridSpan w:val="2"/>
            <w:tcBorders>
              <w:top w:val="single" w:sz="6" w:space="0" w:color="000000"/>
              <w:bottom w:val="single" w:sz="6" w:space="0" w:color="000000"/>
            </w:tcBorders>
          </w:tcPr>
          <w:p w14:paraId="5FAF2581" w14:textId="77777777" w:rsidR="00BA076C" w:rsidRPr="002E0906" w:rsidRDefault="00BA076C" w:rsidP="00BD26AC">
            <w:pPr>
              <w:pStyle w:val="naiskr"/>
              <w:spacing w:before="0" w:after="0"/>
              <w:ind w:firstLine="720"/>
            </w:pPr>
          </w:p>
        </w:tc>
      </w:tr>
      <w:tr w:rsidR="00BA076C" w:rsidRPr="002E0906" w14:paraId="1011009C" w14:textId="77777777" w:rsidTr="00BD26AC">
        <w:tc>
          <w:tcPr>
            <w:tcW w:w="6708" w:type="dxa"/>
          </w:tcPr>
          <w:p w14:paraId="46DD89ED" w14:textId="77777777" w:rsidR="00BA076C" w:rsidRPr="002E0906" w:rsidRDefault="00BA076C" w:rsidP="00BD26AC">
            <w:pPr>
              <w:pStyle w:val="naiskr"/>
              <w:spacing w:before="0" w:after="0"/>
              <w:ind w:firstLine="720"/>
            </w:pPr>
            <w:r w:rsidRPr="002E0906">
              <w:t>  </w:t>
            </w:r>
          </w:p>
        </w:tc>
        <w:tc>
          <w:tcPr>
            <w:tcW w:w="5874" w:type="dxa"/>
            <w:gridSpan w:val="2"/>
            <w:tcBorders>
              <w:bottom w:val="single" w:sz="6" w:space="0" w:color="000000"/>
            </w:tcBorders>
          </w:tcPr>
          <w:p w14:paraId="3C0111B4" w14:textId="77777777" w:rsidR="00BA076C" w:rsidRPr="002E0906" w:rsidRDefault="00BA076C" w:rsidP="00BD26AC">
            <w:pPr>
              <w:pStyle w:val="naiskr"/>
              <w:spacing w:before="0" w:after="0"/>
              <w:ind w:firstLine="720"/>
            </w:pPr>
          </w:p>
        </w:tc>
      </w:tr>
    </w:tbl>
    <w:p w14:paraId="77510875" w14:textId="77777777" w:rsidR="00BA076C" w:rsidRPr="002E0906" w:rsidRDefault="00BA076C" w:rsidP="00BA076C">
      <w:pPr>
        <w:pStyle w:val="naisf"/>
        <w:spacing w:before="0" w:after="0"/>
        <w:ind w:firstLine="720"/>
      </w:pPr>
    </w:p>
    <w:p w14:paraId="7ABE5BA6" w14:textId="77777777" w:rsidR="00BA076C" w:rsidRPr="002E0906" w:rsidRDefault="00BA076C" w:rsidP="00BA076C">
      <w:pPr>
        <w:pStyle w:val="naisf"/>
        <w:spacing w:before="0" w:after="0"/>
        <w:ind w:firstLine="0"/>
        <w:jc w:val="center"/>
        <w:rPr>
          <w:b/>
        </w:rPr>
      </w:pPr>
      <w:r w:rsidRPr="002E0906">
        <w:rPr>
          <w:b/>
        </w:rPr>
        <w:t>II. Jautājumi, par kuriem saskaņošanā vienošanās ir panākta</w:t>
      </w:r>
    </w:p>
    <w:p w14:paraId="73CEE5EA" w14:textId="77777777" w:rsidR="00BA076C" w:rsidRPr="002E0906" w:rsidRDefault="00BA076C" w:rsidP="00BA076C">
      <w:pPr>
        <w:pStyle w:val="naisf"/>
        <w:spacing w:before="0" w:after="0"/>
        <w:ind w:firstLine="720"/>
      </w:pPr>
    </w:p>
    <w:tbl>
      <w:tblPr>
        <w:tblW w:w="14541"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8"/>
        <w:gridCol w:w="716"/>
        <w:gridCol w:w="2284"/>
        <w:gridCol w:w="119"/>
        <w:gridCol w:w="5245"/>
        <w:gridCol w:w="815"/>
        <w:gridCol w:w="2303"/>
        <w:gridCol w:w="2951"/>
      </w:tblGrid>
      <w:tr w:rsidR="00BA076C" w:rsidRPr="002E0906" w14:paraId="68D31272" w14:textId="77777777" w:rsidTr="008F3BB0">
        <w:trPr>
          <w:gridBefore w:val="1"/>
          <w:wBefore w:w="108" w:type="dxa"/>
        </w:trPr>
        <w:tc>
          <w:tcPr>
            <w:tcW w:w="716" w:type="dxa"/>
            <w:tcBorders>
              <w:top w:val="single" w:sz="6" w:space="0" w:color="000000"/>
              <w:left w:val="single" w:sz="6" w:space="0" w:color="000000"/>
              <w:bottom w:val="single" w:sz="6" w:space="0" w:color="000000"/>
              <w:right w:val="single" w:sz="6" w:space="0" w:color="000000"/>
            </w:tcBorders>
            <w:vAlign w:val="center"/>
          </w:tcPr>
          <w:p w14:paraId="63573086" w14:textId="77777777" w:rsidR="00BA076C" w:rsidRPr="002E0906" w:rsidRDefault="00BA076C" w:rsidP="00BD26AC">
            <w:pPr>
              <w:pStyle w:val="naisc"/>
              <w:spacing w:before="0" w:after="0"/>
            </w:pPr>
            <w:r w:rsidRPr="002E0906">
              <w:t>Nr. p. k.</w:t>
            </w:r>
          </w:p>
        </w:tc>
        <w:tc>
          <w:tcPr>
            <w:tcW w:w="2403" w:type="dxa"/>
            <w:gridSpan w:val="2"/>
            <w:tcBorders>
              <w:top w:val="single" w:sz="6" w:space="0" w:color="000000"/>
              <w:left w:val="single" w:sz="6" w:space="0" w:color="000000"/>
              <w:bottom w:val="single" w:sz="6" w:space="0" w:color="000000"/>
              <w:right w:val="single" w:sz="6" w:space="0" w:color="000000"/>
            </w:tcBorders>
            <w:vAlign w:val="center"/>
          </w:tcPr>
          <w:p w14:paraId="22ED81E3" w14:textId="77777777" w:rsidR="00BA076C" w:rsidRPr="002E0906" w:rsidRDefault="00BA076C" w:rsidP="00BD26AC">
            <w:pPr>
              <w:pStyle w:val="naisc"/>
              <w:spacing w:before="0" w:after="0"/>
              <w:ind w:firstLine="12"/>
            </w:pPr>
            <w:r w:rsidRPr="002E0906">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0C9CA8F3" w14:textId="77777777" w:rsidR="00BA076C" w:rsidRPr="002E0906" w:rsidRDefault="00BA076C"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710A30B1" w14:textId="77777777" w:rsidR="00BA076C" w:rsidRPr="002E0906" w:rsidRDefault="00BA076C" w:rsidP="00BD26AC">
            <w:pPr>
              <w:pStyle w:val="naisc"/>
              <w:spacing w:before="0" w:after="0"/>
              <w:ind w:firstLine="21"/>
            </w:pPr>
            <w:r w:rsidRPr="002E0906">
              <w:t>Atbildīgās ministrijas norāde par to, ka iebildums ir ņemts vērā, vai informācija par saskaņošanā panākto alternatīvo risinājumu</w:t>
            </w:r>
          </w:p>
        </w:tc>
        <w:tc>
          <w:tcPr>
            <w:tcW w:w="2951" w:type="dxa"/>
            <w:tcBorders>
              <w:top w:val="single" w:sz="4" w:space="0" w:color="auto"/>
              <w:left w:val="single" w:sz="4" w:space="0" w:color="auto"/>
              <w:bottom w:val="single" w:sz="4" w:space="0" w:color="auto"/>
            </w:tcBorders>
            <w:vAlign w:val="center"/>
          </w:tcPr>
          <w:p w14:paraId="2EFADBE8" w14:textId="77777777" w:rsidR="00BA076C" w:rsidRPr="002E0906" w:rsidRDefault="00BA076C" w:rsidP="00BD26AC">
            <w:pPr>
              <w:jc w:val="center"/>
            </w:pPr>
            <w:r w:rsidRPr="002E0906">
              <w:t>Projekta attiecīgā punkta (panta) galīgā redakcija</w:t>
            </w:r>
          </w:p>
        </w:tc>
      </w:tr>
      <w:tr w:rsidR="00BA076C" w:rsidRPr="002E0906" w14:paraId="795E4927" w14:textId="77777777" w:rsidTr="008F3BB0">
        <w:trPr>
          <w:gridBefore w:val="1"/>
          <w:wBefore w:w="108" w:type="dxa"/>
        </w:trPr>
        <w:tc>
          <w:tcPr>
            <w:tcW w:w="716" w:type="dxa"/>
            <w:tcBorders>
              <w:top w:val="single" w:sz="6" w:space="0" w:color="000000"/>
              <w:left w:val="single" w:sz="6" w:space="0" w:color="000000"/>
              <w:bottom w:val="single" w:sz="6" w:space="0" w:color="000000"/>
              <w:right w:val="single" w:sz="6" w:space="0" w:color="000000"/>
            </w:tcBorders>
          </w:tcPr>
          <w:p w14:paraId="04777DFA" w14:textId="77777777" w:rsidR="00BA076C" w:rsidRPr="002E0906" w:rsidRDefault="00BA076C" w:rsidP="00BD26AC">
            <w:pPr>
              <w:pStyle w:val="naisc"/>
              <w:spacing w:before="0" w:after="0"/>
              <w:rPr>
                <w:sz w:val="20"/>
                <w:szCs w:val="20"/>
              </w:rPr>
            </w:pPr>
            <w:r w:rsidRPr="002E0906">
              <w:rPr>
                <w:sz w:val="20"/>
                <w:szCs w:val="20"/>
              </w:rPr>
              <w:t>1</w:t>
            </w:r>
          </w:p>
        </w:tc>
        <w:tc>
          <w:tcPr>
            <w:tcW w:w="2403" w:type="dxa"/>
            <w:gridSpan w:val="2"/>
            <w:tcBorders>
              <w:top w:val="single" w:sz="6" w:space="0" w:color="000000"/>
              <w:left w:val="single" w:sz="6" w:space="0" w:color="000000"/>
              <w:bottom w:val="single" w:sz="6" w:space="0" w:color="000000"/>
              <w:right w:val="single" w:sz="6" w:space="0" w:color="000000"/>
            </w:tcBorders>
          </w:tcPr>
          <w:p w14:paraId="77289C22" w14:textId="77777777" w:rsidR="00BA076C" w:rsidRPr="002E0906" w:rsidRDefault="00BA076C" w:rsidP="00BD26AC">
            <w:pPr>
              <w:pStyle w:val="naisc"/>
              <w:spacing w:before="0" w:after="0"/>
              <w:ind w:firstLine="720"/>
              <w:rPr>
                <w:sz w:val="20"/>
                <w:szCs w:val="20"/>
              </w:rPr>
            </w:pPr>
            <w:r w:rsidRPr="002E0906">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6BFACD05" w14:textId="77777777" w:rsidR="00BA076C" w:rsidRPr="002E0906" w:rsidRDefault="00BA076C" w:rsidP="00BD26AC">
            <w:pPr>
              <w:pStyle w:val="naisc"/>
              <w:spacing w:before="0" w:after="0"/>
              <w:ind w:firstLine="720"/>
              <w:rPr>
                <w:sz w:val="20"/>
                <w:szCs w:val="20"/>
              </w:rPr>
            </w:pPr>
            <w:r w:rsidRPr="002E0906">
              <w:rPr>
                <w:sz w:val="20"/>
                <w:szCs w:val="20"/>
              </w:rPr>
              <w:t>3</w:t>
            </w:r>
          </w:p>
        </w:tc>
        <w:tc>
          <w:tcPr>
            <w:tcW w:w="3118" w:type="dxa"/>
            <w:gridSpan w:val="2"/>
            <w:tcBorders>
              <w:top w:val="single" w:sz="6" w:space="0" w:color="000000"/>
              <w:left w:val="single" w:sz="6" w:space="0" w:color="000000"/>
              <w:bottom w:val="single" w:sz="6" w:space="0" w:color="000000"/>
              <w:right w:val="single" w:sz="6" w:space="0" w:color="000000"/>
            </w:tcBorders>
          </w:tcPr>
          <w:p w14:paraId="0F981EA6" w14:textId="77777777" w:rsidR="00BA076C" w:rsidRPr="002E0906" w:rsidRDefault="00BA076C" w:rsidP="00BD26AC">
            <w:pPr>
              <w:pStyle w:val="naisc"/>
              <w:spacing w:before="0" w:after="0"/>
              <w:ind w:firstLine="720"/>
              <w:rPr>
                <w:sz w:val="20"/>
                <w:szCs w:val="20"/>
              </w:rPr>
            </w:pPr>
            <w:r w:rsidRPr="002E0906">
              <w:rPr>
                <w:sz w:val="20"/>
                <w:szCs w:val="20"/>
              </w:rPr>
              <w:t>4</w:t>
            </w:r>
          </w:p>
        </w:tc>
        <w:tc>
          <w:tcPr>
            <w:tcW w:w="2951" w:type="dxa"/>
            <w:tcBorders>
              <w:top w:val="single" w:sz="4" w:space="0" w:color="auto"/>
              <w:left w:val="single" w:sz="4" w:space="0" w:color="auto"/>
              <w:bottom w:val="single" w:sz="4" w:space="0" w:color="auto"/>
            </w:tcBorders>
          </w:tcPr>
          <w:p w14:paraId="59DC7416" w14:textId="77777777" w:rsidR="00BA076C" w:rsidRPr="002E0906" w:rsidRDefault="00BA076C" w:rsidP="00BD26AC">
            <w:pPr>
              <w:jc w:val="center"/>
              <w:rPr>
                <w:sz w:val="20"/>
                <w:szCs w:val="20"/>
              </w:rPr>
            </w:pPr>
            <w:r w:rsidRPr="002E0906">
              <w:rPr>
                <w:sz w:val="20"/>
                <w:szCs w:val="20"/>
              </w:rPr>
              <w:t>5</w:t>
            </w:r>
          </w:p>
        </w:tc>
      </w:tr>
      <w:tr w:rsidR="00B46A62" w:rsidRPr="002E0906" w14:paraId="7370EBA8" w14:textId="77777777" w:rsidTr="008F3BB0">
        <w:trPr>
          <w:gridBefore w:val="1"/>
          <w:wBefore w:w="108" w:type="dxa"/>
        </w:trPr>
        <w:tc>
          <w:tcPr>
            <w:tcW w:w="716" w:type="dxa"/>
            <w:tcBorders>
              <w:top w:val="single" w:sz="6" w:space="0" w:color="000000"/>
              <w:left w:val="single" w:sz="6" w:space="0" w:color="000000"/>
              <w:bottom w:val="single" w:sz="6" w:space="0" w:color="000000"/>
              <w:right w:val="single" w:sz="6" w:space="0" w:color="000000"/>
            </w:tcBorders>
          </w:tcPr>
          <w:p w14:paraId="051001CE" w14:textId="77777777" w:rsidR="00B46A62" w:rsidRDefault="00B46A62" w:rsidP="00BD26AC">
            <w:pPr>
              <w:pStyle w:val="naisc"/>
              <w:spacing w:before="0" w:after="0"/>
              <w:rPr>
                <w:sz w:val="20"/>
                <w:szCs w:val="20"/>
              </w:rPr>
            </w:pPr>
          </w:p>
          <w:p w14:paraId="669D74ED" w14:textId="7A7F2663" w:rsidR="00B46A62" w:rsidRPr="002E0906" w:rsidRDefault="00B46A62" w:rsidP="00BD26AC">
            <w:pPr>
              <w:pStyle w:val="naisc"/>
              <w:spacing w:before="0" w:after="0"/>
              <w:rPr>
                <w:sz w:val="20"/>
                <w:szCs w:val="20"/>
              </w:rPr>
            </w:pPr>
            <w:r>
              <w:rPr>
                <w:sz w:val="20"/>
                <w:szCs w:val="20"/>
              </w:rPr>
              <w:t>1.</w:t>
            </w:r>
          </w:p>
        </w:tc>
        <w:tc>
          <w:tcPr>
            <w:tcW w:w="2403" w:type="dxa"/>
            <w:gridSpan w:val="2"/>
            <w:tcBorders>
              <w:top w:val="single" w:sz="6" w:space="0" w:color="000000"/>
              <w:left w:val="single" w:sz="6" w:space="0" w:color="000000"/>
              <w:bottom w:val="single" w:sz="6" w:space="0" w:color="000000"/>
              <w:right w:val="single" w:sz="6" w:space="0" w:color="000000"/>
            </w:tcBorders>
          </w:tcPr>
          <w:p w14:paraId="253594EE" w14:textId="77777777" w:rsidR="00B46A62" w:rsidRPr="00124817" w:rsidRDefault="00B46A62" w:rsidP="00B46A62">
            <w:pPr>
              <w:pStyle w:val="naisc"/>
              <w:rPr>
                <w:b/>
                <w:bCs/>
              </w:rPr>
            </w:pPr>
            <w:r w:rsidRPr="00124817">
              <w:rPr>
                <w:b/>
                <w:bCs/>
              </w:rPr>
              <w:t>Atzinums uz 25.11.2020.</w:t>
            </w:r>
          </w:p>
          <w:p w14:paraId="7BE334E0" w14:textId="77777777" w:rsidR="00B46A62" w:rsidRPr="00124817" w:rsidRDefault="00B46A62" w:rsidP="00B46A62">
            <w:pPr>
              <w:pStyle w:val="NoSpacing"/>
              <w:spacing w:line="276" w:lineRule="auto"/>
              <w:jc w:val="both"/>
              <w:rPr>
                <w:rFonts w:ascii="Times New Roman" w:hAnsi="Times New Roman"/>
                <w:sz w:val="24"/>
                <w:szCs w:val="24"/>
              </w:rPr>
            </w:pPr>
          </w:p>
          <w:p w14:paraId="0CECF506" w14:textId="2A8193C7" w:rsidR="00B46A62" w:rsidRPr="00124817" w:rsidRDefault="00B46A62" w:rsidP="00B46A62">
            <w:pPr>
              <w:pStyle w:val="NoSpacing"/>
              <w:spacing w:line="276" w:lineRule="auto"/>
              <w:jc w:val="both"/>
              <w:rPr>
                <w:rFonts w:ascii="Times New Roman" w:hAnsi="Times New Roman"/>
                <w:sz w:val="24"/>
                <w:szCs w:val="24"/>
              </w:rPr>
            </w:pPr>
            <w:r w:rsidRPr="00124817">
              <w:rPr>
                <w:rFonts w:ascii="Times New Roman" w:hAnsi="Times New Roman"/>
                <w:sz w:val="24"/>
                <w:szCs w:val="24"/>
              </w:rPr>
              <w:t>2. pants "Izteikt 9. panta otrās daļas 1. punktu šādā redakcijā:</w:t>
            </w:r>
          </w:p>
          <w:p w14:paraId="419B84C9" w14:textId="7980A37E" w:rsidR="00B46A62" w:rsidRPr="00124817" w:rsidRDefault="00B46A62" w:rsidP="00B46A62">
            <w:pPr>
              <w:pStyle w:val="naisc"/>
              <w:spacing w:before="0" w:after="0"/>
              <w:ind w:firstLine="720"/>
              <w:jc w:val="both"/>
            </w:pPr>
            <w:r w:rsidRPr="00124817">
              <w:rPr>
                <w:shd w:val="clear" w:color="auto" w:fill="FFFFFF"/>
              </w:rPr>
              <w:t xml:space="preserve">"1) kredītiestāžu un krājaizdevu sabiedrību izveidotajiem debitoru uzkrājumiem vai to norakstījumiem tieši zaudējumos, kas veikti saskaņā ar Starptautisko Finanšu pārskatu standartu prasībām vai Latvijas Bankas noteiktajām </w:t>
            </w:r>
            <w:r w:rsidRPr="00124817">
              <w:rPr>
                <w:shd w:val="clear" w:color="auto" w:fill="FFFFFF"/>
              </w:rPr>
              <w:lastRenderedPageBreak/>
              <w:t>prasībām uzkrājumu veidošanai."</w:t>
            </w:r>
          </w:p>
        </w:tc>
        <w:tc>
          <w:tcPr>
            <w:tcW w:w="5245" w:type="dxa"/>
            <w:tcBorders>
              <w:top w:val="single" w:sz="6" w:space="0" w:color="000000"/>
              <w:left w:val="single" w:sz="6" w:space="0" w:color="000000"/>
              <w:bottom w:val="single" w:sz="6" w:space="0" w:color="000000"/>
              <w:right w:val="single" w:sz="6" w:space="0" w:color="000000"/>
            </w:tcBorders>
          </w:tcPr>
          <w:p w14:paraId="235E1A0D" w14:textId="3A5A61B7" w:rsidR="00B46A62" w:rsidRPr="00004282" w:rsidRDefault="00B46A62" w:rsidP="00B46A62">
            <w:pPr>
              <w:pStyle w:val="naisc"/>
              <w:spacing w:before="0" w:after="0"/>
              <w:ind w:firstLine="720"/>
              <w:jc w:val="left"/>
              <w:rPr>
                <w:b/>
                <w:bCs/>
              </w:rPr>
            </w:pPr>
            <w:r>
              <w:rPr>
                <w:b/>
                <w:bCs/>
              </w:rPr>
              <w:lastRenderedPageBreak/>
              <w:t xml:space="preserve"> </w:t>
            </w:r>
            <w:r w:rsidRPr="00004282">
              <w:rPr>
                <w:b/>
                <w:bCs/>
              </w:rPr>
              <w:t>Tieslietu ministrija</w:t>
            </w:r>
          </w:p>
          <w:p w14:paraId="6C1A2635" w14:textId="2D79F28A" w:rsidR="00B46A62" w:rsidRDefault="00B46A62" w:rsidP="00B46A62">
            <w:pPr>
              <w:pStyle w:val="naisc"/>
              <w:spacing w:before="0" w:after="0"/>
              <w:ind w:firstLine="720"/>
              <w:jc w:val="left"/>
              <w:rPr>
                <w:b/>
                <w:bCs/>
              </w:rPr>
            </w:pPr>
            <w:r>
              <w:rPr>
                <w:b/>
                <w:bCs/>
              </w:rPr>
              <w:t xml:space="preserve">          </w:t>
            </w:r>
            <w:r w:rsidRPr="00004282">
              <w:rPr>
                <w:b/>
                <w:bCs/>
              </w:rPr>
              <w:t>(iebildumi)</w:t>
            </w:r>
          </w:p>
          <w:p w14:paraId="1D4FFAEA" w14:textId="77777777" w:rsidR="00B46A62" w:rsidRDefault="00B46A62" w:rsidP="00BD26AC">
            <w:pPr>
              <w:pStyle w:val="naisc"/>
              <w:spacing w:before="0" w:after="0"/>
              <w:ind w:firstLine="720"/>
              <w:rPr>
                <w:sz w:val="20"/>
                <w:szCs w:val="20"/>
              </w:rPr>
            </w:pPr>
          </w:p>
          <w:p w14:paraId="16374BEC" w14:textId="290EBF54" w:rsidR="00B46A62" w:rsidRDefault="00B46A62" w:rsidP="00B46A62">
            <w:pPr>
              <w:pStyle w:val="naisc"/>
              <w:spacing w:before="0" w:after="0"/>
              <w:jc w:val="both"/>
            </w:pPr>
            <w:r>
              <w:t>Saskaņā ar noteikumu Nr. 108 62. punktu</w:t>
            </w:r>
            <w:r w:rsidRPr="00CE1D52">
              <w:t xml:space="preserve"> </w:t>
            </w:r>
            <w:r>
              <w:t>l</w:t>
            </w:r>
            <w:r w:rsidRPr="00CE1D52">
              <w:t>ikumprojektā</w:t>
            </w:r>
            <w:r>
              <w:t xml:space="preserve"> </w:t>
            </w:r>
            <w:r w:rsidRPr="00CE1D52">
              <w:t>neietver atsauces uz zemāka juridiskā spēka normatīvo aktu, kā arī uz normatīvo aktu, kas vēl nav stājies spēkā. Atsauce var norādīt uz normatīvo aktu, kas vēl nav stājies spēkā, ja tas stāsies spēkā pirms likumprojekta stāšanās spēkā vai vienlaikus ar to.</w:t>
            </w:r>
            <w:r>
              <w:t xml:space="preserve"> Attiecīgi lūdzam atbilstoši precizēt likumprojekta Nr. 5 2. pantu, neparedzot tajā atsauci uz Latvijas Bankas noteiktajām prasībām, bet nepieciešamības gadījumā ietverot atsauci, </w:t>
            </w:r>
            <w:r w:rsidRPr="00323072">
              <w:t>kas norāda uz normatīvajiem aktiem noteiktā jomā</w:t>
            </w:r>
            <w:r>
              <w:t xml:space="preserve"> atbilstoši noteikumu Nr. 108 63. punktam</w:t>
            </w:r>
            <w:r w:rsidR="0012424B">
              <w:t>.</w:t>
            </w:r>
          </w:p>
          <w:p w14:paraId="35CECB7D" w14:textId="77777777" w:rsidR="0012424B" w:rsidRDefault="0012424B" w:rsidP="00B46A62">
            <w:pPr>
              <w:pStyle w:val="naisc"/>
              <w:spacing w:before="0" w:after="0"/>
              <w:jc w:val="both"/>
            </w:pPr>
          </w:p>
          <w:p w14:paraId="160A8F17" w14:textId="77777777" w:rsidR="0012424B" w:rsidRDefault="0012424B" w:rsidP="00B46A62">
            <w:pPr>
              <w:pStyle w:val="naisc"/>
              <w:spacing w:before="0" w:after="0"/>
              <w:jc w:val="both"/>
              <w:rPr>
                <w:iCs/>
              </w:rPr>
            </w:pPr>
            <w:r w:rsidRPr="006613FD">
              <w:t>Lūdzam</w:t>
            </w:r>
            <w:r>
              <w:t xml:space="preserve"> izvērtēt un</w:t>
            </w:r>
            <w:r w:rsidRPr="006613FD">
              <w:t xml:space="preserve"> atbilstoši noteikumu Nr. 108 17</w:t>
            </w:r>
            <w:r>
              <w:t>4</w:t>
            </w:r>
            <w:r w:rsidRPr="006613FD">
              <w:t xml:space="preserve">. punktam korekti atspoguļot likumprojekta </w:t>
            </w:r>
            <w:r>
              <w:t>Nr. 5 2</w:t>
            </w:r>
            <w:r w:rsidRPr="006613FD">
              <w:t>. pant</w:t>
            </w:r>
            <w:r>
              <w:t>ā</w:t>
            </w:r>
            <w:r w:rsidRPr="006613FD">
              <w:t xml:space="preserve"> </w:t>
            </w:r>
            <w:r>
              <w:t>ietverto</w:t>
            </w:r>
            <w:r w:rsidRPr="006613FD">
              <w:t xml:space="preserve"> norādi uz </w:t>
            </w:r>
            <w:r>
              <w:t xml:space="preserve">Starptautisko Finanšu </w:t>
            </w:r>
            <w:r>
              <w:lastRenderedPageBreak/>
              <w:t xml:space="preserve">pārskatu standartiem, identificējot tajā konkrētus obligātos standartus. Alternatīvi lūdzam likumprojektā Nr. 5 skaidrot, vai ar </w:t>
            </w:r>
            <w:r w:rsidRPr="009370BD">
              <w:rPr>
                <w:iCs/>
              </w:rPr>
              <w:t>Starptautisko Finanšu pārskatu standartiem</w:t>
            </w:r>
            <w:r w:rsidRPr="00BD48F2">
              <w:rPr>
                <w:iCs/>
              </w:rPr>
              <w:t xml:space="preserve"> </w:t>
            </w:r>
            <w:r>
              <w:rPr>
                <w:iCs/>
              </w:rPr>
              <w:t>saprotami tie</w:t>
            </w:r>
            <w:r w:rsidRPr="00BD48F2">
              <w:rPr>
                <w:iCs/>
              </w:rPr>
              <w:t>, kur</w:t>
            </w:r>
            <w:r>
              <w:rPr>
                <w:iCs/>
              </w:rPr>
              <w:t>u</w:t>
            </w:r>
            <w:r w:rsidRPr="00BD48F2">
              <w:rPr>
                <w:iCs/>
              </w:rPr>
              <w:t>s apstiprinājusi Eiropas Komisija</w:t>
            </w:r>
            <w:r w:rsidRPr="000143C1">
              <w:t xml:space="preserve"> </w:t>
            </w:r>
            <w:r w:rsidRPr="000143C1">
              <w:rPr>
                <w:iCs/>
              </w:rPr>
              <w:t>un kur</w:t>
            </w:r>
            <w:r>
              <w:rPr>
                <w:iCs/>
              </w:rPr>
              <w:t>i</w:t>
            </w:r>
            <w:r w:rsidRPr="000143C1">
              <w:rPr>
                <w:iCs/>
              </w:rPr>
              <w:t xml:space="preserve"> publicēt</w:t>
            </w:r>
            <w:r>
              <w:rPr>
                <w:iCs/>
              </w:rPr>
              <w:t>i</w:t>
            </w:r>
            <w:r w:rsidRPr="000143C1">
              <w:rPr>
                <w:iCs/>
              </w:rPr>
              <w:t xml:space="preserve"> "Eiropas Savienības Oficiālajā Vēstnesī"</w:t>
            </w:r>
            <w:r>
              <w:rPr>
                <w:iCs/>
              </w:rPr>
              <w:t>, attiecīgā gadījumā izdarot likumprojektā Nr. 5 2. punktā atbilstošu atsauci uz attiecīgu Eiropas Savienības tiesību aktu, saskaņā ar kuriem attiecīgi standarti pieņemti.</w:t>
            </w:r>
          </w:p>
          <w:p w14:paraId="0641E0F3" w14:textId="04463FCF" w:rsidR="0012424B" w:rsidRPr="002E0906" w:rsidRDefault="0012424B" w:rsidP="00B46A62">
            <w:pPr>
              <w:pStyle w:val="naisc"/>
              <w:spacing w:before="0" w:after="0"/>
              <w:jc w:val="both"/>
              <w:rPr>
                <w:sz w:val="20"/>
                <w:szCs w:val="20"/>
              </w:rPr>
            </w:pPr>
          </w:p>
        </w:tc>
        <w:tc>
          <w:tcPr>
            <w:tcW w:w="3118" w:type="dxa"/>
            <w:gridSpan w:val="2"/>
            <w:tcBorders>
              <w:top w:val="single" w:sz="6" w:space="0" w:color="000000"/>
              <w:left w:val="single" w:sz="6" w:space="0" w:color="000000"/>
              <w:bottom w:val="single" w:sz="6" w:space="0" w:color="000000"/>
              <w:right w:val="single" w:sz="6" w:space="0" w:color="000000"/>
            </w:tcBorders>
          </w:tcPr>
          <w:p w14:paraId="740B9F1F" w14:textId="77777777" w:rsidR="00B46A62" w:rsidRDefault="00B46A62" w:rsidP="00B46A62">
            <w:pPr>
              <w:pStyle w:val="naisc"/>
              <w:spacing w:before="0" w:after="0"/>
              <w:ind w:firstLine="720"/>
              <w:jc w:val="left"/>
              <w:rPr>
                <w:b/>
                <w:bCs/>
              </w:rPr>
            </w:pPr>
            <w:r>
              <w:rPr>
                <w:b/>
                <w:bCs/>
              </w:rPr>
              <w:lastRenderedPageBreak/>
              <w:t xml:space="preserve">  </w:t>
            </w:r>
            <w:r w:rsidRPr="00004282">
              <w:rPr>
                <w:b/>
                <w:bCs/>
              </w:rPr>
              <w:t>Ņemts vērā</w:t>
            </w:r>
          </w:p>
          <w:p w14:paraId="5EAE4FD3" w14:textId="77777777" w:rsidR="00E51EE9" w:rsidRDefault="00E51EE9" w:rsidP="00B46A62">
            <w:pPr>
              <w:pStyle w:val="naisc"/>
              <w:spacing w:before="0" w:after="0"/>
              <w:ind w:firstLine="720"/>
              <w:jc w:val="left"/>
              <w:rPr>
                <w:b/>
                <w:bCs/>
              </w:rPr>
            </w:pPr>
          </w:p>
          <w:p w14:paraId="0EE6F430" w14:textId="77777777" w:rsidR="00E51EE9" w:rsidRDefault="00E51EE9" w:rsidP="00B46A62">
            <w:pPr>
              <w:pStyle w:val="naisc"/>
              <w:spacing w:before="0" w:after="0"/>
              <w:ind w:firstLine="720"/>
              <w:jc w:val="left"/>
              <w:rPr>
                <w:b/>
                <w:bCs/>
              </w:rPr>
            </w:pPr>
          </w:p>
          <w:p w14:paraId="285F7A29" w14:textId="5F2FC0B2" w:rsidR="00E51EE9" w:rsidRPr="00E51EE9" w:rsidRDefault="00E51EE9" w:rsidP="00E51EE9">
            <w:pPr>
              <w:pStyle w:val="naisc"/>
              <w:spacing w:before="0" w:after="0"/>
              <w:jc w:val="both"/>
              <w:rPr>
                <w:sz w:val="20"/>
                <w:szCs w:val="20"/>
              </w:rPr>
            </w:pPr>
            <w:r w:rsidRPr="00E51EE9">
              <w:t>Lūdzu</w:t>
            </w:r>
            <w:r>
              <w:t xml:space="preserve"> skatīt precizēto likumprojekta 2. pantu</w:t>
            </w:r>
            <w:r w:rsidR="00B77CC9">
              <w:t xml:space="preserve"> un ietverto papildus skaidrojumu anotācijas I. sadaļas 2. punktā.</w:t>
            </w:r>
          </w:p>
        </w:tc>
        <w:tc>
          <w:tcPr>
            <w:tcW w:w="2951" w:type="dxa"/>
            <w:tcBorders>
              <w:top w:val="single" w:sz="4" w:space="0" w:color="auto"/>
              <w:left w:val="single" w:sz="4" w:space="0" w:color="auto"/>
              <w:bottom w:val="single" w:sz="4" w:space="0" w:color="auto"/>
            </w:tcBorders>
          </w:tcPr>
          <w:p w14:paraId="5D7EB217" w14:textId="77777777" w:rsidR="00B46A62" w:rsidRDefault="00B77CC9" w:rsidP="00B77CC9">
            <w:pPr>
              <w:jc w:val="center"/>
              <w:rPr>
                <w:b/>
                <w:bCs/>
              </w:rPr>
            </w:pPr>
            <w:r w:rsidRPr="00B77CC9">
              <w:rPr>
                <w:b/>
                <w:bCs/>
              </w:rPr>
              <w:t>Likumprojektā</w:t>
            </w:r>
          </w:p>
          <w:p w14:paraId="1C92FDAC" w14:textId="77777777" w:rsidR="00B77CC9" w:rsidRDefault="00B77CC9" w:rsidP="00B77CC9">
            <w:pPr>
              <w:jc w:val="center"/>
              <w:rPr>
                <w:b/>
                <w:bCs/>
              </w:rPr>
            </w:pPr>
          </w:p>
          <w:p w14:paraId="688C43EC" w14:textId="77777777" w:rsidR="00B77CC9" w:rsidRDefault="00B77CC9" w:rsidP="00B77CC9">
            <w:pPr>
              <w:jc w:val="center"/>
              <w:rPr>
                <w:b/>
                <w:bCs/>
              </w:rPr>
            </w:pPr>
          </w:p>
          <w:p w14:paraId="15D99ACD" w14:textId="2479C563" w:rsidR="00B77CC9" w:rsidRDefault="003037E5" w:rsidP="00B77CC9">
            <w:pPr>
              <w:jc w:val="both"/>
              <w:rPr>
                <w:shd w:val="clear" w:color="auto" w:fill="FFFFFF"/>
              </w:rPr>
            </w:pPr>
            <w:r>
              <w:t xml:space="preserve">"2. </w:t>
            </w:r>
            <w:r w:rsidR="00A21C76">
              <w:rPr>
                <w:u w:val="single"/>
              </w:rPr>
              <w:t>Izslēgt</w:t>
            </w:r>
            <w:r w:rsidR="00B77CC9" w:rsidRPr="003037E5">
              <w:rPr>
                <w:u w:val="single"/>
              </w:rPr>
              <w:t xml:space="preserve"> 9. panta otrās daļas 1. punktā vārdus</w:t>
            </w:r>
            <w:r w:rsidR="00B77CC9" w:rsidRPr="003037E5">
              <w:rPr>
                <w:u w:val="single"/>
                <w:shd w:val="clear" w:color="auto" w:fill="FFFFFF"/>
              </w:rPr>
              <w:t xml:space="preserve"> "kas veikti saskaņā ar Starptautisko Finanšu sagatavošanas standartu prasībām vai Finanšu un kapitāla tirgus komisijas normatīvajos noteikumos paredzēto uzkrājumu veidošanas kārtību.</w:t>
            </w:r>
            <w:r w:rsidR="00B77CC9" w:rsidRPr="00B77CC9">
              <w:rPr>
                <w:shd w:val="clear" w:color="auto" w:fill="FFFFFF"/>
              </w:rPr>
              <w:t>"</w:t>
            </w:r>
          </w:p>
          <w:p w14:paraId="23E8BC79" w14:textId="77777777" w:rsidR="00B77CC9" w:rsidRDefault="00B77CC9" w:rsidP="00B77CC9">
            <w:pPr>
              <w:jc w:val="both"/>
              <w:rPr>
                <w:shd w:val="clear" w:color="auto" w:fill="FFFFFF"/>
              </w:rPr>
            </w:pPr>
          </w:p>
          <w:p w14:paraId="71DE2CFD" w14:textId="37D4D2D4" w:rsidR="00B77CC9" w:rsidRPr="00B77CC9" w:rsidRDefault="00B77CC9" w:rsidP="00B77CC9">
            <w:pPr>
              <w:rPr>
                <w:b/>
                <w:bCs/>
                <w:sz w:val="20"/>
                <w:szCs w:val="20"/>
              </w:rPr>
            </w:pPr>
          </w:p>
        </w:tc>
      </w:tr>
      <w:tr w:rsidR="00B46A62" w:rsidRPr="002E0906" w14:paraId="14034C20" w14:textId="77777777" w:rsidTr="008F3BB0">
        <w:trPr>
          <w:gridBefore w:val="1"/>
          <w:wBefore w:w="108" w:type="dxa"/>
        </w:trPr>
        <w:tc>
          <w:tcPr>
            <w:tcW w:w="716" w:type="dxa"/>
            <w:tcBorders>
              <w:top w:val="single" w:sz="6" w:space="0" w:color="000000"/>
              <w:left w:val="single" w:sz="6" w:space="0" w:color="000000"/>
              <w:bottom w:val="single" w:sz="6" w:space="0" w:color="000000"/>
              <w:right w:val="single" w:sz="6" w:space="0" w:color="000000"/>
            </w:tcBorders>
          </w:tcPr>
          <w:p w14:paraId="71949F11" w14:textId="77777777" w:rsidR="00B46A62" w:rsidRDefault="00B46A62" w:rsidP="00BD26AC">
            <w:pPr>
              <w:pStyle w:val="naisc"/>
              <w:spacing w:before="0" w:after="0"/>
              <w:rPr>
                <w:sz w:val="20"/>
                <w:szCs w:val="20"/>
              </w:rPr>
            </w:pPr>
          </w:p>
          <w:p w14:paraId="36C0CC31" w14:textId="21F50314" w:rsidR="00B46A62" w:rsidRPr="002E0906" w:rsidRDefault="0012424B" w:rsidP="00BD26AC">
            <w:pPr>
              <w:pStyle w:val="naisc"/>
              <w:spacing w:before="0" w:after="0"/>
              <w:rPr>
                <w:sz w:val="20"/>
                <w:szCs w:val="20"/>
              </w:rPr>
            </w:pPr>
            <w:r>
              <w:rPr>
                <w:sz w:val="20"/>
                <w:szCs w:val="20"/>
              </w:rPr>
              <w:t>2</w:t>
            </w:r>
            <w:r w:rsidR="00B46A62">
              <w:rPr>
                <w:sz w:val="20"/>
                <w:szCs w:val="20"/>
              </w:rPr>
              <w:t>.</w:t>
            </w:r>
          </w:p>
        </w:tc>
        <w:tc>
          <w:tcPr>
            <w:tcW w:w="2403" w:type="dxa"/>
            <w:gridSpan w:val="2"/>
            <w:tcBorders>
              <w:top w:val="single" w:sz="6" w:space="0" w:color="000000"/>
              <w:left w:val="single" w:sz="6" w:space="0" w:color="000000"/>
              <w:bottom w:val="single" w:sz="6" w:space="0" w:color="000000"/>
              <w:right w:val="single" w:sz="6" w:space="0" w:color="000000"/>
            </w:tcBorders>
          </w:tcPr>
          <w:p w14:paraId="03204120" w14:textId="77777777" w:rsidR="00B46A62" w:rsidRPr="00004282" w:rsidRDefault="00B46A62" w:rsidP="00B46A62">
            <w:pPr>
              <w:pStyle w:val="naisc"/>
              <w:rPr>
                <w:b/>
                <w:bCs/>
              </w:rPr>
            </w:pPr>
            <w:r w:rsidRPr="00004282">
              <w:rPr>
                <w:b/>
                <w:bCs/>
              </w:rPr>
              <w:t xml:space="preserve">Atzinums uz </w:t>
            </w:r>
            <w:r>
              <w:rPr>
                <w:b/>
                <w:bCs/>
              </w:rPr>
              <w:t>25</w:t>
            </w:r>
            <w:r w:rsidRPr="00004282">
              <w:rPr>
                <w:b/>
                <w:bCs/>
              </w:rPr>
              <w:t>.11.2020.</w:t>
            </w:r>
          </w:p>
          <w:p w14:paraId="5DFBE4A8" w14:textId="77777777" w:rsidR="00B46A62" w:rsidRDefault="00B46A62" w:rsidP="00B46A62">
            <w:pPr>
              <w:pStyle w:val="naisc"/>
              <w:spacing w:before="0" w:after="0"/>
              <w:ind w:firstLine="720"/>
              <w:jc w:val="left"/>
              <w:rPr>
                <w:b/>
                <w:bCs/>
              </w:rPr>
            </w:pPr>
          </w:p>
          <w:p w14:paraId="1D664EC4" w14:textId="6332434B" w:rsidR="00B46A62" w:rsidRPr="00B46A62" w:rsidRDefault="00E51EE9" w:rsidP="00E51EE9">
            <w:pPr>
              <w:pStyle w:val="naisc"/>
              <w:spacing w:before="0" w:after="0"/>
              <w:rPr>
                <w:b/>
                <w:bCs/>
              </w:rPr>
            </w:pPr>
            <w:r>
              <w:rPr>
                <w:b/>
                <w:bCs/>
              </w:rPr>
              <w:t>-</w:t>
            </w:r>
          </w:p>
        </w:tc>
        <w:tc>
          <w:tcPr>
            <w:tcW w:w="5245" w:type="dxa"/>
            <w:tcBorders>
              <w:top w:val="single" w:sz="6" w:space="0" w:color="000000"/>
              <w:left w:val="single" w:sz="6" w:space="0" w:color="000000"/>
              <w:bottom w:val="single" w:sz="6" w:space="0" w:color="000000"/>
              <w:right w:val="single" w:sz="6" w:space="0" w:color="000000"/>
            </w:tcBorders>
          </w:tcPr>
          <w:p w14:paraId="46AB8E1C" w14:textId="77777777" w:rsidR="00B46A62" w:rsidRPr="00004282" w:rsidRDefault="00B46A62" w:rsidP="00B46A62">
            <w:pPr>
              <w:pStyle w:val="naisc"/>
              <w:spacing w:before="0" w:after="0"/>
              <w:ind w:firstLine="720"/>
              <w:jc w:val="left"/>
              <w:rPr>
                <w:b/>
                <w:bCs/>
              </w:rPr>
            </w:pPr>
            <w:r w:rsidRPr="00004282">
              <w:rPr>
                <w:b/>
                <w:bCs/>
              </w:rPr>
              <w:t>Tieslietu ministrija</w:t>
            </w:r>
          </w:p>
          <w:p w14:paraId="3E77B199" w14:textId="5F8FE7D5" w:rsidR="00B46A62" w:rsidRDefault="00B46A62" w:rsidP="00B46A62">
            <w:pPr>
              <w:pStyle w:val="naisc"/>
              <w:spacing w:before="0" w:after="0"/>
              <w:ind w:firstLine="720"/>
              <w:jc w:val="left"/>
              <w:rPr>
                <w:b/>
                <w:bCs/>
              </w:rPr>
            </w:pPr>
            <w:r>
              <w:rPr>
                <w:b/>
                <w:bCs/>
              </w:rPr>
              <w:t xml:space="preserve">   </w:t>
            </w:r>
            <w:r w:rsidRPr="00004282">
              <w:rPr>
                <w:b/>
                <w:bCs/>
              </w:rPr>
              <w:t>(iebildumi)</w:t>
            </w:r>
          </w:p>
          <w:p w14:paraId="3AFDE858" w14:textId="77777777" w:rsidR="00B46A62" w:rsidRDefault="00B46A62" w:rsidP="00BD26AC">
            <w:pPr>
              <w:pStyle w:val="naisc"/>
              <w:spacing w:before="0" w:after="0"/>
              <w:ind w:firstLine="720"/>
              <w:rPr>
                <w:sz w:val="20"/>
                <w:szCs w:val="20"/>
              </w:rPr>
            </w:pPr>
          </w:p>
          <w:p w14:paraId="78E87C4F" w14:textId="39C758DA" w:rsidR="00B46A62" w:rsidRPr="002E0906" w:rsidRDefault="00B46A62" w:rsidP="00E3097C">
            <w:pPr>
              <w:pStyle w:val="naisc"/>
              <w:spacing w:before="0" w:after="0"/>
              <w:jc w:val="both"/>
              <w:rPr>
                <w:sz w:val="20"/>
                <w:szCs w:val="20"/>
              </w:rPr>
            </w:pPr>
            <w:r w:rsidRPr="000143C1">
              <w:t>Lūdzam precizēt likumprojekta Nr. </w:t>
            </w:r>
            <w:r>
              <w:t>5</w:t>
            </w:r>
            <w:r w:rsidRPr="000143C1">
              <w:t xml:space="preserve"> anotācijas IV sadaļas 1. punktu, papildinot to ar konkrētu skaidrojumu par </w:t>
            </w:r>
            <w:r>
              <w:t xml:space="preserve">šajā punktā minēto </w:t>
            </w:r>
            <w:r w:rsidRPr="000143C1">
              <w:t xml:space="preserve">plānoto grozījumu būtību un nepieciešamību. Norādām, ka 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w:t>
            </w:r>
            <w:r w:rsidRPr="00F81A04">
              <w:rPr>
                <w:u w:val="single"/>
              </w:rPr>
              <w:t>kā arī skaidro šādu izmaiņu nepieciešamību</w:t>
            </w:r>
          </w:p>
        </w:tc>
        <w:tc>
          <w:tcPr>
            <w:tcW w:w="3118" w:type="dxa"/>
            <w:gridSpan w:val="2"/>
            <w:tcBorders>
              <w:top w:val="single" w:sz="6" w:space="0" w:color="000000"/>
              <w:left w:val="single" w:sz="6" w:space="0" w:color="000000"/>
              <w:bottom w:val="single" w:sz="6" w:space="0" w:color="000000"/>
              <w:right w:val="single" w:sz="6" w:space="0" w:color="000000"/>
            </w:tcBorders>
          </w:tcPr>
          <w:p w14:paraId="67ECCFCF" w14:textId="032C4437" w:rsidR="00B46A62" w:rsidRDefault="00B46A62" w:rsidP="00BD26AC">
            <w:pPr>
              <w:pStyle w:val="naisc"/>
              <w:spacing w:before="0" w:after="0"/>
              <w:ind w:firstLine="720"/>
              <w:rPr>
                <w:b/>
                <w:bCs/>
              </w:rPr>
            </w:pPr>
            <w:r w:rsidRPr="00004282">
              <w:rPr>
                <w:b/>
                <w:bCs/>
              </w:rPr>
              <w:t>Ņemts vērā</w:t>
            </w:r>
          </w:p>
          <w:p w14:paraId="54419559" w14:textId="77777777" w:rsidR="00B46A62" w:rsidRDefault="00B46A62" w:rsidP="00BD26AC">
            <w:pPr>
              <w:pStyle w:val="naisc"/>
              <w:spacing w:before="0" w:after="0"/>
              <w:ind w:firstLine="720"/>
              <w:rPr>
                <w:b/>
                <w:bCs/>
              </w:rPr>
            </w:pPr>
          </w:p>
          <w:p w14:paraId="25A25A1C" w14:textId="77777777" w:rsidR="00E51EE9" w:rsidRDefault="00E51EE9" w:rsidP="00B46A62">
            <w:pPr>
              <w:pStyle w:val="naisc"/>
              <w:spacing w:before="0" w:after="0"/>
              <w:jc w:val="both"/>
            </w:pPr>
          </w:p>
          <w:p w14:paraId="02ED3841" w14:textId="62DF252F" w:rsidR="00B46A62" w:rsidRDefault="00B46A62" w:rsidP="00B46A62">
            <w:pPr>
              <w:pStyle w:val="naisc"/>
              <w:spacing w:before="0" w:after="0"/>
              <w:jc w:val="both"/>
            </w:pPr>
            <w:r>
              <w:t xml:space="preserve">Lūdzu skatīt </w:t>
            </w:r>
            <w:r w:rsidRPr="00C67939">
              <w:t>likumprojekta anotācijas</w:t>
            </w:r>
            <w:r>
              <w:t xml:space="preserve"> </w:t>
            </w:r>
            <w:r w:rsidRPr="00C67939">
              <w:t>IV sadaļas 1. punkt</w:t>
            </w:r>
            <w:r>
              <w:t>ā ietverto papildus  skaidrojumu.</w:t>
            </w:r>
          </w:p>
          <w:p w14:paraId="09F5CB01" w14:textId="070F1031" w:rsidR="00B46A62" w:rsidRPr="002E0906" w:rsidRDefault="00B46A62" w:rsidP="00BD26AC">
            <w:pPr>
              <w:pStyle w:val="naisc"/>
              <w:spacing w:before="0" w:after="0"/>
              <w:ind w:firstLine="720"/>
              <w:rPr>
                <w:sz w:val="20"/>
                <w:szCs w:val="20"/>
              </w:rPr>
            </w:pPr>
          </w:p>
        </w:tc>
        <w:tc>
          <w:tcPr>
            <w:tcW w:w="2951" w:type="dxa"/>
            <w:tcBorders>
              <w:top w:val="single" w:sz="4" w:space="0" w:color="auto"/>
              <w:left w:val="single" w:sz="4" w:space="0" w:color="auto"/>
              <w:bottom w:val="single" w:sz="4" w:space="0" w:color="auto"/>
            </w:tcBorders>
          </w:tcPr>
          <w:p w14:paraId="1C316D6D" w14:textId="6067BC70" w:rsidR="00B46A62" w:rsidRDefault="00B46A62" w:rsidP="00BD26AC">
            <w:pPr>
              <w:jc w:val="center"/>
              <w:rPr>
                <w:b/>
                <w:bCs/>
              </w:rPr>
            </w:pPr>
            <w:r w:rsidRPr="00E3097C">
              <w:rPr>
                <w:b/>
                <w:bCs/>
              </w:rPr>
              <w:t>Anotācijā</w:t>
            </w:r>
          </w:p>
          <w:p w14:paraId="06B4ED7B" w14:textId="77777777" w:rsidR="00E51EE9" w:rsidRPr="00E3097C" w:rsidRDefault="00E51EE9" w:rsidP="00BD26AC">
            <w:pPr>
              <w:jc w:val="center"/>
              <w:rPr>
                <w:b/>
                <w:bCs/>
              </w:rPr>
            </w:pPr>
          </w:p>
          <w:p w14:paraId="37422430" w14:textId="77777777" w:rsidR="00B46A62" w:rsidRDefault="00B46A62" w:rsidP="00BD26AC">
            <w:pPr>
              <w:jc w:val="center"/>
              <w:rPr>
                <w:b/>
                <w:bCs/>
                <w:sz w:val="20"/>
                <w:szCs w:val="20"/>
              </w:rPr>
            </w:pPr>
          </w:p>
          <w:p w14:paraId="019DEB5B" w14:textId="13A2B963" w:rsidR="00B77CC9" w:rsidRPr="00B37BA6" w:rsidRDefault="00B46A62" w:rsidP="00B77CC9">
            <w:pPr>
              <w:jc w:val="both"/>
              <w:rPr>
                <w:iCs/>
              </w:rPr>
            </w:pPr>
            <w:r>
              <w:rPr>
                <w:spacing w:val="-2"/>
              </w:rPr>
              <w:t>"</w:t>
            </w:r>
            <w:r w:rsidR="00B77CC9" w:rsidRPr="00B37BA6">
              <w:rPr>
                <w:spacing w:val="-2"/>
              </w:rPr>
              <w:t>Saistībā ar FKTK pievienošanu Latvijas Bankai ir izstrādāts attiecīgs likumprojekts </w:t>
            </w:r>
            <w:r w:rsidR="00B77CC9" w:rsidRPr="00B37BA6">
              <w:rPr>
                <w:iCs/>
              </w:rPr>
              <w:t>"</w:t>
            </w:r>
            <w:r w:rsidR="00B77CC9" w:rsidRPr="00B37BA6">
              <w:rPr>
                <w:color w:val="000000"/>
                <w:spacing w:val="-2"/>
                <w:shd w:val="clear" w:color="auto" w:fill="FFFFFF"/>
              </w:rPr>
              <w:t>Latvijas Bankas likums</w:t>
            </w:r>
            <w:r w:rsidR="00B77CC9" w:rsidRPr="00B37BA6">
              <w:rPr>
                <w:iCs/>
              </w:rPr>
              <w:t xml:space="preserve">", </w:t>
            </w:r>
            <w:r w:rsidR="00B77CC9" w:rsidRPr="00B37BA6">
              <w:rPr>
                <w:shd w:val="clear" w:color="auto" w:fill="FFFFFF"/>
              </w:rPr>
              <w:t xml:space="preserve">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(4.-22. </w:t>
            </w:r>
            <w:r w:rsidR="00B77CC9" w:rsidRPr="00B37BA6">
              <w:rPr>
                <w:iCs/>
                <w:shd w:val="clear" w:color="auto" w:fill="FFFFFF"/>
              </w:rPr>
              <w:t>punktā uzskaitītie likumprojekti)</w:t>
            </w:r>
            <w:r w:rsidR="00B77CC9" w:rsidRPr="00B37BA6">
              <w:rPr>
                <w:shd w:val="clear" w:color="auto" w:fill="FFFFFF"/>
              </w:rPr>
              <w:t xml:space="preserve">, gan arī tajos likumos, kuros nostiprināta </w:t>
            </w:r>
            <w:r w:rsidR="00B77CC9" w:rsidRPr="00B37BA6">
              <w:rPr>
                <w:shd w:val="clear" w:color="auto" w:fill="FFFFFF"/>
              </w:rPr>
              <w:lastRenderedPageBreak/>
              <w:t xml:space="preserve">Latvijas Bankas struktūra tās pārvalžu līmenī (23.-26. </w:t>
            </w:r>
            <w:r w:rsidR="00B77CC9" w:rsidRPr="00B37BA6">
              <w:rPr>
                <w:iCs/>
                <w:shd w:val="clear" w:color="auto" w:fill="FFFFFF"/>
              </w:rPr>
              <w:t>punktā uzskaitītie likumprojekti)</w:t>
            </w:r>
            <w:r w:rsidR="00B77CC9" w:rsidRPr="00B37BA6">
              <w:rPr>
                <w:shd w:val="clear" w:color="auto" w:fill="FFFFFF"/>
              </w:rPr>
              <w:t xml:space="preserve"> kā arī,</w:t>
            </w:r>
            <w:r w:rsidR="00B77CC9" w:rsidRPr="00B37BA6">
              <w:t xml:space="preserve"> l</w:t>
            </w:r>
            <w:r w:rsidR="00B77CC9" w:rsidRPr="00B37BA6">
              <w:rPr>
                <w:shd w:val="clear" w:color="auto" w:fill="FFFFFF"/>
              </w:rPr>
              <w:t xml:space="preserve">ai nodrošinātu FKTK veiksmīgu pievienošanu Latvijas Bankai,  paredzēti pārejas noteikumi </w:t>
            </w:r>
            <w:r w:rsidR="00B77CC9" w:rsidRPr="00B37BA6">
              <w:rPr>
                <w:iCs/>
                <w:shd w:val="clear" w:color="auto" w:fill="FFFFFF"/>
              </w:rPr>
              <w:t>attiecībā uz FKTK pievienošanu Latvijas Bankai (2. un 3. punktā uzskaitītie likumprojekti)</w:t>
            </w:r>
            <w:r w:rsidR="00B77CC9" w:rsidRPr="00B37BA6">
              <w:rPr>
                <w:shd w:val="clear" w:color="auto" w:fill="FFFFFF"/>
              </w:rPr>
              <w:t>.</w:t>
            </w:r>
            <w:r w:rsidR="00B77CC9" w:rsidRPr="00B37BA6">
              <w:rPr>
                <w:iCs/>
              </w:rPr>
              <w:t xml:space="preserve"> </w:t>
            </w:r>
          </w:p>
          <w:p w14:paraId="225ABCA8" w14:textId="77777777" w:rsidR="00B77CC9" w:rsidRPr="00B37BA6" w:rsidRDefault="00B77CC9" w:rsidP="00B77CC9">
            <w:pPr>
              <w:jc w:val="both"/>
              <w:rPr>
                <w:iCs/>
              </w:rPr>
            </w:pPr>
          </w:p>
          <w:p w14:paraId="753FCB63" w14:textId="0CFAFC03" w:rsidR="00B46A62" w:rsidRDefault="00B77CC9" w:rsidP="00B77CC9">
            <w:pPr>
              <w:jc w:val="both"/>
              <w:rPr>
                <w:spacing w:val="-2"/>
              </w:rPr>
            </w:pPr>
            <w:r w:rsidRPr="00B37BA6">
              <w:rPr>
                <w:spacing w:val="-2"/>
              </w:rPr>
              <w:t>Likumprojekts un pārējie šajā punktā iekļautie likumprojekti vienkopus ir apkopoti un norādīti kā tie ar likumprojektu </w:t>
            </w:r>
            <w:r w:rsidRPr="00B37BA6">
              <w:rPr>
                <w:iCs/>
              </w:rPr>
              <w:t>"</w:t>
            </w:r>
            <w:r w:rsidRPr="00B37BA6">
              <w:rPr>
                <w:color w:val="000000"/>
                <w:spacing w:val="-2"/>
                <w:shd w:val="clear" w:color="auto" w:fill="FFFFFF"/>
              </w:rPr>
              <w:t>Latvijas Bankas likums</w:t>
            </w:r>
            <w:r w:rsidRPr="00B37BA6">
              <w:rPr>
                <w:iCs/>
              </w:rPr>
              <w:t xml:space="preserve">" saistītie normatīvie akti, kuros </w:t>
            </w:r>
            <w:r w:rsidRPr="00B37BA6">
              <w:rPr>
                <w:spacing w:val="-2"/>
              </w:rPr>
              <w:t>nepieciešams veikt attiecīgās izmaiņas</w:t>
            </w:r>
            <w:r>
              <w:rPr>
                <w:spacing w:val="-2"/>
              </w:rPr>
              <w:t>.</w:t>
            </w:r>
            <w:r w:rsidR="00B46A62">
              <w:rPr>
                <w:spacing w:val="-2"/>
              </w:rPr>
              <w:t>"</w:t>
            </w:r>
          </w:p>
          <w:p w14:paraId="431A781B" w14:textId="48FB37E2" w:rsidR="00E51EE9" w:rsidRDefault="00E51EE9" w:rsidP="00E51EE9">
            <w:pPr>
              <w:jc w:val="both"/>
              <w:rPr>
                <w:spacing w:val="-2"/>
              </w:rPr>
            </w:pPr>
          </w:p>
          <w:p w14:paraId="689BB230" w14:textId="77777777" w:rsidR="0012424B" w:rsidRDefault="0012424B" w:rsidP="00E51EE9">
            <w:pPr>
              <w:jc w:val="both"/>
              <w:rPr>
                <w:spacing w:val="-2"/>
              </w:rPr>
            </w:pPr>
          </w:p>
          <w:p w14:paraId="31AD5D40" w14:textId="77777777" w:rsidR="00E51EE9" w:rsidRDefault="00E51EE9" w:rsidP="00E51EE9">
            <w:pPr>
              <w:jc w:val="both"/>
            </w:pPr>
          </w:p>
          <w:p w14:paraId="357992D9" w14:textId="2F3FA24D" w:rsidR="00B46A62" w:rsidRPr="00B46A62" w:rsidRDefault="00B46A62" w:rsidP="00BD26AC">
            <w:pPr>
              <w:jc w:val="center"/>
              <w:rPr>
                <w:b/>
                <w:bCs/>
                <w:sz w:val="20"/>
                <w:szCs w:val="20"/>
              </w:rPr>
            </w:pPr>
          </w:p>
        </w:tc>
      </w:tr>
      <w:tr w:rsidR="00BA076C" w:rsidRPr="002E0906" w14:paraId="74ACEF06" w14:textId="77777777" w:rsidTr="008F3BB0">
        <w:trPr>
          <w:gridBefore w:val="1"/>
          <w:wBefore w:w="108" w:type="dxa"/>
        </w:trPr>
        <w:tc>
          <w:tcPr>
            <w:tcW w:w="716" w:type="dxa"/>
            <w:tcBorders>
              <w:top w:val="single" w:sz="6" w:space="0" w:color="000000"/>
              <w:left w:val="single" w:sz="6" w:space="0" w:color="000000"/>
              <w:bottom w:val="single" w:sz="6" w:space="0" w:color="000000"/>
              <w:right w:val="single" w:sz="6" w:space="0" w:color="000000"/>
            </w:tcBorders>
          </w:tcPr>
          <w:p w14:paraId="31296337" w14:textId="77777777" w:rsidR="00BA076C" w:rsidRDefault="00BA076C" w:rsidP="00BD26AC">
            <w:pPr>
              <w:pStyle w:val="naisc"/>
              <w:spacing w:before="0" w:after="0"/>
              <w:rPr>
                <w:sz w:val="20"/>
                <w:szCs w:val="20"/>
              </w:rPr>
            </w:pPr>
          </w:p>
          <w:p w14:paraId="1BD00D2C" w14:textId="0E32ABF3" w:rsidR="00BA076C" w:rsidRDefault="0012424B" w:rsidP="00BD26AC">
            <w:pPr>
              <w:pStyle w:val="naisc"/>
              <w:spacing w:before="0" w:after="0"/>
              <w:rPr>
                <w:sz w:val="20"/>
                <w:szCs w:val="20"/>
              </w:rPr>
            </w:pPr>
            <w:r>
              <w:rPr>
                <w:sz w:val="20"/>
                <w:szCs w:val="20"/>
              </w:rPr>
              <w:t>3</w:t>
            </w:r>
            <w:r w:rsidR="00B46A62">
              <w:rPr>
                <w:sz w:val="20"/>
                <w:szCs w:val="20"/>
              </w:rPr>
              <w:t xml:space="preserve">. </w:t>
            </w:r>
          </w:p>
          <w:p w14:paraId="179622CF" w14:textId="77777777" w:rsidR="00BA076C" w:rsidRDefault="00BA076C" w:rsidP="00BD26AC">
            <w:pPr>
              <w:pStyle w:val="naisc"/>
              <w:spacing w:before="0" w:after="0"/>
              <w:jc w:val="left"/>
              <w:rPr>
                <w:sz w:val="20"/>
                <w:szCs w:val="20"/>
              </w:rPr>
            </w:pPr>
          </w:p>
          <w:p w14:paraId="75C22029" w14:textId="77777777" w:rsidR="00BA076C" w:rsidRDefault="00BA076C" w:rsidP="00BD26AC">
            <w:pPr>
              <w:pStyle w:val="naisc"/>
              <w:spacing w:before="0" w:after="0"/>
              <w:jc w:val="left"/>
              <w:rPr>
                <w:sz w:val="20"/>
                <w:szCs w:val="20"/>
              </w:rPr>
            </w:pPr>
          </w:p>
          <w:p w14:paraId="3358B13E" w14:textId="77777777" w:rsidR="00BA076C" w:rsidRDefault="00BA076C" w:rsidP="00BD26AC">
            <w:pPr>
              <w:pStyle w:val="naisc"/>
              <w:spacing w:before="0" w:after="0"/>
              <w:jc w:val="left"/>
              <w:rPr>
                <w:sz w:val="20"/>
                <w:szCs w:val="20"/>
              </w:rPr>
            </w:pPr>
          </w:p>
          <w:p w14:paraId="6C94642C" w14:textId="77777777" w:rsidR="00BA076C" w:rsidRDefault="00BA076C" w:rsidP="00BD26AC">
            <w:pPr>
              <w:pStyle w:val="naisc"/>
              <w:spacing w:before="0" w:after="0"/>
              <w:jc w:val="left"/>
              <w:rPr>
                <w:sz w:val="20"/>
                <w:szCs w:val="20"/>
              </w:rPr>
            </w:pPr>
          </w:p>
          <w:p w14:paraId="13D3E539" w14:textId="77777777" w:rsidR="00BA076C" w:rsidRDefault="00BA076C" w:rsidP="00BD26AC">
            <w:pPr>
              <w:pStyle w:val="naisc"/>
              <w:spacing w:before="0" w:after="0"/>
              <w:jc w:val="left"/>
              <w:rPr>
                <w:sz w:val="20"/>
                <w:szCs w:val="20"/>
              </w:rPr>
            </w:pPr>
          </w:p>
          <w:p w14:paraId="430D6B49" w14:textId="77777777" w:rsidR="00BA076C" w:rsidRDefault="00BA076C" w:rsidP="00BD26AC">
            <w:pPr>
              <w:pStyle w:val="naisc"/>
              <w:spacing w:before="0" w:after="0"/>
              <w:jc w:val="left"/>
              <w:rPr>
                <w:sz w:val="20"/>
                <w:szCs w:val="20"/>
              </w:rPr>
            </w:pPr>
          </w:p>
          <w:p w14:paraId="74D9B678" w14:textId="77777777" w:rsidR="00BA076C" w:rsidRDefault="00BA076C" w:rsidP="00BD26AC">
            <w:pPr>
              <w:pStyle w:val="naisc"/>
              <w:spacing w:before="0" w:after="0"/>
              <w:jc w:val="left"/>
              <w:rPr>
                <w:sz w:val="20"/>
                <w:szCs w:val="20"/>
              </w:rPr>
            </w:pPr>
          </w:p>
          <w:p w14:paraId="5F3A0976" w14:textId="77777777" w:rsidR="00BA076C" w:rsidRDefault="00BA076C" w:rsidP="00BD26AC">
            <w:pPr>
              <w:pStyle w:val="naisc"/>
              <w:spacing w:before="0" w:after="0"/>
              <w:jc w:val="left"/>
              <w:rPr>
                <w:sz w:val="20"/>
                <w:szCs w:val="20"/>
              </w:rPr>
            </w:pPr>
          </w:p>
          <w:p w14:paraId="5089D50C" w14:textId="77777777" w:rsidR="00BA076C" w:rsidRDefault="00BA076C" w:rsidP="00BD26AC">
            <w:pPr>
              <w:pStyle w:val="naisc"/>
              <w:spacing w:before="0" w:after="0"/>
              <w:jc w:val="left"/>
              <w:rPr>
                <w:sz w:val="20"/>
                <w:szCs w:val="20"/>
              </w:rPr>
            </w:pPr>
          </w:p>
          <w:p w14:paraId="52BF1DC0" w14:textId="77777777" w:rsidR="00BA076C" w:rsidRDefault="00BA076C" w:rsidP="00BD26AC">
            <w:pPr>
              <w:pStyle w:val="naisc"/>
              <w:spacing w:before="0" w:after="0"/>
              <w:jc w:val="left"/>
              <w:rPr>
                <w:sz w:val="20"/>
                <w:szCs w:val="20"/>
              </w:rPr>
            </w:pPr>
          </w:p>
          <w:p w14:paraId="08E53A47" w14:textId="77777777" w:rsidR="00BA076C" w:rsidRDefault="00BA076C" w:rsidP="00BD26AC">
            <w:pPr>
              <w:pStyle w:val="naisc"/>
              <w:spacing w:before="0" w:after="0"/>
              <w:jc w:val="left"/>
              <w:rPr>
                <w:sz w:val="20"/>
                <w:szCs w:val="20"/>
              </w:rPr>
            </w:pPr>
          </w:p>
          <w:p w14:paraId="5CF95C01" w14:textId="77777777" w:rsidR="00BA076C" w:rsidRDefault="00BA076C" w:rsidP="00BD26AC">
            <w:pPr>
              <w:pStyle w:val="naisc"/>
              <w:spacing w:before="0" w:after="0"/>
              <w:jc w:val="left"/>
              <w:rPr>
                <w:sz w:val="20"/>
                <w:szCs w:val="20"/>
              </w:rPr>
            </w:pPr>
          </w:p>
          <w:p w14:paraId="654B84A1" w14:textId="77777777" w:rsidR="00BA076C" w:rsidRDefault="00BA076C" w:rsidP="00BD26AC">
            <w:pPr>
              <w:pStyle w:val="naisc"/>
              <w:spacing w:before="0" w:after="0"/>
              <w:jc w:val="left"/>
              <w:rPr>
                <w:sz w:val="20"/>
                <w:szCs w:val="20"/>
              </w:rPr>
            </w:pPr>
          </w:p>
          <w:p w14:paraId="1D2BEE68" w14:textId="77777777" w:rsidR="00BA076C" w:rsidRDefault="00BA076C" w:rsidP="00BD26AC">
            <w:pPr>
              <w:pStyle w:val="naisc"/>
              <w:spacing w:before="0" w:after="0"/>
              <w:jc w:val="left"/>
              <w:rPr>
                <w:sz w:val="20"/>
                <w:szCs w:val="20"/>
              </w:rPr>
            </w:pPr>
          </w:p>
          <w:p w14:paraId="3965BE0F" w14:textId="77777777" w:rsidR="00BA076C" w:rsidRDefault="00BA076C" w:rsidP="00BD26AC">
            <w:pPr>
              <w:pStyle w:val="naisc"/>
              <w:spacing w:before="0" w:after="0"/>
              <w:jc w:val="left"/>
              <w:rPr>
                <w:sz w:val="20"/>
                <w:szCs w:val="20"/>
              </w:rPr>
            </w:pPr>
          </w:p>
          <w:p w14:paraId="0F391AB9" w14:textId="77777777" w:rsidR="00BA076C" w:rsidRDefault="00BA076C" w:rsidP="00BD26AC">
            <w:pPr>
              <w:pStyle w:val="naisc"/>
              <w:spacing w:before="0" w:after="0"/>
              <w:jc w:val="left"/>
              <w:rPr>
                <w:sz w:val="20"/>
                <w:szCs w:val="20"/>
              </w:rPr>
            </w:pPr>
          </w:p>
          <w:p w14:paraId="1CC2D372" w14:textId="77777777" w:rsidR="00BA076C" w:rsidRPr="002E0906" w:rsidRDefault="00BA076C" w:rsidP="00BD26AC">
            <w:pPr>
              <w:pStyle w:val="naisc"/>
              <w:spacing w:before="0" w:after="0"/>
              <w:jc w:val="left"/>
              <w:rPr>
                <w:sz w:val="20"/>
                <w:szCs w:val="20"/>
              </w:rPr>
            </w:pPr>
          </w:p>
        </w:tc>
        <w:tc>
          <w:tcPr>
            <w:tcW w:w="2403" w:type="dxa"/>
            <w:gridSpan w:val="2"/>
            <w:tcBorders>
              <w:top w:val="single" w:sz="6" w:space="0" w:color="000000"/>
              <w:left w:val="single" w:sz="6" w:space="0" w:color="000000"/>
              <w:bottom w:val="single" w:sz="6" w:space="0" w:color="000000"/>
              <w:right w:val="single" w:sz="6" w:space="0" w:color="000000"/>
            </w:tcBorders>
          </w:tcPr>
          <w:p w14:paraId="793684A4" w14:textId="77777777" w:rsidR="00BA076C" w:rsidRPr="00004282" w:rsidRDefault="00BA076C" w:rsidP="00BD26AC">
            <w:pPr>
              <w:pStyle w:val="naisc"/>
              <w:rPr>
                <w:b/>
                <w:bCs/>
              </w:rPr>
            </w:pPr>
            <w:r w:rsidRPr="00004282">
              <w:rPr>
                <w:b/>
                <w:bCs/>
              </w:rPr>
              <w:lastRenderedPageBreak/>
              <w:t xml:space="preserve">Atzinums uz </w:t>
            </w:r>
            <w:r>
              <w:rPr>
                <w:b/>
                <w:bCs/>
              </w:rPr>
              <w:t>25</w:t>
            </w:r>
            <w:r w:rsidRPr="00004282">
              <w:rPr>
                <w:b/>
                <w:bCs/>
              </w:rPr>
              <w:t>.11.2020.</w:t>
            </w:r>
          </w:p>
          <w:p w14:paraId="737A4EAD" w14:textId="579C671F" w:rsidR="00BA076C" w:rsidRDefault="00B46A62" w:rsidP="00E51EE9">
            <w:pPr>
              <w:pStyle w:val="naisc"/>
              <w:ind w:firstLine="720"/>
              <w:jc w:val="both"/>
              <w:rPr>
                <w:b/>
                <w:bCs/>
              </w:rPr>
            </w:pPr>
            <w:r>
              <w:rPr>
                <w:b/>
                <w:bCs/>
              </w:rPr>
              <w:t>(par anotāciju)</w:t>
            </w:r>
          </w:p>
          <w:p w14:paraId="262CEF6C" w14:textId="24E9CFF0" w:rsidR="00E51EE9" w:rsidRPr="00E51EE9" w:rsidRDefault="00E51EE9" w:rsidP="00E51EE9">
            <w:pPr>
              <w:pStyle w:val="naisc"/>
              <w:rPr>
                <w:b/>
                <w:bCs/>
              </w:rPr>
            </w:pPr>
            <w:r>
              <w:rPr>
                <w:b/>
                <w:bCs/>
              </w:rPr>
              <w:t>-</w:t>
            </w:r>
          </w:p>
          <w:p w14:paraId="6599D717" w14:textId="38DAEB87" w:rsidR="00BA076C" w:rsidRPr="002E0906" w:rsidRDefault="00BA076C" w:rsidP="00E51EE9">
            <w:pPr>
              <w:pStyle w:val="NoSpacing"/>
              <w:spacing w:line="276" w:lineRule="auto"/>
              <w:jc w:val="both"/>
              <w:rPr>
                <w:sz w:val="20"/>
                <w:szCs w:val="20"/>
              </w:rPr>
            </w:pPr>
            <w:r w:rsidRPr="00124817">
              <w:rPr>
                <w:sz w:val="24"/>
                <w:szCs w:val="24"/>
              </w:rPr>
              <w:t xml:space="preserve"> </w:t>
            </w:r>
          </w:p>
        </w:tc>
        <w:tc>
          <w:tcPr>
            <w:tcW w:w="5245" w:type="dxa"/>
            <w:tcBorders>
              <w:top w:val="single" w:sz="6" w:space="0" w:color="000000"/>
              <w:left w:val="single" w:sz="6" w:space="0" w:color="000000"/>
              <w:bottom w:val="single" w:sz="6" w:space="0" w:color="000000"/>
              <w:right w:val="single" w:sz="6" w:space="0" w:color="000000"/>
            </w:tcBorders>
          </w:tcPr>
          <w:p w14:paraId="59DD701C" w14:textId="77777777" w:rsidR="00BA076C" w:rsidRPr="00004282" w:rsidRDefault="00BA076C" w:rsidP="00B46A62">
            <w:pPr>
              <w:pStyle w:val="naisc"/>
              <w:spacing w:before="0" w:after="0"/>
              <w:ind w:firstLine="720"/>
              <w:jc w:val="left"/>
              <w:rPr>
                <w:b/>
                <w:bCs/>
              </w:rPr>
            </w:pPr>
            <w:r w:rsidRPr="00004282">
              <w:rPr>
                <w:b/>
                <w:bCs/>
              </w:rPr>
              <w:t>Tieslietu ministrija</w:t>
            </w:r>
          </w:p>
          <w:p w14:paraId="1F22CB73" w14:textId="67E60694" w:rsidR="00BA076C" w:rsidRDefault="00B46A62" w:rsidP="00B46A62">
            <w:pPr>
              <w:pStyle w:val="naisc"/>
              <w:spacing w:before="0" w:after="0"/>
              <w:jc w:val="left"/>
              <w:rPr>
                <w:b/>
                <w:bCs/>
              </w:rPr>
            </w:pPr>
            <w:r>
              <w:rPr>
                <w:b/>
                <w:bCs/>
              </w:rPr>
              <w:t xml:space="preserve">               </w:t>
            </w:r>
            <w:r w:rsidR="00BA076C" w:rsidRPr="00004282">
              <w:rPr>
                <w:b/>
                <w:bCs/>
              </w:rPr>
              <w:t>(iebildumi)</w:t>
            </w:r>
          </w:p>
          <w:p w14:paraId="7ECE97B4" w14:textId="023D9894" w:rsidR="00BA076C" w:rsidRDefault="00BA076C" w:rsidP="00BD26AC">
            <w:pPr>
              <w:pStyle w:val="naisc"/>
              <w:spacing w:before="0" w:after="0"/>
              <w:jc w:val="both"/>
            </w:pPr>
          </w:p>
          <w:p w14:paraId="101325AF" w14:textId="73C02E72" w:rsidR="00B46A62" w:rsidRDefault="00B46A62" w:rsidP="00BD26AC">
            <w:pPr>
              <w:pStyle w:val="naisc"/>
              <w:spacing w:before="0" w:after="0"/>
              <w:jc w:val="both"/>
            </w:pPr>
            <w:r w:rsidRPr="000143C1">
              <w:t>Vēršam uzmanību, ka atbilstoši instrukcijas Nr. 19 56. punkta ievaddaļ</w:t>
            </w:r>
            <w:r>
              <w:t>ai</w:t>
            </w:r>
            <w:r w:rsidRPr="000143C1">
              <w:t xml:space="preserve"> anotācijas V sadaļas 1. tabulā ("Tiesību akta projekta atbilstība ES tiesību aktiem") raksturo projekta atbilstības pakāpi ES tiesību </w:t>
            </w:r>
            <w:r w:rsidRPr="000143C1">
              <w:lastRenderedPageBreak/>
              <w:t>aktiem, kas norādīti saskaņā ar šīs instrukcijas 55.1. apakšpunktu. Ņemot vērā, ka likumprojekta Nr. </w:t>
            </w:r>
            <w:r>
              <w:t>5</w:t>
            </w:r>
            <w:r w:rsidRPr="000143C1">
              <w:t xml:space="preserve"> V sadaļas 1. punktā norādīts uz Līguma par Eiropas Savienības darbību 121. pantu un tā 4. protokolu "Par Eiropas Centrālo banku sistēmas un Eiropas Centrālās bankas Statūtiem"</w:t>
            </w:r>
            <w:r>
              <w:t>,</w:t>
            </w:r>
            <w:r w:rsidRPr="000143C1">
              <w:t xml:space="preserve"> un</w:t>
            </w:r>
            <w:r>
              <w:t>,</w:t>
            </w:r>
            <w:r w:rsidRPr="000143C1">
              <w:t xml:space="preserve"> ja nepieciešams ieviest minēto Eiropas Savienības tiesību aktu prasības, lūdzam detalizēti aizpildīt arī likumprojekta Nr. </w:t>
            </w:r>
            <w:r>
              <w:t>5</w:t>
            </w:r>
            <w:r w:rsidRPr="000143C1">
              <w:t xml:space="preserve"> anotācijas V sadaļas 1. tabulu, ievērojot instrukcijas</w:t>
            </w:r>
            <w:r>
              <w:t xml:space="preserve"> Nr. 19</w:t>
            </w:r>
            <w:r w:rsidRPr="000143C1">
              <w:t xml:space="preserve"> 56. punkta apakšpunktos norādīto</w:t>
            </w:r>
            <w:r w:rsidR="00E25DC2">
              <w:t>.</w:t>
            </w:r>
          </w:p>
          <w:p w14:paraId="1B60E569" w14:textId="6F4DA3C4" w:rsidR="00B46A62" w:rsidRDefault="00B46A62" w:rsidP="00BD26AC">
            <w:pPr>
              <w:pStyle w:val="naisc"/>
              <w:spacing w:before="0" w:after="0"/>
              <w:jc w:val="both"/>
            </w:pPr>
          </w:p>
          <w:p w14:paraId="03FEF0AB" w14:textId="56076646" w:rsidR="00BA076C" w:rsidRDefault="00BA076C" w:rsidP="00BD26AC">
            <w:pPr>
              <w:pStyle w:val="naisc"/>
              <w:spacing w:before="0" w:after="0"/>
              <w:jc w:val="both"/>
              <w:rPr>
                <w:u w:val="single"/>
              </w:rPr>
            </w:pPr>
          </w:p>
          <w:p w14:paraId="5AE3EA89" w14:textId="77777777" w:rsidR="00BA076C" w:rsidRPr="0078165E" w:rsidRDefault="00BA076C" w:rsidP="00B46A62">
            <w:pPr>
              <w:ind w:right="12"/>
              <w:jc w:val="both"/>
              <w:rPr>
                <w:b/>
              </w:rPr>
            </w:pPr>
          </w:p>
        </w:tc>
        <w:tc>
          <w:tcPr>
            <w:tcW w:w="3118" w:type="dxa"/>
            <w:gridSpan w:val="2"/>
            <w:tcBorders>
              <w:top w:val="single" w:sz="6" w:space="0" w:color="000000"/>
              <w:left w:val="single" w:sz="6" w:space="0" w:color="000000"/>
              <w:bottom w:val="single" w:sz="6" w:space="0" w:color="000000"/>
              <w:right w:val="single" w:sz="6" w:space="0" w:color="000000"/>
            </w:tcBorders>
          </w:tcPr>
          <w:p w14:paraId="74A9657B" w14:textId="5584F2E7" w:rsidR="00BA076C" w:rsidRDefault="00B46A62" w:rsidP="00BD26AC">
            <w:pPr>
              <w:pStyle w:val="naisc"/>
              <w:spacing w:before="0" w:after="0"/>
              <w:ind w:firstLine="720"/>
              <w:rPr>
                <w:b/>
                <w:bCs/>
              </w:rPr>
            </w:pPr>
            <w:r>
              <w:rPr>
                <w:b/>
                <w:bCs/>
              </w:rPr>
              <w:lastRenderedPageBreak/>
              <w:t>Ņemts vērā</w:t>
            </w:r>
          </w:p>
          <w:p w14:paraId="68675A43" w14:textId="21A0B2D5" w:rsidR="00B46A62" w:rsidRDefault="00B46A62" w:rsidP="00BD26AC">
            <w:pPr>
              <w:pStyle w:val="naisc"/>
              <w:spacing w:before="0" w:after="0"/>
              <w:ind w:firstLine="720"/>
              <w:rPr>
                <w:b/>
                <w:bCs/>
              </w:rPr>
            </w:pPr>
          </w:p>
          <w:p w14:paraId="48692B21" w14:textId="05A8601E" w:rsidR="00B46A62" w:rsidRDefault="00B46A62" w:rsidP="00BD26AC">
            <w:pPr>
              <w:pStyle w:val="naisc"/>
              <w:spacing w:before="0" w:after="0"/>
              <w:ind w:firstLine="720"/>
              <w:rPr>
                <w:b/>
                <w:bCs/>
              </w:rPr>
            </w:pPr>
          </w:p>
          <w:p w14:paraId="5CC5CAF6" w14:textId="09EF1C09" w:rsidR="00B46A62" w:rsidRDefault="00B46A62" w:rsidP="00B46A62">
            <w:pPr>
              <w:pStyle w:val="naisc"/>
              <w:spacing w:before="0" w:after="0"/>
              <w:jc w:val="both"/>
              <w:rPr>
                <w:sz w:val="20"/>
                <w:szCs w:val="20"/>
              </w:rPr>
            </w:pPr>
            <w:r>
              <w:t>Lūdzu skatīt likumprojekta precizēto anotācijas V sadaļas 1. punktu, no kura dzēst</w:t>
            </w:r>
            <w:r w:rsidR="00E51EE9">
              <w:t>a sākotnējā</w:t>
            </w:r>
            <w:r>
              <w:t xml:space="preserve"> norāde</w:t>
            </w:r>
            <w:r w:rsidR="00E51EE9">
              <w:t xml:space="preserve"> un ierakstīts </w:t>
            </w:r>
            <w:r w:rsidR="00E51EE9">
              <w:lastRenderedPageBreak/>
              <w:t>vārds "Nav"</w:t>
            </w:r>
            <w:r>
              <w:t>, ņemot vērā, ka ar likumprojektu netiek pārņemtas vai ieviestas  jaunas ES tiesību normas un  likumprojekts nerada ietekmi uz jau pārņemtajām ES tiesību normām.</w:t>
            </w:r>
          </w:p>
          <w:p w14:paraId="277C0B2F" w14:textId="77777777" w:rsidR="00B46A62" w:rsidRPr="00004282" w:rsidRDefault="00B46A62" w:rsidP="00BD26AC">
            <w:pPr>
              <w:pStyle w:val="naisc"/>
              <w:spacing w:before="0" w:after="0"/>
              <w:ind w:firstLine="720"/>
              <w:rPr>
                <w:b/>
                <w:bCs/>
              </w:rPr>
            </w:pPr>
          </w:p>
          <w:p w14:paraId="21A7061D" w14:textId="77777777" w:rsidR="00BA076C" w:rsidRPr="00004282" w:rsidRDefault="00BA076C" w:rsidP="00BD26AC">
            <w:pPr>
              <w:pStyle w:val="naisc"/>
              <w:spacing w:before="0" w:after="0"/>
              <w:ind w:firstLine="720"/>
            </w:pPr>
          </w:p>
          <w:p w14:paraId="1FA245B4" w14:textId="77777777" w:rsidR="00BA076C" w:rsidRDefault="00BA076C" w:rsidP="00BD26AC">
            <w:pPr>
              <w:pStyle w:val="naisc"/>
              <w:spacing w:before="0" w:after="0"/>
              <w:jc w:val="both"/>
            </w:pPr>
          </w:p>
          <w:p w14:paraId="2F58C297" w14:textId="77777777" w:rsidR="00BA076C" w:rsidRDefault="00BA076C" w:rsidP="00BD26AC">
            <w:pPr>
              <w:pStyle w:val="naisc"/>
              <w:spacing w:before="0" w:after="0"/>
              <w:jc w:val="both"/>
            </w:pPr>
          </w:p>
          <w:p w14:paraId="1880A331" w14:textId="77777777" w:rsidR="00BA076C" w:rsidRDefault="00BA076C" w:rsidP="00BD26AC">
            <w:pPr>
              <w:pStyle w:val="naisc"/>
              <w:spacing w:before="0" w:after="0"/>
              <w:jc w:val="both"/>
            </w:pPr>
          </w:p>
          <w:p w14:paraId="1A013AA3" w14:textId="77777777" w:rsidR="00BA076C" w:rsidRDefault="00BA076C" w:rsidP="00BD26AC">
            <w:pPr>
              <w:pStyle w:val="naisc"/>
              <w:spacing w:before="0" w:after="0"/>
              <w:jc w:val="both"/>
            </w:pPr>
          </w:p>
          <w:p w14:paraId="3C333CA8" w14:textId="77777777" w:rsidR="00BA076C" w:rsidRDefault="00BA076C" w:rsidP="00BD26AC">
            <w:pPr>
              <w:pStyle w:val="naisc"/>
              <w:spacing w:before="0" w:after="0"/>
              <w:jc w:val="both"/>
            </w:pPr>
          </w:p>
          <w:p w14:paraId="2FE75505" w14:textId="77777777" w:rsidR="00BA076C" w:rsidRPr="00DA0801" w:rsidRDefault="00BA076C" w:rsidP="00DD0D41">
            <w:pPr>
              <w:pStyle w:val="naisc"/>
              <w:spacing w:before="0" w:after="0"/>
              <w:jc w:val="both"/>
              <w:rPr>
                <w:b/>
                <w:bCs/>
                <w:sz w:val="20"/>
                <w:szCs w:val="20"/>
              </w:rPr>
            </w:pPr>
          </w:p>
        </w:tc>
        <w:tc>
          <w:tcPr>
            <w:tcW w:w="2951" w:type="dxa"/>
            <w:tcBorders>
              <w:top w:val="single" w:sz="4" w:space="0" w:color="auto"/>
              <w:left w:val="single" w:sz="4" w:space="0" w:color="auto"/>
              <w:bottom w:val="single" w:sz="4" w:space="0" w:color="auto"/>
            </w:tcBorders>
          </w:tcPr>
          <w:p w14:paraId="58B56E71" w14:textId="77777777" w:rsidR="00BA076C" w:rsidRDefault="00BA076C" w:rsidP="00BD26AC">
            <w:pPr>
              <w:jc w:val="center"/>
              <w:rPr>
                <w:b/>
                <w:bCs/>
              </w:rPr>
            </w:pPr>
            <w:r w:rsidRPr="00A02FAD">
              <w:rPr>
                <w:b/>
                <w:bCs/>
              </w:rPr>
              <w:lastRenderedPageBreak/>
              <w:t>Anotācijā</w:t>
            </w:r>
          </w:p>
          <w:p w14:paraId="435AC5C9" w14:textId="77777777" w:rsidR="00BA076C" w:rsidRDefault="00BA076C" w:rsidP="00BD26AC">
            <w:pPr>
              <w:jc w:val="center"/>
              <w:rPr>
                <w:b/>
                <w:bCs/>
              </w:rPr>
            </w:pPr>
          </w:p>
          <w:p w14:paraId="0C62769B" w14:textId="77777777" w:rsidR="00BA076C" w:rsidRDefault="00BA076C" w:rsidP="00BD26AC">
            <w:pPr>
              <w:jc w:val="center"/>
              <w:rPr>
                <w:b/>
                <w:bCs/>
              </w:rPr>
            </w:pPr>
          </w:p>
          <w:p w14:paraId="115C2AFA" w14:textId="35132B2F" w:rsidR="00BA076C" w:rsidRDefault="00E51EE9" w:rsidP="00BD26AC">
            <w:pPr>
              <w:jc w:val="center"/>
            </w:pPr>
            <w:r>
              <w:t>-</w:t>
            </w:r>
          </w:p>
          <w:p w14:paraId="17E96C26" w14:textId="77777777" w:rsidR="00BA076C" w:rsidRDefault="00BA076C" w:rsidP="00BD26AC">
            <w:pPr>
              <w:jc w:val="center"/>
            </w:pPr>
          </w:p>
          <w:p w14:paraId="70E6B18A" w14:textId="77777777" w:rsidR="00BA076C" w:rsidRDefault="00BA076C" w:rsidP="00BD26AC">
            <w:pPr>
              <w:jc w:val="center"/>
            </w:pPr>
          </w:p>
          <w:p w14:paraId="5D35DCC3" w14:textId="77777777" w:rsidR="00BA076C" w:rsidRDefault="00BA076C" w:rsidP="00BD26AC">
            <w:pPr>
              <w:jc w:val="center"/>
            </w:pPr>
          </w:p>
          <w:p w14:paraId="766318C0" w14:textId="77777777" w:rsidR="00BA076C" w:rsidRDefault="00BA076C" w:rsidP="00BD26AC">
            <w:pPr>
              <w:jc w:val="center"/>
            </w:pPr>
          </w:p>
          <w:p w14:paraId="52B97DE0" w14:textId="77777777" w:rsidR="00BA076C" w:rsidRDefault="00BA076C" w:rsidP="00BD26AC">
            <w:pPr>
              <w:jc w:val="center"/>
            </w:pPr>
          </w:p>
          <w:p w14:paraId="2A8A73B4" w14:textId="77777777" w:rsidR="00BA076C" w:rsidRDefault="00BA076C" w:rsidP="00BD26AC">
            <w:pPr>
              <w:jc w:val="center"/>
            </w:pPr>
          </w:p>
          <w:p w14:paraId="1C8580FB" w14:textId="77777777" w:rsidR="00BA076C" w:rsidRDefault="00BA076C" w:rsidP="00BD26AC">
            <w:pPr>
              <w:jc w:val="center"/>
            </w:pPr>
          </w:p>
          <w:p w14:paraId="699530D4" w14:textId="77777777" w:rsidR="00BA076C" w:rsidRDefault="00BA076C" w:rsidP="00BD26AC">
            <w:pPr>
              <w:jc w:val="center"/>
            </w:pPr>
          </w:p>
          <w:p w14:paraId="1B7F2EED" w14:textId="77777777" w:rsidR="00BA076C" w:rsidRDefault="00BA076C" w:rsidP="00BD26AC">
            <w:pPr>
              <w:jc w:val="center"/>
            </w:pPr>
          </w:p>
          <w:p w14:paraId="793801E0" w14:textId="77777777" w:rsidR="00BA076C" w:rsidRPr="00A02FAD" w:rsidRDefault="00BA076C" w:rsidP="00BD26AC">
            <w:pPr>
              <w:jc w:val="center"/>
              <w:rPr>
                <w:b/>
                <w:bCs/>
              </w:rPr>
            </w:pPr>
          </w:p>
        </w:tc>
      </w:tr>
      <w:tr w:rsidR="008F3BB0" w:rsidRPr="008F3BB0" w14:paraId="70F9BED4" w14:textId="77777777" w:rsidTr="008F3BB0">
        <w:tblPrEx>
          <w:tblBorders>
            <w:top w:val="none" w:sz="0" w:space="0" w:color="auto"/>
            <w:left w:val="none" w:sz="0" w:space="0" w:color="auto"/>
            <w:bottom w:val="none" w:sz="0" w:space="0" w:color="auto"/>
            <w:right w:val="none" w:sz="0" w:space="0" w:color="auto"/>
          </w:tblBorders>
        </w:tblPrEx>
        <w:trPr>
          <w:gridAfter w:val="2"/>
          <w:wAfter w:w="5254" w:type="dxa"/>
        </w:trPr>
        <w:tc>
          <w:tcPr>
            <w:tcW w:w="3108" w:type="dxa"/>
            <w:gridSpan w:val="3"/>
          </w:tcPr>
          <w:p w14:paraId="6515FDFC" w14:textId="77777777" w:rsidR="008F3BB0" w:rsidRPr="008F3BB0" w:rsidRDefault="008F3BB0" w:rsidP="008F3BB0">
            <w:pPr>
              <w:rPr>
                <w:sz w:val="20"/>
                <w:szCs w:val="20"/>
              </w:rPr>
            </w:pPr>
          </w:p>
          <w:p w14:paraId="17BD94A0" w14:textId="77777777" w:rsidR="008F3BB0" w:rsidRPr="008F3BB0" w:rsidRDefault="008F3BB0" w:rsidP="008F3BB0">
            <w:pPr>
              <w:rPr>
                <w:sz w:val="20"/>
                <w:szCs w:val="20"/>
              </w:rPr>
            </w:pPr>
            <w:r w:rsidRPr="008F3BB0">
              <w:rPr>
                <w:sz w:val="20"/>
                <w:szCs w:val="20"/>
              </w:rPr>
              <w:t>Atbildīgā amatpersona</w:t>
            </w:r>
          </w:p>
        </w:tc>
        <w:tc>
          <w:tcPr>
            <w:tcW w:w="6179" w:type="dxa"/>
            <w:gridSpan w:val="3"/>
          </w:tcPr>
          <w:p w14:paraId="5EFB7D10" w14:textId="77777777" w:rsidR="008F3BB0" w:rsidRPr="008F3BB0" w:rsidRDefault="008F3BB0" w:rsidP="008F3BB0">
            <w:pPr>
              <w:ind w:firstLine="720"/>
              <w:rPr>
                <w:sz w:val="20"/>
                <w:szCs w:val="20"/>
              </w:rPr>
            </w:pPr>
            <w:r w:rsidRPr="008F3BB0">
              <w:rPr>
                <w:sz w:val="20"/>
                <w:szCs w:val="20"/>
              </w:rPr>
              <w:t>  </w:t>
            </w:r>
          </w:p>
        </w:tc>
      </w:tr>
      <w:tr w:rsidR="008F3BB0" w:rsidRPr="008F3BB0" w14:paraId="3CB77A9F" w14:textId="77777777" w:rsidTr="008F3BB0">
        <w:tblPrEx>
          <w:tblBorders>
            <w:top w:val="none" w:sz="0" w:space="0" w:color="auto"/>
            <w:left w:val="none" w:sz="0" w:space="0" w:color="auto"/>
            <w:bottom w:val="none" w:sz="0" w:space="0" w:color="auto"/>
            <w:right w:val="none" w:sz="0" w:space="0" w:color="auto"/>
          </w:tblBorders>
        </w:tblPrEx>
        <w:trPr>
          <w:gridAfter w:val="2"/>
          <w:wAfter w:w="5254" w:type="dxa"/>
        </w:trPr>
        <w:tc>
          <w:tcPr>
            <w:tcW w:w="3108" w:type="dxa"/>
            <w:gridSpan w:val="3"/>
          </w:tcPr>
          <w:p w14:paraId="381ABA0F" w14:textId="77777777" w:rsidR="008F3BB0" w:rsidRPr="008F3BB0" w:rsidRDefault="008F3BB0" w:rsidP="008F3BB0">
            <w:pPr>
              <w:ind w:firstLine="720"/>
              <w:rPr>
                <w:sz w:val="20"/>
                <w:szCs w:val="20"/>
              </w:rPr>
            </w:pPr>
          </w:p>
        </w:tc>
        <w:tc>
          <w:tcPr>
            <w:tcW w:w="6179" w:type="dxa"/>
            <w:gridSpan w:val="3"/>
            <w:tcBorders>
              <w:top w:val="single" w:sz="6" w:space="0" w:color="000000"/>
            </w:tcBorders>
          </w:tcPr>
          <w:p w14:paraId="7460B2C7" w14:textId="77777777" w:rsidR="008F3BB0" w:rsidRPr="008F3BB0" w:rsidRDefault="008F3BB0" w:rsidP="008F3BB0">
            <w:pPr>
              <w:ind w:firstLine="720"/>
              <w:rPr>
                <w:sz w:val="20"/>
                <w:szCs w:val="20"/>
              </w:rPr>
            </w:pPr>
            <w:r w:rsidRPr="008F3BB0">
              <w:rPr>
                <w:sz w:val="20"/>
                <w:szCs w:val="20"/>
              </w:rPr>
              <w:t>(paraksts)*</w:t>
            </w:r>
          </w:p>
        </w:tc>
      </w:tr>
    </w:tbl>
    <w:p w14:paraId="65E80931" w14:textId="77777777" w:rsidR="008F3BB0" w:rsidRPr="008F3BB0" w:rsidRDefault="008F3BB0" w:rsidP="008F3BB0">
      <w:pPr>
        <w:ind w:firstLine="720"/>
        <w:rPr>
          <w:sz w:val="20"/>
          <w:szCs w:val="20"/>
        </w:rPr>
      </w:pPr>
    </w:p>
    <w:p w14:paraId="11B57811" w14:textId="77777777" w:rsidR="008F3BB0" w:rsidRPr="008F3BB0" w:rsidRDefault="008F3BB0" w:rsidP="008F3BB0">
      <w:pPr>
        <w:ind w:firstLine="720"/>
        <w:rPr>
          <w:sz w:val="20"/>
          <w:szCs w:val="20"/>
        </w:rPr>
      </w:pPr>
      <w:r w:rsidRPr="008F3BB0">
        <w:rPr>
          <w:sz w:val="20"/>
          <w:szCs w:val="20"/>
        </w:rPr>
        <w:t>Piezīme. * Dokumenta rekvizītu "paraksts" neaizpilda, ja elektroniskais dokuments ir sagatavots atbilstoši normatīvajiem aktiem par elektronisko dokumentu noformēšanu.</w:t>
      </w:r>
    </w:p>
    <w:p w14:paraId="79CBE0CA" w14:textId="77777777" w:rsidR="008F3BB0" w:rsidRPr="008F3BB0" w:rsidRDefault="008F3BB0" w:rsidP="008F3BB0">
      <w:pPr>
        <w:rPr>
          <w:sz w:val="20"/>
          <w:szCs w:val="20"/>
        </w:rPr>
      </w:pPr>
    </w:p>
    <w:p w14:paraId="1D7BA391" w14:textId="77777777" w:rsidR="008F3BB0" w:rsidRPr="008F3BB0" w:rsidRDefault="008F3BB0" w:rsidP="008F3BB0">
      <w:pPr>
        <w:rPr>
          <w:sz w:val="20"/>
          <w:szCs w:val="20"/>
        </w:rPr>
      </w:pPr>
      <w:r w:rsidRPr="008F3BB0">
        <w:rPr>
          <w:sz w:val="20"/>
          <w:szCs w:val="20"/>
        </w:rPr>
        <w:t>Liene Jenerte</w:t>
      </w:r>
    </w:p>
    <w:tbl>
      <w:tblPr>
        <w:tblW w:w="0" w:type="auto"/>
        <w:tblLook w:val="00A0" w:firstRow="1" w:lastRow="0" w:firstColumn="1" w:lastColumn="0" w:noHBand="0" w:noVBand="0"/>
      </w:tblPr>
      <w:tblGrid>
        <w:gridCol w:w="8268"/>
      </w:tblGrid>
      <w:tr w:rsidR="008F3BB0" w:rsidRPr="008F3BB0" w14:paraId="1CA6229A" w14:textId="77777777" w:rsidTr="00EB68B7">
        <w:tc>
          <w:tcPr>
            <w:tcW w:w="8268" w:type="dxa"/>
            <w:tcBorders>
              <w:top w:val="single" w:sz="4" w:space="0" w:color="000000"/>
            </w:tcBorders>
          </w:tcPr>
          <w:p w14:paraId="2B3EA0A8" w14:textId="77777777" w:rsidR="008F3BB0" w:rsidRPr="008F3BB0" w:rsidRDefault="008F3BB0" w:rsidP="008F3BB0">
            <w:pPr>
              <w:rPr>
                <w:sz w:val="20"/>
                <w:szCs w:val="20"/>
              </w:rPr>
            </w:pPr>
            <w:r w:rsidRPr="008F3BB0">
              <w:rPr>
                <w:sz w:val="20"/>
                <w:szCs w:val="20"/>
              </w:rPr>
              <w:t>(par projektu atbildīgās amatpersonas vārds un uzvārds)</w:t>
            </w:r>
          </w:p>
        </w:tc>
      </w:tr>
      <w:tr w:rsidR="008F3BB0" w:rsidRPr="008F3BB0" w14:paraId="4CAF2132" w14:textId="77777777" w:rsidTr="00EB68B7">
        <w:tc>
          <w:tcPr>
            <w:tcW w:w="8268" w:type="dxa"/>
            <w:tcBorders>
              <w:bottom w:val="single" w:sz="4" w:space="0" w:color="000000"/>
            </w:tcBorders>
          </w:tcPr>
          <w:p w14:paraId="2C8A320F" w14:textId="77777777" w:rsidR="008F3BB0" w:rsidRPr="008F3BB0" w:rsidRDefault="008F3BB0" w:rsidP="008F3BB0">
            <w:pPr>
              <w:rPr>
                <w:sz w:val="20"/>
                <w:szCs w:val="20"/>
              </w:rPr>
            </w:pPr>
            <w:r w:rsidRPr="008F3BB0">
              <w:rPr>
                <w:sz w:val="20"/>
                <w:szCs w:val="20"/>
              </w:rPr>
              <w:t>Finanšu ministrijas Finanšu tirgus politikas departamenta Kredītiestāžu un maksājumu pakalpojumu politikas nodaļas juriste</w:t>
            </w:r>
          </w:p>
        </w:tc>
      </w:tr>
      <w:tr w:rsidR="008F3BB0" w:rsidRPr="008F3BB0" w14:paraId="172DCFBA" w14:textId="77777777" w:rsidTr="00EB68B7">
        <w:tc>
          <w:tcPr>
            <w:tcW w:w="8268" w:type="dxa"/>
            <w:tcBorders>
              <w:top w:val="single" w:sz="4" w:space="0" w:color="000000"/>
            </w:tcBorders>
          </w:tcPr>
          <w:p w14:paraId="75995A65" w14:textId="77777777" w:rsidR="008F3BB0" w:rsidRPr="008F3BB0" w:rsidRDefault="008F3BB0" w:rsidP="008F3BB0">
            <w:pPr>
              <w:rPr>
                <w:sz w:val="20"/>
                <w:szCs w:val="20"/>
              </w:rPr>
            </w:pPr>
            <w:r w:rsidRPr="008F3BB0">
              <w:rPr>
                <w:sz w:val="20"/>
                <w:szCs w:val="20"/>
              </w:rPr>
              <w:t>(amats)</w:t>
            </w:r>
          </w:p>
        </w:tc>
      </w:tr>
      <w:tr w:rsidR="008F3BB0" w:rsidRPr="008F3BB0" w14:paraId="75E3FAF5" w14:textId="77777777" w:rsidTr="00EB68B7">
        <w:tc>
          <w:tcPr>
            <w:tcW w:w="8268" w:type="dxa"/>
            <w:tcBorders>
              <w:bottom w:val="single" w:sz="4" w:space="0" w:color="000000"/>
            </w:tcBorders>
          </w:tcPr>
          <w:p w14:paraId="5386CFF0" w14:textId="77777777" w:rsidR="008F3BB0" w:rsidRPr="008F3BB0" w:rsidRDefault="008F3BB0" w:rsidP="008F3BB0">
            <w:pPr>
              <w:rPr>
                <w:sz w:val="20"/>
                <w:szCs w:val="20"/>
              </w:rPr>
            </w:pPr>
            <w:r w:rsidRPr="008F3BB0">
              <w:rPr>
                <w:sz w:val="20"/>
                <w:szCs w:val="20"/>
              </w:rPr>
              <w:t>67095502</w:t>
            </w:r>
          </w:p>
        </w:tc>
      </w:tr>
      <w:tr w:rsidR="008F3BB0" w:rsidRPr="008F3BB0" w14:paraId="41C5D4AD" w14:textId="77777777" w:rsidTr="00EB68B7">
        <w:tc>
          <w:tcPr>
            <w:tcW w:w="8268" w:type="dxa"/>
            <w:tcBorders>
              <w:top w:val="single" w:sz="4" w:space="0" w:color="000000"/>
            </w:tcBorders>
          </w:tcPr>
          <w:p w14:paraId="461F81DD" w14:textId="77777777" w:rsidR="008F3BB0" w:rsidRPr="008F3BB0" w:rsidRDefault="008F3BB0" w:rsidP="008F3BB0">
            <w:pPr>
              <w:rPr>
                <w:sz w:val="20"/>
                <w:szCs w:val="20"/>
              </w:rPr>
            </w:pPr>
            <w:r w:rsidRPr="008F3BB0">
              <w:rPr>
                <w:sz w:val="20"/>
                <w:szCs w:val="20"/>
              </w:rPr>
              <w:t>(tālruņa un faksa numurs)</w:t>
            </w:r>
          </w:p>
        </w:tc>
      </w:tr>
      <w:tr w:rsidR="008F3BB0" w:rsidRPr="008F3BB0" w14:paraId="15BB07A8" w14:textId="77777777" w:rsidTr="00EB68B7">
        <w:tc>
          <w:tcPr>
            <w:tcW w:w="8268" w:type="dxa"/>
            <w:tcBorders>
              <w:bottom w:val="single" w:sz="4" w:space="0" w:color="000000"/>
            </w:tcBorders>
          </w:tcPr>
          <w:p w14:paraId="5D7CBF12" w14:textId="77777777" w:rsidR="008F3BB0" w:rsidRPr="008F3BB0" w:rsidRDefault="0016564D" w:rsidP="008F3BB0">
            <w:pPr>
              <w:rPr>
                <w:sz w:val="20"/>
                <w:szCs w:val="20"/>
              </w:rPr>
            </w:pPr>
            <w:hyperlink r:id="rId6" w:history="1">
              <w:r w:rsidR="008F3BB0" w:rsidRPr="008F3BB0">
                <w:rPr>
                  <w:color w:val="0000FF"/>
                  <w:sz w:val="20"/>
                  <w:szCs w:val="20"/>
                  <w:u w:val="single"/>
                </w:rPr>
                <w:t>Liene.Jenerte@fm.gov.lv</w:t>
              </w:r>
            </w:hyperlink>
            <w:r w:rsidR="008F3BB0" w:rsidRPr="008F3BB0">
              <w:rPr>
                <w:sz w:val="20"/>
                <w:szCs w:val="20"/>
              </w:rPr>
              <w:t xml:space="preserve"> </w:t>
            </w:r>
          </w:p>
        </w:tc>
      </w:tr>
      <w:tr w:rsidR="008F3BB0" w:rsidRPr="008F3BB0" w14:paraId="77D2219B" w14:textId="77777777" w:rsidTr="00EB68B7">
        <w:tc>
          <w:tcPr>
            <w:tcW w:w="8268" w:type="dxa"/>
            <w:tcBorders>
              <w:top w:val="single" w:sz="4" w:space="0" w:color="000000"/>
            </w:tcBorders>
          </w:tcPr>
          <w:p w14:paraId="43218402" w14:textId="77777777" w:rsidR="008F3BB0" w:rsidRPr="008F3BB0" w:rsidRDefault="008F3BB0" w:rsidP="008F3BB0">
            <w:pPr>
              <w:rPr>
                <w:sz w:val="20"/>
                <w:szCs w:val="20"/>
              </w:rPr>
            </w:pPr>
            <w:r w:rsidRPr="008F3BB0">
              <w:rPr>
                <w:sz w:val="20"/>
                <w:szCs w:val="20"/>
              </w:rPr>
              <w:t>(e-pasta adrese)</w:t>
            </w:r>
          </w:p>
        </w:tc>
      </w:tr>
    </w:tbl>
    <w:p w14:paraId="7A569896" w14:textId="77777777" w:rsidR="00BA076C" w:rsidRPr="002E0906" w:rsidRDefault="00BA076C" w:rsidP="00BA076C">
      <w:pPr>
        <w:pStyle w:val="naisf"/>
        <w:spacing w:before="0" w:after="0"/>
        <w:ind w:firstLine="0"/>
        <w:jc w:val="left"/>
        <w:rPr>
          <w:sz w:val="28"/>
          <w:szCs w:val="28"/>
        </w:rPr>
      </w:pPr>
    </w:p>
    <w:bookmarkEnd w:id="0"/>
    <w:p w14:paraId="6728AEA5" w14:textId="77777777" w:rsidR="00BA076C" w:rsidRDefault="00BA076C" w:rsidP="00BA076C"/>
    <w:p w14:paraId="047AF072" w14:textId="77777777" w:rsidR="008F3BB0" w:rsidRPr="008F3BB0" w:rsidRDefault="008F3BB0" w:rsidP="008F3BB0">
      <w:pPr>
        <w:rPr>
          <w:rStyle w:val="Hyperlink"/>
          <w:color w:val="auto"/>
          <w:sz w:val="20"/>
          <w:szCs w:val="20"/>
          <w:u w:val="none"/>
        </w:rPr>
      </w:pPr>
      <w:r w:rsidRPr="008F3BB0">
        <w:rPr>
          <w:rStyle w:val="Hyperlink"/>
          <w:color w:val="auto"/>
          <w:sz w:val="20"/>
          <w:szCs w:val="20"/>
          <w:u w:val="none"/>
        </w:rPr>
        <w:t>M. Solovjakovs, 67022345</w:t>
      </w:r>
    </w:p>
    <w:p w14:paraId="7B66ED1F" w14:textId="77777777" w:rsidR="008F3BB0" w:rsidRPr="008F3BB0" w:rsidRDefault="008F3BB0" w:rsidP="008F3BB0">
      <w:r w:rsidRPr="008F3BB0">
        <w:rPr>
          <w:rStyle w:val="Hyperlink"/>
          <w:color w:val="auto"/>
          <w:sz w:val="20"/>
          <w:szCs w:val="20"/>
          <w:u w:val="none"/>
        </w:rPr>
        <w:t>martins.solovjakovs@bank.lv</w:t>
      </w:r>
    </w:p>
    <w:p w14:paraId="65C14521" w14:textId="77777777" w:rsidR="00631755" w:rsidRDefault="00631755"/>
    <w:sectPr w:rsidR="00631755" w:rsidSect="00841FD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58D54" w14:textId="77777777" w:rsidR="00F46AAF" w:rsidRDefault="00F46AAF" w:rsidP="00BA076C">
      <w:r>
        <w:separator/>
      </w:r>
    </w:p>
  </w:endnote>
  <w:endnote w:type="continuationSeparator" w:id="0">
    <w:p w14:paraId="7FCB2887" w14:textId="77777777" w:rsidR="00F46AAF" w:rsidRDefault="00F46AAF" w:rsidP="00BA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7EF4" w14:textId="77777777" w:rsidR="0016564D" w:rsidRDefault="00165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829C" w14:textId="2FEABEF6" w:rsidR="00561D3C" w:rsidRPr="0070531F" w:rsidRDefault="00BA076C" w:rsidP="0070531F">
    <w:pPr>
      <w:pStyle w:val="Footer"/>
      <w:rPr>
        <w:sz w:val="20"/>
        <w:szCs w:val="20"/>
      </w:rPr>
    </w:pPr>
    <w:r w:rsidRPr="0070531F">
      <w:rPr>
        <w:sz w:val="20"/>
        <w:szCs w:val="20"/>
      </w:rPr>
      <w:t>FMizz_</w:t>
    </w:r>
    <w:r w:rsidR="0016564D">
      <w:rPr>
        <w:sz w:val="20"/>
        <w:szCs w:val="20"/>
      </w:rPr>
      <w:t>110221</w:t>
    </w:r>
    <w:r w:rsidR="00CC625E" w:rsidRPr="00CC625E">
      <w:rPr>
        <w:sz w:val="20"/>
        <w:szCs w:val="20"/>
      </w:rPr>
      <w:t>_UIN_</w:t>
    </w:r>
    <w:r w:rsidR="008F3BB0">
      <w:rPr>
        <w:sz w:val="20"/>
        <w:szCs w:val="20"/>
      </w:rPr>
      <w:t>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37F8" w14:textId="0837FAF3" w:rsidR="006455E7" w:rsidRPr="00015C84" w:rsidRDefault="00E51EE9" w:rsidP="00364BB6">
    <w:pPr>
      <w:pStyle w:val="Footer"/>
      <w:rPr>
        <w:sz w:val="20"/>
        <w:szCs w:val="20"/>
      </w:rPr>
    </w:pPr>
    <w:r w:rsidRPr="0070531F">
      <w:rPr>
        <w:sz w:val="20"/>
        <w:szCs w:val="20"/>
      </w:rPr>
      <w:t>FM</w:t>
    </w:r>
    <w:r w:rsidR="008F3BB0">
      <w:rPr>
        <w:sz w:val="20"/>
        <w:szCs w:val="20"/>
      </w:rPr>
      <w:t>I</w:t>
    </w:r>
    <w:r w:rsidRPr="0070531F">
      <w:rPr>
        <w:sz w:val="20"/>
        <w:szCs w:val="20"/>
      </w:rPr>
      <w:t>zz_</w:t>
    </w:r>
    <w:r w:rsidR="0016564D">
      <w:rPr>
        <w:sz w:val="20"/>
        <w:szCs w:val="20"/>
      </w:rPr>
      <w:t>110221</w:t>
    </w:r>
    <w:r w:rsidRPr="0070531F">
      <w:rPr>
        <w:sz w:val="20"/>
        <w:szCs w:val="20"/>
      </w:rPr>
      <w:t>_</w:t>
    </w:r>
    <w:r w:rsidR="00CC625E" w:rsidRPr="00CC625E">
      <w:rPr>
        <w:sz w:val="20"/>
        <w:szCs w:val="20"/>
      </w:rPr>
      <w:t>UIN_</w:t>
    </w:r>
    <w:r w:rsidR="008F3BB0">
      <w:rPr>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FD3F" w14:textId="77777777" w:rsidR="00F46AAF" w:rsidRDefault="00F46AAF" w:rsidP="00BA076C">
      <w:r>
        <w:separator/>
      </w:r>
    </w:p>
  </w:footnote>
  <w:footnote w:type="continuationSeparator" w:id="0">
    <w:p w14:paraId="533B4BD8" w14:textId="77777777" w:rsidR="00F46AAF" w:rsidRDefault="00F46AAF" w:rsidP="00BA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EF66" w14:textId="77777777" w:rsidR="006455E7" w:rsidRDefault="00F46AA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CCE67" w14:textId="77777777" w:rsidR="006455E7" w:rsidRDefault="0016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B24C" w14:textId="77777777" w:rsidR="006455E7" w:rsidRDefault="00F46AA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4ED638" w14:textId="77777777" w:rsidR="006455E7" w:rsidRDefault="00165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F3A9" w14:textId="77777777" w:rsidR="0016564D" w:rsidRDefault="00165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6C"/>
    <w:rsid w:val="0012424B"/>
    <w:rsid w:val="00124817"/>
    <w:rsid w:val="0016564D"/>
    <w:rsid w:val="003037E5"/>
    <w:rsid w:val="00592B64"/>
    <w:rsid w:val="006058BE"/>
    <w:rsid w:val="00631755"/>
    <w:rsid w:val="00654DA1"/>
    <w:rsid w:val="008F3BB0"/>
    <w:rsid w:val="00966DB8"/>
    <w:rsid w:val="00A21C76"/>
    <w:rsid w:val="00B37BA6"/>
    <w:rsid w:val="00B46A62"/>
    <w:rsid w:val="00B77CC9"/>
    <w:rsid w:val="00BA076C"/>
    <w:rsid w:val="00CC625E"/>
    <w:rsid w:val="00D33038"/>
    <w:rsid w:val="00DD0D41"/>
    <w:rsid w:val="00E25DC2"/>
    <w:rsid w:val="00E3097C"/>
    <w:rsid w:val="00E51EE9"/>
    <w:rsid w:val="00F46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10C5"/>
  <w15:chartTrackingRefBased/>
  <w15:docId w15:val="{B4DE3F4C-2549-4BE4-8E50-8DF964D1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6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076C"/>
    <w:pPr>
      <w:spacing w:before="100" w:beforeAutospacing="1" w:after="100" w:afterAutospacing="1"/>
    </w:pPr>
  </w:style>
  <w:style w:type="paragraph" w:customStyle="1" w:styleId="naisf">
    <w:name w:val="naisf"/>
    <w:basedOn w:val="Normal"/>
    <w:rsid w:val="00BA076C"/>
    <w:pPr>
      <w:spacing w:before="75" w:after="75"/>
      <w:ind w:firstLine="375"/>
      <w:jc w:val="both"/>
    </w:pPr>
  </w:style>
  <w:style w:type="paragraph" w:customStyle="1" w:styleId="naisnod">
    <w:name w:val="naisnod"/>
    <w:basedOn w:val="Normal"/>
    <w:uiPriority w:val="99"/>
    <w:rsid w:val="00BA076C"/>
    <w:pPr>
      <w:spacing w:before="150" w:after="150"/>
      <w:jc w:val="center"/>
    </w:pPr>
    <w:rPr>
      <w:b/>
      <w:bCs/>
    </w:rPr>
  </w:style>
  <w:style w:type="paragraph" w:customStyle="1" w:styleId="naiskr">
    <w:name w:val="naiskr"/>
    <w:basedOn w:val="Normal"/>
    <w:rsid w:val="00BA076C"/>
    <w:pPr>
      <w:spacing w:before="75" w:after="75"/>
    </w:pPr>
  </w:style>
  <w:style w:type="paragraph" w:customStyle="1" w:styleId="naisc">
    <w:name w:val="naisc"/>
    <w:basedOn w:val="Normal"/>
    <w:rsid w:val="00BA076C"/>
    <w:pPr>
      <w:spacing w:before="75" w:after="75"/>
      <w:jc w:val="center"/>
    </w:pPr>
  </w:style>
  <w:style w:type="paragraph" w:styleId="Header">
    <w:name w:val="header"/>
    <w:basedOn w:val="Normal"/>
    <w:link w:val="HeaderChar"/>
    <w:uiPriority w:val="99"/>
    <w:rsid w:val="00BA076C"/>
    <w:pPr>
      <w:tabs>
        <w:tab w:val="center" w:pos="4153"/>
        <w:tab w:val="right" w:pos="8306"/>
      </w:tabs>
    </w:pPr>
  </w:style>
  <w:style w:type="character" w:customStyle="1" w:styleId="HeaderChar">
    <w:name w:val="Header Char"/>
    <w:basedOn w:val="DefaultParagraphFont"/>
    <w:link w:val="Header"/>
    <w:uiPriority w:val="99"/>
    <w:rsid w:val="00BA076C"/>
    <w:rPr>
      <w:rFonts w:ascii="Times New Roman" w:eastAsia="Times New Roman" w:hAnsi="Times New Roman" w:cs="Times New Roman"/>
      <w:sz w:val="24"/>
      <w:szCs w:val="24"/>
      <w:lang w:eastAsia="lv-LV"/>
    </w:rPr>
  </w:style>
  <w:style w:type="character" w:styleId="PageNumber">
    <w:name w:val="page number"/>
    <w:uiPriority w:val="99"/>
    <w:rsid w:val="00BA076C"/>
    <w:rPr>
      <w:rFonts w:cs="Times New Roman"/>
    </w:rPr>
  </w:style>
  <w:style w:type="paragraph" w:styleId="Footer">
    <w:name w:val="footer"/>
    <w:basedOn w:val="Normal"/>
    <w:link w:val="FooterChar"/>
    <w:uiPriority w:val="99"/>
    <w:rsid w:val="00BA076C"/>
    <w:pPr>
      <w:tabs>
        <w:tab w:val="center" w:pos="4153"/>
        <w:tab w:val="right" w:pos="8306"/>
      </w:tabs>
    </w:pPr>
  </w:style>
  <w:style w:type="character" w:customStyle="1" w:styleId="FooterChar">
    <w:name w:val="Footer Char"/>
    <w:basedOn w:val="DefaultParagraphFont"/>
    <w:link w:val="Footer"/>
    <w:uiPriority w:val="99"/>
    <w:rsid w:val="00BA076C"/>
    <w:rPr>
      <w:rFonts w:ascii="Times New Roman" w:eastAsia="Times New Roman" w:hAnsi="Times New Roman" w:cs="Times New Roman"/>
      <w:sz w:val="24"/>
      <w:szCs w:val="24"/>
      <w:lang w:eastAsia="lv-LV"/>
    </w:rPr>
  </w:style>
  <w:style w:type="paragraph" w:styleId="NoSpacing">
    <w:name w:val="No Spacing"/>
    <w:uiPriority w:val="1"/>
    <w:qFormat/>
    <w:rsid w:val="00BA076C"/>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46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62"/>
    <w:rPr>
      <w:rFonts w:ascii="Segoe UI" w:eastAsia="Times New Roman" w:hAnsi="Segoe UI" w:cs="Segoe UI"/>
      <w:sz w:val="18"/>
      <w:szCs w:val="18"/>
      <w:lang w:eastAsia="lv-LV"/>
    </w:rPr>
  </w:style>
  <w:style w:type="character" w:styleId="Hyperlink">
    <w:name w:val="Hyperlink"/>
    <w:basedOn w:val="DefaultParagraphFont"/>
    <w:uiPriority w:val="99"/>
    <w:unhideWhenUsed/>
    <w:rsid w:val="008F3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e.Jenerte@f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4559</Words>
  <Characters>2599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Izziņa par atzinumos sniegtajiem iebildumiem par likumprojektu "Grozījumi Uzņēmumu ienākuma nodokļu likumā"</vt:lpstr>
    </vt:vector>
  </TitlesOfParts>
  <Company>Latvijas Banka</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Uzņēmumu ienākuma nodokļu likumā"</dc:title>
  <dc:subject>Izziņa</dc:subject>
  <dc:creator>Mārtiņš Solovjakovs</dc:creator>
  <cp:keywords/>
  <dc:description>Solovjakovs, 67022345_x000d_
martins.solovjakovs@bank.lv</dc:description>
  <cp:lastModifiedBy>Liene Jenerte</cp:lastModifiedBy>
  <cp:revision>2</cp:revision>
  <dcterms:created xsi:type="dcterms:W3CDTF">2021-02-11T14:41:00Z</dcterms:created>
  <dcterms:modified xsi:type="dcterms:W3CDTF">2021-02-11T14:41:00Z</dcterms:modified>
</cp:coreProperties>
</file>