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D8B2" w14:textId="22CBEF80" w:rsidR="00DD6CA4" w:rsidRPr="001E7DB5" w:rsidRDefault="00DD6CA4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Pr="001E7DB5">
        <w:rPr>
          <w:sz w:val="28"/>
          <w:szCs w:val="28"/>
        </w:rPr>
        <w:t>ielikums</w:t>
      </w:r>
      <w:r w:rsidRPr="001E7DB5">
        <w:rPr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 xml:space="preserve">Ministru kabineta </w:t>
      </w:r>
    </w:p>
    <w:p w14:paraId="6D61DA4F" w14:textId="051939EE" w:rsidR="00DD6CA4" w:rsidRPr="001E7DB5" w:rsidRDefault="00DD6CA4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B36D84">
        <w:rPr>
          <w:sz w:val="28"/>
          <w:szCs w:val="28"/>
        </w:rPr>
        <w:t>25. mart</w:t>
      </w:r>
      <w:r w:rsidR="00B36D84">
        <w:rPr>
          <w:sz w:val="28"/>
          <w:szCs w:val="28"/>
        </w:rPr>
        <w:t>a</w:t>
      </w:r>
    </w:p>
    <w:p w14:paraId="5E010AFF" w14:textId="4928777B" w:rsidR="00DD6CA4" w:rsidRPr="001E7DB5" w:rsidRDefault="00DD6CA4" w:rsidP="000A311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rīkojumam</w:t>
      </w:r>
      <w:r w:rsidRPr="001E7DB5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B36D84">
        <w:rPr>
          <w:sz w:val="28"/>
          <w:szCs w:val="28"/>
        </w:rPr>
        <w:t>207</w:t>
      </w:r>
    </w:p>
    <w:p w14:paraId="1606918C" w14:textId="64AF11B7" w:rsidR="00A168CC" w:rsidRDefault="00A168CC" w:rsidP="0075782C">
      <w:pPr>
        <w:jc w:val="center"/>
        <w:rPr>
          <w:b/>
          <w:iCs/>
          <w:sz w:val="28"/>
          <w:szCs w:val="28"/>
        </w:rPr>
      </w:pPr>
    </w:p>
    <w:p w14:paraId="2B4788C1" w14:textId="77777777" w:rsidR="00DA0BE2" w:rsidRPr="00B733E9" w:rsidRDefault="00DA0BE2" w:rsidP="0075782C">
      <w:pPr>
        <w:jc w:val="center"/>
        <w:rPr>
          <w:b/>
          <w:iCs/>
          <w:sz w:val="28"/>
          <w:szCs w:val="28"/>
        </w:rPr>
      </w:pPr>
    </w:p>
    <w:p w14:paraId="1606918D" w14:textId="436B9144" w:rsidR="0075782C" w:rsidRPr="00B733E9" w:rsidRDefault="0075782C" w:rsidP="0075782C">
      <w:pPr>
        <w:jc w:val="center"/>
        <w:rPr>
          <w:b/>
          <w:sz w:val="28"/>
          <w:szCs w:val="28"/>
        </w:rPr>
      </w:pPr>
      <w:r w:rsidRPr="00B733E9">
        <w:rPr>
          <w:b/>
          <w:iCs/>
          <w:sz w:val="28"/>
          <w:szCs w:val="28"/>
        </w:rPr>
        <w:t>Likumprojekta</w:t>
      </w:r>
      <w:r w:rsidRPr="00B733E9">
        <w:rPr>
          <w:b/>
          <w:bCs/>
          <w:sz w:val="28"/>
          <w:szCs w:val="28"/>
        </w:rPr>
        <w:t xml:space="preserve"> </w:t>
      </w:r>
      <w:r w:rsidR="00DD6CA4">
        <w:rPr>
          <w:b/>
          <w:bCs/>
          <w:sz w:val="28"/>
          <w:szCs w:val="28"/>
        </w:rPr>
        <w:t>"</w:t>
      </w:r>
      <w:r w:rsidRPr="00B733E9">
        <w:rPr>
          <w:b/>
          <w:bCs/>
          <w:sz w:val="28"/>
          <w:szCs w:val="28"/>
        </w:rPr>
        <w:t>Par v</w:t>
      </w:r>
      <w:r w:rsidRPr="00B733E9">
        <w:rPr>
          <w:b/>
          <w:iCs/>
          <w:sz w:val="28"/>
          <w:szCs w:val="28"/>
        </w:rPr>
        <w:t>idēja termiņa budžeta ietvaru 202</w:t>
      </w:r>
      <w:r w:rsidR="00E54066" w:rsidRPr="00B733E9">
        <w:rPr>
          <w:b/>
          <w:iCs/>
          <w:sz w:val="28"/>
          <w:szCs w:val="28"/>
        </w:rPr>
        <w:t>2</w:t>
      </w:r>
      <w:r w:rsidRPr="00B733E9">
        <w:rPr>
          <w:b/>
          <w:iCs/>
          <w:sz w:val="28"/>
          <w:szCs w:val="28"/>
        </w:rPr>
        <w:t>., 202</w:t>
      </w:r>
      <w:r w:rsidR="00E54066" w:rsidRPr="00B733E9">
        <w:rPr>
          <w:b/>
          <w:iCs/>
          <w:sz w:val="28"/>
          <w:szCs w:val="28"/>
        </w:rPr>
        <w:t>3</w:t>
      </w:r>
      <w:r w:rsidRPr="00B733E9">
        <w:rPr>
          <w:b/>
          <w:iCs/>
          <w:sz w:val="28"/>
          <w:szCs w:val="28"/>
        </w:rPr>
        <w:t>. un 202</w:t>
      </w:r>
      <w:r w:rsidR="00E54066" w:rsidRPr="00B733E9">
        <w:rPr>
          <w:b/>
          <w:iCs/>
          <w:sz w:val="28"/>
          <w:szCs w:val="28"/>
        </w:rPr>
        <w:t>4</w:t>
      </w:r>
      <w:r w:rsidRPr="00B733E9">
        <w:rPr>
          <w:b/>
          <w:iCs/>
          <w:sz w:val="28"/>
          <w:szCs w:val="28"/>
        </w:rPr>
        <w:t>. gadam</w:t>
      </w:r>
      <w:r w:rsidR="00DD6CA4">
        <w:rPr>
          <w:b/>
          <w:bCs/>
          <w:sz w:val="28"/>
          <w:szCs w:val="28"/>
        </w:rPr>
        <w:t>"</w:t>
      </w:r>
      <w:r w:rsidRPr="00B733E9">
        <w:rPr>
          <w:b/>
          <w:bCs/>
          <w:sz w:val="28"/>
          <w:szCs w:val="28"/>
        </w:rPr>
        <w:t xml:space="preserve"> </w:t>
      </w:r>
      <w:r w:rsidRPr="00B733E9">
        <w:rPr>
          <w:b/>
          <w:iCs/>
          <w:sz w:val="28"/>
          <w:szCs w:val="28"/>
        </w:rPr>
        <w:t>un likumprojekt</w:t>
      </w:r>
      <w:r w:rsidRPr="00B733E9">
        <w:rPr>
          <w:b/>
          <w:bCs/>
          <w:sz w:val="28"/>
          <w:szCs w:val="28"/>
        </w:rPr>
        <w:t xml:space="preserve">a </w:t>
      </w:r>
      <w:r w:rsidR="00DD6CA4">
        <w:rPr>
          <w:b/>
          <w:bCs/>
          <w:sz w:val="28"/>
          <w:szCs w:val="28"/>
        </w:rPr>
        <w:t>"</w:t>
      </w:r>
      <w:r w:rsidRPr="00B733E9">
        <w:rPr>
          <w:b/>
          <w:bCs/>
          <w:sz w:val="28"/>
          <w:szCs w:val="28"/>
        </w:rPr>
        <w:t>Par valsts budžetu 202</w:t>
      </w:r>
      <w:r w:rsidR="00E54066" w:rsidRPr="00B733E9">
        <w:rPr>
          <w:b/>
          <w:bCs/>
          <w:sz w:val="28"/>
          <w:szCs w:val="28"/>
        </w:rPr>
        <w:t>2</w:t>
      </w:r>
      <w:r w:rsidRPr="00B733E9">
        <w:rPr>
          <w:b/>
          <w:bCs/>
          <w:sz w:val="28"/>
          <w:szCs w:val="28"/>
        </w:rPr>
        <w:t>. gadam</w:t>
      </w:r>
      <w:r w:rsidR="00DD6CA4">
        <w:rPr>
          <w:b/>
          <w:bCs/>
          <w:sz w:val="28"/>
          <w:szCs w:val="28"/>
        </w:rPr>
        <w:t>"</w:t>
      </w:r>
      <w:r w:rsidRPr="00B733E9">
        <w:rPr>
          <w:b/>
          <w:sz w:val="28"/>
          <w:szCs w:val="28"/>
        </w:rPr>
        <w:t xml:space="preserve"> sagatavošanas grafiks </w:t>
      </w:r>
    </w:p>
    <w:p w14:paraId="1606918E" w14:textId="77777777" w:rsidR="00ED6035" w:rsidRPr="00B733E9" w:rsidRDefault="00ED6035" w:rsidP="0075782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984"/>
        <w:gridCol w:w="1985"/>
      </w:tblGrid>
      <w:tr w:rsidR="008E64CD" w:rsidRPr="00B733E9" w14:paraId="16069197" w14:textId="77777777" w:rsidTr="00DD6CA4">
        <w:trPr>
          <w:trHeight w:val="586"/>
        </w:trPr>
        <w:tc>
          <w:tcPr>
            <w:tcW w:w="993" w:type="dxa"/>
            <w:shd w:val="clear" w:color="auto" w:fill="auto"/>
            <w:vAlign w:val="center"/>
          </w:tcPr>
          <w:p w14:paraId="16069190" w14:textId="77777777" w:rsidR="00A168CC" w:rsidRPr="00B733E9" w:rsidRDefault="00A168CC" w:rsidP="00DD6CA4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Nr.</w:t>
            </w:r>
            <w:r w:rsidRPr="00B733E9">
              <w:rPr>
                <w:sz w:val="28"/>
                <w:szCs w:val="28"/>
              </w:rPr>
              <w:br/>
              <w:t>p. k.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069192" w14:textId="77777777" w:rsidR="00A168CC" w:rsidRPr="00B733E9" w:rsidRDefault="00A168CC" w:rsidP="00DD6CA4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Pasākums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69193" w14:textId="77777777" w:rsidR="00A168CC" w:rsidRPr="00B733E9" w:rsidRDefault="00A168CC" w:rsidP="00DD6CA4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Izpildītāji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69196" w14:textId="10B0C88E" w:rsidR="00A168CC" w:rsidRPr="00DD6CA4" w:rsidRDefault="00A168CC" w:rsidP="00DD6CA4">
            <w:pPr>
              <w:jc w:val="center"/>
              <w:rPr>
                <w:bCs/>
                <w:sz w:val="28"/>
                <w:szCs w:val="28"/>
              </w:rPr>
            </w:pPr>
            <w:r w:rsidRPr="00B733E9">
              <w:rPr>
                <w:bCs/>
                <w:sz w:val="28"/>
                <w:szCs w:val="28"/>
              </w:rPr>
              <w:t>Termiņš</w:t>
            </w:r>
          </w:p>
        </w:tc>
      </w:tr>
      <w:tr w:rsidR="008E64CD" w:rsidRPr="00B733E9" w14:paraId="1606919E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98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99" w14:textId="77777777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Latvijas Stabilitātes programmas 2021.–2024. gadam apstiprināšana Ministru kabinetā (makroekonomisko rādītāju prognozes, vidēja termiņa vispārējās valdības budžeta mērķi un fiskālās politikas prioritātes)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9A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9B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9C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13. aprīlis</w:t>
            </w:r>
          </w:p>
          <w:p w14:paraId="1606919D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</w:p>
        </w:tc>
      </w:tr>
      <w:tr w:rsidR="008E64CD" w:rsidRPr="00B733E9" w14:paraId="160691A5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9F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0" w14:textId="77777777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Latvijas Stabilitātes programmas 2021.–2024. gadam iesniegšana Eiropas Komisijai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1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2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A3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15. aprīlis</w:t>
            </w:r>
          </w:p>
          <w:p w14:paraId="160691A4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</w:p>
        </w:tc>
      </w:tr>
      <w:tr w:rsidR="008E64CD" w:rsidRPr="00B733E9" w14:paraId="160691AC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6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7" w14:textId="77777777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Fiskālo risku vadības ziņojuma iesniegšana Finanšu ministrijā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8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Ministrijas un citas centrālās valsts iestādes (turpmāk – ministrijas)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9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AA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23. aprīlis</w:t>
            </w:r>
          </w:p>
          <w:p w14:paraId="160691AB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</w:p>
        </w:tc>
      </w:tr>
      <w:tr w:rsidR="008E64CD" w:rsidRPr="00B733E9" w14:paraId="160691B2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D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E" w14:textId="4F7F6404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Informācijas iesniegšana Finanšu ministrijā pamatbudžeta bāzes projekta sagatavošanai 2022., 2023. un 2024. gadam</w:t>
            </w:r>
            <w:r w:rsidR="00B733E9">
              <w:rPr>
                <w:sz w:val="28"/>
                <w:szCs w:val="28"/>
              </w:rPr>
              <w:t xml:space="preserve">, </w:t>
            </w:r>
            <w:r w:rsidRPr="00B733E9">
              <w:rPr>
                <w:sz w:val="28"/>
                <w:szCs w:val="28"/>
              </w:rPr>
              <w:t>izmantojot Finanšu ministrijas sniegto informāciju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AF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Ministrijas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0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B1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14. maijs</w:t>
            </w:r>
          </w:p>
        </w:tc>
      </w:tr>
      <w:tr w:rsidR="008E64CD" w:rsidRPr="00B733E9" w14:paraId="160691B8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3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4" w14:textId="77777777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Priekšlikumu par prioritārajiem pasākumiem un to īstenošanai nepieciešamo finansējumu iesniegšana Finanšu ministrijā un Pārresoru koordinācijas centrā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5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Ministrijas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6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B7" w14:textId="77777777" w:rsidR="00A168CC" w:rsidRPr="00B733E9" w:rsidRDefault="00245012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30</w:t>
            </w:r>
            <w:r w:rsidR="00A168CC" w:rsidRPr="00B733E9">
              <w:rPr>
                <w:sz w:val="28"/>
                <w:szCs w:val="28"/>
              </w:rPr>
              <w:t>. jū</w:t>
            </w:r>
            <w:r w:rsidRPr="00B733E9">
              <w:rPr>
                <w:sz w:val="28"/>
                <w:szCs w:val="28"/>
              </w:rPr>
              <w:t>nijs</w:t>
            </w:r>
          </w:p>
        </w:tc>
      </w:tr>
      <w:tr w:rsidR="008E64CD" w:rsidRPr="00B733E9" w14:paraId="160691BE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9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A" w14:textId="74563360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Ziņojuma iesniegšana Finanšu ministrijā likuma </w:t>
            </w:r>
            <w:r w:rsidR="00DD6CA4">
              <w:rPr>
                <w:sz w:val="28"/>
                <w:szCs w:val="28"/>
              </w:rPr>
              <w:t>"</w:t>
            </w:r>
            <w:r w:rsidRPr="00B733E9">
              <w:rPr>
                <w:sz w:val="28"/>
                <w:szCs w:val="28"/>
              </w:rPr>
              <w:t>Par vidēja termiņa budžeta ietvaru 2021., 2022. un 2023. gadam</w:t>
            </w:r>
            <w:r w:rsidR="00DD6CA4">
              <w:rPr>
                <w:sz w:val="28"/>
                <w:szCs w:val="28"/>
              </w:rPr>
              <w:t>"</w:t>
            </w:r>
            <w:r w:rsidRPr="00B733E9">
              <w:rPr>
                <w:sz w:val="28"/>
                <w:szCs w:val="28"/>
              </w:rPr>
              <w:t xml:space="preserve"> 17. pantā minētajā gadījumā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B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Pašvaldības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C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BD" w14:textId="77777777" w:rsidR="00A168CC" w:rsidRPr="00B733E9" w:rsidRDefault="00A168CC" w:rsidP="00A168CC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B733E9">
              <w:rPr>
                <w:sz w:val="28"/>
                <w:szCs w:val="28"/>
              </w:rPr>
              <w:t>19. jūlijs</w:t>
            </w:r>
          </w:p>
        </w:tc>
      </w:tr>
      <w:tr w:rsidR="008E64CD" w:rsidRPr="00B733E9" w14:paraId="160691C4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BF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0" w14:textId="741AFDBC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Ziņojuma iesniegšana Ministru kabinetā likuma </w:t>
            </w:r>
            <w:r w:rsidR="00DD6CA4">
              <w:rPr>
                <w:sz w:val="28"/>
                <w:szCs w:val="28"/>
              </w:rPr>
              <w:t>"</w:t>
            </w:r>
            <w:r w:rsidRPr="00B733E9">
              <w:rPr>
                <w:sz w:val="28"/>
                <w:szCs w:val="28"/>
              </w:rPr>
              <w:t>Par vidēja termiņa budžeta ietvaru 2021., 2022. un 2023. gadam</w:t>
            </w:r>
            <w:r w:rsidR="00DD6CA4">
              <w:rPr>
                <w:sz w:val="28"/>
                <w:szCs w:val="28"/>
              </w:rPr>
              <w:t>"</w:t>
            </w:r>
            <w:r w:rsidRPr="00B733E9">
              <w:rPr>
                <w:sz w:val="28"/>
                <w:szCs w:val="28"/>
              </w:rPr>
              <w:t xml:space="preserve"> 16. un 17.</w:t>
            </w:r>
            <w:r w:rsidR="00AB6DB7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>pantā minētajos gadījumos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1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Ministrijas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2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C3" w14:textId="77777777" w:rsidR="00A168CC" w:rsidRPr="00B733E9" w:rsidRDefault="00A168CC" w:rsidP="00A168CC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B733E9">
              <w:rPr>
                <w:sz w:val="28"/>
                <w:szCs w:val="28"/>
              </w:rPr>
              <w:t>1</w:t>
            </w:r>
            <w:r w:rsidR="00245012" w:rsidRPr="00B733E9">
              <w:rPr>
                <w:sz w:val="28"/>
                <w:szCs w:val="28"/>
              </w:rPr>
              <w:t>9</w:t>
            </w:r>
            <w:r w:rsidRPr="00B733E9">
              <w:rPr>
                <w:sz w:val="28"/>
                <w:szCs w:val="28"/>
              </w:rPr>
              <w:t>. augusts</w:t>
            </w:r>
          </w:p>
        </w:tc>
      </w:tr>
      <w:tr w:rsidR="008E64CD" w:rsidRPr="00B733E9" w14:paraId="160691CA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5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6" w14:textId="6ADF2BFA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Ziņojuma izskatīšana Ministru kabinetā likuma </w:t>
            </w:r>
            <w:r w:rsidR="00DD6CA4">
              <w:rPr>
                <w:sz w:val="28"/>
                <w:szCs w:val="28"/>
              </w:rPr>
              <w:t>"</w:t>
            </w:r>
            <w:r w:rsidRPr="00B733E9">
              <w:rPr>
                <w:sz w:val="28"/>
                <w:szCs w:val="28"/>
              </w:rPr>
              <w:t>Par vidēja termiņa budžeta ietvaru 2021., 2022. un 2023. gadam</w:t>
            </w:r>
            <w:r w:rsidR="00DD6CA4">
              <w:rPr>
                <w:sz w:val="28"/>
                <w:szCs w:val="28"/>
              </w:rPr>
              <w:t>"</w:t>
            </w:r>
            <w:r w:rsidRPr="00B733E9">
              <w:rPr>
                <w:sz w:val="28"/>
                <w:szCs w:val="28"/>
              </w:rPr>
              <w:t xml:space="preserve"> 16. un 17.</w:t>
            </w:r>
            <w:r w:rsidR="00AB6DB7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>pantā minētajos gadījumos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7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Ministrijas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8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C9" w14:textId="77777777" w:rsidR="00A168CC" w:rsidRPr="00B733E9" w:rsidRDefault="00A168CC" w:rsidP="00A168CC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B733E9">
              <w:rPr>
                <w:sz w:val="28"/>
                <w:szCs w:val="28"/>
              </w:rPr>
              <w:t>1</w:t>
            </w:r>
            <w:r w:rsidR="00245012" w:rsidRPr="00B733E9">
              <w:rPr>
                <w:sz w:val="28"/>
                <w:szCs w:val="28"/>
              </w:rPr>
              <w:t>9</w:t>
            </w:r>
            <w:r w:rsidRPr="00B733E9">
              <w:rPr>
                <w:sz w:val="28"/>
                <w:szCs w:val="28"/>
              </w:rPr>
              <w:t>. augusts</w:t>
            </w:r>
          </w:p>
        </w:tc>
      </w:tr>
      <w:tr w:rsidR="008E64CD" w:rsidRPr="00B733E9" w14:paraId="160691D0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B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C" w14:textId="77777777" w:rsidR="00A168CC" w:rsidRPr="00B733E9" w:rsidRDefault="00A168CC" w:rsidP="00A168CC">
            <w:pPr>
              <w:rPr>
                <w:i/>
                <w:sz w:val="28"/>
                <w:szCs w:val="28"/>
                <w:lang w:eastAsia="lv-LV"/>
              </w:rPr>
            </w:pPr>
            <w:r w:rsidRPr="00B733E9">
              <w:rPr>
                <w:sz w:val="28"/>
                <w:szCs w:val="28"/>
              </w:rPr>
              <w:t>Informatīvā ziņojuma "Par valsts pamatbudžeta un valsts speciālā budžeta bāzi 2022., 2023. un 2024. gadam" izskatīšana Ministru kabinetā</w:t>
            </w:r>
            <w:r w:rsidRPr="00B733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D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CE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CF" w14:textId="77777777" w:rsidR="00A168CC" w:rsidRPr="00B733E9" w:rsidRDefault="00245012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24</w:t>
            </w:r>
            <w:r w:rsidR="00A168CC" w:rsidRPr="00B733E9">
              <w:rPr>
                <w:sz w:val="28"/>
                <w:szCs w:val="28"/>
              </w:rPr>
              <w:t>. augusts</w:t>
            </w:r>
          </w:p>
        </w:tc>
      </w:tr>
      <w:tr w:rsidR="008E64CD" w:rsidRPr="00B733E9" w14:paraId="160691D6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1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2" w14:textId="652CCBF0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Informatīvā ziņojuma "Par makroekonomisko rādītāju, ieņēmumu un vispārējās valdības budžeta bilances prognozēm </w:t>
            </w:r>
            <w:r w:rsidRPr="00B733E9">
              <w:rPr>
                <w:bCs/>
                <w:sz w:val="28"/>
                <w:szCs w:val="28"/>
              </w:rPr>
              <w:t>2022., 2023. un 2024. gadā</w:t>
            </w:r>
            <w:r w:rsidRPr="00B733E9">
              <w:rPr>
                <w:sz w:val="28"/>
                <w:szCs w:val="28"/>
              </w:rPr>
              <w:t>" izskatīšana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3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4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D5" w14:textId="77777777" w:rsidR="00A168CC" w:rsidRPr="00B733E9" w:rsidRDefault="00245012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24</w:t>
            </w:r>
            <w:r w:rsidR="00A168CC" w:rsidRPr="00B733E9">
              <w:rPr>
                <w:sz w:val="28"/>
                <w:szCs w:val="28"/>
              </w:rPr>
              <w:t>. augusts</w:t>
            </w:r>
          </w:p>
        </w:tc>
      </w:tr>
      <w:tr w:rsidR="008E64CD" w:rsidRPr="00B733E9" w14:paraId="160691DC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7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8" w14:textId="77777777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Fiskālo risku deklarācijas izskatīšana un apstiprināšana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9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A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DB" w14:textId="77777777" w:rsidR="00A168CC" w:rsidRPr="00B733E9" w:rsidRDefault="00245012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24</w:t>
            </w:r>
            <w:r w:rsidR="00A168CC" w:rsidRPr="00B733E9">
              <w:rPr>
                <w:sz w:val="28"/>
                <w:szCs w:val="28"/>
              </w:rPr>
              <w:t>. augusts</w:t>
            </w:r>
          </w:p>
        </w:tc>
      </w:tr>
      <w:tr w:rsidR="008E64CD" w:rsidRPr="00B733E9" w14:paraId="160691E2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D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E" w14:textId="029891E7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Informatīvā ziņojuma "Par valsts budžeta izdevumu pārskatīšanas rezultātiem un priekšlikumi par šo rezultātu izmantošanu likumprojekta "Par vidēja termiņa budžeta ietvaru </w:t>
            </w:r>
            <w:r w:rsidRPr="00B733E9">
              <w:rPr>
                <w:bCs/>
                <w:sz w:val="28"/>
                <w:szCs w:val="28"/>
              </w:rPr>
              <w:t>2022., 2023. un 2024. gadam</w:t>
            </w:r>
            <w:r w:rsidRPr="00B733E9">
              <w:rPr>
                <w:sz w:val="28"/>
                <w:szCs w:val="28"/>
              </w:rPr>
              <w:t>" un likumprojekta "Par valsts budžetu 2022</w:t>
            </w:r>
            <w:r w:rsidR="00AB6DB7" w:rsidRPr="00B733E9">
              <w:rPr>
                <w:sz w:val="28"/>
                <w:szCs w:val="28"/>
              </w:rPr>
              <w:t>.</w:t>
            </w:r>
            <w:r w:rsidR="00AB6DB7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gadam" izstrādes procesā" izskatīšana Ministru kabinetā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DF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0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 gada </w:t>
            </w:r>
          </w:p>
          <w:p w14:paraId="160691E1" w14:textId="77777777" w:rsidR="00A168CC" w:rsidRPr="00B733E9" w:rsidRDefault="00245012" w:rsidP="00A168CC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B733E9">
              <w:rPr>
                <w:sz w:val="28"/>
                <w:szCs w:val="28"/>
              </w:rPr>
              <w:t>24</w:t>
            </w:r>
            <w:r w:rsidR="00A168CC" w:rsidRPr="00B733E9">
              <w:rPr>
                <w:sz w:val="28"/>
                <w:szCs w:val="28"/>
              </w:rPr>
              <w:t>. augusts</w:t>
            </w:r>
          </w:p>
        </w:tc>
      </w:tr>
      <w:tr w:rsidR="008E64CD" w:rsidRPr="00B733E9" w14:paraId="160691EB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3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</w:pPr>
            <w:r w:rsidRPr="00B733E9">
              <w:br w:type="page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4" w14:textId="32220AFC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Diskusijas un Ministru kabineta galīgā lēmuma pieņemšana par valsts budžeta prioritārajiem pasākumiem </w:t>
            </w:r>
            <w:r w:rsidRPr="00B733E9">
              <w:rPr>
                <w:bCs/>
                <w:sz w:val="28"/>
                <w:szCs w:val="28"/>
              </w:rPr>
              <w:t xml:space="preserve">2022., 2023. un 2024. gadam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5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6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2021. gada </w:t>
            </w:r>
          </w:p>
          <w:p w14:paraId="160691E7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24. augusts,</w:t>
            </w:r>
          </w:p>
          <w:p w14:paraId="160691E8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31. augusts,</w:t>
            </w:r>
          </w:p>
          <w:p w14:paraId="160691E9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2. septembris</w:t>
            </w:r>
          </w:p>
          <w:p w14:paraId="160691EA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(ārkārtas sēde)</w:t>
            </w:r>
          </w:p>
        </w:tc>
      </w:tr>
      <w:tr w:rsidR="008E64CD" w:rsidRPr="00B733E9" w14:paraId="160691F2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C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D" w14:textId="77777777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Ministriju maksimāli pieļaujamā valsts budžeta izdevumu kopējā apjoma </w:t>
            </w:r>
            <w:r w:rsidRPr="00B733E9">
              <w:rPr>
                <w:bCs/>
                <w:sz w:val="28"/>
                <w:szCs w:val="28"/>
              </w:rPr>
              <w:t xml:space="preserve">2022., 2023. un 2024. gadam </w:t>
            </w:r>
            <w:r w:rsidRPr="00B733E9">
              <w:rPr>
                <w:sz w:val="28"/>
                <w:szCs w:val="28"/>
              </w:rPr>
              <w:t>aprēķināšana un iesniegšana Finanšu ministrijā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E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Ministrijas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EF" w14:textId="5F0C24A3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376E5F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1F0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3. septembris</w:t>
            </w:r>
          </w:p>
          <w:p w14:paraId="160691F1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</w:p>
        </w:tc>
      </w:tr>
      <w:tr w:rsidR="008E64CD" w:rsidRPr="00B733E9" w14:paraId="160691F8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3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4" w14:textId="77777777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Maksimāli pieļaujamā valsts budžeta izdevumu kopapjoma aprēķināšana un ministriju maksimāli pieļaujamā valsts budžeta izdevumu kopējā apjoma </w:t>
            </w:r>
            <w:r w:rsidRPr="00B733E9">
              <w:rPr>
                <w:bCs/>
                <w:sz w:val="28"/>
                <w:szCs w:val="28"/>
              </w:rPr>
              <w:t xml:space="preserve">2022., 2023. un 2024. gadam </w:t>
            </w:r>
            <w:r w:rsidRPr="00B733E9">
              <w:rPr>
                <w:sz w:val="28"/>
                <w:szCs w:val="28"/>
              </w:rPr>
              <w:t>aprēķinu nosūtīšana ministrijām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5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6" w14:textId="6FE66FCE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376E5F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1F7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7. septembris</w:t>
            </w:r>
          </w:p>
        </w:tc>
      </w:tr>
      <w:tr w:rsidR="008E64CD" w:rsidRPr="00B733E9" w14:paraId="160691FE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9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A" w14:textId="77777777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Budžetu pavadošo likumprojektu (budžeta likumprojektu paketes) sagatavošana un iesniegšana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B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Ministrijas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C" w14:textId="765C35EE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1FD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9. septembris</w:t>
            </w:r>
          </w:p>
        </w:tc>
      </w:tr>
      <w:tr w:rsidR="008E64CD" w:rsidRPr="00B733E9" w14:paraId="16069205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1FF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0" w14:textId="77777777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Budžetu pavadošo likumprojektu (budžeta likumprojektu paketes) izskatīšana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1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Ministrijas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2" w14:textId="4A8DF4A8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203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14. septembris,</w:t>
            </w:r>
          </w:p>
          <w:p w14:paraId="16069204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21. septembris, 28. septembris</w:t>
            </w:r>
          </w:p>
        </w:tc>
      </w:tr>
      <w:tr w:rsidR="008E64CD" w:rsidRPr="00B733E9" w14:paraId="1606920B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6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733E9">
              <w:br w:type="page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7" w14:textId="77777777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Ministriju valsts budžeta pieprasījumu </w:t>
            </w:r>
            <w:r w:rsidRPr="00B733E9">
              <w:rPr>
                <w:bCs/>
                <w:sz w:val="28"/>
                <w:szCs w:val="28"/>
              </w:rPr>
              <w:t xml:space="preserve">2022., 2023. un 2024. gadam </w:t>
            </w:r>
            <w:r w:rsidRPr="00B733E9">
              <w:rPr>
                <w:sz w:val="28"/>
                <w:szCs w:val="28"/>
              </w:rPr>
              <w:t>sagatavošana un iesniegšana Finanšu ministrijā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8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Ministrijas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9" w14:textId="42EF9AFC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20A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17. septembris</w:t>
            </w:r>
          </w:p>
        </w:tc>
      </w:tr>
      <w:tr w:rsidR="008E64CD" w:rsidRPr="00B733E9" w14:paraId="16069211" w14:textId="77777777" w:rsidTr="00A168CC">
        <w:trPr>
          <w:trHeight w:val="9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C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D" w14:textId="77777777" w:rsidR="00A168CC" w:rsidRPr="00B733E9" w:rsidRDefault="00A168CC" w:rsidP="00A168CC">
            <w:pPr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Likumprojekta "Par vidēja termiņa budžeta ietvaru </w:t>
            </w:r>
            <w:r w:rsidRPr="00B733E9">
              <w:rPr>
                <w:bCs/>
                <w:sz w:val="28"/>
                <w:szCs w:val="28"/>
              </w:rPr>
              <w:t>2022., 2023. un 2024. gadam</w:t>
            </w:r>
            <w:r w:rsidRPr="00B733E9">
              <w:rPr>
                <w:sz w:val="28"/>
                <w:szCs w:val="28"/>
              </w:rPr>
              <w:t>" (ar paskaidrojumiem) un likumprojekta "Par valsts budžetu 2022. gadam" (ar paskaidrojumiem) apstiprināšana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E" w14:textId="77777777" w:rsidR="00A168CC" w:rsidRPr="00B733E9" w:rsidRDefault="00A168CC" w:rsidP="00A168CC">
            <w:pPr>
              <w:jc w:val="center"/>
              <w:rPr>
                <w:i/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0F" w14:textId="7D199A19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210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12. oktobris</w:t>
            </w:r>
          </w:p>
        </w:tc>
      </w:tr>
      <w:tr w:rsidR="008E64CD" w:rsidRPr="00B733E9" w14:paraId="16069217" w14:textId="77777777" w:rsidTr="00A168CC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2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3" w14:textId="77777777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Vispārējās valdības budžeta plāna </w:t>
            </w:r>
            <w:r w:rsidR="009F5BF4" w:rsidRPr="00B733E9">
              <w:rPr>
                <w:sz w:val="28"/>
                <w:szCs w:val="28"/>
              </w:rPr>
              <w:t xml:space="preserve">projekta 2022. gadam </w:t>
            </w:r>
            <w:r w:rsidRPr="00B733E9">
              <w:rPr>
                <w:sz w:val="28"/>
                <w:szCs w:val="28"/>
              </w:rPr>
              <w:t>apstiprināšana Ministru kabinetā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4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5" w14:textId="5A39A824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216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12. oktobris</w:t>
            </w:r>
          </w:p>
        </w:tc>
      </w:tr>
      <w:tr w:rsidR="008E64CD" w:rsidRPr="00B733E9" w14:paraId="1606921D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8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9" w14:textId="70F45F0B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Likumprojekta "Par vidēja termiņa budžeta ietvaru </w:t>
            </w:r>
            <w:r w:rsidRPr="00B733E9">
              <w:rPr>
                <w:bCs/>
                <w:sz w:val="28"/>
                <w:szCs w:val="28"/>
              </w:rPr>
              <w:t>2022., 2023. un 2024. gadam</w:t>
            </w:r>
            <w:r w:rsidRPr="00B733E9">
              <w:rPr>
                <w:sz w:val="28"/>
                <w:szCs w:val="28"/>
              </w:rPr>
              <w:t>" (ar paskaidrojumiem, fiskālo risku deklarāciju, Fiskālās disciplīnas padomes fiskālās disciplīnas uzraudzības ziņojumu) un likumprojekta "Par valsts budžetu 2022.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>gadam" (ar paskaidrojumiem, pavadošajiem likumprojektiem (budžeta likumprojektu paketi), Ministru kabineta un Latvijas Pašvaldību savienības vienošanās un domstarpību protokolu) iesniegšana Saeimā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A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Ministru kabinets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B" w14:textId="69EF0D66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21C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14. oktobris</w:t>
            </w:r>
          </w:p>
        </w:tc>
      </w:tr>
      <w:tr w:rsidR="008E64CD" w:rsidRPr="00B733E9" w14:paraId="16069223" w14:textId="77777777" w:rsidTr="00A168CC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E" w14:textId="77777777" w:rsidR="00A168CC" w:rsidRPr="00B733E9" w:rsidRDefault="00A168CC" w:rsidP="00A168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1F" w14:textId="42F05870" w:rsidR="00A168CC" w:rsidRPr="00B733E9" w:rsidRDefault="00A168CC" w:rsidP="00A168CC">
            <w:pPr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 xml:space="preserve">Vispārējās valdības budžeta plāna </w:t>
            </w:r>
            <w:r w:rsidR="009F5BF4" w:rsidRPr="00B733E9">
              <w:rPr>
                <w:sz w:val="28"/>
                <w:szCs w:val="28"/>
              </w:rPr>
              <w:t>projekta 2022.</w:t>
            </w:r>
            <w:r w:rsidR="00AB6DB7">
              <w:rPr>
                <w:sz w:val="28"/>
                <w:szCs w:val="28"/>
              </w:rPr>
              <w:t> </w:t>
            </w:r>
            <w:r w:rsidR="009F5BF4" w:rsidRPr="00B733E9">
              <w:rPr>
                <w:sz w:val="28"/>
                <w:szCs w:val="28"/>
              </w:rPr>
              <w:t xml:space="preserve">gadam </w:t>
            </w:r>
            <w:r w:rsidRPr="00B733E9">
              <w:rPr>
                <w:sz w:val="28"/>
                <w:szCs w:val="28"/>
              </w:rPr>
              <w:t xml:space="preserve">iesniegšana Eiropas Komisijai un </w:t>
            </w:r>
            <w:proofErr w:type="spellStart"/>
            <w:r w:rsidR="00226F75" w:rsidRPr="005463E5">
              <w:rPr>
                <w:iCs/>
                <w:sz w:val="28"/>
                <w:szCs w:val="28"/>
              </w:rPr>
              <w:t>Eiro</w:t>
            </w:r>
            <w:r w:rsidRPr="00B733E9">
              <w:rPr>
                <w:sz w:val="28"/>
                <w:szCs w:val="28"/>
              </w:rPr>
              <w:t>grupai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20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Finanšu ministrija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9221" w14:textId="041F2D64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2021.</w:t>
            </w:r>
            <w:r w:rsidR="0049196B">
              <w:rPr>
                <w:sz w:val="28"/>
                <w:szCs w:val="28"/>
              </w:rPr>
              <w:t> </w:t>
            </w:r>
            <w:r w:rsidRPr="00B733E9">
              <w:rPr>
                <w:sz w:val="28"/>
                <w:szCs w:val="28"/>
              </w:rPr>
              <w:t xml:space="preserve">gada </w:t>
            </w:r>
          </w:p>
          <w:p w14:paraId="16069222" w14:textId="77777777" w:rsidR="00A168CC" w:rsidRPr="00B733E9" w:rsidRDefault="00A168CC" w:rsidP="00A168CC">
            <w:pPr>
              <w:jc w:val="center"/>
              <w:rPr>
                <w:sz w:val="28"/>
                <w:szCs w:val="28"/>
              </w:rPr>
            </w:pPr>
            <w:r w:rsidRPr="00B733E9">
              <w:rPr>
                <w:sz w:val="28"/>
                <w:szCs w:val="28"/>
              </w:rPr>
              <w:t>14. oktobris</w:t>
            </w:r>
          </w:p>
        </w:tc>
      </w:tr>
    </w:tbl>
    <w:p w14:paraId="16069224" w14:textId="61D29B4D" w:rsidR="0075782C" w:rsidRPr="00B733E9" w:rsidRDefault="0075782C" w:rsidP="0075782C">
      <w:pPr>
        <w:tabs>
          <w:tab w:val="left" w:pos="2078"/>
        </w:tabs>
        <w:rPr>
          <w:sz w:val="28"/>
          <w:szCs w:val="28"/>
        </w:rPr>
      </w:pPr>
    </w:p>
    <w:p w14:paraId="011E6B44" w14:textId="21CC3636" w:rsidR="00DD6CA4" w:rsidRDefault="00DD6CA4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48789B" w14:textId="77777777" w:rsidR="00903843" w:rsidRPr="00CA23A8" w:rsidRDefault="00903843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B2DB27" w14:textId="77777777" w:rsidR="00DD6CA4" w:rsidRPr="00CA23A8" w:rsidRDefault="00DD6CA4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23A8">
        <w:rPr>
          <w:sz w:val="28"/>
          <w:szCs w:val="28"/>
        </w:rPr>
        <w:t xml:space="preserve">Finanšu ministrs </w:t>
      </w:r>
      <w:r w:rsidRPr="00CA23A8">
        <w:rPr>
          <w:sz w:val="28"/>
          <w:szCs w:val="28"/>
        </w:rPr>
        <w:tab/>
        <w:t>J. Reirs</w:t>
      </w:r>
    </w:p>
    <w:sectPr w:rsidR="00DD6CA4" w:rsidRPr="00CA23A8" w:rsidSect="00DA0BE2">
      <w:headerReference w:type="default" r:id="rId8"/>
      <w:footerReference w:type="default" r:id="rId9"/>
      <w:footerReference w:type="first" r:id="rId10"/>
      <w:pgSz w:w="11907" w:h="16840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9230" w14:textId="77777777" w:rsidR="00306AE5" w:rsidRDefault="00306AE5" w:rsidP="006474C4">
      <w:r>
        <w:separator/>
      </w:r>
    </w:p>
  </w:endnote>
  <w:endnote w:type="continuationSeparator" w:id="0">
    <w:p w14:paraId="16069231" w14:textId="77777777" w:rsidR="00306AE5" w:rsidRDefault="00306AE5" w:rsidP="006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07B3" w14:textId="26A41EEC" w:rsidR="00DD6CA4" w:rsidRPr="00DD6CA4" w:rsidRDefault="00DD6CA4">
    <w:pPr>
      <w:pStyle w:val="Footer"/>
      <w:rPr>
        <w:sz w:val="16"/>
        <w:szCs w:val="16"/>
      </w:rPr>
    </w:pPr>
    <w:r w:rsidRPr="00DD6CA4">
      <w:rPr>
        <w:sz w:val="16"/>
        <w:szCs w:val="16"/>
      </w:rPr>
      <w:t>R0485_1p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CD6D" w14:textId="69D57BD1" w:rsidR="00DD6CA4" w:rsidRPr="00DD6CA4" w:rsidRDefault="00DD6CA4">
    <w:pPr>
      <w:pStyle w:val="Footer"/>
      <w:rPr>
        <w:sz w:val="16"/>
        <w:szCs w:val="16"/>
      </w:rPr>
    </w:pPr>
    <w:r w:rsidRPr="00DD6CA4">
      <w:rPr>
        <w:sz w:val="16"/>
        <w:szCs w:val="16"/>
      </w:rPr>
      <w:t>R0485_1p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922E" w14:textId="77777777" w:rsidR="00306AE5" w:rsidRDefault="00306AE5" w:rsidP="006474C4">
      <w:r>
        <w:separator/>
      </w:r>
    </w:p>
  </w:footnote>
  <w:footnote w:type="continuationSeparator" w:id="0">
    <w:p w14:paraId="1606922F" w14:textId="77777777" w:rsidR="00306AE5" w:rsidRDefault="00306AE5" w:rsidP="0064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909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069232" w14:textId="77777777" w:rsidR="000E0A2A" w:rsidRDefault="000E0A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069233" w14:textId="77777777" w:rsidR="000E0A2A" w:rsidRDefault="000E0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613"/>
    <w:multiLevelType w:val="hybridMultilevel"/>
    <w:tmpl w:val="A1220A66"/>
    <w:lvl w:ilvl="0" w:tplc="F38CE45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27DF"/>
    <w:multiLevelType w:val="hybridMultilevel"/>
    <w:tmpl w:val="005034F0"/>
    <w:lvl w:ilvl="0" w:tplc="E9EA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2C"/>
    <w:rsid w:val="00025904"/>
    <w:rsid w:val="000513C8"/>
    <w:rsid w:val="000B289B"/>
    <w:rsid w:val="000D3FD3"/>
    <w:rsid w:val="000E0A2A"/>
    <w:rsid w:val="000E45EA"/>
    <w:rsid w:val="00110486"/>
    <w:rsid w:val="00150DF4"/>
    <w:rsid w:val="00193417"/>
    <w:rsid w:val="001A0E6B"/>
    <w:rsid w:val="001E152E"/>
    <w:rsid w:val="00226A8F"/>
    <w:rsid w:val="00226F75"/>
    <w:rsid w:val="00245012"/>
    <w:rsid w:val="002D4261"/>
    <w:rsid w:val="002E4667"/>
    <w:rsid w:val="00306AE5"/>
    <w:rsid w:val="00317437"/>
    <w:rsid w:val="00323458"/>
    <w:rsid w:val="003266E5"/>
    <w:rsid w:val="00345019"/>
    <w:rsid w:val="00347DCC"/>
    <w:rsid w:val="00356623"/>
    <w:rsid w:val="00376E5F"/>
    <w:rsid w:val="00384E30"/>
    <w:rsid w:val="003B1140"/>
    <w:rsid w:val="004136E1"/>
    <w:rsid w:val="00423B04"/>
    <w:rsid w:val="00435A95"/>
    <w:rsid w:val="00484A64"/>
    <w:rsid w:val="00491568"/>
    <w:rsid w:val="0049196B"/>
    <w:rsid w:val="004F2D47"/>
    <w:rsid w:val="004F348B"/>
    <w:rsid w:val="00504A85"/>
    <w:rsid w:val="00506CC0"/>
    <w:rsid w:val="00511C62"/>
    <w:rsid w:val="005463E5"/>
    <w:rsid w:val="00571F1E"/>
    <w:rsid w:val="00625BBA"/>
    <w:rsid w:val="006474C4"/>
    <w:rsid w:val="00706AF8"/>
    <w:rsid w:val="00707C7F"/>
    <w:rsid w:val="0072448D"/>
    <w:rsid w:val="007429EE"/>
    <w:rsid w:val="0075782C"/>
    <w:rsid w:val="00794D33"/>
    <w:rsid w:val="00797C6C"/>
    <w:rsid w:val="007F1427"/>
    <w:rsid w:val="007F62C8"/>
    <w:rsid w:val="00814267"/>
    <w:rsid w:val="00836702"/>
    <w:rsid w:val="00860C90"/>
    <w:rsid w:val="008C5239"/>
    <w:rsid w:val="008D47AC"/>
    <w:rsid w:val="008E64CD"/>
    <w:rsid w:val="00903843"/>
    <w:rsid w:val="00931692"/>
    <w:rsid w:val="00947790"/>
    <w:rsid w:val="009B240F"/>
    <w:rsid w:val="009B5975"/>
    <w:rsid w:val="009D4544"/>
    <w:rsid w:val="009F5BF4"/>
    <w:rsid w:val="009F7733"/>
    <w:rsid w:val="00A168CC"/>
    <w:rsid w:val="00A227A2"/>
    <w:rsid w:val="00A854E2"/>
    <w:rsid w:val="00AB59D3"/>
    <w:rsid w:val="00AB6DB7"/>
    <w:rsid w:val="00AC5FF6"/>
    <w:rsid w:val="00B016A4"/>
    <w:rsid w:val="00B36D84"/>
    <w:rsid w:val="00B51DF1"/>
    <w:rsid w:val="00B733E9"/>
    <w:rsid w:val="00B818A7"/>
    <w:rsid w:val="00B85D40"/>
    <w:rsid w:val="00BC1C65"/>
    <w:rsid w:val="00BC4A2D"/>
    <w:rsid w:val="00BD2B22"/>
    <w:rsid w:val="00BD7D6C"/>
    <w:rsid w:val="00BD7E24"/>
    <w:rsid w:val="00BE37D3"/>
    <w:rsid w:val="00BF2DD9"/>
    <w:rsid w:val="00C103DC"/>
    <w:rsid w:val="00C448EF"/>
    <w:rsid w:val="00C660BF"/>
    <w:rsid w:val="00C6737D"/>
    <w:rsid w:val="00C80D30"/>
    <w:rsid w:val="00D115B3"/>
    <w:rsid w:val="00D21007"/>
    <w:rsid w:val="00D63213"/>
    <w:rsid w:val="00D67FFD"/>
    <w:rsid w:val="00DA0BE2"/>
    <w:rsid w:val="00DA6685"/>
    <w:rsid w:val="00DD639E"/>
    <w:rsid w:val="00DD6CA4"/>
    <w:rsid w:val="00DD7910"/>
    <w:rsid w:val="00DE57E4"/>
    <w:rsid w:val="00E311BB"/>
    <w:rsid w:val="00E54066"/>
    <w:rsid w:val="00E641A4"/>
    <w:rsid w:val="00E6531E"/>
    <w:rsid w:val="00E91503"/>
    <w:rsid w:val="00E9798D"/>
    <w:rsid w:val="00EC6132"/>
    <w:rsid w:val="00ED6035"/>
    <w:rsid w:val="00EF4D12"/>
    <w:rsid w:val="00F36CF5"/>
    <w:rsid w:val="00FB5069"/>
    <w:rsid w:val="00FB6D8E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069187"/>
  <w15:chartTrackingRefBased/>
  <w15:docId w15:val="{E2DCEB25-58F1-4EA5-9808-770C95D7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2C"/>
    <w:pPr>
      <w:ind w:left="720"/>
    </w:pPr>
    <w:rPr>
      <w:rFonts w:eastAsia="Calibri"/>
      <w:sz w:val="28"/>
      <w:szCs w:val="28"/>
    </w:rPr>
  </w:style>
  <w:style w:type="paragraph" w:styleId="NoSpacing">
    <w:name w:val="No Spacing"/>
    <w:uiPriority w:val="1"/>
    <w:qFormat/>
    <w:rsid w:val="0075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4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C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4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C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F4"/>
    <w:rPr>
      <w:rFonts w:ascii="Segoe UI" w:eastAsia="Times New Roman" w:hAnsi="Segoe UI" w:cs="Segoe UI"/>
      <w:sz w:val="18"/>
      <w:szCs w:val="18"/>
      <w:lang w:val="lv-LV"/>
    </w:rPr>
  </w:style>
  <w:style w:type="character" w:styleId="Hyperlink">
    <w:name w:val="Hyperlink"/>
    <w:uiPriority w:val="99"/>
    <w:unhideWhenUsed/>
    <w:rsid w:val="00C673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0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03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E9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D410-CCA9-4565-8703-3407A9DE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likumprojekta "Par vidēja termiņa budžeta ietvaru 2022., 2023. un 2024.gadam" un likumprojekta "Par valsts budžetu 2022.gadam" sagatavošanas grafiku</vt:lpstr>
    </vt:vector>
  </TitlesOfParts>
  <Company>Finanšu ministrija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likumprojekta "Par vidēja termiņa budžeta ietvaru 2022., 2023. un 2024.gadam" un likumprojekta "Par valsts budžetu 2022.gadam" sagatavošanas grafiku</dc:title>
  <dc:subject>rīkojuma projekta pielikums</dc:subject>
  <dc:creator>Zane Adijāne</dc:creator>
  <cp:keywords/>
  <dc:description>Zane.Adijane@fm.gov.lv, 67095437</dc:description>
  <cp:lastModifiedBy>Leontīne Babkina</cp:lastModifiedBy>
  <cp:revision>93</cp:revision>
  <cp:lastPrinted>2021-03-09T08:19:00Z</cp:lastPrinted>
  <dcterms:created xsi:type="dcterms:W3CDTF">2021-01-28T14:42:00Z</dcterms:created>
  <dcterms:modified xsi:type="dcterms:W3CDTF">2021-03-25T12:13:00Z</dcterms:modified>
  <cp:category/>
</cp:coreProperties>
</file>