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808A" w14:textId="77777777" w:rsidR="005F1A8B" w:rsidRPr="00741EE9" w:rsidRDefault="00606E6D" w:rsidP="00464B6C">
      <w:pPr>
        <w:jc w:val="center"/>
      </w:pPr>
      <w:r>
        <w:t>NOLĪGUMS,</w:t>
      </w:r>
      <w:r>
        <w:br/>
        <w:t>AR KO GROZA NOLĪGUMU PAR IEMAKSU PĀRSKAITĪŠANU UZ VIENOTO NOREGULĒJUMA FONDU UN TO KOPĪGOŠANU</w:t>
      </w:r>
    </w:p>
    <w:p w14:paraId="576EF550" w14:textId="75496F1B" w:rsidR="00606E6D" w:rsidRPr="00741EE9" w:rsidRDefault="00606E6D" w:rsidP="00421D95">
      <w:pPr>
        <w:jc w:val="center"/>
      </w:pPr>
      <w:r>
        <w:t>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UN SOMIJAS REPUBLIKU</w:t>
      </w:r>
    </w:p>
    <w:p w14:paraId="56C5ED54" w14:textId="0EC52C57" w:rsidR="00606E6D" w:rsidRDefault="00606E6D" w:rsidP="00464B6C">
      <w:pPr>
        <w:jc w:val="center"/>
      </w:pPr>
    </w:p>
    <w:p w14:paraId="3D42C72B" w14:textId="77777777" w:rsidR="001A58E5" w:rsidRPr="00741EE9" w:rsidRDefault="001A58E5" w:rsidP="00464B6C">
      <w:pPr>
        <w:jc w:val="center"/>
        <w:sectPr w:rsidR="001A58E5" w:rsidRPr="00741EE9" w:rsidSect="0025482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1134" w:gutter="0"/>
          <w:cols w:space="708"/>
          <w:vAlign w:val="center"/>
          <w:docGrid w:linePitch="360"/>
        </w:sectPr>
      </w:pPr>
    </w:p>
    <w:p w14:paraId="022EA59B" w14:textId="77777777" w:rsidR="00606E6D" w:rsidRPr="00741EE9" w:rsidRDefault="00606E6D" w:rsidP="007A67AB">
      <w:pPr>
        <w:jc w:val="center"/>
      </w:pPr>
      <w:r>
        <w:lastRenderedPageBreak/>
        <w:t>PREAMBULA</w:t>
      </w:r>
    </w:p>
    <w:p w14:paraId="5293E8F9" w14:textId="77777777" w:rsidR="00606E6D" w:rsidRPr="00741EE9" w:rsidRDefault="00606E6D" w:rsidP="007A67AB">
      <w:pPr>
        <w:jc w:val="both"/>
      </w:pPr>
    </w:p>
    <w:p w14:paraId="0F5D851C" w14:textId="77777777" w:rsidR="00606E6D" w:rsidRPr="00741EE9" w:rsidRDefault="00606E6D" w:rsidP="007A67AB">
      <w:r>
        <w:t>LĪGUMSLĒDZĒJAS PUSES – Beļģijas Karaliste, Bulgārijas Republika, Čehijas Republika, Dānijas Karaliste, Vācijas Federatīvā Republika, Igaunijas Republika, Īrija, Grieķijas Republika, Spānijas Karaliste, Francijas Republika, Horvātijas Republika, Itālijas Republika, Kipras Republika, Latvijas Republika, Lietuvas Republika, Luksemburgas Lielhercogiste, Ungārija, Maltas Republika, Nīderlandes Karaliste, Austrijas Republika, Polijas Republika, Portugāles Republika, Rumānija, Slovēnijas Republika, Slovākijas Republika un Somijas Republika (turpmāk "parakstītāji");</w:t>
      </w:r>
    </w:p>
    <w:p w14:paraId="11C835D4" w14:textId="77777777" w:rsidR="00606E6D" w:rsidRPr="00741EE9" w:rsidRDefault="00606E6D" w:rsidP="007A67AB"/>
    <w:p w14:paraId="48C5B166" w14:textId="144E9A35" w:rsidR="00F206CF" w:rsidRPr="00741EE9" w:rsidRDefault="00F206CF" w:rsidP="007A67AB">
      <w:r>
        <w:t xml:space="preserve">ATGĀDINOT </w:t>
      </w:r>
      <w:proofErr w:type="spellStart"/>
      <w:r w:rsidRPr="00CF4ACB">
        <w:rPr>
          <w:i/>
          <w:iCs/>
        </w:rPr>
        <w:t>Euro</w:t>
      </w:r>
      <w:proofErr w:type="spellEnd"/>
      <w:r w:rsidR="00220605">
        <w:t xml:space="preserve"> </w:t>
      </w:r>
      <w:r>
        <w:t xml:space="preserve">grupas un </w:t>
      </w:r>
      <w:r>
        <w:rPr>
          <w:i/>
          <w:iCs/>
        </w:rPr>
        <w:t>ECOFIN</w:t>
      </w:r>
      <w:r>
        <w:t xml:space="preserve"> padomes ministru 2013. gada 18. decembra paziņojumu par </w:t>
      </w:r>
      <w:r w:rsidR="00CB111A">
        <w:t>vienotā noregulējuma atbalsta mehānismu  attiecībā uz apņemšanos</w:t>
      </w:r>
      <w:r>
        <w:t>, vēlākais, pēc desmit gadiem izstrādāt pilnībā funkcionējošu kopīgo atbalsta mehānismu;</w:t>
      </w:r>
    </w:p>
    <w:p w14:paraId="63337669" w14:textId="77777777" w:rsidR="00606E6D" w:rsidRPr="00741EE9" w:rsidRDefault="00606E6D" w:rsidP="007A67AB"/>
    <w:p w14:paraId="48528A9D" w14:textId="2E938920" w:rsidR="00F206CF" w:rsidRPr="00741EE9" w:rsidRDefault="00F206CF" w:rsidP="007A67AB">
      <w:r>
        <w:t xml:space="preserve">TURKLĀT ATGĀDINOT, ka 2018. gada 14. decembra </w:t>
      </w:r>
      <w:proofErr w:type="spellStart"/>
      <w:r w:rsidRPr="00CF4ACB">
        <w:rPr>
          <w:i/>
          <w:iCs/>
        </w:rPr>
        <w:t>Euro</w:t>
      </w:r>
      <w:proofErr w:type="spellEnd"/>
      <w:r w:rsidR="00220605">
        <w:t xml:space="preserve"> </w:t>
      </w:r>
      <w:r>
        <w:t xml:space="preserve">samita sanāksmē iekļaujošā sastāvā to dalībvalstu vai to valdību vadītāji, kuru naudas vienība ir </w:t>
      </w:r>
      <w:proofErr w:type="spellStart"/>
      <w:r w:rsidRPr="00CF4ACB">
        <w:rPr>
          <w:i/>
          <w:iCs/>
        </w:rPr>
        <w:t>euro</w:t>
      </w:r>
      <w:proofErr w:type="spellEnd"/>
      <w:r>
        <w:t>, apstiprināja vispusīgu dokumentu kopumu, lai nostiprinātu ekonomisko un monetāro savienību, tostarp vienotajam noregulējuma fondam ("fonds") paredzētā kopīgā atbalsta mehānisma darba uzdevumus. Ievērojot minētos uzdevumus, kopīgais atbalsta mehānisms tiktu ieviests, pirms pārejas perioda beigām veicot nelielas izmaiņas Nolīgumā par iemaksu pārskaitīšanu uz vienoto noregulējuma fondu un to kopīgošanu, ar noteikumu, ka ir panākts pietiekams progress riska samazināšanā, pēc politiska lēmuma, kurā ņemts vērā iestāžu un kompetento iestāžu veikts riska samazināšanas novērtējums 2020. gadā. Turklāt riska samazināšanas prasības būtu samērīgas ar kopīgā atbalsta mehānisma mērķu vērienīgumu pārejas periodā salīdzinājumā ar mērķu vērienīgumu stabila stāvokļa laikā;</w:t>
      </w:r>
    </w:p>
    <w:p w14:paraId="219C752A" w14:textId="77777777" w:rsidR="00F206CF" w:rsidRPr="00741EE9" w:rsidRDefault="00F206CF" w:rsidP="007A67AB"/>
    <w:p w14:paraId="3444DB13" w14:textId="77777777" w:rsidR="00877B50" w:rsidRDefault="00877B50" w:rsidP="007A67AB">
      <w:pPr>
        <w:widowControl/>
        <w:spacing w:line="240" w:lineRule="auto"/>
      </w:pPr>
      <w:r>
        <w:br w:type="page"/>
      </w:r>
    </w:p>
    <w:p w14:paraId="0A4794B8" w14:textId="25D9EC24" w:rsidR="00606E6D" w:rsidRPr="00741EE9" w:rsidRDefault="00606E6D" w:rsidP="007A67AB">
      <w:r>
        <w:lastRenderedPageBreak/>
        <w:t xml:space="preserve">ATZĪSTOT, ka gadījumos, kad kopīgais atbalsta mehānisms tiek ieviests pirms pārejas perioda beigām, kura laikā </w:t>
      </w:r>
      <w:proofErr w:type="spellStart"/>
      <w:r>
        <w:rPr>
          <w:i/>
          <w:iCs/>
        </w:rPr>
        <w:t>ex</w:t>
      </w:r>
      <w:proofErr w:type="spellEnd"/>
      <w:r>
        <w:rPr>
          <w:i/>
          <w:iCs/>
        </w:rPr>
        <w:t> </w:t>
      </w:r>
      <w:proofErr w:type="spellStart"/>
      <w:r>
        <w:rPr>
          <w:i/>
          <w:iCs/>
        </w:rPr>
        <w:t>ante</w:t>
      </w:r>
      <w:proofErr w:type="spellEnd"/>
      <w:r>
        <w:t xml:space="preserve"> iemaksas fondā tiek piešķirtas dažādiem nodalījumiem, uz kuriem attiecas pakāpeniska kopīgošana, ārkārtas </w:t>
      </w:r>
      <w:proofErr w:type="spellStart"/>
      <w:r>
        <w:rPr>
          <w:i/>
          <w:iCs/>
        </w:rPr>
        <w:t>ex</w:t>
      </w:r>
      <w:proofErr w:type="spellEnd"/>
      <w:r>
        <w:rPr>
          <w:i/>
          <w:iCs/>
        </w:rPr>
        <w:t> post</w:t>
      </w:r>
      <w:r>
        <w:t xml:space="preserve"> iemaksu kopīgošana līdzīgā veidā veicinātu vienmērīgu pāreju no šādas fonda nodalījumu struktūras uz pilnībā kopīgotu sistēmu;</w:t>
      </w:r>
    </w:p>
    <w:p w14:paraId="1D6D2722" w14:textId="77777777" w:rsidR="00B767F1" w:rsidRPr="00741EE9" w:rsidRDefault="00B767F1" w:rsidP="007A67AB"/>
    <w:p w14:paraId="7E86AA5E" w14:textId="737C5058" w:rsidR="005D59F9" w:rsidRPr="00741EE9" w:rsidRDefault="00F046FD" w:rsidP="007A67AB">
      <w:pPr>
        <w:rPr>
          <w:rFonts w:asciiTheme="majorBidi" w:hAnsiTheme="majorBidi" w:cstheme="majorBidi"/>
          <w:szCs w:val="24"/>
        </w:rPr>
      </w:pPr>
      <w:r>
        <w:t xml:space="preserve">TURKLĀT ATGĀDINOT, ka </w:t>
      </w:r>
      <w:proofErr w:type="spellStart"/>
      <w:r w:rsidRPr="00CF4ACB">
        <w:rPr>
          <w:i/>
          <w:iCs/>
        </w:rPr>
        <w:t>Euro</w:t>
      </w:r>
      <w:proofErr w:type="spellEnd"/>
      <w:r w:rsidR="00220605">
        <w:t xml:space="preserve"> </w:t>
      </w:r>
      <w:r>
        <w:t xml:space="preserve">grupas 2019. gada 4. decembra sanāksmē iekļaujošā sastāvā finanšu ministri apstiprināja tehnisko kārtību ārkārtas </w:t>
      </w:r>
      <w:proofErr w:type="spellStart"/>
      <w:r>
        <w:rPr>
          <w:i/>
          <w:iCs/>
        </w:rPr>
        <w:t>ex</w:t>
      </w:r>
      <w:proofErr w:type="spellEnd"/>
      <w:r>
        <w:rPr>
          <w:i/>
          <w:iCs/>
        </w:rPr>
        <w:t> post</w:t>
      </w:r>
      <w:r>
        <w:t xml:space="preserve"> iemaksu fondā kopīgošanai;</w:t>
      </w:r>
    </w:p>
    <w:p w14:paraId="1341BD22" w14:textId="77777777" w:rsidR="00EF319A" w:rsidRPr="00741EE9" w:rsidRDefault="00EF319A" w:rsidP="007A67AB">
      <w:pPr>
        <w:rPr>
          <w:rFonts w:asciiTheme="majorBidi" w:hAnsiTheme="majorBidi" w:cstheme="majorBidi"/>
          <w:szCs w:val="24"/>
        </w:rPr>
      </w:pPr>
    </w:p>
    <w:p w14:paraId="5C018589" w14:textId="79E36202" w:rsidR="00E04EB4" w:rsidRPr="00741EE9" w:rsidRDefault="003544B2" w:rsidP="00044F41">
      <w:r>
        <w:t xml:space="preserve">TURKLĀT ATGĀDINOT, ka šis grozošais nolīgums nebūtu jāpiemēro, kamēr visas Līgumslēdzējas puses, kas piedalās vienotajā uzraudzības mehānismā un vienotajā noregulējuma mehānismā, nav secinājušas, ka ir panākts pietiekams progress riska samazināšanā, kā minēts vienotajam noregulējuma fondam paredzētā kopīgā atbalsta mehānisma darba uzdevumos, kurus 2018. gada 14. decembra </w:t>
      </w:r>
      <w:proofErr w:type="spellStart"/>
      <w:r w:rsidRPr="00CF4ACB">
        <w:rPr>
          <w:i/>
          <w:iCs/>
        </w:rPr>
        <w:t>Euro</w:t>
      </w:r>
      <w:proofErr w:type="spellEnd"/>
      <w:r w:rsidR="00220605">
        <w:t xml:space="preserve"> </w:t>
      </w:r>
      <w:r>
        <w:t xml:space="preserve">samitā iekļaujošā sastāvā apstiprināja to dalībvalstu vai to valdību vadītāji, kuru naudas vienība ir </w:t>
      </w:r>
      <w:proofErr w:type="spellStart"/>
      <w:r w:rsidRPr="00CF4ACB">
        <w:rPr>
          <w:i/>
          <w:iCs/>
        </w:rPr>
        <w:t>euro</w:t>
      </w:r>
      <w:proofErr w:type="spellEnd"/>
      <w:r>
        <w:t xml:space="preserve">, un līdz brīdim, kamēr nav stājusies spēkā Eiropas </w:t>
      </w:r>
      <w:r w:rsidR="00044F41">
        <w:t xml:space="preserve">Stabilitātes </w:t>
      </w:r>
      <w:r>
        <w:t>mehānisma valdes rezolūcija</w:t>
      </w:r>
      <w:r w:rsidR="00104BFF">
        <w:t xml:space="preserve"> piešķirt atbalsta instrumentu,</w:t>
      </w:r>
    </w:p>
    <w:p w14:paraId="416CBDD9" w14:textId="77777777" w:rsidR="006D3D66" w:rsidRPr="00741EE9" w:rsidRDefault="006D3D66" w:rsidP="007A67AB"/>
    <w:p w14:paraId="03BC08F3" w14:textId="77777777" w:rsidR="00606E6D" w:rsidRPr="00741EE9" w:rsidRDefault="00606E6D" w:rsidP="007A67AB">
      <w:r>
        <w:t>IR VIENOJUŠĀS PAR TURPMĀKO.</w:t>
      </w:r>
    </w:p>
    <w:p w14:paraId="5FB000F5" w14:textId="77777777" w:rsidR="00606E6D" w:rsidRPr="00741EE9" w:rsidRDefault="00606E6D" w:rsidP="007A67AB"/>
    <w:p w14:paraId="7E21970F" w14:textId="77777777" w:rsidR="00606E6D" w:rsidRPr="00741EE9" w:rsidRDefault="00606E6D" w:rsidP="007A67AB"/>
    <w:p w14:paraId="69AD1568" w14:textId="77777777" w:rsidR="00606E6D" w:rsidRPr="00741EE9" w:rsidRDefault="00D872D3" w:rsidP="007A67AB">
      <w:pPr>
        <w:jc w:val="center"/>
      </w:pPr>
      <w:r>
        <w:br w:type="page"/>
      </w:r>
      <w:r>
        <w:lastRenderedPageBreak/>
        <w:t>1. PANTS</w:t>
      </w:r>
    </w:p>
    <w:p w14:paraId="301B1378" w14:textId="77777777" w:rsidR="00606E6D" w:rsidRPr="00741EE9" w:rsidRDefault="00606E6D" w:rsidP="007A67AB">
      <w:pPr>
        <w:jc w:val="center"/>
      </w:pPr>
    </w:p>
    <w:p w14:paraId="19C6B086" w14:textId="2D7E58C6" w:rsidR="00606E6D" w:rsidRPr="00741EE9" w:rsidRDefault="00DD1F7A" w:rsidP="007A67AB">
      <w:pPr>
        <w:jc w:val="center"/>
      </w:pPr>
      <w:r>
        <w:t xml:space="preserve">Grozījumi </w:t>
      </w:r>
      <w:r w:rsidR="00632FB0">
        <w:t>Nolīgum</w:t>
      </w:r>
      <w:r>
        <w:t>ā</w:t>
      </w:r>
      <w:r w:rsidR="00632FB0">
        <w:t xml:space="preserve"> par iemaksu pārskaitīšanu uz vienoto noregulējuma fondu un to kopīgošanu</w:t>
      </w:r>
    </w:p>
    <w:p w14:paraId="766EB48E" w14:textId="77777777" w:rsidR="00606E6D" w:rsidRPr="00741EE9" w:rsidRDefault="00606E6D" w:rsidP="007A67AB">
      <w:pPr>
        <w:jc w:val="center"/>
      </w:pPr>
    </w:p>
    <w:p w14:paraId="1011AE6A" w14:textId="77777777" w:rsidR="00606E6D" w:rsidRPr="007A67AB" w:rsidRDefault="00606E6D" w:rsidP="007A67AB">
      <w:pPr>
        <w:rPr>
          <w:szCs w:val="24"/>
        </w:rPr>
      </w:pPr>
      <w:r w:rsidRPr="007A67AB">
        <w:rPr>
          <w:szCs w:val="24"/>
        </w:rPr>
        <w:t>Nolīgumu par iemaksu pārskaitīšanu uz vienoto noregulējuma fondu un to kopīgošanu groza šādi:</w:t>
      </w:r>
    </w:p>
    <w:p w14:paraId="115CD1AE" w14:textId="77777777" w:rsidR="00606E6D" w:rsidRPr="007A67AB" w:rsidRDefault="00606E6D" w:rsidP="007A67AB">
      <w:pPr>
        <w:rPr>
          <w:szCs w:val="24"/>
        </w:rPr>
      </w:pPr>
    </w:p>
    <w:p w14:paraId="0FB58B0B" w14:textId="0DE71BCA" w:rsidR="00CB4883" w:rsidRPr="007A67AB" w:rsidRDefault="009042AD" w:rsidP="007A67AB">
      <w:pPr>
        <w:rPr>
          <w:szCs w:val="24"/>
        </w:rPr>
      </w:pPr>
      <w:r w:rsidRPr="007A67AB">
        <w:rPr>
          <w:szCs w:val="24"/>
        </w:rPr>
        <w:t>1)</w:t>
      </w:r>
      <w:r w:rsidRPr="007A67AB">
        <w:rPr>
          <w:szCs w:val="24"/>
        </w:rPr>
        <w:tab/>
        <w:t>nolīguma 5. panta 1. punktu groza šādi:</w:t>
      </w:r>
    </w:p>
    <w:p w14:paraId="1E7A79F9" w14:textId="77777777" w:rsidR="00CB4883" w:rsidRPr="007A67AB" w:rsidRDefault="00CB4883" w:rsidP="007A67AB">
      <w:pPr>
        <w:rPr>
          <w:szCs w:val="24"/>
        </w:rPr>
      </w:pPr>
    </w:p>
    <w:p w14:paraId="17B5E6EF" w14:textId="1818E0B2" w:rsidR="00632FB0" w:rsidRPr="007A67AB" w:rsidRDefault="002D4EFA" w:rsidP="00044F41">
      <w:pPr>
        <w:ind w:left="567"/>
        <w:rPr>
          <w:szCs w:val="24"/>
        </w:rPr>
      </w:pPr>
      <w:r w:rsidRPr="007A67AB">
        <w:rPr>
          <w:szCs w:val="24"/>
        </w:rPr>
        <w:t>a)</w:t>
      </w:r>
      <w:r w:rsidRPr="007A67AB">
        <w:rPr>
          <w:szCs w:val="24"/>
        </w:rPr>
        <w:tab/>
      </w:r>
      <w:r w:rsidR="00417C59" w:rsidRPr="007A67AB">
        <w:rPr>
          <w:szCs w:val="24"/>
        </w:rPr>
        <w:t>punkta d) un e) apakšpunktu aizstāj ar šādiem:</w:t>
      </w:r>
    </w:p>
    <w:p w14:paraId="38692B7A" w14:textId="77777777" w:rsidR="00A338F0" w:rsidRPr="007A67AB" w:rsidRDefault="00A338F0" w:rsidP="007A67AB">
      <w:pPr>
        <w:rPr>
          <w:szCs w:val="24"/>
        </w:rPr>
      </w:pPr>
    </w:p>
    <w:p w14:paraId="35B5BA31" w14:textId="0FC54A25" w:rsidR="000F46DA" w:rsidRPr="007A67AB" w:rsidRDefault="00A338F0" w:rsidP="00044F41">
      <w:pPr>
        <w:ind w:left="1701" w:hanging="567"/>
        <w:rPr>
          <w:szCs w:val="24"/>
        </w:rPr>
      </w:pPr>
      <w:r w:rsidRPr="007A67AB">
        <w:rPr>
          <w:szCs w:val="24"/>
        </w:rPr>
        <w:t>"d)</w:t>
      </w:r>
      <w:r w:rsidRPr="007A67AB">
        <w:rPr>
          <w:szCs w:val="24"/>
        </w:rPr>
        <w:tab/>
      </w:r>
      <w:proofErr w:type="spellStart"/>
      <w:r w:rsidRPr="007A67AB">
        <w:rPr>
          <w:szCs w:val="24"/>
        </w:rPr>
        <w:t>ceturtām</w:t>
      </w:r>
      <w:proofErr w:type="spellEnd"/>
      <w:r w:rsidRPr="007A67AB">
        <w:rPr>
          <w:szCs w:val="24"/>
        </w:rPr>
        <w:t xml:space="preserve"> kārtām, un neskarot valdes e) apakšpunktā minētās pilnvaras, ja c) apakšpunktā minētie finanšu līdzekļi nav pietiekami, lai segtu </w:t>
      </w:r>
      <w:r w:rsidRPr="00044F41">
        <w:t>konkrētas</w:t>
      </w:r>
      <w:r w:rsidRPr="007A67AB">
        <w:rPr>
          <w:szCs w:val="24"/>
        </w:rPr>
        <w:t xml:space="preserve"> noregulējuma darbības izmaksas, Līgumslēdzējas puses pārskaita uz fondu ārkārtas </w:t>
      </w:r>
      <w:proofErr w:type="spellStart"/>
      <w:r w:rsidRPr="007A67AB">
        <w:rPr>
          <w:i/>
          <w:iCs/>
          <w:szCs w:val="24"/>
        </w:rPr>
        <w:t>ex</w:t>
      </w:r>
      <w:proofErr w:type="spellEnd"/>
      <w:r w:rsidRPr="007A67AB">
        <w:rPr>
          <w:i/>
          <w:iCs/>
          <w:szCs w:val="24"/>
        </w:rPr>
        <w:t> post</w:t>
      </w:r>
      <w:r w:rsidRPr="007A67AB">
        <w:rPr>
          <w:szCs w:val="24"/>
        </w:rPr>
        <w:t xml:space="preserve"> iemaksas no iestādēm, kurām piešķirta darbības atļauja to attiecīgajās teritorijās, kas piesaistītas saskaņā ar VNM regulas 71. pantā paredzētajiem kritērijiem, saskaņā ar šādiem noteikumiem:</w:t>
      </w:r>
    </w:p>
    <w:p w14:paraId="17B4BF99" w14:textId="77777777" w:rsidR="00D20E3E" w:rsidRPr="007A67AB" w:rsidRDefault="00D20E3E" w:rsidP="007A67AB">
      <w:pPr>
        <w:rPr>
          <w:szCs w:val="24"/>
        </w:rPr>
      </w:pPr>
    </w:p>
    <w:p w14:paraId="06AC42DC" w14:textId="77777777" w:rsidR="00877B50" w:rsidRPr="007A67AB" w:rsidRDefault="00877B50" w:rsidP="007A67AB">
      <w:pPr>
        <w:rPr>
          <w:rFonts w:eastAsiaTheme="minorHAnsi"/>
          <w:lang w:eastAsia="en-US"/>
        </w:rPr>
      </w:pPr>
      <w:r w:rsidRPr="007A67AB">
        <w:br w:type="page"/>
      </w:r>
    </w:p>
    <w:p w14:paraId="0C27033D" w14:textId="446254CC" w:rsidR="00D20E3E" w:rsidRPr="007A67AB" w:rsidRDefault="007A67AB" w:rsidP="00044F41">
      <w:pPr>
        <w:ind w:left="2268" w:hanging="567"/>
        <w:rPr>
          <w:szCs w:val="24"/>
        </w:rPr>
      </w:pPr>
      <w:r>
        <w:rPr>
          <w:rFonts w:ascii="Calibri" w:hAnsi="Calibri"/>
          <w:szCs w:val="22"/>
          <w:lang w:eastAsia="en-US"/>
        </w:rPr>
        <w:lastRenderedPageBreak/>
        <w:sym w:font="Symbol" w:char="F02D"/>
      </w:r>
      <w:r w:rsidRPr="0053182B">
        <w:tab/>
      </w:r>
      <w:r w:rsidR="00D20E3E" w:rsidRPr="007A67AB">
        <w:rPr>
          <w:szCs w:val="24"/>
        </w:rPr>
        <w:t xml:space="preserve">kā pirmo soli a) apakšpunktā minētās attiecīgās Līgumslēdzējas puses vai – pārrobežu grupas noregulējuma gadījumā – attiecīgās Līgumslēdzējas puses, kas nav nodrošinājušas pietiekamus finanšu līdzekļus saskaņā ar a)–c) apakšpunktu, saistībā ar to vienību noregulējumu, kurām ir piešķirta darbības atļauja to teritorijās, pārskaita uz fondu ārkārtas </w:t>
      </w:r>
      <w:proofErr w:type="spellStart"/>
      <w:r w:rsidR="00D20E3E" w:rsidRPr="007A67AB">
        <w:rPr>
          <w:i/>
          <w:iCs/>
          <w:szCs w:val="24"/>
        </w:rPr>
        <w:t>ex</w:t>
      </w:r>
      <w:proofErr w:type="spellEnd"/>
      <w:r w:rsidR="00D20E3E" w:rsidRPr="007A67AB">
        <w:rPr>
          <w:i/>
          <w:iCs/>
          <w:szCs w:val="24"/>
        </w:rPr>
        <w:t> post</w:t>
      </w:r>
      <w:r w:rsidR="00D20E3E" w:rsidRPr="007A67AB">
        <w:rPr>
          <w:szCs w:val="24"/>
        </w:rPr>
        <w:t xml:space="preserve"> iemaksas</w:t>
      </w:r>
      <w:r w:rsidR="00E52BFE" w:rsidRPr="007A67AB">
        <w:rPr>
          <w:szCs w:val="24"/>
        </w:rPr>
        <w:t xml:space="preserve"> tādā apmērā, kas nepārsniedz</w:t>
      </w:r>
      <w:r w:rsidR="00D20E3E" w:rsidRPr="007A67AB">
        <w:rPr>
          <w:szCs w:val="24"/>
        </w:rPr>
        <w:t xml:space="preserve"> </w:t>
      </w:r>
      <w:r w:rsidR="00E52BFE" w:rsidRPr="007A67AB">
        <w:rPr>
          <w:szCs w:val="24"/>
        </w:rPr>
        <w:t xml:space="preserve">saskaņā ar VNM Regulas 71. panta 1. punkta otro daļu </w:t>
      </w:r>
      <w:r w:rsidR="00D20E3E" w:rsidRPr="007A67AB">
        <w:rPr>
          <w:szCs w:val="24"/>
        </w:rPr>
        <w:t>aprēķināt</w:t>
      </w:r>
      <w:r w:rsidR="00E52BFE" w:rsidRPr="007A67AB">
        <w:rPr>
          <w:szCs w:val="24"/>
        </w:rPr>
        <w:t>o</w:t>
      </w:r>
      <w:r w:rsidR="00D20E3E" w:rsidRPr="007A67AB">
        <w:rPr>
          <w:szCs w:val="24"/>
        </w:rPr>
        <w:t xml:space="preserve"> ārkārtas </w:t>
      </w:r>
      <w:proofErr w:type="spellStart"/>
      <w:r w:rsidR="00D20E3E" w:rsidRPr="007A67AB">
        <w:rPr>
          <w:i/>
          <w:iCs/>
          <w:szCs w:val="24"/>
        </w:rPr>
        <w:t>ex</w:t>
      </w:r>
      <w:proofErr w:type="spellEnd"/>
      <w:r w:rsidR="00D20E3E" w:rsidRPr="007A67AB">
        <w:rPr>
          <w:i/>
          <w:iCs/>
          <w:szCs w:val="24"/>
        </w:rPr>
        <w:t> post</w:t>
      </w:r>
      <w:r w:rsidR="00D20E3E" w:rsidRPr="007A67AB">
        <w:rPr>
          <w:szCs w:val="24"/>
        </w:rPr>
        <w:t xml:space="preserve"> iemaksu maksimāl</w:t>
      </w:r>
      <w:r w:rsidR="00E52BFE" w:rsidRPr="007A67AB">
        <w:rPr>
          <w:szCs w:val="24"/>
        </w:rPr>
        <w:t>o</w:t>
      </w:r>
      <w:r w:rsidR="00D20E3E" w:rsidRPr="007A67AB">
        <w:rPr>
          <w:szCs w:val="24"/>
        </w:rPr>
        <w:t xml:space="preserve"> summ</w:t>
      </w:r>
      <w:r w:rsidR="00E52BFE" w:rsidRPr="007A67AB">
        <w:rPr>
          <w:szCs w:val="24"/>
        </w:rPr>
        <w:t>u</w:t>
      </w:r>
      <w:r w:rsidR="00D20E3E" w:rsidRPr="007A67AB">
        <w:rPr>
          <w:szCs w:val="24"/>
        </w:rPr>
        <w:t xml:space="preserve">, kuru </w:t>
      </w:r>
      <w:r w:rsidR="00E52BFE" w:rsidRPr="007A67AB">
        <w:rPr>
          <w:szCs w:val="24"/>
        </w:rPr>
        <w:t xml:space="preserve">drīkst </w:t>
      </w:r>
      <w:r w:rsidR="00D20E3E" w:rsidRPr="007A67AB">
        <w:rPr>
          <w:szCs w:val="24"/>
        </w:rPr>
        <w:t>piesaistīt no iestādēm, kam piešķirta darbības atļauja to teritorijā , un kas reizināta ar attiecīgo procentuālo daļu ("</w:t>
      </w:r>
      <w:r w:rsidR="00044F41">
        <w:rPr>
          <w:szCs w:val="24"/>
        </w:rPr>
        <w:t>m</w:t>
      </w:r>
      <w:r w:rsidR="00D20E3E" w:rsidRPr="007A67AB">
        <w:rPr>
          <w:szCs w:val="24"/>
        </w:rPr>
        <w:t xml:space="preserve">aksimālā summa"). Šā ievilkuma nolūkā procentuālo daļu nosaka ar atsauci uz noregulējuma shēmas </w:t>
      </w:r>
      <w:r w:rsidR="002D4EFA" w:rsidRPr="007A67AB">
        <w:rPr>
          <w:szCs w:val="24"/>
        </w:rPr>
        <w:t xml:space="preserve">spēkā </w:t>
      </w:r>
      <w:r w:rsidR="00D20E3E" w:rsidRPr="007A67AB">
        <w:rPr>
          <w:szCs w:val="24"/>
        </w:rPr>
        <w:t xml:space="preserve">stāšanās dienu. </w:t>
      </w:r>
      <w:r w:rsidR="002D4EFA" w:rsidRPr="007A67AB">
        <w:rPr>
          <w:szCs w:val="24"/>
        </w:rPr>
        <w:t>Sākot ar š</w:t>
      </w:r>
      <w:r w:rsidR="00D20E3E" w:rsidRPr="007A67AB">
        <w:rPr>
          <w:szCs w:val="24"/>
        </w:rPr>
        <w:t xml:space="preserve">ā </w:t>
      </w:r>
      <w:r w:rsidR="002D4EFA" w:rsidRPr="007A67AB">
        <w:rPr>
          <w:szCs w:val="24"/>
        </w:rPr>
        <w:t xml:space="preserve">ievilkuma </w:t>
      </w:r>
      <w:r w:rsidR="002229AE" w:rsidRPr="007A67AB">
        <w:rPr>
          <w:szCs w:val="24"/>
        </w:rPr>
        <w:t xml:space="preserve">pirmo </w:t>
      </w:r>
      <w:r w:rsidR="00D20E3E" w:rsidRPr="007A67AB">
        <w:rPr>
          <w:szCs w:val="24"/>
        </w:rPr>
        <w:t>piemērošanas dien</w:t>
      </w:r>
      <w:r w:rsidR="002D4EFA" w:rsidRPr="007A67AB">
        <w:rPr>
          <w:szCs w:val="24"/>
        </w:rPr>
        <w:t>u</w:t>
      </w:r>
      <w:r w:rsidR="00D20E3E" w:rsidRPr="007A67AB">
        <w:rPr>
          <w:szCs w:val="24"/>
        </w:rPr>
        <w:t xml:space="preserve"> un tā kalendārā ceturkšņa atlikušajā daļā, kurā </w:t>
      </w:r>
      <w:r w:rsidR="002229AE" w:rsidRPr="007A67AB">
        <w:rPr>
          <w:szCs w:val="24"/>
        </w:rPr>
        <w:t xml:space="preserve">iekrīt </w:t>
      </w:r>
      <w:r w:rsidR="00D20E3E" w:rsidRPr="007A67AB">
        <w:rPr>
          <w:szCs w:val="24"/>
        </w:rPr>
        <w:t xml:space="preserve">šī diena, </w:t>
      </w:r>
      <w:r w:rsidR="002229AE" w:rsidRPr="007A67AB">
        <w:rPr>
          <w:szCs w:val="24"/>
        </w:rPr>
        <w:t xml:space="preserve">procentuālā daļa </w:t>
      </w:r>
      <w:r w:rsidR="00D20E3E" w:rsidRPr="007A67AB">
        <w:rPr>
          <w:szCs w:val="24"/>
        </w:rPr>
        <w:t xml:space="preserve">ir 30 %. Procentuālo daļu katru ceturksni samazina par summu, kas vienāda ar 30 procentpunktiem, dalītiem ar pārejas perioda atlikušo kalendāro ceturkšņu skaitu, ieskaitot ceturksni, kurā </w:t>
      </w:r>
      <w:r w:rsidR="002229AE" w:rsidRPr="007A67AB">
        <w:rPr>
          <w:szCs w:val="24"/>
        </w:rPr>
        <w:t xml:space="preserve">iekrīt </w:t>
      </w:r>
      <w:r w:rsidR="00D20E3E" w:rsidRPr="007A67AB">
        <w:rPr>
          <w:szCs w:val="24"/>
        </w:rPr>
        <w:t xml:space="preserve">šā </w:t>
      </w:r>
      <w:r w:rsidR="002229AE" w:rsidRPr="007A67AB">
        <w:rPr>
          <w:szCs w:val="24"/>
        </w:rPr>
        <w:t xml:space="preserve">ievilkuma pirmā </w:t>
      </w:r>
      <w:r w:rsidR="00D20E3E" w:rsidRPr="007A67AB">
        <w:rPr>
          <w:szCs w:val="24"/>
        </w:rPr>
        <w:t xml:space="preserve">piemērošanas diena. Šā ievilkuma nolūkos no maksimālās summas atskaita ārkārtas </w:t>
      </w:r>
      <w:proofErr w:type="spellStart"/>
      <w:r w:rsidR="00D20E3E" w:rsidRPr="007A67AB">
        <w:rPr>
          <w:i/>
          <w:iCs/>
          <w:szCs w:val="24"/>
        </w:rPr>
        <w:t>ex</w:t>
      </w:r>
      <w:proofErr w:type="spellEnd"/>
      <w:r w:rsidR="00D20E3E" w:rsidRPr="007A67AB">
        <w:rPr>
          <w:i/>
          <w:iCs/>
          <w:szCs w:val="24"/>
        </w:rPr>
        <w:t> post</w:t>
      </w:r>
      <w:r w:rsidR="00D20E3E" w:rsidRPr="007A67AB">
        <w:rPr>
          <w:szCs w:val="24"/>
        </w:rPr>
        <w:t xml:space="preserve"> iemaksu summu, kas saskaņā ar šo ievilkumu </w:t>
      </w:r>
      <w:r w:rsidR="002229AE" w:rsidRPr="007A67AB">
        <w:rPr>
          <w:szCs w:val="24"/>
        </w:rPr>
        <w:t xml:space="preserve">jau ir piesaistīta un vēl ir jāpiesaista tajā pašā gadā </w:t>
      </w:r>
      <w:r w:rsidR="00D20E3E" w:rsidRPr="007A67AB">
        <w:rPr>
          <w:szCs w:val="24"/>
        </w:rPr>
        <w:t>attiecībā uz iepriekšējām noregulējuma darbībām;</w:t>
      </w:r>
    </w:p>
    <w:p w14:paraId="57400CA9" w14:textId="77777777" w:rsidR="00D06548" w:rsidRPr="007A67AB" w:rsidRDefault="00D06548" w:rsidP="007A67AB">
      <w:pPr>
        <w:rPr>
          <w:szCs w:val="24"/>
        </w:rPr>
      </w:pPr>
    </w:p>
    <w:p w14:paraId="677429BA" w14:textId="77777777" w:rsidR="00877B50" w:rsidRPr="007A67AB" w:rsidRDefault="00877B50" w:rsidP="007A67AB">
      <w:pPr>
        <w:rPr>
          <w:rFonts w:eastAsiaTheme="minorHAnsi"/>
          <w:szCs w:val="24"/>
          <w:lang w:eastAsia="en-US"/>
        </w:rPr>
      </w:pPr>
      <w:r w:rsidRPr="007A67AB">
        <w:rPr>
          <w:szCs w:val="24"/>
        </w:rPr>
        <w:br w:type="page"/>
      </w:r>
    </w:p>
    <w:p w14:paraId="4FB3E68B" w14:textId="681ACB76" w:rsidR="000B3C38" w:rsidRPr="007A67AB" w:rsidRDefault="007A67AB" w:rsidP="00044F41">
      <w:pPr>
        <w:ind w:left="2268" w:hanging="567"/>
        <w:rPr>
          <w:szCs w:val="24"/>
        </w:rPr>
      </w:pPr>
      <w:r>
        <w:rPr>
          <w:rFonts w:ascii="Calibri" w:hAnsi="Calibri"/>
          <w:szCs w:val="22"/>
          <w:lang w:eastAsia="en-US"/>
        </w:rPr>
        <w:lastRenderedPageBreak/>
        <w:sym w:font="Symbol" w:char="F02D"/>
      </w:r>
      <w:r w:rsidRPr="0053182B">
        <w:tab/>
      </w:r>
      <w:r w:rsidR="00D20E3E" w:rsidRPr="007A67AB">
        <w:rPr>
          <w:szCs w:val="24"/>
        </w:rPr>
        <w:t xml:space="preserve">kā otro soli, ja saskaņā ar pirmo ievilkumu pieejamie finanšu līdzekļi nav pietiekami, visas Līgumslēdzējas puses pārskaita uz fondu ārkārtas </w:t>
      </w:r>
      <w:proofErr w:type="spellStart"/>
      <w:r w:rsidR="00D20E3E" w:rsidRPr="007A67AB">
        <w:rPr>
          <w:i/>
          <w:iCs/>
          <w:szCs w:val="24"/>
        </w:rPr>
        <w:t>ex</w:t>
      </w:r>
      <w:proofErr w:type="spellEnd"/>
      <w:r w:rsidR="00D20E3E" w:rsidRPr="007A67AB">
        <w:rPr>
          <w:i/>
          <w:iCs/>
          <w:szCs w:val="24"/>
        </w:rPr>
        <w:t> post</w:t>
      </w:r>
      <w:r w:rsidR="00D20E3E" w:rsidRPr="007A67AB">
        <w:rPr>
          <w:szCs w:val="24"/>
        </w:rPr>
        <w:t xml:space="preserve"> iemaksas, kas vajadzīgas, lai segtu konkrētās noregulējuma darbības izmaksu atlikušo daļu, </w:t>
      </w:r>
      <w:r w:rsidR="008C5307" w:rsidRPr="007A67AB">
        <w:rPr>
          <w:szCs w:val="24"/>
        </w:rPr>
        <w:t>tādā apmērā</w:t>
      </w:r>
      <w:r w:rsidR="00D20E3E" w:rsidRPr="007A67AB">
        <w:rPr>
          <w:szCs w:val="24"/>
        </w:rPr>
        <w:t xml:space="preserve">, kas </w:t>
      </w:r>
      <w:r w:rsidR="008C5307" w:rsidRPr="007A67AB">
        <w:rPr>
          <w:szCs w:val="24"/>
        </w:rPr>
        <w:t xml:space="preserve">nepārsniedz saskaņā ar VNM Regulas 71. panta 1. punkta otro daļu aprēķināto </w:t>
      </w:r>
      <w:r w:rsidR="00D20E3E" w:rsidRPr="007A67AB">
        <w:rPr>
          <w:szCs w:val="24"/>
        </w:rPr>
        <w:t xml:space="preserve">ārkārtas </w:t>
      </w:r>
      <w:proofErr w:type="spellStart"/>
      <w:r w:rsidR="00D20E3E" w:rsidRPr="007A67AB">
        <w:rPr>
          <w:i/>
          <w:iCs/>
          <w:szCs w:val="24"/>
        </w:rPr>
        <w:t>ex</w:t>
      </w:r>
      <w:proofErr w:type="spellEnd"/>
      <w:r w:rsidR="00D20E3E" w:rsidRPr="007A67AB">
        <w:rPr>
          <w:i/>
          <w:iCs/>
          <w:szCs w:val="24"/>
        </w:rPr>
        <w:t> post</w:t>
      </w:r>
      <w:r w:rsidR="00D20E3E" w:rsidRPr="007A67AB">
        <w:rPr>
          <w:szCs w:val="24"/>
        </w:rPr>
        <w:t xml:space="preserve"> iemaksu maksimāl</w:t>
      </w:r>
      <w:r w:rsidR="008C5307" w:rsidRPr="007A67AB">
        <w:rPr>
          <w:szCs w:val="24"/>
        </w:rPr>
        <w:t>o</w:t>
      </w:r>
      <w:r w:rsidR="00D20E3E" w:rsidRPr="007A67AB">
        <w:rPr>
          <w:szCs w:val="24"/>
        </w:rPr>
        <w:t xml:space="preserve"> summ</w:t>
      </w:r>
      <w:r w:rsidR="008C5307" w:rsidRPr="007A67AB">
        <w:rPr>
          <w:szCs w:val="24"/>
        </w:rPr>
        <w:t>u</w:t>
      </w:r>
      <w:r w:rsidR="00D20E3E" w:rsidRPr="007A67AB">
        <w:rPr>
          <w:szCs w:val="24"/>
        </w:rPr>
        <w:t xml:space="preserve">, kuru </w:t>
      </w:r>
      <w:r w:rsidR="008C5307" w:rsidRPr="007A67AB">
        <w:rPr>
          <w:szCs w:val="24"/>
        </w:rPr>
        <w:t xml:space="preserve">drīkst </w:t>
      </w:r>
      <w:r w:rsidR="00D20E3E" w:rsidRPr="007A67AB">
        <w:rPr>
          <w:szCs w:val="24"/>
        </w:rPr>
        <w:t xml:space="preserve">piesaistīt no iestādēm, kam piešķirta darbības atļauja to teritorijā, un kas reizināta ar procentuālo daļu, kura vienāda ar 100 % </w:t>
      </w:r>
      <w:r w:rsidR="008C5307" w:rsidRPr="007A67AB">
        <w:rPr>
          <w:szCs w:val="24"/>
        </w:rPr>
        <w:t>mīnus</w:t>
      </w:r>
      <w:r w:rsidR="00D20E3E" w:rsidRPr="007A67AB">
        <w:rPr>
          <w:szCs w:val="24"/>
        </w:rPr>
        <w:t xml:space="preserve"> procentuāl</w:t>
      </w:r>
      <w:r w:rsidR="008C5307" w:rsidRPr="007A67AB">
        <w:rPr>
          <w:szCs w:val="24"/>
        </w:rPr>
        <w:t>ā</w:t>
      </w:r>
      <w:r w:rsidR="00D20E3E" w:rsidRPr="007A67AB">
        <w:rPr>
          <w:szCs w:val="24"/>
        </w:rPr>
        <w:t xml:space="preserve"> daļ</w:t>
      </w:r>
      <w:r w:rsidR="008C5307" w:rsidRPr="007A67AB">
        <w:rPr>
          <w:szCs w:val="24"/>
        </w:rPr>
        <w:t>a</w:t>
      </w:r>
      <w:r w:rsidR="00D20E3E" w:rsidRPr="007A67AB">
        <w:rPr>
          <w:szCs w:val="24"/>
        </w:rPr>
        <w:t xml:space="preserve">, </w:t>
      </w:r>
      <w:r w:rsidR="008C5307" w:rsidRPr="007A67AB">
        <w:rPr>
          <w:szCs w:val="24"/>
        </w:rPr>
        <w:t xml:space="preserve">kas </w:t>
      </w:r>
      <w:r w:rsidR="00D20E3E" w:rsidRPr="007A67AB">
        <w:rPr>
          <w:szCs w:val="24"/>
        </w:rPr>
        <w:t>piemēro</w:t>
      </w:r>
      <w:r w:rsidR="008C5307" w:rsidRPr="007A67AB">
        <w:rPr>
          <w:szCs w:val="24"/>
        </w:rPr>
        <w:t>ta</w:t>
      </w:r>
      <w:r w:rsidR="00D20E3E" w:rsidRPr="007A67AB">
        <w:rPr>
          <w:szCs w:val="24"/>
        </w:rPr>
        <w:t xml:space="preserve"> saskaņā ar pirmo ievilkumu ("kopīgotā maksimālā summa"). Šā ievilkuma nolūkos no kopīgotās maksimālās summas atskaita ārkārtas </w:t>
      </w:r>
      <w:proofErr w:type="spellStart"/>
      <w:r w:rsidR="00D20E3E" w:rsidRPr="007A67AB">
        <w:rPr>
          <w:i/>
          <w:iCs/>
          <w:szCs w:val="24"/>
        </w:rPr>
        <w:t>ex</w:t>
      </w:r>
      <w:proofErr w:type="spellEnd"/>
      <w:r w:rsidR="00D20E3E" w:rsidRPr="007A67AB">
        <w:rPr>
          <w:i/>
          <w:iCs/>
          <w:szCs w:val="24"/>
        </w:rPr>
        <w:t> post</w:t>
      </w:r>
      <w:r w:rsidR="00D20E3E" w:rsidRPr="007A67AB">
        <w:rPr>
          <w:szCs w:val="24"/>
        </w:rPr>
        <w:t xml:space="preserve"> iemaksu summu, kas saskaņā ar šo ievilkumu </w:t>
      </w:r>
      <w:r w:rsidR="008C5307" w:rsidRPr="007A67AB">
        <w:rPr>
          <w:szCs w:val="24"/>
        </w:rPr>
        <w:t xml:space="preserve">jau ir piesaistīta un vēl ir jāpiesaista tajā pašā gadā </w:t>
      </w:r>
      <w:r w:rsidR="00D20E3E" w:rsidRPr="007A67AB">
        <w:rPr>
          <w:szCs w:val="24"/>
        </w:rPr>
        <w:t>attiecībā uz iepriekšējām noregulējuma darbībām;</w:t>
      </w:r>
    </w:p>
    <w:p w14:paraId="074E72A8" w14:textId="5B29D430" w:rsidR="000A24B0" w:rsidRPr="007A67AB" w:rsidRDefault="000A24B0" w:rsidP="007A67AB">
      <w:pPr>
        <w:rPr>
          <w:szCs w:val="24"/>
        </w:rPr>
      </w:pPr>
    </w:p>
    <w:p w14:paraId="1E2C8EB6" w14:textId="60173838" w:rsidR="00FC471B" w:rsidRPr="007A67AB" w:rsidRDefault="00D20E3E" w:rsidP="00044F41">
      <w:pPr>
        <w:ind w:left="1701" w:hanging="567"/>
      </w:pPr>
      <w:r w:rsidRPr="007A67AB">
        <w:rPr>
          <w:szCs w:val="24"/>
        </w:rPr>
        <w:t>e)</w:t>
      </w:r>
      <w:r w:rsidR="00877B50" w:rsidRPr="007A67AB">
        <w:rPr>
          <w:szCs w:val="24"/>
        </w:rPr>
        <w:tab/>
      </w:r>
      <w:r w:rsidRPr="007A67AB">
        <w:rPr>
          <w:szCs w:val="24"/>
        </w:rPr>
        <w:t xml:space="preserve">Ja c) apakšpunktā minētie finanšu līdzekļi nav pietiekami, lai segtu konkrētas noregulējuma darbības izmaksas, un kamēr d) apakšpunktā minētās ārkārtas </w:t>
      </w:r>
      <w:proofErr w:type="spellStart"/>
      <w:r w:rsidRPr="007A67AB">
        <w:rPr>
          <w:i/>
          <w:iCs/>
          <w:szCs w:val="24"/>
        </w:rPr>
        <w:t>ex</w:t>
      </w:r>
      <w:proofErr w:type="spellEnd"/>
      <w:r w:rsidRPr="007A67AB">
        <w:rPr>
          <w:i/>
          <w:iCs/>
          <w:szCs w:val="24"/>
        </w:rPr>
        <w:t> post</w:t>
      </w:r>
      <w:r w:rsidRPr="007A67AB">
        <w:rPr>
          <w:szCs w:val="24"/>
        </w:rPr>
        <w:t xml:space="preserve"> iemaksas nav nekavējoties pieejamas, tostarp tādu iemeslu dēļ, kas ir saistīti ar attiecīgo iestāžu stabilitāti, valde var īstenot savas pilnvaras slēgt līgumus par fonda aizņēmumiem vai cita veida atbalstu saskaņā ar VNM regulas 73. un 74. pantu vai savas pilnvaras veikt pagaidu </w:t>
      </w:r>
      <w:proofErr w:type="spellStart"/>
      <w:r w:rsidRPr="007A67AB">
        <w:rPr>
          <w:szCs w:val="24"/>
        </w:rPr>
        <w:t>pārskaitījumus</w:t>
      </w:r>
      <w:proofErr w:type="spellEnd"/>
      <w:r w:rsidRPr="007A67AB">
        <w:rPr>
          <w:szCs w:val="24"/>
        </w:rPr>
        <w:t xml:space="preserve"> starp nodalījumiem saskaņā ar šā nolīguma 7. pantu.</w:t>
      </w:r>
    </w:p>
    <w:p w14:paraId="6FEC2654" w14:textId="77777777" w:rsidR="00FC471B" w:rsidRPr="007A67AB" w:rsidRDefault="00FC471B" w:rsidP="007A67AB">
      <w:pPr>
        <w:rPr>
          <w:szCs w:val="24"/>
        </w:rPr>
      </w:pPr>
    </w:p>
    <w:p w14:paraId="6881335D" w14:textId="77777777" w:rsidR="00877B50" w:rsidRPr="007A67AB" w:rsidRDefault="00877B50" w:rsidP="007A67AB">
      <w:pPr>
        <w:rPr>
          <w:szCs w:val="24"/>
          <w:lang w:eastAsia="en-US"/>
        </w:rPr>
      </w:pPr>
      <w:r w:rsidRPr="007A67AB">
        <w:rPr>
          <w:szCs w:val="24"/>
        </w:rPr>
        <w:br w:type="page"/>
      </w:r>
    </w:p>
    <w:p w14:paraId="2C3A1A15" w14:textId="07D0A203" w:rsidR="00573DCF" w:rsidRPr="007A67AB" w:rsidRDefault="00D20E3E" w:rsidP="007A67AB">
      <w:pPr>
        <w:ind w:left="1701"/>
        <w:rPr>
          <w:szCs w:val="24"/>
        </w:rPr>
      </w:pPr>
      <w:r w:rsidRPr="007A67AB">
        <w:rPr>
          <w:szCs w:val="24"/>
        </w:rPr>
        <w:lastRenderedPageBreak/>
        <w:t xml:space="preserve">Ja valde nolemj īstenot šā apakšpunkta pirmajā daļā minētās pilnvaras, Līgumslēdzējas puses, neskarot šā apakšpunkta trešo daļu, pārskaita uz fondu ārkārtas </w:t>
      </w:r>
      <w:proofErr w:type="spellStart"/>
      <w:r w:rsidRPr="007A67AB">
        <w:rPr>
          <w:i/>
          <w:iCs/>
          <w:szCs w:val="24"/>
        </w:rPr>
        <w:t>ex</w:t>
      </w:r>
      <w:proofErr w:type="spellEnd"/>
      <w:r w:rsidRPr="007A67AB">
        <w:rPr>
          <w:i/>
          <w:iCs/>
          <w:szCs w:val="24"/>
        </w:rPr>
        <w:t> post</w:t>
      </w:r>
      <w:r w:rsidRPr="007A67AB">
        <w:rPr>
          <w:szCs w:val="24"/>
        </w:rPr>
        <w:t xml:space="preserve"> iemaksas, lai atmaksātu aizņēmumus vai cita veida atbalstu vai pagaidu pārskaitījumu starp nodalījumiem, saskaņā ar d) apakšpunkta pirmo un otro ievilkumu līdz termiņa</w:t>
      </w:r>
      <w:r w:rsidR="00232303" w:rsidRPr="007A67AB">
        <w:rPr>
          <w:szCs w:val="24"/>
        </w:rPr>
        <w:t xml:space="preserve"> beigām</w:t>
      </w:r>
      <w:r w:rsidRPr="007A67AB">
        <w:rPr>
          <w:szCs w:val="24"/>
        </w:rPr>
        <w:t xml:space="preserve"> un līdz pilnīgai atmaksai. Lai novērstu šaubas, to pašu attiecīgo procentuālo daļu, kas noteikta saskaņā ar d) apakšpunktu, piemēro visā periodā līdz termiņa</w:t>
      </w:r>
      <w:r w:rsidR="00232303" w:rsidRPr="007A67AB">
        <w:rPr>
          <w:szCs w:val="24"/>
        </w:rPr>
        <w:t xml:space="preserve"> beigām</w:t>
      </w:r>
      <w:r w:rsidRPr="007A67AB">
        <w:rPr>
          <w:szCs w:val="24"/>
        </w:rPr>
        <w:t xml:space="preserve">. </w:t>
      </w:r>
    </w:p>
    <w:p w14:paraId="7B5914C2" w14:textId="77777777" w:rsidR="00573DCF" w:rsidRPr="007A67AB" w:rsidRDefault="00573DCF" w:rsidP="007A67AB">
      <w:pPr>
        <w:rPr>
          <w:szCs w:val="24"/>
        </w:rPr>
      </w:pPr>
    </w:p>
    <w:p w14:paraId="237E502A" w14:textId="75D4A1B8" w:rsidR="00573DCF" w:rsidRPr="007A67AB" w:rsidRDefault="00573DCF" w:rsidP="007A67AB">
      <w:pPr>
        <w:ind w:left="1701"/>
        <w:rPr>
          <w:szCs w:val="24"/>
        </w:rPr>
      </w:pPr>
      <w:r w:rsidRPr="007A67AB">
        <w:rPr>
          <w:szCs w:val="24"/>
        </w:rPr>
        <w:t>Attiecībā uz konkrētu noregulējuma shēmu, kas stājās spēkā pārejas periodā, piemēro turpmāk norādīto</w:t>
      </w:r>
      <w:r w:rsidR="00232303" w:rsidRPr="007A67AB">
        <w:rPr>
          <w:szCs w:val="24"/>
        </w:rPr>
        <w:t>:</w:t>
      </w:r>
    </w:p>
    <w:p w14:paraId="3FD60E22" w14:textId="77777777" w:rsidR="00573DCF" w:rsidRPr="007A67AB" w:rsidRDefault="00573DCF" w:rsidP="007A67AB">
      <w:pPr>
        <w:rPr>
          <w:szCs w:val="24"/>
        </w:rPr>
      </w:pPr>
    </w:p>
    <w:p w14:paraId="11E91502" w14:textId="314E21D2" w:rsidR="00573DCF" w:rsidRPr="007A67AB" w:rsidRDefault="007A67AB" w:rsidP="00044F41">
      <w:pPr>
        <w:ind w:left="2268" w:hanging="567"/>
        <w:rPr>
          <w:szCs w:val="24"/>
        </w:rPr>
      </w:pPr>
      <w:r>
        <w:rPr>
          <w:rFonts w:ascii="Calibri" w:hAnsi="Calibri"/>
          <w:szCs w:val="22"/>
          <w:lang w:eastAsia="en-US"/>
        </w:rPr>
        <w:sym w:font="Symbol" w:char="F02D"/>
      </w:r>
      <w:r w:rsidRPr="0053182B">
        <w:tab/>
      </w:r>
      <w:r w:rsidR="00232303" w:rsidRPr="007A67AB">
        <w:rPr>
          <w:szCs w:val="24"/>
        </w:rPr>
        <w:t>ā</w:t>
      </w:r>
      <w:r w:rsidR="00573DCF" w:rsidRPr="007A67AB">
        <w:rPr>
          <w:szCs w:val="24"/>
        </w:rPr>
        <w:t xml:space="preserve">rkārtas </w:t>
      </w:r>
      <w:proofErr w:type="spellStart"/>
      <w:r w:rsidR="00573DCF" w:rsidRPr="007A67AB">
        <w:rPr>
          <w:i/>
          <w:iCs/>
          <w:szCs w:val="24"/>
        </w:rPr>
        <w:t>ex</w:t>
      </w:r>
      <w:proofErr w:type="spellEnd"/>
      <w:r w:rsidR="00573DCF" w:rsidRPr="007A67AB">
        <w:rPr>
          <w:i/>
          <w:iCs/>
          <w:szCs w:val="24"/>
        </w:rPr>
        <w:t xml:space="preserve"> post</w:t>
      </w:r>
      <w:r w:rsidR="00573DCF" w:rsidRPr="007A67AB">
        <w:rPr>
          <w:szCs w:val="24"/>
        </w:rPr>
        <w:t xml:space="preserve"> iemaksu</w:t>
      </w:r>
      <w:r w:rsidR="00044F41">
        <w:rPr>
          <w:szCs w:val="24"/>
        </w:rPr>
        <w:t xml:space="preserve"> –</w:t>
      </w:r>
      <w:r w:rsidR="00573DCF" w:rsidRPr="007A67AB">
        <w:rPr>
          <w:szCs w:val="24"/>
        </w:rPr>
        <w:t xml:space="preserve"> kas jāpārskaita attiecībā uz konkrēto noregulējuma darbību, un</w:t>
      </w:r>
      <w:r w:rsidR="00232303" w:rsidRPr="007A67AB">
        <w:rPr>
          <w:szCs w:val="24"/>
        </w:rPr>
        <w:t xml:space="preserve"> to iemaksu</w:t>
      </w:r>
      <w:r w:rsidR="00573DCF" w:rsidRPr="007A67AB">
        <w:rPr>
          <w:szCs w:val="24"/>
        </w:rPr>
        <w:t xml:space="preserve">, kas vēl jāpārskaita attiecībā uz iepriekšējām noregulējuma darbībām, ko veic attiecīgās Līgumslēdzējas puses atbilstīgi i) d) apakšpunkta pirmajam ievilkumam un ii) šim e) apakšpunktam, ko piemēro saskaņā ar d) apakšpunkta pirmo ievilkumu, </w:t>
      </w:r>
      <w:r w:rsidR="005E295B" w:rsidRPr="007A67AB">
        <w:rPr>
          <w:szCs w:val="24"/>
        </w:rPr>
        <w:t xml:space="preserve">– </w:t>
      </w:r>
      <w:r w:rsidR="00232303" w:rsidRPr="007A67AB">
        <w:rPr>
          <w:szCs w:val="24"/>
        </w:rPr>
        <w:t xml:space="preserve">summa </w:t>
      </w:r>
      <w:r w:rsidR="00573DCF" w:rsidRPr="007A67AB">
        <w:rPr>
          <w:szCs w:val="24"/>
        </w:rPr>
        <w:t xml:space="preserve">nepārsniedz maksimālo </w:t>
      </w:r>
      <w:r w:rsidR="00044F41">
        <w:rPr>
          <w:szCs w:val="24"/>
        </w:rPr>
        <w:t>summu</w:t>
      </w:r>
      <w:r w:rsidR="00573DCF" w:rsidRPr="007A67AB">
        <w:rPr>
          <w:szCs w:val="24"/>
        </w:rPr>
        <w:t>, kas reizināta ar trīs</w:t>
      </w:r>
      <w:r w:rsidR="00526685" w:rsidRPr="007A67AB">
        <w:rPr>
          <w:szCs w:val="24"/>
        </w:rPr>
        <w:t>;</w:t>
      </w:r>
    </w:p>
    <w:p w14:paraId="35D79B5C" w14:textId="77777777" w:rsidR="00573DCF" w:rsidRPr="007A67AB" w:rsidRDefault="00573DCF" w:rsidP="007A67AB">
      <w:pPr>
        <w:rPr>
          <w:szCs w:val="24"/>
        </w:rPr>
      </w:pPr>
    </w:p>
    <w:p w14:paraId="49F3987A" w14:textId="77777777" w:rsidR="00877B50" w:rsidRPr="007A67AB" w:rsidRDefault="00877B50" w:rsidP="007A67AB">
      <w:pPr>
        <w:rPr>
          <w:rFonts w:eastAsiaTheme="minorHAnsi"/>
          <w:szCs w:val="24"/>
          <w:lang w:eastAsia="en-US"/>
        </w:rPr>
      </w:pPr>
      <w:r w:rsidRPr="007A67AB">
        <w:rPr>
          <w:szCs w:val="24"/>
        </w:rPr>
        <w:br w:type="page"/>
      </w:r>
    </w:p>
    <w:p w14:paraId="2B6FE3A7" w14:textId="3C59367C" w:rsidR="00573DCF" w:rsidRPr="007A67AB" w:rsidRDefault="007A67AB" w:rsidP="00CF4ACB">
      <w:pPr>
        <w:ind w:left="2268" w:hanging="567"/>
        <w:rPr>
          <w:szCs w:val="24"/>
        </w:rPr>
      </w:pPr>
      <w:r>
        <w:rPr>
          <w:rFonts w:ascii="Calibri" w:hAnsi="Calibri"/>
          <w:szCs w:val="22"/>
          <w:lang w:eastAsia="en-US"/>
        </w:rPr>
        <w:lastRenderedPageBreak/>
        <w:sym w:font="Symbol" w:char="F02D"/>
      </w:r>
      <w:r w:rsidRPr="0053182B">
        <w:tab/>
      </w:r>
      <w:r w:rsidR="00526685" w:rsidRPr="007A67AB">
        <w:rPr>
          <w:szCs w:val="24"/>
        </w:rPr>
        <w:t xml:space="preserve">attiecīgi </w:t>
      </w:r>
      <w:r w:rsidR="00573DCF" w:rsidRPr="007A67AB">
        <w:rPr>
          <w:szCs w:val="24"/>
        </w:rPr>
        <w:t xml:space="preserve">ārkārtas </w:t>
      </w:r>
      <w:proofErr w:type="spellStart"/>
      <w:r w:rsidR="00573DCF" w:rsidRPr="007A67AB">
        <w:rPr>
          <w:i/>
          <w:iCs/>
          <w:szCs w:val="24"/>
        </w:rPr>
        <w:t>ex</w:t>
      </w:r>
      <w:proofErr w:type="spellEnd"/>
      <w:r w:rsidR="00573DCF" w:rsidRPr="007A67AB">
        <w:rPr>
          <w:i/>
          <w:iCs/>
          <w:szCs w:val="24"/>
        </w:rPr>
        <w:t xml:space="preserve"> post</w:t>
      </w:r>
      <w:r w:rsidR="00573DCF" w:rsidRPr="007A67AB">
        <w:rPr>
          <w:szCs w:val="24"/>
        </w:rPr>
        <w:t xml:space="preserve"> iemaksu</w:t>
      </w:r>
      <w:r w:rsidR="00044F41">
        <w:rPr>
          <w:szCs w:val="24"/>
        </w:rPr>
        <w:t xml:space="preserve"> –</w:t>
      </w:r>
      <w:r w:rsidR="00573DCF" w:rsidRPr="007A67AB">
        <w:rPr>
          <w:szCs w:val="24"/>
        </w:rPr>
        <w:t xml:space="preserve"> kas jāpārskaita attiecībā uz konkrēto noregulējuma darbību, un </w:t>
      </w:r>
      <w:r w:rsidR="00526685" w:rsidRPr="007A67AB">
        <w:rPr>
          <w:szCs w:val="24"/>
        </w:rPr>
        <w:t>to iemaksu</w:t>
      </w:r>
      <w:r w:rsidR="00573DCF" w:rsidRPr="007A67AB">
        <w:rPr>
          <w:szCs w:val="24"/>
        </w:rPr>
        <w:t>, kas vēl jāpārskaita attiecībā uz iepriekšējām noregulējuma darbībām, ko veic visas Līgumslēdzējas puses atbilstīgi</w:t>
      </w:r>
      <w:r w:rsidR="005E295B" w:rsidRPr="007A67AB">
        <w:rPr>
          <w:szCs w:val="24"/>
        </w:rPr>
        <w:t xml:space="preserve"> </w:t>
      </w:r>
      <w:r w:rsidR="00573DCF" w:rsidRPr="007A67AB">
        <w:rPr>
          <w:szCs w:val="24"/>
        </w:rPr>
        <w:t xml:space="preserve"> i) d) apakšpunkta otrajam ievilkumam un ii) šim e) apakšpunktam, ko piemēro saskaņā ar d) apakšpunkta otro ievilkumu</w:t>
      </w:r>
      <w:r w:rsidR="00573DCF" w:rsidRPr="00CF4ACB">
        <w:rPr>
          <w:szCs w:val="24"/>
        </w:rPr>
        <w:t>,</w:t>
      </w:r>
      <w:r w:rsidRPr="00CF4ACB">
        <w:rPr>
          <w:szCs w:val="24"/>
        </w:rPr>
        <w:t xml:space="preserve"> </w:t>
      </w:r>
      <w:r w:rsidR="005E295B" w:rsidRPr="00CF4ACB">
        <w:rPr>
          <w:szCs w:val="24"/>
        </w:rPr>
        <w:t>– summa</w:t>
      </w:r>
      <w:r w:rsidR="005E295B" w:rsidRPr="00044F41">
        <w:rPr>
          <w:szCs w:val="24"/>
        </w:rPr>
        <w:t xml:space="preserve"> </w:t>
      </w:r>
      <w:r w:rsidR="00573DCF" w:rsidRPr="00044F41">
        <w:rPr>
          <w:szCs w:val="24"/>
        </w:rPr>
        <w:t>nepārsniedz</w:t>
      </w:r>
      <w:r w:rsidR="00573DCF" w:rsidRPr="007A67AB">
        <w:rPr>
          <w:szCs w:val="24"/>
        </w:rPr>
        <w:t xml:space="preserve"> summu, kas vienāda ar visu </w:t>
      </w:r>
      <w:proofErr w:type="spellStart"/>
      <w:r w:rsidR="00573DCF" w:rsidRPr="007A67AB">
        <w:rPr>
          <w:i/>
          <w:iCs/>
          <w:szCs w:val="24"/>
        </w:rPr>
        <w:t>ex</w:t>
      </w:r>
      <w:proofErr w:type="spellEnd"/>
      <w:r w:rsidR="00573DCF" w:rsidRPr="007A67AB">
        <w:rPr>
          <w:i/>
          <w:iCs/>
          <w:szCs w:val="24"/>
        </w:rPr>
        <w:t xml:space="preserve"> </w:t>
      </w:r>
      <w:proofErr w:type="spellStart"/>
      <w:r w:rsidR="00573DCF" w:rsidRPr="007A67AB">
        <w:rPr>
          <w:i/>
          <w:iCs/>
          <w:szCs w:val="24"/>
        </w:rPr>
        <w:t>ante</w:t>
      </w:r>
      <w:proofErr w:type="spellEnd"/>
      <w:r w:rsidR="00573DCF" w:rsidRPr="007A67AB">
        <w:rPr>
          <w:szCs w:val="24"/>
        </w:rPr>
        <w:t xml:space="preserve"> iemaksu summu, kas iemaksāta</w:t>
      </w:r>
      <w:r w:rsidR="005E295B" w:rsidRPr="007A67AB">
        <w:rPr>
          <w:szCs w:val="24"/>
        </w:rPr>
        <w:t>s</w:t>
      </w:r>
      <w:r w:rsidR="00573DCF" w:rsidRPr="007A67AB">
        <w:rPr>
          <w:szCs w:val="24"/>
        </w:rPr>
        <w:t xml:space="preserve"> dienā, kad stājas spēkā konkrētā noregulējuma shēma, izņemot iemaksas, kas piesaistītas saistībā ar iepriekšējām no fonda izmaksātajām summām (faktiskais </w:t>
      </w:r>
      <w:r w:rsidR="00DD1F7A" w:rsidRPr="007A67AB">
        <w:rPr>
          <w:szCs w:val="24"/>
        </w:rPr>
        <w:t xml:space="preserve">fonda </w:t>
      </w:r>
      <w:r w:rsidR="00573DCF" w:rsidRPr="007A67AB">
        <w:rPr>
          <w:szCs w:val="24"/>
        </w:rPr>
        <w:t>līmenis, neņemot vērā iespējamās izmaksātās summas).";</w:t>
      </w:r>
    </w:p>
    <w:p w14:paraId="25EF91CD" w14:textId="212D5930" w:rsidR="00573DCF" w:rsidRPr="007A67AB" w:rsidRDefault="00573DCF" w:rsidP="007A67AB">
      <w:pPr>
        <w:rPr>
          <w:szCs w:val="24"/>
        </w:rPr>
      </w:pPr>
    </w:p>
    <w:p w14:paraId="72B93784" w14:textId="663D97E9" w:rsidR="00573DCF" w:rsidRPr="007A67AB" w:rsidRDefault="005E295B" w:rsidP="00CF4ACB">
      <w:pPr>
        <w:ind w:left="567"/>
        <w:rPr>
          <w:szCs w:val="24"/>
        </w:rPr>
      </w:pPr>
      <w:r w:rsidRPr="007A67AB">
        <w:rPr>
          <w:szCs w:val="24"/>
        </w:rPr>
        <w:t>b)</w:t>
      </w:r>
      <w:r w:rsidRPr="007A67AB">
        <w:rPr>
          <w:szCs w:val="24"/>
        </w:rPr>
        <w:tab/>
      </w:r>
      <w:r w:rsidR="00573DCF" w:rsidRPr="007A67AB">
        <w:rPr>
          <w:szCs w:val="24"/>
        </w:rPr>
        <w:t>iekļauj šādu apakšpunktu:</w:t>
      </w:r>
    </w:p>
    <w:p w14:paraId="4693BF2F" w14:textId="77777777" w:rsidR="00573DCF" w:rsidRPr="007A67AB" w:rsidRDefault="00573DCF" w:rsidP="007A67AB">
      <w:pPr>
        <w:rPr>
          <w:szCs w:val="24"/>
        </w:rPr>
      </w:pPr>
    </w:p>
    <w:p w14:paraId="2D1A4E35" w14:textId="0F965AAE" w:rsidR="00573DCF" w:rsidRPr="007A67AB" w:rsidRDefault="00573DCF" w:rsidP="007A67AB">
      <w:pPr>
        <w:ind w:left="1701" w:hanging="567"/>
        <w:rPr>
          <w:szCs w:val="24"/>
        </w:rPr>
      </w:pPr>
      <w:r w:rsidRPr="007A67AB">
        <w:rPr>
          <w:szCs w:val="24"/>
        </w:rPr>
        <w:t>"f)</w:t>
      </w:r>
      <w:r w:rsidRPr="007A67AB">
        <w:rPr>
          <w:szCs w:val="24"/>
        </w:rPr>
        <w:tab/>
        <w:t xml:space="preserve">Ja e) apakšpunktā minētie finanšu līdzekļi nav pietiekami, lai segtu konkrētas noregulējuma darbības izmaksas, attiecīgās Līgumslēdzējas puses periodā līdz termiņa </w:t>
      </w:r>
      <w:r w:rsidR="00526685" w:rsidRPr="007A67AB">
        <w:rPr>
          <w:szCs w:val="24"/>
        </w:rPr>
        <w:t xml:space="preserve">beigām </w:t>
      </w:r>
      <w:r w:rsidRPr="007A67AB">
        <w:rPr>
          <w:szCs w:val="24"/>
        </w:rPr>
        <w:t xml:space="preserve">un līdz pilnīgai atmaksai pārskaita ārkārtas </w:t>
      </w:r>
      <w:proofErr w:type="spellStart"/>
      <w:r w:rsidRPr="007A67AB">
        <w:rPr>
          <w:i/>
          <w:iCs/>
          <w:szCs w:val="24"/>
        </w:rPr>
        <w:t>ex</w:t>
      </w:r>
      <w:proofErr w:type="spellEnd"/>
      <w:r w:rsidRPr="007A67AB">
        <w:rPr>
          <w:i/>
          <w:iCs/>
          <w:szCs w:val="24"/>
        </w:rPr>
        <w:t xml:space="preserve"> post</w:t>
      </w:r>
      <w:r w:rsidRPr="007A67AB">
        <w:rPr>
          <w:szCs w:val="24"/>
        </w:rPr>
        <w:t xml:space="preserve"> iemaksas, ko</w:t>
      </w:r>
      <w:r w:rsidR="00526685" w:rsidRPr="007A67AB">
        <w:rPr>
          <w:szCs w:val="24"/>
        </w:rPr>
        <w:t>,</w:t>
      </w:r>
      <w:r w:rsidRPr="007A67AB">
        <w:rPr>
          <w:szCs w:val="24"/>
        </w:rPr>
        <w:t xml:space="preserve"> </w:t>
      </w:r>
      <w:r w:rsidR="00526685" w:rsidRPr="007A67AB">
        <w:rPr>
          <w:szCs w:val="24"/>
        </w:rPr>
        <w:t>ņemot vērā VNM regulas 71. panta 1. punkta otrajā daļā noteikto limitu, vēl drīkst</w:t>
      </w:r>
      <w:r w:rsidRPr="007A67AB">
        <w:rPr>
          <w:szCs w:val="24"/>
        </w:rPr>
        <w:t xml:space="preserve"> piesaistīt no iestādēm, kam piešķirta darbības atļauja to teritorijā, lai atmaksātu aizņēmumus vai cita veida atbalstu, par ko </w:t>
      </w:r>
      <w:r w:rsidR="00526685" w:rsidRPr="007A67AB">
        <w:rPr>
          <w:szCs w:val="24"/>
        </w:rPr>
        <w:t>v</w:t>
      </w:r>
      <w:r w:rsidRPr="007A67AB">
        <w:rPr>
          <w:szCs w:val="24"/>
        </w:rPr>
        <w:t>alde var slēgt līgumus saskaņā ar VNM regulas 73. un 74. pantu.";</w:t>
      </w:r>
    </w:p>
    <w:p w14:paraId="0F3F846B" w14:textId="4EFEDA78" w:rsidR="00573DCF" w:rsidRPr="007A67AB" w:rsidRDefault="00573DCF" w:rsidP="007A67AB">
      <w:pPr>
        <w:rPr>
          <w:szCs w:val="24"/>
        </w:rPr>
      </w:pPr>
    </w:p>
    <w:p w14:paraId="56043B7C" w14:textId="77777777" w:rsidR="00877B50" w:rsidRPr="007A67AB" w:rsidRDefault="00877B50" w:rsidP="007A67AB">
      <w:pPr>
        <w:rPr>
          <w:szCs w:val="24"/>
        </w:rPr>
      </w:pPr>
      <w:r w:rsidRPr="007A67AB">
        <w:rPr>
          <w:szCs w:val="24"/>
        </w:rPr>
        <w:br w:type="page"/>
      </w:r>
    </w:p>
    <w:p w14:paraId="12C7C435" w14:textId="63C34A3F" w:rsidR="00573DCF" w:rsidRPr="007A67AB" w:rsidRDefault="00573DCF" w:rsidP="007A67AB">
      <w:pPr>
        <w:rPr>
          <w:szCs w:val="24"/>
        </w:rPr>
      </w:pPr>
      <w:r w:rsidRPr="007A67AB">
        <w:rPr>
          <w:szCs w:val="24"/>
        </w:rPr>
        <w:lastRenderedPageBreak/>
        <w:t>2)</w:t>
      </w:r>
      <w:r w:rsidRPr="007A67AB">
        <w:rPr>
          <w:szCs w:val="24"/>
        </w:rPr>
        <w:tab/>
        <w:t>nolīguma 7. panta 1. punktu aizstāj ar šādu:</w:t>
      </w:r>
    </w:p>
    <w:p w14:paraId="14BED5BC" w14:textId="77777777" w:rsidR="00573DCF" w:rsidRPr="007A67AB" w:rsidRDefault="00573DCF" w:rsidP="007A67AB">
      <w:pPr>
        <w:rPr>
          <w:szCs w:val="24"/>
        </w:rPr>
      </w:pPr>
    </w:p>
    <w:p w14:paraId="606BDBDB" w14:textId="1D8FE491" w:rsidR="001A58E5" w:rsidRPr="007A67AB" w:rsidRDefault="00573DCF" w:rsidP="007A67AB">
      <w:pPr>
        <w:ind w:left="1134" w:hanging="567"/>
        <w:rPr>
          <w:szCs w:val="24"/>
        </w:rPr>
      </w:pPr>
      <w:r w:rsidRPr="007A67AB">
        <w:rPr>
          <w:szCs w:val="24"/>
        </w:rPr>
        <w:t>"1.</w:t>
      </w:r>
      <w:r w:rsidRPr="007A67AB">
        <w:rPr>
          <w:szCs w:val="24"/>
        </w:rPr>
        <w:tab/>
        <w:t>Neskarot 5. panta 1. punkta a)–d) apakšpunktā paredzētās saistības, noregulējumā iesaistītās Līgumslēdzējas puses var pārejas periodā lūgt valdei uz laiku izmantot to daļu no finanšu līdzekļiem, kas pieejami fonda nodalījumos, kur</w:t>
      </w:r>
      <w:r w:rsidR="00526685" w:rsidRPr="007A67AB">
        <w:rPr>
          <w:szCs w:val="24"/>
        </w:rPr>
        <w:t>i</w:t>
      </w:r>
      <w:r w:rsidRPr="007A67AB">
        <w:rPr>
          <w:szCs w:val="24"/>
        </w:rPr>
        <w:t xml:space="preserve"> nav vēl kopīgot</w:t>
      </w:r>
      <w:r w:rsidR="00526685" w:rsidRPr="007A67AB">
        <w:rPr>
          <w:szCs w:val="24"/>
        </w:rPr>
        <w:t>i</w:t>
      </w:r>
      <w:r w:rsidRPr="007A67AB">
        <w:rPr>
          <w:szCs w:val="24"/>
        </w:rPr>
        <w:t xml:space="preserve"> un attiecas uz pārējām Līgumslēdzējām pusēm. Šādā gadījumā piemēro 5. panta 1. punkta e) apakšpunktu.".</w:t>
      </w:r>
    </w:p>
    <w:p w14:paraId="781A54C6" w14:textId="5870FA53" w:rsidR="00573DCF" w:rsidRDefault="00573DCF" w:rsidP="007A67AB">
      <w:pPr>
        <w:rPr>
          <w:rFonts w:eastAsia="Calibri"/>
          <w:szCs w:val="24"/>
        </w:rPr>
      </w:pPr>
    </w:p>
    <w:p w14:paraId="014038B1" w14:textId="77777777" w:rsidR="007A67AB" w:rsidRPr="007A67AB" w:rsidRDefault="007A67AB" w:rsidP="007A67AB">
      <w:pPr>
        <w:rPr>
          <w:rFonts w:eastAsia="Calibri"/>
          <w:szCs w:val="24"/>
        </w:rPr>
      </w:pPr>
    </w:p>
    <w:p w14:paraId="25333B13" w14:textId="77777777" w:rsidR="00573DCF" w:rsidRPr="007A67AB" w:rsidRDefault="00573DCF" w:rsidP="007A67AB">
      <w:pPr>
        <w:jc w:val="center"/>
        <w:rPr>
          <w:bCs/>
          <w:szCs w:val="24"/>
        </w:rPr>
      </w:pPr>
      <w:r w:rsidRPr="007A67AB">
        <w:rPr>
          <w:bCs/>
          <w:szCs w:val="24"/>
        </w:rPr>
        <w:t>2. PANTS</w:t>
      </w:r>
    </w:p>
    <w:p w14:paraId="396E0738" w14:textId="77777777" w:rsidR="00573DCF" w:rsidRPr="007A67AB" w:rsidRDefault="00573DCF" w:rsidP="007A67AB">
      <w:pPr>
        <w:jc w:val="center"/>
        <w:rPr>
          <w:bCs/>
          <w:szCs w:val="24"/>
        </w:rPr>
      </w:pPr>
    </w:p>
    <w:p w14:paraId="4D17B57A" w14:textId="77777777" w:rsidR="00573DCF" w:rsidRPr="007A67AB" w:rsidRDefault="00573DCF" w:rsidP="007A67AB">
      <w:pPr>
        <w:jc w:val="center"/>
        <w:rPr>
          <w:bCs/>
          <w:szCs w:val="24"/>
        </w:rPr>
      </w:pPr>
      <w:r w:rsidRPr="007A67AB">
        <w:rPr>
          <w:bCs/>
          <w:szCs w:val="24"/>
        </w:rPr>
        <w:t>Deponējums</w:t>
      </w:r>
    </w:p>
    <w:p w14:paraId="2199E3C3" w14:textId="77777777" w:rsidR="00573DCF" w:rsidRPr="007A67AB" w:rsidRDefault="00573DCF" w:rsidP="007A67AB">
      <w:pPr>
        <w:rPr>
          <w:bCs/>
          <w:szCs w:val="24"/>
        </w:rPr>
      </w:pPr>
    </w:p>
    <w:p w14:paraId="27C36C89" w14:textId="344060CC" w:rsidR="00573DCF" w:rsidRPr="007A67AB" w:rsidRDefault="00573DCF" w:rsidP="007A67AB">
      <w:pPr>
        <w:rPr>
          <w:szCs w:val="24"/>
        </w:rPr>
      </w:pPr>
      <w:r w:rsidRPr="007A67AB">
        <w:rPr>
          <w:szCs w:val="24"/>
        </w:rPr>
        <w:t xml:space="preserve">Šo grozošo nolīgumu deponē Eiropas Savienības Padomes Ģenerālsekretariātam ("depozitārs"), kas </w:t>
      </w:r>
      <w:r w:rsidR="00566A7B" w:rsidRPr="007A67AB">
        <w:rPr>
          <w:szCs w:val="24"/>
        </w:rPr>
        <w:t xml:space="preserve">visiem parakstītājiem nodod </w:t>
      </w:r>
      <w:r w:rsidRPr="007A67AB">
        <w:rPr>
          <w:szCs w:val="24"/>
        </w:rPr>
        <w:t>apstiprinātās kopijas.</w:t>
      </w:r>
    </w:p>
    <w:p w14:paraId="0F277C32" w14:textId="2E4B75DA" w:rsidR="00573DCF" w:rsidRDefault="00573DCF" w:rsidP="007A67AB">
      <w:pPr>
        <w:rPr>
          <w:szCs w:val="24"/>
        </w:rPr>
      </w:pPr>
    </w:p>
    <w:p w14:paraId="1FF4F70D" w14:textId="77777777" w:rsidR="007A67AB" w:rsidRPr="007A67AB" w:rsidRDefault="007A67AB" w:rsidP="007A67AB">
      <w:pPr>
        <w:rPr>
          <w:szCs w:val="24"/>
        </w:rPr>
      </w:pPr>
    </w:p>
    <w:p w14:paraId="78D43505" w14:textId="77777777" w:rsidR="00573DCF" w:rsidRPr="007A67AB" w:rsidRDefault="00573DCF" w:rsidP="007A67AB">
      <w:pPr>
        <w:jc w:val="center"/>
        <w:rPr>
          <w:szCs w:val="24"/>
        </w:rPr>
      </w:pPr>
      <w:r w:rsidRPr="007A67AB">
        <w:rPr>
          <w:szCs w:val="24"/>
        </w:rPr>
        <w:t>3. PANTS</w:t>
      </w:r>
    </w:p>
    <w:p w14:paraId="0002FD20" w14:textId="77777777" w:rsidR="00573DCF" w:rsidRPr="007A67AB" w:rsidRDefault="00573DCF" w:rsidP="007A67AB">
      <w:pPr>
        <w:jc w:val="center"/>
        <w:rPr>
          <w:szCs w:val="24"/>
        </w:rPr>
      </w:pPr>
    </w:p>
    <w:p w14:paraId="0DB5754B" w14:textId="77777777" w:rsidR="00573DCF" w:rsidRPr="007A67AB" w:rsidRDefault="00573DCF" w:rsidP="007A67AB">
      <w:pPr>
        <w:jc w:val="center"/>
        <w:rPr>
          <w:szCs w:val="24"/>
        </w:rPr>
      </w:pPr>
      <w:r w:rsidRPr="007A67AB">
        <w:rPr>
          <w:szCs w:val="24"/>
        </w:rPr>
        <w:t>Konsolidācija</w:t>
      </w:r>
    </w:p>
    <w:p w14:paraId="0561685C" w14:textId="77777777" w:rsidR="00573DCF" w:rsidRPr="007A67AB" w:rsidRDefault="00573DCF" w:rsidP="007A67AB">
      <w:pPr>
        <w:rPr>
          <w:szCs w:val="24"/>
        </w:rPr>
      </w:pPr>
    </w:p>
    <w:p w14:paraId="04ED55DF" w14:textId="24CE4EF3" w:rsidR="00573DCF" w:rsidRPr="007A67AB" w:rsidRDefault="00573DCF" w:rsidP="007A67AB">
      <w:pPr>
        <w:rPr>
          <w:szCs w:val="24"/>
        </w:rPr>
      </w:pPr>
      <w:r w:rsidRPr="007A67AB">
        <w:rPr>
          <w:szCs w:val="24"/>
        </w:rPr>
        <w:t xml:space="preserve">Depozitārs </w:t>
      </w:r>
      <w:r w:rsidR="00566A7B" w:rsidRPr="007A67AB">
        <w:rPr>
          <w:szCs w:val="24"/>
        </w:rPr>
        <w:t xml:space="preserve">sastāda </w:t>
      </w:r>
      <w:r w:rsidRPr="007A67AB">
        <w:rPr>
          <w:szCs w:val="24"/>
        </w:rPr>
        <w:t>Nolīguma par iemaksu pārskaitīšanu uz vienoto noregulējuma fondu un to kopīgošanu konsolidētu redakciju un nodod to visiem parakstītājiem.</w:t>
      </w:r>
    </w:p>
    <w:p w14:paraId="20040FF0" w14:textId="77777777" w:rsidR="00573DCF" w:rsidRPr="007A67AB" w:rsidRDefault="00573DCF" w:rsidP="007A67AB">
      <w:pPr>
        <w:rPr>
          <w:szCs w:val="24"/>
        </w:rPr>
      </w:pPr>
    </w:p>
    <w:p w14:paraId="56E423B2" w14:textId="77777777" w:rsidR="00573DCF" w:rsidRPr="007A67AB" w:rsidRDefault="00573DCF" w:rsidP="007A67AB">
      <w:pPr>
        <w:rPr>
          <w:szCs w:val="24"/>
        </w:rPr>
      </w:pPr>
    </w:p>
    <w:p w14:paraId="663B2353" w14:textId="77777777" w:rsidR="00877B50" w:rsidRPr="007A67AB" w:rsidRDefault="00877B50" w:rsidP="007A67AB">
      <w:pPr>
        <w:rPr>
          <w:szCs w:val="24"/>
        </w:rPr>
      </w:pPr>
      <w:r w:rsidRPr="007A67AB">
        <w:rPr>
          <w:szCs w:val="24"/>
        </w:rPr>
        <w:br w:type="page"/>
      </w:r>
    </w:p>
    <w:p w14:paraId="093A3A06" w14:textId="5116795F" w:rsidR="00573DCF" w:rsidRPr="007A67AB" w:rsidRDefault="00573DCF" w:rsidP="007A67AB">
      <w:pPr>
        <w:jc w:val="center"/>
        <w:rPr>
          <w:szCs w:val="24"/>
        </w:rPr>
      </w:pPr>
      <w:r w:rsidRPr="007A67AB">
        <w:rPr>
          <w:szCs w:val="24"/>
        </w:rPr>
        <w:lastRenderedPageBreak/>
        <w:t>4. PANTS</w:t>
      </w:r>
    </w:p>
    <w:p w14:paraId="19D0A597" w14:textId="77777777" w:rsidR="00573DCF" w:rsidRPr="007A67AB" w:rsidRDefault="00573DCF" w:rsidP="007A67AB">
      <w:pPr>
        <w:jc w:val="center"/>
        <w:rPr>
          <w:szCs w:val="24"/>
        </w:rPr>
      </w:pPr>
    </w:p>
    <w:p w14:paraId="746D482D" w14:textId="77777777" w:rsidR="00573DCF" w:rsidRPr="007A67AB" w:rsidRDefault="00573DCF" w:rsidP="007A67AB">
      <w:pPr>
        <w:jc w:val="center"/>
        <w:rPr>
          <w:szCs w:val="24"/>
        </w:rPr>
      </w:pPr>
      <w:r w:rsidRPr="007A67AB">
        <w:rPr>
          <w:szCs w:val="24"/>
        </w:rPr>
        <w:t>Ratifikācija, apstiprināšana vai pieņemšana</w:t>
      </w:r>
    </w:p>
    <w:p w14:paraId="1F76DAA4" w14:textId="77777777" w:rsidR="00573DCF" w:rsidRPr="007A67AB" w:rsidRDefault="00573DCF" w:rsidP="007A67AB">
      <w:pPr>
        <w:rPr>
          <w:szCs w:val="24"/>
        </w:rPr>
      </w:pPr>
    </w:p>
    <w:p w14:paraId="2DAE7575" w14:textId="77777777" w:rsidR="00573DCF" w:rsidRPr="007A67AB" w:rsidRDefault="00573DCF" w:rsidP="007A67AB">
      <w:pPr>
        <w:rPr>
          <w:szCs w:val="24"/>
        </w:rPr>
      </w:pPr>
      <w:r w:rsidRPr="007A67AB">
        <w:rPr>
          <w:szCs w:val="24"/>
        </w:rPr>
        <w:t>1.</w:t>
      </w:r>
      <w:r w:rsidRPr="007A67AB">
        <w:rPr>
          <w:szCs w:val="24"/>
        </w:rPr>
        <w:tab/>
        <w:t>Šo grozošo nolīgumu ratificē, apstiprina vai pieņem tā parakstītāji. Ratifikācijas, apstiprināšanas vai pieņemšanas instrumentus deponē depozitāram.</w:t>
      </w:r>
    </w:p>
    <w:p w14:paraId="18DCE5F8" w14:textId="77777777" w:rsidR="00573DCF" w:rsidRPr="007A67AB" w:rsidRDefault="00573DCF" w:rsidP="007A67AB">
      <w:pPr>
        <w:rPr>
          <w:szCs w:val="24"/>
        </w:rPr>
      </w:pPr>
    </w:p>
    <w:p w14:paraId="6D6F141D" w14:textId="77777777" w:rsidR="00573DCF" w:rsidRPr="007A67AB" w:rsidRDefault="00573DCF" w:rsidP="007A67AB">
      <w:pPr>
        <w:rPr>
          <w:szCs w:val="24"/>
        </w:rPr>
      </w:pPr>
      <w:r w:rsidRPr="007A67AB">
        <w:rPr>
          <w:szCs w:val="24"/>
        </w:rPr>
        <w:t>2.</w:t>
      </w:r>
      <w:r w:rsidRPr="007A67AB">
        <w:rPr>
          <w:szCs w:val="24"/>
        </w:rPr>
        <w:tab/>
        <w:t>Depozitārs paziņo pārējiem parakstītājiem par katru deponēšanu un tās dienu.</w:t>
      </w:r>
    </w:p>
    <w:p w14:paraId="59637F24" w14:textId="77777777" w:rsidR="00573DCF" w:rsidRPr="007A67AB" w:rsidRDefault="00573DCF" w:rsidP="007A67AB">
      <w:pPr>
        <w:rPr>
          <w:szCs w:val="24"/>
        </w:rPr>
      </w:pPr>
    </w:p>
    <w:p w14:paraId="5911636A" w14:textId="77777777" w:rsidR="00573DCF" w:rsidRPr="007A67AB" w:rsidRDefault="00573DCF" w:rsidP="007A67AB">
      <w:pPr>
        <w:rPr>
          <w:szCs w:val="24"/>
        </w:rPr>
      </w:pPr>
    </w:p>
    <w:p w14:paraId="0B1FC376" w14:textId="77777777" w:rsidR="00573DCF" w:rsidRPr="007A67AB" w:rsidRDefault="00573DCF" w:rsidP="007A67AB">
      <w:pPr>
        <w:jc w:val="center"/>
        <w:rPr>
          <w:szCs w:val="24"/>
        </w:rPr>
      </w:pPr>
      <w:r w:rsidRPr="007A67AB">
        <w:rPr>
          <w:szCs w:val="24"/>
        </w:rPr>
        <w:t>5. PANTS</w:t>
      </w:r>
    </w:p>
    <w:p w14:paraId="5C9A3333" w14:textId="77777777" w:rsidR="00573DCF" w:rsidRPr="007A67AB" w:rsidRDefault="00573DCF" w:rsidP="007A67AB">
      <w:pPr>
        <w:jc w:val="center"/>
        <w:rPr>
          <w:szCs w:val="24"/>
        </w:rPr>
      </w:pPr>
    </w:p>
    <w:p w14:paraId="22AB013F" w14:textId="77777777" w:rsidR="00573DCF" w:rsidRPr="007A67AB" w:rsidRDefault="00573DCF" w:rsidP="007A67AB">
      <w:pPr>
        <w:jc w:val="center"/>
        <w:rPr>
          <w:szCs w:val="24"/>
        </w:rPr>
      </w:pPr>
      <w:r w:rsidRPr="007A67AB">
        <w:rPr>
          <w:szCs w:val="24"/>
        </w:rPr>
        <w:t>Stāšanās spēkā, piemērošana un pievienošanās</w:t>
      </w:r>
    </w:p>
    <w:p w14:paraId="155B9FF0" w14:textId="77777777" w:rsidR="00573DCF" w:rsidRPr="007A67AB" w:rsidRDefault="00573DCF" w:rsidP="007A67AB">
      <w:pPr>
        <w:rPr>
          <w:szCs w:val="24"/>
        </w:rPr>
      </w:pPr>
    </w:p>
    <w:p w14:paraId="771369B0" w14:textId="19B775C7" w:rsidR="00573DCF" w:rsidRPr="007A67AB" w:rsidRDefault="00573DCF" w:rsidP="007A67AB">
      <w:pPr>
        <w:rPr>
          <w:szCs w:val="24"/>
        </w:rPr>
      </w:pPr>
      <w:r w:rsidRPr="007A67AB">
        <w:rPr>
          <w:szCs w:val="24"/>
        </w:rPr>
        <w:t>1.</w:t>
      </w:r>
      <w:r w:rsidRPr="007A67AB">
        <w:rPr>
          <w:szCs w:val="24"/>
        </w:rPr>
        <w:tab/>
        <w:t xml:space="preserve">Šis grozošais nolīgums stājas spēkā dienā, kad ratifikācijas, apstiprināšanas vai pieņemšanas instrumentus ir deponējuši visi parakstītāji, kas piedalās vienotajā uzraudzības mehānismā un vienotajā noregulējuma mehānismā. Neskarot 2. punktu, to piemēro no tā spēkā stāšanās </w:t>
      </w:r>
      <w:r w:rsidR="007B2855" w:rsidRPr="007A67AB">
        <w:rPr>
          <w:szCs w:val="24"/>
        </w:rPr>
        <w:t>dienas</w:t>
      </w:r>
      <w:r w:rsidRPr="007A67AB">
        <w:rPr>
          <w:szCs w:val="24"/>
        </w:rPr>
        <w:t>.</w:t>
      </w:r>
    </w:p>
    <w:p w14:paraId="3ECA8B49" w14:textId="77777777" w:rsidR="00573DCF" w:rsidRPr="007A67AB" w:rsidRDefault="00573DCF" w:rsidP="007A67AB">
      <w:pPr>
        <w:rPr>
          <w:szCs w:val="24"/>
        </w:rPr>
      </w:pPr>
    </w:p>
    <w:p w14:paraId="3F1FDB79" w14:textId="77777777" w:rsidR="007A67AB" w:rsidRDefault="007A67AB">
      <w:pPr>
        <w:widowControl/>
        <w:spacing w:line="240" w:lineRule="auto"/>
        <w:rPr>
          <w:szCs w:val="24"/>
        </w:rPr>
      </w:pPr>
      <w:r>
        <w:rPr>
          <w:szCs w:val="24"/>
        </w:rPr>
        <w:br w:type="page"/>
      </w:r>
    </w:p>
    <w:p w14:paraId="7B4E3D38" w14:textId="2D697434" w:rsidR="00573DCF" w:rsidRPr="007A67AB" w:rsidRDefault="00573DCF" w:rsidP="007A67AB">
      <w:pPr>
        <w:rPr>
          <w:b/>
          <w:i/>
          <w:szCs w:val="24"/>
        </w:rPr>
      </w:pPr>
      <w:bookmarkStart w:id="0" w:name="_GoBack"/>
      <w:bookmarkEnd w:id="0"/>
      <w:r w:rsidRPr="007A67AB">
        <w:rPr>
          <w:szCs w:val="24"/>
        </w:rPr>
        <w:lastRenderedPageBreak/>
        <w:t>2.</w:t>
      </w:r>
      <w:r w:rsidRPr="007A67AB">
        <w:rPr>
          <w:szCs w:val="24"/>
        </w:rPr>
        <w:tab/>
        <w:t>Ja šis grozošais nolīgums ir stājies spēkā saskaņā ar 1. punktu un ja pirms minētās stāšanās spēkā nav izpildīti turpmāk izklāstītie nosacījumi, šo grozošo nolīgumu piemēro</w:t>
      </w:r>
      <w:r w:rsidR="007B2855" w:rsidRPr="007A67AB">
        <w:rPr>
          <w:szCs w:val="24"/>
        </w:rPr>
        <w:t xml:space="preserve"> no</w:t>
      </w:r>
      <w:r w:rsidRPr="007A67AB">
        <w:rPr>
          <w:szCs w:val="24"/>
        </w:rPr>
        <w:t xml:space="preserve"> dienas, kura seko dienai, kad ir izpildīti šādi nosacījumi</w:t>
      </w:r>
      <w:r w:rsidRPr="007A67AB">
        <w:rPr>
          <w:b/>
          <w:i/>
          <w:szCs w:val="24"/>
        </w:rPr>
        <w:t>:</w:t>
      </w:r>
    </w:p>
    <w:p w14:paraId="43BC458D" w14:textId="1658A836" w:rsidR="00877B50" w:rsidRPr="007A67AB" w:rsidRDefault="00877B50" w:rsidP="007A67AB">
      <w:pPr>
        <w:rPr>
          <w:rFonts w:eastAsiaTheme="minorHAnsi"/>
          <w:szCs w:val="24"/>
          <w:lang w:eastAsia="en-GB"/>
        </w:rPr>
      </w:pPr>
    </w:p>
    <w:p w14:paraId="038F750C" w14:textId="12432D3B" w:rsidR="00573DCF" w:rsidRDefault="00573DCF" w:rsidP="007A67AB">
      <w:pPr>
        <w:ind w:left="567" w:hanging="567"/>
        <w:rPr>
          <w:szCs w:val="24"/>
        </w:rPr>
      </w:pPr>
      <w:r w:rsidRPr="007A67AB">
        <w:rPr>
          <w:szCs w:val="24"/>
        </w:rPr>
        <w:t>a)</w:t>
      </w:r>
      <w:r w:rsidR="007A67AB">
        <w:rPr>
          <w:szCs w:val="24"/>
        </w:rPr>
        <w:tab/>
      </w:r>
      <w:r w:rsidRPr="007A67AB">
        <w:rPr>
          <w:szCs w:val="24"/>
        </w:rPr>
        <w:t xml:space="preserve">Līgumslēdzējas puses, kas piedalās vienotajā uzraudzības mehānismā un vienotajā noregulējuma mehānismā, pamatojoties uz iestāžu un kompetento iestāžu 2020. gadā veikto novērtējumu, ir secinājušas, ka ir panākts pietiekams progress riska samazināšanas jomā, kā minēts vienotajam noregulējuma fondam paredzētā kopīgā atbalsta </w:t>
      </w:r>
      <w:r w:rsidR="007B2855" w:rsidRPr="007A67AB">
        <w:rPr>
          <w:szCs w:val="24"/>
        </w:rPr>
        <w:t>instrumenta darbības principos</w:t>
      </w:r>
      <w:r w:rsidRPr="007A67AB">
        <w:rPr>
          <w:szCs w:val="24"/>
        </w:rPr>
        <w:t xml:space="preserve">, ko 2018. gada 14. decembra </w:t>
      </w:r>
      <w:proofErr w:type="spellStart"/>
      <w:r w:rsidRPr="00CF4ACB">
        <w:rPr>
          <w:i/>
          <w:iCs/>
          <w:szCs w:val="24"/>
        </w:rPr>
        <w:t>Euro</w:t>
      </w:r>
      <w:proofErr w:type="spellEnd"/>
      <w:r w:rsidR="00220605">
        <w:rPr>
          <w:szCs w:val="24"/>
        </w:rPr>
        <w:t xml:space="preserve"> </w:t>
      </w:r>
      <w:r w:rsidRPr="007A67AB">
        <w:rPr>
          <w:szCs w:val="24"/>
        </w:rPr>
        <w:t xml:space="preserve">samitā iekļaujošā sastāvā apstiprināja to dalībvalstu </w:t>
      </w:r>
      <w:r w:rsidR="007B2855" w:rsidRPr="007A67AB">
        <w:rPr>
          <w:szCs w:val="24"/>
        </w:rPr>
        <w:t xml:space="preserve">valstu </w:t>
      </w:r>
      <w:r w:rsidRPr="007A67AB">
        <w:rPr>
          <w:szCs w:val="24"/>
        </w:rPr>
        <w:t xml:space="preserve">vai valdību vadītāji, kuru naudas vienība ir </w:t>
      </w:r>
      <w:proofErr w:type="spellStart"/>
      <w:r w:rsidRPr="00CF4ACB">
        <w:rPr>
          <w:i/>
          <w:iCs/>
          <w:szCs w:val="24"/>
        </w:rPr>
        <w:t>euro</w:t>
      </w:r>
      <w:proofErr w:type="spellEnd"/>
      <w:r w:rsidR="007B2855" w:rsidRPr="007A67AB">
        <w:rPr>
          <w:szCs w:val="24"/>
        </w:rPr>
        <w:t>;</w:t>
      </w:r>
      <w:r w:rsidRPr="007A67AB">
        <w:rPr>
          <w:szCs w:val="24"/>
        </w:rPr>
        <w:t xml:space="preserve"> un</w:t>
      </w:r>
    </w:p>
    <w:p w14:paraId="383A2CC3" w14:textId="77777777" w:rsidR="007A67AB" w:rsidRPr="007A67AB" w:rsidRDefault="007A67AB" w:rsidP="007A67AB">
      <w:pPr>
        <w:rPr>
          <w:szCs w:val="24"/>
        </w:rPr>
      </w:pPr>
    </w:p>
    <w:p w14:paraId="6A871855" w14:textId="216F3C7B" w:rsidR="00573DCF" w:rsidRDefault="00573DCF" w:rsidP="00044F41">
      <w:pPr>
        <w:ind w:left="567" w:hanging="567"/>
        <w:rPr>
          <w:szCs w:val="24"/>
        </w:rPr>
      </w:pPr>
      <w:r w:rsidRPr="007A67AB">
        <w:rPr>
          <w:szCs w:val="24"/>
        </w:rPr>
        <w:t>b)</w:t>
      </w:r>
      <w:r w:rsidR="007A67AB">
        <w:rPr>
          <w:szCs w:val="24"/>
        </w:rPr>
        <w:tab/>
      </w:r>
      <w:r w:rsidRPr="007A67AB">
        <w:rPr>
          <w:szCs w:val="24"/>
        </w:rPr>
        <w:t xml:space="preserve">ir stājusies spēkā Eiropas </w:t>
      </w:r>
      <w:r w:rsidR="00044F41">
        <w:rPr>
          <w:szCs w:val="24"/>
        </w:rPr>
        <w:t>Stabilitātes</w:t>
      </w:r>
      <w:r w:rsidR="00044F41" w:rsidRPr="007A67AB">
        <w:rPr>
          <w:szCs w:val="24"/>
        </w:rPr>
        <w:t xml:space="preserve"> </w:t>
      </w:r>
      <w:r w:rsidRPr="007A67AB">
        <w:rPr>
          <w:szCs w:val="24"/>
        </w:rPr>
        <w:t xml:space="preserve">mehānisma valdes rezolūcija par atbalsta instrumenta piešķiršanu saskaņā ar Līguma par Eiropas </w:t>
      </w:r>
      <w:r w:rsidR="002C52C9" w:rsidRPr="007A67AB">
        <w:rPr>
          <w:szCs w:val="24"/>
        </w:rPr>
        <w:t xml:space="preserve">Stabilitātes </w:t>
      </w:r>
      <w:r w:rsidRPr="007A67AB">
        <w:rPr>
          <w:szCs w:val="24"/>
        </w:rPr>
        <w:t xml:space="preserve">mehānisma </w:t>
      </w:r>
      <w:r w:rsidR="002C52C9" w:rsidRPr="007A67AB">
        <w:rPr>
          <w:szCs w:val="24"/>
        </w:rPr>
        <w:t xml:space="preserve">dibināšanu </w:t>
      </w:r>
      <w:r w:rsidRPr="007A67AB">
        <w:rPr>
          <w:szCs w:val="24"/>
        </w:rPr>
        <w:t>18.a panta 1. punktu</w:t>
      </w:r>
      <w:r w:rsidRPr="007A67AB">
        <w:rPr>
          <w:bCs/>
          <w:szCs w:val="24"/>
        </w:rPr>
        <w:t>.</w:t>
      </w:r>
    </w:p>
    <w:p w14:paraId="6ECDC489" w14:textId="77777777" w:rsidR="007A67AB" w:rsidRPr="007A67AB" w:rsidRDefault="007A67AB" w:rsidP="007A67AB">
      <w:pPr>
        <w:ind w:left="567" w:hanging="567"/>
        <w:rPr>
          <w:szCs w:val="24"/>
        </w:rPr>
      </w:pPr>
    </w:p>
    <w:p w14:paraId="5BBD5935" w14:textId="77777777" w:rsidR="00573DCF" w:rsidRPr="007A67AB" w:rsidRDefault="00573DCF" w:rsidP="007A67AB">
      <w:pPr>
        <w:rPr>
          <w:szCs w:val="24"/>
        </w:rPr>
      </w:pPr>
      <w:r w:rsidRPr="007A67AB">
        <w:rPr>
          <w:szCs w:val="24"/>
        </w:rPr>
        <w:t>3.</w:t>
      </w:r>
      <w:r w:rsidRPr="007A67AB">
        <w:rPr>
          <w:szCs w:val="24"/>
        </w:rPr>
        <w:tab/>
        <w:t>Pirms šis grozošais nolīgums stājas spēkā, tam var pievienoties Eiropas Savienības dalībvalstis, kuras pievienojas Nolīgumam par iemaksu pārskaitīšanu uz vienoto noregulējuma fondu un to kopīgošanu saskaņā ar tā 13. pantu.</w:t>
      </w:r>
    </w:p>
    <w:p w14:paraId="0A14286A" w14:textId="77777777" w:rsidR="00573DCF" w:rsidRPr="007A67AB" w:rsidRDefault="00573DCF" w:rsidP="007A67AB">
      <w:pPr>
        <w:rPr>
          <w:szCs w:val="24"/>
        </w:rPr>
      </w:pPr>
    </w:p>
    <w:p w14:paraId="425F1C09" w14:textId="77777777" w:rsidR="00573DCF" w:rsidRPr="007A67AB" w:rsidRDefault="00573DCF" w:rsidP="007A67AB">
      <w:pPr>
        <w:rPr>
          <w:szCs w:val="24"/>
        </w:rPr>
      </w:pPr>
      <w:r w:rsidRPr="007A67AB">
        <w:rPr>
          <w:szCs w:val="24"/>
        </w:rPr>
        <w:t>Nolīguma par iemaksu pārskaitīšanu uz vienoto noregulējuma fondu un to kopīgošanu 13. pants attiecas arī uz pievienošanos šim grozošajam nolīgumam.</w:t>
      </w:r>
    </w:p>
    <w:p w14:paraId="55C36195" w14:textId="77777777" w:rsidR="00573DCF" w:rsidRPr="007A67AB" w:rsidRDefault="00573DCF" w:rsidP="007A67AB">
      <w:pPr>
        <w:rPr>
          <w:szCs w:val="24"/>
        </w:rPr>
      </w:pPr>
    </w:p>
    <w:p w14:paraId="2966FF41" w14:textId="77777777" w:rsidR="00877B50" w:rsidRPr="007A67AB" w:rsidRDefault="00877B50" w:rsidP="007A67AB">
      <w:pPr>
        <w:rPr>
          <w:szCs w:val="24"/>
        </w:rPr>
      </w:pPr>
      <w:r w:rsidRPr="007A67AB">
        <w:rPr>
          <w:szCs w:val="24"/>
        </w:rPr>
        <w:br w:type="page"/>
      </w:r>
    </w:p>
    <w:p w14:paraId="43836293" w14:textId="28C5053F" w:rsidR="00573DCF" w:rsidRPr="007A67AB" w:rsidRDefault="00573DCF" w:rsidP="007A67AB">
      <w:pPr>
        <w:rPr>
          <w:szCs w:val="24"/>
        </w:rPr>
      </w:pPr>
      <w:r w:rsidRPr="007A67AB">
        <w:rPr>
          <w:szCs w:val="24"/>
        </w:rPr>
        <w:lastRenderedPageBreak/>
        <w:t>Dalībvalsts, kura pievienojas, iesniedz pieteikumu par pievienošanos šim grozošajam nolīgumam vienlaicīgi ar pieteikumu par pievienošanos Nolīgumam par iemaksu pārskaitīšanu uz vienoto noregulējuma fondu un to kopīgošanu. Pievienošanās ir spēkā, vienlaikus deponējot pievienošanās instrumentus gan Nolīgumam par iemaksu pārskaitīšanu uz vienoto noregulējuma fondu un to kopīgošanu, gan šim grozošajam nolīgumam.</w:t>
      </w:r>
    </w:p>
    <w:p w14:paraId="2C54FBBC" w14:textId="77777777" w:rsidR="00573DCF" w:rsidRPr="007A67AB" w:rsidRDefault="00573DCF" w:rsidP="007A67AB">
      <w:pPr>
        <w:rPr>
          <w:szCs w:val="24"/>
        </w:rPr>
      </w:pPr>
    </w:p>
    <w:p w14:paraId="534A31D7" w14:textId="77777777" w:rsidR="00573DCF" w:rsidRPr="007A67AB" w:rsidRDefault="00573DCF" w:rsidP="007A67AB">
      <w:pPr>
        <w:rPr>
          <w:szCs w:val="24"/>
        </w:rPr>
      </w:pPr>
      <w:r w:rsidRPr="007A67AB">
        <w:rPr>
          <w:szCs w:val="24"/>
        </w:rPr>
        <w:t>Sagatavots ..., ... gada ... vienā oriģināleksemplārā, kura angļu, bulgāru, čehu, dāņu, franču, grieķu, holandiešu, horvātu, igauņu, itāļu, īru, latviešu, lietuviešu, maltiešu, poļu, portugāļu, rumāņu, slovāku, slovēņu, somu, spāņu, ungāru, vācu un zviedru valodas teksti ir vienlīdz autentiski.</w:t>
      </w:r>
    </w:p>
    <w:p w14:paraId="70612A88" w14:textId="4EEB447F" w:rsidR="00DD1F7A" w:rsidRPr="007A67AB" w:rsidRDefault="00DD1F7A" w:rsidP="007A67AB">
      <w:pPr>
        <w:rPr>
          <w:szCs w:val="24"/>
        </w:rPr>
      </w:pPr>
    </w:p>
    <w:sectPr w:rsidR="00DD1F7A" w:rsidRPr="007A67AB" w:rsidSect="00275E52">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6ED0" w14:textId="77777777" w:rsidR="006C3E84" w:rsidRDefault="006C3E84">
      <w:r>
        <w:separator/>
      </w:r>
    </w:p>
  </w:endnote>
  <w:endnote w:type="continuationSeparator" w:id="0">
    <w:p w14:paraId="11E82FD6" w14:textId="77777777" w:rsidR="006C3E84" w:rsidRDefault="006C3E84">
      <w:r>
        <w:separator/>
      </w:r>
    </w:p>
  </w:endnote>
  <w:endnote w:type="continuationNotice" w:id="1">
    <w:p w14:paraId="29493D05" w14:textId="77777777" w:rsidR="006C3E84" w:rsidRDefault="006C3E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3987" w14:textId="77777777" w:rsidR="007A67AB" w:rsidRDefault="007A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2388" w14:textId="77777777" w:rsidR="007A67AB" w:rsidRDefault="007A67AB" w:rsidP="007A67AB">
    <w:pPr>
      <w:pStyle w:val="Footer"/>
    </w:pPr>
  </w:p>
  <w:p w14:paraId="41E9F3BE" w14:textId="4B16B1CD" w:rsidR="007A67AB" w:rsidRPr="00606E6D" w:rsidRDefault="007A67AB" w:rsidP="007A67AB">
    <w:pPr>
      <w:pStyle w:val="Footer"/>
      <w:jc w:val="center"/>
    </w:pPr>
    <w:r>
      <w:fldChar w:fldCharType="begin"/>
    </w:r>
    <w:r>
      <w:instrText xml:space="preserve"> MACROBUTTON Nomacro &amp; </w:instrText>
    </w:r>
    <w:r>
      <w:fldChar w:fldCharType="end"/>
    </w:r>
    <w:r>
      <w:t xml:space="preserve">/lv </w:t>
    </w:r>
    <w:r>
      <w:fldChar w:fldCharType="begin"/>
    </w:r>
    <w:r>
      <w:instrText xml:space="preserve"> PAGE  \* MERGEFORMAT </w:instrText>
    </w:r>
    <w:r>
      <w:fldChar w:fldCharType="separate"/>
    </w:r>
    <w:r w:rsidR="00104BFF">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3937" w14:textId="77777777" w:rsidR="007A67AB" w:rsidRDefault="007A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01BF" w14:textId="77777777" w:rsidR="006C3E84" w:rsidRDefault="006C3E84">
      <w:pPr>
        <w:pStyle w:val="FootnoteText"/>
      </w:pPr>
      <w:r>
        <w:separator/>
      </w:r>
    </w:p>
  </w:footnote>
  <w:footnote w:type="continuationSeparator" w:id="0">
    <w:p w14:paraId="647F08B4" w14:textId="77777777" w:rsidR="006C3E84" w:rsidRDefault="006C3E84">
      <w:pPr>
        <w:pStyle w:val="FootnoteText"/>
      </w:pPr>
      <w:r>
        <w:separator/>
      </w:r>
    </w:p>
  </w:footnote>
  <w:footnote w:type="continuationNotice" w:id="1">
    <w:p w14:paraId="0B92CBF4" w14:textId="77777777" w:rsidR="006C3E84" w:rsidRDefault="006C3E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9888" w14:textId="77777777" w:rsidR="007A67AB" w:rsidRDefault="007A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9BB8" w14:textId="77777777" w:rsidR="007A67AB" w:rsidRDefault="007A6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E151" w14:textId="77777777" w:rsidR="007A67AB" w:rsidRDefault="007A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1B0"/>
    <w:multiLevelType w:val="hybridMultilevel"/>
    <w:tmpl w:val="D9C276B0"/>
    <w:lvl w:ilvl="0" w:tplc="B734C10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A578B"/>
    <w:multiLevelType w:val="hybridMultilevel"/>
    <w:tmpl w:val="9EDCDA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62229F"/>
    <w:multiLevelType w:val="hybridMultilevel"/>
    <w:tmpl w:val="1A7EAEF4"/>
    <w:lvl w:ilvl="0" w:tplc="17E8714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927C5"/>
    <w:multiLevelType w:val="multilevel"/>
    <w:tmpl w:val="C2C48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15:restartNumberingAfterBreak="0">
    <w:nsid w:val="0F4922E8"/>
    <w:multiLevelType w:val="hybridMultilevel"/>
    <w:tmpl w:val="8CAE7406"/>
    <w:lvl w:ilvl="0" w:tplc="44747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E668D"/>
    <w:multiLevelType w:val="hybridMultilevel"/>
    <w:tmpl w:val="377CE2E8"/>
    <w:lvl w:ilvl="0" w:tplc="0B02ABA0">
      <w:numFmt w:val="bullet"/>
      <w:lvlText w:val="-"/>
      <w:lvlJc w:val="left"/>
      <w:pPr>
        <w:ind w:left="1401" w:hanging="360"/>
      </w:pPr>
      <w:rPr>
        <w:rFonts w:ascii="Calibri" w:eastAsia="Times New Roman" w:hAnsi="Calibri" w:cs="Times New Roman"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7" w15:restartNumberingAfterBreak="0">
    <w:nsid w:val="1536796C"/>
    <w:multiLevelType w:val="hybridMultilevel"/>
    <w:tmpl w:val="D9C276B0"/>
    <w:lvl w:ilvl="0" w:tplc="B734C10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829BC"/>
    <w:multiLevelType w:val="hybridMultilevel"/>
    <w:tmpl w:val="B01CAB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E08C8"/>
    <w:multiLevelType w:val="hybridMultilevel"/>
    <w:tmpl w:val="CDE2157C"/>
    <w:lvl w:ilvl="0" w:tplc="7A082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44A2"/>
    <w:multiLevelType w:val="hybridMultilevel"/>
    <w:tmpl w:val="5EDED786"/>
    <w:lvl w:ilvl="0" w:tplc="A8D2EF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B05B3"/>
    <w:multiLevelType w:val="hybridMultilevel"/>
    <w:tmpl w:val="9B9AF692"/>
    <w:lvl w:ilvl="0" w:tplc="803AB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07A67"/>
    <w:multiLevelType w:val="hybridMultilevel"/>
    <w:tmpl w:val="0CFA3BA4"/>
    <w:lvl w:ilvl="0" w:tplc="0B02ABA0">
      <w:numFmt w:val="bullet"/>
      <w:lvlText w:val="-"/>
      <w:lvlJc w:val="left"/>
      <w:pPr>
        <w:ind w:left="1041" w:hanging="360"/>
      </w:pPr>
      <w:rPr>
        <w:rFonts w:ascii="Calibri" w:eastAsia="Times New Roman" w:hAnsi="Calibri" w:cs="Times New Roman"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4"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23105AF3"/>
    <w:multiLevelType w:val="hybridMultilevel"/>
    <w:tmpl w:val="C0B0969E"/>
    <w:lvl w:ilvl="0" w:tplc="0E44C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C582D"/>
    <w:multiLevelType w:val="hybridMultilevel"/>
    <w:tmpl w:val="1FBCF364"/>
    <w:lvl w:ilvl="0" w:tplc="E7BCA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6326A"/>
    <w:multiLevelType w:val="hybridMultilevel"/>
    <w:tmpl w:val="C0B0969E"/>
    <w:lvl w:ilvl="0" w:tplc="0E44C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B4D0D"/>
    <w:multiLevelType w:val="hybridMultilevel"/>
    <w:tmpl w:val="1A103BAA"/>
    <w:lvl w:ilvl="0" w:tplc="68782BD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770BB"/>
    <w:multiLevelType w:val="hybridMultilevel"/>
    <w:tmpl w:val="7436B396"/>
    <w:lvl w:ilvl="0" w:tplc="A9B62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1"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2" w15:restartNumberingAfterBreak="0">
    <w:nsid w:val="2DFE2787"/>
    <w:multiLevelType w:val="hybridMultilevel"/>
    <w:tmpl w:val="E28EE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150CB7"/>
    <w:multiLevelType w:val="hybridMultilevel"/>
    <w:tmpl w:val="231C376E"/>
    <w:lvl w:ilvl="0" w:tplc="C186D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3C4F44"/>
    <w:multiLevelType w:val="hybridMultilevel"/>
    <w:tmpl w:val="CB505EAE"/>
    <w:lvl w:ilvl="0" w:tplc="0809000F">
      <w:start w:val="1"/>
      <w:numFmt w:val="decimal"/>
      <w:lvlText w:val="%1."/>
      <w:lvlJc w:val="left"/>
      <w:pPr>
        <w:ind w:left="720" w:hanging="360"/>
      </w:pPr>
    </w:lvl>
    <w:lvl w:ilvl="1" w:tplc="8BC0EFB2">
      <w:start w:val="1"/>
      <w:numFmt w:val="lowerLetter"/>
      <w:lvlText w:val="(%2)"/>
      <w:lvlJc w:val="left"/>
      <w:pPr>
        <w:ind w:left="1334" w:hanging="1050"/>
      </w:pPr>
      <w:rPr>
        <w:rFonts w:hint="default"/>
      </w:rPr>
    </w:lvl>
    <w:lvl w:ilvl="2" w:tplc="0809001B">
      <w:start w:val="1"/>
      <w:numFmt w:val="lowerRoman"/>
      <w:lvlText w:val="%3."/>
      <w:lvlJc w:val="right"/>
      <w:pPr>
        <w:ind w:left="2024"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15:restartNumberingAfterBreak="0">
    <w:nsid w:val="3B9C0CF5"/>
    <w:multiLevelType w:val="hybridMultilevel"/>
    <w:tmpl w:val="8CAE7406"/>
    <w:lvl w:ilvl="0" w:tplc="44747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A150CD"/>
    <w:multiLevelType w:val="hybridMultilevel"/>
    <w:tmpl w:val="CDE2157C"/>
    <w:lvl w:ilvl="0" w:tplc="7A082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9" w15:restartNumberingAfterBreak="0">
    <w:nsid w:val="3E895581"/>
    <w:multiLevelType w:val="hybridMultilevel"/>
    <w:tmpl w:val="F1087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15:restartNumberingAfterBreak="0">
    <w:nsid w:val="447D2145"/>
    <w:multiLevelType w:val="hybridMultilevel"/>
    <w:tmpl w:val="289C69C8"/>
    <w:lvl w:ilvl="0" w:tplc="34563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8712C2"/>
    <w:multiLevelType w:val="hybridMultilevel"/>
    <w:tmpl w:val="0DC2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F0A4C"/>
    <w:multiLevelType w:val="hybridMultilevel"/>
    <w:tmpl w:val="67AE14BC"/>
    <w:lvl w:ilvl="0" w:tplc="8BC0EF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160790"/>
    <w:multiLevelType w:val="hybridMultilevel"/>
    <w:tmpl w:val="9536B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32150"/>
    <w:multiLevelType w:val="hybridMultilevel"/>
    <w:tmpl w:val="2EFCCE66"/>
    <w:lvl w:ilvl="0" w:tplc="A9A0C8BC">
      <w:start w:val="1"/>
      <w:numFmt w:val="decimal"/>
      <w:lvlText w:val="%1."/>
      <w:lvlJc w:val="left"/>
      <w:pPr>
        <w:tabs>
          <w:tab w:val="num" w:pos="643"/>
        </w:tabs>
        <w:ind w:left="643" w:hanging="360"/>
      </w:pPr>
      <w:rPr>
        <w:rFonts w:hint="default"/>
        <w:b w:val="0"/>
        <w:i w:val="0"/>
      </w:rPr>
    </w:lvl>
    <w:lvl w:ilvl="1" w:tplc="7E028D7C">
      <w:start w:val="1"/>
      <w:numFmt w:val="decimal"/>
      <w:lvlText w:val="%2."/>
      <w:lvlJc w:val="left"/>
      <w:pPr>
        <w:tabs>
          <w:tab w:val="num" w:pos="1080"/>
        </w:tabs>
        <w:ind w:left="1080" w:hanging="360"/>
      </w:pPr>
      <w:rPr>
        <w:rFonts w:ascii="Georgia" w:eastAsia="Calibri" w:hAnsi="Georgia" w:cs="Times New Roman"/>
      </w:rPr>
    </w:lvl>
    <w:lvl w:ilvl="2" w:tplc="96F0140A">
      <w:start w:val="1"/>
      <w:numFmt w:val="lowerLetter"/>
      <w:lvlText w:val="%3."/>
      <w:lvlJc w:val="right"/>
      <w:pPr>
        <w:tabs>
          <w:tab w:val="num" w:pos="1800"/>
        </w:tabs>
        <w:ind w:left="1800" w:hanging="180"/>
      </w:pPr>
      <w:rPr>
        <w:rFonts w:ascii="Georgia" w:eastAsia="Calibri" w:hAnsi="Georgia" w:cs="Times New Roman"/>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3FB59D5"/>
    <w:multiLevelType w:val="hybridMultilevel"/>
    <w:tmpl w:val="3FF8A04E"/>
    <w:lvl w:ilvl="0" w:tplc="AFC25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85013"/>
    <w:multiLevelType w:val="hybridMultilevel"/>
    <w:tmpl w:val="D6A6278A"/>
    <w:lvl w:ilvl="0" w:tplc="A86A5770">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0" w15:restartNumberingAfterBreak="0">
    <w:nsid w:val="6F613993"/>
    <w:multiLevelType w:val="hybridMultilevel"/>
    <w:tmpl w:val="9BAEE87A"/>
    <w:lvl w:ilvl="0" w:tplc="4C34DD0E">
      <w:start w:val="1"/>
      <w:numFmt w:val="lowerLetter"/>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EE74ED"/>
    <w:multiLevelType w:val="hybridMultilevel"/>
    <w:tmpl w:val="81CA9780"/>
    <w:lvl w:ilvl="0" w:tplc="EB664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15:restartNumberingAfterBreak="0">
    <w:nsid w:val="7D8E7885"/>
    <w:multiLevelType w:val="hybridMultilevel"/>
    <w:tmpl w:val="969E9B04"/>
    <w:lvl w:ilvl="0" w:tplc="3B4A0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159F4"/>
    <w:multiLevelType w:val="hybridMultilevel"/>
    <w:tmpl w:val="8196BF26"/>
    <w:lvl w:ilvl="0" w:tplc="6CA0ADEE">
      <w:start w:val="1"/>
      <w:numFmt w:val="low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28"/>
  </w:num>
  <w:num w:numId="3">
    <w:abstractNumId w:val="42"/>
  </w:num>
  <w:num w:numId="4">
    <w:abstractNumId w:val="13"/>
  </w:num>
  <w:num w:numId="5">
    <w:abstractNumId w:val="31"/>
  </w:num>
  <w:num w:numId="6">
    <w:abstractNumId w:val="25"/>
  </w:num>
  <w:num w:numId="7">
    <w:abstractNumId w:val="30"/>
  </w:num>
  <w:num w:numId="8">
    <w:abstractNumId w:val="39"/>
  </w:num>
  <w:num w:numId="9">
    <w:abstractNumId w:val="20"/>
  </w:num>
  <w:num w:numId="10">
    <w:abstractNumId w:val="4"/>
  </w:num>
  <w:num w:numId="11">
    <w:abstractNumId w:val="14"/>
  </w:num>
  <w:num w:numId="12">
    <w:abstractNumId w:val="14"/>
  </w:num>
  <w:num w:numId="13">
    <w:abstractNumId w:val="14"/>
  </w:num>
  <w:num w:numId="14">
    <w:abstractNumId w:val="14"/>
  </w:num>
  <w:num w:numId="15">
    <w:abstractNumId w:val="0"/>
  </w:num>
  <w:num w:numId="16">
    <w:abstractNumId w:val="29"/>
  </w:num>
  <w:num w:numId="17">
    <w:abstractNumId w:val="1"/>
  </w:num>
  <w:num w:numId="18">
    <w:abstractNumId w:val="40"/>
  </w:num>
  <w:num w:numId="19">
    <w:abstractNumId w:val="2"/>
  </w:num>
  <w:num w:numId="20">
    <w:abstractNumId w:val="10"/>
  </w:num>
  <w:num w:numId="21">
    <w:abstractNumId w:val="41"/>
  </w:num>
  <w:num w:numId="22">
    <w:abstractNumId w:val="11"/>
  </w:num>
  <w:num w:numId="23">
    <w:abstractNumId w:val="32"/>
  </w:num>
  <w:num w:numId="24">
    <w:abstractNumId w:val="17"/>
  </w:num>
  <w:num w:numId="25">
    <w:abstractNumId w:val="37"/>
  </w:num>
  <w:num w:numId="26">
    <w:abstractNumId w:val="19"/>
  </w:num>
  <w:num w:numId="27">
    <w:abstractNumId w:val="16"/>
  </w:num>
  <w:num w:numId="28">
    <w:abstractNumId w:val="33"/>
  </w:num>
  <w:num w:numId="29">
    <w:abstractNumId w:val="18"/>
  </w:num>
  <w:num w:numId="30">
    <w:abstractNumId w:val="22"/>
  </w:num>
  <w:num w:numId="31">
    <w:abstractNumId w:val="7"/>
  </w:num>
  <w:num w:numId="32">
    <w:abstractNumId w:val="9"/>
  </w:num>
  <w:num w:numId="33">
    <w:abstractNumId w:val="27"/>
  </w:num>
  <w:num w:numId="34">
    <w:abstractNumId w:val="26"/>
  </w:num>
  <w:num w:numId="35">
    <w:abstractNumId w:val="23"/>
  </w:num>
  <w:num w:numId="36">
    <w:abstractNumId w:val="43"/>
  </w:num>
  <w:num w:numId="37">
    <w:abstractNumId w:val="15"/>
  </w:num>
  <w:num w:numId="38">
    <w:abstractNumId w:val="8"/>
  </w:num>
  <w:num w:numId="39">
    <w:abstractNumId w:val="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8"/>
  </w:num>
  <w:num w:numId="44">
    <w:abstractNumId w:val="35"/>
  </w:num>
  <w:num w:numId="45">
    <w:abstractNumId w:val="12"/>
  </w:num>
  <w:num w:numId="46">
    <w:abstractNumId w:val="6"/>
  </w:num>
  <w:num w:numId="47">
    <w:abstractNumId w:val="3"/>
  </w:num>
  <w:num w:numId="48">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en-US" w:vendorID="64" w:dllVersion="131078" w:nlCheck="1" w:checkStyle="0"/>
  <w:activeWritingStyle w:appName="MSWord" w:lang="en-GB" w:vendorID="64" w:dllVersion="131078" w:nlCheck="1" w:checkStyle="0"/>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Num" w:val="0"/>
    <w:docVar w:name="DW_DocType" w:val="_GenEn"/>
  </w:docVars>
  <w:rsids>
    <w:rsidRoot w:val="00960313"/>
    <w:rsid w:val="00000CA9"/>
    <w:rsid w:val="000077E3"/>
    <w:rsid w:val="00007A54"/>
    <w:rsid w:val="00016B44"/>
    <w:rsid w:val="00022CB8"/>
    <w:rsid w:val="00024B0D"/>
    <w:rsid w:val="000256FF"/>
    <w:rsid w:val="000360BE"/>
    <w:rsid w:val="00037949"/>
    <w:rsid w:val="000449B4"/>
    <w:rsid w:val="00044F41"/>
    <w:rsid w:val="0005086A"/>
    <w:rsid w:val="00052491"/>
    <w:rsid w:val="00054C4B"/>
    <w:rsid w:val="00067F31"/>
    <w:rsid w:val="00075910"/>
    <w:rsid w:val="00083FBC"/>
    <w:rsid w:val="000867FF"/>
    <w:rsid w:val="00087B8D"/>
    <w:rsid w:val="00090235"/>
    <w:rsid w:val="00091259"/>
    <w:rsid w:val="00092472"/>
    <w:rsid w:val="0009569C"/>
    <w:rsid w:val="0009631D"/>
    <w:rsid w:val="000A24B0"/>
    <w:rsid w:val="000A3826"/>
    <w:rsid w:val="000A4FE6"/>
    <w:rsid w:val="000B3C38"/>
    <w:rsid w:val="000B5E04"/>
    <w:rsid w:val="000C37CB"/>
    <w:rsid w:val="000D2B33"/>
    <w:rsid w:val="000D319C"/>
    <w:rsid w:val="000D6C84"/>
    <w:rsid w:val="000E1847"/>
    <w:rsid w:val="000E1C75"/>
    <w:rsid w:val="000F46DA"/>
    <w:rsid w:val="000F52E9"/>
    <w:rsid w:val="000F7365"/>
    <w:rsid w:val="001030CD"/>
    <w:rsid w:val="00104BFF"/>
    <w:rsid w:val="00106F0D"/>
    <w:rsid w:val="00106F68"/>
    <w:rsid w:val="0012335A"/>
    <w:rsid w:val="00125268"/>
    <w:rsid w:val="0012665C"/>
    <w:rsid w:val="001343CA"/>
    <w:rsid w:val="0014406C"/>
    <w:rsid w:val="001458C5"/>
    <w:rsid w:val="00147532"/>
    <w:rsid w:val="001540F9"/>
    <w:rsid w:val="00156CB3"/>
    <w:rsid w:val="00160C7C"/>
    <w:rsid w:val="00164E11"/>
    <w:rsid w:val="00171F08"/>
    <w:rsid w:val="0017477F"/>
    <w:rsid w:val="00174E40"/>
    <w:rsid w:val="00174EC6"/>
    <w:rsid w:val="00175093"/>
    <w:rsid w:val="001845DA"/>
    <w:rsid w:val="001915AA"/>
    <w:rsid w:val="001A17BA"/>
    <w:rsid w:val="001A58E5"/>
    <w:rsid w:val="001C0253"/>
    <w:rsid w:val="001C3030"/>
    <w:rsid w:val="001D32CE"/>
    <w:rsid w:val="001D60D8"/>
    <w:rsid w:val="001E0DEE"/>
    <w:rsid w:val="001F59C5"/>
    <w:rsid w:val="001F7964"/>
    <w:rsid w:val="0020127F"/>
    <w:rsid w:val="00204F63"/>
    <w:rsid w:val="00205B5C"/>
    <w:rsid w:val="002075F4"/>
    <w:rsid w:val="00220605"/>
    <w:rsid w:val="00220AE0"/>
    <w:rsid w:val="0022170F"/>
    <w:rsid w:val="0022250D"/>
    <w:rsid w:val="002229AE"/>
    <w:rsid w:val="0022389E"/>
    <w:rsid w:val="00232303"/>
    <w:rsid w:val="00234D95"/>
    <w:rsid w:val="00240C43"/>
    <w:rsid w:val="0024283F"/>
    <w:rsid w:val="00254822"/>
    <w:rsid w:val="0025703C"/>
    <w:rsid w:val="00275E52"/>
    <w:rsid w:val="00277374"/>
    <w:rsid w:val="00282319"/>
    <w:rsid w:val="00285924"/>
    <w:rsid w:val="00292CD3"/>
    <w:rsid w:val="002A000E"/>
    <w:rsid w:val="002A700E"/>
    <w:rsid w:val="002B28C5"/>
    <w:rsid w:val="002C2564"/>
    <w:rsid w:val="002C30A3"/>
    <w:rsid w:val="002C52C9"/>
    <w:rsid w:val="002C7200"/>
    <w:rsid w:val="002D0849"/>
    <w:rsid w:val="002D1EFE"/>
    <w:rsid w:val="002D4EFA"/>
    <w:rsid w:val="002D5B64"/>
    <w:rsid w:val="002E0F84"/>
    <w:rsid w:val="002E2F9C"/>
    <w:rsid w:val="002E455C"/>
    <w:rsid w:val="002E46F1"/>
    <w:rsid w:val="002E7EFE"/>
    <w:rsid w:val="002F1116"/>
    <w:rsid w:val="002F27EF"/>
    <w:rsid w:val="002F4948"/>
    <w:rsid w:val="002F4B38"/>
    <w:rsid w:val="002F5AD0"/>
    <w:rsid w:val="002F6067"/>
    <w:rsid w:val="00304C1B"/>
    <w:rsid w:val="00304DEB"/>
    <w:rsid w:val="00316D9A"/>
    <w:rsid w:val="00323225"/>
    <w:rsid w:val="00323558"/>
    <w:rsid w:val="00323DF1"/>
    <w:rsid w:val="003317EC"/>
    <w:rsid w:val="00335A55"/>
    <w:rsid w:val="00337362"/>
    <w:rsid w:val="003428F7"/>
    <w:rsid w:val="0034468D"/>
    <w:rsid w:val="00346493"/>
    <w:rsid w:val="003500AF"/>
    <w:rsid w:val="003505F5"/>
    <w:rsid w:val="00353ABA"/>
    <w:rsid w:val="003544B2"/>
    <w:rsid w:val="00365A1E"/>
    <w:rsid w:val="00376FF1"/>
    <w:rsid w:val="003812B9"/>
    <w:rsid w:val="0039090B"/>
    <w:rsid w:val="00392040"/>
    <w:rsid w:val="003946BA"/>
    <w:rsid w:val="00395C5D"/>
    <w:rsid w:val="003B14AE"/>
    <w:rsid w:val="003B2613"/>
    <w:rsid w:val="003B4BBB"/>
    <w:rsid w:val="003C7DA9"/>
    <w:rsid w:val="003D12D6"/>
    <w:rsid w:val="003D207B"/>
    <w:rsid w:val="003D4EDB"/>
    <w:rsid w:val="003D5361"/>
    <w:rsid w:val="003D60C5"/>
    <w:rsid w:val="003F010B"/>
    <w:rsid w:val="003F7522"/>
    <w:rsid w:val="0040594D"/>
    <w:rsid w:val="00410588"/>
    <w:rsid w:val="00411619"/>
    <w:rsid w:val="00417003"/>
    <w:rsid w:val="00417C59"/>
    <w:rsid w:val="00421D95"/>
    <w:rsid w:val="00426C28"/>
    <w:rsid w:val="004311EE"/>
    <w:rsid w:val="00434BDE"/>
    <w:rsid w:val="00445F2C"/>
    <w:rsid w:val="00446EA1"/>
    <w:rsid w:val="00453121"/>
    <w:rsid w:val="00462C5A"/>
    <w:rsid w:val="00462CBB"/>
    <w:rsid w:val="00464B6C"/>
    <w:rsid w:val="0046587E"/>
    <w:rsid w:val="00465B83"/>
    <w:rsid w:val="00471EC0"/>
    <w:rsid w:val="00472CCE"/>
    <w:rsid w:val="00474EAD"/>
    <w:rsid w:val="0048189D"/>
    <w:rsid w:val="00483712"/>
    <w:rsid w:val="00490932"/>
    <w:rsid w:val="00491ACF"/>
    <w:rsid w:val="00493D8F"/>
    <w:rsid w:val="00497E7F"/>
    <w:rsid w:val="004A2D94"/>
    <w:rsid w:val="004B4001"/>
    <w:rsid w:val="004B75C1"/>
    <w:rsid w:val="004D202F"/>
    <w:rsid w:val="004E09B5"/>
    <w:rsid w:val="004E30A8"/>
    <w:rsid w:val="004E79FF"/>
    <w:rsid w:val="004F054D"/>
    <w:rsid w:val="004F0875"/>
    <w:rsid w:val="004F1F3A"/>
    <w:rsid w:val="00504739"/>
    <w:rsid w:val="005059F0"/>
    <w:rsid w:val="005115B2"/>
    <w:rsid w:val="005176C6"/>
    <w:rsid w:val="00517AFA"/>
    <w:rsid w:val="00517F1E"/>
    <w:rsid w:val="00526685"/>
    <w:rsid w:val="0053148A"/>
    <w:rsid w:val="00540CCA"/>
    <w:rsid w:val="00542458"/>
    <w:rsid w:val="0054470F"/>
    <w:rsid w:val="005520E3"/>
    <w:rsid w:val="005555EB"/>
    <w:rsid w:val="005606AF"/>
    <w:rsid w:val="00563753"/>
    <w:rsid w:val="00566A7B"/>
    <w:rsid w:val="00566FEA"/>
    <w:rsid w:val="00573235"/>
    <w:rsid w:val="00573DCF"/>
    <w:rsid w:val="0057464D"/>
    <w:rsid w:val="00582DAC"/>
    <w:rsid w:val="0058502D"/>
    <w:rsid w:val="00591446"/>
    <w:rsid w:val="00597939"/>
    <w:rsid w:val="00597D91"/>
    <w:rsid w:val="005B0624"/>
    <w:rsid w:val="005C10C0"/>
    <w:rsid w:val="005C1DE3"/>
    <w:rsid w:val="005C4936"/>
    <w:rsid w:val="005D11D1"/>
    <w:rsid w:val="005D3C88"/>
    <w:rsid w:val="005D59F9"/>
    <w:rsid w:val="005E0F4C"/>
    <w:rsid w:val="005E295B"/>
    <w:rsid w:val="005F1A8B"/>
    <w:rsid w:val="005F45C3"/>
    <w:rsid w:val="005F793E"/>
    <w:rsid w:val="00604699"/>
    <w:rsid w:val="00606E6D"/>
    <w:rsid w:val="00615C14"/>
    <w:rsid w:val="006164E1"/>
    <w:rsid w:val="00621212"/>
    <w:rsid w:val="00621CF5"/>
    <w:rsid w:val="00624674"/>
    <w:rsid w:val="00624C6D"/>
    <w:rsid w:val="00627335"/>
    <w:rsid w:val="00632FB0"/>
    <w:rsid w:val="00645D27"/>
    <w:rsid w:val="0065146A"/>
    <w:rsid w:val="0065291B"/>
    <w:rsid w:val="006575EB"/>
    <w:rsid w:val="006609FB"/>
    <w:rsid w:val="006644C9"/>
    <w:rsid w:val="0068158B"/>
    <w:rsid w:val="00681EB1"/>
    <w:rsid w:val="0069229A"/>
    <w:rsid w:val="00692ECB"/>
    <w:rsid w:val="0069311C"/>
    <w:rsid w:val="006937B9"/>
    <w:rsid w:val="00694F12"/>
    <w:rsid w:val="0069647E"/>
    <w:rsid w:val="006A0D97"/>
    <w:rsid w:val="006A316A"/>
    <w:rsid w:val="006A3A32"/>
    <w:rsid w:val="006A4E12"/>
    <w:rsid w:val="006A5D23"/>
    <w:rsid w:val="006B3FE1"/>
    <w:rsid w:val="006C1B1B"/>
    <w:rsid w:val="006C3E84"/>
    <w:rsid w:val="006C6C26"/>
    <w:rsid w:val="006C7E3E"/>
    <w:rsid w:val="006D2C19"/>
    <w:rsid w:val="006D3D66"/>
    <w:rsid w:val="006D6861"/>
    <w:rsid w:val="006E5355"/>
    <w:rsid w:val="006E59ED"/>
    <w:rsid w:val="006F22F6"/>
    <w:rsid w:val="006F289E"/>
    <w:rsid w:val="006F3E3F"/>
    <w:rsid w:val="006F76BB"/>
    <w:rsid w:val="00703423"/>
    <w:rsid w:val="007150CA"/>
    <w:rsid w:val="007360E9"/>
    <w:rsid w:val="0073690E"/>
    <w:rsid w:val="00741EE9"/>
    <w:rsid w:val="007425E3"/>
    <w:rsid w:val="0075359F"/>
    <w:rsid w:val="00754CB7"/>
    <w:rsid w:val="00761854"/>
    <w:rsid w:val="00762DBA"/>
    <w:rsid w:val="007651B0"/>
    <w:rsid w:val="007654CE"/>
    <w:rsid w:val="0076794C"/>
    <w:rsid w:val="00775244"/>
    <w:rsid w:val="0077561E"/>
    <w:rsid w:val="007838EE"/>
    <w:rsid w:val="007910F7"/>
    <w:rsid w:val="0079543B"/>
    <w:rsid w:val="00795CA1"/>
    <w:rsid w:val="007A038C"/>
    <w:rsid w:val="007A09DA"/>
    <w:rsid w:val="007A2210"/>
    <w:rsid w:val="007A6296"/>
    <w:rsid w:val="007A67AB"/>
    <w:rsid w:val="007B0D74"/>
    <w:rsid w:val="007B2855"/>
    <w:rsid w:val="007B6E58"/>
    <w:rsid w:val="007D0248"/>
    <w:rsid w:val="007F07CE"/>
    <w:rsid w:val="007F2DD2"/>
    <w:rsid w:val="007F38E2"/>
    <w:rsid w:val="007F7819"/>
    <w:rsid w:val="008016A4"/>
    <w:rsid w:val="00801CF2"/>
    <w:rsid w:val="00802439"/>
    <w:rsid w:val="00805536"/>
    <w:rsid w:val="008073C3"/>
    <w:rsid w:val="00815CBB"/>
    <w:rsid w:val="0081789E"/>
    <w:rsid w:val="00820D9C"/>
    <w:rsid w:val="00821B78"/>
    <w:rsid w:val="00823E48"/>
    <w:rsid w:val="00824953"/>
    <w:rsid w:val="0083043C"/>
    <w:rsid w:val="00837D01"/>
    <w:rsid w:val="0085074B"/>
    <w:rsid w:val="008515A7"/>
    <w:rsid w:val="00853B46"/>
    <w:rsid w:val="00877B50"/>
    <w:rsid w:val="00881885"/>
    <w:rsid w:val="0088319A"/>
    <w:rsid w:val="00886A2C"/>
    <w:rsid w:val="008922D1"/>
    <w:rsid w:val="00895557"/>
    <w:rsid w:val="008A1FD3"/>
    <w:rsid w:val="008B0694"/>
    <w:rsid w:val="008B3E59"/>
    <w:rsid w:val="008C5158"/>
    <w:rsid w:val="008C5307"/>
    <w:rsid w:val="008D04D2"/>
    <w:rsid w:val="008D0C58"/>
    <w:rsid w:val="008D2267"/>
    <w:rsid w:val="008D3B70"/>
    <w:rsid w:val="008D3F5F"/>
    <w:rsid w:val="008E6CE1"/>
    <w:rsid w:val="008F0F94"/>
    <w:rsid w:val="008F547B"/>
    <w:rsid w:val="009000D4"/>
    <w:rsid w:val="009014AB"/>
    <w:rsid w:val="00901A25"/>
    <w:rsid w:val="009042AD"/>
    <w:rsid w:val="00904767"/>
    <w:rsid w:val="00907A87"/>
    <w:rsid w:val="009135EF"/>
    <w:rsid w:val="00925BB6"/>
    <w:rsid w:val="00930DEC"/>
    <w:rsid w:val="00950B14"/>
    <w:rsid w:val="00960313"/>
    <w:rsid w:val="00964411"/>
    <w:rsid w:val="009700CD"/>
    <w:rsid w:val="00972DFF"/>
    <w:rsid w:val="00974659"/>
    <w:rsid w:val="009846A3"/>
    <w:rsid w:val="00984A04"/>
    <w:rsid w:val="00995506"/>
    <w:rsid w:val="00995B6E"/>
    <w:rsid w:val="009A1D2C"/>
    <w:rsid w:val="009A2CCB"/>
    <w:rsid w:val="009A4419"/>
    <w:rsid w:val="009A728B"/>
    <w:rsid w:val="009B6232"/>
    <w:rsid w:val="009D15C2"/>
    <w:rsid w:val="009D220A"/>
    <w:rsid w:val="009E7878"/>
    <w:rsid w:val="009F0FE5"/>
    <w:rsid w:val="009F2731"/>
    <w:rsid w:val="009F52FD"/>
    <w:rsid w:val="00A01CD7"/>
    <w:rsid w:val="00A12F9B"/>
    <w:rsid w:val="00A14BF1"/>
    <w:rsid w:val="00A253B0"/>
    <w:rsid w:val="00A31E33"/>
    <w:rsid w:val="00A338F0"/>
    <w:rsid w:val="00A33E07"/>
    <w:rsid w:val="00A3456F"/>
    <w:rsid w:val="00A457FF"/>
    <w:rsid w:val="00A55622"/>
    <w:rsid w:val="00A55EB4"/>
    <w:rsid w:val="00A56CF2"/>
    <w:rsid w:val="00A63BBA"/>
    <w:rsid w:val="00A82806"/>
    <w:rsid w:val="00A83A74"/>
    <w:rsid w:val="00A8452C"/>
    <w:rsid w:val="00A85C3E"/>
    <w:rsid w:val="00A9225C"/>
    <w:rsid w:val="00A9613B"/>
    <w:rsid w:val="00AA1259"/>
    <w:rsid w:val="00AA3A04"/>
    <w:rsid w:val="00AC5309"/>
    <w:rsid w:val="00AD020C"/>
    <w:rsid w:val="00AE6D64"/>
    <w:rsid w:val="00B0145E"/>
    <w:rsid w:val="00B01529"/>
    <w:rsid w:val="00B01763"/>
    <w:rsid w:val="00B052D2"/>
    <w:rsid w:val="00B06651"/>
    <w:rsid w:val="00B104EA"/>
    <w:rsid w:val="00B112C8"/>
    <w:rsid w:val="00B20AFB"/>
    <w:rsid w:val="00B40E1C"/>
    <w:rsid w:val="00B422CD"/>
    <w:rsid w:val="00B44B01"/>
    <w:rsid w:val="00B47EB3"/>
    <w:rsid w:val="00B55A5E"/>
    <w:rsid w:val="00B722DD"/>
    <w:rsid w:val="00B767F1"/>
    <w:rsid w:val="00B810B1"/>
    <w:rsid w:val="00B836C2"/>
    <w:rsid w:val="00B839F8"/>
    <w:rsid w:val="00B845E7"/>
    <w:rsid w:val="00B87F8B"/>
    <w:rsid w:val="00B9096D"/>
    <w:rsid w:val="00B97461"/>
    <w:rsid w:val="00B979A6"/>
    <w:rsid w:val="00BB5143"/>
    <w:rsid w:val="00BB5D94"/>
    <w:rsid w:val="00BB60E9"/>
    <w:rsid w:val="00BB634C"/>
    <w:rsid w:val="00BC3FE8"/>
    <w:rsid w:val="00BD2595"/>
    <w:rsid w:val="00BD513F"/>
    <w:rsid w:val="00BE0095"/>
    <w:rsid w:val="00BE0D86"/>
    <w:rsid w:val="00BE7C2A"/>
    <w:rsid w:val="00BF1051"/>
    <w:rsid w:val="00BF29DA"/>
    <w:rsid w:val="00C0142A"/>
    <w:rsid w:val="00C22400"/>
    <w:rsid w:val="00C351CC"/>
    <w:rsid w:val="00C363A0"/>
    <w:rsid w:val="00C419B3"/>
    <w:rsid w:val="00C4415B"/>
    <w:rsid w:val="00C47181"/>
    <w:rsid w:val="00C502FD"/>
    <w:rsid w:val="00C548E9"/>
    <w:rsid w:val="00C54D3C"/>
    <w:rsid w:val="00C55246"/>
    <w:rsid w:val="00C60A17"/>
    <w:rsid w:val="00C61B03"/>
    <w:rsid w:val="00C66DC8"/>
    <w:rsid w:val="00C82663"/>
    <w:rsid w:val="00C83670"/>
    <w:rsid w:val="00C84C00"/>
    <w:rsid w:val="00C86DDC"/>
    <w:rsid w:val="00C978E4"/>
    <w:rsid w:val="00CA3DF3"/>
    <w:rsid w:val="00CA47FA"/>
    <w:rsid w:val="00CA726D"/>
    <w:rsid w:val="00CB111A"/>
    <w:rsid w:val="00CB1754"/>
    <w:rsid w:val="00CB2B21"/>
    <w:rsid w:val="00CB4760"/>
    <w:rsid w:val="00CB4883"/>
    <w:rsid w:val="00CB5E74"/>
    <w:rsid w:val="00CC4EBC"/>
    <w:rsid w:val="00CD35C2"/>
    <w:rsid w:val="00CE0701"/>
    <w:rsid w:val="00CE1387"/>
    <w:rsid w:val="00CE3420"/>
    <w:rsid w:val="00CE51DE"/>
    <w:rsid w:val="00CE7715"/>
    <w:rsid w:val="00CF1225"/>
    <w:rsid w:val="00CF309C"/>
    <w:rsid w:val="00CF3EA7"/>
    <w:rsid w:val="00CF4306"/>
    <w:rsid w:val="00CF4ACB"/>
    <w:rsid w:val="00D06548"/>
    <w:rsid w:val="00D125DB"/>
    <w:rsid w:val="00D20E3E"/>
    <w:rsid w:val="00D21A40"/>
    <w:rsid w:val="00D25D34"/>
    <w:rsid w:val="00D26C40"/>
    <w:rsid w:val="00D3163B"/>
    <w:rsid w:val="00D31A71"/>
    <w:rsid w:val="00D34375"/>
    <w:rsid w:val="00D40257"/>
    <w:rsid w:val="00D5388E"/>
    <w:rsid w:val="00D554D4"/>
    <w:rsid w:val="00D565A6"/>
    <w:rsid w:val="00D605D1"/>
    <w:rsid w:val="00D60D15"/>
    <w:rsid w:val="00D75574"/>
    <w:rsid w:val="00D81EF6"/>
    <w:rsid w:val="00D82C26"/>
    <w:rsid w:val="00D852EB"/>
    <w:rsid w:val="00D85653"/>
    <w:rsid w:val="00D85CB1"/>
    <w:rsid w:val="00D872D3"/>
    <w:rsid w:val="00D9438E"/>
    <w:rsid w:val="00D954D7"/>
    <w:rsid w:val="00D96E50"/>
    <w:rsid w:val="00D97143"/>
    <w:rsid w:val="00DA281C"/>
    <w:rsid w:val="00DA36BB"/>
    <w:rsid w:val="00DB2DB6"/>
    <w:rsid w:val="00DC015F"/>
    <w:rsid w:val="00DC0246"/>
    <w:rsid w:val="00DC3B29"/>
    <w:rsid w:val="00DC64B3"/>
    <w:rsid w:val="00DC7E93"/>
    <w:rsid w:val="00DD1F7A"/>
    <w:rsid w:val="00DD54E0"/>
    <w:rsid w:val="00DE1D55"/>
    <w:rsid w:val="00DE2C86"/>
    <w:rsid w:val="00DE42A7"/>
    <w:rsid w:val="00DE75FB"/>
    <w:rsid w:val="00DF2DF3"/>
    <w:rsid w:val="00DF46E8"/>
    <w:rsid w:val="00E04EB4"/>
    <w:rsid w:val="00E0581F"/>
    <w:rsid w:val="00E11AA6"/>
    <w:rsid w:val="00E3268E"/>
    <w:rsid w:val="00E3746B"/>
    <w:rsid w:val="00E40BDE"/>
    <w:rsid w:val="00E45613"/>
    <w:rsid w:val="00E45FDD"/>
    <w:rsid w:val="00E50D60"/>
    <w:rsid w:val="00E52BFE"/>
    <w:rsid w:val="00E52FA3"/>
    <w:rsid w:val="00E53F3C"/>
    <w:rsid w:val="00E5556D"/>
    <w:rsid w:val="00E56089"/>
    <w:rsid w:val="00E74DBD"/>
    <w:rsid w:val="00E76600"/>
    <w:rsid w:val="00E847E1"/>
    <w:rsid w:val="00E8511C"/>
    <w:rsid w:val="00E91111"/>
    <w:rsid w:val="00E924CC"/>
    <w:rsid w:val="00E93E5C"/>
    <w:rsid w:val="00EA14E8"/>
    <w:rsid w:val="00EB3FB2"/>
    <w:rsid w:val="00EB5B23"/>
    <w:rsid w:val="00EC0A2A"/>
    <w:rsid w:val="00EC2A9A"/>
    <w:rsid w:val="00EC40EF"/>
    <w:rsid w:val="00ED33FE"/>
    <w:rsid w:val="00EE00BA"/>
    <w:rsid w:val="00EE24B7"/>
    <w:rsid w:val="00EE6E72"/>
    <w:rsid w:val="00EF2245"/>
    <w:rsid w:val="00EF2333"/>
    <w:rsid w:val="00EF319A"/>
    <w:rsid w:val="00F030A6"/>
    <w:rsid w:val="00F046FD"/>
    <w:rsid w:val="00F06625"/>
    <w:rsid w:val="00F1732C"/>
    <w:rsid w:val="00F206CF"/>
    <w:rsid w:val="00F228D9"/>
    <w:rsid w:val="00F42ECF"/>
    <w:rsid w:val="00F631F5"/>
    <w:rsid w:val="00F64303"/>
    <w:rsid w:val="00F6521E"/>
    <w:rsid w:val="00F75257"/>
    <w:rsid w:val="00F91457"/>
    <w:rsid w:val="00F923C8"/>
    <w:rsid w:val="00F9278E"/>
    <w:rsid w:val="00FA01A5"/>
    <w:rsid w:val="00FA264E"/>
    <w:rsid w:val="00FA2C7E"/>
    <w:rsid w:val="00FB16BD"/>
    <w:rsid w:val="00FC471B"/>
    <w:rsid w:val="00FD7C63"/>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72F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r,Style 7,Ref,de nota al pi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styleId="ListParagraph">
    <w:name w:val="List Paragraph"/>
    <w:basedOn w:val="Normal"/>
    <w:uiPriority w:val="1"/>
    <w:qFormat/>
    <w:rsid w:val="00606E6D"/>
    <w:pPr>
      <w:widowControl/>
      <w:spacing w:after="160" w:line="259" w:lineRule="auto"/>
      <w:ind w:left="720"/>
      <w:contextualSpacing/>
    </w:pPr>
    <w:rPr>
      <w:rFonts w:eastAsiaTheme="minorHAnsi" w:cstheme="minorBidi"/>
      <w:sz w:val="22"/>
      <w:szCs w:val="22"/>
      <w:lang w:eastAsia="en-US"/>
    </w:rPr>
  </w:style>
  <w:style w:type="character" w:styleId="CommentReference">
    <w:name w:val="annotation reference"/>
    <w:basedOn w:val="DefaultParagraphFont"/>
    <w:uiPriority w:val="99"/>
    <w:unhideWhenUsed/>
    <w:rsid w:val="00606E6D"/>
    <w:rPr>
      <w:sz w:val="16"/>
      <w:szCs w:val="16"/>
    </w:rPr>
  </w:style>
  <w:style w:type="paragraph" w:styleId="CommentText">
    <w:name w:val="annotation text"/>
    <w:basedOn w:val="Normal"/>
    <w:link w:val="CommentTextChar"/>
    <w:uiPriority w:val="99"/>
    <w:unhideWhenUsed/>
    <w:rsid w:val="00606E6D"/>
    <w:pPr>
      <w:widowControl/>
      <w:spacing w:after="160" w:line="240" w:lineRule="auto"/>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606E6D"/>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606E6D"/>
    <w:rPr>
      <w:b/>
      <w:bCs/>
    </w:rPr>
  </w:style>
  <w:style w:type="character" w:customStyle="1" w:styleId="CommentSubjectChar">
    <w:name w:val="Comment Subject Char"/>
    <w:basedOn w:val="CommentTextChar"/>
    <w:link w:val="CommentSubject"/>
    <w:uiPriority w:val="99"/>
    <w:semiHidden/>
    <w:rsid w:val="00606E6D"/>
    <w:rPr>
      <w:rFonts w:eastAsiaTheme="minorHAnsi" w:cstheme="minorBidi"/>
      <w:b/>
      <w:bCs/>
      <w:lang w:eastAsia="en-US"/>
    </w:rPr>
  </w:style>
  <w:style w:type="character" w:customStyle="1" w:styleId="BalloonTextChar">
    <w:name w:val="Balloon Text Char"/>
    <w:basedOn w:val="DefaultParagraphFont"/>
    <w:link w:val="BalloonText"/>
    <w:uiPriority w:val="99"/>
    <w:semiHidden/>
    <w:rsid w:val="00606E6D"/>
    <w:rPr>
      <w:rFonts w:ascii="Tahoma" w:hAnsi="Tahoma" w:cs="Tahoma"/>
      <w:sz w:val="16"/>
      <w:szCs w:val="16"/>
      <w:lang w:eastAsia="fr-BE"/>
    </w:rPr>
  </w:style>
  <w:style w:type="paragraph" w:styleId="Revision">
    <w:name w:val="Revision"/>
    <w:hidden/>
    <w:uiPriority w:val="99"/>
    <w:semiHidden/>
    <w:rsid w:val="00606E6D"/>
    <w:rPr>
      <w:rFonts w:eastAsiaTheme="minorHAnsi" w:cstheme="minorBidi"/>
      <w:sz w:val="22"/>
      <w:szCs w:val="22"/>
      <w:lang w:eastAsia="en-US"/>
    </w:rPr>
  </w:style>
  <w:style w:type="character" w:customStyle="1" w:styleId="FootnoteTextChar">
    <w:name w:val="Footnote Text Char"/>
    <w:basedOn w:val="DefaultParagraphFont"/>
    <w:link w:val="FootnoteText"/>
    <w:uiPriority w:val="99"/>
    <w:rsid w:val="00606E6D"/>
    <w:rPr>
      <w:sz w:val="24"/>
      <w:lang w:eastAsia="fr-BE"/>
    </w:rPr>
  </w:style>
  <w:style w:type="paragraph" w:styleId="BodyText">
    <w:name w:val="Body Text"/>
    <w:basedOn w:val="Normal"/>
    <w:link w:val="BodyTextChar"/>
    <w:uiPriority w:val="1"/>
    <w:qFormat/>
    <w:rsid w:val="00606E6D"/>
    <w:pPr>
      <w:autoSpaceDE w:val="0"/>
      <w:autoSpaceDN w:val="0"/>
      <w:spacing w:line="240" w:lineRule="auto"/>
    </w:pPr>
    <w:rPr>
      <w:szCs w:val="24"/>
      <w:lang w:eastAsia="en-US"/>
    </w:rPr>
  </w:style>
  <w:style w:type="character" w:customStyle="1" w:styleId="BodyTextChar">
    <w:name w:val="Body Text Char"/>
    <w:basedOn w:val="DefaultParagraphFont"/>
    <w:link w:val="BodyText"/>
    <w:uiPriority w:val="1"/>
    <w:rsid w:val="00606E6D"/>
    <w:rPr>
      <w:sz w:val="24"/>
      <w:szCs w:val="24"/>
      <w:lang w:val="lv-LV" w:eastAsia="en-US"/>
    </w:rPr>
  </w:style>
  <w:style w:type="paragraph" w:styleId="NormalWeb">
    <w:name w:val="Normal (Web)"/>
    <w:basedOn w:val="Normal"/>
    <w:uiPriority w:val="99"/>
    <w:semiHidden/>
    <w:unhideWhenUsed/>
    <w:rsid w:val="00606E6D"/>
    <w:pPr>
      <w:widowControl/>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06E6D"/>
    <w:rPr>
      <w:i/>
      <w:iCs/>
    </w:rPr>
  </w:style>
  <w:style w:type="character" w:customStyle="1" w:styleId="HeaderChar">
    <w:name w:val="Header Char"/>
    <w:basedOn w:val="DefaultParagraphFont"/>
    <w:link w:val="Header"/>
    <w:uiPriority w:val="99"/>
    <w:rsid w:val="00606E6D"/>
    <w:rPr>
      <w:sz w:val="24"/>
      <w:lang w:eastAsia="fr-BE"/>
    </w:rPr>
  </w:style>
  <w:style w:type="character" w:customStyle="1" w:styleId="FooterChar">
    <w:name w:val="Footer Char"/>
    <w:basedOn w:val="DefaultParagraphFont"/>
    <w:link w:val="Footer"/>
    <w:uiPriority w:val="99"/>
    <w:rsid w:val="00606E6D"/>
    <w:rPr>
      <w:sz w:val="24"/>
      <w:lang w:eastAsia="fr-BE"/>
    </w:rPr>
  </w:style>
  <w:style w:type="paragraph" w:customStyle="1" w:styleId="NormalHeadingsCSTimesNewRoman">
    <w:name w:val="Normal + +Headings CS (Times New Roman)"/>
    <w:aliases w:val="(Complex) 12 pt,(Latin) Bold,Cente..."/>
    <w:basedOn w:val="Normal"/>
    <w:rsid w:val="00606E6D"/>
    <w:pPr>
      <w:jc w:val="center"/>
    </w:pPr>
    <w:rPr>
      <w:rFonts w:asciiTheme="majorBidi" w:hAnsiTheme="majorBidi" w:cstheme="majorBidi"/>
      <w:b/>
      <w:szCs w:val="24"/>
    </w:rPr>
  </w:style>
  <w:style w:type="paragraph" w:customStyle="1" w:styleId="p1">
    <w:name w:val="p1"/>
    <w:basedOn w:val="Normal"/>
    <w:rsid w:val="006D3D66"/>
    <w:pPr>
      <w:widowControl/>
      <w:spacing w:before="100" w:beforeAutospacing="1" w:after="100" w:afterAutospacing="1" w:line="240" w:lineRule="auto"/>
    </w:pPr>
    <w:rPr>
      <w:rFonts w:eastAsiaTheme="minorHAnsi"/>
      <w:szCs w:val="24"/>
      <w:lang w:eastAsia="en-GB"/>
    </w:rPr>
  </w:style>
  <w:style w:type="character" w:customStyle="1" w:styleId="s1">
    <w:name w:val="s1"/>
    <w:basedOn w:val="DefaultParagraphFont"/>
    <w:rsid w:val="006D3D66"/>
  </w:style>
  <w:style w:type="character" w:customStyle="1" w:styleId="s2">
    <w:name w:val="s2"/>
    <w:basedOn w:val="DefaultParagraphFont"/>
    <w:rsid w:val="006D3D66"/>
  </w:style>
  <w:style w:type="paragraph" w:customStyle="1" w:styleId="HeaderCouncil">
    <w:name w:val="Header Council"/>
    <w:basedOn w:val="Normal"/>
    <w:link w:val="HeaderCouncilChar"/>
    <w:rsid w:val="00741EE9"/>
    <w:pPr>
      <w:jc w:val="center"/>
    </w:pPr>
    <w:rPr>
      <w:sz w:val="2"/>
    </w:rPr>
  </w:style>
  <w:style w:type="character" w:customStyle="1" w:styleId="HeaderCouncilChar">
    <w:name w:val="Header Council Char"/>
    <w:basedOn w:val="DefaultParagraphFont"/>
    <w:link w:val="HeaderCouncil"/>
    <w:rsid w:val="00741EE9"/>
    <w:rPr>
      <w:sz w:val="2"/>
      <w:lang w:eastAsia="fr-BE"/>
    </w:rPr>
  </w:style>
  <w:style w:type="paragraph" w:customStyle="1" w:styleId="HeaderCouncilLarge">
    <w:name w:val="Header Council Large"/>
    <w:basedOn w:val="Normal"/>
    <w:link w:val="HeaderCouncilLargeChar"/>
    <w:rsid w:val="00741EE9"/>
    <w:pPr>
      <w:spacing w:after="440"/>
      <w:jc w:val="center"/>
    </w:pPr>
    <w:rPr>
      <w:sz w:val="2"/>
    </w:rPr>
  </w:style>
  <w:style w:type="character" w:customStyle="1" w:styleId="HeaderCouncilLargeChar">
    <w:name w:val="Header Council Large Char"/>
    <w:basedOn w:val="DefaultParagraphFont"/>
    <w:link w:val="HeaderCouncilLarge"/>
    <w:rsid w:val="00741EE9"/>
    <w:rPr>
      <w:sz w:val="2"/>
      <w:lang w:eastAsia="fr-BE"/>
    </w:rPr>
  </w:style>
  <w:style w:type="paragraph" w:customStyle="1" w:styleId="FooterCouncil">
    <w:name w:val="Footer Council"/>
    <w:basedOn w:val="Normal"/>
    <w:link w:val="FooterCouncilChar"/>
    <w:rsid w:val="00741EE9"/>
    <w:pPr>
      <w:jc w:val="center"/>
    </w:pPr>
    <w:rPr>
      <w:sz w:val="2"/>
    </w:rPr>
  </w:style>
  <w:style w:type="character" w:customStyle="1" w:styleId="FooterCouncilChar">
    <w:name w:val="Footer Council Char"/>
    <w:basedOn w:val="DefaultParagraphFont"/>
    <w:link w:val="FooterCouncil"/>
    <w:rsid w:val="00741EE9"/>
    <w:rPr>
      <w:sz w:val="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53598">
      <w:bodyDiv w:val="1"/>
      <w:marLeft w:val="0"/>
      <w:marRight w:val="0"/>
      <w:marTop w:val="0"/>
      <w:marBottom w:val="0"/>
      <w:divBdr>
        <w:top w:val="none" w:sz="0" w:space="0" w:color="auto"/>
        <w:left w:val="none" w:sz="0" w:space="0" w:color="auto"/>
        <w:bottom w:val="none" w:sz="0" w:space="0" w:color="auto"/>
        <w:right w:val="none" w:sz="0" w:space="0" w:color="auto"/>
      </w:divBdr>
    </w:div>
    <w:div w:id="910579553">
      <w:bodyDiv w:val="1"/>
      <w:marLeft w:val="0"/>
      <w:marRight w:val="0"/>
      <w:marTop w:val="0"/>
      <w:marBottom w:val="0"/>
      <w:divBdr>
        <w:top w:val="none" w:sz="0" w:space="0" w:color="auto"/>
        <w:left w:val="none" w:sz="0" w:space="0" w:color="auto"/>
        <w:bottom w:val="none" w:sz="0" w:space="0" w:color="auto"/>
        <w:right w:val="none" w:sz="0" w:space="0" w:color="auto"/>
      </w:divBdr>
    </w:div>
    <w:div w:id="11670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6328-57A8-4536-AAB0-E21CEBE1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1652</Words>
  <Characters>10967</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2020-02-27T09:45:00Z</dcterms:created>
  <dcterms:modified xsi:type="dcterms:W3CDTF">2020-11-11T13:08:00Z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d854c1e8-c2f2-43a0-81d7-1ea075d737d0</vt:lpwstr>
  </property>
</Properties>
</file>