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D95D" w14:textId="77777777" w:rsidR="00841FD4" w:rsidRPr="002E0906" w:rsidRDefault="00841FD4" w:rsidP="00841FD4">
      <w:pPr>
        <w:pStyle w:val="naisnod"/>
        <w:spacing w:before="0" w:after="0"/>
        <w:ind w:firstLine="720"/>
        <w:rPr>
          <w:sz w:val="28"/>
          <w:szCs w:val="28"/>
        </w:rPr>
      </w:pPr>
      <w:bookmarkStart w:id="0" w:name="_Hlk57663737"/>
      <w:r w:rsidRPr="002E0906">
        <w:rPr>
          <w:sz w:val="28"/>
          <w:szCs w:val="28"/>
        </w:rPr>
        <w:t>Izziņa par atzinumos sniegtajiem iebildumiem</w:t>
      </w:r>
    </w:p>
    <w:p w14:paraId="62CFBC98" w14:textId="77777777" w:rsidR="00841FD4" w:rsidRPr="002E0906" w:rsidRDefault="00841FD4" w:rsidP="00841FD4">
      <w:pPr>
        <w:pStyle w:val="naisf"/>
        <w:spacing w:before="0" w:after="0"/>
        <w:ind w:firstLine="720"/>
      </w:pPr>
    </w:p>
    <w:tbl>
      <w:tblPr>
        <w:tblW w:w="0" w:type="auto"/>
        <w:jc w:val="center"/>
        <w:tblLook w:val="00A0" w:firstRow="1" w:lastRow="0" w:firstColumn="1" w:lastColumn="0" w:noHBand="0" w:noVBand="0"/>
      </w:tblPr>
      <w:tblGrid>
        <w:gridCol w:w="10188"/>
      </w:tblGrid>
      <w:tr w:rsidR="00841FD4" w:rsidRPr="002E0906" w14:paraId="7A5C8CA2" w14:textId="77777777" w:rsidTr="00BD26AC">
        <w:trPr>
          <w:jc w:val="center"/>
        </w:trPr>
        <w:tc>
          <w:tcPr>
            <w:tcW w:w="10188" w:type="dxa"/>
            <w:tcBorders>
              <w:bottom w:val="single" w:sz="6" w:space="0" w:color="000000"/>
            </w:tcBorders>
          </w:tcPr>
          <w:p w14:paraId="5682FE24" w14:textId="5C5DA830" w:rsidR="00841FD4" w:rsidRPr="002E0906" w:rsidRDefault="00841FD4" w:rsidP="00BD26AC">
            <w:pPr>
              <w:shd w:val="clear" w:color="auto" w:fill="FFFFFF"/>
              <w:jc w:val="center"/>
              <w:rPr>
                <w:bCs/>
                <w:color w:val="000000"/>
              </w:rPr>
            </w:pPr>
            <w:r>
              <w:rPr>
                <w:rFonts w:eastAsia="Calibri"/>
                <w:bCs/>
                <w:lang w:eastAsia="en-US"/>
              </w:rPr>
              <w:t>Likumprojekts "</w:t>
            </w:r>
            <w:r w:rsidRPr="00937E4B">
              <w:t xml:space="preserve">Grozījums </w:t>
            </w:r>
            <w:r w:rsidR="00C179BF">
              <w:t>Ieroču aprites</w:t>
            </w:r>
            <w:r w:rsidRPr="00937E4B">
              <w:t xml:space="preserve"> likumā</w:t>
            </w:r>
            <w:r w:rsidRPr="002E0906">
              <w:rPr>
                <w:bCs/>
                <w:color w:val="000000"/>
                <w:spacing w:val="-2"/>
              </w:rPr>
              <w:t>" sākotnējās ietekmes novērtējuma ziņojums (anotācija)</w:t>
            </w:r>
          </w:p>
        </w:tc>
      </w:tr>
    </w:tbl>
    <w:p w14:paraId="4B8C0FB9" w14:textId="77777777" w:rsidR="00841FD4" w:rsidRPr="002E0906" w:rsidRDefault="00841FD4" w:rsidP="00841FD4">
      <w:pPr>
        <w:pStyle w:val="naisc"/>
        <w:spacing w:before="0" w:after="0"/>
        <w:ind w:firstLine="1080"/>
      </w:pPr>
      <w:r w:rsidRPr="002E0906">
        <w:t>(dokumenta veids un nosaukums)</w:t>
      </w:r>
    </w:p>
    <w:p w14:paraId="57440333" w14:textId="77777777" w:rsidR="00841FD4" w:rsidRPr="002E0906" w:rsidRDefault="00841FD4" w:rsidP="00841FD4">
      <w:pPr>
        <w:pStyle w:val="naisf"/>
        <w:spacing w:before="0" w:after="0"/>
        <w:ind w:firstLine="720"/>
      </w:pPr>
    </w:p>
    <w:p w14:paraId="673B90F2" w14:textId="77777777" w:rsidR="00841FD4" w:rsidRPr="002E0906" w:rsidRDefault="00841FD4" w:rsidP="00841FD4">
      <w:pPr>
        <w:pStyle w:val="naisf"/>
        <w:spacing w:before="0" w:after="0"/>
        <w:ind w:firstLine="0"/>
        <w:jc w:val="center"/>
        <w:rPr>
          <w:b/>
        </w:rPr>
      </w:pPr>
      <w:r w:rsidRPr="002E0906">
        <w:rPr>
          <w:b/>
        </w:rPr>
        <w:t>I. Jautājumi, par kuriem saskaņošanā vienošanās nav panākta</w:t>
      </w:r>
    </w:p>
    <w:p w14:paraId="73347073" w14:textId="77777777" w:rsidR="00841FD4" w:rsidRPr="002E0906" w:rsidRDefault="00841FD4" w:rsidP="00841FD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41FD4" w:rsidRPr="002E0906" w14:paraId="639C9448" w14:textId="77777777" w:rsidTr="00BD26AC">
        <w:tc>
          <w:tcPr>
            <w:tcW w:w="708" w:type="dxa"/>
            <w:tcBorders>
              <w:top w:val="single" w:sz="6" w:space="0" w:color="000000"/>
              <w:left w:val="single" w:sz="6" w:space="0" w:color="000000"/>
              <w:bottom w:val="single" w:sz="6" w:space="0" w:color="000000"/>
              <w:right w:val="single" w:sz="6" w:space="0" w:color="000000"/>
            </w:tcBorders>
            <w:vAlign w:val="center"/>
          </w:tcPr>
          <w:p w14:paraId="3DCAD221" w14:textId="77777777" w:rsidR="00841FD4" w:rsidRPr="002E0906" w:rsidRDefault="00841FD4" w:rsidP="00BD26AC">
            <w:pPr>
              <w:pStyle w:val="naisc"/>
              <w:spacing w:before="0" w:after="0"/>
            </w:pPr>
            <w:r w:rsidRPr="002E0906">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28EC1AA0" w14:textId="77777777" w:rsidR="00841FD4" w:rsidRPr="002E0906" w:rsidRDefault="00841FD4" w:rsidP="00BD26AC">
            <w:pPr>
              <w:pStyle w:val="naisc"/>
              <w:spacing w:before="0" w:after="0"/>
              <w:ind w:firstLine="12"/>
            </w:pPr>
            <w:r w:rsidRPr="002E090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4C62F6A" w14:textId="77777777" w:rsidR="00841FD4" w:rsidRPr="002E0906" w:rsidRDefault="00841FD4"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215AD54" w14:textId="77777777" w:rsidR="00841FD4" w:rsidRPr="002E0906" w:rsidRDefault="00841FD4" w:rsidP="00BD26AC">
            <w:pPr>
              <w:pStyle w:val="naisc"/>
              <w:spacing w:before="0" w:after="0"/>
              <w:ind w:firstLine="21"/>
            </w:pPr>
            <w:r w:rsidRPr="002E090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54A755B8" w14:textId="77777777" w:rsidR="00841FD4" w:rsidRPr="002E0906" w:rsidRDefault="00841FD4" w:rsidP="00BD26AC">
            <w:pPr>
              <w:jc w:val="center"/>
            </w:pPr>
            <w:r w:rsidRPr="002E090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2904465" w14:textId="77777777" w:rsidR="00841FD4" w:rsidRPr="002E0906" w:rsidRDefault="00841FD4" w:rsidP="00BD26AC">
            <w:pPr>
              <w:jc w:val="center"/>
            </w:pPr>
            <w:r w:rsidRPr="002E0906">
              <w:t>Projekta attiecīgā punkta (panta) galīgā redakcija</w:t>
            </w:r>
          </w:p>
        </w:tc>
      </w:tr>
      <w:tr w:rsidR="00841FD4" w:rsidRPr="002E0906" w14:paraId="622EF88D" w14:textId="77777777" w:rsidTr="00BD26AC">
        <w:tc>
          <w:tcPr>
            <w:tcW w:w="708" w:type="dxa"/>
            <w:tcBorders>
              <w:top w:val="single" w:sz="6" w:space="0" w:color="000000"/>
              <w:left w:val="single" w:sz="6" w:space="0" w:color="000000"/>
              <w:bottom w:val="single" w:sz="6" w:space="0" w:color="000000"/>
              <w:right w:val="single" w:sz="6" w:space="0" w:color="000000"/>
            </w:tcBorders>
          </w:tcPr>
          <w:p w14:paraId="08F173D6" w14:textId="77777777" w:rsidR="00841FD4" w:rsidRPr="002E0906" w:rsidRDefault="00841FD4" w:rsidP="00BD26AC">
            <w:pPr>
              <w:pStyle w:val="naisc"/>
              <w:spacing w:before="0" w:after="0"/>
              <w:rPr>
                <w:sz w:val="20"/>
                <w:szCs w:val="20"/>
              </w:rPr>
            </w:pPr>
            <w:r w:rsidRPr="002E0906">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1F59EE0" w14:textId="77777777" w:rsidR="00841FD4" w:rsidRPr="002E0906" w:rsidRDefault="00841FD4" w:rsidP="00BD26AC">
            <w:pPr>
              <w:pStyle w:val="naisc"/>
              <w:spacing w:before="0" w:after="0"/>
              <w:ind w:firstLine="720"/>
              <w:rPr>
                <w:sz w:val="20"/>
                <w:szCs w:val="20"/>
              </w:rPr>
            </w:pPr>
            <w:r w:rsidRPr="002E0906">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6DCD1D0" w14:textId="77777777" w:rsidR="00841FD4" w:rsidRPr="002E0906" w:rsidRDefault="00841FD4" w:rsidP="00BD26AC">
            <w:pPr>
              <w:pStyle w:val="naisc"/>
              <w:spacing w:before="0" w:after="0"/>
              <w:ind w:firstLine="720"/>
              <w:rPr>
                <w:sz w:val="20"/>
                <w:szCs w:val="20"/>
              </w:rPr>
            </w:pPr>
            <w:r w:rsidRPr="002E0906">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5069FB9E" w14:textId="77777777" w:rsidR="00841FD4" w:rsidRPr="002E0906" w:rsidRDefault="00841FD4" w:rsidP="00BD26AC">
            <w:pPr>
              <w:pStyle w:val="naisc"/>
              <w:spacing w:before="0" w:after="0"/>
              <w:ind w:firstLine="720"/>
              <w:rPr>
                <w:sz w:val="20"/>
                <w:szCs w:val="20"/>
              </w:rPr>
            </w:pPr>
            <w:r w:rsidRPr="002E0906">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CE6BB30" w14:textId="77777777" w:rsidR="00841FD4" w:rsidRPr="002E0906" w:rsidRDefault="00841FD4" w:rsidP="00BD26AC">
            <w:pPr>
              <w:jc w:val="center"/>
              <w:rPr>
                <w:sz w:val="20"/>
                <w:szCs w:val="20"/>
              </w:rPr>
            </w:pPr>
            <w:r w:rsidRPr="002E0906">
              <w:rPr>
                <w:sz w:val="20"/>
                <w:szCs w:val="20"/>
              </w:rPr>
              <w:t>5</w:t>
            </w:r>
          </w:p>
        </w:tc>
        <w:tc>
          <w:tcPr>
            <w:tcW w:w="1920" w:type="dxa"/>
            <w:tcBorders>
              <w:top w:val="single" w:sz="4" w:space="0" w:color="auto"/>
              <w:left w:val="single" w:sz="4" w:space="0" w:color="auto"/>
              <w:bottom w:val="single" w:sz="4" w:space="0" w:color="auto"/>
            </w:tcBorders>
          </w:tcPr>
          <w:p w14:paraId="0AA7CB4D" w14:textId="77777777" w:rsidR="00841FD4" w:rsidRPr="002E0906" w:rsidRDefault="00841FD4" w:rsidP="00BD26AC">
            <w:pPr>
              <w:jc w:val="center"/>
              <w:rPr>
                <w:sz w:val="20"/>
                <w:szCs w:val="20"/>
              </w:rPr>
            </w:pPr>
            <w:r w:rsidRPr="002E0906">
              <w:rPr>
                <w:sz w:val="20"/>
                <w:szCs w:val="20"/>
              </w:rPr>
              <w:t>6</w:t>
            </w:r>
          </w:p>
        </w:tc>
      </w:tr>
      <w:tr w:rsidR="00841FD4" w:rsidRPr="002E0906" w14:paraId="4D033FD6" w14:textId="77777777" w:rsidTr="00BD26AC">
        <w:tc>
          <w:tcPr>
            <w:tcW w:w="708" w:type="dxa"/>
            <w:tcBorders>
              <w:left w:val="single" w:sz="6" w:space="0" w:color="000000"/>
              <w:bottom w:val="single" w:sz="4" w:space="0" w:color="auto"/>
              <w:right w:val="single" w:sz="6" w:space="0" w:color="000000"/>
            </w:tcBorders>
          </w:tcPr>
          <w:p w14:paraId="3F02202D" w14:textId="77777777" w:rsidR="00841FD4" w:rsidRPr="002E0906" w:rsidRDefault="00841FD4" w:rsidP="00BD26AC">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F9927DA" w14:textId="77777777" w:rsidR="00841FD4" w:rsidRPr="002E0906" w:rsidRDefault="00841FD4" w:rsidP="00BD26AC">
            <w:pPr>
              <w:jc w:val="both"/>
            </w:pPr>
          </w:p>
        </w:tc>
        <w:tc>
          <w:tcPr>
            <w:tcW w:w="3118" w:type="dxa"/>
            <w:tcBorders>
              <w:left w:val="single" w:sz="6" w:space="0" w:color="000000"/>
              <w:bottom w:val="single" w:sz="4" w:space="0" w:color="auto"/>
              <w:right w:val="single" w:sz="6" w:space="0" w:color="000000"/>
            </w:tcBorders>
          </w:tcPr>
          <w:p w14:paraId="419AB74D" w14:textId="77777777" w:rsidR="00841FD4" w:rsidRPr="002E0906" w:rsidRDefault="00841FD4" w:rsidP="00BD26AC">
            <w:pPr>
              <w:pStyle w:val="naisc"/>
              <w:jc w:val="both"/>
            </w:pPr>
          </w:p>
        </w:tc>
        <w:tc>
          <w:tcPr>
            <w:tcW w:w="2977" w:type="dxa"/>
            <w:tcBorders>
              <w:left w:val="single" w:sz="6" w:space="0" w:color="000000"/>
              <w:bottom w:val="single" w:sz="4" w:space="0" w:color="auto"/>
              <w:right w:val="single" w:sz="6" w:space="0" w:color="000000"/>
            </w:tcBorders>
          </w:tcPr>
          <w:p w14:paraId="6776EE65" w14:textId="77777777" w:rsidR="00841FD4" w:rsidRPr="002E0906" w:rsidRDefault="00841FD4" w:rsidP="00BD26AC">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8A48855" w14:textId="77777777" w:rsidR="00841FD4" w:rsidRPr="002E0906" w:rsidRDefault="00841FD4" w:rsidP="00BD26AC"/>
        </w:tc>
        <w:tc>
          <w:tcPr>
            <w:tcW w:w="1920" w:type="dxa"/>
            <w:tcBorders>
              <w:top w:val="single" w:sz="4" w:space="0" w:color="auto"/>
              <w:left w:val="single" w:sz="4" w:space="0" w:color="auto"/>
              <w:bottom w:val="single" w:sz="4" w:space="0" w:color="auto"/>
            </w:tcBorders>
          </w:tcPr>
          <w:p w14:paraId="3B0F1772" w14:textId="77777777" w:rsidR="00841FD4" w:rsidRPr="002E0906" w:rsidRDefault="00841FD4" w:rsidP="00BD26AC"/>
        </w:tc>
      </w:tr>
    </w:tbl>
    <w:p w14:paraId="10B4E344" w14:textId="77777777" w:rsidR="00841FD4" w:rsidRPr="002E0906" w:rsidRDefault="00841FD4" w:rsidP="00841FD4">
      <w:pPr>
        <w:pStyle w:val="naisf"/>
        <w:spacing w:before="0" w:after="0"/>
        <w:ind w:firstLine="0"/>
      </w:pPr>
    </w:p>
    <w:p w14:paraId="067F581C" w14:textId="77777777" w:rsidR="00841FD4" w:rsidRPr="002E0906" w:rsidRDefault="00841FD4" w:rsidP="00841FD4">
      <w:pPr>
        <w:pStyle w:val="naisf"/>
        <w:spacing w:before="0" w:after="0"/>
        <w:ind w:firstLine="0"/>
        <w:rPr>
          <w:b/>
        </w:rPr>
      </w:pPr>
      <w:r w:rsidRPr="002E0906">
        <w:rPr>
          <w:b/>
        </w:rPr>
        <w:t>Informācija par starpministriju (starpinstitūciju) sanāksmi vai elektronisko saskaņošanu</w:t>
      </w:r>
    </w:p>
    <w:p w14:paraId="5E63EAAF" w14:textId="77777777" w:rsidR="00841FD4" w:rsidRPr="002E0906" w:rsidRDefault="00841FD4" w:rsidP="00841FD4">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841FD4" w:rsidRPr="002E0906" w14:paraId="68FAC31F" w14:textId="77777777" w:rsidTr="00BD26AC">
        <w:tc>
          <w:tcPr>
            <w:tcW w:w="6345" w:type="dxa"/>
          </w:tcPr>
          <w:p w14:paraId="3A2F2479" w14:textId="77777777" w:rsidR="00841FD4" w:rsidRPr="002E0906" w:rsidRDefault="00841FD4" w:rsidP="00BD26AC">
            <w:pPr>
              <w:pStyle w:val="naisf"/>
              <w:spacing w:before="0" w:after="0"/>
              <w:ind w:firstLine="0"/>
            </w:pPr>
            <w:r w:rsidRPr="002E0906">
              <w:t>Datums</w:t>
            </w:r>
          </w:p>
        </w:tc>
        <w:tc>
          <w:tcPr>
            <w:tcW w:w="6237" w:type="dxa"/>
            <w:gridSpan w:val="2"/>
            <w:tcBorders>
              <w:bottom w:val="single" w:sz="4" w:space="0" w:color="auto"/>
            </w:tcBorders>
          </w:tcPr>
          <w:p w14:paraId="3D971B30" w14:textId="5ABFFCB3" w:rsidR="00841FD4" w:rsidRPr="002E0906" w:rsidRDefault="00B36596" w:rsidP="00BD26AC">
            <w:pPr>
              <w:pStyle w:val="NormalWeb"/>
              <w:spacing w:before="0" w:beforeAutospacing="0" w:after="0" w:afterAutospacing="0"/>
              <w:ind w:firstLine="720"/>
            </w:pPr>
            <w:r>
              <w:t>2020. gada 25. novembris</w:t>
            </w:r>
            <w:r w:rsidR="00B85D3C">
              <w:t>, 2020.gada 16.decembris</w:t>
            </w:r>
          </w:p>
        </w:tc>
      </w:tr>
      <w:tr w:rsidR="00841FD4" w:rsidRPr="002E0906" w14:paraId="1F032856" w14:textId="77777777" w:rsidTr="00BD26AC">
        <w:tc>
          <w:tcPr>
            <w:tcW w:w="6345" w:type="dxa"/>
          </w:tcPr>
          <w:p w14:paraId="771C6F6C" w14:textId="77777777" w:rsidR="00841FD4" w:rsidRPr="002E0906" w:rsidRDefault="00841FD4" w:rsidP="00BD26AC">
            <w:pPr>
              <w:pStyle w:val="naisf"/>
              <w:spacing w:before="0" w:after="0"/>
              <w:ind w:firstLine="0"/>
            </w:pPr>
          </w:p>
        </w:tc>
        <w:tc>
          <w:tcPr>
            <w:tcW w:w="6237" w:type="dxa"/>
            <w:gridSpan w:val="2"/>
            <w:tcBorders>
              <w:top w:val="single" w:sz="4" w:space="0" w:color="auto"/>
            </w:tcBorders>
          </w:tcPr>
          <w:p w14:paraId="18EB8968" w14:textId="77777777" w:rsidR="00841FD4" w:rsidRPr="002E0906" w:rsidRDefault="00841FD4" w:rsidP="00BD26AC">
            <w:pPr>
              <w:pStyle w:val="NormalWeb"/>
              <w:spacing w:before="0" w:beforeAutospacing="0" w:after="0" w:afterAutospacing="0"/>
              <w:ind w:firstLine="720"/>
            </w:pPr>
          </w:p>
        </w:tc>
      </w:tr>
      <w:tr w:rsidR="00841FD4" w:rsidRPr="002E0906" w14:paraId="28831974" w14:textId="77777777" w:rsidTr="00BD26AC">
        <w:tc>
          <w:tcPr>
            <w:tcW w:w="6345" w:type="dxa"/>
          </w:tcPr>
          <w:p w14:paraId="572F1EA4" w14:textId="77777777" w:rsidR="00841FD4" w:rsidRPr="002E0906" w:rsidRDefault="00841FD4" w:rsidP="00BD26AC">
            <w:pPr>
              <w:pStyle w:val="naiskr"/>
              <w:spacing w:before="0" w:after="0"/>
            </w:pPr>
            <w:r w:rsidRPr="002E0906">
              <w:t>Saskaņošanas dalībnieki</w:t>
            </w:r>
          </w:p>
        </w:tc>
        <w:tc>
          <w:tcPr>
            <w:tcW w:w="6237" w:type="dxa"/>
            <w:gridSpan w:val="2"/>
          </w:tcPr>
          <w:p w14:paraId="45B76AA5" w14:textId="19657474" w:rsidR="00841FD4" w:rsidRPr="002E0906" w:rsidRDefault="00465239" w:rsidP="00BD26AC">
            <w:pPr>
              <w:pStyle w:val="NormalWeb"/>
              <w:spacing w:before="0" w:beforeAutospacing="0" w:after="0" w:afterAutospacing="0"/>
              <w:ind w:firstLine="720"/>
            </w:pPr>
            <w:r>
              <w:t>Tieslietu ministrija, Aizsardzības ministrija,         Ārlietu ministrija, Iekšlietu ministrija</w:t>
            </w:r>
          </w:p>
        </w:tc>
      </w:tr>
      <w:tr w:rsidR="00841FD4" w:rsidRPr="002E0906" w14:paraId="7F344270" w14:textId="77777777" w:rsidTr="00BD26AC">
        <w:tc>
          <w:tcPr>
            <w:tcW w:w="6345" w:type="dxa"/>
          </w:tcPr>
          <w:p w14:paraId="487444FE" w14:textId="77777777" w:rsidR="00841FD4" w:rsidRPr="002E0906" w:rsidRDefault="00841FD4" w:rsidP="00BD26AC">
            <w:pPr>
              <w:pStyle w:val="naiskr"/>
              <w:spacing w:before="0" w:after="0"/>
              <w:ind w:firstLine="720"/>
            </w:pPr>
            <w:r w:rsidRPr="002E0906">
              <w:t>  </w:t>
            </w:r>
          </w:p>
        </w:tc>
        <w:tc>
          <w:tcPr>
            <w:tcW w:w="6237" w:type="dxa"/>
            <w:gridSpan w:val="2"/>
            <w:tcBorders>
              <w:top w:val="single" w:sz="6" w:space="0" w:color="000000"/>
              <w:bottom w:val="single" w:sz="6" w:space="0" w:color="000000"/>
            </w:tcBorders>
          </w:tcPr>
          <w:p w14:paraId="2F87938D" w14:textId="77777777" w:rsidR="00841FD4" w:rsidRPr="002E0906" w:rsidRDefault="00841FD4" w:rsidP="00BD26AC">
            <w:pPr>
              <w:pStyle w:val="naiskr"/>
              <w:spacing w:before="0" w:after="0"/>
              <w:ind w:firstLine="720"/>
            </w:pPr>
          </w:p>
        </w:tc>
      </w:tr>
      <w:tr w:rsidR="00841FD4" w:rsidRPr="002E0906" w14:paraId="6A69C80B" w14:textId="77777777" w:rsidTr="00BD26AC">
        <w:trPr>
          <w:trHeight w:val="285"/>
        </w:trPr>
        <w:tc>
          <w:tcPr>
            <w:tcW w:w="6345" w:type="dxa"/>
          </w:tcPr>
          <w:p w14:paraId="12E5C810" w14:textId="77777777" w:rsidR="00841FD4" w:rsidRPr="002E0906" w:rsidRDefault="00841FD4" w:rsidP="00BD26AC">
            <w:pPr>
              <w:pStyle w:val="naiskr"/>
              <w:spacing w:before="0" w:after="0"/>
            </w:pPr>
          </w:p>
        </w:tc>
        <w:tc>
          <w:tcPr>
            <w:tcW w:w="1203" w:type="dxa"/>
          </w:tcPr>
          <w:p w14:paraId="1438CD94" w14:textId="77777777" w:rsidR="00841FD4" w:rsidRPr="002E0906" w:rsidRDefault="00841FD4" w:rsidP="00BD26AC">
            <w:pPr>
              <w:pStyle w:val="naiskr"/>
              <w:spacing w:before="0" w:after="0"/>
              <w:ind w:firstLine="720"/>
            </w:pPr>
          </w:p>
        </w:tc>
        <w:tc>
          <w:tcPr>
            <w:tcW w:w="5034" w:type="dxa"/>
          </w:tcPr>
          <w:p w14:paraId="62337058" w14:textId="77777777" w:rsidR="00841FD4" w:rsidRPr="002E0906" w:rsidRDefault="00841FD4" w:rsidP="00BD26AC">
            <w:pPr>
              <w:pStyle w:val="naiskr"/>
              <w:spacing w:before="0" w:after="0"/>
              <w:ind w:firstLine="12"/>
            </w:pPr>
          </w:p>
        </w:tc>
      </w:tr>
    </w:tbl>
    <w:p w14:paraId="772C334C" w14:textId="22F3F614" w:rsidR="00841FD4" w:rsidRPr="002E0906" w:rsidRDefault="00841FD4" w:rsidP="00841FD4"/>
    <w:tbl>
      <w:tblPr>
        <w:tblW w:w="12582" w:type="dxa"/>
        <w:tblLook w:val="00A0" w:firstRow="1" w:lastRow="0" w:firstColumn="1" w:lastColumn="0" w:noHBand="0" w:noVBand="0"/>
      </w:tblPr>
      <w:tblGrid>
        <w:gridCol w:w="6596"/>
        <w:gridCol w:w="3469"/>
        <w:gridCol w:w="2517"/>
      </w:tblGrid>
      <w:tr w:rsidR="00841FD4" w:rsidRPr="002E0906" w14:paraId="0991EFA1" w14:textId="77777777" w:rsidTr="00465239">
        <w:trPr>
          <w:trHeight w:val="285"/>
        </w:trPr>
        <w:tc>
          <w:tcPr>
            <w:tcW w:w="6596" w:type="dxa"/>
          </w:tcPr>
          <w:p w14:paraId="75B8DAA0" w14:textId="77777777" w:rsidR="00841FD4" w:rsidRPr="002E0906" w:rsidRDefault="00841FD4" w:rsidP="00BD26AC">
            <w:pPr>
              <w:pStyle w:val="naiskr"/>
              <w:spacing w:before="0" w:after="0"/>
            </w:pPr>
            <w:r w:rsidRPr="002E0906">
              <w:t>Saskaņošanas dalībnieki izskatīja šādu ministriju (citu institūciju) iebildumus</w:t>
            </w:r>
          </w:p>
        </w:tc>
        <w:tc>
          <w:tcPr>
            <w:tcW w:w="3469" w:type="dxa"/>
          </w:tcPr>
          <w:p w14:paraId="4FA81B3E" w14:textId="582DECF9" w:rsidR="00841FD4" w:rsidRPr="002E0906" w:rsidRDefault="00465239" w:rsidP="00465239">
            <w:pPr>
              <w:pStyle w:val="naiskr"/>
              <w:spacing w:before="0" w:after="0"/>
            </w:pPr>
            <w:r>
              <w:t>Tieslietu ministrijas</w:t>
            </w:r>
          </w:p>
        </w:tc>
        <w:tc>
          <w:tcPr>
            <w:tcW w:w="2517" w:type="dxa"/>
          </w:tcPr>
          <w:p w14:paraId="7F2A01BF" w14:textId="77777777" w:rsidR="00841FD4" w:rsidRPr="002E0906" w:rsidRDefault="00841FD4" w:rsidP="00BD26AC">
            <w:pPr>
              <w:pStyle w:val="naiskr"/>
              <w:spacing w:before="0" w:after="0"/>
              <w:ind w:firstLine="12"/>
            </w:pPr>
          </w:p>
        </w:tc>
      </w:tr>
      <w:tr w:rsidR="00841FD4" w:rsidRPr="002E0906" w14:paraId="79CCC340" w14:textId="77777777" w:rsidTr="00D61005">
        <w:trPr>
          <w:trHeight w:val="75"/>
        </w:trPr>
        <w:tc>
          <w:tcPr>
            <w:tcW w:w="6596" w:type="dxa"/>
          </w:tcPr>
          <w:p w14:paraId="3EA2B50D" w14:textId="77777777" w:rsidR="00841FD4" w:rsidRPr="002E0906" w:rsidRDefault="00841FD4" w:rsidP="00BD26AC">
            <w:pPr>
              <w:pStyle w:val="naiskr"/>
              <w:spacing w:before="0" w:after="0"/>
              <w:ind w:firstLine="720"/>
            </w:pPr>
            <w:r w:rsidRPr="002E0906">
              <w:t>  </w:t>
            </w:r>
          </w:p>
        </w:tc>
        <w:tc>
          <w:tcPr>
            <w:tcW w:w="5986" w:type="dxa"/>
            <w:gridSpan w:val="2"/>
            <w:tcBorders>
              <w:top w:val="single" w:sz="6" w:space="0" w:color="000000"/>
              <w:bottom w:val="single" w:sz="6" w:space="0" w:color="000000"/>
            </w:tcBorders>
          </w:tcPr>
          <w:p w14:paraId="03088B18" w14:textId="77777777" w:rsidR="00841FD4" w:rsidRPr="002E0906" w:rsidRDefault="00841FD4" w:rsidP="00BD26AC">
            <w:pPr>
              <w:pStyle w:val="NormalWeb"/>
              <w:spacing w:before="0" w:beforeAutospacing="0" w:after="0" w:afterAutospacing="0"/>
              <w:ind w:firstLine="720"/>
            </w:pPr>
          </w:p>
        </w:tc>
      </w:tr>
      <w:tr w:rsidR="00841FD4" w:rsidRPr="002E0906" w14:paraId="14CA3FCD" w14:textId="77777777" w:rsidTr="00BD26AC">
        <w:trPr>
          <w:trHeight w:val="465"/>
        </w:trPr>
        <w:tc>
          <w:tcPr>
            <w:tcW w:w="12582" w:type="dxa"/>
            <w:gridSpan w:val="3"/>
          </w:tcPr>
          <w:p w14:paraId="3F6B5C8C" w14:textId="77777777" w:rsidR="00841FD4" w:rsidRPr="002E0906" w:rsidRDefault="00841FD4" w:rsidP="00BD26AC">
            <w:pPr>
              <w:pStyle w:val="naisc"/>
              <w:spacing w:before="0" w:after="0"/>
              <w:ind w:left="4820" w:firstLine="720"/>
            </w:pPr>
          </w:p>
        </w:tc>
      </w:tr>
      <w:tr w:rsidR="00841FD4" w:rsidRPr="002E0906" w14:paraId="50A194AA" w14:textId="77777777" w:rsidTr="00465239">
        <w:tc>
          <w:tcPr>
            <w:tcW w:w="6596" w:type="dxa"/>
          </w:tcPr>
          <w:p w14:paraId="2DFE6641" w14:textId="77777777" w:rsidR="00841FD4" w:rsidRPr="002E0906" w:rsidRDefault="00841FD4" w:rsidP="00BD26AC">
            <w:pPr>
              <w:pStyle w:val="naiskr"/>
              <w:spacing w:before="0" w:after="0"/>
            </w:pPr>
            <w:r w:rsidRPr="002E0906">
              <w:t>Ministrijas (citas institūcijas), kuras nav ieradušās uz sanāksmi vai kuras nav atbildējušas uz uzaicinājumu piedalīties elektroniskajā saskaņošanā</w:t>
            </w:r>
          </w:p>
        </w:tc>
        <w:tc>
          <w:tcPr>
            <w:tcW w:w="5986" w:type="dxa"/>
            <w:gridSpan w:val="2"/>
          </w:tcPr>
          <w:p w14:paraId="13A589BB" w14:textId="77777777" w:rsidR="00841FD4" w:rsidRPr="002E0906" w:rsidRDefault="00841FD4" w:rsidP="00BD26AC">
            <w:pPr>
              <w:pStyle w:val="naiskr"/>
              <w:spacing w:before="0" w:after="0"/>
              <w:ind w:firstLine="720"/>
            </w:pPr>
          </w:p>
        </w:tc>
      </w:tr>
      <w:tr w:rsidR="00841FD4" w:rsidRPr="002E0906" w14:paraId="042AC7E0" w14:textId="77777777" w:rsidTr="00465239">
        <w:tc>
          <w:tcPr>
            <w:tcW w:w="6596" w:type="dxa"/>
          </w:tcPr>
          <w:p w14:paraId="61D10D68" w14:textId="77777777" w:rsidR="00841FD4" w:rsidRPr="002E0906" w:rsidRDefault="00841FD4" w:rsidP="00BD26AC">
            <w:pPr>
              <w:pStyle w:val="naiskr"/>
              <w:spacing w:before="0" w:after="0"/>
              <w:ind w:firstLine="720"/>
            </w:pPr>
            <w:r w:rsidRPr="002E0906">
              <w:lastRenderedPageBreak/>
              <w:t>  </w:t>
            </w:r>
          </w:p>
        </w:tc>
        <w:tc>
          <w:tcPr>
            <w:tcW w:w="5986" w:type="dxa"/>
            <w:gridSpan w:val="2"/>
            <w:tcBorders>
              <w:top w:val="single" w:sz="6" w:space="0" w:color="000000"/>
              <w:bottom w:val="single" w:sz="6" w:space="0" w:color="000000"/>
            </w:tcBorders>
          </w:tcPr>
          <w:p w14:paraId="2BFC2BD8" w14:textId="77777777" w:rsidR="00841FD4" w:rsidRPr="002E0906" w:rsidRDefault="00841FD4" w:rsidP="00BD26AC">
            <w:pPr>
              <w:pStyle w:val="naiskr"/>
              <w:spacing w:before="0" w:after="0"/>
              <w:ind w:firstLine="720"/>
            </w:pPr>
          </w:p>
        </w:tc>
      </w:tr>
      <w:tr w:rsidR="00841FD4" w:rsidRPr="002E0906" w14:paraId="65ED9E72" w14:textId="77777777" w:rsidTr="00465239">
        <w:tc>
          <w:tcPr>
            <w:tcW w:w="6596" w:type="dxa"/>
          </w:tcPr>
          <w:p w14:paraId="78429E02" w14:textId="77777777" w:rsidR="00841FD4" w:rsidRPr="002E0906" w:rsidRDefault="00841FD4" w:rsidP="00BD26AC">
            <w:pPr>
              <w:pStyle w:val="naiskr"/>
              <w:spacing w:before="0" w:after="0"/>
              <w:ind w:firstLine="720"/>
            </w:pPr>
            <w:r w:rsidRPr="002E0906">
              <w:t>  </w:t>
            </w:r>
          </w:p>
        </w:tc>
        <w:tc>
          <w:tcPr>
            <w:tcW w:w="5986" w:type="dxa"/>
            <w:gridSpan w:val="2"/>
            <w:tcBorders>
              <w:bottom w:val="single" w:sz="6" w:space="0" w:color="000000"/>
            </w:tcBorders>
          </w:tcPr>
          <w:p w14:paraId="2EB4B76D" w14:textId="77777777" w:rsidR="00841FD4" w:rsidRPr="002E0906" w:rsidRDefault="00841FD4" w:rsidP="00BD26AC">
            <w:pPr>
              <w:pStyle w:val="naiskr"/>
              <w:spacing w:before="0" w:after="0"/>
              <w:ind w:firstLine="720"/>
            </w:pPr>
          </w:p>
        </w:tc>
      </w:tr>
    </w:tbl>
    <w:p w14:paraId="67E4710D" w14:textId="77777777" w:rsidR="00841FD4" w:rsidRPr="002E0906" w:rsidRDefault="00841FD4" w:rsidP="00841FD4">
      <w:pPr>
        <w:pStyle w:val="naisf"/>
        <w:spacing w:before="0" w:after="0"/>
        <w:ind w:firstLine="720"/>
      </w:pPr>
    </w:p>
    <w:p w14:paraId="41D1E04E" w14:textId="77777777" w:rsidR="00841FD4" w:rsidRPr="002E0906" w:rsidRDefault="00841FD4" w:rsidP="00841FD4">
      <w:pPr>
        <w:pStyle w:val="naisf"/>
        <w:spacing w:before="0" w:after="0"/>
        <w:ind w:firstLine="0"/>
        <w:jc w:val="center"/>
        <w:rPr>
          <w:b/>
        </w:rPr>
      </w:pPr>
      <w:r w:rsidRPr="002E0906">
        <w:rPr>
          <w:b/>
        </w:rPr>
        <w:t>II. Jautājumi, par kuriem saskaņošanā vienošanās ir panākta</w:t>
      </w:r>
    </w:p>
    <w:p w14:paraId="2B96EF59" w14:textId="77777777" w:rsidR="00841FD4" w:rsidRPr="002E0906" w:rsidRDefault="00841FD4" w:rsidP="00841FD4">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428"/>
        <w:gridCol w:w="4111"/>
        <w:gridCol w:w="1640"/>
        <w:gridCol w:w="1478"/>
        <w:gridCol w:w="3660"/>
      </w:tblGrid>
      <w:tr w:rsidR="00841FD4" w:rsidRPr="002E0906" w14:paraId="3DCD414C" w14:textId="77777777" w:rsidTr="00D61005">
        <w:tc>
          <w:tcPr>
            <w:tcW w:w="708" w:type="dxa"/>
            <w:tcBorders>
              <w:top w:val="single" w:sz="6" w:space="0" w:color="000000"/>
              <w:left w:val="single" w:sz="6" w:space="0" w:color="000000"/>
              <w:bottom w:val="single" w:sz="6" w:space="0" w:color="000000"/>
              <w:right w:val="single" w:sz="6" w:space="0" w:color="000000"/>
            </w:tcBorders>
            <w:vAlign w:val="center"/>
          </w:tcPr>
          <w:p w14:paraId="5868E918" w14:textId="77777777" w:rsidR="00841FD4" w:rsidRPr="002E0906" w:rsidRDefault="00841FD4" w:rsidP="00BD26AC">
            <w:pPr>
              <w:pStyle w:val="naisc"/>
              <w:spacing w:before="0" w:after="0"/>
            </w:pPr>
            <w:r w:rsidRPr="002E0906">
              <w:t>Nr. p. k.</w:t>
            </w:r>
          </w:p>
        </w:tc>
        <w:tc>
          <w:tcPr>
            <w:tcW w:w="2828" w:type="dxa"/>
            <w:gridSpan w:val="2"/>
            <w:tcBorders>
              <w:top w:val="single" w:sz="6" w:space="0" w:color="000000"/>
              <w:left w:val="single" w:sz="6" w:space="0" w:color="000000"/>
              <w:bottom w:val="single" w:sz="6" w:space="0" w:color="000000"/>
              <w:right w:val="single" w:sz="6" w:space="0" w:color="000000"/>
            </w:tcBorders>
            <w:vAlign w:val="center"/>
          </w:tcPr>
          <w:p w14:paraId="4BC32DA9" w14:textId="77777777" w:rsidR="00841FD4" w:rsidRPr="002E0906" w:rsidRDefault="00841FD4" w:rsidP="00BD26AC">
            <w:pPr>
              <w:pStyle w:val="naisc"/>
              <w:spacing w:before="0" w:after="0"/>
              <w:ind w:firstLine="12"/>
            </w:pPr>
            <w:r w:rsidRPr="002E090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19BB9479" w14:textId="77777777" w:rsidR="00841FD4" w:rsidRPr="002E0906" w:rsidRDefault="00841FD4" w:rsidP="00BD26AC">
            <w:pPr>
              <w:pStyle w:val="naisc"/>
              <w:spacing w:before="0" w:after="0"/>
              <w:ind w:right="3"/>
            </w:pPr>
            <w:r w:rsidRPr="002E0906">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4C3BA4E5" w14:textId="77777777" w:rsidR="00841FD4" w:rsidRPr="002E0906" w:rsidRDefault="00841FD4" w:rsidP="00BD26AC">
            <w:pPr>
              <w:pStyle w:val="naisc"/>
              <w:spacing w:before="0" w:after="0"/>
              <w:ind w:firstLine="21"/>
            </w:pPr>
            <w:r w:rsidRPr="002E0906">
              <w:t>Atbildīgās ministrijas norāde par to, ka iebildums ir ņemts vērā, vai informācija par saskaņošanā panākto alternatīvo risinājumu</w:t>
            </w:r>
          </w:p>
        </w:tc>
        <w:tc>
          <w:tcPr>
            <w:tcW w:w="3660" w:type="dxa"/>
            <w:tcBorders>
              <w:top w:val="single" w:sz="4" w:space="0" w:color="auto"/>
              <w:left w:val="single" w:sz="4" w:space="0" w:color="auto"/>
              <w:bottom w:val="single" w:sz="4" w:space="0" w:color="auto"/>
            </w:tcBorders>
            <w:vAlign w:val="center"/>
          </w:tcPr>
          <w:p w14:paraId="2731D536" w14:textId="77777777" w:rsidR="00841FD4" w:rsidRPr="002E0906" w:rsidRDefault="00841FD4" w:rsidP="00BD26AC">
            <w:pPr>
              <w:jc w:val="center"/>
            </w:pPr>
            <w:r w:rsidRPr="002E0906">
              <w:t>Projekta attiecīgā punkta (panta) galīgā redakcija</w:t>
            </w:r>
          </w:p>
        </w:tc>
      </w:tr>
      <w:tr w:rsidR="00841FD4" w:rsidRPr="002E0906" w14:paraId="011E020C" w14:textId="77777777" w:rsidTr="00D61005">
        <w:tc>
          <w:tcPr>
            <w:tcW w:w="708" w:type="dxa"/>
            <w:tcBorders>
              <w:top w:val="single" w:sz="6" w:space="0" w:color="000000"/>
              <w:left w:val="single" w:sz="6" w:space="0" w:color="000000"/>
              <w:bottom w:val="single" w:sz="6" w:space="0" w:color="000000"/>
              <w:right w:val="single" w:sz="6" w:space="0" w:color="000000"/>
            </w:tcBorders>
          </w:tcPr>
          <w:p w14:paraId="064EE1CC" w14:textId="77777777" w:rsidR="00841FD4" w:rsidRPr="002E0906" w:rsidRDefault="00841FD4" w:rsidP="00BD26AC">
            <w:pPr>
              <w:pStyle w:val="naisc"/>
              <w:spacing w:before="0" w:after="0"/>
              <w:rPr>
                <w:sz w:val="20"/>
                <w:szCs w:val="20"/>
              </w:rPr>
            </w:pPr>
            <w:r w:rsidRPr="002E0906">
              <w:rPr>
                <w:sz w:val="20"/>
                <w:szCs w:val="20"/>
              </w:rPr>
              <w:t>1</w:t>
            </w:r>
          </w:p>
        </w:tc>
        <w:tc>
          <w:tcPr>
            <w:tcW w:w="2828" w:type="dxa"/>
            <w:gridSpan w:val="2"/>
            <w:tcBorders>
              <w:top w:val="single" w:sz="6" w:space="0" w:color="000000"/>
              <w:left w:val="single" w:sz="6" w:space="0" w:color="000000"/>
              <w:bottom w:val="single" w:sz="6" w:space="0" w:color="000000"/>
              <w:right w:val="single" w:sz="6" w:space="0" w:color="000000"/>
            </w:tcBorders>
          </w:tcPr>
          <w:p w14:paraId="1B38F2C7" w14:textId="77777777" w:rsidR="00841FD4" w:rsidRPr="002E0906" w:rsidRDefault="00841FD4" w:rsidP="00BD26AC">
            <w:pPr>
              <w:pStyle w:val="naisc"/>
              <w:spacing w:before="0" w:after="0"/>
              <w:ind w:firstLine="720"/>
              <w:rPr>
                <w:sz w:val="20"/>
                <w:szCs w:val="20"/>
              </w:rPr>
            </w:pPr>
            <w:r w:rsidRPr="002E0906">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72C68173" w14:textId="77777777" w:rsidR="00841FD4" w:rsidRPr="002E0906" w:rsidRDefault="00841FD4" w:rsidP="00BD26AC">
            <w:pPr>
              <w:pStyle w:val="naisc"/>
              <w:spacing w:before="0" w:after="0"/>
              <w:ind w:firstLine="720"/>
              <w:rPr>
                <w:sz w:val="20"/>
                <w:szCs w:val="20"/>
              </w:rPr>
            </w:pPr>
            <w:r w:rsidRPr="002E0906">
              <w:rPr>
                <w:sz w:val="20"/>
                <w:szCs w:val="20"/>
              </w:rPr>
              <w:t>3</w:t>
            </w:r>
          </w:p>
        </w:tc>
        <w:tc>
          <w:tcPr>
            <w:tcW w:w="3118" w:type="dxa"/>
            <w:gridSpan w:val="2"/>
            <w:tcBorders>
              <w:top w:val="single" w:sz="6" w:space="0" w:color="000000"/>
              <w:left w:val="single" w:sz="6" w:space="0" w:color="000000"/>
              <w:bottom w:val="single" w:sz="6" w:space="0" w:color="000000"/>
              <w:right w:val="single" w:sz="6" w:space="0" w:color="000000"/>
            </w:tcBorders>
          </w:tcPr>
          <w:p w14:paraId="44610BB8" w14:textId="77777777" w:rsidR="00841FD4" w:rsidRPr="002E0906" w:rsidRDefault="00841FD4" w:rsidP="00BD26AC">
            <w:pPr>
              <w:pStyle w:val="naisc"/>
              <w:spacing w:before="0" w:after="0"/>
              <w:ind w:firstLine="720"/>
              <w:rPr>
                <w:sz w:val="20"/>
                <w:szCs w:val="20"/>
              </w:rPr>
            </w:pPr>
            <w:r w:rsidRPr="002E0906">
              <w:rPr>
                <w:sz w:val="20"/>
                <w:szCs w:val="20"/>
              </w:rPr>
              <w:t>4</w:t>
            </w:r>
          </w:p>
        </w:tc>
        <w:tc>
          <w:tcPr>
            <w:tcW w:w="3660" w:type="dxa"/>
            <w:tcBorders>
              <w:top w:val="single" w:sz="4" w:space="0" w:color="auto"/>
              <w:left w:val="single" w:sz="4" w:space="0" w:color="auto"/>
              <w:bottom w:val="single" w:sz="4" w:space="0" w:color="auto"/>
            </w:tcBorders>
          </w:tcPr>
          <w:p w14:paraId="5A0B5DE5" w14:textId="77777777" w:rsidR="00841FD4" w:rsidRPr="002E0906" w:rsidRDefault="00841FD4" w:rsidP="00BD26AC">
            <w:pPr>
              <w:jc w:val="center"/>
              <w:rPr>
                <w:sz w:val="20"/>
                <w:szCs w:val="20"/>
              </w:rPr>
            </w:pPr>
            <w:r w:rsidRPr="002E0906">
              <w:rPr>
                <w:sz w:val="20"/>
                <w:szCs w:val="20"/>
              </w:rPr>
              <w:t>5</w:t>
            </w:r>
          </w:p>
        </w:tc>
      </w:tr>
      <w:tr w:rsidR="00892E8B" w:rsidRPr="002E0906" w14:paraId="380DFEC3" w14:textId="77777777" w:rsidTr="00D61005">
        <w:tc>
          <w:tcPr>
            <w:tcW w:w="708" w:type="dxa"/>
            <w:tcBorders>
              <w:top w:val="single" w:sz="6" w:space="0" w:color="000000"/>
              <w:left w:val="single" w:sz="6" w:space="0" w:color="000000"/>
              <w:bottom w:val="single" w:sz="6" w:space="0" w:color="000000"/>
              <w:right w:val="single" w:sz="6" w:space="0" w:color="000000"/>
            </w:tcBorders>
          </w:tcPr>
          <w:p w14:paraId="145BB7B9" w14:textId="77777777" w:rsidR="00892E8B" w:rsidRDefault="00892E8B" w:rsidP="00BD26AC">
            <w:pPr>
              <w:pStyle w:val="naisc"/>
              <w:spacing w:before="0" w:after="0"/>
              <w:rPr>
                <w:sz w:val="20"/>
                <w:szCs w:val="20"/>
              </w:rPr>
            </w:pPr>
          </w:p>
          <w:p w14:paraId="12E75E70" w14:textId="3543A781" w:rsidR="00FC1703" w:rsidRPr="002E0906" w:rsidRDefault="00FC1703" w:rsidP="00BD26AC">
            <w:pPr>
              <w:pStyle w:val="naisc"/>
              <w:spacing w:before="0" w:after="0"/>
              <w:rPr>
                <w:sz w:val="20"/>
                <w:szCs w:val="20"/>
              </w:rPr>
            </w:pPr>
            <w:r>
              <w:rPr>
                <w:sz w:val="20"/>
                <w:szCs w:val="20"/>
              </w:rPr>
              <w:t>1.</w:t>
            </w:r>
          </w:p>
        </w:tc>
        <w:tc>
          <w:tcPr>
            <w:tcW w:w="2828" w:type="dxa"/>
            <w:gridSpan w:val="2"/>
            <w:tcBorders>
              <w:top w:val="single" w:sz="6" w:space="0" w:color="000000"/>
              <w:left w:val="single" w:sz="6" w:space="0" w:color="000000"/>
              <w:bottom w:val="single" w:sz="6" w:space="0" w:color="000000"/>
              <w:right w:val="single" w:sz="6" w:space="0" w:color="000000"/>
            </w:tcBorders>
          </w:tcPr>
          <w:p w14:paraId="5226217E" w14:textId="524C27B4" w:rsidR="00892E8B" w:rsidRDefault="00892E8B" w:rsidP="00892E8B">
            <w:pPr>
              <w:pStyle w:val="naisc"/>
              <w:rPr>
                <w:b/>
                <w:bCs/>
              </w:rPr>
            </w:pPr>
            <w:r w:rsidRPr="00004282">
              <w:rPr>
                <w:b/>
                <w:bCs/>
              </w:rPr>
              <w:t xml:space="preserve">Atzinums uz </w:t>
            </w:r>
            <w:r>
              <w:rPr>
                <w:b/>
                <w:bCs/>
              </w:rPr>
              <w:t>25</w:t>
            </w:r>
            <w:r w:rsidRPr="00004282">
              <w:rPr>
                <w:b/>
                <w:bCs/>
              </w:rPr>
              <w:t>.11.2020.</w:t>
            </w:r>
          </w:p>
          <w:p w14:paraId="4E9C153B" w14:textId="54E76767" w:rsidR="00F33DA9" w:rsidRPr="00004282" w:rsidRDefault="00F33DA9" w:rsidP="00892E8B">
            <w:pPr>
              <w:pStyle w:val="naisc"/>
              <w:rPr>
                <w:b/>
                <w:bCs/>
              </w:rPr>
            </w:pPr>
            <w:r>
              <w:rPr>
                <w:b/>
                <w:bCs/>
              </w:rPr>
              <w:t>-</w:t>
            </w:r>
          </w:p>
          <w:p w14:paraId="511EA456" w14:textId="77777777" w:rsidR="00892E8B" w:rsidRPr="002E0906" w:rsidRDefault="00892E8B" w:rsidP="00892E8B">
            <w:pPr>
              <w:pStyle w:val="naisc"/>
              <w:spacing w:before="0" w:after="0"/>
              <w:ind w:firstLine="720"/>
              <w:jc w:val="left"/>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14:paraId="140DCC03" w14:textId="77777777" w:rsidR="00892E8B" w:rsidRPr="00004282" w:rsidRDefault="00892E8B" w:rsidP="00892E8B">
            <w:pPr>
              <w:pStyle w:val="naisc"/>
              <w:spacing w:before="0" w:after="0"/>
              <w:ind w:firstLine="720"/>
              <w:rPr>
                <w:b/>
                <w:bCs/>
              </w:rPr>
            </w:pPr>
            <w:r w:rsidRPr="00004282">
              <w:rPr>
                <w:b/>
                <w:bCs/>
              </w:rPr>
              <w:t>Tieslietu ministrija</w:t>
            </w:r>
          </w:p>
          <w:p w14:paraId="70585226" w14:textId="39948BEB" w:rsidR="00892E8B" w:rsidRDefault="00892E8B" w:rsidP="00892E8B">
            <w:pPr>
              <w:pStyle w:val="naisc"/>
              <w:spacing w:before="0" w:after="0"/>
              <w:ind w:firstLine="720"/>
              <w:rPr>
                <w:b/>
                <w:bCs/>
              </w:rPr>
            </w:pPr>
            <w:r w:rsidRPr="00004282">
              <w:rPr>
                <w:b/>
                <w:bCs/>
              </w:rPr>
              <w:t>(</w:t>
            </w:r>
            <w:r w:rsidR="00F45DD3">
              <w:rPr>
                <w:b/>
                <w:bCs/>
              </w:rPr>
              <w:t>iebildumi</w:t>
            </w:r>
            <w:r>
              <w:rPr>
                <w:b/>
                <w:bCs/>
              </w:rPr>
              <w:t>)</w:t>
            </w:r>
          </w:p>
          <w:p w14:paraId="15A2C8D1" w14:textId="77777777" w:rsidR="00892E8B" w:rsidRDefault="00892E8B" w:rsidP="00892E8B">
            <w:pPr>
              <w:pStyle w:val="naisc"/>
              <w:spacing w:before="0" w:after="0"/>
              <w:jc w:val="both"/>
            </w:pPr>
          </w:p>
          <w:p w14:paraId="1F93532E" w14:textId="079F87DD" w:rsidR="00892E8B" w:rsidRPr="002E0906" w:rsidRDefault="00892E8B" w:rsidP="00892E8B">
            <w:pPr>
              <w:pStyle w:val="naisc"/>
              <w:spacing w:before="0" w:after="0"/>
              <w:jc w:val="both"/>
              <w:rPr>
                <w:sz w:val="20"/>
                <w:szCs w:val="20"/>
              </w:rPr>
            </w:pPr>
            <w:r>
              <w:t xml:space="preserve">Vēršam uzmanību, ka likumprojekta </w:t>
            </w:r>
            <w:r w:rsidRPr="00F17E31">
              <w:t>"</w:t>
            </w:r>
            <w:r>
              <w:t>Latvijas Bankas likums</w:t>
            </w:r>
            <w:r w:rsidRPr="00F17E31">
              <w:t>"</w:t>
            </w:r>
            <w:r>
              <w:t xml:space="preserve">, saistībā ar kuru cita starpā izstrādāts cita starpā arī likumprojekts Nr. 1, </w:t>
            </w:r>
            <w:r w:rsidRPr="007F2D93">
              <w:t>80. panta otrā daļa paredz, ka Latvijas Banka iz</w:t>
            </w:r>
            <w:r>
              <w:t>dod iekšējo normatīvo aktu, kas</w:t>
            </w:r>
            <w:r w:rsidRPr="007F2D93">
              <w:t xml:space="preserve"> nosaka Latvijas Bankas valdījumā esošo ieroču, munīcijas un speciālo līdzekļu glabāšanas, nēsāšanas, pārvadāšanas, pārsūtīšanas, treniņšaušanas un remonta kārtību, kā arī kārtību, kādā Latvijas Bankas darbinieks, kas nodrošina fizisko drošību, veic bezpilota gaisa kuģa piespiedu nosēdināšanu vai iznīcināšanu vai tāda cita veida lidaparāta piespiedu nosēdināšanu vai iznīcināšanu, kurš nav kvalificējams kā gaisa kuģis. Ieroču aprites likuma 94. panta pirmā daļa noteic, ka Latvijas Bankas Aizsardzības </w:t>
            </w:r>
            <w:r w:rsidRPr="007F2D93">
              <w:lastRenderedPageBreak/>
              <w:t xml:space="preserve">pārvaldes valdījumā esošo ieroču, munīcijas un speciālo līdzekļu iegādāšanās, izmantošanas, pielietošanas, glabāšanas, nēsāšanas, realizēšanas, pārvadāšanas un pārsūtīšanas, treniņšaušanas, remonta, kā arī apmācībām nepieciešamo ieroču pārveidošanas kārtību nosaka šo institūciju darbību reglamentējošie normatīvie akti. Ieroču aprites likuma 94. panta pirmajā daļā ir ietverts plašāks darbību uzskaitījums jautājumiem, kam nepieciešams normatīvā akta regulējums ieroču aprites jomā. Ievērojot minēto, lūdzam </w:t>
            </w:r>
            <w:r>
              <w:t>izvērtēt un nepieciešamības gadījumā precizēt Ieroču aprites likuma 94. panta pirmajā daļā ietverto darbību uzskaitījumu, izslēdzot no tā atsevišķas darbības, minētajā likumā ietverot attiecīgo darbību tiesisko regulējumu</w:t>
            </w:r>
          </w:p>
        </w:tc>
        <w:tc>
          <w:tcPr>
            <w:tcW w:w="3118" w:type="dxa"/>
            <w:gridSpan w:val="2"/>
            <w:tcBorders>
              <w:top w:val="single" w:sz="6" w:space="0" w:color="000000"/>
              <w:left w:val="single" w:sz="6" w:space="0" w:color="000000"/>
              <w:bottom w:val="single" w:sz="6" w:space="0" w:color="000000"/>
              <w:right w:val="single" w:sz="6" w:space="0" w:color="000000"/>
            </w:tcBorders>
          </w:tcPr>
          <w:p w14:paraId="35DF489B" w14:textId="6EF231CB" w:rsidR="00892E8B" w:rsidRPr="00892E8B" w:rsidRDefault="00892E8B" w:rsidP="00892E8B">
            <w:pPr>
              <w:pStyle w:val="naisc"/>
              <w:spacing w:before="0" w:after="0"/>
              <w:rPr>
                <w:b/>
                <w:bCs/>
              </w:rPr>
            </w:pPr>
            <w:r w:rsidRPr="00892E8B">
              <w:rPr>
                <w:b/>
                <w:bCs/>
              </w:rPr>
              <w:lastRenderedPageBreak/>
              <w:t>Ņemts vērā</w:t>
            </w:r>
          </w:p>
          <w:p w14:paraId="7E483A3E" w14:textId="33EF5323" w:rsidR="00892E8B" w:rsidRDefault="00892E8B" w:rsidP="00892E8B">
            <w:pPr>
              <w:pStyle w:val="naisc"/>
              <w:spacing w:before="0" w:after="0"/>
              <w:jc w:val="both"/>
            </w:pPr>
          </w:p>
          <w:p w14:paraId="7F552DDE" w14:textId="77777777" w:rsidR="00892E8B" w:rsidRDefault="00892E8B" w:rsidP="00892E8B">
            <w:pPr>
              <w:pStyle w:val="naisc"/>
              <w:spacing w:before="0" w:after="0"/>
              <w:jc w:val="both"/>
            </w:pPr>
          </w:p>
          <w:p w14:paraId="4A9101D3" w14:textId="105E790D" w:rsidR="00892E8B" w:rsidRPr="00296873" w:rsidRDefault="00892E8B" w:rsidP="00892E8B">
            <w:pPr>
              <w:pStyle w:val="naisc"/>
              <w:spacing w:before="0" w:after="0"/>
              <w:jc w:val="both"/>
              <w:rPr>
                <w:spacing w:val="-2"/>
              </w:rPr>
            </w:pPr>
            <w:r w:rsidRPr="00296873">
              <w:t>Lūdzu skatīt likumprojekta "Latvijas Bankas likums" anotācijā ietverto 80. panta skaidrojumu [</w:t>
            </w:r>
            <w:r w:rsidRPr="00296873">
              <w:rPr>
                <w:spacing w:val="-2"/>
              </w:rPr>
              <w:t>97.1.].</w:t>
            </w:r>
          </w:p>
          <w:p w14:paraId="37FFD03F" w14:textId="77777777" w:rsidR="00892E8B" w:rsidRPr="00296873" w:rsidRDefault="00892E8B" w:rsidP="00892E8B">
            <w:pPr>
              <w:pStyle w:val="naisc"/>
              <w:spacing w:before="0" w:after="0"/>
              <w:jc w:val="both"/>
            </w:pPr>
            <w:r w:rsidRPr="00296873">
              <w:rPr>
                <w:spacing w:val="-2"/>
              </w:rPr>
              <w:t> </w:t>
            </w:r>
          </w:p>
          <w:p w14:paraId="6BE4DD7F" w14:textId="7A67F1DF" w:rsidR="00892E8B" w:rsidRPr="00296873" w:rsidRDefault="00892E8B" w:rsidP="00892E8B">
            <w:pPr>
              <w:pStyle w:val="naisc"/>
              <w:spacing w:before="0" w:after="0"/>
              <w:jc w:val="both"/>
            </w:pPr>
            <w:r w:rsidRPr="00296873">
              <w:t xml:space="preserve">Attiecībā uz "Latvijas Bankas likuma" 80.panta otro daļu, kur ietverts daļējs Ieroču aprites likuma 94. panta 1. daļā paredzētais ieroču aprites jautājumu uzskaitījums, paskaidrojam, ka tas darīts ar mērķi noteikt tos ar ieroču apriti saistītos jautājumus, kuru regulējumu Latvijas Banka regulēs, izdodot savu iekšējo normatīvo aktu. Attiecībā uz pārējiem Ieroču aprites likuma 94. panta 1.daļā </w:t>
            </w:r>
            <w:r w:rsidRPr="00296873">
              <w:lastRenderedPageBreak/>
              <w:t xml:space="preserve">paredzētajiem, bet </w:t>
            </w:r>
            <w:r>
              <w:t>Latvijas Bankas likuma</w:t>
            </w:r>
            <w:r w:rsidRPr="00296873">
              <w:t xml:space="preserve"> 80.panta otrajā daļā nepieminētajiem ieroču aprites jautājumiem attieksies Ieroču aprites likuma 94. panta pirmajā daļā paredzētais princips – būs piemērojams to ārējo normatīvo aktu regulējums, kas vienlaikus  attiecas uz Latvijas Bankas darbību un regulē attiecīgos Ieroču aprites likuma 94.panta </w:t>
            </w:r>
            <w:r w:rsidR="000B0CF1">
              <w:t>pirmajā</w:t>
            </w:r>
            <w:r w:rsidRPr="00296873">
              <w:t xml:space="preserve"> daļā minētos, bet </w:t>
            </w:r>
            <w:r>
              <w:t xml:space="preserve">Latvijas Bankas likuma </w:t>
            </w:r>
            <w:r w:rsidRPr="00296873">
              <w:t xml:space="preserve">80. panta otrajā daļā neuzskaitītos ieroču aprites jautājumus. Tā, piemēram, ieroču, munīcijas un speciālo līdzekļu iegādāšanās notiks, ievērojot Publisko iepirkumu likumu un </w:t>
            </w:r>
            <w:r w:rsidRPr="00296873">
              <w:rPr>
                <w:shd w:val="clear" w:color="auto" w:fill="FFFFFF"/>
              </w:rPr>
              <w:t xml:space="preserve">Aizsardzības un drošības jomas iepirkumu likumu, savukārt </w:t>
            </w:r>
            <w:r>
              <w:rPr>
                <w:shd w:val="clear" w:color="auto" w:fill="FFFFFF"/>
              </w:rPr>
              <w:t>Latvijas bankas likuma</w:t>
            </w:r>
            <w:r w:rsidRPr="00296873">
              <w:rPr>
                <w:shd w:val="clear" w:color="auto" w:fill="FFFFFF"/>
              </w:rPr>
              <w:t xml:space="preserve"> 80. panta pirmās daļas 5</w:t>
            </w:r>
            <w:r w:rsidR="000B0CF1">
              <w:rPr>
                <w:shd w:val="clear" w:color="auto" w:fill="FFFFFF"/>
              </w:rPr>
              <w:t>.</w:t>
            </w:r>
            <w:r w:rsidRPr="00296873">
              <w:rPr>
                <w:shd w:val="clear" w:color="auto" w:fill="FFFFFF"/>
              </w:rPr>
              <w:t xml:space="preserve"> un 7</w:t>
            </w:r>
            <w:r w:rsidR="000B0CF1">
              <w:rPr>
                <w:shd w:val="clear" w:color="auto" w:fill="FFFFFF"/>
              </w:rPr>
              <w:t>.</w:t>
            </w:r>
            <w:r w:rsidRPr="00296873">
              <w:rPr>
                <w:shd w:val="clear" w:color="auto" w:fill="FFFFFF"/>
              </w:rPr>
              <w:t xml:space="preserve"> punktā tiek noteiks, ka ieroču un speciālo līdzekļu izmantošana un pielietošana var tikt veikta saskaņā ar likumu "Par policiju". Realizēšanas kārtībai  piemērojams Publiskas personas mantas atsavināšanas likums u.c. </w:t>
            </w:r>
            <w:r w:rsidRPr="00296873">
              <w:rPr>
                <w:shd w:val="clear" w:color="auto" w:fill="FFFFFF"/>
              </w:rPr>
              <w:lastRenderedPageBreak/>
              <w:t>normatīvie akti  t.sk. attiecībā uz ieroču, munīcijas un speciālo līdzekļu  apriti.</w:t>
            </w:r>
            <w:r w:rsidRPr="00296873">
              <w:t xml:space="preserve"> </w:t>
            </w:r>
          </w:p>
          <w:p w14:paraId="71EAE0AD" w14:textId="46123E75" w:rsidR="00892E8B" w:rsidRPr="002E0906" w:rsidRDefault="00892E8B" w:rsidP="00892E8B">
            <w:pPr>
              <w:pStyle w:val="naisc"/>
              <w:spacing w:before="0" w:after="0"/>
              <w:ind w:firstLine="720"/>
              <w:rPr>
                <w:sz w:val="20"/>
                <w:szCs w:val="20"/>
              </w:rPr>
            </w:pPr>
            <w:r w:rsidRPr="00296873">
              <w:t>Latvijas Banka, L</w:t>
            </w:r>
            <w:r>
              <w:t>atvijas Bankas likumā</w:t>
            </w:r>
            <w:r w:rsidRPr="00296873">
              <w:t xml:space="preserve"> daļēji uzskaitot tikai atsevišķus Ieroču aprites likuma 94.pantā minētos ieroču aprites jautājumus, nesašaurina savas tiesības vai attiecināmo regulējumu, bet gan nodala tos ieroču aprites jautājumus, kas tiks noregulēti ar Latvijas Bankas iekšējo regulējumu</w:t>
            </w:r>
          </w:p>
        </w:tc>
        <w:tc>
          <w:tcPr>
            <w:tcW w:w="3660" w:type="dxa"/>
            <w:tcBorders>
              <w:top w:val="single" w:sz="4" w:space="0" w:color="auto"/>
              <w:left w:val="single" w:sz="4" w:space="0" w:color="auto"/>
              <w:bottom w:val="single" w:sz="4" w:space="0" w:color="auto"/>
            </w:tcBorders>
          </w:tcPr>
          <w:p w14:paraId="704F8499" w14:textId="77777777" w:rsidR="00892E8B" w:rsidRDefault="00892E8B" w:rsidP="00BD26AC">
            <w:pPr>
              <w:jc w:val="center"/>
              <w:rPr>
                <w:sz w:val="20"/>
                <w:szCs w:val="20"/>
              </w:rPr>
            </w:pPr>
          </w:p>
          <w:p w14:paraId="224537A8" w14:textId="77777777" w:rsidR="00F33DA9" w:rsidRDefault="00F33DA9" w:rsidP="00BD26AC">
            <w:pPr>
              <w:jc w:val="center"/>
              <w:rPr>
                <w:sz w:val="20"/>
                <w:szCs w:val="20"/>
              </w:rPr>
            </w:pPr>
          </w:p>
          <w:p w14:paraId="2551B6A8" w14:textId="77777777" w:rsidR="00163C2B" w:rsidRDefault="00163C2B" w:rsidP="00BD26AC">
            <w:pPr>
              <w:jc w:val="center"/>
              <w:rPr>
                <w:sz w:val="20"/>
                <w:szCs w:val="20"/>
              </w:rPr>
            </w:pPr>
          </w:p>
          <w:p w14:paraId="01F34F8A" w14:textId="47A4CC4E" w:rsidR="00163C2B" w:rsidRDefault="003A218B" w:rsidP="00BD26AC">
            <w:pPr>
              <w:jc w:val="center"/>
              <w:rPr>
                <w:sz w:val="20"/>
                <w:szCs w:val="20"/>
              </w:rPr>
            </w:pPr>
            <w:r>
              <w:rPr>
                <w:sz w:val="20"/>
                <w:szCs w:val="20"/>
              </w:rPr>
              <w:t>-</w:t>
            </w:r>
          </w:p>
          <w:p w14:paraId="5ABA4C4D" w14:textId="5586112A" w:rsidR="00163C2B" w:rsidRPr="002E0906" w:rsidRDefault="00163C2B" w:rsidP="00BD26AC">
            <w:pPr>
              <w:jc w:val="center"/>
              <w:rPr>
                <w:sz w:val="20"/>
                <w:szCs w:val="20"/>
              </w:rPr>
            </w:pPr>
          </w:p>
        </w:tc>
      </w:tr>
      <w:tr w:rsidR="00892E8B" w:rsidRPr="002E0906" w14:paraId="749AEA60" w14:textId="77777777" w:rsidTr="00D61005">
        <w:tc>
          <w:tcPr>
            <w:tcW w:w="708" w:type="dxa"/>
            <w:tcBorders>
              <w:top w:val="single" w:sz="6" w:space="0" w:color="000000"/>
              <w:left w:val="single" w:sz="6" w:space="0" w:color="000000"/>
              <w:bottom w:val="single" w:sz="6" w:space="0" w:color="000000"/>
              <w:right w:val="single" w:sz="6" w:space="0" w:color="000000"/>
            </w:tcBorders>
          </w:tcPr>
          <w:p w14:paraId="189A3123" w14:textId="77777777" w:rsidR="00892E8B" w:rsidRPr="00FC1703" w:rsidRDefault="00892E8B" w:rsidP="00BD26AC">
            <w:pPr>
              <w:pStyle w:val="naisc"/>
              <w:spacing w:before="0" w:after="0"/>
            </w:pPr>
          </w:p>
          <w:p w14:paraId="70F78165" w14:textId="51BF8117" w:rsidR="00FC1703" w:rsidRPr="002E0906" w:rsidRDefault="00FC1703" w:rsidP="00BD26AC">
            <w:pPr>
              <w:pStyle w:val="naisc"/>
              <w:spacing w:before="0" w:after="0"/>
              <w:rPr>
                <w:sz w:val="20"/>
                <w:szCs w:val="20"/>
              </w:rPr>
            </w:pPr>
            <w:r w:rsidRPr="00FC1703">
              <w:t>2.</w:t>
            </w:r>
          </w:p>
        </w:tc>
        <w:tc>
          <w:tcPr>
            <w:tcW w:w="2828" w:type="dxa"/>
            <w:gridSpan w:val="2"/>
            <w:tcBorders>
              <w:top w:val="single" w:sz="6" w:space="0" w:color="000000"/>
              <w:left w:val="single" w:sz="6" w:space="0" w:color="000000"/>
              <w:bottom w:val="single" w:sz="6" w:space="0" w:color="000000"/>
              <w:right w:val="single" w:sz="6" w:space="0" w:color="000000"/>
            </w:tcBorders>
          </w:tcPr>
          <w:p w14:paraId="5EACA64F" w14:textId="39BA5894" w:rsidR="00892E8B" w:rsidRDefault="00892E8B" w:rsidP="00892E8B">
            <w:pPr>
              <w:pStyle w:val="naisc"/>
              <w:rPr>
                <w:b/>
                <w:bCs/>
              </w:rPr>
            </w:pPr>
            <w:r w:rsidRPr="00004282">
              <w:rPr>
                <w:b/>
                <w:bCs/>
              </w:rPr>
              <w:t xml:space="preserve">Atzinums uz </w:t>
            </w:r>
            <w:r>
              <w:rPr>
                <w:b/>
                <w:bCs/>
              </w:rPr>
              <w:t>25</w:t>
            </w:r>
            <w:r w:rsidRPr="00004282">
              <w:rPr>
                <w:b/>
                <w:bCs/>
              </w:rPr>
              <w:t>.11.2020.</w:t>
            </w:r>
          </w:p>
          <w:p w14:paraId="622BE48B" w14:textId="0ABF3E00" w:rsidR="00892E8B" w:rsidRPr="002E0906" w:rsidRDefault="0096489F" w:rsidP="00F33DA9">
            <w:pPr>
              <w:pStyle w:val="naisc"/>
              <w:rPr>
                <w:sz w:val="20"/>
                <w:szCs w:val="20"/>
              </w:rPr>
            </w:pPr>
            <w:r>
              <w:rPr>
                <w:sz w:val="20"/>
                <w:szCs w:val="20"/>
              </w:rPr>
              <w:t>-</w:t>
            </w:r>
          </w:p>
        </w:tc>
        <w:tc>
          <w:tcPr>
            <w:tcW w:w="4111" w:type="dxa"/>
            <w:tcBorders>
              <w:top w:val="single" w:sz="6" w:space="0" w:color="000000"/>
              <w:left w:val="single" w:sz="6" w:space="0" w:color="000000"/>
              <w:bottom w:val="single" w:sz="6" w:space="0" w:color="000000"/>
              <w:right w:val="single" w:sz="6" w:space="0" w:color="000000"/>
            </w:tcBorders>
          </w:tcPr>
          <w:p w14:paraId="5C2D90E6" w14:textId="77777777" w:rsidR="00892E8B" w:rsidRPr="00004282" w:rsidRDefault="00892E8B" w:rsidP="00892E8B">
            <w:pPr>
              <w:pStyle w:val="naisc"/>
              <w:spacing w:before="0" w:after="0"/>
              <w:ind w:firstLine="720"/>
              <w:rPr>
                <w:b/>
                <w:bCs/>
              </w:rPr>
            </w:pPr>
            <w:r w:rsidRPr="00004282">
              <w:rPr>
                <w:b/>
                <w:bCs/>
              </w:rPr>
              <w:t>Tieslietu ministrija</w:t>
            </w:r>
          </w:p>
          <w:p w14:paraId="5B1CA79D" w14:textId="319C4CF3" w:rsidR="00892E8B" w:rsidRDefault="00892E8B" w:rsidP="00892E8B">
            <w:pPr>
              <w:pStyle w:val="naisc"/>
              <w:spacing w:before="0" w:after="0"/>
              <w:ind w:firstLine="720"/>
              <w:rPr>
                <w:b/>
                <w:bCs/>
              </w:rPr>
            </w:pPr>
            <w:r w:rsidRPr="00004282">
              <w:rPr>
                <w:b/>
                <w:bCs/>
              </w:rPr>
              <w:t>(iebildum</w:t>
            </w:r>
            <w:r w:rsidR="00F45DD3">
              <w:rPr>
                <w:b/>
                <w:bCs/>
              </w:rPr>
              <w:t>i</w:t>
            </w:r>
            <w:r w:rsidRPr="00004282">
              <w:rPr>
                <w:b/>
                <w:bCs/>
              </w:rPr>
              <w:t>)</w:t>
            </w:r>
          </w:p>
          <w:p w14:paraId="2BA75EF0" w14:textId="77777777" w:rsidR="00892E8B" w:rsidRDefault="00892E8B" w:rsidP="00892E8B">
            <w:pPr>
              <w:pStyle w:val="naisc"/>
              <w:spacing w:before="0" w:after="0"/>
              <w:ind w:firstLine="720"/>
              <w:jc w:val="both"/>
            </w:pPr>
          </w:p>
          <w:p w14:paraId="48EB9538" w14:textId="441A1281" w:rsidR="00892E8B" w:rsidRPr="002E0906" w:rsidRDefault="00892E8B" w:rsidP="00892E8B">
            <w:pPr>
              <w:pStyle w:val="naisc"/>
              <w:spacing w:before="0" w:after="0"/>
              <w:jc w:val="both"/>
              <w:rPr>
                <w:sz w:val="20"/>
                <w:szCs w:val="20"/>
              </w:rPr>
            </w:pPr>
            <w:r w:rsidRPr="005930DE">
              <w:t>Vēršam uzmanību, ka atbilstoši Ministru kabineta 2009. gada 3. februāra noteikumu Nr. 108 "Normatīvo aktu projektu sagatavošanas noteikumi" (turpmāk – noteikumi Nr. 108) 3.</w:t>
            </w:r>
            <w:r w:rsidRPr="005930DE">
              <w:rPr>
                <w:vertAlign w:val="superscript"/>
              </w:rPr>
              <w:t>1</w:t>
            </w:r>
            <w:r w:rsidRPr="005930DE">
              <w:t> punktam normatīvā akta grozījumus sagatavo, ja normatīvo aktu nepieciešams grozīt pēc būtības. Redakcionālus precizējumus sagatavo vienlaikus ar normatīvā akta grozījumiem</w:t>
            </w:r>
            <w:r>
              <w:t xml:space="preserve"> pēc būtības. Ņemot vērā minēto un</w:t>
            </w:r>
            <w:r w:rsidRPr="005930DE">
              <w:t xml:space="preserve"> to</w:t>
            </w:r>
            <w:r>
              <w:t>,</w:t>
            </w:r>
            <w:r w:rsidRPr="005930DE">
              <w:t xml:space="preserve"> ka ar likumprojektu</w:t>
            </w:r>
            <w:r>
              <w:t xml:space="preserve"> Nr. 1</w:t>
            </w:r>
            <w:r w:rsidRPr="005930DE">
              <w:t xml:space="preserve"> paredzēts izslēgt norādi uz </w:t>
            </w:r>
            <w:r>
              <w:t xml:space="preserve">konkrētu </w:t>
            </w:r>
            <w:r w:rsidRPr="005930DE">
              <w:t>Latvijas Bankas struktūrvienību, kā arī likumprojekta Nr. </w:t>
            </w:r>
            <w:r>
              <w:t>1</w:t>
            </w:r>
            <w:r w:rsidRPr="005930DE">
              <w:t xml:space="preserve"> anotācijā norādīto, </w:t>
            </w:r>
            <w:r w:rsidRPr="005930DE">
              <w:lastRenderedPageBreak/>
              <w:t xml:space="preserve">ka ar šo likumprojektu </w:t>
            </w:r>
            <w:r w:rsidRPr="00F5794D">
              <w:t>redakcionāli tiek saskaņota Ieroču aprites likuma normu atbilstība likumprojekta "Latvijas Bankas likums" vārdojumam</w:t>
            </w:r>
            <w:r w:rsidRPr="005930DE">
              <w:t>, lūdzam izvērtēt un skaidrot nepieciešamību šobrīd sagatavot likumprojektu.</w:t>
            </w:r>
            <w:r w:rsidR="00507895" w:rsidRPr="005930DE">
              <w:t xml:space="preserve"> Alternatīvi lūdzam likumprojektu Nr. </w:t>
            </w:r>
            <w:r w:rsidR="00507895">
              <w:t>1</w:t>
            </w:r>
            <w:r w:rsidR="00507895" w:rsidRPr="005930DE">
              <w:t xml:space="preserve"> sagatavot vienlaikus ar grozījumiem Ieroču aprites likumā pēc būtības</w:t>
            </w:r>
            <w:r w:rsidR="00507895">
              <w:t>.</w:t>
            </w:r>
          </w:p>
        </w:tc>
        <w:tc>
          <w:tcPr>
            <w:tcW w:w="3118" w:type="dxa"/>
            <w:gridSpan w:val="2"/>
            <w:tcBorders>
              <w:top w:val="single" w:sz="6" w:space="0" w:color="000000"/>
              <w:left w:val="single" w:sz="6" w:space="0" w:color="000000"/>
              <w:bottom w:val="single" w:sz="6" w:space="0" w:color="000000"/>
              <w:right w:val="single" w:sz="6" w:space="0" w:color="000000"/>
            </w:tcBorders>
          </w:tcPr>
          <w:p w14:paraId="6B4A0BEE" w14:textId="5BBB6870" w:rsidR="00892E8B" w:rsidRPr="00004282" w:rsidRDefault="00892E8B" w:rsidP="00892E8B">
            <w:pPr>
              <w:pStyle w:val="naisc"/>
              <w:spacing w:before="0" w:after="0"/>
              <w:rPr>
                <w:b/>
                <w:bCs/>
              </w:rPr>
            </w:pPr>
            <w:r w:rsidRPr="00004282">
              <w:rPr>
                <w:b/>
                <w:bCs/>
              </w:rPr>
              <w:lastRenderedPageBreak/>
              <w:t>Ņemts vērā</w:t>
            </w:r>
          </w:p>
          <w:p w14:paraId="12B88D91" w14:textId="77777777" w:rsidR="00892E8B" w:rsidRPr="00004282" w:rsidRDefault="00892E8B" w:rsidP="00892E8B">
            <w:pPr>
              <w:pStyle w:val="naisc"/>
              <w:spacing w:before="0" w:after="0"/>
              <w:ind w:firstLine="720"/>
            </w:pPr>
          </w:p>
          <w:p w14:paraId="3CC5285A" w14:textId="77777777" w:rsidR="00892E8B" w:rsidRDefault="00892E8B" w:rsidP="00892E8B">
            <w:pPr>
              <w:pStyle w:val="naisc"/>
              <w:spacing w:before="0" w:after="0"/>
              <w:jc w:val="both"/>
            </w:pPr>
          </w:p>
          <w:p w14:paraId="72A9DFE1" w14:textId="04B6460A" w:rsidR="00892E8B" w:rsidRDefault="00892E8B" w:rsidP="00892E8B">
            <w:pPr>
              <w:pStyle w:val="naisc"/>
              <w:spacing w:before="0" w:after="0"/>
              <w:jc w:val="both"/>
            </w:pPr>
            <w:r w:rsidRPr="00AF466C">
              <w:t>Likumprojekta anotācijas</w:t>
            </w:r>
            <w:r>
              <w:t xml:space="preserve"> "Tiesību akta projekta anotācijas kopsavilkums" un</w:t>
            </w:r>
            <w:r w:rsidRPr="00AF466C">
              <w:t xml:space="preserve"> I sadaļas </w:t>
            </w:r>
            <w:r>
              <w:t>1. un 2</w:t>
            </w:r>
            <w:r w:rsidRPr="00AF466C">
              <w:t>.</w:t>
            </w:r>
            <w:r>
              <w:t> </w:t>
            </w:r>
            <w:r w:rsidRPr="00AF466C">
              <w:t>punkt</w:t>
            </w:r>
            <w:r>
              <w:t>s</w:t>
            </w:r>
            <w:r w:rsidR="00C203CB">
              <w:t xml:space="preserve"> </w:t>
            </w:r>
            <w:r w:rsidR="00C203CB" w:rsidRPr="00AF466C">
              <w:t>(</w:t>
            </w:r>
            <w:r w:rsidR="00C203CB">
              <w:t>1</w:t>
            </w:r>
            <w:r w:rsidR="00C203CB" w:rsidRPr="00AF466C">
              <w:t>.</w:t>
            </w:r>
            <w:r w:rsidR="00C203CB">
              <w:t>-2. </w:t>
            </w:r>
            <w:r w:rsidR="00C203CB" w:rsidRPr="00AF466C">
              <w:t>lpp)</w:t>
            </w:r>
            <w:r w:rsidRPr="00AF466C">
              <w:t xml:space="preserve"> ir atbilstoši precizēts, iekļaujot </w:t>
            </w:r>
            <w:r>
              <w:t>papildu informāciju.</w:t>
            </w:r>
          </w:p>
          <w:p w14:paraId="79FEBD1C" w14:textId="77777777" w:rsidR="00892E8B" w:rsidRDefault="00892E8B" w:rsidP="00892E8B">
            <w:pPr>
              <w:pStyle w:val="naisc"/>
              <w:spacing w:before="0" w:after="0"/>
              <w:jc w:val="both"/>
            </w:pPr>
          </w:p>
          <w:p w14:paraId="10C84E54" w14:textId="77777777" w:rsidR="00892E8B" w:rsidRPr="002E0906" w:rsidRDefault="00892E8B" w:rsidP="000B0CF1">
            <w:pPr>
              <w:pStyle w:val="naisc"/>
              <w:spacing w:before="0" w:after="0"/>
              <w:jc w:val="both"/>
              <w:rPr>
                <w:sz w:val="20"/>
                <w:szCs w:val="20"/>
              </w:rPr>
            </w:pPr>
          </w:p>
        </w:tc>
        <w:tc>
          <w:tcPr>
            <w:tcW w:w="3660" w:type="dxa"/>
            <w:tcBorders>
              <w:top w:val="single" w:sz="4" w:space="0" w:color="auto"/>
              <w:left w:val="single" w:sz="4" w:space="0" w:color="auto"/>
              <w:bottom w:val="single" w:sz="4" w:space="0" w:color="auto"/>
            </w:tcBorders>
          </w:tcPr>
          <w:p w14:paraId="5558E285" w14:textId="77777777" w:rsidR="00892E8B" w:rsidRDefault="00892E8B" w:rsidP="00892E8B">
            <w:pPr>
              <w:jc w:val="center"/>
              <w:rPr>
                <w:b/>
                <w:bCs/>
              </w:rPr>
            </w:pPr>
            <w:r w:rsidRPr="00A02FAD">
              <w:rPr>
                <w:b/>
                <w:bCs/>
              </w:rPr>
              <w:t>Anotācijā</w:t>
            </w:r>
          </w:p>
          <w:p w14:paraId="4DF6D99D" w14:textId="77777777" w:rsidR="00892E8B" w:rsidRDefault="00892E8B" w:rsidP="00892E8B">
            <w:pPr>
              <w:jc w:val="center"/>
              <w:rPr>
                <w:b/>
                <w:bCs/>
              </w:rPr>
            </w:pPr>
          </w:p>
          <w:p w14:paraId="120738F3" w14:textId="77777777" w:rsidR="00892E8B" w:rsidRDefault="00892E8B" w:rsidP="00892E8B">
            <w:pPr>
              <w:jc w:val="center"/>
              <w:rPr>
                <w:b/>
                <w:bCs/>
              </w:rPr>
            </w:pPr>
          </w:p>
          <w:p w14:paraId="0BAB2F45" w14:textId="4FB2FC6F" w:rsidR="00892E8B" w:rsidRDefault="00F33DA9" w:rsidP="00892E8B">
            <w:pPr>
              <w:jc w:val="both"/>
              <w:rPr>
                <w:shd w:val="clear" w:color="auto" w:fill="FFFFFF"/>
              </w:rPr>
            </w:pPr>
            <w:r>
              <w:t>1) [</w:t>
            </w:r>
            <w:r w:rsidR="00892E8B">
              <w:t>"</w:t>
            </w:r>
            <w:r w:rsidR="0092480F">
              <w:rPr>
                <w:shd w:val="clear" w:color="auto" w:fill="FFFFFF"/>
              </w:rPr>
              <w:t xml:space="preserve">Likumprojekta mērķis ir nodrošināt, ka tiek saskaņota Ieroču aprites likuma (turpmāk – Likums) normu atbilstība likumprojektam "Latvijas Bankas likums", Likuma </w:t>
            </w:r>
            <w:r w:rsidR="0092480F">
              <w:t>regulējumā neveidojot norādi uz Latvijas Bankas struktūru tās pārvalžu līmenī</w:t>
            </w:r>
            <w:r w:rsidR="0092480F">
              <w:rPr>
                <w:shd w:val="clear" w:color="auto" w:fill="FFFFFF"/>
              </w:rPr>
              <w:t>, bet attiecinot Likumā noteikto regulējumu uz Latvijas Banku kā valsts iestādi kopumā</w:t>
            </w:r>
            <w:r w:rsidR="00892E8B">
              <w:rPr>
                <w:shd w:val="clear" w:color="auto" w:fill="FFFFFF"/>
              </w:rPr>
              <w:t>."]</w:t>
            </w:r>
          </w:p>
          <w:p w14:paraId="4141214A" w14:textId="77777777" w:rsidR="00892E8B" w:rsidRDefault="00892E8B" w:rsidP="00892E8B">
            <w:pPr>
              <w:jc w:val="center"/>
              <w:rPr>
                <w:shd w:val="clear" w:color="auto" w:fill="FFFFFF"/>
              </w:rPr>
            </w:pPr>
          </w:p>
          <w:p w14:paraId="7E001186" w14:textId="03671C9D" w:rsidR="00892E8B" w:rsidRDefault="00F33DA9" w:rsidP="00F33DA9">
            <w:pPr>
              <w:spacing w:before="120"/>
              <w:jc w:val="both"/>
              <w:rPr>
                <w:color w:val="000000"/>
                <w:shd w:val="clear" w:color="auto" w:fill="FFFFFF"/>
              </w:rPr>
            </w:pPr>
            <w:r>
              <w:rPr>
                <w:shd w:val="clear" w:color="auto" w:fill="FFFFFF"/>
              </w:rPr>
              <w:t>2)</w:t>
            </w:r>
            <w:r w:rsidR="00892E8B">
              <w:t xml:space="preserve"> </w:t>
            </w:r>
            <w:r>
              <w:t>[</w:t>
            </w:r>
            <w:r w:rsidR="0092480F">
              <w:t>"</w:t>
            </w:r>
            <w:r w:rsidR="0092480F">
              <w:rPr>
                <w:color w:val="000000"/>
                <w:shd w:val="clear" w:color="auto" w:fill="FFFFFF"/>
              </w:rPr>
              <w:t xml:space="preserve">Ņemot vērā minēto, ir nepieciešams atbilstošs grozījums Likumā, paredzot, ka tā regulējums </w:t>
            </w:r>
            <w:r w:rsidR="0092480F">
              <w:rPr>
                <w:color w:val="000000"/>
                <w:shd w:val="clear" w:color="auto" w:fill="FFFFFF"/>
              </w:rPr>
              <w:lastRenderedPageBreak/>
              <w:t>tiek attiecināts uz Latvijas Banku kā iestādi un Likumā turpmāk netiek nostiprināta konkrēta Latvijas Bankas struktūrvienība –  Aizsardzības pārvalde.</w:t>
            </w:r>
            <w:r w:rsidR="00892E8B">
              <w:rPr>
                <w:color w:val="000000"/>
                <w:shd w:val="clear" w:color="auto" w:fill="FFFFFF"/>
              </w:rPr>
              <w:t>"</w:t>
            </w:r>
            <w:r>
              <w:rPr>
                <w:color w:val="000000"/>
                <w:shd w:val="clear" w:color="auto" w:fill="FFFFFF"/>
              </w:rPr>
              <w:t>]</w:t>
            </w:r>
          </w:p>
          <w:p w14:paraId="63AD4A92" w14:textId="77777777" w:rsidR="00892E8B" w:rsidRDefault="00892E8B" w:rsidP="00892E8B">
            <w:pPr>
              <w:jc w:val="center"/>
              <w:rPr>
                <w:color w:val="000000"/>
                <w:shd w:val="clear" w:color="auto" w:fill="FFFFFF"/>
              </w:rPr>
            </w:pPr>
          </w:p>
          <w:p w14:paraId="5ABF474F" w14:textId="7CA2541D" w:rsidR="0092480F" w:rsidRDefault="00F33DA9" w:rsidP="0092480F">
            <w:pPr>
              <w:autoSpaceDE w:val="0"/>
              <w:autoSpaceDN w:val="0"/>
              <w:adjustRightInd w:val="0"/>
              <w:jc w:val="both"/>
            </w:pPr>
            <w:r>
              <w:rPr>
                <w:color w:val="000000"/>
                <w:shd w:val="clear" w:color="auto" w:fill="FFFFFF"/>
              </w:rPr>
              <w:t>3)</w:t>
            </w:r>
            <w:r w:rsidR="00892E8B">
              <w:rPr>
                <w:color w:val="000000"/>
                <w:shd w:val="clear" w:color="auto" w:fill="FFFFFF"/>
              </w:rPr>
              <w:t xml:space="preserve"> </w:t>
            </w:r>
            <w:r>
              <w:rPr>
                <w:color w:val="000000"/>
                <w:shd w:val="clear" w:color="auto" w:fill="FFFFFF"/>
              </w:rPr>
              <w:t>[</w:t>
            </w:r>
            <w:r w:rsidR="00892E8B">
              <w:rPr>
                <w:color w:val="000000"/>
                <w:shd w:val="clear" w:color="auto" w:fill="FFFFFF"/>
              </w:rPr>
              <w:t>"</w:t>
            </w:r>
            <w:r w:rsidR="0092480F">
              <w:t xml:space="preserve">Likuma 94. pantā noteikts, ka kārtību, kādā tiek veikta Latvijas Bankas Aizsardzības pārvaldes valdījumā esošo ieroču, munīcijas un speciālo līdzekļu iegādāšanās, izmantošana, pielietošana, glabāšana, nēsāšana, realizēšana, pārvadāšana un pārsūtīšana, nosaka Latvijas Bankas darbību reglamentējošie akti. Minētais Likuma pants nosaka ne tikai tajā minētajām valsts iestādēm piemērojamo kārtību ieroču aprites jautājumos, bet pēc būtības vienlaikus ārēja normatīvā akta līmenī nostiprina arī noteiktu Latvijas Bankas struktūru, proti, Likuma 94. pants paredz, ka viena no Latvijas Bankas struktūrvienībām ir Aizsardzības pārvalde. </w:t>
            </w:r>
          </w:p>
          <w:p w14:paraId="771F8BF2" w14:textId="77777777" w:rsidR="0092480F" w:rsidRDefault="0092480F" w:rsidP="0092480F">
            <w:pPr>
              <w:autoSpaceDE w:val="0"/>
              <w:autoSpaceDN w:val="0"/>
              <w:adjustRightInd w:val="0"/>
              <w:jc w:val="both"/>
            </w:pPr>
            <w:r>
              <w:t xml:space="preserve">Šādā veidā tiek ierobežotas Latvijas Bankas tiesības pašai lemt jautājumus par tās operacionālai darbības nodrošināšanai nepieciešamo struktūru, kā arī veikt šādas izmaiņas attiecībā uz </w:t>
            </w:r>
            <w:r>
              <w:lastRenderedPageBreak/>
              <w:t>Aizsardzības pārvaldi.  Ņemot vērā, ka arī citām Likuma 94. pantā minētājām valsts iestādēm, Likumā netiek noteikta konkrēta struktūrvienība, kuras struktūrvienības valdījumā atrodas ieroči, šādai norādei nevajadzētu būt arī attiecībā uz Latvijas Banku.</w:t>
            </w:r>
          </w:p>
          <w:p w14:paraId="1048B27C" w14:textId="77777777" w:rsidR="0092480F" w:rsidRDefault="0092480F" w:rsidP="0092480F">
            <w:pPr>
              <w:spacing w:before="120"/>
              <w:jc w:val="both"/>
            </w:pPr>
            <w:r>
              <w:t>Turklāt likumprojekts "Latvijas Bankas likums" neparedz šādas struktūrvienības noteikšanu likuma līmenī, bet gan paredz, ka Latvijas Bankas padome nosaka struktūru.</w:t>
            </w:r>
          </w:p>
          <w:p w14:paraId="4FF4045B" w14:textId="77777777" w:rsidR="0092480F" w:rsidRDefault="0092480F" w:rsidP="0092480F">
            <w:pPr>
              <w:jc w:val="both"/>
            </w:pPr>
          </w:p>
          <w:p w14:paraId="5FB713BF" w14:textId="31E0A5E4" w:rsidR="00892E8B" w:rsidRDefault="0092480F" w:rsidP="0092480F">
            <w:pPr>
              <w:jc w:val="both"/>
            </w:pPr>
            <w:r>
              <w:t>Ņemot vērā minēto, kā arī lai nodrošinātu tiesisko noteiktību, vārdus "Aizsardzības pārvalde" nepieciešams izslēgt no Likuma.</w:t>
            </w:r>
            <w:r w:rsidR="00892E8B">
              <w:t>"</w:t>
            </w:r>
            <w:r w:rsidR="00F33DA9">
              <w:t>]</w:t>
            </w:r>
          </w:p>
          <w:p w14:paraId="6F719CD8" w14:textId="77777777" w:rsidR="00892E8B" w:rsidRPr="002E0906" w:rsidRDefault="00892E8B" w:rsidP="00BD26AC">
            <w:pPr>
              <w:jc w:val="center"/>
              <w:rPr>
                <w:sz w:val="20"/>
                <w:szCs w:val="20"/>
              </w:rPr>
            </w:pPr>
          </w:p>
        </w:tc>
      </w:tr>
      <w:tr w:rsidR="00892E8B" w:rsidRPr="002E0906" w14:paraId="0518BCF3" w14:textId="77777777" w:rsidTr="00D61005">
        <w:tc>
          <w:tcPr>
            <w:tcW w:w="708" w:type="dxa"/>
            <w:tcBorders>
              <w:top w:val="single" w:sz="6" w:space="0" w:color="000000"/>
              <w:left w:val="single" w:sz="6" w:space="0" w:color="000000"/>
              <w:bottom w:val="single" w:sz="6" w:space="0" w:color="000000"/>
              <w:right w:val="single" w:sz="6" w:space="0" w:color="000000"/>
            </w:tcBorders>
          </w:tcPr>
          <w:p w14:paraId="2EFA9125" w14:textId="77777777" w:rsidR="00892E8B" w:rsidRDefault="00892E8B" w:rsidP="00BD26AC">
            <w:pPr>
              <w:pStyle w:val="naisc"/>
              <w:spacing w:before="0" w:after="0"/>
              <w:rPr>
                <w:sz w:val="20"/>
                <w:szCs w:val="20"/>
              </w:rPr>
            </w:pPr>
          </w:p>
          <w:p w14:paraId="74FC780A" w14:textId="0726F27A" w:rsidR="00FC1703" w:rsidRPr="00FC1703" w:rsidRDefault="00FC1703" w:rsidP="00BD26AC">
            <w:pPr>
              <w:pStyle w:val="naisc"/>
              <w:spacing w:before="0" w:after="0"/>
            </w:pPr>
            <w:r w:rsidRPr="00FC1703">
              <w:t>3.</w:t>
            </w:r>
          </w:p>
        </w:tc>
        <w:tc>
          <w:tcPr>
            <w:tcW w:w="2828" w:type="dxa"/>
            <w:gridSpan w:val="2"/>
            <w:tcBorders>
              <w:top w:val="single" w:sz="6" w:space="0" w:color="000000"/>
              <w:left w:val="single" w:sz="6" w:space="0" w:color="000000"/>
              <w:bottom w:val="single" w:sz="6" w:space="0" w:color="000000"/>
              <w:right w:val="single" w:sz="6" w:space="0" w:color="000000"/>
            </w:tcBorders>
          </w:tcPr>
          <w:p w14:paraId="052E1F7E" w14:textId="0CBD9DD5" w:rsidR="00892E8B" w:rsidRDefault="00892E8B" w:rsidP="00FC1703">
            <w:pPr>
              <w:pStyle w:val="naisc"/>
              <w:spacing w:before="0" w:after="0"/>
              <w:rPr>
                <w:b/>
                <w:bCs/>
              </w:rPr>
            </w:pPr>
            <w:r w:rsidRPr="00004282">
              <w:rPr>
                <w:b/>
                <w:bCs/>
              </w:rPr>
              <w:t xml:space="preserve">Atzinums uz </w:t>
            </w:r>
            <w:r>
              <w:rPr>
                <w:b/>
                <w:bCs/>
              </w:rPr>
              <w:t>25</w:t>
            </w:r>
            <w:r w:rsidRPr="00004282">
              <w:rPr>
                <w:b/>
                <w:bCs/>
              </w:rPr>
              <w:t>.11.2020.</w:t>
            </w:r>
          </w:p>
          <w:p w14:paraId="615CA1DC" w14:textId="2E741332" w:rsidR="00892E8B" w:rsidRPr="00004282" w:rsidRDefault="00892E8B" w:rsidP="00FC1703">
            <w:pPr>
              <w:pStyle w:val="naisc"/>
              <w:spacing w:before="0"/>
              <w:rPr>
                <w:b/>
                <w:bCs/>
              </w:rPr>
            </w:pPr>
            <w:r>
              <w:rPr>
                <w:b/>
                <w:bCs/>
              </w:rPr>
              <w:t>(par anotāciju)</w:t>
            </w:r>
          </w:p>
          <w:p w14:paraId="149619F0" w14:textId="65BA471C" w:rsidR="00892E8B" w:rsidRPr="002E0906" w:rsidRDefault="0096489F" w:rsidP="0096489F">
            <w:pPr>
              <w:pStyle w:val="naisc"/>
              <w:spacing w:before="0" w:after="0"/>
              <w:rPr>
                <w:sz w:val="20"/>
                <w:szCs w:val="20"/>
              </w:rPr>
            </w:pPr>
            <w:r>
              <w:rPr>
                <w:sz w:val="20"/>
                <w:szCs w:val="20"/>
              </w:rPr>
              <w:t>-</w:t>
            </w:r>
          </w:p>
        </w:tc>
        <w:tc>
          <w:tcPr>
            <w:tcW w:w="4111" w:type="dxa"/>
            <w:tcBorders>
              <w:top w:val="single" w:sz="6" w:space="0" w:color="000000"/>
              <w:left w:val="single" w:sz="6" w:space="0" w:color="000000"/>
              <w:bottom w:val="single" w:sz="6" w:space="0" w:color="000000"/>
              <w:right w:val="single" w:sz="6" w:space="0" w:color="000000"/>
            </w:tcBorders>
          </w:tcPr>
          <w:p w14:paraId="59BC64F7" w14:textId="77777777" w:rsidR="00892E8B" w:rsidRPr="00004282" w:rsidRDefault="00892E8B" w:rsidP="00892E8B">
            <w:pPr>
              <w:pStyle w:val="naisc"/>
              <w:spacing w:before="0" w:after="0"/>
              <w:ind w:firstLine="720"/>
              <w:rPr>
                <w:b/>
                <w:bCs/>
              </w:rPr>
            </w:pPr>
            <w:r w:rsidRPr="00004282">
              <w:rPr>
                <w:b/>
                <w:bCs/>
              </w:rPr>
              <w:t>Tieslietu ministrija</w:t>
            </w:r>
          </w:p>
          <w:p w14:paraId="2B7A4534" w14:textId="4841C5C9" w:rsidR="00892E8B" w:rsidRDefault="00892E8B" w:rsidP="00892E8B">
            <w:pPr>
              <w:pStyle w:val="naisc"/>
              <w:spacing w:before="0" w:after="0"/>
              <w:ind w:firstLine="720"/>
              <w:rPr>
                <w:b/>
                <w:bCs/>
              </w:rPr>
            </w:pPr>
            <w:r w:rsidRPr="00004282">
              <w:rPr>
                <w:b/>
                <w:bCs/>
              </w:rPr>
              <w:t>(iebildumi)</w:t>
            </w:r>
          </w:p>
          <w:p w14:paraId="432B4EFA" w14:textId="77777777" w:rsidR="00FC1703" w:rsidRDefault="00FC1703" w:rsidP="00892E8B">
            <w:pPr>
              <w:pStyle w:val="naisc"/>
              <w:spacing w:before="0" w:after="0"/>
              <w:ind w:firstLine="720"/>
              <w:rPr>
                <w:b/>
                <w:bCs/>
              </w:rPr>
            </w:pPr>
          </w:p>
          <w:p w14:paraId="5D6DBADE" w14:textId="4EBAE770" w:rsidR="00892E8B" w:rsidRPr="002E0906" w:rsidRDefault="00FC1703" w:rsidP="00FC1703">
            <w:pPr>
              <w:pStyle w:val="naisc"/>
              <w:spacing w:before="0" w:after="0"/>
              <w:jc w:val="both"/>
              <w:rPr>
                <w:sz w:val="20"/>
                <w:szCs w:val="20"/>
              </w:rPr>
            </w:pPr>
            <w:r w:rsidRPr="00C67939">
              <w:t>Lūdzam precizēt likumprojekta Nr. </w:t>
            </w:r>
            <w:r>
              <w:t>1</w:t>
            </w:r>
            <w:r w:rsidRPr="00C67939">
              <w:t xml:space="preserve"> anotācijas IV sadaļas 1. punktu, papildinot to ar konkrētu skaidrojumu par </w:t>
            </w:r>
            <w:r>
              <w:t xml:space="preserve">šajā punktā minēto </w:t>
            </w:r>
            <w:r w:rsidRPr="00C67939">
              <w:t xml:space="preserve">plānoto grozījumu būtību un nepieciešamību. Norādām, ka saskaņā ar </w:t>
            </w:r>
            <w:r w:rsidRPr="000073B3">
              <w:t>Ministru kabineta 2009. gada 15. decembra instrukcijas Nr. 19 "Tiesību akta projekta sākotnējās ietekmes izvērtēšanas kārtība"</w:t>
            </w:r>
            <w:r>
              <w:t xml:space="preserve"> (turpmāk – instrukcija</w:t>
            </w:r>
            <w:r w:rsidRPr="00C67939">
              <w:t xml:space="preserve"> Nr. 19</w:t>
            </w:r>
            <w:r>
              <w:t>)</w:t>
            </w:r>
            <w:r w:rsidRPr="00C67939">
              <w:t xml:space="preserve"> 54.2. apakšpunktu </w:t>
            </w:r>
            <w:r w:rsidRPr="00C67939">
              <w:lastRenderedPageBreak/>
              <w:t xml:space="preserve">anotācijas IV sadaļas 1. punktā ("Nepieciešamie saistītie tiesību aktu projekti") norāda citus spēkā esošus (vai jau apstiprinātus) tiesību aktus, kuros jāizdara grozījumi vai kuri jāatzīst par spēku zaudējušiem (atceltiem) saistībā ar projektu, </w:t>
            </w:r>
            <w:r w:rsidRPr="000073B3">
              <w:rPr>
                <w:u w:val="single"/>
              </w:rPr>
              <w:t>kā arī skaidro šādu izmaiņu nepieciešamību</w:t>
            </w:r>
            <w:r>
              <w:rPr>
                <w:u w:val="single"/>
              </w:rPr>
              <w:t>.</w:t>
            </w:r>
          </w:p>
        </w:tc>
        <w:tc>
          <w:tcPr>
            <w:tcW w:w="3118" w:type="dxa"/>
            <w:gridSpan w:val="2"/>
            <w:tcBorders>
              <w:top w:val="single" w:sz="6" w:space="0" w:color="000000"/>
              <w:left w:val="single" w:sz="6" w:space="0" w:color="000000"/>
              <w:bottom w:val="single" w:sz="6" w:space="0" w:color="000000"/>
              <w:right w:val="single" w:sz="6" w:space="0" w:color="000000"/>
            </w:tcBorders>
          </w:tcPr>
          <w:p w14:paraId="4E4CE58B" w14:textId="570503F2" w:rsidR="00892E8B" w:rsidRPr="00004282" w:rsidRDefault="00892E8B" w:rsidP="00892E8B">
            <w:pPr>
              <w:pStyle w:val="naisc"/>
              <w:spacing w:before="0" w:after="0"/>
              <w:ind w:firstLine="720"/>
              <w:rPr>
                <w:b/>
                <w:bCs/>
              </w:rPr>
            </w:pPr>
            <w:r w:rsidRPr="00004282">
              <w:rPr>
                <w:b/>
                <w:bCs/>
              </w:rPr>
              <w:lastRenderedPageBreak/>
              <w:t xml:space="preserve">Ņemts vērā </w:t>
            </w:r>
          </w:p>
          <w:p w14:paraId="79B96590" w14:textId="77777777" w:rsidR="00892E8B" w:rsidRDefault="00892E8B" w:rsidP="00BD26AC">
            <w:pPr>
              <w:pStyle w:val="naisc"/>
              <w:spacing w:before="0" w:after="0"/>
              <w:ind w:firstLine="720"/>
              <w:rPr>
                <w:sz w:val="20"/>
                <w:szCs w:val="20"/>
              </w:rPr>
            </w:pPr>
          </w:p>
          <w:p w14:paraId="65F1E8E3" w14:textId="77777777" w:rsidR="00FC1703" w:rsidRDefault="00FC1703" w:rsidP="00BD26AC">
            <w:pPr>
              <w:pStyle w:val="naisc"/>
              <w:spacing w:before="0" w:after="0"/>
              <w:ind w:firstLine="720"/>
              <w:rPr>
                <w:sz w:val="20"/>
                <w:szCs w:val="20"/>
              </w:rPr>
            </w:pPr>
          </w:p>
          <w:p w14:paraId="2F1E83E9" w14:textId="77777777" w:rsidR="00FC1703" w:rsidRDefault="00FC1703" w:rsidP="00BD26AC">
            <w:pPr>
              <w:pStyle w:val="naisc"/>
              <w:spacing w:before="0" w:after="0"/>
              <w:ind w:firstLine="720"/>
              <w:rPr>
                <w:sz w:val="20"/>
                <w:szCs w:val="20"/>
              </w:rPr>
            </w:pPr>
          </w:p>
          <w:p w14:paraId="0365E1D5" w14:textId="5CDB3F60" w:rsidR="00FC1703" w:rsidRDefault="00FC1703" w:rsidP="00FC1703">
            <w:pPr>
              <w:pStyle w:val="naisc"/>
              <w:spacing w:before="0" w:after="0"/>
              <w:jc w:val="both"/>
            </w:pPr>
            <w:r>
              <w:t xml:space="preserve">Lūdzu skatīt </w:t>
            </w:r>
            <w:r w:rsidRPr="00C67939">
              <w:t>likumprojekta anotācijas</w:t>
            </w:r>
            <w:r>
              <w:t xml:space="preserve"> </w:t>
            </w:r>
            <w:r w:rsidRPr="00C67939">
              <w:t>IV sadaļas 1. punkt</w:t>
            </w:r>
            <w:r>
              <w:t>ā ietverto papildus  skaidrojumu.</w:t>
            </w:r>
          </w:p>
          <w:p w14:paraId="0CA6186A" w14:textId="29BF439E" w:rsidR="00FC1703" w:rsidRDefault="00FC1703" w:rsidP="00FC1703">
            <w:pPr>
              <w:pStyle w:val="naisc"/>
              <w:spacing w:before="0" w:after="0"/>
              <w:jc w:val="both"/>
            </w:pPr>
          </w:p>
          <w:p w14:paraId="5B035420" w14:textId="77777777" w:rsidR="00FC1703" w:rsidRDefault="00FC1703" w:rsidP="00FC1703">
            <w:pPr>
              <w:pStyle w:val="naisc"/>
              <w:spacing w:before="0" w:after="0"/>
              <w:jc w:val="both"/>
            </w:pPr>
          </w:p>
          <w:p w14:paraId="55A6B6B5" w14:textId="0C803FDC" w:rsidR="00FC1703" w:rsidRPr="002E0906" w:rsidRDefault="00FC1703" w:rsidP="00BD26AC">
            <w:pPr>
              <w:pStyle w:val="naisc"/>
              <w:spacing w:before="0" w:after="0"/>
              <w:ind w:firstLine="720"/>
              <w:rPr>
                <w:sz w:val="20"/>
                <w:szCs w:val="20"/>
              </w:rPr>
            </w:pPr>
          </w:p>
        </w:tc>
        <w:tc>
          <w:tcPr>
            <w:tcW w:w="3660" w:type="dxa"/>
            <w:tcBorders>
              <w:top w:val="single" w:sz="4" w:space="0" w:color="auto"/>
              <w:left w:val="single" w:sz="4" w:space="0" w:color="auto"/>
              <w:bottom w:val="single" w:sz="4" w:space="0" w:color="auto"/>
            </w:tcBorders>
          </w:tcPr>
          <w:p w14:paraId="23153850" w14:textId="147B3DF8" w:rsidR="00FC1703" w:rsidRPr="00FC1703" w:rsidRDefault="00FC1703" w:rsidP="00FC1703">
            <w:pPr>
              <w:jc w:val="center"/>
              <w:rPr>
                <w:b/>
                <w:bCs/>
                <w:spacing w:val="-2"/>
              </w:rPr>
            </w:pPr>
            <w:r w:rsidRPr="00FC1703">
              <w:rPr>
                <w:b/>
                <w:bCs/>
                <w:spacing w:val="-2"/>
              </w:rPr>
              <w:t>Anotācijā</w:t>
            </w:r>
          </w:p>
          <w:p w14:paraId="20730BAC" w14:textId="77777777" w:rsidR="00FC1703" w:rsidRDefault="00FC1703" w:rsidP="00FC1703">
            <w:pPr>
              <w:jc w:val="both"/>
              <w:rPr>
                <w:spacing w:val="-2"/>
              </w:rPr>
            </w:pPr>
          </w:p>
          <w:p w14:paraId="4CCAF2F8" w14:textId="77777777" w:rsidR="00FC1703" w:rsidRDefault="00FC1703" w:rsidP="00FC1703">
            <w:pPr>
              <w:jc w:val="both"/>
              <w:rPr>
                <w:spacing w:val="-2"/>
              </w:rPr>
            </w:pPr>
          </w:p>
          <w:p w14:paraId="00BE25C9" w14:textId="14616EA8" w:rsidR="0092480F" w:rsidRDefault="00FC1703" w:rsidP="0092480F">
            <w:pPr>
              <w:jc w:val="both"/>
              <w:rPr>
                <w:iCs/>
              </w:rPr>
            </w:pPr>
            <w:r>
              <w:rPr>
                <w:spacing w:val="-2"/>
              </w:rPr>
              <w:t>"</w:t>
            </w:r>
            <w:r w:rsidR="0092480F">
              <w:rPr>
                <w:spacing w:val="-2"/>
              </w:rPr>
              <w:t>Saistībā ar FKTK pievienošanu Latvijas Bankai ir izstrādāts attiecīgs likumprojekts </w:t>
            </w:r>
            <w:r w:rsidR="0092480F">
              <w:rPr>
                <w:iCs/>
              </w:rPr>
              <w:t>"</w:t>
            </w:r>
            <w:r w:rsidR="0092480F">
              <w:rPr>
                <w:color w:val="000000"/>
                <w:spacing w:val="-2"/>
                <w:shd w:val="clear" w:color="auto" w:fill="FFFFFF"/>
              </w:rPr>
              <w:t>Latvijas Bankas likums</w:t>
            </w:r>
            <w:r w:rsidR="0092480F">
              <w:rPr>
                <w:iCs/>
              </w:rPr>
              <w:t xml:space="preserve">", </w:t>
            </w:r>
            <w:r w:rsidR="0092480F">
              <w:rPr>
                <w:shd w:val="clear" w:color="auto" w:fill="FFFFFF"/>
              </w:rPr>
              <w:t>kurš cita starpā paredz, ka</w:t>
            </w:r>
            <w:r w:rsidR="00A04980">
              <w:rPr>
                <w:shd w:val="clear" w:color="auto" w:fill="FFFFFF"/>
              </w:rPr>
              <w:t xml:space="preserve"> </w:t>
            </w:r>
            <w:r w:rsidR="0092480F">
              <w:rPr>
                <w:shd w:val="clear" w:color="auto" w:fill="FFFFFF"/>
              </w:rPr>
              <w:t xml:space="preserve">turpmāk Latvijas Banka veiks FKTK noteiktos uzdevumus. Ņemot vērā minēto, ir nepieciešami atbilstoši grozījumi gan finanšu tirgus un tā dalībnieku darbības reglamentējošajos likumos, kur noteikta FKTK kompetence un </w:t>
            </w:r>
            <w:r w:rsidR="0092480F">
              <w:rPr>
                <w:shd w:val="clear" w:color="auto" w:fill="FFFFFF"/>
              </w:rPr>
              <w:lastRenderedPageBreak/>
              <w:t xml:space="preserve">regulēti tās darbības aspekti (4.-23. </w:t>
            </w:r>
            <w:r w:rsidR="0092480F">
              <w:rPr>
                <w:iCs/>
                <w:shd w:val="clear" w:color="auto" w:fill="FFFFFF"/>
              </w:rPr>
              <w:t>punktā uzskaitītie likumprojekti)</w:t>
            </w:r>
            <w:r w:rsidR="0092480F">
              <w:rPr>
                <w:shd w:val="clear" w:color="auto" w:fill="FFFFFF"/>
              </w:rPr>
              <w:t xml:space="preserve">, gan arī tajos likumos, kuros nostiprināta Latvijas Bankas struktūra tās pārvalžu līmenī (24.-26. </w:t>
            </w:r>
            <w:r w:rsidR="0092480F">
              <w:rPr>
                <w:iCs/>
                <w:shd w:val="clear" w:color="auto" w:fill="FFFFFF"/>
              </w:rPr>
              <w:t>punktā uzskaitītie likumprojekti)</w:t>
            </w:r>
            <w:r w:rsidR="0092480F">
              <w:rPr>
                <w:shd w:val="clear" w:color="auto" w:fill="FFFFFF"/>
              </w:rPr>
              <w:t xml:space="preserve"> kā arī,</w:t>
            </w:r>
            <w:r w:rsidR="0092480F">
              <w:t xml:space="preserve"> l</w:t>
            </w:r>
            <w:r w:rsidR="0092480F">
              <w:rPr>
                <w:shd w:val="clear" w:color="auto" w:fill="FFFFFF"/>
              </w:rPr>
              <w:t xml:space="preserve">ai nodrošinātu FKTK veiksmīgu pievienošanu Latvijas Bankai,  paredzēti pārejas noteikumi </w:t>
            </w:r>
            <w:r w:rsidR="0092480F">
              <w:rPr>
                <w:iCs/>
                <w:shd w:val="clear" w:color="auto" w:fill="FFFFFF"/>
              </w:rPr>
              <w:t>attiecībā uz FKTK pievienošanu Latvijas Bankai (2. un 3. punktā uzskaitītie likumprojekti)</w:t>
            </w:r>
            <w:r w:rsidR="0092480F">
              <w:rPr>
                <w:shd w:val="clear" w:color="auto" w:fill="FFFFFF"/>
              </w:rPr>
              <w:t>.</w:t>
            </w:r>
            <w:r w:rsidR="0092480F">
              <w:rPr>
                <w:iCs/>
              </w:rPr>
              <w:t xml:space="preserve"> </w:t>
            </w:r>
          </w:p>
          <w:p w14:paraId="19BC4F7D" w14:textId="77777777" w:rsidR="0092480F" w:rsidRDefault="0092480F" w:rsidP="0092480F">
            <w:pPr>
              <w:jc w:val="both"/>
              <w:rPr>
                <w:iCs/>
              </w:rPr>
            </w:pPr>
          </w:p>
          <w:p w14:paraId="64FBF5D1" w14:textId="4D1A012C" w:rsidR="00FC1703" w:rsidRDefault="0092480F" w:rsidP="0092480F">
            <w:pPr>
              <w:jc w:val="both"/>
              <w:rPr>
                <w:spacing w:val="-2"/>
              </w:rPr>
            </w:pPr>
            <w:r>
              <w:rPr>
                <w:spacing w:val="-2"/>
              </w:rPr>
              <w:t>Likumprojekts un pārējie šajā punktā iekļautie likumprojekti vienkopus ir apkopoti un norādīti kā tie ar likumprojektu </w:t>
            </w:r>
            <w:r>
              <w:rPr>
                <w:iCs/>
              </w:rPr>
              <w:t>"</w:t>
            </w:r>
            <w:r>
              <w:rPr>
                <w:color w:val="000000"/>
                <w:spacing w:val="-2"/>
                <w:shd w:val="clear" w:color="auto" w:fill="FFFFFF"/>
              </w:rPr>
              <w:t>Latvijas Bankas likums</w:t>
            </w:r>
            <w:r>
              <w:rPr>
                <w:iCs/>
              </w:rPr>
              <w:t xml:space="preserve">" saistītie normatīvie akti, kuros </w:t>
            </w:r>
            <w:r>
              <w:rPr>
                <w:spacing w:val="-2"/>
              </w:rPr>
              <w:t>nepieciešams veikt attiecīgās izmaiņas</w:t>
            </w:r>
            <w:r w:rsidR="00FC1703">
              <w:rPr>
                <w:spacing w:val="-2"/>
              </w:rPr>
              <w:t>."</w:t>
            </w:r>
          </w:p>
          <w:p w14:paraId="79ABD650" w14:textId="77777777" w:rsidR="00B65152" w:rsidRDefault="00B65152" w:rsidP="0092480F">
            <w:pPr>
              <w:jc w:val="both"/>
            </w:pPr>
          </w:p>
          <w:p w14:paraId="77BC1258" w14:textId="77777777" w:rsidR="00892E8B" w:rsidRPr="002E0906" w:rsidRDefault="00892E8B" w:rsidP="00BD26AC">
            <w:pPr>
              <w:jc w:val="center"/>
              <w:rPr>
                <w:sz w:val="20"/>
                <w:szCs w:val="20"/>
              </w:rPr>
            </w:pPr>
          </w:p>
        </w:tc>
      </w:tr>
      <w:tr w:rsidR="00841FD4" w:rsidRPr="002E0906" w14:paraId="496FC268" w14:textId="77777777" w:rsidTr="00D61005">
        <w:tc>
          <w:tcPr>
            <w:tcW w:w="708" w:type="dxa"/>
            <w:tcBorders>
              <w:top w:val="single" w:sz="6" w:space="0" w:color="000000"/>
              <w:left w:val="single" w:sz="6" w:space="0" w:color="000000"/>
              <w:bottom w:val="single" w:sz="6" w:space="0" w:color="000000"/>
              <w:right w:val="single" w:sz="6" w:space="0" w:color="000000"/>
            </w:tcBorders>
          </w:tcPr>
          <w:p w14:paraId="78F86B48" w14:textId="77777777" w:rsidR="00841FD4" w:rsidRDefault="00841FD4" w:rsidP="00BD26AC">
            <w:pPr>
              <w:pStyle w:val="naisc"/>
              <w:spacing w:before="0" w:after="0"/>
              <w:jc w:val="left"/>
              <w:rPr>
                <w:sz w:val="20"/>
                <w:szCs w:val="20"/>
              </w:rPr>
            </w:pPr>
          </w:p>
          <w:p w14:paraId="2FEE9561" w14:textId="77777777" w:rsidR="00FC1703" w:rsidRDefault="00FC1703" w:rsidP="00BD26AC">
            <w:pPr>
              <w:pStyle w:val="naisc"/>
              <w:spacing w:before="0" w:after="0"/>
              <w:jc w:val="left"/>
              <w:rPr>
                <w:sz w:val="20"/>
                <w:szCs w:val="20"/>
              </w:rPr>
            </w:pPr>
          </w:p>
          <w:p w14:paraId="05C98C79" w14:textId="5828BBEB" w:rsidR="00FC1703" w:rsidRPr="002E0906" w:rsidRDefault="00FC1703" w:rsidP="00FC1703">
            <w:pPr>
              <w:pStyle w:val="naisc"/>
              <w:spacing w:before="0" w:after="0"/>
              <w:rPr>
                <w:sz w:val="20"/>
                <w:szCs w:val="20"/>
              </w:rPr>
            </w:pPr>
            <w:r>
              <w:rPr>
                <w:sz w:val="20"/>
                <w:szCs w:val="20"/>
              </w:rPr>
              <w:t>4.</w:t>
            </w:r>
          </w:p>
        </w:tc>
        <w:tc>
          <w:tcPr>
            <w:tcW w:w="2828" w:type="dxa"/>
            <w:gridSpan w:val="2"/>
            <w:tcBorders>
              <w:top w:val="single" w:sz="6" w:space="0" w:color="000000"/>
              <w:left w:val="single" w:sz="6" w:space="0" w:color="000000"/>
              <w:bottom w:val="single" w:sz="6" w:space="0" w:color="000000"/>
              <w:right w:val="single" w:sz="6" w:space="0" w:color="000000"/>
            </w:tcBorders>
          </w:tcPr>
          <w:p w14:paraId="106CEFF2" w14:textId="77777777" w:rsidR="00FC1703" w:rsidRDefault="00FC1703" w:rsidP="00FC1703">
            <w:pPr>
              <w:pStyle w:val="naisc"/>
              <w:spacing w:before="0" w:after="0"/>
              <w:rPr>
                <w:b/>
                <w:bCs/>
              </w:rPr>
            </w:pPr>
            <w:r w:rsidRPr="00004282">
              <w:rPr>
                <w:b/>
                <w:bCs/>
              </w:rPr>
              <w:t xml:space="preserve">Atzinums uz </w:t>
            </w:r>
            <w:r>
              <w:rPr>
                <w:b/>
                <w:bCs/>
              </w:rPr>
              <w:t>25</w:t>
            </w:r>
            <w:r w:rsidRPr="00004282">
              <w:rPr>
                <w:b/>
                <w:bCs/>
              </w:rPr>
              <w:t>.11.2020.</w:t>
            </w:r>
          </w:p>
          <w:p w14:paraId="3E3DD960" w14:textId="77777777" w:rsidR="00FC1703" w:rsidRPr="00004282" w:rsidRDefault="00FC1703" w:rsidP="00FC1703">
            <w:pPr>
              <w:pStyle w:val="naisc"/>
              <w:spacing w:before="0"/>
              <w:rPr>
                <w:b/>
                <w:bCs/>
              </w:rPr>
            </w:pPr>
            <w:r>
              <w:rPr>
                <w:b/>
                <w:bCs/>
              </w:rPr>
              <w:t>(par anotāciju)</w:t>
            </w:r>
          </w:p>
          <w:p w14:paraId="52DD7444" w14:textId="77777777" w:rsidR="00841FD4" w:rsidRPr="00004282" w:rsidRDefault="00841FD4" w:rsidP="00BD26AC">
            <w:pPr>
              <w:pStyle w:val="naisc"/>
              <w:ind w:firstLine="720"/>
              <w:jc w:val="both"/>
              <w:rPr>
                <w:b/>
                <w:bCs/>
              </w:rPr>
            </w:pPr>
          </w:p>
          <w:p w14:paraId="7877BC8E" w14:textId="77777777" w:rsidR="00841FD4" w:rsidRPr="002E0906" w:rsidRDefault="00841FD4" w:rsidP="00892E8B">
            <w:pPr>
              <w:pStyle w:val="naisc"/>
              <w:jc w:val="left"/>
              <w:rPr>
                <w:sz w:val="20"/>
                <w:szCs w:val="20"/>
              </w:rPr>
            </w:pPr>
          </w:p>
        </w:tc>
        <w:tc>
          <w:tcPr>
            <w:tcW w:w="4111" w:type="dxa"/>
            <w:tcBorders>
              <w:top w:val="single" w:sz="6" w:space="0" w:color="000000"/>
              <w:left w:val="single" w:sz="6" w:space="0" w:color="000000"/>
              <w:bottom w:val="single" w:sz="6" w:space="0" w:color="000000"/>
              <w:right w:val="single" w:sz="6" w:space="0" w:color="000000"/>
            </w:tcBorders>
          </w:tcPr>
          <w:p w14:paraId="678AF81B" w14:textId="77777777" w:rsidR="00FC1703" w:rsidRPr="00004282" w:rsidRDefault="00FC1703" w:rsidP="00FC1703">
            <w:pPr>
              <w:pStyle w:val="naisc"/>
              <w:spacing w:before="0" w:after="0"/>
              <w:ind w:firstLine="720"/>
              <w:jc w:val="left"/>
              <w:rPr>
                <w:b/>
                <w:bCs/>
              </w:rPr>
            </w:pPr>
            <w:r w:rsidRPr="00004282">
              <w:rPr>
                <w:b/>
                <w:bCs/>
              </w:rPr>
              <w:t>Tieslietu ministrija</w:t>
            </w:r>
          </w:p>
          <w:p w14:paraId="3E9974D0" w14:textId="5669C742" w:rsidR="00841FD4" w:rsidRPr="00004282" w:rsidRDefault="00FC1703" w:rsidP="00FC1703">
            <w:pPr>
              <w:pStyle w:val="naisc"/>
              <w:spacing w:before="0" w:after="0"/>
              <w:ind w:firstLine="720"/>
              <w:jc w:val="left"/>
              <w:rPr>
                <w:b/>
                <w:bCs/>
              </w:rPr>
            </w:pPr>
            <w:r>
              <w:rPr>
                <w:b/>
                <w:bCs/>
              </w:rPr>
              <w:t xml:space="preserve">       </w:t>
            </w:r>
            <w:r w:rsidRPr="00004282">
              <w:rPr>
                <w:b/>
                <w:bCs/>
              </w:rPr>
              <w:t>(iebildumi)</w:t>
            </w:r>
          </w:p>
          <w:p w14:paraId="053898A2" w14:textId="77777777" w:rsidR="00507895" w:rsidRDefault="00507895" w:rsidP="00FC1703">
            <w:pPr>
              <w:ind w:right="12"/>
              <w:jc w:val="both"/>
            </w:pPr>
          </w:p>
          <w:p w14:paraId="002BE3C4" w14:textId="480BBC03" w:rsidR="00841FD4" w:rsidRPr="0078165E" w:rsidRDefault="00210005" w:rsidP="00FC1703">
            <w:pPr>
              <w:ind w:right="12"/>
              <w:jc w:val="both"/>
              <w:rPr>
                <w:b/>
              </w:rPr>
            </w:pPr>
            <w:r>
              <w:t xml:space="preserve"> </w:t>
            </w:r>
            <w:r w:rsidR="00296873">
              <w:t>Vēršam uzmanību, ka atbilstoši instrukcijas Nr. </w:t>
            </w:r>
            <w:r w:rsidR="00296873" w:rsidRPr="00D70871">
              <w:t xml:space="preserve">19 </w:t>
            </w:r>
            <w:r w:rsidR="00296873">
              <w:t>56. punkta ievaddaļai a</w:t>
            </w:r>
            <w:r w:rsidR="00296873" w:rsidRPr="007E10D3">
              <w:t>notācijas</w:t>
            </w:r>
            <w:r w:rsidR="00296873" w:rsidRPr="000073B3">
              <w:t xml:space="preserve"> V sadaļas</w:t>
            </w:r>
            <w:r w:rsidR="00296873" w:rsidRPr="007E10D3">
              <w:t xml:space="preserve"> 1.</w:t>
            </w:r>
            <w:r w:rsidR="00296873">
              <w:t> </w:t>
            </w:r>
            <w:r w:rsidR="00296873" w:rsidRPr="007E10D3">
              <w:t xml:space="preserve">tabulā ("Tiesību akta projekta atbilstība ES tiesību aktiem") raksturo projekta atbilstības pakāpi ES tiesību aktiem, kas norādīti saskaņā ar šīs instrukcijas </w:t>
            </w:r>
            <w:r w:rsidR="00296873" w:rsidRPr="007E10D3">
              <w:lastRenderedPageBreak/>
              <w:t>55.1.</w:t>
            </w:r>
            <w:r w:rsidR="00296873">
              <w:t xml:space="preserve"> apakšpunktu. Ņemot vērā, ka likumprojekta Nr. 1 V sadaļas 1. punktā norādīts uz </w:t>
            </w:r>
            <w:r w:rsidR="00296873" w:rsidRPr="00B623E4">
              <w:rPr>
                <w:spacing w:val="-2"/>
              </w:rPr>
              <w:t>Līgum</w:t>
            </w:r>
            <w:r w:rsidR="00296873">
              <w:rPr>
                <w:spacing w:val="-2"/>
              </w:rPr>
              <w:t>a</w:t>
            </w:r>
            <w:r w:rsidR="00296873" w:rsidRPr="00B623E4">
              <w:rPr>
                <w:spacing w:val="-2"/>
              </w:rPr>
              <w:t xml:space="preserve"> par Eiropas Savienības darbību</w:t>
            </w:r>
            <w:r w:rsidR="00296873">
              <w:rPr>
                <w:spacing w:val="-2"/>
              </w:rPr>
              <w:t xml:space="preserve"> 121. pantu</w:t>
            </w:r>
            <w:r w:rsidR="00296873" w:rsidRPr="00B623E4">
              <w:rPr>
                <w:spacing w:val="-2"/>
              </w:rPr>
              <w:t xml:space="preserve"> un tā 4. protokolu "Par Eiropas Centrālo banku sistēmas un Eiro</w:t>
            </w:r>
            <w:r w:rsidR="00296873">
              <w:rPr>
                <w:spacing w:val="-2"/>
              </w:rPr>
              <w:t>pas Centrālās bankas Statūtiem",</w:t>
            </w:r>
            <w:r w:rsidR="00296873" w:rsidRPr="00F63414">
              <w:t xml:space="preserve"> </w:t>
            </w:r>
            <w:r w:rsidR="00296873" w:rsidRPr="00F63414">
              <w:rPr>
                <w:spacing w:val="-2"/>
              </w:rPr>
              <w:t>un</w:t>
            </w:r>
            <w:r w:rsidR="00296873">
              <w:rPr>
                <w:spacing w:val="-2"/>
              </w:rPr>
              <w:t>,</w:t>
            </w:r>
            <w:r w:rsidR="00296873" w:rsidRPr="00F63414">
              <w:rPr>
                <w:spacing w:val="-2"/>
              </w:rPr>
              <w:t xml:space="preserve"> ja nepieciešams ieviest minēto Eiropas Savienības tiesību aktu prasības</w:t>
            </w:r>
            <w:r w:rsidR="00296873">
              <w:rPr>
                <w:spacing w:val="-2"/>
              </w:rPr>
              <w:t>, lūdzam detalizēti aizpildīt arī likumprojekta Nr. 1 anotācijas V sadaļas 1. tabulu, ievērojot instrukcijas Nr. 19 56. punkta apakšpunktos norādīto.</w:t>
            </w:r>
          </w:p>
        </w:tc>
        <w:tc>
          <w:tcPr>
            <w:tcW w:w="3118" w:type="dxa"/>
            <w:gridSpan w:val="2"/>
            <w:tcBorders>
              <w:top w:val="single" w:sz="6" w:space="0" w:color="000000"/>
              <w:left w:val="single" w:sz="6" w:space="0" w:color="000000"/>
              <w:bottom w:val="single" w:sz="6" w:space="0" w:color="000000"/>
              <w:right w:val="single" w:sz="6" w:space="0" w:color="000000"/>
            </w:tcBorders>
          </w:tcPr>
          <w:p w14:paraId="7D3092C7" w14:textId="77777777" w:rsidR="00FC1703" w:rsidRPr="00004282" w:rsidRDefault="00FC1703" w:rsidP="00FC1703">
            <w:pPr>
              <w:pStyle w:val="naisc"/>
              <w:spacing w:before="0" w:after="0"/>
              <w:ind w:firstLine="720"/>
              <w:rPr>
                <w:b/>
                <w:bCs/>
              </w:rPr>
            </w:pPr>
            <w:r w:rsidRPr="00004282">
              <w:rPr>
                <w:b/>
                <w:bCs/>
              </w:rPr>
              <w:lastRenderedPageBreak/>
              <w:t xml:space="preserve">Ņemts vērā </w:t>
            </w:r>
          </w:p>
          <w:p w14:paraId="1E782644" w14:textId="77777777" w:rsidR="00841FD4" w:rsidRPr="00004282" w:rsidRDefault="00841FD4" w:rsidP="00BD26AC">
            <w:pPr>
              <w:pStyle w:val="naisc"/>
              <w:spacing w:before="0" w:after="0"/>
              <w:ind w:firstLine="720"/>
            </w:pPr>
          </w:p>
          <w:p w14:paraId="7994197A" w14:textId="77777777" w:rsidR="00E861C4" w:rsidRDefault="00E861C4" w:rsidP="00BD26AC">
            <w:pPr>
              <w:pStyle w:val="naisc"/>
              <w:spacing w:before="0" w:after="0"/>
              <w:jc w:val="both"/>
            </w:pPr>
          </w:p>
          <w:p w14:paraId="3D545127" w14:textId="0E4A4933" w:rsidR="00FC1703" w:rsidRDefault="00FC1703" w:rsidP="00FC1703">
            <w:pPr>
              <w:pStyle w:val="naisc"/>
              <w:spacing w:before="0" w:after="0"/>
              <w:jc w:val="both"/>
              <w:rPr>
                <w:sz w:val="20"/>
                <w:szCs w:val="20"/>
              </w:rPr>
            </w:pPr>
            <w:r>
              <w:t>Lūdzu skatīt likumprojekta precizēto anotācijas V sadaļas 1. punktu, no kura dzēst</w:t>
            </w:r>
            <w:r w:rsidR="00B65152">
              <w:t xml:space="preserve">a iepriekšējā </w:t>
            </w:r>
            <w:r>
              <w:t>norāde</w:t>
            </w:r>
            <w:r w:rsidR="00B65152">
              <w:t xml:space="preserve"> un ierakstīts vārds "Nav"</w:t>
            </w:r>
            <w:r>
              <w:t xml:space="preserve">, ņemot vērā, ka ar likumprojektu netiek pārņemtas vai ieviestas  </w:t>
            </w:r>
            <w:r>
              <w:lastRenderedPageBreak/>
              <w:t>jaunas ES tiesību normas un  likumprojekts nerada ietekmi uz jau pārņemtajām ES tiesību normām.</w:t>
            </w:r>
          </w:p>
          <w:p w14:paraId="66BA242D" w14:textId="77777777" w:rsidR="00FC1703" w:rsidRDefault="00FC1703" w:rsidP="00FC1703">
            <w:pPr>
              <w:pStyle w:val="naisc"/>
              <w:spacing w:before="0" w:after="0"/>
              <w:jc w:val="both"/>
              <w:rPr>
                <w:sz w:val="20"/>
                <w:szCs w:val="20"/>
              </w:rPr>
            </w:pPr>
          </w:p>
          <w:p w14:paraId="0260BFD2" w14:textId="3AA39604" w:rsidR="0052499B" w:rsidRPr="00DA0801" w:rsidRDefault="0052499B" w:rsidP="00F33DA9">
            <w:pPr>
              <w:pStyle w:val="naisc"/>
              <w:spacing w:before="0" w:after="0"/>
              <w:jc w:val="both"/>
              <w:rPr>
                <w:b/>
                <w:bCs/>
                <w:sz w:val="20"/>
                <w:szCs w:val="20"/>
              </w:rPr>
            </w:pPr>
          </w:p>
        </w:tc>
        <w:tc>
          <w:tcPr>
            <w:tcW w:w="3660" w:type="dxa"/>
            <w:tcBorders>
              <w:top w:val="single" w:sz="4" w:space="0" w:color="auto"/>
              <w:left w:val="single" w:sz="4" w:space="0" w:color="auto"/>
              <w:bottom w:val="single" w:sz="4" w:space="0" w:color="auto"/>
            </w:tcBorders>
          </w:tcPr>
          <w:p w14:paraId="2D694109" w14:textId="77777777" w:rsidR="00FC1703" w:rsidRPr="00FC1703" w:rsidRDefault="00FC1703" w:rsidP="00FC1703">
            <w:pPr>
              <w:jc w:val="center"/>
              <w:rPr>
                <w:b/>
                <w:bCs/>
                <w:spacing w:val="-2"/>
              </w:rPr>
            </w:pPr>
            <w:r w:rsidRPr="00FC1703">
              <w:rPr>
                <w:b/>
                <w:bCs/>
                <w:spacing w:val="-2"/>
              </w:rPr>
              <w:lastRenderedPageBreak/>
              <w:t>Anotācijā</w:t>
            </w:r>
          </w:p>
          <w:p w14:paraId="5E4E91B3" w14:textId="77777777" w:rsidR="00942772" w:rsidRDefault="00942772" w:rsidP="00DA0801">
            <w:pPr>
              <w:jc w:val="center"/>
            </w:pPr>
          </w:p>
          <w:p w14:paraId="1AAB0AFE" w14:textId="77777777" w:rsidR="00942772" w:rsidRDefault="00942772" w:rsidP="00DA0801">
            <w:pPr>
              <w:jc w:val="center"/>
            </w:pPr>
          </w:p>
          <w:p w14:paraId="45559769" w14:textId="7453C784" w:rsidR="00942772" w:rsidRDefault="00B65152" w:rsidP="00B65152">
            <w:pPr>
              <w:jc w:val="center"/>
            </w:pPr>
            <w:r>
              <w:t>-</w:t>
            </w:r>
          </w:p>
          <w:p w14:paraId="6E4D3753" w14:textId="23505601" w:rsidR="00027FE0" w:rsidRDefault="00027FE0" w:rsidP="003821B8"/>
          <w:p w14:paraId="53ADB118" w14:textId="508E0471" w:rsidR="00942772" w:rsidRPr="00A02FAD" w:rsidRDefault="00942772" w:rsidP="00F33DA9">
            <w:pPr>
              <w:jc w:val="both"/>
              <w:rPr>
                <w:b/>
                <w:bCs/>
              </w:rPr>
            </w:pPr>
          </w:p>
        </w:tc>
      </w:tr>
      <w:bookmarkEnd w:id="0"/>
      <w:tr w:rsidR="00B36596" w:rsidRPr="00AE0723" w14:paraId="75ED94CB" w14:textId="77777777" w:rsidTr="00EC1A8B">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14:paraId="2CCFFF95" w14:textId="77777777" w:rsidR="00B36596" w:rsidRPr="00AE0723" w:rsidRDefault="00B36596" w:rsidP="00EC1A8B"/>
          <w:p w14:paraId="428CAF40" w14:textId="77777777" w:rsidR="00B36596" w:rsidRPr="00AE0723" w:rsidRDefault="00B36596" w:rsidP="00EC1A8B">
            <w:r w:rsidRPr="00AE0723">
              <w:t>Atbildīgā amatpersona</w:t>
            </w:r>
          </w:p>
        </w:tc>
        <w:tc>
          <w:tcPr>
            <w:tcW w:w="6179" w:type="dxa"/>
            <w:gridSpan w:val="3"/>
          </w:tcPr>
          <w:p w14:paraId="2A2C05F7" w14:textId="77777777" w:rsidR="00B36596" w:rsidRPr="00AE0723" w:rsidRDefault="00B36596" w:rsidP="00EC1A8B">
            <w:pPr>
              <w:ind w:firstLine="720"/>
            </w:pPr>
            <w:r w:rsidRPr="00AE0723">
              <w:t>  </w:t>
            </w:r>
          </w:p>
        </w:tc>
      </w:tr>
      <w:tr w:rsidR="00B36596" w:rsidRPr="00AE0723" w14:paraId="2003AE72" w14:textId="77777777" w:rsidTr="00EC1A8B">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14:paraId="36721533" w14:textId="77777777" w:rsidR="00B36596" w:rsidRPr="00AE0723" w:rsidRDefault="00B36596" w:rsidP="00EC1A8B">
            <w:pPr>
              <w:ind w:firstLine="720"/>
            </w:pPr>
          </w:p>
        </w:tc>
        <w:tc>
          <w:tcPr>
            <w:tcW w:w="6179" w:type="dxa"/>
            <w:gridSpan w:val="3"/>
            <w:tcBorders>
              <w:top w:val="single" w:sz="6" w:space="0" w:color="000000"/>
            </w:tcBorders>
          </w:tcPr>
          <w:p w14:paraId="51A41D45" w14:textId="77777777" w:rsidR="00B36596" w:rsidRPr="00AE0723" w:rsidRDefault="00B36596" w:rsidP="00EC1A8B">
            <w:pPr>
              <w:ind w:firstLine="720"/>
              <w:jc w:val="center"/>
            </w:pPr>
            <w:r w:rsidRPr="00AE0723">
              <w:t>(paraksts)*</w:t>
            </w:r>
          </w:p>
        </w:tc>
      </w:tr>
    </w:tbl>
    <w:p w14:paraId="4847FEBD" w14:textId="77777777" w:rsidR="00B36596" w:rsidRPr="00AE0723" w:rsidRDefault="00B36596" w:rsidP="00B36596">
      <w:pPr>
        <w:jc w:val="both"/>
      </w:pPr>
    </w:p>
    <w:p w14:paraId="0D0482C3" w14:textId="77777777" w:rsidR="00B36596" w:rsidRPr="00AE0723" w:rsidRDefault="00B36596" w:rsidP="00B36596">
      <w:pPr>
        <w:ind w:firstLine="720"/>
        <w:jc w:val="both"/>
      </w:pPr>
      <w:r w:rsidRPr="00AE0723">
        <w:t>Piezīme. * Dokumenta rekvizītu "paraksts" neaizpilda, ja elektroniskais dokuments ir sagatavots atbilstoši normatīvajiem aktiem par elektronisko dokumentu noformēšanu.</w:t>
      </w:r>
    </w:p>
    <w:p w14:paraId="01192E1D" w14:textId="77777777" w:rsidR="00B36596" w:rsidRPr="00AE0723" w:rsidRDefault="00B36596" w:rsidP="00B36596">
      <w:pPr>
        <w:jc w:val="both"/>
      </w:pPr>
      <w:r w:rsidRPr="00AE0723">
        <w:t>Liene Jenerte</w:t>
      </w:r>
    </w:p>
    <w:tbl>
      <w:tblPr>
        <w:tblW w:w="0" w:type="auto"/>
        <w:tblLook w:val="00A0" w:firstRow="1" w:lastRow="0" w:firstColumn="1" w:lastColumn="0" w:noHBand="0" w:noVBand="0"/>
      </w:tblPr>
      <w:tblGrid>
        <w:gridCol w:w="8268"/>
      </w:tblGrid>
      <w:tr w:rsidR="00B36596" w:rsidRPr="00AE0723" w14:paraId="3BE7741A" w14:textId="77777777" w:rsidTr="00EC1A8B">
        <w:tc>
          <w:tcPr>
            <w:tcW w:w="8268" w:type="dxa"/>
            <w:tcBorders>
              <w:top w:val="single" w:sz="4" w:space="0" w:color="000000"/>
            </w:tcBorders>
          </w:tcPr>
          <w:p w14:paraId="3E0AB5A6" w14:textId="77777777" w:rsidR="00B36596" w:rsidRPr="00AE0723" w:rsidRDefault="00B36596" w:rsidP="00EC1A8B">
            <w:pPr>
              <w:jc w:val="center"/>
            </w:pPr>
            <w:r w:rsidRPr="00AE0723">
              <w:t>(par projektu atbildīgās amatpersonas vārds un uzvārds)</w:t>
            </w:r>
          </w:p>
        </w:tc>
      </w:tr>
      <w:tr w:rsidR="00B36596" w:rsidRPr="00AE0723" w14:paraId="47766189" w14:textId="77777777" w:rsidTr="00EC1A8B">
        <w:tc>
          <w:tcPr>
            <w:tcW w:w="8268" w:type="dxa"/>
            <w:tcBorders>
              <w:bottom w:val="single" w:sz="4" w:space="0" w:color="000000"/>
            </w:tcBorders>
          </w:tcPr>
          <w:p w14:paraId="395DE3BC" w14:textId="77777777" w:rsidR="00B36596" w:rsidRPr="00AE0723" w:rsidRDefault="00B36596" w:rsidP="00EC1A8B">
            <w:r w:rsidRPr="00AE0723">
              <w:t>Finanšu ministrijas Finanšu tirgus politikas departamenta</w:t>
            </w:r>
          </w:p>
          <w:p w14:paraId="61F6786A" w14:textId="77777777" w:rsidR="00B36596" w:rsidRPr="00AE0723" w:rsidRDefault="00B36596" w:rsidP="00EC1A8B">
            <w:r w:rsidRPr="00AE0723">
              <w:t>Kredītiestāžu un maksājumu pakalpojumu politikas nodaļas juriste</w:t>
            </w:r>
          </w:p>
        </w:tc>
      </w:tr>
      <w:tr w:rsidR="00B36596" w:rsidRPr="00AE0723" w14:paraId="49D24882" w14:textId="77777777" w:rsidTr="00EC1A8B">
        <w:tc>
          <w:tcPr>
            <w:tcW w:w="8268" w:type="dxa"/>
            <w:tcBorders>
              <w:top w:val="single" w:sz="4" w:space="0" w:color="000000"/>
            </w:tcBorders>
          </w:tcPr>
          <w:p w14:paraId="2388953F" w14:textId="77777777" w:rsidR="00B36596" w:rsidRPr="00AE0723" w:rsidRDefault="00B36596" w:rsidP="00EC1A8B">
            <w:pPr>
              <w:jc w:val="center"/>
            </w:pPr>
            <w:r w:rsidRPr="00AE0723">
              <w:t>(amats)</w:t>
            </w:r>
          </w:p>
        </w:tc>
      </w:tr>
      <w:tr w:rsidR="00B36596" w:rsidRPr="00AE0723" w14:paraId="32130B4D" w14:textId="77777777" w:rsidTr="00EC1A8B">
        <w:tc>
          <w:tcPr>
            <w:tcW w:w="8268" w:type="dxa"/>
            <w:tcBorders>
              <w:bottom w:val="single" w:sz="4" w:space="0" w:color="000000"/>
            </w:tcBorders>
          </w:tcPr>
          <w:p w14:paraId="23348D07" w14:textId="77777777" w:rsidR="00B36596" w:rsidRPr="00AE0723" w:rsidRDefault="00B36596" w:rsidP="00EC1A8B">
            <w:r w:rsidRPr="00AE0723">
              <w:t>Tālrunis: 67095502</w:t>
            </w:r>
          </w:p>
        </w:tc>
      </w:tr>
      <w:tr w:rsidR="00B36596" w:rsidRPr="00AE0723" w14:paraId="276AB020" w14:textId="77777777" w:rsidTr="00EC1A8B">
        <w:tc>
          <w:tcPr>
            <w:tcW w:w="8268" w:type="dxa"/>
            <w:tcBorders>
              <w:top w:val="single" w:sz="4" w:space="0" w:color="000000"/>
            </w:tcBorders>
          </w:tcPr>
          <w:p w14:paraId="1FA566EF" w14:textId="77777777" w:rsidR="00B36596" w:rsidRPr="00AE0723" w:rsidRDefault="00B36596" w:rsidP="00EC1A8B">
            <w:pPr>
              <w:jc w:val="center"/>
            </w:pPr>
            <w:r w:rsidRPr="00AE0723">
              <w:t>(tālruņa un faksa numurs)</w:t>
            </w:r>
          </w:p>
        </w:tc>
      </w:tr>
      <w:tr w:rsidR="00B36596" w:rsidRPr="00AE0723" w14:paraId="106FE4D1" w14:textId="77777777" w:rsidTr="00EC1A8B">
        <w:tc>
          <w:tcPr>
            <w:tcW w:w="8268" w:type="dxa"/>
            <w:tcBorders>
              <w:bottom w:val="single" w:sz="4" w:space="0" w:color="000000"/>
            </w:tcBorders>
          </w:tcPr>
          <w:p w14:paraId="42F3722C" w14:textId="77777777" w:rsidR="00B36596" w:rsidRPr="00AE0723" w:rsidRDefault="00B85D3C" w:rsidP="00EC1A8B">
            <w:hyperlink r:id="rId7" w:history="1">
              <w:r w:rsidR="00B36596" w:rsidRPr="00AE0723">
                <w:rPr>
                  <w:u w:val="single"/>
                </w:rPr>
                <w:t>liene.jenerte@fm.gov.lv</w:t>
              </w:r>
            </w:hyperlink>
            <w:r w:rsidR="00B36596" w:rsidRPr="00AE0723">
              <w:t xml:space="preserve"> </w:t>
            </w:r>
          </w:p>
        </w:tc>
      </w:tr>
      <w:tr w:rsidR="00B36596" w:rsidRPr="00AE0723" w14:paraId="25618F6C" w14:textId="77777777" w:rsidTr="00EC1A8B">
        <w:tc>
          <w:tcPr>
            <w:tcW w:w="8268" w:type="dxa"/>
            <w:tcBorders>
              <w:top w:val="single" w:sz="4" w:space="0" w:color="000000"/>
            </w:tcBorders>
          </w:tcPr>
          <w:p w14:paraId="2FA9EFCE" w14:textId="77777777" w:rsidR="00B36596" w:rsidRPr="00AE0723" w:rsidRDefault="00B36596" w:rsidP="00EC1A8B">
            <w:pPr>
              <w:jc w:val="center"/>
            </w:pPr>
            <w:r w:rsidRPr="00AE0723">
              <w:t>(e-pasta adrese)</w:t>
            </w:r>
          </w:p>
        </w:tc>
      </w:tr>
    </w:tbl>
    <w:p w14:paraId="2AC7F70E" w14:textId="77777777" w:rsidR="00B36596" w:rsidRDefault="00B36596" w:rsidP="00B36596">
      <w:pPr>
        <w:rPr>
          <w:sz w:val="20"/>
          <w:szCs w:val="20"/>
        </w:rPr>
      </w:pPr>
    </w:p>
    <w:p w14:paraId="545D9F3D" w14:textId="77777777" w:rsidR="00B36596" w:rsidRPr="00F85368" w:rsidRDefault="00B36596" w:rsidP="00B36596">
      <w:pPr>
        <w:rPr>
          <w:sz w:val="20"/>
          <w:szCs w:val="20"/>
        </w:rPr>
      </w:pPr>
      <w:r w:rsidRPr="00F85368">
        <w:rPr>
          <w:sz w:val="20"/>
          <w:szCs w:val="20"/>
        </w:rPr>
        <w:t>M. Solovjakovs, 67022345</w:t>
      </w:r>
    </w:p>
    <w:p w14:paraId="26B2C81F" w14:textId="77777777" w:rsidR="00B36596" w:rsidRPr="00F85368" w:rsidRDefault="00B36596" w:rsidP="00B36596">
      <w:pPr>
        <w:shd w:val="clear" w:color="auto" w:fill="FFFFFF"/>
        <w:jc w:val="both"/>
        <w:rPr>
          <w:rFonts w:ascii="Calibri" w:hAnsi="Calibri" w:cs="Calibri"/>
          <w:color w:val="000000"/>
          <w:sz w:val="20"/>
          <w:szCs w:val="20"/>
        </w:rPr>
      </w:pPr>
      <w:r w:rsidRPr="00F85368">
        <w:rPr>
          <w:color w:val="0000FF"/>
          <w:sz w:val="20"/>
          <w:szCs w:val="20"/>
          <w:u w:val="single"/>
        </w:rPr>
        <w:t>martins.solovjakovs@bank.lv</w:t>
      </w:r>
    </w:p>
    <w:p w14:paraId="33B40263" w14:textId="77777777" w:rsidR="00B36596" w:rsidRDefault="00B36596" w:rsidP="00B36596"/>
    <w:p w14:paraId="31DBE4BE" w14:textId="77777777" w:rsidR="00631755" w:rsidRDefault="00631755"/>
    <w:sectPr w:rsidR="00631755" w:rsidSect="00841FD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5DA4" w14:textId="77777777" w:rsidR="00C2770C" w:rsidRDefault="00C2770C" w:rsidP="00841FD4">
      <w:r>
        <w:separator/>
      </w:r>
    </w:p>
  </w:endnote>
  <w:endnote w:type="continuationSeparator" w:id="0">
    <w:p w14:paraId="7592C779" w14:textId="77777777" w:rsidR="00C2770C" w:rsidRDefault="00C2770C" w:rsidP="0084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8EBF" w14:textId="77777777" w:rsidR="00B85D3C" w:rsidRDefault="00B85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C72A" w14:textId="098E4258" w:rsidR="00561D3C" w:rsidRPr="0070531F" w:rsidRDefault="003C0CF0" w:rsidP="0070531F">
    <w:pPr>
      <w:pStyle w:val="Footer"/>
      <w:rPr>
        <w:sz w:val="20"/>
        <w:szCs w:val="20"/>
      </w:rPr>
    </w:pPr>
    <w:r w:rsidRPr="0070531F">
      <w:rPr>
        <w:sz w:val="20"/>
        <w:szCs w:val="20"/>
      </w:rPr>
      <w:t>FMizz_</w:t>
    </w:r>
    <w:r w:rsidR="00B85D3C">
      <w:rPr>
        <w:sz w:val="20"/>
        <w:szCs w:val="20"/>
      </w:rPr>
      <w:t>110221</w:t>
    </w:r>
    <w:r w:rsidRPr="0070531F">
      <w:rPr>
        <w:sz w:val="20"/>
        <w:szCs w:val="20"/>
      </w:rPr>
      <w:t>_</w:t>
    </w:r>
    <w:r w:rsidR="00F33DA9">
      <w:rPr>
        <w:sz w:val="20"/>
        <w:szCs w:val="20"/>
      </w:rPr>
      <w:t>Ier</w:t>
    </w:r>
    <w:r w:rsidR="00202A56">
      <w:rPr>
        <w:sz w:val="20"/>
        <w:szCs w:val="20"/>
      </w:rPr>
      <w:t>_</w:t>
    </w:r>
    <w:r w:rsidR="00F33DA9">
      <w:rPr>
        <w:sz w:val="20"/>
        <w:szCs w:val="20"/>
      </w:rPr>
      <w:t>apr</w:t>
    </w:r>
    <w:r w:rsidR="00202A56">
      <w:rPr>
        <w:sz w:val="20"/>
        <w:szCs w:val="20"/>
      </w:rPr>
      <w:t>_</w:t>
    </w:r>
    <w:r w:rsidR="00F33DA9">
      <w:rPr>
        <w:sz w:val="20"/>
        <w:szCs w:val="20"/>
      </w:rPr>
      <w:t>lik</w:t>
    </w:r>
    <w:r w:rsidR="00B36596">
      <w:rPr>
        <w:sz w:val="20"/>
        <w:szCs w:val="20"/>
      </w:rPr>
      <w:t>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6774B" w14:textId="33BE466F" w:rsidR="006455E7" w:rsidRPr="00015C84" w:rsidRDefault="00F33DA9" w:rsidP="00364BB6">
    <w:pPr>
      <w:pStyle w:val="Footer"/>
      <w:rPr>
        <w:sz w:val="20"/>
        <w:szCs w:val="20"/>
      </w:rPr>
    </w:pPr>
    <w:r w:rsidRPr="0070531F">
      <w:rPr>
        <w:sz w:val="20"/>
        <w:szCs w:val="20"/>
      </w:rPr>
      <w:t>FMizz_</w:t>
    </w:r>
    <w:r w:rsidR="00B85D3C">
      <w:rPr>
        <w:sz w:val="20"/>
        <w:szCs w:val="20"/>
      </w:rPr>
      <w:t>110221</w:t>
    </w:r>
    <w:r w:rsidRPr="0070531F">
      <w:rPr>
        <w:sz w:val="20"/>
        <w:szCs w:val="20"/>
      </w:rPr>
      <w:t>_</w:t>
    </w:r>
    <w:r>
      <w:rPr>
        <w:sz w:val="20"/>
        <w:szCs w:val="20"/>
      </w:rPr>
      <w:t>Ier_apr_lik</w:t>
    </w:r>
    <w:r w:rsidR="00B36596">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4639" w14:textId="77777777" w:rsidR="00C2770C" w:rsidRDefault="00C2770C" w:rsidP="00841FD4">
      <w:r>
        <w:separator/>
      </w:r>
    </w:p>
  </w:footnote>
  <w:footnote w:type="continuationSeparator" w:id="0">
    <w:p w14:paraId="0E47FEBD" w14:textId="77777777" w:rsidR="00C2770C" w:rsidRDefault="00C2770C" w:rsidP="0084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D282" w14:textId="77777777" w:rsidR="006455E7" w:rsidRDefault="003C0CF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AB59E" w14:textId="77777777" w:rsidR="006455E7" w:rsidRDefault="00B85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7F51" w14:textId="77777777" w:rsidR="006455E7" w:rsidRDefault="003C0CF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A34EBF7" w14:textId="77777777" w:rsidR="006455E7" w:rsidRDefault="00B85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F9F0" w14:textId="77777777" w:rsidR="00B85D3C" w:rsidRDefault="00B85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0046"/>
    <w:multiLevelType w:val="hybridMultilevel"/>
    <w:tmpl w:val="3A88D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D4"/>
    <w:rsid w:val="000218EE"/>
    <w:rsid w:val="00027FE0"/>
    <w:rsid w:val="000B0CF1"/>
    <w:rsid w:val="00163C2B"/>
    <w:rsid w:val="002007F8"/>
    <w:rsid w:val="00202A56"/>
    <w:rsid w:val="00205C1C"/>
    <w:rsid w:val="00210005"/>
    <w:rsid w:val="00296873"/>
    <w:rsid w:val="00353812"/>
    <w:rsid w:val="003821B8"/>
    <w:rsid w:val="003A218B"/>
    <w:rsid w:val="003C0CF0"/>
    <w:rsid w:val="004549D4"/>
    <w:rsid w:val="00465239"/>
    <w:rsid w:val="00466AFF"/>
    <w:rsid w:val="00507895"/>
    <w:rsid w:val="0052499B"/>
    <w:rsid w:val="005748EC"/>
    <w:rsid w:val="0058157E"/>
    <w:rsid w:val="00631755"/>
    <w:rsid w:val="006923BB"/>
    <w:rsid w:val="00841FD4"/>
    <w:rsid w:val="00892E8B"/>
    <w:rsid w:val="00905141"/>
    <w:rsid w:val="0092480F"/>
    <w:rsid w:val="00942772"/>
    <w:rsid w:val="0096091D"/>
    <w:rsid w:val="0096489F"/>
    <w:rsid w:val="00A02FAD"/>
    <w:rsid w:val="00A04980"/>
    <w:rsid w:val="00AA2F9B"/>
    <w:rsid w:val="00AE5BC1"/>
    <w:rsid w:val="00B22DDE"/>
    <w:rsid w:val="00B36596"/>
    <w:rsid w:val="00B65152"/>
    <w:rsid w:val="00B85D3C"/>
    <w:rsid w:val="00BA6364"/>
    <w:rsid w:val="00C179BF"/>
    <w:rsid w:val="00C203CB"/>
    <w:rsid w:val="00C2770C"/>
    <w:rsid w:val="00C97CBA"/>
    <w:rsid w:val="00D61005"/>
    <w:rsid w:val="00DA0801"/>
    <w:rsid w:val="00E861C4"/>
    <w:rsid w:val="00EC574B"/>
    <w:rsid w:val="00ED093A"/>
    <w:rsid w:val="00F114E5"/>
    <w:rsid w:val="00F33DA9"/>
    <w:rsid w:val="00F33FC4"/>
    <w:rsid w:val="00F45DD3"/>
    <w:rsid w:val="00F54A75"/>
    <w:rsid w:val="00FC1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9ECF"/>
  <w15:chartTrackingRefBased/>
  <w15:docId w15:val="{08F2A49B-A072-4420-987D-F6CBD8BC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D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41FD4"/>
    <w:rPr>
      <w:rFonts w:cs="Times New Roman"/>
      <w:color w:val="0000FF"/>
      <w:u w:val="single"/>
    </w:rPr>
  </w:style>
  <w:style w:type="paragraph" w:styleId="NormalWeb">
    <w:name w:val="Normal (Web)"/>
    <w:basedOn w:val="Normal"/>
    <w:uiPriority w:val="99"/>
    <w:rsid w:val="00841FD4"/>
    <w:pPr>
      <w:spacing w:before="100" w:beforeAutospacing="1" w:after="100" w:afterAutospacing="1"/>
    </w:pPr>
  </w:style>
  <w:style w:type="paragraph" w:customStyle="1" w:styleId="naisf">
    <w:name w:val="naisf"/>
    <w:basedOn w:val="Normal"/>
    <w:rsid w:val="00841FD4"/>
    <w:pPr>
      <w:spacing w:before="75" w:after="75"/>
      <w:ind w:firstLine="375"/>
      <w:jc w:val="both"/>
    </w:pPr>
  </w:style>
  <w:style w:type="paragraph" w:customStyle="1" w:styleId="naisnod">
    <w:name w:val="naisnod"/>
    <w:basedOn w:val="Normal"/>
    <w:uiPriority w:val="99"/>
    <w:rsid w:val="00841FD4"/>
    <w:pPr>
      <w:spacing w:before="150" w:after="150"/>
      <w:jc w:val="center"/>
    </w:pPr>
    <w:rPr>
      <w:b/>
      <w:bCs/>
    </w:rPr>
  </w:style>
  <w:style w:type="paragraph" w:customStyle="1" w:styleId="naiskr">
    <w:name w:val="naiskr"/>
    <w:basedOn w:val="Normal"/>
    <w:rsid w:val="00841FD4"/>
    <w:pPr>
      <w:spacing w:before="75" w:after="75"/>
    </w:pPr>
  </w:style>
  <w:style w:type="paragraph" w:customStyle="1" w:styleId="naisc">
    <w:name w:val="naisc"/>
    <w:basedOn w:val="Normal"/>
    <w:rsid w:val="00841FD4"/>
    <w:pPr>
      <w:spacing w:before="75" w:after="75"/>
      <w:jc w:val="center"/>
    </w:pPr>
  </w:style>
  <w:style w:type="paragraph" w:styleId="Header">
    <w:name w:val="header"/>
    <w:basedOn w:val="Normal"/>
    <w:link w:val="HeaderChar"/>
    <w:uiPriority w:val="99"/>
    <w:rsid w:val="00841FD4"/>
    <w:pPr>
      <w:tabs>
        <w:tab w:val="center" w:pos="4153"/>
        <w:tab w:val="right" w:pos="8306"/>
      </w:tabs>
    </w:pPr>
  </w:style>
  <w:style w:type="character" w:customStyle="1" w:styleId="HeaderChar">
    <w:name w:val="Header Char"/>
    <w:basedOn w:val="DefaultParagraphFont"/>
    <w:link w:val="Header"/>
    <w:uiPriority w:val="99"/>
    <w:rsid w:val="00841FD4"/>
    <w:rPr>
      <w:rFonts w:ascii="Times New Roman" w:eastAsia="Times New Roman" w:hAnsi="Times New Roman" w:cs="Times New Roman"/>
      <w:sz w:val="24"/>
      <w:szCs w:val="24"/>
      <w:lang w:eastAsia="lv-LV"/>
    </w:rPr>
  </w:style>
  <w:style w:type="character" w:styleId="PageNumber">
    <w:name w:val="page number"/>
    <w:uiPriority w:val="99"/>
    <w:rsid w:val="00841FD4"/>
    <w:rPr>
      <w:rFonts w:cs="Times New Roman"/>
    </w:rPr>
  </w:style>
  <w:style w:type="paragraph" w:styleId="Footer">
    <w:name w:val="footer"/>
    <w:basedOn w:val="Normal"/>
    <w:link w:val="FooterChar"/>
    <w:uiPriority w:val="99"/>
    <w:rsid w:val="00841FD4"/>
    <w:pPr>
      <w:tabs>
        <w:tab w:val="center" w:pos="4153"/>
        <w:tab w:val="right" w:pos="8306"/>
      </w:tabs>
    </w:pPr>
  </w:style>
  <w:style w:type="character" w:customStyle="1" w:styleId="FooterChar">
    <w:name w:val="Footer Char"/>
    <w:basedOn w:val="DefaultParagraphFont"/>
    <w:link w:val="Footer"/>
    <w:uiPriority w:val="99"/>
    <w:rsid w:val="00841FD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41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D4"/>
    <w:rPr>
      <w:rFonts w:ascii="Segoe UI" w:eastAsia="Times New Roman" w:hAnsi="Segoe UI" w:cs="Segoe UI"/>
      <w:sz w:val="18"/>
      <w:szCs w:val="18"/>
      <w:lang w:eastAsia="lv-LV"/>
    </w:rPr>
  </w:style>
  <w:style w:type="paragraph" w:customStyle="1" w:styleId="a">
    <w:name w:val="a"/>
    <w:basedOn w:val="Normal"/>
    <w:uiPriority w:val="99"/>
    <w:rsid w:val="00DA0801"/>
    <w:pPr>
      <w:spacing w:before="100" w:beforeAutospacing="1" w:after="100" w:afterAutospacing="1"/>
    </w:pPr>
    <w:rPr>
      <w:color w:val="306060"/>
    </w:rPr>
  </w:style>
  <w:style w:type="paragraph" w:styleId="ListParagraph">
    <w:name w:val="List Paragraph"/>
    <w:basedOn w:val="Normal"/>
    <w:uiPriority w:val="34"/>
    <w:qFormat/>
    <w:rsid w:val="00F33DA9"/>
    <w:pPr>
      <w:ind w:left="720"/>
      <w:contextualSpacing/>
    </w:pPr>
  </w:style>
  <w:style w:type="character" w:styleId="CommentReference">
    <w:name w:val="annotation reference"/>
    <w:basedOn w:val="DefaultParagraphFont"/>
    <w:uiPriority w:val="99"/>
    <w:semiHidden/>
    <w:unhideWhenUsed/>
    <w:rsid w:val="00163C2B"/>
    <w:rPr>
      <w:sz w:val="16"/>
      <w:szCs w:val="16"/>
    </w:rPr>
  </w:style>
  <w:style w:type="paragraph" w:styleId="CommentText">
    <w:name w:val="annotation text"/>
    <w:basedOn w:val="Normal"/>
    <w:link w:val="CommentTextChar"/>
    <w:uiPriority w:val="99"/>
    <w:semiHidden/>
    <w:unhideWhenUsed/>
    <w:rsid w:val="00163C2B"/>
    <w:rPr>
      <w:sz w:val="20"/>
      <w:szCs w:val="20"/>
    </w:rPr>
  </w:style>
  <w:style w:type="character" w:customStyle="1" w:styleId="CommentTextChar">
    <w:name w:val="Comment Text Char"/>
    <w:basedOn w:val="DefaultParagraphFont"/>
    <w:link w:val="CommentText"/>
    <w:uiPriority w:val="99"/>
    <w:semiHidden/>
    <w:rsid w:val="00163C2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63C2B"/>
    <w:rPr>
      <w:b/>
      <w:bCs/>
    </w:rPr>
  </w:style>
  <w:style w:type="character" w:customStyle="1" w:styleId="CommentSubjectChar">
    <w:name w:val="Comment Subject Char"/>
    <w:basedOn w:val="CommentTextChar"/>
    <w:link w:val="CommentSubject"/>
    <w:uiPriority w:val="99"/>
    <w:semiHidden/>
    <w:rsid w:val="00163C2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81164">
      <w:bodyDiv w:val="1"/>
      <w:marLeft w:val="0"/>
      <w:marRight w:val="0"/>
      <w:marTop w:val="0"/>
      <w:marBottom w:val="0"/>
      <w:divBdr>
        <w:top w:val="none" w:sz="0" w:space="0" w:color="auto"/>
        <w:left w:val="none" w:sz="0" w:space="0" w:color="auto"/>
        <w:bottom w:val="none" w:sz="0" w:space="0" w:color="auto"/>
        <w:right w:val="none" w:sz="0" w:space="0" w:color="auto"/>
      </w:divBdr>
    </w:div>
    <w:div w:id="1007291606">
      <w:bodyDiv w:val="1"/>
      <w:marLeft w:val="0"/>
      <w:marRight w:val="0"/>
      <w:marTop w:val="0"/>
      <w:marBottom w:val="0"/>
      <w:divBdr>
        <w:top w:val="none" w:sz="0" w:space="0" w:color="auto"/>
        <w:left w:val="none" w:sz="0" w:space="0" w:color="auto"/>
        <w:bottom w:val="none" w:sz="0" w:space="0" w:color="auto"/>
        <w:right w:val="none" w:sz="0" w:space="0" w:color="auto"/>
      </w:divBdr>
    </w:div>
    <w:div w:id="14779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ene.jenert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7452</Words>
  <Characters>4248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zziņa par atzinumos sniegtajiem iebildumiem likumprojektā "Grozījums Ieroču aprites likumā"</vt:lpstr>
    </vt:vector>
  </TitlesOfParts>
  <Company>Latvijas Banka</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zziņa par atzinumos sniegtajiem iebildumiem likumprojektā "Grozījums Ieroču aprites likumā"</dc:title>
  <dc:subject>Izziņa</dc:subject>
  <dc:creator>Mārtiņš Solovjakovs</dc:creator>
  <cp:keywords/>
  <dc:description>Solovjakovs, 67022345_x000d_
martins.solovjakovs@bank.lv</dc:description>
  <cp:lastModifiedBy>Liene Jenerte</cp:lastModifiedBy>
  <cp:revision>2</cp:revision>
  <dcterms:created xsi:type="dcterms:W3CDTF">2021-02-11T10:11:00Z</dcterms:created>
  <dcterms:modified xsi:type="dcterms:W3CDTF">2021-02-11T10:11:00Z</dcterms:modified>
</cp:coreProperties>
</file>