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7C31B" w14:textId="77777777" w:rsidR="009B10A4" w:rsidRPr="002B4D22" w:rsidRDefault="009B10A4" w:rsidP="00450767">
      <w:pPr>
        <w:spacing w:after="120"/>
        <w:ind w:firstLine="567"/>
        <w:jc w:val="right"/>
        <w:rPr>
          <w:rFonts w:ascii="Times New Roman" w:hAnsi="Times New Roman"/>
          <w:sz w:val="24"/>
          <w:szCs w:val="32"/>
        </w:rPr>
      </w:pPr>
    </w:p>
    <w:p w14:paraId="0454C8CA" w14:textId="77777777" w:rsidR="009B10A4" w:rsidRPr="002B4D22" w:rsidRDefault="009B10A4" w:rsidP="00450767">
      <w:pPr>
        <w:spacing w:after="120"/>
        <w:ind w:firstLine="567"/>
        <w:jc w:val="center"/>
        <w:rPr>
          <w:rFonts w:ascii="Times New Roman" w:hAnsi="Times New Roman"/>
          <w:b/>
          <w:sz w:val="12"/>
          <w:szCs w:val="12"/>
        </w:rPr>
      </w:pPr>
    </w:p>
    <w:p w14:paraId="43A7A907" w14:textId="77777777" w:rsidR="009B10A4" w:rsidRPr="002B4D22" w:rsidRDefault="009B10A4" w:rsidP="00450767">
      <w:pPr>
        <w:spacing w:after="120"/>
        <w:ind w:firstLine="567"/>
        <w:jc w:val="center"/>
        <w:rPr>
          <w:rFonts w:ascii="Times New Roman" w:hAnsi="Times New Roman"/>
          <w:b/>
          <w:sz w:val="12"/>
          <w:szCs w:val="12"/>
        </w:rPr>
      </w:pPr>
    </w:p>
    <w:p w14:paraId="2E27C119" w14:textId="77777777" w:rsidR="008C4F1A" w:rsidRDefault="008C4F1A" w:rsidP="00450767">
      <w:pPr>
        <w:spacing w:after="120"/>
        <w:jc w:val="center"/>
        <w:rPr>
          <w:rFonts w:ascii="Times New Roman" w:hAnsi="Times New Roman"/>
          <w:b/>
          <w:sz w:val="28"/>
          <w:szCs w:val="28"/>
        </w:rPr>
      </w:pPr>
    </w:p>
    <w:p w14:paraId="7A78678D" w14:textId="77777777" w:rsidR="008C4F1A" w:rsidRDefault="008C4F1A" w:rsidP="00450767">
      <w:pPr>
        <w:spacing w:after="120"/>
        <w:jc w:val="center"/>
        <w:rPr>
          <w:rFonts w:ascii="Times New Roman" w:hAnsi="Times New Roman"/>
          <w:b/>
          <w:sz w:val="28"/>
          <w:szCs w:val="28"/>
        </w:rPr>
      </w:pPr>
    </w:p>
    <w:p w14:paraId="6E3C1510" w14:textId="77777777" w:rsidR="008C4F1A" w:rsidRDefault="008C4F1A" w:rsidP="00450767">
      <w:pPr>
        <w:spacing w:after="120"/>
        <w:jc w:val="center"/>
        <w:rPr>
          <w:rFonts w:ascii="Times New Roman" w:hAnsi="Times New Roman"/>
          <w:b/>
          <w:sz w:val="28"/>
          <w:szCs w:val="28"/>
        </w:rPr>
      </w:pPr>
    </w:p>
    <w:p w14:paraId="120C3B80" w14:textId="782994BD" w:rsidR="009B10A4" w:rsidRPr="00A971E2" w:rsidRDefault="00111B8B" w:rsidP="00450767">
      <w:pPr>
        <w:spacing w:after="120"/>
        <w:jc w:val="center"/>
        <w:rPr>
          <w:rFonts w:ascii="Times New Roman" w:hAnsi="Times New Roman"/>
          <w:b/>
          <w:sz w:val="28"/>
          <w:szCs w:val="28"/>
        </w:rPr>
      </w:pPr>
      <w:r w:rsidRPr="00A971E2">
        <w:rPr>
          <w:rFonts w:ascii="Times New Roman" w:hAnsi="Times New Roman"/>
          <w:b/>
          <w:sz w:val="28"/>
          <w:szCs w:val="28"/>
        </w:rPr>
        <w:t>Informatīvais z</w:t>
      </w:r>
      <w:r w:rsidR="009B10A4" w:rsidRPr="00A971E2">
        <w:rPr>
          <w:rFonts w:ascii="Times New Roman" w:hAnsi="Times New Roman"/>
          <w:b/>
          <w:sz w:val="28"/>
          <w:szCs w:val="28"/>
        </w:rPr>
        <w:t>iņojums</w:t>
      </w:r>
    </w:p>
    <w:p w14:paraId="7A535BB0" w14:textId="77777777" w:rsidR="009B10A4" w:rsidRPr="00A971E2" w:rsidRDefault="009B10A4" w:rsidP="00450767">
      <w:pPr>
        <w:spacing w:after="120"/>
        <w:jc w:val="center"/>
        <w:rPr>
          <w:rFonts w:ascii="Times New Roman" w:hAnsi="Times New Roman"/>
          <w:b/>
          <w:sz w:val="28"/>
          <w:szCs w:val="28"/>
        </w:rPr>
      </w:pPr>
      <w:r w:rsidRPr="00A971E2">
        <w:rPr>
          <w:rFonts w:ascii="Times New Roman" w:hAnsi="Times New Roman"/>
          <w:b/>
          <w:sz w:val="28"/>
          <w:szCs w:val="28"/>
        </w:rPr>
        <w:t>par Imigrācijas likuma 23.panta pirmās daļas 3., 28., 29.</w:t>
      </w:r>
      <w:r w:rsidR="00B47F1D" w:rsidRPr="00A971E2">
        <w:rPr>
          <w:rFonts w:ascii="Times New Roman" w:hAnsi="Times New Roman"/>
          <w:b/>
          <w:sz w:val="28"/>
          <w:szCs w:val="28"/>
        </w:rPr>
        <w:t>,</w:t>
      </w:r>
      <w:r w:rsidRPr="00A971E2">
        <w:rPr>
          <w:rFonts w:ascii="Times New Roman" w:hAnsi="Times New Roman"/>
          <w:b/>
          <w:sz w:val="28"/>
          <w:szCs w:val="28"/>
        </w:rPr>
        <w:t xml:space="preserve"> 30.</w:t>
      </w:r>
      <w:r w:rsidR="00B47F1D" w:rsidRPr="00A971E2">
        <w:rPr>
          <w:rFonts w:ascii="Times New Roman" w:hAnsi="Times New Roman"/>
          <w:b/>
          <w:sz w:val="28"/>
          <w:szCs w:val="28"/>
        </w:rPr>
        <w:t xml:space="preserve"> un 31.</w:t>
      </w:r>
      <w:r w:rsidRPr="00A971E2">
        <w:rPr>
          <w:rFonts w:ascii="Times New Roman" w:hAnsi="Times New Roman"/>
          <w:b/>
          <w:sz w:val="28"/>
          <w:szCs w:val="28"/>
        </w:rPr>
        <w:t xml:space="preserve">punktā </w:t>
      </w:r>
    </w:p>
    <w:p w14:paraId="6AF165FF" w14:textId="2F9AFEBB" w:rsidR="008C4F1A" w:rsidRDefault="009B10A4" w:rsidP="00450767">
      <w:pPr>
        <w:spacing w:after="120"/>
        <w:jc w:val="center"/>
        <w:rPr>
          <w:rFonts w:ascii="Times New Roman" w:hAnsi="Times New Roman"/>
          <w:b/>
          <w:sz w:val="28"/>
          <w:szCs w:val="28"/>
        </w:rPr>
      </w:pPr>
      <w:r w:rsidRPr="00A971E2">
        <w:rPr>
          <w:rFonts w:ascii="Times New Roman" w:hAnsi="Times New Roman"/>
          <w:b/>
          <w:sz w:val="28"/>
          <w:szCs w:val="28"/>
        </w:rPr>
        <w:t>paredzēto noteikumu īstenošanas gaitu un rezultātiem</w:t>
      </w:r>
    </w:p>
    <w:p w14:paraId="682B1F8D" w14:textId="59665956" w:rsidR="008C4F1A" w:rsidRDefault="008C4F1A" w:rsidP="00450767">
      <w:pPr>
        <w:spacing w:after="120"/>
        <w:jc w:val="center"/>
        <w:rPr>
          <w:rFonts w:ascii="Times New Roman" w:hAnsi="Times New Roman"/>
          <w:b/>
          <w:sz w:val="28"/>
          <w:szCs w:val="28"/>
        </w:rPr>
      </w:pPr>
    </w:p>
    <w:p w14:paraId="467E0E69" w14:textId="6CFBA7A3" w:rsidR="008C4F1A" w:rsidRDefault="008C4F1A" w:rsidP="00450767">
      <w:pPr>
        <w:spacing w:after="120"/>
        <w:jc w:val="center"/>
        <w:rPr>
          <w:rFonts w:ascii="Times New Roman" w:hAnsi="Times New Roman"/>
          <w:b/>
          <w:sz w:val="28"/>
          <w:szCs w:val="28"/>
        </w:rPr>
      </w:pPr>
    </w:p>
    <w:p w14:paraId="0D5AFBB9" w14:textId="7677A412" w:rsidR="008C4F1A" w:rsidRDefault="008C4F1A" w:rsidP="00450767">
      <w:pPr>
        <w:spacing w:after="120"/>
        <w:jc w:val="center"/>
        <w:rPr>
          <w:rFonts w:ascii="Times New Roman" w:hAnsi="Times New Roman"/>
          <w:b/>
          <w:sz w:val="28"/>
          <w:szCs w:val="28"/>
        </w:rPr>
      </w:pPr>
    </w:p>
    <w:p w14:paraId="66DE4BC2" w14:textId="790D502D" w:rsidR="008C4F1A" w:rsidRDefault="008C4F1A" w:rsidP="00450767">
      <w:pPr>
        <w:spacing w:after="120"/>
        <w:jc w:val="center"/>
        <w:rPr>
          <w:rFonts w:ascii="Times New Roman" w:hAnsi="Times New Roman"/>
          <w:b/>
          <w:sz w:val="28"/>
          <w:szCs w:val="28"/>
        </w:rPr>
      </w:pPr>
    </w:p>
    <w:p w14:paraId="0EC9D479" w14:textId="6FE8DED3" w:rsidR="008C4F1A" w:rsidRDefault="008C4F1A" w:rsidP="00450767">
      <w:pPr>
        <w:spacing w:after="120"/>
        <w:jc w:val="center"/>
        <w:rPr>
          <w:rFonts w:ascii="Times New Roman" w:hAnsi="Times New Roman"/>
          <w:b/>
          <w:sz w:val="28"/>
          <w:szCs w:val="28"/>
        </w:rPr>
      </w:pPr>
    </w:p>
    <w:p w14:paraId="53B93FAF" w14:textId="04CD004F" w:rsidR="008C4F1A" w:rsidRDefault="008C4F1A" w:rsidP="00450767">
      <w:pPr>
        <w:spacing w:after="120"/>
        <w:jc w:val="center"/>
        <w:rPr>
          <w:rFonts w:ascii="Times New Roman" w:hAnsi="Times New Roman"/>
          <w:b/>
          <w:sz w:val="28"/>
          <w:szCs w:val="28"/>
        </w:rPr>
      </w:pPr>
    </w:p>
    <w:p w14:paraId="4791811C" w14:textId="3412E1AB" w:rsidR="008C4F1A" w:rsidRDefault="008C4F1A" w:rsidP="00450767">
      <w:pPr>
        <w:spacing w:after="120"/>
        <w:jc w:val="center"/>
        <w:rPr>
          <w:rFonts w:ascii="Times New Roman" w:hAnsi="Times New Roman"/>
          <w:b/>
          <w:sz w:val="28"/>
          <w:szCs w:val="28"/>
        </w:rPr>
      </w:pPr>
    </w:p>
    <w:p w14:paraId="5368366F" w14:textId="5FFD2DF1" w:rsidR="008C4F1A" w:rsidRDefault="008C4F1A" w:rsidP="00450767">
      <w:pPr>
        <w:spacing w:after="120"/>
        <w:jc w:val="center"/>
        <w:rPr>
          <w:rFonts w:ascii="Times New Roman" w:hAnsi="Times New Roman"/>
          <w:b/>
          <w:sz w:val="28"/>
          <w:szCs w:val="28"/>
        </w:rPr>
      </w:pPr>
    </w:p>
    <w:p w14:paraId="0ED86CCA" w14:textId="046E5C6D" w:rsidR="008C4F1A" w:rsidRDefault="008C4F1A" w:rsidP="00450767">
      <w:pPr>
        <w:spacing w:after="120"/>
        <w:jc w:val="center"/>
        <w:rPr>
          <w:rFonts w:ascii="Times New Roman" w:hAnsi="Times New Roman"/>
          <w:b/>
          <w:sz w:val="28"/>
          <w:szCs w:val="28"/>
        </w:rPr>
      </w:pPr>
    </w:p>
    <w:p w14:paraId="18DC7B12" w14:textId="5D6A213A" w:rsidR="008C4F1A" w:rsidRDefault="008C4F1A" w:rsidP="00450767">
      <w:pPr>
        <w:spacing w:after="120"/>
        <w:jc w:val="center"/>
        <w:rPr>
          <w:rFonts w:ascii="Times New Roman" w:hAnsi="Times New Roman"/>
          <w:b/>
          <w:sz w:val="28"/>
          <w:szCs w:val="28"/>
        </w:rPr>
      </w:pPr>
    </w:p>
    <w:p w14:paraId="4B89970B" w14:textId="78746D30" w:rsidR="008C4F1A" w:rsidRDefault="008C4F1A" w:rsidP="00450767">
      <w:pPr>
        <w:spacing w:after="120"/>
        <w:jc w:val="center"/>
        <w:rPr>
          <w:rFonts w:ascii="Times New Roman" w:hAnsi="Times New Roman"/>
          <w:b/>
          <w:sz w:val="28"/>
          <w:szCs w:val="28"/>
        </w:rPr>
      </w:pPr>
    </w:p>
    <w:p w14:paraId="258DD5BB" w14:textId="4D4D342F" w:rsidR="008C4F1A" w:rsidRDefault="008C4F1A" w:rsidP="00450767">
      <w:pPr>
        <w:spacing w:after="120"/>
        <w:jc w:val="center"/>
        <w:rPr>
          <w:rFonts w:ascii="Times New Roman" w:hAnsi="Times New Roman"/>
          <w:b/>
          <w:sz w:val="28"/>
          <w:szCs w:val="28"/>
        </w:rPr>
      </w:pPr>
    </w:p>
    <w:p w14:paraId="25D7D355" w14:textId="63D318B4" w:rsidR="008C4F1A" w:rsidRDefault="008C4F1A" w:rsidP="00450767">
      <w:pPr>
        <w:spacing w:after="120"/>
        <w:jc w:val="center"/>
        <w:rPr>
          <w:rFonts w:ascii="Times New Roman" w:hAnsi="Times New Roman"/>
          <w:b/>
          <w:sz w:val="28"/>
          <w:szCs w:val="28"/>
        </w:rPr>
      </w:pPr>
    </w:p>
    <w:p w14:paraId="34678D67" w14:textId="03A8845C" w:rsidR="008C4F1A" w:rsidRDefault="008C4F1A" w:rsidP="00450767">
      <w:pPr>
        <w:spacing w:after="120"/>
        <w:jc w:val="center"/>
        <w:rPr>
          <w:rFonts w:ascii="Times New Roman" w:hAnsi="Times New Roman"/>
          <w:b/>
          <w:sz w:val="28"/>
          <w:szCs w:val="28"/>
        </w:rPr>
      </w:pPr>
    </w:p>
    <w:p w14:paraId="72EA6C06" w14:textId="263F21A2" w:rsidR="008C4F1A" w:rsidRDefault="008C4F1A" w:rsidP="00450767">
      <w:pPr>
        <w:spacing w:after="120"/>
        <w:jc w:val="center"/>
        <w:rPr>
          <w:rFonts w:ascii="Times New Roman" w:hAnsi="Times New Roman"/>
          <w:b/>
          <w:sz w:val="28"/>
          <w:szCs w:val="28"/>
        </w:rPr>
      </w:pPr>
    </w:p>
    <w:p w14:paraId="5EFA1CA4" w14:textId="3C29A2C9" w:rsidR="008C4F1A" w:rsidRDefault="008C4F1A" w:rsidP="00450767">
      <w:pPr>
        <w:spacing w:after="120"/>
        <w:jc w:val="center"/>
        <w:rPr>
          <w:rFonts w:ascii="Times New Roman" w:hAnsi="Times New Roman"/>
          <w:b/>
          <w:sz w:val="28"/>
          <w:szCs w:val="28"/>
        </w:rPr>
      </w:pPr>
    </w:p>
    <w:p w14:paraId="2456BF61" w14:textId="2EF8B538" w:rsidR="008C4F1A" w:rsidRDefault="008C4F1A" w:rsidP="00450767">
      <w:pPr>
        <w:spacing w:after="120"/>
        <w:jc w:val="center"/>
        <w:rPr>
          <w:rFonts w:ascii="Times New Roman" w:hAnsi="Times New Roman"/>
          <w:b/>
          <w:sz w:val="28"/>
          <w:szCs w:val="28"/>
        </w:rPr>
      </w:pPr>
    </w:p>
    <w:p w14:paraId="164CFC0A" w14:textId="226DC52E" w:rsidR="008C4F1A" w:rsidRDefault="008C4F1A" w:rsidP="00450767">
      <w:pPr>
        <w:spacing w:after="120"/>
        <w:jc w:val="center"/>
        <w:rPr>
          <w:rFonts w:ascii="Times New Roman" w:hAnsi="Times New Roman"/>
          <w:b/>
          <w:sz w:val="28"/>
          <w:szCs w:val="28"/>
        </w:rPr>
      </w:pPr>
    </w:p>
    <w:p w14:paraId="68323C5E" w14:textId="6A42C700" w:rsidR="008C4F1A" w:rsidRDefault="008C4F1A" w:rsidP="00450767">
      <w:pPr>
        <w:spacing w:after="120"/>
        <w:jc w:val="center"/>
        <w:rPr>
          <w:rFonts w:ascii="Times New Roman" w:hAnsi="Times New Roman"/>
          <w:b/>
          <w:sz w:val="28"/>
          <w:szCs w:val="28"/>
        </w:rPr>
      </w:pPr>
    </w:p>
    <w:p w14:paraId="1ED93793" w14:textId="0E35BD73" w:rsidR="008C4F1A" w:rsidRDefault="008C4F1A" w:rsidP="00450767">
      <w:pPr>
        <w:spacing w:after="120"/>
        <w:jc w:val="center"/>
        <w:rPr>
          <w:rFonts w:ascii="Times New Roman" w:hAnsi="Times New Roman"/>
          <w:b/>
          <w:sz w:val="28"/>
          <w:szCs w:val="28"/>
        </w:rPr>
      </w:pPr>
    </w:p>
    <w:p w14:paraId="3EB19D59" w14:textId="1EE1B6ED" w:rsidR="008C4F1A" w:rsidRDefault="008C4F1A" w:rsidP="00450767">
      <w:pPr>
        <w:spacing w:after="120"/>
        <w:jc w:val="center"/>
        <w:rPr>
          <w:rFonts w:ascii="Times New Roman" w:hAnsi="Times New Roman"/>
          <w:b/>
          <w:sz w:val="28"/>
          <w:szCs w:val="28"/>
        </w:rPr>
      </w:pPr>
      <w:r w:rsidRPr="00C83B49">
        <w:rPr>
          <w:rFonts w:ascii="Times New Roman" w:hAnsi="Times New Roman"/>
          <w:b/>
          <w:sz w:val="28"/>
          <w:szCs w:val="28"/>
        </w:rPr>
        <w:t>20</w:t>
      </w:r>
      <w:r w:rsidR="00C83B49" w:rsidRPr="00C83B49">
        <w:rPr>
          <w:rFonts w:ascii="Times New Roman" w:hAnsi="Times New Roman"/>
          <w:b/>
          <w:sz w:val="28"/>
          <w:szCs w:val="28"/>
        </w:rPr>
        <w:t>21</w:t>
      </w:r>
    </w:p>
    <w:p w14:paraId="08FF7DC5" w14:textId="4C889A79" w:rsidR="008C4F1A" w:rsidRDefault="008C4F1A">
      <w:pPr>
        <w:rPr>
          <w:rFonts w:ascii="Times New Roman" w:hAnsi="Times New Roman"/>
          <w:b/>
          <w:sz w:val="28"/>
          <w:szCs w:val="28"/>
        </w:rPr>
      </w:pPr>
      <w:r>
        <w:rPr>
          <w:rFonts w:ascii="Times New Roman" w:hAnsi="Times New Roman"/>
          <w:b/>
          <w:sz w:val="28"/>
          <w:szCs w:val="28"/>
        </w:rPr>
        <w:br w:type="page"/>
      </w:r>
    </w:p>
    <w:p w14:paraId="7B6D517D" w14:textId="77777777" w:rsidR="00AE7F31" w:rsidRDefault="00AE7F31" w:rsidP="008C4F1A">
      <w:pPr>
        <w:spacing w:before="120"/>
        <w:jc w:val="both"/>
        <w:rPr>
          <w:rFonts w:ascii="Times New Roman" w:eastAsiaTheme="minorHAnsi" w:hAnsi="Times New Roman"/>
          <w:b/>
          <w:sz w:val="24"/>
          <w:szCs w:val="24"/>
        </w:rPr>
      </w:pPr>
    </w:p>
    <w:p w14:paraId="52EA7A4D" w14:textId="64EBD419" w:rsidR="008C4F1A" w:rsidRPr="00896E81" w:rsidRDefault="008C4F1A" w:rsidP="008C4F1A">
      <w:pPr>
        <w:spacing w:before="120"/>
        <w:jc w:val="both"/>
        <w:rPr>
          <w:rFonts w:ascii="Times New Roman" w:eastAsiaTheme="minorHAnsi" w:hAnsi="Times New Roman"/>
          <w:b/>
          <w:sz w:val="26"/>
          <w:szCs w:val="26"/>
        </w:rPr>
      </w:pPr>
      <w:r w:rsidRPr="00896E81">
        <w:rPr>
          <w:rFonts w:ascii="Times New Roman" w:eastAsiaTheme="minorHAnsi" w:hAnsi="Times New Roman"/>
          <w:b/>
          <w:sz w:val="26"/>
          <w:szCs w:val="26"/>
        </w:rPr>
        <w:t>L</w:t>
      </w:r>
      <w:r w:rsidR="00896E81" w:rsidRPr="00896E81">
        <w:rPr>
          <w:rFonts w:ascii="Times New Roman" w:eastAsiaTheme="minorHAnsi" w:hAnsi="Times New Roman"/>
          <w:b/>
          <w:sz w:val="26"/>
          <w:szCs w:val="26"/>
        </w:rPr>
        <w:t>ietotie saīsinājumi</w:t>
      </w:r>
    </w:p>
    <w:p w14:paraId="2DCC0458" w14:textId="0F60FE8C" w:rsidR="00DB3ECE" w:rsidRDefault="00DB3ECE" w:rsidP="008C4F1A">
      <w:pPr>
        <w:spacing w:before="120"/>
        <w:jc w:val="both"/>
        <w:rPr>
          <w:rFonts w:ascii="Times New Roman" w:eastAsiaTheme="minorHAnsi" w:hAnsi="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68"/>
      </w:tblGrid>
      <w:tr w:rsidR="00DB3ECE" w:rsidRPr="00896E81" w14:paraId="2A7CE572" w14:textId="77777777" w:rsidTr="00AE7F31">
        <w:tc>
          <w:tcPr>
            <w:tcW w:w="1980" w:type="dxa"/>
          </w:tcPr>
          <w:p w14:paraId="18A9475A" w14:textId="147B0B20"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hAnsi="Times New Roman"/>
                <w:sz w:val="26"/>
                <w:szCs w:val="26"/>
              </w:rPr>
              <w:t>ALTUM</w:t>
            </w:r>
          </w:p>
        </w:tc>
        <w:tc>
          <w:tcPr>
            <w:tcW w:w="7268" w:type="dxa"/>
          </w:tcPr>
          <w:p w14:paraId="312318D8" w14:textId="68DECC4C" w:rsidR="00DB3ECE" w:rsidRPr="00896E81" w:rsidRDefault="00DB3ECE" w:rsidP="008C4F1A">
            <w:pPr>
              <w:spacing w:before="120"/>
              <w:jc w:val="both"/>
              <w:rPr>
                <w:rFonts w:ascii="Times New Roman" w:eastAsiaTheme="minorHAnsi" w:hAnsi="Times New Roman"/>
                <w:sz w:val="26"/>
                <w:szCs w:val="26"/>
              </w:rPr>
            </w:pPr>
            <w:bookmarkStart w:id="0" w:name="_Hlk25684141"/>
            <w:r w:rsidRPr="00896E81">
              <w:rPr>
                <w:rFonts w:ascii="Times New Roman" w:eastAsiaTheme="minorHAnsi" w:hAnsi="Times New Roman"/>
                <w:sz w:val="26"/>
                <w:szCs w:val="26"/>
              </w:rPr>
              <w:t>akciju sabiedrība “Attīstības finanšu institūcija Altum”</w:t>
            </w:r>
            <w:bookmarkEnd w:id="0"/>
          </w:p>
        </w:tc>
      </w:tr>
      <w:tr w:rsidR="00DB3ECE" w:rsidRPr="00896E81" w14:paraId="7A43C114" w14:textId="77777777" w:rsidTr="00AE7F31">
        <w:tc>
          <w:tcPr>
            <w:tcW w:w="1980" w:type="dxa"/>
          </w:tcPr>
          <w:p w14:paraId="142E5082" w14:textId="2AB2D27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CSP</w:t>
            </w:r>
          </w:p>
        </w:tc>
        <w:tc>
          <w:tcPr>
            <w:tcW w:w="7268" w:type="dxa"/>
          </w:tcPr>
          <w:p w14:paraId="4FD35A80" w14:textId="64ED9AC5"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Centrālā statistikas pārvalde</w:t>
            </w:r>
          </w:p>
        </w:tc>
      </w:tr>
      <w:tr w:rsidR="00DB3ECE" w:rsidRPr="00896E81" w14:paraId="759D098C" w14:textId="77777777" w:rsidTr="00AE7F31">
        <w:tc>
          <w:tcPr>
            <w:tcW w:w="1980" w:type="dxa"/>
          </w:tcPr>
          <w:p w14:paraId="145321A4" w14:textId="2FB93C7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EM</w:t>
            </w:r>
            <w:r w:rsidRPr="00896E81">
              <w:rPr>
                <w:rFonts w:ascii="Times New Roman" w:eastAsiaTheme="minorHAnsi" w:hAnsi="Times New Roman"/>
                <w:sz w:val="26"/>
                <w:szCs w:val="26"/>
              </w:rPr>
              <w:tab/>
            </w:r>
          </w:p>
        </w:tc>
        <w:tc>
          <w:tcPr>
            <w:tcW w:w="7268" w:type="dxa"/>
          </w:tcPr>
          <w:p w14:paraId="543E5057" w14:textId="69703FD9"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Ekonomikas ministrija</w:t>
            </w:r>
          </w:p>
        </w:tc>
      </w:tr>
      <w:tr w:rsidR="00DB3ECE" w:rsidRPr="00896E81" w14:paraId="4A11EA53" w14:textId="77777777" w:rsidTr="00AE7F31">
        <w:tc>
          <w:tcPr>
            <w:tcW w:w="1980" w:type="dxa"/>
          </w:tcPr>
          <w:p w14:paraId="291C35C0" w14:textId="520AAE03"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FKTK</w:t>
            </w:r>
          </w:p>
        </w:tc>
        <w:tc>
          <w:tcPr>
            <w:tcW w:w="7268" w:type="dxa"/>
          </w:tcPr>
          <w:p w14:paraId="3A46D2CE" w14:textId="7CE52CF6"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Finanšu un kapitāla tirgus komisija</w:t>
            </w:r>
          </w:p>
        </w:tc>
      </w:tr>
      <w:tr w:rsidR="00DB3ECE" w:rsidRPr="00896E81" w14:paraId="0C585884" w14:textId="77777777" w:rsidTr="00AE7F31">
        <w:tc>
          <w:tcPr>
            <w:tcW w:w="1980" w:type="dxa"/>
          </w:tcPr>
          <w:p w14:paraId="248427F0" w14:textId="3083FEA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IeM</w:t>
            </w:r>
          </w:p>
        </w:tc>
        <w:tc>
          <w:tcPr>
            <w:tcW w:w="7268" w:type="dxa"/>
          </w:tcPr>
          <w:p w14:paraId="7CFCE133" w14:textId="7E0619D9"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Iekšlietu ministrija</w:t>
            </w:r>
          </w:p>
        </w:tc>
      </w:tr>
      <w:tr w:rsidR="00DB3ECE" w:rsidRPr="00896E81" w14:paraId="570B3082" w14:textId="77777777" w:rsidTr="00AE7F31">
        <w:tc>
          <w:tcPr>
            <w:tcW w:w="1980" w:type="dxa"/>
          </w:tcPr>
          <w:p w14:paraId="3166DAFB" w14:textId="4D92A58D"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LB</w:t>
            </w:r>
            <w:r w:rsidRPr="00896E81">
              <w:rPr>
                <w:rFonts w:ascii="Times New Roman" w:eastAsiaTheme="minorHAnsi" w:hAnsi="Times New Roman"/>
                <w:sz w:val="26"/>
                <w:szCs w:val="26"/>
              </w:rPr>
              <w:tab/>
            </w:r>
          </w:p>
        </w:tc>
        <w:tc>
          <w:tcPr>
            <w:tcW w:w="7268" w:type="dxa"/>
          </w:tcPr>
          <w:p w14:paraId="51EB9DA2" w14:textId="6998BFAB"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Latvijas Banka</w:t>
            </w:r>
          </w:p>
        </w:tc>
      </w:tr>
      <w:tr w:rsidR="00DB3ECE" w:rsidRPr="00896E81" w14:paraId="16FAD683" w14:textId="77777777" w:rsidTr="00AE7F31">
        <w:tc>
          <w:tcPr>
            <w:tcW w:w="1980" w:type="dxa"/>
          </w:tcPr>
          <w:p w14:paraId="6350D134" w14:textId="3446912E"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MK</w:t>
            </w:r>
            <w:r w:rsidRPr="00896E81">
              <w:rPr>
                <w:rFonts w:ascii="Times New Roman" w:eastAsiaTheme="minorHAnsi" w:hAnsi="Times New Roman"/>
                <w:sz w:val="26"/>
                <w:szCs w:val="26"/>
              </w:rPr>
              <w:tab/>
            </w:r>
          </w:p>
        </w:tc>
        <w:tc>
          <w:tcPr>
            <w:tcW w:w="7268" w:type="dxa"/>
          </w:tcPr>
          <w:p w14:paraId="2E7699E6" w14:textId="1043FAD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Ministru kabinets</w:t>
            </w:r>
          </w:p>
        </w:tc>
      </w:tr>
      <w:tr w:rsidR="00DB3ECE" w:rsidRPr="00896E81" w14:paraId="331F3896" w14:textId="77777777" w:rsidTr="00AE7F31">
        <w:tc>
          <w:tcPr>
            <w:tcW w:w="1980" w:type="dxa"/>
          </w:tcPr>
          <w:p w14:paraId="30041DC8" w14:textId="407CF2F4"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PMLP</w:t>
            </w:r>
          </w:p>
        </w:tc>
        <w:tc>
          <w:tcPr>
            <w:tcW w:w="7268" w:type="dxa"/>
          </w:tcPr>
          <w:p w14:paraId="28F7525B" w14:textId="411FBEA9"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Pilsonības un migrācijas lietu pārvalde</w:t>
            </w:r>
          </w:p>
        </w:tc>
      </w:tr>
      <w:tr w:rsidR="00E12105" w:rsidRPr="00896E81" w14:paraId="402EBF1D" w14:textId="77777777" w:rsidTr="00AE7F31">
        <w:tc>
          <w:tcPr>
            <w:tcW w:w="1980" w:type="dxa"/>
          </w:tcPr>
          <w:p w14:paraId="4515E733" w14:textId="112B538F" w:rsidR="00E12105" w:rsidRPr="00896E81" w:rsidRDefault="00E12105"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PUA</w:t>
            </w:r>
          </w:p>
        </w:tc>
        <w:tc>
          <w:tcPr>
            <w:tcW w:w="7268" w:type="dxa"/>
          </w:tcPr>
          <w:p w14:paraId="7453714E" w14:textId="7A3A4925" w:rsidR="00E12105" w:rsidRPr="00896E81" w:rsidRDefault="00E12105"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pastāvīgās uzturēšanās atļauja</w:t>
            </w:r>
          </w:p>
        </w:tc>
      </w:tr>
      <w:tr w:rsidR="00DB3ECE" w:rsidRPr="00896E81" w14:paraId="7F80A8B7" w14:textId="77777777" w:rsidTr="00AE7F31">
        <w:tc>
          <w:tcPr>
            <w:tcW w:w="1980" w:type="dxa"/>
          </w:tcPr>
          <w:p w14:paraId="739EDCF2" w14:textId="22C768B0"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TUA</w:t>
            </w:r>
          </w:p>
        </w:tc>
        <w:tc>
          <w:tcPr>
            <w:tcW w:w="7268" w:type="dxa"/>
          </w:tcPr>
          <w:p w14:paraId="308F2B66" w14:textId="70EAC952"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termiņuzturēšanās atļauja</w:t>
            </w:r>
          </w:p>
        </w:tc>
      </w:tr>
      <w:tr w:rsidR="00AE7F31" w:rsidRPr="00896E81" w14:paraId="4028F771" w14:textId="77777777" w:rsidTr="00AE7F31">
        <w:tc>
          <w:tcPr>
            <w:tcW w:w="1980" w:type="dxa"/>
          </w:tcPr>
          <w:p w14:paraId="502495C0" w14:textId="4C4F531A" w:rsidR="00AE7F31" w:rsidRPr="00896E81" w:rsidRDefault="00AE7F31"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VDD</w:t>
            </w:r>
          </w:p>
        </w:tc>
        <w:tc>
          <w:tcPr>
            <w:tcW w:w="7268" w:type="dxa"/>
          </w:tcPr>
          <w:p w14:paraId="2691BDBE" w14:textId="37AE1F2B" w:rsidR="00AE7F31" w:rsidRPr="00896E81" w:rsidRDefault="00AE7F31"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Valsts drošības dienests</w:t>
            </w:r>
          </w:p>
        </w:tc>
      </w:tr>
      <w:tr w:rsidR="00DB3ECE" w:rsidRPr="00896E81" w14:paraId="3C50802A" w14:textId="77777777" w:rsidTr="00AE7F31">
        <w:tc>
          <w:tcPr>
            <w:tcW w:w="1980" w:type="dxa"/>
          </w:tcPr>
          <w:p w14:paraId="750DA22E" w14:textId="6A63C912"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VID</w:t>
            </w:r>
          </w:p>
        </w:tc>
        <w:tc>
          <w:tcPr>
            <w:tcW w:w="7268" w:type="dxa"/>
          </w:tcPr>
          <w:p w14:paraId="2713C3EF" w14:textId="42E3CDB6"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Valsts ieņēmumu dienests</w:t>
            </w:r>
          </w:p>
        </w:tc>
      </w:tr>
      <w:tr w:rsidR="00DB3ECE" w:rsidRPr="00896E81" w14:paraId="3A250403" w14:textId="77777777" w:rsidTr="00AE7F31">
        <w:tc>
          <w:tcPr>
            <w:tcW w:w="1980" w:type="dxa"/>
          </w:tcPr>
          <w:p w14:paraId="37F7EE68" w14:textId="5F12D85D"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VZD</w:t>
            </w:r>
          </w:p>
        </w:tc>
        <w:tc>
          <w:tcPr>
            <w:tcW w:w="7268" w:type="dxa"/>
          </w:tcPr>
          <w:p w14:paraId="3D81DDC1" w14:textId="43CD87CC"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Valsts zemes dienests</w:t>
            </w:r>
          </w:p>
        </w:tc>
      </w:tr>
      <w:tr w:rsidR="00DB3ECE" w:rsidRPr="00896E81" w14:paraId="42B9905D" w14:textId="77777777" w:rsidTr="00AE7F31">
        <w:tc>
          <w:tcPr>
            <w:tcW w:w="1980" w:type="dxa"/>
          </w:tcPr>
          <w:p w14:paraId="55520F4A" w14:textId="344165AA" w:rsidR="00DB3ECE" w:rsidRPr="00896E81" w:rsidRDefault="00DB3ECE" w:rsidP="008C4F1A">
            <w:pPr>
              <w:spacing w:before="120"/>
              <w:jc w:val="both"/>
              <w:rPr>
                <w:rFonts w:ascii="Times New Roman" w:eastAsiaTheme="minorHAnsi" w:hAnsi="Times New Roman"/>
                <w:b/>
                <w:sz w:val="26"/>
                <w:szCs w:val="26"/>
              </w:rPr>
            </w:pPr>
            <w:r w:rsidRPr="00896E81">
              <w:rPr>
                <w:rFonts w:ascii="Times New Roman" w:eastAsiaTheme="minorHAnsi" w:hAnsi="Times New Roman"/>
                <w:sz w:val="26"/>
                <w:szCs w:val="26"/>
              </w:rPr>
              <w:t>Zemesgrāmata</w:t>
            </w:r>
          </w:p>
        </w:tc>
        <w:tc>
          <w:tcPr>
            <w:tcW w:w="7268" w:type="dxa"/>
          </w:tcPr>
          <w:p w14:paraId="48215B54" w14:textId="577B9526" w:rsidR="00DB3ECE" w:rsidRPr="00896E81" w:rsidRDefault="00DB3ECE" w:rsidP="008C4F1A">
            <w:pPr>
              <w:spacing w:before="120"/>
              <w:jc w:val="both"/>
              <w:rPr>
                <w:rFonts w:ascii="Times New Roman" w:eastAsiaTheme="minorHAnsi" w:hAnsi="Times New Roman"/>
                <w:sz w:val="26"/>
                <w:szCs w:val="26"/>
              </w:rPr>
            </w:pPr>
            <w:r w:rsidRPr="00896E81">
              <w:rPr>
                <w:rFonts w:ascii="Times New Roman" w:eastAsiaTheme="minorHAnsi" w:hAnsi="Times New Roman"/>
                <w:sz w:val="26"/>
                <w:szCs w:val="26"/>
              </w:rPr>
              <w:t>Valsts vienotā datorizētā zemesgrāmata</w:t>
            </w:r>
          </w:p>
        </w:tc>
      </w:tr>
    </w:tbl>
    <w:p w14:paraId="474C90B4" w14:textId="77777777" w:rsidR="00DB3ECE" w:rsidRPr="008C4F1A" w:rsidRDefault="00DB3ECE" w:rsidP="008C4F1A">
      <w:pPr>
        <w:spacing w:before="120"/>
        <w:jc w:val="both"/>
        <w:rPr>
          <w:rFonts w:ascii="Times New Roman" w:eastAsiaTheme="minorHAnsi" w:hAnsi="Times New Roman"/>
          <w:b/>
          <w:sz w:val="24"/>
          <w:szCs w:val="24"/>
        </w:rPr>
      </w:pPr>
    </w:p>
    <w:p w14:paraId="29E91E6E" w14:textId="0447E1C2" w:rsidR="00DB3ECE" w:rsidRDefault="00DB3ECE">
      <w:pPr>
        <w:rPr>
          <w:rFonts w:ascii="Times New Roman" w:hAnsi="Times New Roman"/>
          <w:b/>
          <w:sz w:val="28"/>
          <w:szCs w:val="28"/>
          <w:highlight w:val="yellow"/>
        </w:rPr>
      </w:pPr>
      <w:r>
        <w:rPr>
          <w:rFonts w:ascii="Times New Roman" w:hAnsi="Times New Roman"/>
          <w:b/>
          <w:sz w:val="28"/>
          <w:szCs w:val="28"/>
          <w:highlight w:val="yellow"/>
        </w:rPr>
        <w:br w:type="page"/>
      </w:r>
    </w:p>
    <w:p w14:paraId="49E2D99A" w14:textId="77777777" w:rsidR="009B10A4" w:rsidRPr="0082447D" w:rsidRDefault="009B10A4" w:rsidP="00450767">
      <w:pPr>
        <w:spacing w:after="120"/>
        <w:rPr>
          <w:rFonts w:ascii="Times New Roman" w:hAnsi="Times New Roman"/>
          <w:b/>
          <w:sz w:val="26"/>
          <w:szCs w:val="26"/>
          <w:highlight w:val="yellow"/>
        </w:rPr>
      </w:pPr>
    </w:p>
    <w:p w14:paraId="1EC2CD6D" w14:textId="280013FA" w:rsidR="00806ECC" w:rsidRPr="004F0A59" w:rsidRDefault="00806ECC" w:rsidP="00450767">
      <w:pPr>
        <w:spacing w:after="120"/>
        <w:ind w:firstLine="567"/>
        <w:jc w:val="both"/>
        <w:rPr>
          <w:rFonts w:ascii="Times New Roman" w:hAnsi="Times New Roman"/>
          <w:sz w:val="26"/>
          <w:szCs w:val="26"/>
        </w:rPr>
      </w:pPr>
      <w:r w:rsidRPr="00CF5A9E">
        <w:rPr>
          <w:rFonts w:ascii="Times New Roman" w:hAnsi="Times New Roman"/>
          <w:sz w:val="26"/>
          <w:szCs w:val="26"/>
        </w:rPr>
        <w:t>Informatīvais ziņojums (turpmāk – ziņojums) ietver ziņojumu, secinājumus, kā arī sešus pielikumus – 1) Termiņu</w:t>
      </w:r>
      <w:r w:rsidR="00AE1ADE" w:rsidRPr="00CF5A9E">
        <w:rPr>
          <w:rFonts w:ascii="Times New Roman" w:hAnsi="Times New Roman"/>
          <w:sz w:val="26"/>
          <w:szCs w:val="26"/>
        </w:rPr>
        <w:t>zturēšanās atļauju dinamika 20</w:t>
      </w:r>
      <w:r w:rsidR="00C83B49">
        <w:rPr>
          <w:rFonts w:ascii="Times New Roman" w:hAnsi="Times New Roman"/>
          <w:sz w:val="26"/>
          <w:szCs w:val="26"/>
        </w:rPr>
        <w:t>10</w:t>
      </w:r>
      <w:r w:rsidR="00AE1ADE" w:rsidRPr="00CF5A9E">
        <w:rPr>
          <w:rFonts w:ascii="Times New Roman" w:hAnsi="Times New Roman"/>
          <w:sz w:val="26"/>
          <w:szCs w:val="26"/>
        </w:rPr>
        <w:t>.-20</w:t>
      </w:r>
      <w:r w:rsidR="00C83B49">
        <w:rPr>
          <w:rFonts w:ascii="Times New Roman" w:hAnsi="Times New Roman"/>
          <w:sz w:val="26"/>
          <w:szCs w:val="26"/>
        </w:rPr>
        <w:t>20</w:t>
      </w:r>
      <w:r w:rsidRPr="00CF5A9E">
        <w:rPr>
          <w:rFonts w:ascii="Times New Roman" w:hAnsi="Times New Roman"/>
          <w:sz w:val="26"/>
          <w:szCs w:val="26"/>
        </w:rPr>
        <w:t>.gadā; 2) Investīcijas nekustamajos īpašumos; 3) Finanšu investīcijas kredītiestādēs, kapitālsabiedrību pamatkapitālos un izsniegtās termiņuzturēšanās atļaujas saskaņā ar Imigrācijas likuma 23.panta pirmās daļas 3.punktu; 4) 01.07.2010.-3</w:t>
      </w:r>
      <w:r w:rsidR="00C83B49">
        <w:rPr>
          <w:rFonts w:ascii="Times New Roman" w:hAnsi="Times New Roman"/>
          <w:sz w:val="26"/>
          <w:szCs w:val="26"/>
        </w:rPr>
        <w:t>1.12.2020</w:t>
      </w:r>
      <w:r w:rsidRPr="00CF5A9E">
        <w:rPr>
          <w:rFonts w:ascii="Times New Roman" w:hAnsi="Times New Roman"/>
          <w:sz w:val="26"/>
          <w:szCs w:val="26"/>
        </w:rPr>
        <w:t xml:space="preserve">. termiņuzturēšanās atļauju pieteicēju iegādāto nekustamo īpašumu atrašanās vieta un vidējā vērtība; 5) Ar termiņuzturēšanās atļauju saņēmējiem saistīto uzņēmumu nomaksātie nodokļi; </w:t>
      </w:r>
      <w:r w:rsidRPr="004F0A59">
        <w:rPr>
          <w:rFonts w:ascii="Times New Roman" w:hAnsi="Times New Roman"/>
          <w:sz w:val="26"/>
          <w:szCs w:val="26"/>
        </w:rPr>
        <w:t>6) Ar investīciju programmu saistītie grozījumi Imigrācijas likuma 23.panta pirmās daļas 28., 29., 30. un 31.punktā</w:t>
      </w:r>
      <w:r w:rsidR="00B94BD0" w:rsidRPr="004F0A59">
        <w:rPr>
          <w:rFonts w:ascii="Times New Roman" w:hAnsi="Times New Roman"/>
          <w:sz w:val="26"/>
          <w:szCs w:val="26"/>
        </w:rPr>
        <w:t>.</w:t>
      </w:r>
    </w:p>
    <w:p w14:paraId="324F9854" w14:textId="6B05CF4D" w:rsidR="009B10A4" w:rsidRPr="009C59F2" w:rsidRDefault="008C4A16" w:rsidP="00450767">
      <w:pPr>
        <w:spacing w:after="120"/>
        <w:ind w:firstLine="567"/>
        <w:jc w:val="both"/>
        <w:rPr>
          <w:rFonts w:ascii="Times New Roman" w:hAnsi="Times New Roman"/>
          <w:sz w:val="26"/>
          <w:szCs w:val="26"/>
        </w:rPr>
      </w:pPr>
      <w:r w:rsidRPr="009C59F2">
        <w:rPr>
          <w:rFonts w:ascii="Times New Roman" w:hAnsi="Times New Roman"/>
          <w:sz w:val="26"/>
          <w:szCs w:val="26"/>
        </w:rPr>
        <w:t xml:space="preserve">Ziņojumā aplūkota </w:t>
      </w:r>
      <w:r w:rsidR="00DB3ECE">
        <w:rPr>
          <w:rFonts w:ascii="Times New Roman" w:hAnsi="Times New Roman"/>
          <w:sz w:val="26"/>
          <w:szCs w:val="26"/>
        </w:rPr>
        <w:t>TUA</w:t>
      </w:r>
      <w:r w:rsidRPr="009C59F2">
        <w:rPr>
          <w:rFonts w:ascii="Times New Roman" w:hAnsi="Times New Roman"/>
          <w:sz w:val="26"/>
          <w:szCs w:val="26"/>
        </w:rPr>
        <w:t xml:space="preserve"> piešķiršanas dinamika un ar TUA saistīto ārvalstu investīciju loma kopējā ārvalstu investīciju ieplūdē, kā arī ārvalstu investoru sadalījums pēc valstiskās piederības, sevišķu uzmanību pievērošot pēdējam ziņojuma pārskata periodam no 201</w:t>
      </w:r>
      <w:r w:rsidR="00C83B49">
        <w:rPr>
          <w:rFonts w:ascii="Times New Roman" w:hAnsi="Times New Roman"/>
          <w:sz w:val="26"/>
          <w:szCs w:val="26"/>
        </w:rPr>
        <w:t>9</w:t>
      </w:r>
      <w:r w:rsidRPr="009C59F2">
        <w:rPr>
          <w:rFonts w:ascii="Times New Roman" w:hAnsi="Times New Roman"/>
          <w:sz w:val="26"/>
          <w:szCs w:val="26"/>
        </w:rPr>
        <w:t xml:space="preserve">.gada 1.jūlija līdz </w:t>
      </w:r>
      <w:r w:rsidR="00C83B49">
        <w:rPr>
          <w:rFonts w:ascii="Times New Roman" w:hAnsi="Times New Roman"/>
          <w:sz w:val="26"/>
          <w:szCs w:val="26"/>
        </w:rPr>
        <w:t>2020.gada 31.decembrim</w:t>
      </w:r>
      <w:r w:rsidRPr="009C59F2">
        <w:rPr>
          <w:rFonts w:ascii="Times New Roman" w:hAnsi="Times New Roman"/>
          <w:sz w:val="26"/>
          <w:szCs w:val="26"/>
        </w:rPr>
        <w:t xml:space="preserve">. Detalizēti analizēts katrs no TUA saņemšanas veidiem – ieguldījumi kapitālsabiedrību pamatkapitālā, investīcijas nekustamajos īpašumos, finanšu investīcijas kredītiestādē un valsts vērtspapīru iegāde. Ziņojumā sniegts attiecīgo Imigrācijas likuma normu ietekmes izvērtējums uz tautsaimniecības reālo sektoru, finanšu sektoru, valsts budžetu un sabiedrības attīstību kopumā, sniegta informācija arī par atkārtotu TUA un </w:t>
      </w:r>
      <w:r w:rsidR="00C55003">
        <w:rPr>
          <w:rFonts w:ascii="Times New Roman" w:hAnsi="Times New Roman"/>
          <w:sz w:val="26"/>
          <w:szCs w:val="26"/>
        </w:rPr>
        <w:t>PUA</w:t>
      </w:r>
      <w:r w:rsidRPr="009C59F2">
        <w:rPr>
          <w:rFonts w:ascii="Times New Roman" w:hAnsi="Times New Roman"/>
          <w:sz w:val="26"/>
          <w:szCs w:val="26"/>
        </w:rPr>
        <w:t xml:space="preserve"> pieprasīšanas tendencēm tiem ārzemniekiem, kuri Latvijas Republikā ar TUA atļauju uzturējušies jau piecus gadus.</w:t>
      </w:r>
    </w:p>
    <w:p w14:paraId="2021EF4E" w14:textId="3B403665" w:rsidR="0022212B" w:rsidRDefault="0022212B" w:rsidP="00FB4946">
      <w:pPr>
        <w:spacing w:after="120"/>
        <w:ind w:firstLine="567"/>
        <w:jc w:val="both"/>
        <w:rPr>
          <w:rFonts w:ascii="Times New Roman" w:hAnsi="Times New Roman"/>
          <w:sz w:val="26"/>
          <w:szCs w:val="26"/>
        </w:rPr>
      </w:pPr>
      <w:r w:rsidRPr="00AF658B">
        <w:rPr>
          <w:rFonts w:ascii="Times New Roman" w:hAnsi="Times New Roman"/>
          <w:sz w:val="26"/>
          <w:szCs w:val="26"/>
        </w:rPr>
        <w:t xml:space="preserve">Ziņojuma sagatavošanā izmantoti Pilsonības un migrācijas lietu pārvaldes, Ekonomikas ministrijas, Latvijas Bankas, Valsts ieņēmumu dienesta, Valsts zemes dienesta, Centrālās statistikas pārvaldes, Valsts vienotās datorizētās zemesgrāmatas  un SIA “CREFO Rating” dati, kā arī </w:t>
      </w:r>
      <w:r w:rsidRPr="0031215F">
        <w:rPr>
          <w:rFonts w:ascii="Times New Roman" w:hAnsi="Times New Roman"/>
          <w:sz w:val="26"/>
          <w:szCs w:val="26"/>
        </w:rPr>
        <w:t xml:space="preserve">pašvaldību (Rīgas Domes un Jelgavas pilsētas), Finanšu un kapitāla tirgus komisijas, </w:t>
      </w:r>
      <w:r w:rsidRPr="0022212B">
        <w:rPr>
          <w:rFonts w:ascii="Times New Roman" w:hAnsi="Times New Roman"/>
          <w:sz w:val="26"/>
          <w:szCs w:val="26"/>
        </w:rPr>
        <w:t>akciju sabiedrība</w:t>
      </w:r>
      <w:r>
        <w:rPr>
          <w:rFonts w:ascii="Times New Roman" w:hAnsi="Times New Roman"/>
          <w:sz w:val="26"/>
          <w:szCs w:val="26"/>
        </w:rPr>
        <w:t>s</w:t>
      </w:r>
      <w:r w:rsidRPr="0022212B">
        <w:rPr>
          <w:rFonts w:ascii="Times New Roman" w:hAnsi="Times New Roman"/>
          <w:sz w:val="26"/>
          <w:szCs w:val="26"/>
        </w:rPr>
        <w:t xml:space="preserve"> “Attīstības finanšu institūcija Altum”</w:t>
      </w:r>
      <w:r>
        <w:rPr>
          <w:rFonts w:ascii="Times New Roman" w:hAnsi="Times New Roman"/>
          <w:sz w:val="26"/>
          <w:szCs w:val="26"/>
        </w:rPr>
        <w:t xml:space="preserve"> </w:t>
      </w:r>
      <w:r w:rsidRPr="0031215F">
        <w:rPr>
          <w:rFonts w:ascii="Times New Roman" w:hAnsi="Times New Roman"/>
          <w:sz w:val="26"/>
          <w:szCs w:val="26"/>
        </w:rPr>
        <w:t>viedoklis un SIA “Latio” publicētā informācija.</w:t>
      </w:r>
    </w:p>
    <w:p w14:paraId="750D01CC" w14:textId="74A3B67A" w:rsidR="00FF58A0" w:rsidRPr="0082447D" w:rsidRDefault="00FB4946" w:rsidP="005B14E0">
      <w:pPr>
        <w:spacing w:after="120"/>
        <w:jc w:val="both"/>
        <w:rPr>
          <w:rFonts w:ascii="Times New Roman" w:hAnsi="Times New Roman"/>
          <w:sz w:val="26"/>
          <w:szCs w:val="26"/>
          <w:highlight w:val="yellow"/>
        </w:rPr>
      </w:pPr>
      <w:r w:rsidRPr="0082447D">
        <w:rPr>
          <w:rFonts w:ascii="Times New Roman" w:hAnsi="Times New Roman"/>
          <w:sz w:val="26"/>
          <w:szCs w:val="26"/>
          <w:highlight w:val="yellow"/>
        </w:rPr>
        <w:br w:type="page"/>
      </w:r>
      <w:bookmarkStart w:id="1" w:name="_Toc340050953"/>
    </w:p>
    <w:p w14:paraId="0F0AF3D0" w14:textId="5BB6DDA9" w:rsidR="00FF58A0" w:rsidRDefault="00457F17" w:rsidP="000E0613">
      <w:pPr>
        <w:spacing w:after="120"/>
        <w:jc w:val="center"/>
        <w:rPr>
          <w:rFonts w:ascii="Times New Roman" w:hAnsi="Times New Roman"/>
          <w:b/>
          <w:sz w:val="26"/>
          <w:szCs w:val="26"/>
        </w:rPr>
      </w:pPr>
      <w:r w:rsidRPr="000B6863">
        <w:rPr>
          <w:rFonts w:ascii="Times New Roman" w:hAnsi="Times New Roman"/>
          <w:b/>
          <w:sz w:val="26"/>
          <w:szCs w:val="26"/>
        </w:rPr>
        <w:t>TUA izsniegšanas ietvaros piesaistīto investīciju dinamika</w:t>
      </w:r>
    </w:p>
    <w:p w14:paraId="0B052593" w14:textId="77777777" w:rsidR="00A41BAA" w:rsidRDefault="00A41BAA" w:rsidP="000E0613">
      <w:pPr>
        <w:spacing w:after="120"/>
        <w:jc w:val="center"/>
        <w:rPr>
          <w:rFonts w:ascii="Times New Roman" w:hAnsi="Times New Roman"/>
          <w:b/>
          <w:sz w:val="26"/>
          <w:szCs w:val="26"/>
        </w:rPr>
      </w:pPr>
    </w:p>
    <w:p w14:paraId="278F9331" w14:textId="7094D781" w:rsidR="0088300F" w:rsidRPr="00C21A43" w:rsidRDefault="00875B13" w:rsidP="0088300F">
      <w:pPr>
        <w:spacing w:after="120"/>
        <w:ind w:firstLine="567"/>
        <w:jc w:val="both"/>
        <w:rPr>
          <w:rFonts w:ascii="Times New Roman" w:hAnsi="Times New Roman"/>
          <w:sz w:val="26"/>
          <w:szCs w:val="26"/>
        </w:rPr>
      </w:pPr>
      <w:bookmarkStart w:id="2" w:name="_Hlk25684015"/>
      <w:r w:rsidRPr="00C21A43">
        <w:rPr>
          <w:rFonts w:ascii="Times New Roman" w:hAnsi="Times New Roman"/>
          <w:sz w:val="26"/>
          <w:szCs w:val="26"/>
        </w:rPr>
        <w:t xml:space="preserve">Imigrācijas likuma 23.panta pirmās daļas 28., 29., 30. un 31.punkts paredz TUA izsniegšanu gadījumos, kad ārzemnieks veic investīcijas Latvijas tautsaimniecībā – investīcijas nekustamajā īpašumā, uzņēmējdarbībā (kapitālsabiedrības pamatkapitālā) vai arī Latvijā reģistrētas kredītiestādes pakārtotajās saistībās (turpmāk – investīciju programma). No 2015.gada 1.janvāra uz investīciju programmu tiek attiecināts vēl viens investīciju veids – īpašam mērķim noteiktu bezprocentu valsts vērtspapīru iegāde par nominālvērtību 250 000 </w:t>
      </w:r>
      <w:r w:rsidRPr="00C21A43">
        <w:rPr>
          <w:rFonts w:ascii="Times New Roman" w:hAnsi="Times New Roman"/>
          <w:i/>
          <w:sz w:val="26"/>
          <w:szCs w:val="26"/>
        </w:rPr>
        <w:t>euro</w:t>
      </w:r>
      <w:r w:rsidRPr="00C21A43">
        <w:rPr>
          <w:rFonts w:ascii="Times New Roman" w:hAnsi="Times New Roman"/>
          <w:sz w:val="26"/>
          <w:szCs w:val="26"/>
        </w:rPr>
        <w:t xml:space="preserve"> (Imigrācijas likuma 23.panta pirmās daļas 31.punkts).</w:t>
      </w:r>
    </w:p>
    <w:bookmarkEnd w:id="2"/>
    <w:p w14:paraId="2D4C3400" w14:textId="0C26EF91" w:rsidR="00457F17" w:rsidRPr="000B6863" w:rsidRDefault="00457F17" w:rsidP="009A7D5E">
      <w:pPr>
        <w:spacing w:after="120"/>
        <w:ind w:firstLine="567"/>
        <w:jc w:val="both"/>
        <w:rPr>
          <w:rFonts w:ascii="Times New Roman" w:hAnsi="Times New Roman"/>
          <w:sz w:val="26"/>
          <w:szCs w:val="26"/>
        </w:rPr>
      </w:pPr>
      <w:r w:rsidRPr="000B6863">
        <w:rPr>
          <w:rFonts w:ascii="Times New Roman" w:hAnsi="Times New Roman"/>
          <w:sz w:val="26"/>
          <w:szCs w:val="26"/>
        </w:rPr>
        <w:t xml:space="preserve">Ziņojuma 1.pielikumā ir sniegta detalizētāka informācija par investoru un viņu ģimenes locekļu iesniegto pieteikumu skaitu, izsniegtajām un anulētajām </w:t>
      </w:r>
      <w:r w:rsidR="00531B66" w:rsidRPr="000B6863">
        <w:rPr>
          <w:rFonts w:ascii="Times New Roman" w:hAnsi="Times New Roman"/>
          <w:sz w:val="26"/>
          <w:szCs w:val="26"/>
        </w:rPr>
        <w:t>TUA</w:t>
      </w:r>
      <w:r w:rsidRPr="000B6863">
        <w:rPr>
          <w:rFonts w:ascii="Times New Roman" w:hAnsi="Times New Roman"/>
          <w:sz w:val="26"/>
          <w:szCs w:val="26"/>
        </w:rPr>
        <w:t xml:space="preserve"> un personu pilsonības valstīm.</w:t>
      </w:r>
    </w:p>
    <w:p w14:paraId="5F739E38" w14:textId="2B1C54E4" w:rsidR="00D91D92" w:rsidRPr="008B69BB" w:rsidRDefault="00AB3AEF" w:rsidP="00AD2B50">
      <w:pPr>
        <w:spacing w:after="120"/>
        <w:ind w:firstLine="567"/>
        <w:jc w:val="both"/>
        <w:rPr>
          <w:rFonts w:ascii="Times New Roman" w:hAnsi="Times New Roman"/>
          <w:sz w:val="26"/>
          <w:szCs w:val="26"/>
        </w:rPr>
      </w:pPr>
      <w:r w:rsidRPr="0040449E">
        <w:rPr>
          <w:rFonts w:ascii="Times New Roman" w:hAnsi="Times New Roman"/>
          <w:sz w:val="26"/>
          <w:szCs w:val="26"/>
        </w:rPr>
        <w:t>No 2010.gada 1.jūlija līdz 20</w:t>
      </w:r>
      <w:r w:rsidR="009E4566">
        <w:rPr>
          <w:rFonts w:ascii="Times New Roman" w:hAnsi="Times New Roman"/>
          <w:sz w:val="26"/>
          <w:szCs w:val="26"/>
        </w:rPr>
        <w:t>20</w:t>
      </w:r>
      <w:r w:rsidRPr="0040449E">
        <w:rPr>
          <w:rFonts w:ascii="Times New Roman" w:hAnsi="Times New Roman"/>
          <w:sz w:val="26"/>
          <w:szCs w:val="26"/>
        </w:rPr>
        <w:t>.gada 3</w:t>
      </w:r>
      <w:r w:rsidR="009E4566">
        <w:rPr>
          <w:rFonts w:ascii="Times New Roman" w:hAnsi="Times New Roman"/>
          <w:sz w:val="26"/>
          <w:szCs w:val="26"/>
        </w:rPr>
        <w:t>1.decembrim</w:t>
      </w:r>
      <w:r w:rsidRPr="0040449E">
        <w:rPr>
          <w:rFonts w:ascii="Times New Roman" w:hAnsi="Times New Roman"/>
          <w:sz w:val="26"/>
          <w:szCs w:val="26"/>
        </w:rPr>
        <w:t xml:space="preserve"> investīciju programmas ietvaros PMLP ir saņēmusi </w:t>
      </w:r>
      <w:r w:rsidR="00B91DCE" w:rsidRPr="0040449E">
        <w:rPr>
          <w:rFonts w:ascii="Times New Roman" w:hAnsi="Times New Roman"/>
          <w:sz w:val="26"/>
          <w:szCs w:val="26"/>
        </w:rPr>
        <w:t xml:space="preserve">19 </w:t>
      </w:r>
      <w:r w:rsidR="009E4566">
        <w:rPr>
          <w:rFonts w:ascii="Times New Roman" w:hAnsi="Times New Roman"/>
          <w:sz w:val="26"/>
          <w:szCs w:val="26"/>
        </w:rPr>
        <w:t>743 personu</w:t>
      </w:r>
      <w:r w:rsidRPr="0040449E">
        <w:rPr>
          <w:rFonts w:ascii="Times New Roman" w:hAnsi="Times New Roman"/>
          <w:sz w:val="26"/>
          <w:szCs w:val="26"/>
        </w:rPr>
        <w:t>, tajā skaitā 7</w:t>
      </w:r>
      <w:r w:rsidR="009E4566">
        <w:rPr>
          <w:rFonts w:ascii="Times New Roman" w:hAnsi="Times New Roman"/>
          <w:sz w:val="26"/>
          <w:szCs w:val="26"/>
        </w:rPr>
        <w:t> 909</w:t>
      </w:r>
      <w:r w:rsidR="0057383F" w:rsidRPr="0040449E">
        <w:rPr>
          <w:rFonts w:ascii="Times New Roman" w:hAnsi="Times New Roman"/>
          <w:sz w:val="26"/>
          <w:szCs w:val="26"/>
        </w:rPr>
        <w:t xml:space="preserve"> </w:t>
      </w:r>
      <w:r w:rsidRPr="0040449E">
        <w:rPr>
          <w:rFonts w:ascii="Times New Roman" w:hAnsi="Times New Roman"/>
          <w:sz w:val="26"/>
          <w:szCs w:val="26"/>
        </w:rPr>
        <w:t>investoru</w:t>
      </w:r>
      <w:r w:rsidR="0088300F">
        <w:rPr>
          <w:rFonts w:ascii="Times New Roman" w:hAnsi="Times New Roman"/>
          <w:sz w:val="26"/>
          <w:szCs w:val="26"/>
        </w:rPr>
        <w:t xml:space="preserve"> </w:t>
      </w:r>
      <w:r w:rsidRPr="0040449E">
        <w:rPr>
          <w:rFonts w:ascii="Times New Roman" w:hAnsi="Times New Roman"/>
          <w:sz w:val="26"/>
          <w:szCs w:val="26"/>
        </w:rPr>
        <w:t>un 1</w:t>
      </w:r>
      <w:r w:rsidR="009E4566">
        <w:rPr>
          <w:rFonts w:ascii="Times New Roman" w:hAnsi="Times New Roman"/>
          <w:sz w:val="26"/>
          <w:szCs w:val="26"/>
        </w:rPr>
        <w:t>1 834</w:t>
      </w:r>
      <w:r w:rsidRPr="0040449E">
        <w:rPr>
          <w:rFonts w:ascii="Times New Roman" w:hAnsi="Times New Roman"/>
          <w:sz w:val="26"/>
          <w:szCs w:val="26"/>
        </w:rPr>
        <w:t xml:space="preserve"> viņu ģimenes locekļu, iesniegumus TUA pieprasīša</w:t>
      </w:r>
      <w:r w:rsidR="0063254D" w:rsidRPr="0040449E">
        <w:rPr>
          <w:rFonts w:ascii="Times New Roman" w:hAnsi="Times New Roman"/>
          <w:sz w:val="26"/>
          <w:szCs w:val="26"/>
        </w:rPr>
        <w:t>nai. Šajā laika posmā izsniegta</w:t>
      </w:r>
      <w:r w:rsidR="00AE1ADE" w:rsidRPr="0040449E">
        <w:rPr>
          <w:rFonts w:ascii="Times New Roman" w:hAnsi="Times New Roman"/>
          <w:sz w:val="26"/>
          <w:szCs w:val="26"/>
        </w:rPr>
        <w:t>s</w:t>
      </w:r>
      <w:r w:rsidRPr="0040449E">
        <w:rPr>
          <w:rFonts w:ascii="Times New Roman" w:hAnsi="Times New Roman"/>
          <w:sz w:val="26"/>
          <w:szCs w:val="26"/>
        </w:rPr>
        <w:t xml:space="preserve"> 1</w:t>
      </w:r>
      <w:r w:rsidR="009E4566">
        <w:rPr>
          <w:rFonts w:ascii="Times New Roman" w:hAnsi="Times New Roman"/>
          <w:sz w:val="26"/>
          <w:szCs w:val="26"/>
        </w:rPr>
        <w:t>9 047</w:t>
      </w:r>
      <w:r w:rsidRPr="0040449E">
        <w:rPr>
          <w:rFonts w:ascii="Times New Roman" w:hAnsi="Times New Roman"/>
          <w:sz w:val="26"/>
          <w:szCs w:val="26"/>
        </w:rPr>
        <w:t xml:space="preserve"> TUA</w:t>
      </w:r>
      <w:r w:rsidR="00AD2B50" w:rsidRPr="0040449E">
        <w:rPr>
          <w:rFonts w:ascii="Times New Roman" w:hAnsi="Times New Roman"/>
          <w:sz w:val="26"/>
          <w:szCs w:val="26"/>
        </w:rPr>
        <w:t xml:space="preserve">. No 2010.gada 1.jūlija </w:t>
      </w:r>
      <w:r w:rsidR="009E4566">
        <w:rPr>
          <w:rFonts w:ascii="Times New Roman" w:hAnsi="Times New Roman"/>
          <w:sz w:val="26"/>
          <w:szCs w:val="26"/>
        </w:rPr>
        <w:t>186</w:t>
      </w:r>
      <w:r w:rsidR="0040449E" w:rsidRPr="0040449E">
        <w:rPr>
          <w:rFonts w:ascii="Times New Roman" w:hAnsi="Times New Roman"/>
          <w:sz w:val="26"/>
          <w:szCs w:val="26"/>
        </w:rPr>
        <w:t xml:space="preserve"> investoriem</w:t>
      </w:r>
      <w:r w:rsidRPr="0040449E">
        <w:rPr>
          <w:rFonts w:ascii="Times New Roman" w:hAnsi="Times New Roman"/>
          <w:sz w:val="26"/>
          <w:szCs w:val="26"/>
        </w:rPr>
        <w:t xml:space="preserve"> TUA izsniegšana atteikta, bet anulētas </w:t>
      </w:r>
      <w:r w:rsidR="0040449E" w:rsidRPr="0040449E">
        <w:rPr>
          <w:rFonts w:ascii="Times New Roman" w:hAnsi="Times New Roman"/>
          <w:sz w:val="26"/>
          <w:szCs w:val="26"/>
        </w:rPr>
        <w:t>16</w:t>
      </w:r>
      <w:r w:rsidR="008D14A6">
        <w:rPr>
          <w:rFonts w:ascii="Times New Roman" w:hAnsi="Times New Roman"/>
          <w:sz w:val="26"/>
          <w:szCs w:val="26"/>
        </w:rPr>
        <w:t>72</w:t>
      </w:r>
      <w:r w:rsidR="0040449E" w:rsidRPr="0040449E">
        <w:rPr>
          <w:rFonts w:ascii="Times New Roman" w:hAnsi="Times New Roman"/>
          <w:sz w:val="26"/>
          <w:szCs w:val="26"/>
        </w:rPr>
        <w:t xml:space="preserve"> </w:t>
      </w:r>
      <w:r w:rsidR="0040449E" w:rsidRPr="008B69BB">
        <w:rPr>
          <w:rFonts w:ascii="Times New Roman" w:hAnsi="Times New Roman"/>
          <w:sz w:val="26"/>
          <w:szCs w:val="26"/>
        </w:rPr>
        <w:t>investoriem izsniegtās</w:t>
      </w:r>
      <w:r w:rsidRPr="008B69BB">
        <w:rPr>
          <w:rFonts w:ascii="Times New Roman" w:hAnsi="Times New Roman"/>
          <w:sz w:val="26"/>
          <w:szCs w:val="26"/>
        </w:rPr>
        <w:t xml:space="preserve"> TUA</w:t>
      </w:r>
      <w:r w:rsidR="00D91D92" w:rsidRPr="008B69BB">
        <w:rPr>
          <w:rFonts w:ascii="Times New Roman" w:hAnsi="Times New Roman"/>
          <w:sz w:val="26"/>
          <w:szCs w:val="26"/>
        </w:rPr>
        <w:t>.</w:t>
      </w:r>
    </w:p>
    <w:p w14:paraId="7189A95A" w14:textId="1ED30A35" w:rsidR="00AB3AEF" w:rsidRPr="008B69BB" w:rsidRDefault="00AB3AEF" w:rsidP="00AD2B50">
      <w:pPr>
        <w:spacing w:after="120"/>
        <w:ind w:firstLine="567"/>
        <w:jc w:val="both"/>
        <w:rPr>
          <w:rFonts w:ascii="Times New Roman" w:hAnsi="Times New Roman"/>
          <w:sz w:val="26"/>
          <w:szCs w:val="26"/>
        </w:rPr>
      </w:pPr>
      <w:r w:rsidRPr="008B69BB">
        <w:rPr>
          <w:rFonts w:ascii="Times New Roman" w:hAnsi="Times New Roman"/>
          <w:sz w:val="26"/>
          <w:szCs w:val="26"/>
        </w:rPr>
        <w:t>Nerezidentu ieguldījumi, kas saistīti ar TUA saņemšanu, no 2010.gada 1.jūlija līdz 20</w:t>
      </w:r>
      <w:r w:rsidR="00CF4CFD" w:rsidRPr="008B69BB">
        <w:rPr>
          <w:rFonts w:ascii="Times New Roman" w:hAnsi="Times New Roman"/>
          <w:sz w:val="26"/>
          <w:szCs w:val="26"/>
        </w:rPr>
        <w:t>20</w:t>
      </w:r>
      <w:r w:rsidRPr="008B69BB">
        <w:rPr>
          <w:rFonts w:ascii="Times New Roman" w:hAnsi="Times New Roman"/>
          <w:sz w:val="26"/>
          <w:szCs w:val="26"/>
        </w:rPr>
        <w:t xml:space="preserve">.gada </w:t>
      </w:r>
      <w:r w:rsidR="00AD2B50" w:rsidRPr="008B69BB">
        <w:rPr>
          <w:rFonts w:ascii="Times New Roman" w:hAnsi="Times New Roman"/>
          <w:sz w:val="26"/>
          <w:szCs w:val="26"/>
        </w:rPr>
        <w:t>3</w:t>
      </w:r>
      <w:r w:rsidR="00F63E80" w:rsidRPr="008B69BB">
        <w:rPr>
          <w:rFonts w:ascii="Times New Roman" w:hAnsi="Times New Roman"/>
          <w:sz w:val="26"/>
          <w:szCs w:val="26"/>
        </w:rPr>
        <w:t>1</w:t>
      </w:r>
      <w:r w:rsidRPr="008B69BB">
        <w:rPr>
          <w:rFonts w:ascii="Times New Roman" w:hAnsi="Times New Roman"/>
          <w:sz w:val="26"/>
          <w:szCs w:val="26"/>
        </w:rPr>
        <w:t>.</w:t>
      </w:r>
      <w:r w:rsidR="00F63E80" w:rsidRPr="008B69BB">
        <w:rPr>
          <w:rFonts w:ascii="Times New Roman" w:hAnsi="Times New Roman"/>
          <w:sz w:val="26"/>
          <w:szCs w:val="26"/>
        </w:rPr>
        <w:t>decembrim</w:t>
      </w:r>
      <w:r w:rsidRPr="008B69BB">
        <w:rPr>
          <w:rFonts w:ascii="Times New Roman" w:hAnsi="Times New Roman"/>
          <w:sz w:val="26"/>
          <w:szCs w:val="26"/>
        </w:rPr>
        <w:t xml:space="preserve"> bija 1,</w:t>
      </w:r>
      <w:r w:rsidR="00C21A43" w:rsidRPr="008B69BB">
        <w:rPr>
          <w:rFonts w:ascii="Times New Roman" w:hAnsi="Times New Roman"/>
          <w:sz w:val="26"/>
          <w:szCs w:val="26"/>
        </w:rPr>
        <w:t>5</w:t>
      </w:r>
      <w:r w:rsidR="00F63E80" w:rsidRPr="008B69BB">
        <w:rPr>
          <w:rFonts w:ascii="Times New Roman" w:hAnsi="Times New Roman"/>
          <w:sz w:val="26"/>
          <w:szCs w:val="26"/>
        </w:rPr>
        <w:t>5</w:t>
      </w:r>
      <w:r w:rsidR="00572B43" w:rsidRPr="008B69BB">
        <w:rPr>
          <w:rFonts w:ascii="Times New Roman" w:hAnsi="Times New Roman"/>
          <w:sz w:val="26"/>
          <w:szCs w:val="26"/>
        </w:rPr>
        <w:t xml:space="preserve"> </w:t>
      </w:r>
      <w:r w:rsidRPr="008B69BB">
        <w:rPr>
          <w:rFonts w:ascii="Times New Roman" w:hAnsi="Times New Roman"/>
          <w:sz w:val="26"/>
          <w:szCs w:val="26"/>
        </w:rPr>
        <w:t xml:space="preserve">mljrd. </w:t>
      </w:r>
      <w:r w:rsidRPr="008B69BB">
        <w:rPr>
          <w:rFonts w:ascii="Times New Roman" w:hAnsi="Times New Roman"/>
          <w:i/>
          <w:sz w:val="26"/>
          <w:szCs w:val="26"/>
        </w:rPr>
        <w:t>euro</w:t>
      </w:r>
      <w:r w:rsidR="00457F17" w:rsidRPr="008B69BB">
        <w:rPr>
          <w:rFonts w:ascii="Times New Roman" w:hAnsi="Times New Roman"/>
          <w:i/>
          <w:sz w:val="26"/>
          <w:szCs w:val="26"/>
        </w:rPr>
        <w:t xml:space="preserve"> </w:t>
      </w:r>
      <w:r w:rsidR="00457F17" w:rsidRPr="008B69BB">
        <w:rPr>
          <w:rFonts w:ascii="Times New Roman" w:hAnsi="Times New Roman"/>
          <w:sz w:val="26"/>
          <w:szCs w:val="26"/>
        </w:rPr>
        <w:t>(skatīt 1.tabulu)</w:t>
      </w:r>
      <w:r w:rsidRPr="008B69BB">
        <w:rPr>
          <w:rFonts w:ascii="Times New Roman" w:hAnsi="Times New Roman"/>
          <w:sz w:val="26"/>
          <w:szCs w:val="26"/>
        </w:rPr>
        <w:t xml:space="preserve">. </w:t>
      </w:r>
    </w:p>
    <w:p w14:paraId="14C14E00" w14:textId="411B7D0C" w:rsidR="0088300F" w:rsidRPr="008B69BB" w:rsidRDefault="00AB3AEF" w:rsidP="00593F91">
      <w:pPr>
        <w:ind w:firstLine="567"/>
        <w:jc w:val="both"/>
        <w:rPr>
          <w:rFonts w:ascii="Times New Roman" w:hAnsi="Times New Roman"/>
          <w:sz w:val="26"/>
          <w:szCs w:val="26"/>
        </w:rPr>
      </w:pPr>
      <w:bookmarkStart w:id="3" w:name="_Hlk61966767"/>
      <w:r w:rsidRPr="008B69BB">
        <w:rPr>
          <w:rFonts w:ascii="Times New Roman" w:hAnsi="Times New Roman"/>
          <w:sz w:val="26"/>
          <w:szCs w:val="26"/>
        </w:rPr>
        <w:t>No kopumā investīciju programmas ietvaros ieguldītajiem līdzekļiem no 2010.gada 1.jūlija līdz 20</w:t>
      </w:r>
      <w:r w:rsidR="006C7021" w:rsidRPr="008B69BB">
        <w:rPr>
          <w:rFonts w:ascii="Times New Roman" w:hAnsi="Times New Roman"/>
          <w:sz w:val="26"/>
          <w:szCs w:val="26"/>
        </w:rPr>
        <w:t>20</w:t>
      </w:r>
      <w:r w:rsidR="00A33526" w:rsidRPr="008B69BB">
        <w:rPr>
          <w:rFonts w:ascii="Times New Roman" w:hAnsi="Times New Roman"/>
          <w:sz w:val="26"/>
          <w:szCs w:val="26"/>
        </w:rPr>
        <w:t xml:space="preserve">.gada </w:t>
      </w:r>
      <w:r w:rsidR="000656B6" w:rsidRPr="008B69BB">
        <w:rPr>
          <w:rFonts w:ascii="Times New Roman" w:hAnsi="Times New Roman"/>
          <w:sz w:val="26"/>
          <w:szCs w:val="26"/>
        </w:rPr>
        <w:t>3</w:t>
      </w:r>
      <w:r w:rsidR="00F63E80" w:rsidRPr="008B69BB">
        <w:rPr>
          <w:rFonts w:ascii="Times New Roman" w:hAnsi="Times New Roman"/>
          <w:sz w:val="26"/>
          <w:szCs w:val="26"/>
        </w:rPr>
        <w:t>1</w:t>
      </w:r>
      <w:r w:rsidR="000656B6" w:rsidRPr="008B69BB">
        <w:rPr>
          <w:rFonts w:ascii="Times New Roman" w:hAnsi="Times New Roman"/>
          <w:sz w:val="26"/>
          <w:szCs w:val="26"/>
        </w:rPr>
        <w:t>.</w:t>
      </w:r>
      <w:r w:rsidR="00F63E80" w:rsidRPr="008B69BB">
        <w:rPr>
          <w:rFonts w:ascii="Times New Roman" w:hAnsi="Times New Roman"/>
          <w:sz w:val="26"/>
          <w:szCs w:val="26"/>
        </w:rPr>
        <w:t>decembrim</w:t>
      </w:r>
      <w:r w:rsidR="000656B6" w:rsidRPr="008B69BB">
        <w:rPr>
          <w:rFonts w:ascii="Times New Roman" w:hAnsi="Times New Roman"/>
          <w:sz w:val="26"/>
          <w:szCs w:val="26"/>
        </w:rPr>
        <w:t xml:space="preserve"> 8</w:t>
      </w:r>
      <w:r w:rsidR="006C7021" w:rsidRPr="008B69BB">
        <w:rPr>
          <w:rFonts w:ascii="Times New Roman" w:hAnsi="Times New Roman"/>
          <w:sz w:val="26"/>
          <w:szCs w:val="26"/>
        </w:rPr>
        <w:t>3</w:t>
      </w:r>
      <w:r w:rsidRPr="008B69BB">
        <w:rPr>
          <w:rFonts w:ascii="Times New Roman" w:hAnsi="Times New Roman"/>
          <w:sz w:val="26"/>
          <w:szCs w:val="26"/>
        </w:rPr>
        <w:t>% jeb 1,</w:t>
      </w:r>
      <w:r w:rsidR="000656B6" w:rsidRPr="008B69BB">
        <w:rPr>
          <w:rFonts w:ascii="Times New Roman" w:hAnsi="Times New Roman"/>
          <w:sz w:val="26"/>
          <w:szCs w:val="26"/>
        </w:rPr>
        <w:t>2</w:t>
      </w:r>
      <w:r w:rsidR="00F63E80" w:rsidRPr="008B69BB">
        <w:rPr>
          <w:rFonts w:ascii="Times New Roman" w:hAnsi="Times New Roman"/>
          <w:sz w:val="26"/>
          <w:szCs w:val="26"/>
        </w:rPr>
        <w:t>9</w:t>
      </w:r>
      <w:r w:rsidRPr="008B69BB">
        <w:rPr>
          <w:rFonts w:ascii="Times New Roman" w:hAnsi="Times New Roman"/>
          <w:sz w:val="26"/>
          <w:szCs w:val="26"/>
        </w:rPr>
        <w:t xml:space="preserve"> mljrd. </w:t>
      </w:r>
      <w:r w:rsidRPr="008B69BB">
        <w:rPr>
          <w:rFonts w:ascii="Times New Roman" w:hAnsi="Times New Roman"/>
          <w:i/>
          <w:sz w:val="26"/>
          <w:szCs w:val="26"/>
        </w:rPr>
        <w:t>euro</w:t>
      </w:r>
      <w:r w:rsidRPr="008B69BB">
        <w:rPr>
          <w:rFonts w:ascii="Times New Roman" w:hAnsi="Times New Roman"/>
          <w:sz w:val="26"/>
          <w:szCs w:val="26"/>
        </w:rPr>
        <w:t xml:space="preserve"> ir saistīti ar darījumiem Latvijas nekustamā īpašuma tirgū. Pēc kopējā apjoma otrie lielākie ieguldījumi, kas uzrādīti TUA saņemšanai, ir ieguldījumi kredītiestāžu pakārtotajās saistībās (1</w:t>
      </w:r>
      <w:r w:rsidR="00A33526" w:rsidRPr="008B69BB">
        <w:rPr>
          <w:rFonts w:ascii="Times New Roman" w:hAnsi="Times New Roman"/>
          <w:sz w:val="26"/>
          <w:szCs w:val="26"/>
        </w:rPr>
        <w:t>0</w:t>
      </w:r>
      <w:r w:rsidR="00F63E80" w:rsidRPr="008B69BB">
        <w:rPr>
          <w:rFonts w:ascii="Times New Roman" w:hAnsi="Times New Roman"/>
          <w:sz w:val="26"/>
          <w:szCs w:val="26"/>
        </w:rPr>
        <w:t>%</w:t>
      </w:r>
      <w:r w:rsidRPr="008B69BB">
        <w:rPr>
          <w:rFonts w:ascii="Times New Roman" w:hAnsi="Times New Roman"/>
          <w:sz w:val="26"/>
          <w:szCs w:val="26"/>
        </w:rPr>
        <w:t xml:space="preserve"> jeb 15</w:t>
      </w:r>
      <w:r w:rsidR="000656B6" w:rsidRPr="008B69BB">
        <w:rPr>
          <w:rFonts w:ascii="Times New Roman" w:hAnsi="Times New Roman"/>
          <w:sz w:val="26"/>
          <w:szCs w:val="26"/>
        </w:rPr>
        <w:t>8</w:t>
      </w:r>
      <w:r w:rsidRPr="008B69BB">
        <w:rPr>
          <w:rFonts w:ascii="Times New Roman" w:hAnsi="Times New Roman"/>
          <w:sz w:val="26"/>
          <w:szCs w:val="26"/>
        </w:rPr>
        <w:t xml:space="preserve"> milj. </w:t>
      </w:r>
      <w:r w:rsidRPr="008B69BB">
        <w:rPr>
          <w:rFonts w:ascii="Times New Roman" w:hAnsi="Times New Roman"/>
          <w:i/>
          <w:sz w:val="26"/>
          <w:szCs w:val="26"/>
        </w:rPr>
        <w:t xml:space="preserve">euro </w:t>
      </w:r>
      <w:r w:rsidRPr="008B69BB">
        <w:rPr>
          <w:rFonts w:ascii="Times New Roman" w:hAnsi="Times New Roman"/>
          <w:sz w:val="26"/>
          <w:szCs w:val="26"/>
        </w:rPr>
        <w:t xml:space="preserve">no visiem ieguldījumiem), savukārt attiecinātie ieguldījumi kapitālsabiedrību pamatkapitālā veido tikai </w:t>
      </w:r>
      <w:r w:rsidR="00C21A43" w:rsidRPr="008B69BB">
        <w:rPr>
          <w:rFonts w:ascii="Times New Roman" w:hAnsi="Times New Roman"/>
          <w:sz w:val="26"/>
          <w:szCs w:val="26"/>
        </w:rPr>
        <w:t>6</w:t>
      </w:r>
      <w:r w:rsidRPr="008B69BB">
        <w:rPr>
          <w:rFonts w:ascii="Times New Roman" w:hAnsi="Times New Roman"/>
          <w:sz w:val="26"/>
          <w:szCs w:val="26"/>
        </w:rPr>
        <w:t xml:space="preserve">% </w:t>
      </w:r>
      <w:bookmarkStart w:id="4" w:name="_Hlk24647761"/>
      <w:r w:rsidRPr="008B69BB">
        <w:rPr>
          <w:rFonts w:ascii="Times New Roman" w:hAnsi="Times New Roman"/>
          <w:sz w:val="26"/>
          <w:szCs w:val="26"/>
        </w:rPr>
        <w:t xml:space="preserve">(jeb </w:t>
      </w:r>
      <w:r w:rsidR="00C21A43" w:rsidRPr="008B69BB">
        <w:rPr>
          <w:rFonts w:ascii="Times New Roman" w:hAnsi="Times New Roman"/>
          <w:sz w:val="26"/>
          <w:szCs w:val="26"/>
        </w:rPr>
        <w:t>9</w:t>
      </w:r>
      <w:r w:rsidR="006C7021" w:rsidRPr="008B69BB">
        <w:rPr>
          <w:rFonts w:ascii="Times New Roman" w:hAnsi="Times New Roman"/>
          <w:sz w:val="26"/>
          <w:szCs w:val="26"/>
        </w:rPr>
        <w:t>2</w:t>
      </w:r>
      <w:r w:rsidR="00C21A43" w:rsidRPr="008B69BB">
        <w:rPr>
          <w:rFonts w:ascii="Times New Roman" w:hAnsi="Times New Roman"/>
          <w:sz w:val="26"/>
          <w:szCs w:val="26"/>
        </w:rPr>
        <w:t>,</w:t>
      </w:r>
      <w:r w:rsidR="00F63E80" w:rsidRPr="008B69BB">
        <w:rPr>
          <w:rFonts w:ascii="Times New Roman" w:hAnsi="Times New Roman"/>
          <w:sz w:val="26"/>
          <w:szCs w:val="26"/>
        </w:rPr>
        <w:t>7</w:t>
      </w:r>
      <w:r w:rsidRPr="008B69BB">
        <w:rPr>
          <w:rFonts w:ascii="Times New Roman" w:hAnsi="Times New Roman"/>
          <w:sz w:val="26"/>
          <w:szCs w:val="26"/>
        </w:rPr>
        <w:t xml:space="preserve"> milj. </w:t>
      </w:r>
      <w:r w:rsidRPr="008B69BB">
        <w:rPr>
          <w:rFonts w:ascii="Times New Roman" w:hAnsi="Times New Roman"/>
          <w:i/>
          <w:sz w:val="26"/>
          <w:szCs w:val="26"/>
        </w:rPr>
        <w:t>euro</w:t>
      </w:r>
      <w:r w:rsidRPr="008B69BB">
        <w:rPr>
          <w:rFonts w:ascii="Times New Roman" w:hAnsi="Times New Roman"/>
          <w:sz w:val="26"/>
          <w:szCs w:val="26"/>
        </w:rPr>
        <w:t xml:space="preserve">) </w:t>
      </w:r>
      <w:bookmarkEnd w:id="4"/>
      <w:r w:rsidRPr="008B69BB">
        <w:rPr>
          <w:rFonts w:ascii="Times New Roman" w:hAnsi="Times New Roman"/>
          <w:sz w:val="26"/>
          <w:szCs w:val="26"/>
        </w:rPr>
        <w:t xml:space="preserve">no kopējām veiktajām investīcijām attiecīgajā periodā. Īpašam mērķim noteiktu bezprocentu valsts vērtspapīru iegādē no 2015.gada 1.janvāra ieguldīti </w:t>
      </w:r>
      <w:r w:rsidR="00F63E80" w:rsidRPr="008B69BB">
        <w:rPr>
          <w:rFonts w:ascii="Times New Roman" w:hAnsi="Times New Roman"/>
          <w:sz w:val="26"/>
          <w:szCs w:val="26"/>
        </w:rPr>
        <w:t>11,5</w:t>
      </w:r>
      <w:r w:rsidRPr="008B69BB">
        <w:rPr>
          <w:rFonts w:ascii="Times New Roman" w:hAnsi="Times New Roman"/>
          <w:sz w:val="26"/>
          <w:szCs w:val="26"/>
        </w:rPr>
        <w:t xml:space="preserve"> milj. </w:t>
      </w:r>
      <w:r w:rsidRPr="008B69BB">
        <w:rPr>
          <w:rFonts w:ascii="Times New Roman" w:hAnsi="Times New Roman"/>
          <w:i/>
          <w:sz w:val="26"/>
          <w:szCs w:val="26"/>
        </w:rPr>
        <w:t>euro</w:t>
      </w:r>
      <w:r w:rsidRPr="008B69BB">
        <w:rPr>
          <w:rFonts w:ascii="Times New Roman" w:hAnsi="Times New Roman"/>
          <w:sz w:val="26"/>
          <w:szCs w:val="26"/>
        </w:rPr>
        <w:t xml:space="preserve"> jeb </w:t>
      </w:r>
      <w:r w:rsidR="00C8715C" w:rsidRPr="008B69BB">
        <w:rPr>
          <w:rFonts w:ascii="Times New Roman" w:hAnsi="Times New Roman"/>
          <w:sz w:val="26"/>
          <w:szCs w:val="26"/>
        </w:rPr>
        <w:t xml:space="preserve">nepilnu </w:t>
      </w:r>
      <w:r w:rsidR="00F63E80" w:rsidRPr="008B69BB">
        <w:rPr>
          <w:rFonts w:ascii="Times New Roman" w:hAnsi="Times New Roman"/>
          <w:sz w:val="26"/>
          <w:szCs w:val="26"/>
        </w:rPr>
        <w:t>1</w:t>
      </w:r>
      <w:r w:rsidRPr="008B69BB">
        <w:rPr>
          <w:rFonts w:ascii="Times New Roman" w:hAnsi="Times New Roman"/>
          <w:sz w:val="26"/>
          <w:szCs w:val="26"/>
        </w:rPr>
        <w:t>% no kopējā investīciju apjoma.</w:t>
      </w:r>
    </w:p>
    <w:bookmarkEnd w:id="3"/>
    <w:p w14:paraId="6FC2B86B" w14:textId="77777777" w:rsidR="004D0520" w:rsidRPr="0088300F" w:rsidRDefault="004D0520" w:rsidP="00593F91">
      <w:pPr>
        <w:spacing w:before="120" w:after="120"/>
        <w:jc w:val="right"/>
        <w:rPr>
          <w:rFonts w:ascii="Times New Roman" w:hAnsi="Times New Roman"/>
          <w:sz w:val="24"/>
          <w:szCs w:val="24"/>
        </w:rPr>
      </w:pPr>
      <w:r w:rsidRPr="008B69BB">
        <w:rPr>
          <w:rFonts w:ascii="Times New Roman" w:hAnsi="Times New Roman"/>
          <w:sz w:val="24"/>
          <w:szCs w:val="24"/>
        </w:rPr>
        <w:t>1.tabula</w:t>
      </w:r>
    </w:p>
    <w:p w14:paraId="1C29D144" w14:textId="77777777" w:rsidR="004D0520" w:rsidRPr="00C21A43" w:rsidRDefault="004D0520" w:rsidP="00A33526">
      <w:pPr>
        <w:spacing w:after="120"/>
        <w:jc w:val="center"/>
        <w:rPr>
          <w:rFonts w:ascii="Times New Roman" w:hAnsi="Times New Roman"/>
          <w:b/>
          <w:sz w:val="24"/>
          <w:szCs w:val="24"/>
        </w:rPr>
      </w:pPr>
      <w:r w:rsidRPr="0088300F">
        <w:rPr>
          <w:rFonts w:ascii="Times New Roman" w:hAnsi="Times New Roman"/>
          <w:b/>
          <w:sz w:val="24"/>
          <w:szCs w:val="24"/>
        </w:rPr>
        <w:t>Kopējais investīciju apjoms (</w:t>
      </w:r>
      <w:r w:rsidR="009A727C" w:rsidRPr="0088300F">
        <w:rPr>
          <w:rFonts w:ascii="Times New Roman" w:hAnsi="Times New Roman"/>
          <w:b/>
          <w:sz w:val="24"/>
          <w:szCs w:val="24"/>
        </w:rPr>
        <w:t xml:space="preserve">tūkst., </w:t>
      </w:r>
      <w:r w:rsidRPr="0088300F">
        <w:rPr>
          <w:rFonts w:ascii="Times New Roman" w:hAnsi="Times New Roman"/>
          <w:b/>
          <w:i/>
          <w:sz w:val="24"/>
          <w:szCs w:val="24"/>
        </w:rPr>
        <w:t>euro</w:t>
      </w:r>
      <w:r w:rsidRPr="0088300F">
        <w:rPr>
          <w:rFonts w:ascii="Times New Roman" w:hAnsi="Times New Roman"/>
          <w:b/>
          <w:sz w:val="24"/>
          <w:szCs w:val="24"/>
        </w:rPr>
        <w:t>)</w:t>
      </w:r>
    </w:p>
    <w:tbl>
      <w:tblPr>
        <w:tblStyle w:val="LightShading"/>
        <w:tblW w:w="9214" w:type="dxa"/>
        <w:tblLayout w:type="fixed"/>
        <w:tblLook w:val="04A0" w:firstRow="1" w:lastRow="0" w:firstColumn="1" w:lastColumn="0" w:noHBand="0" w:noVBand="1"/>
      </w:tblPr>
      <w:tblGrid>
        <w:gridCol w:w="1701"/>
        <w:gridCol w:w="1502"/>
        <w:gridCol w:w="1617"/>
        <w:gridCol w:w="1559"/>
        <w:gridCol w:w="1503"/>
        <w:gridCol w:w="1332"/>
      </w:tblGrid>
      <w:tr w:rsidR="00F07A7E" w:rsidRPr="00C21A43" w14:paraId="56E771D8" w14:textId="77777777" w:rsidTr="00EC2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B4DEE68" w14:textId="1C7717E4" w:rsidR="00F07A7E" w:rsidRPr="00C21A43" w:rsidRDefault="004D4660" w:rsidP="00982E5A">
            <w:pPr>
              <w:jc w:val="center"/>
              <w:rPr>
                <w:rFonts w:ascii="Times New Roman" w:hAnsi="Times New Roman"/>
                <w:color w:val="000000"/>
                <w:sz w:val="24"/>
                <w:szCs w:val="24"/>
                <w:lang w:eastAsia="en-GB"/>
              </w:rPr>
            </w:pPr>
            <w:r>
              <w:rPr>
                <w:rFonts w:ascii="Times New Roman" w:hAnsi="Times New Roman"/>
                <w:b w:val="0"/>
                <w:bCs w:val="0"/>
                <w:color w:val="000000"/>
                <w:sz w:val="24"/>
                <w:szCs w:val="24"/>
              </w:rPr>
              <w:t>Gads</w:t>
            </w:r>
          </w:p>
        </w:tc>
        <w:tc>
          <w:tcPr>
            <w:tcW w:w="1502" w:type="dxa"/>
            <w:vAlign w:val="center"/>
          </w:tcPr>
          <w:p w14:paraId="47BFB0F2"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Nekustamie īpašumi</w:t>
            </w:r>
          </w:p>
        </w:tc>
        <w:tc>
          <w:tcPr>
            <w:tcW w:w="1617" w:type="dxa"/>
            <w:vAlign w:val="center"/>
          </w:tcPr>
          <w:p w14:paraId="1FF4115A"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Kredītiestādes</w:t>
            </w:r>
          </w:p>
        </w:tc>
        <w:tc>
          <w:tcPr>
            <w:tcW w:w="1559" w:type="dxa"/>
            <w:vAlign w:val="center"/>
          </w:tcPr>
          <w:p w14:paraId="714A7093"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Kapitāl- sabiedrības</w:t>
            </w:r>
          </w:p>
        </w:tc>
        <w:tc>
          <w:tcPr>
            <w:tcW w:w="1503" w:type="dxa"/>
            <w:vAlign w:val="center"/>
          </w:tcPr>
          <w:p w14:paraId="4FCDB129"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000000"/>
                <w:sz w:val="24"/>
                <w:szCs w:val="24"/>
              </w:rPr>
            </w:pPr>
            <w:r w:rsidRPr="00C21A43">
              <w:rPr>
                <w:rFonts w:ascii="Times New Roman" w:hAnsi="Times New Roman"/>
                <w:b w:val="0"/>
                <w:bCs w:val="0"/>
                <w:color w:val="000000"/>
                <w:sz w:val="24"/>
                <w:szCs w:val="24"/>
              </w:rPr>
              <w:t>Valsts vērts-papīri</w:t>
            </w:r>
          </w:p>
        </w:tc>
        <w:tc>
          <w:tcPr>
            <w:tcW w:w="1332" w:type="dxa"/>
            <w:vAlign w:val="center"/>
          </w:tcPr>
          <w:p w14:paraId="2112522E" w14:textId="77777777" w:rsidR="00F07A7E" w:rsidRPr="00C21A43" w:rsidRDefault="00F07A7E" w:rsidP="00982E5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color w:val="000000"/>
                <w:sz w:val="24"/>
                <w:szCs w:val="24"/>
              </w:rPr>
            </w:pPr>
            <w:r w:rsidRPr="00C21A43">
              <w:rPr>
                <w:rFonts w:ascii="Times New Roman" w:hAnsi="Times New Roman"/>
                <w:bCs w:val="0"/>
                <w:color w:val="000000"/>
                <w:sz w:val="24"/>
                <w:szCs w:val="24"/>
              </w:rPr>
              <w:t>Kopā</w:t>
            </w:r>
          </w:p>
        </w:tc>
      </w:tr>
      <w:tr w:rsidR="00F07A7E" w:rsidRPr="00C21A43" w14:paraId="72071824"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8076215" w14:textId="60CFD0E9"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2010</w:t>
            </w:r>
            <w:r w:rsidR="004D4660">
              <w:rPr>
                <w:rFonts w:ascii="Times New Roman" w:hAnsi="Times New Roman"/>
                <w:color w:val="000000"/>
                <w:sz w:val="24"/>
                <w:szCs w:val="24"/>
              </w:rPr>
              <w:t xml:space="preserve"> </w:t>
            </w:r>
            <w:r w:rsidRPr="00C21A43">
              <w:rPr>
                <w:rFonts w:ascii="Times New Roman" w:hAnsi="Times New Roman"/>
                <w:color w:val="000000"/>
                <w:sz w:val="24"/>
                <w:szCs w:val="24"/>
              </w:rPr>
              <w:t>II p</w:t>
            </w:r>
            <w:r w:rsidR="004D4660">
              <w:rPr>
                <w:rFonts w:ascii="Times New Roman" w:hAnsi="Times New Roman"/>
                <w:color w:val="000000"/>
                <w:sz w:val="24"/>
                <w:szCs w:val="24"/>
              </w:rPr>
              <w:t>u</w:t>
            </w:r>
            <w:r w:rsidRPr="00C21A43">
              <w:rPr>
                <w:rFonts w:ascii="Times New Roman" w:hAnsi="Times New Roman"/>
                <w:color w:val="000000"/>
                <w:sz w:val="24"/>
                <w:szCs w:val="24"/>
              </w:rPr>
              <w:t>sg.</w:t>
            </w:r>
          </w:p>
        </w:tc>
        <w:tc>
          <w:tcPr>
            <w:tcW w:w="1502" w:type="dxa"/>
            <w:vAlign w:val="center"/>
          </w:tcPr>
          <w:p w14:paraId="1E4A87B6"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15 843</w:t>
            </w:r>
          </w:p>
        </w:tc>
        <w:tc>
          <w:tcPr>
            <w:tcW w:w="1617" w:type="dxa"/>
            <w:vAlign w:val="center"/>
          </w:tcPr>
          <w:p w14:paraId="2C4520EB"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12 283</w:t>
            </w:r>
          </w:p>
        </w:tc>
        <w:tc>
          <w:tcPr>
            <w:tcW w:w="1559" w:type="dxa"/>
            <w:vAlign w:val="center"/>
          </w:tcPr>
          <w:p w14:paraId="730C9C01"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305</w:t>
            </w:r>
          </w:p>
        </w:tc>
        <w:tc>
          <w:tcPr>
            <w:tcW w:w="1503" w:type="dxa"/>
            <w:vAlign w:val="center"/>
          </w:tcPr>
          <w:p w14:paraId="45C9BAE3"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67137F4A"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28 431</w:t>
            </w:r>
          </w:p>
        </w:tc>
      </w:tr>
      <w:tr w:rsidR="00F07A7E" w:rsidRPr="00C21A43" w14:paraId="761DFFF3" w14:textId="77777777" w:rsidTr="00EC2D4C">
        <w:tc>
          <w:tcPr>
            <w:cnfStyle w:val="001000000000" w:firstRow="0" w:lastRow="0" w:firstColumn="1" w:lastColumn="0" w:oddVBand="0" w:evenVBand="0" w:oddHBand="0" w:evenHBand="0" w:firstRowFirstColumn="0" w:firstRowLastColumn="0" w:lastRowFirstColumn="0" w:lastRowLastColumn="0"/>
            <w:tcW w:w="1701" w:type="dxa"/>
            <w:vAlign w:val="center"/>
          </w:tcPr>
          <w:p w14:paraId="15360A40" w14:textId="2B7631B1"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2011</w:t>
            </w:r>
          </w:p>
        </w:tc>
        <w:tc>
          <w:tcPr>
            <w:tcW w:w="1502" w:type="dxa"/>
            <w:vAlign w:val="center"/>
          </w:tcPr>
          <w:p w14:paraId="553405C0"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138 138</w:t>
            </w:r>
          </w:p>
        </w:tc>
        <w:tc>
          <w:tcPr>
            <w:tcW w:w="1617" w:type="dxa"/>
            <w:vAlign w:val="center"/>
          </w:tcPr>
          <w:p w14:paraId="47CD820C"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35 064</w:t>
            </w:r>
          </w:p>
        </w:tc>
        <w:tc>
          <w:tcPr>
            <w:tcW w:w="1559" w:type="dxa"/>
            <w:vAlign w:val="center"/>
          </w:tcPr>
          <w:p w14:paraId="3202E465"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3 641</w:t>
            </w:r>
          </w:p>
        </w:tc>
        <w:tc>
          <w:tcPr>
            <w:tcW w:w="1503" w:type="dxa"/>
            <w:vAlign w:val="center"/>
          </w:tcPr>
          <w:p w14:paraId="3400CEF5"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1E1065CC"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176 843</w:t>
            </w:r>
          </w:p>
        </w:tc>
      </w:tr>
      <w:tr w:rsidR="00F07A7E" w:rsidRPr="00C21A43" w14:paraId="01C1D558"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77F0F9FF" w14:textId="57E947D9"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2012</w:t>
            </w:r>
          </w:p>
        </w:tc>
        <w:tc>
          <w:tcPr>
            <w:tcW w:w="1502" w:type="dxa"/>
            <w:vAlign w:val="center"/>
          </w:tcPr>
          <w:p w14:paraId="72B39B0D"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207 650</w:t>
            </w:r>
          </w:p>
        </w:tc>
        <w:tc>
          <w:tcPr>
            <w:tcW w:w="1617" w:type="dxa"/>
            <w:vAlign w:val="center"/>
          </w:tcPr>
          <w:p w14:paraId="6F5045D2"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28 474</w:t>
            </w:r>
          </w:p>
        </w:tc>
        <w:tc>
          <w:tcPr>
            <w:tcW w:w="1559" w:type="dxa"/>
            <w:vAlign w:val="center"/>
          </w:tcPr>
          <w:p w14:paraId="75936C1E"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13 335</w:t>
            </w:r>
          </w:p>
        </w:tc>
        <w:tc>
          <w:tcPr>
            <w:tcW w:w="1503" w:type="dxa"/>
            <w:vAlign w:val="center"/>
          </w:tcPr>
          <w:p w14:paraId="33A7AB38"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4260419C"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249 459</w:t>
            </w:r>
          </w:p>
        </w:tc>
      </w:tr>
      <w:tr w:rsidR="00F07A7E" w:rsidRPr="00C21A43" w14:paraId="6E8AD6B3" w14:textId="77777777" w:rsidTr="00EC2D4C">
        <w:tc>
          <w:tcPr>
            <w:cnfStyle w:val="001000000000" w:firstRow="0" w:lastRow="0" w:firstColumn="1" w:lastColumn="0" w:oddVBand="0" w:evenVBand="0" w:oddHBand="0" w:evenHBand="0" w:firstRowFirstColumn="0" w:firstRowLastColumn="0" w:lastRowFirstColumn="0" w:lastRowLastColumn="0"/>
            <w:tcW w:w="1701" w:type="dxa"/>
            <w:vAlign w:val="center"/>
          </w:tcPr>
          <w:p w14:paraId="04223204" w14:textId="0B124B8E"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2013</w:t>
            </w:r>
          </w:p>
        </w:tc>
        <w:tc>
          <w:tcPr>
            <w:tcW w:w="1502" w:type="dxa"/>
            <w:vAlign w:val="center"/>
          </w:tcPr>
          <w:p w14:paraId="2EE57AE7"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296 583</w:t>
            </w:r>
          </w:p>
        </w:tc>
        <w:tc>
          <w:tcPr>
            <w:tcW w:w="1617" w:type="dxa"/>
            <w:vAlign w:val="center"/>
          </w:tcPr>
          <w:p w14:paraId="34A8CA46"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34 106</w:t>
            </w:r>
          </w:p>
        </w:tc>
        <w:tc>
          <w:tcPr>
            <w:tcW w:w="1559" w:type="dxa"/>
            <w:vAlign w:val="center"/>
          </w:tcPr>
          <w:p w14:paraId="4A64AC45"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29 300</w:t>
            </w:r>
          </w:p>
        </w:tc>
        <w:tc>
          <w:tcPr>
            <w:tcW w:w="1503" w:type="dxa"/>
            <w:vAlign w:val="center"/>
          </w:tcPr>
          <w:p w14:paraId="1331A42E"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7274310E"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359 989</w:t>
            </w:r>
          </w:p>
        </w:tc>
      </w:tr>
      <w:tr w:rsidR="00F07A7E" w:rsidRPr="00C21A43" w14:paraId="0E246A89"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5F5B9187" w14:textId="772CC1C3"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2014</w:t>
            </w:r>
          </w:p>
        </w:tc>
        <w:tc>
          <w:tcPr>
            <w:tcW w:w="1502" w:type="dxa"/>
            <w:vAlign w:val="center"/>
          </w:tcPr>
          <w:p w14:paraId="56EAD5A9"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397 315</w:t>
            </w:r>
          </w:p>
        </w:tc>
        <w:tc>
          <w:tcPr>
            <w:tcW w:w="1617" w:type="dxa"/>
            <w:vAlign w:val="center"/>
          </w:tcPr>
          <w:p w14:paraId="0A13AAA3"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31 328</w:t>
            </w:r>
          </w:p>
        </w:tc>
        <w:tc>
          <w:tcPr>
            <w:tcW w:w="1559" w:type="dxa"/>
            <w:vAlign w:val="center"/>
          </w:tcPr>
          <w:p w14:paraId="2F85D475" w14:textId="273E77B6"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AC6CC5">
              <w:rPr>
                <w:rFonts w:ascii="Times New Roman" w:hAnsi="Times New Roman"/>
                <w:color w:val="000000"/>
                <w:sz w:val="24"/>
                <w:szCs w:val="24"/>
              </w:rPr>
              <w:t>18 82</w:t>
            </w:r>
            <w:r w:rsidR="004C1663" w:rsidRPr="00AC6CC5">
              <w:rPr>
                <w:rFonts w:ascii="Times New Roman" w:hAnsi="Times New Roman"/>
                <w:color w:val="000000"/>
                <w:sz w:val="24"/>
                <w:szCs w:val="24"/>
              </w:rPr>
              <w:t>6</w:t>
            </w:r>
          </w:p>
        </w:tc>
        <w:tc>
          <w:tcPr>
            <w:tcW w:w="1503" w:type="dxa"/>
            <w:vAlign w:val="center"/>
          </w:tcPr>
          <w:p w14:paraId="3C344A8C"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w:t>
            </w:r>
          </w:p>
        </w:tc>
        <w:tc>
          <w:tcPr>
            <w:tcW w:w="1332" w:type="dxa"/>
            <w:vAlign w:val="center"/>
          </w:tcPr>
          <w:p w14:paraId="3D1C9F9F" w14:textId="285034E3"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447 46</w:t>
            </w:r>
            <w:r w:rsidR="004C1663">
              <w:rPr>
                <w:rFonts w:ascii="Times New Roman" w:hAnsi="Times New Roman"/>
                <w:b/>
                <w:bCs/>
                <w:color w:val="000000"/>
                <w:sz w:val="24"/>
                <w:szCs w:val="24"/>
              </w:rPr>
              <w:t>9</w:t>
            </w:r>
          </w:p>
        </w:tc>
      </w:tr>
      <w:tr w:rsidR="00F07A7E" w:rsidRPr="00C21A43" w14:paraId="7C03898B" w14:textId="77777777" w:rsidTr="004C1663">
        <w:trPr>
          <w:trHeight w:val="132"/>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617C018" w14:textId="21F961E1"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2015</w:t>
            </w:r>
          </w:p>
        </w:tc>
        <w:tc>
          <w:tcPr>
            <w:tcW w:w="1502" w:type="dxa"/>
            <w:vAlign w:val="center"/>
          </w:tcPr>
          <w:p w14:paraId="783126A4"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72 844</w:t>
            </w:r>
          </w:p>
        </w:tc>
        <w:tc>
          <w:tcPr>
            <w:tcW w:w="1617" w:type="dxa"/>
            <w:vAlign w:val="center"/>
          </w:tcPr>
          <w:p w14:paraId="10A45E30"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8 962</w:t>
            </w:r>
          </w:p>
        </w:tc>
        <w:tc>
          <w:tcPr>
            <w:tcW w:w="1559" w:type="dxa"/>
            <w:vAlign w:val="center"/>
          </w:tcPr>
          <w:p w14:paraId="0CBE0D9D" w14:textId="2D9E0C61"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AC6CC5">
              <w:rPr>
                <w:rFonts w:ascii="Times New Roman" w:hAnsi="Times New Roman"/>
                <w:color w:val="000000"/>
                <w:sz w:val="24"/>
                <w:szCs w:val="24"/>
              </w:rPr>
              <w:t>7 43</w:t>
            </w:r>
            <w:r w:rsidR="004C1663" w:rsidRPr="00AC6CC5">
              <w:rPr>
                <w:rFonts w:ascii="Times New Roman" w:hAnsi="Times New Roman"/>
                <w:color w:val="000000"/>
                <w:sz w:val="24"/>
                <w:szCs w:val="24"/>
              </w:rPr>
              <w:t>4</w:t>
            </w:r>
          </w:p>
        </w:tc>
        <w:tc>
          <w:tcPr>
            <w:tcW w:w="1503" w:type="dxa"/>
            <w:vAlign w:val="center"/>
          </w:tcPr>
          <w:p w14:paraId="721D0005" w14:textId="77777777" w:rsidR="00F07A7E" w:rsidRPr="00C21A43" w:rsidRDefault="0079208C"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w:t>
            </w:r>
            <w:r w:rsidR="00F07A7E" w:rsidRPr="00C21A43">
              <w:rPr>
                <w:rFonts w:ascii="Times New Roman" w:hAnsi="Times New Roman"/>
                <w:color w:val="000000"/>
                <w:sz w:val="24"/>
                <w:szCs w:val="24"/>
              </w:rPr>
              <w:t xml:space="preserve"> 250</w:t>
            </w:r>
          </w:p>
        </w:tc>
        <w:tc>
          <w:tcPr>
            <w:tcW w:w="1332" w:type="dxa"/>
            <w:vAlign w:val="center"/>
          </w:tcPr>
          <w:p w14:paraId="5D96C4AA" w14:textId="049BE6E8"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9</w:t>
            </w:r>
            <w:r w:rsidR="00F15B82" w:rsidRPr="00C21A43">
              <w:rPr>
                <w:rFonts w:ascii="Times New Roman" w:hAnsi="Times New Roman"/>
                <w:b/>
                <w:bCs/>
                <w:color w:val="000000"/>
                <w:sz w:val="24"/>
                <w:szCs w:val="24"/>
              </w:rPr>
              <w:t>0</w:t>
            </w:r>
            <w:r w:rsidRPr="00C21A43">
              <w:rPr>
                <w:rFonts w:ascii="Times New Roman" w:hAnsi="Times New Roman"/>
                <w:b/>
                <w:bCs/>
                <w:color w:val="000000"/>
                <w:sz w:val="24"/>
                <w:szCs w:val="24"/>
              </w:rPr>
              <w:t xml:space="preserve"> 4</w:t>
            </w:r>
            <w:r w:rsidR="004C1663">
              <w:rPr>
                <w:rFonts w:ascii="Times New Roman" w:hAnsi="Times New Roman"/>
                <w:b/>
                <w:bCs/>
                <w:color w:val="000000"/>
                <w:sz w:val="24"/>
                <w:szCs w:val="24"/>
              </w:rPr>
              <w:t>90</w:t>
            </w:r>
          </w:p>
        </w:tc>
      </w:tr>
      <w:tr w:rsidR="00F07A7E" w:rsidRPr="00C21A43" w14:paraId="0A2A13F6" w14:textId="77777777" w:rsidTr="00EC2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2EC086E5" w14:textId="77777777"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2016</w:t>
            </w:r>
          </w:p>
        </w:tc>
        <w:tc>
          <w:tcPr>
            <w:tcW w:w="1502" w:type="dxa"/>
            <w:vAlign w:val="center"/>
          </w:tcPr>
          <w:p w14:paraId="2B03BA29"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50 706</w:t>
            </w:r>
          </w:p>
        </w:tc>
        <w:tc>
          <w:tcPr>
            <w:tcW w:w="1617" w:type="dxa"/>
            <w:vAlign w:val="center"/>
          </w:tcPr>
          <w:p w14:paraId="49098EDC" w14:textId="5101FC25"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w:t>
            </w:r>
            <w:r w:rsidR="000C4C55">
              <w:rPr>
                <w:rFonts w:ascii="Times New Roman" w:hAnsi="Times New Roman"/>
                <w:color w:val="000000"/>
                <w:sz w:val="24"/>
                <w:szCs w:val="24"/>
              </w:rPr>
              <w:t> </w:t>
            </w:r>
            <w:r w:rsidRPr="00C21A43">
              <w:rPr>
                <w:rFonts w:ascii="Times New Roman" w:hAnsi="Times New Roman"/>
                <w:color w:val="000000"/>
                <w:sz w:val="24"/>
                <w:szCs w:val="24"/>
              </w:rPr>
              <w:t>874</w:t>
            </w:r>
            <w:r w:rsidR="000C4C55">
              <w:rPr>
                <w:rFonts w:ascii="Times New Roman" w:hAnsi="Times New Roman"/>
                <w:color w:val="000000"/>
                <w:sz w:val="24"/>
                <w:szCs w:val="24"/>
              </w:rPr>
              <w:t xml:space="preserve"> </w:t>
            </w:r>
          </w:p>
        </w:tc>
        <w:tc>
          <w:tcPr>
            <w:tcW w:w="1559" w:type="dxa"/>
            <w:vAlign w:val="center"/>
          </w:tcPr>
          <w:p w14:paraId="0EBA7135"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3 195</w:t>
            </w:r>
          </w:p>
        </w:tc>
        <w:tc>
          <w:tcPr>
            <w:tcW w:w="1503" w:type="dxa"/>
            <w:vAlign w:val="center"/>
          </w:tcPr>
          <w:p w14:paraId="2195A538"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 xml:space="preserve">4 </w:t>
            </w:r>
            <w:r w:rsidR="0079208C" w:rsidRPr="00C21A43">
              <w:rPr>
                <w:rFonts w:ascii="Times New Roman" w:hAnsi="Times New Roman"/>
                <w:color w:val="000000"/>
                <w:sz w:val="24"/>
                <w:szCs w:val="24"/>
              </w:rPr>
              <w:t>7</w:t>
            </w:r>
            <w:r w:rsidRPr="00C21A43">
              <w:rPr>
                <w:rFonts w:ascii="Times New Roman" w:hAnsi="Times New Roman"/>
                <w:color w:val="000000"/>
                <w:sz w:val="24"/>
                <w:szCs w:val="24"/>
              </w:rPr>
              <w:t>50</w:t>
            </w:r>
          </w:p>
        </w:tc>
        <w:tc>
          <w:tcPr>
            <w:tcW w:w="1332" w:type="dxa"/>
            <w:vAlign w:val="center"/>
          </w:tcPr>
          <w:p w14:paraId="04F01A35" w14:textId="77777777" w:rsidR="00F07A7E" w:rsidRPr="00C21A43" w:rsidRDefault="00F07A7E" w:rsidP="00982E5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 xml:space="preserve">62 </w:t>
            </w:r>
            <w:r w:rsidR="00F15B82" w:rsidRPr="00C21A43">
              <w:rPr>
                <w:rFonts w:ascii="Times New Roman" w:hAnsi="Times New Roman"/>
                <w:b/>
                <w:bCs/>
                <w:color w:val="000000"/>
                <w:sz w:val="24"/>
                <w:szCs w:val="24"/>
              </w:rPr>
              <w:t>5</w:t>
            </w:r>
            <w:r w:rsidRPr="00C21A43">
              <w:rPr>
                <w:rFonts w:ascii="Times New Roman" w:hAnsi="Times New Roman"/>
                <w:b/>
                <w:bCs/>
                <w:color w:val="000000"/>
                <w:sz w:val="24"/>
                <w:szCs w:val="24"/>
              </w:rPr>
              <w:t>25</w:t>
            </w:r>
          </w:p>
        </w:tc>
      </w:tr>
      <w:tr w:rsidR="00F07A7E" w:rsidRPr="00C21A43" w14:paraId="00309560" w14:textId="77777777" w:rsidTr="00EC2D4C">
        <w:tc>
          <w:tcPr>
            <w:cnfStyle w:val="001000000000" w:firstRow="0" w:lastRow="0" w:firstColumn="1" w:lastColumn="0" w:oddVBand="0" w:evenVBand="0" w:oddHBand="0" w:evenHBand="0" w:firstRowFirstColumn="0" w:firstRowLastColumn="0" w:lastRowFirstColumn="0" w:lastRowLastColumn="0"/>
            <w:tcW w:w="1701" w:type="dxa"/>
            <w:vAlign w:val="center"/>
          </w:tcPr>
          <w:p w14:paraId="0B4C7A65" w14:textId="77777777" w:rsidR="00F07A7E" w:rsidRPr="00C21A43" w:rsidRDefault="00F07A7E" w:rsidP="002C0ACE">
            <w:pPr>
              <w:jc w:val="center"/>
              <w:rPr>
                <w:rFonts w:ascii="Times New Roman" w:hAnsi="Times New Roman"/>
                <w:b w:val="0"/>
                <w:bCs w:val="0"/>
                <w:color w:val="000000"/>
                <w:sz w:val="24"/>
                <w:szCs w:val="24"/>
              </w:rPr>
            </w:pPr>
            <w:r w:rsidRPr="00C21A43">
              <w:rPr>
                <w:rFonts w:ascii="Times New Roman" w:hAnsi="Times New Roman"/>
                <w:color w:val="000000"/>
                <w:sz w:val="24"/>
                <w:szCs w:val="24"/>
              </w:rPr>
              <w:t>2017</w:t>
            </w:r>
          </w:p>
        </w:tc>
        <w:tc>
          <w:tcPr>
            <w:tcW w:w="1502" w:type="dxa"/>
            <w:vAlign w:val="center"/>
          </w:tcPr>
          <w:p w14:paraId="100026BF"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28 266</w:t>
            </w:r>
          </w:p>
        </w:tc>
        <w:tc>
          <w:tcPr>
            <w:tcW w:w="1617" w:type="dxa"/>
            <w:vAlign w:val="center"/>
          </w:tcPr>
          <w:p w14:paraId="70DB2DBF"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3 565</w:t>
            </w:r>
          </w:p>
        </w:tc>
        <w:tc>
          <w:tcPr>
            <w:tcW w:w="1559" w:type="dxa"/>
            <w:vAlign w:val="center"/>
          </w:tcPr>
          <w:p w14:paraId="2376F9B7"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5 528</w:t>
            </w:r>
          </w:p>
        </w:tc>
        <w:tc>
          <w:tcPr>
            <w:tcW w:w="1503" w:type="dxa"/>
            <w:vAlign w:val="center"/>
          </w:tcPr>
          <w:p w14:paraId="2656A8BD" w14:textId="77777777" w:rsidR="00F07A7E" w:rsidRPr="00C21A43" w:rsidRDefault="0079208C"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 xml:space="preserve">2 </w:t>
            </w:r>
            <w:r w:rsidR="00F07A7E" w:rsidRPr="00C21A43">
              <w:rPr>
                <w:rFonts w:ascii="Times New Roman" w:hAnsi="Times New Roman"/>
                <w:color w:val="000000"/>
                <w:sz w:val="24"/>
                <w:szCs w:val="24"/>
              </w:rPr>
              <w:t>250</w:t>
            </w:r>
          </w:p>
        </w:tc>
        <w:tc>
          <w:tcPr>
            <w:tcW w:w="1332" w:type="dxa"/>
            <w:vAlign w:val="center"/>
          </w:tcPr>
          <w:p w14:paraId="65942A88" w14:textId="77777777" w:rsidR="00F07A7E" w:rsidRPr="00C21A43" w:rsidRDefault="00F07A7E" w:rsidP="00982E5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3</w:t>
            </w:r>
            <w:r w:rsidR="00F15B82" w:rsidRPr="00C21A43">
              <w:rPr>
                <w:rFonts w:ascii="Times New Roman" w:hAnsi="Times New Roman"/>
                <w:b/>
                <w:bCs/>
                <w:color w:val="000000"/>
                <w:sz w:val="24"/>
                <w:szCs w:val="24"/>
              </w:rPr>
              <w:t>9</w:t>
            </w:r>
            <w:r w:rsidRPr="00C21A43">
              <w:rPr>
                <w:rFonts w:ascii="Times New Roman" w:hAnsi="Times New Roman"/>
                <w:b/>
                <w:bCs/>
                <w:color w:val="000000"/>
                <w:sz w:val="24"/>
                <w:szCs w:val="24"/>
              </w:rPr>
              <w:t xml:space="preserve"> 609</w:t>
            </w:r>
          </w:p>
        </w:tc>
      </w:tr>
      <w:tr w:rsidR="00F07A7E" w:rsidRPr="00C21A43" w14:paraId="6D69ECA8" w14:textId="77777777" w:rsidTr="00C9515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62DF41EA" w14:textId="07C56BA6" w:rsidR="00F07A7E" w:rsidRPr="00C21A43" w:rsidRDefault="00740A51" w:rsidP="00C9515D">
            <w:pPr>
              <w:jc w:val="center"/>
              <w:rPr>
                <w:rFonts w:ascii="Times New Roman" w:hAnsi="Times New Roman"/>
                <w:b w:val="0"/>
                <w:bCs w:val="0"/>
                <w:color w:val="000000"/>
                <w:sz w:val="24"/>
                <w:szCs w:val="24"/>
              </w:rPr>
            </w:pPr>
            <w:r w:rsidRPr="00C21A43">
              <w:rPr>
                <w:rFonts w:ascii="Times New Roman" w:hAnsi="Times New Roman"/>
                <w:color w:val="000000"/>
                <w:sz w:val="24"/>
                <w:szCs w:val="24"/>
              </w:rPr>
              <w:t>2018</w:t>
            </w:r>
          </w:p>
        </w:tc>
        <w:tc>
          <w:tcPr>
            <w:tcW w:w="1502" w:type="dxa"/>
            <w:vAlign w:val="center"/>
          </w:tcPr>
          <w:p w14:paraId="29F09723" w14:textId="1EDAD4D2" w:rsidR="00F07A7E" w:rsidRPr="00C21A43" w:rsidRDefault="005E0682"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28 220</w:t>
            </w:r>
          </w:p>
        </w:tc>
        <w:tc>
          <w:tcPr>
            <w:tcW w:w="1617" w:type="dxa"/>
            <w:vAlign w:val="center"/>
          </w:tcPr>
          <w:p w14:paraId="0DE2D583" w14:textId="01952E35" w:rsidR="00F07A7E" w:rsidRPr="00C21A43" w:rsidRDefault="005E0682"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6</w:t>
            </w:r>
            <w:r w:rsidR="00F07A7E" w:rsidRPr="00C21A43">
              <w:rPr>
                <w:rFonts w:ascii="Times New Roman" w:hAnsi="Times New Roman"/>
                <w:color w:val="000000"/>
                <w:sz w:val="24"/>
                <w:szCs w:val="24"/>
              </w:rPr>
              <w:t xml:space="preserve"> 25</w:t>
            </w:r>
          </w:p>
        </w:tc>
        <w:tc>
          <w:tcPr>
            <w:tcW w:w="1559" w:type="dxa"/>
            <w:vAlign w:val="center"/>
          </w:tcPr>
          <w:p w14:paraId="5225B41E" w14:textId="37704E94" w:rsidR="00F07A7E" w:rsidRPr="00C21A43" w:rsidRDefault="005E0682"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7 557</w:t>
            </w:r>
          </w:p>
        </w:tc>
        <w:tc>
          <w:tcPr>
            <w:tcW w:w="1503" w:type="dxa"/>
            <w:vAlign w:val="center"/>
          </w:tcPr>
          <w:p w14:paraId="0B7BBF37" w14:textId="54A9FF57" w:rsidR="00F07A7E" w:rsidRPr="00C21A43" w:rsidRDefault="00740A51"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C21A43">
              <w:rPr>
                <w:rFonts w:ascii="Times New Roman" w:hAnsi="Times New Roman"/>
                <w:color w:val="000000"/>
                <w:sz w:val="24"/>
                <w:szCs w:val="24"/>
              </w:rPr>
              <w:t>1 250</w:t>
            </w:r>
          </w:p>
        </w:tc>
        <w:tc>
          <w:tcPr>
            <w:tcW w:w="1332" w:type="dxa"/>
            <w:vAlign w:val="center"/>
          </w:tcPr>
          <w:p w14:paraId="25634C11" w14:textId="78CF043D" w:rsidR="00F07A7E" w:rsidRPr="00C21A43" w:rsidRDefault="00C21A43"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C21A43">
              <w:rPr>
                <w:rFonts w:ascii="Times New Roman" w:hAnsi="Times New Roman"/>
                <w:b/>
                <w:bCs/>
                <w:color w:val="000000"/>
                <w:sz w:val="24"/>
                <w:szCs w:val="24"/>
              </w:rPr>
              <w:t>37 652</w:t>
            </w:r>
          </w:p>
        </w:tc>
      </w:tr>
      <w:tr w:rsidR="00740A51" w:rsidRPr="00C3742D" w14:paraId="7FC09FDE" w14:textId="77777777" w:rsidTr="00C9515D">
        <w:trPr>
          <w:trHeight w:val="60"/>
        </w:trPr>
        <w:tc>
          <w:tcPr>
            <w:cnfStyle w:val="001000000000" w:firstRow="0" w:lastRow="0" w:firstColumn="1" w:lastColumn="0" w:oddVBand="0" w:evenVBand="0" w:oddHBand="0" w:evenHBand="0" w:firstRowFirstColumn="0" w:firstRowLastColumn="0" w:lastRowFirstColumn="0" w:lastRowLastColumn="0"/>
            <w:tcW w:w="1701" w:type="dxa"/>
            <w:vAlign w:val="center"/>
          </w:tcPr>
          <w:p w14:paraId="0E0A7341" w14:textId="027F5C62" w:rsidR="00740A51" w:rsidRPr="00C3742D" w:rsidRDefault="00740A51" w:rsidP="00C9515D">
            <w:pPr>
              <w:jc w:val="center"/>
              <w:rPr>
                <w:rFonts w:ascii="Times New Roman" w:hAnsi="Times New Roman"/>
                <w:color w:val="000000"/>
                <w:sz w:val="24"/>
                <w:szCs w:val="24"/>
              </w:rPr>
            </w:pPr>
            <w:r w:rsidRPr="00C3742D">
              <w:rPr>
                <w:rFonts w:ascii="Times New Roman" w:hAnsi="Times New Roman"/>
                <w:color w:val="000000"/>
                <w:sz w:val="24"/>
                <w:szCs w:val="24"/>
              </w:rPr>
              <w:t>2019</w:t>
            </w:r>
          </w:p>
        </w:tc>
        <w:tc>
          <w:tcPr>
            <w:tcW w:w="1502" w:type="dxa"/>
            <w:vAlign w:val="center"/>
          </w:tcPr>
          <w:p w14:paraId="41F4493F" w14:textId="317CE603" w:rsidR="00740A51" w:rsidRPr="00C3742D" w:rsidRDefault="00C9515D" w:rsidP="00C951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3742D">
              <w:rPr>
                <w:rFonts w:ascii="Times New Roman" w:hAnsi="Times New Roman"/>
                <w:color w:val="000000"/>
                <w:sz w:val="24"/>
                <w:szCs w:val="24"/>
              </w:rPr>
              <w:t>30 13</w:t>
            </w:r>
            <w:r w:rsidR="00C52717" w:rsidRPr="00C3742D">
              <w:rPr>
                <w:rFonts w:ascii="Times New Roman" w:hAnsi="Times New Roman"/>
                <w:color w:val="000000"/>
                <w:sz w:val="24"/>
                <w:szCs w:val="24"/>
              </w:rPr>
              <w:t>5</w:t>
            </w:r>
          </w:p>
        </w:tc>
        <w:tc>
          <w:tcPr>
            <w:tcW w:w="1617" w:type="dxa"/>
            <w:vAlign w:val="center"/>
          </w:tcPr>
          <w:p w14:paraId="53AADE69" w14:textId="219EBBC2" w:rsidR="00740A51" w:rsidRPr="00C3742D" w:rsidRDefault="005E0682" w:rsidP="00C951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3742D">
              <w:rPr>
                <w:rFonts w:ascii="Times New Roman" w:hAnsi="Times New Roman"/>
                <w:color w:val="000000"/>
                <w:sz w:val="24"/>
                <w:szCs w:val="24"/>
              </w:rPr>
              <w:t>0</w:t>
            </w:r>
          </w:p>
        </w:tc>
        <w:tc>
          <w:tcPr>
            <w:tcW w:w="1559" w:type="dxa"/>
            <w:vAlign w:val="center"/>
          </w:tcPr>
          <w:p w14:paraId="5D234AE5" w14:textId="68CAD280" w:rsidR="00740A51" w:rsidRPr="00C3742D" w:rsidRDefault="00C52717" w:rsidP="00C951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3742D">
              <w:rPr>
                <w:rFonts w:ascii="Times New Roman" w:hAnsi="Times New Roman"/>
                <w:color w:val="000000"/>
                <w:sz w:val="24"/>
                <w:szCs w:val="24"/>
              </w:rPr>
              <w:t>2 255</w:t>
            </w:r>
          </w:p>
        </w:tc>
        <w:tc>
          <w:tcPr>
            <w:tcW w:w="1503" w:type="dxa"/>
            <w:vAlign w:val="center"/>
          </w:tcPr>
          <w:p w14:paraId="2DFD0A7C" w14:textId="5A6D8F6D" w:rsidR="00740A51" w:rsidRPr="00C3742D" w:rsidRDefault="00C52717" w:rsidP="00C951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C3742D">
              <w:rPr>
                <w:rFonts w:ascii="Times New Roman" w:hAnsi="Times New Roman"/>
                <w:color w:val="000000"/>
                <w:sz w:val="24"/>
                <w:szCs w:val="24"/>
              </w:rPr>
              <w:t>750</w:t>
            </w:r>
          </w:p>
        </w:tc>
        <w:tc>
          <w:tcPr>
            <w:tcW w:w="1332" w:type="dxa"/>
            <w:vAlign w:val="center"/>
          </w:tcPr>
          <w:p w14:paraId="5F8801F9" w14:textId="619427B7" w:rsidR="00740A51" w:rsidRPr="00C3742D" w:rsidRDefault="00471187" w:rsidP="00C9515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C3742D">
              <w:rPr>
                <w:rFonts w:ascii="Times New Roman" w:hAnsi="Times New Roman"/>
                <w:b/>
                <w:bCs/>
                <w:color w:val="000000"/>
                <w:sz w:val="24"/>
                <w:szCs w:val="24"/>
              </w:rPr>
              <w:t>33 140</w:t>
            </w:r>
          </w:p>
        </w:tc>
      </w:tr>
      <w:tr w:rsidR="00C9515D" w:rsidRPr="008B69BB" w14:paraId="06086E2B" w14:textId="77777777" w:rsidTr="00C9515D">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701" w:type="dxa"/>
          </w:tcPr>
          <w:p w14:paraId="28A46083" w14:textId="111A265E" w:rsidR="00C9515D" w:rsidRPr="008B69BB" w:rsidRDefault="00C9515D" w:rsidP="0096147F">
            <w:pPr>
              <w:jc w:val="center"/>
              <w:rPr>
                <w:rFonts w:ascii="Times New Roman" w:hAnsi="Times New Roman"/>
                <w:color w:val="000000"/>
                <w:sz w:val="24"/>
                <w:szCs w:val="24"/>
              </w:rPr>
            </w:pPr>
            <w:r w:rsidRPr="008B69BB">
              <w:rPr>
                <w:rFonts w:ascii="Times New Roman" w:hAnsi="Times New Roman"/>
                <w:color w:val="000000"/>
                <w:sz w:val="24"/>
                <w:szCs w:val="24"/>
              </w:rPr>
              <w:t xml:space="preserve">2020 </w:t>
            </w:r>
          </w:p>
        </w:tc>
        <w:tc>
          <w:tcPr>
            <w:tcW w:w="1502" w:type="dxa"/>
            <w:vAlign w:val="center"/>
          </w:tcPr>
          <w:p w14:paraId="451747F3" w14:textId="6D1D6DF6" w:rsidR="00C9515D" w:rsidRPr="008B69BB" w:rsidRDefault="004E6C9A"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23</w:t>
            </w:r>
            <w:r w:rsidR="00C9515D" w:rsidRPr="008B69BB">
              <w:rPr>
                <w:rFonts w:ascii="Times New Roman" w:hAnsi="Times New Roman"/>
                <w:color w:val="000000"/>
                <w:sz w:val="24"/>
                <w:szCs w:val="24"/>
              </w:rPr>
              <w:t> </w:t>
            </w:r>
            <w:r w:rsidRPr="008B69BB">
              <w:rPr>
                <w:rFonts w:ascii="Times New Roman" w:hAnsi="Times New Roman"/>
                <w:color w:val="000000"/>
                <w:sz w:val="24"/>
                <w:szCs w:val="24"/>
              </w:rPr>
              <w:t>801</w:t>
            </w:r>
          </w:p>
        </w:tc>
        <w:tc>
          <w:tcPr>
            <w:tcW w:w="1617" w:type="dxa"/>
            <w:vAlign w:val="center"/>
          </w:tcPr>
          <w:p w14:paraId="292FFE42" w14:textId="0244171C" w:rsidR="00C9515D" w:rsidRPr="008B69BB" w:rsidRDefault="007460D7"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0</w:t>
            </w:r>
          </w:p>
        </w:tc>
        <w:tc>
          <w:tcPr>
            <w:tcW w:w="1559" w:type="dxa"/>
            <w:vAlign w:val="center"/>
          </w:tcPr>
          <w:p w14:paraId="313A00AB" w14:textId="14C9928D" w:rsidR="00C9515D" w:rsidRPr="008B69BB" w:rsidRDefault="004E6C9A"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1 295</w:t>
            </w:r>
          </w:p>
        </w:tc>
        <w:tc>
          <w:tcPr>
            <w:tcW w:w="1503" w:type="dxa"/>
            <w:vAlign w:val="center"/>
          </w:tcPr>
          <w:p w14:paraId="19388008" w14:textId="241D422C" w:rsidR="00C9515D" w:rsidRPr="008B69BB" w:rsidRDefault="004E6C9A"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1 250</w:t>
            </w:r>
          </w:p>
        </w:tc>
        <w:tc>
          <w:tcPr>
            <w:tcW w:w="1332" w:type="dxa"/>
            <w:vAlign w:val="center"/>
          </w:tcPr>
          <w:p w14:paraId="27947991" w14:textId="685C73F8" w:rsidR="00C9515D" w:rsidRPr="008B69BB" w:rsidRDefault="00C279AD" w:rsidP="00C9515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000000"/>
                <w:sz w:val="24"/>
                <w:szCs w:val="24"/>
              </w:rPr>
            </w:pPr>
            <w:r w:rsidRPr="008B69BB">
              <w:rPr>
                <w:rFonts w:ascii="Times New Roman" w:hAnsi="Times New Roman"/>
                <w:b/>
                <w:bCs/>
                <w:color w:val="000000"/>
                <w:sz w:val="24"/>
                <w:szCs w:val="24"/>
              </w:rPr>
              <w:t>26 346</w:t>
            </w:r>
          </w:p>
        </w:tc>
      </w:tr>
      <w:tr w:rsidR="00F07A7E" w:rsidRPr="00EB2AFB" w14:paraId="7848AFDD" w14:textId="77777777" w:rsidTr="00EC2D4C">
        <w:trPr>
          <w:trHeight w:val="469"/>
        </w:trPr>
        <w:tc>
          <w:tcPr>
            <w:cnfStyle w:val="001000000000" w:firstRow="0" w:lastRow="0" w:firstColumn="1" w:lastColumn="0" w:oddVBand="0" w:evenVBand="0" w:oddHBand="0" w:evenHBand="0" w:firstRowFirstColumn="0" w:firstRowLastColumn="0" w:lastRowFirstColumn="0" w:lastRowLastColumn="0"/>
            <w:tcW w:w="1701" w:type="dxa"/>
          </w:tcPr>
          <w:p w14:paraId="13A8E9FC" w14:textId="77777777" w:rsidR="00F07A7E" w:rsidRPr="008B69BB" w:rsidRDefault="00F07A7E" w:rsidP="00226D9D">
            <w:pPr>
              <w:spacing w:after="120"/>
              <w:jc w:val="center"/>
              <w:rPr>
                <w:rFonts w:ascii="Times New Roman" w:hAnsi="Times New Roman"/>
                <w:color w:val="000000"/>
                <w:sz w:val="24"/>
                <w:szCs w:val="24"/>
              </w:rPr>
            </w:pPr>
            <w:r w:rsidRPr="008B69BB">
              <w:rPr>
                <w:rFonts w:ascii="Times New Roman" w:hAnsi="Times New Roman"/>
                <w:color w:val="000000"/>
                <w:sz w:val="24"/>
                <w:szCs w:val="24"/>
              </w:rPr>
              <w:t>Kopā</w:t>
            </w:r>
          </w:p>
        </w:tc>
        <w:tc>
          <w:tcPr>
            <w:tcW w:w="1502" w:type="dxa"/>
            <w:vAlign w:val="center"/>
          </w:tcPr>
          <w:p w14:paraId="782BFBC2" w14:textId="2E828E89" w:rsidR="00F07A7E" w:rsidRPr="008B69BB" w:rsidRDefault="00F07A7E" w:rsidP="00982E5A">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1</w:t>
            </w:r>
            <w:r w:rsidR="00471187" w:rsidRPr="008B69BB">
              <w:rPr>
                <w:rFonts w:ascii="Times New Roman" w:hAnsi="Times New Roman"/>
                <w:color w:val="000000"/>
                <w:sz w:val="24"/>
                <w:szCs w:val="24"/>
              </w:rPr>
              <w:t> 2</w:t>
            </w:r>
            <w:r w:rsidR="004E6C9A" w:rsidRPr="008B69BB">
              <w:rPr>
                <w:rFonts w:ascii="Times New Roman" w:hAnsi="Times New Roman"/>
                <w:color w:val="000000"/>
                <w:sz w:val="24"/>
                <w:szCs w:val="24"/>
              </w:rPr>
              <w:t>89</w:t>
            </w:r>
            <w:r w:rsidR="00471187" w:rsidRPr="008B69BB">
              <w:rPr>
                <w:rFonts w:ascii="Times New Roman" w:hAnsi="Times New Roman"/>
                <w:color w:val="000000"/>
                <w:sz w:val="24"/>
                <w:szCs w:val="24"/>
              </w:rPr>
              <w:t xml:space="preserve"> </w:t>
            </w:r>
            <w:r w:rsidR="004E6C9A" w:rsidRPr="008B69BB">
              <w:rPr>
                <w:rFonts w:ascii="Times New Roman" w:hAnsi="Times New Roman"/>
                <w:color w:val="000000"/>
                <w:sz w:val="24"/>
                <w:szCs w:val="24"/>
              </w:rPr>
              <w:t>501</w:t>
            </w:r>
          </w:p>
        </w:tc>
        <w:tc>
          <w:tcPr>
            <w:tcW w:w="1617" w:type="dxa"/>
            <w:vAlign w:val="center"/>
          </w:tcPr>
          <w:p w14:paraId="4E2696A6" w14:textId="0BE11FF4" w:rsidR="00F07A7E" w:rsidRPr="008B69BB" w:rsidRDefault="00C21A43" w:rsidP="00982E5A">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158 281</w:t>
            </w:r>
          </w:p>
        </w:tc>
        <w:tc>
          <w:tcPr>
            <w:tcW w:w="1559" w:type="dxa"/>
            <w:vAlign w:val="center"/>
          </w:tcPr>
          <w:p w14:paraId="567ABD72" w14:textId="68FC2168" w:rsidR="00F07A7E" w:rsidRPr="008B69BB" w:rsidRDefault="00471187" w:rsidP="00982E5A">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 xml:space="preserve">92 </w:t>
            </w:r>
            <w:r w:rsidR="004E6C9A" w:rsidRPr="008B69BB">
              <w:rPr>
                <w:rFonts w:ascii="Times New Roman" w:hAnsi="Times New Roman"/>
                <w:color w:val="000000"/>
                <w:sz w:val="24"/>
                <w:szCs w:val="24"/>
              </w:rPr>
              <w:t>671</w:t>
            </w:r>
          </w:p>
        </w:tc>
        <w:tc>
          <w:tcPr>
            <w:tcW w:w="1503" w:type="dxa"/>
            <w:vAlign w:val="center"/>
          </w:tcPr>
          <w:p w14:paraId="6F3D916D" w14:textId="493FA5D8" w:rsidR="00F07A7E" w:rsidRPr="008B69BB" w:rsidRDefault="004E6C9A" w:rsidP="00982E5A">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 w:val="24"/>
                <w:szCs w:val="24"/>
              </w:rPr>
            </w:pPr>
            <w:r w:rsidRPr="008B69BB">
              <w:rPr>
                <w:rFonts w:ascii="Times New Roman" w:hAnsi="Times New Roman"/>
                <w:color w:val="000000"/>
                <w:sz w:val="24"/>
                <w:szCs w:val="24"/>
              </w:rPr>
              <w:t>11 500</w:t>
            </w:r>
          </w:p>
        </w:tc>
        <w:tc>
          <w:tcPr>
            <w:tcW w:w="1332" w:type="dxa"/>
            <w:vAlign w:val="center"/>
          </w:tcPr>
          <w:p w14:paraId="48E0EF49" w14:textId="0CFA1842" w:rsidR="00F07A7E" w:rsidRPr="008B69BB" w:rsidRDefault="00471187" w:rsidP="00982E5A">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color w:val="000000"/>
                <w:sz w:val="24"/>
                <w:szCs w:val="24"/>
              </w:rPr>
            </w:pPr>
            <w:r w:rsidRPr="008B69BB">
              <w:rPr>
                <w:rFonts w:ascii="Times New Roman" w:hAnsi="Times New Roman"/>
                <w:b/>
                <w:bCs/>
                <w:color w:val="000000"/>
                <w:sz w:val="24"/>
                <w:szCs w:val="24"/>
              </w:rPr>
              <w:t>1</w:t>
            </w:r>
            <w:r w:rsidR="0029156E" w:rsidRPr="008B69BB">
              <w:rPr>
                <w:rFonts w:ascii="Times New Roman" w:hAnsi="Times New Roman"/>
                <w:b/>
                <w:bCs/>
                <w:color w:val="000000"/>
                <w:sz w:val="24"/>
                <w:szCs w:val="24"/>
              </w:rPr>
              <w:t> 5</w:t>
            </w:r>
            <w:r w:rsidR="005F0B26" w:rsidRPr="008B69BB">
              <w:rPr>
                <w:rFonts w:ascii="Times New Roman" w:hAnsi="Times New Roman"/>
                <w:b/>
                <w:bCs/>
                <w:color w:val="000000"/>
                <w:sz w:val="24"/>
                <w:szCs w:val="24"/>
              </w:rPr>
              <w:t>51</w:t>
            </w:r>
            <w:r w:rsidR="0029156E" w:rsidRPr="008B69BB">
              <w:rPr>
                <w:rFonts w:ascii="Times New Roman" w:hAnsi="Times New Roman"/>
                <w:b/>
                <w:bCs/>
                <w:color w:val="000000"/>
                <w:sz w:val="24"/>
                <w:szCs w:val="24"/>
              </w:rPr>
              <w:t xml:space="preserve"> </w:t>
            </w:r>
            <w:r w:rsidR="005F0B26" w:rsidRPr="008B69BB">
              <w:rPr>
                <w:rFonts w:ascii="Times New Roman" w:hAnsi="Times New Roman"/>
                <w:b/>
                <w:bCs/>
                <w:color w:val="000000"/>
                <w:sz w:val="24"/>
                <w:szCs w:val="24"/>
              </w:rPr>
              <w:t>953</w:t>
            </w:r>
          </w:p>
        </w:tc>
      </w:tr>
    </w:tbl>
    <w:p w14:paraId="5631B0CB" w14:textId="55B00346" w:rsidR="0088300F" w:rsidRPr="00C3742D" w:rsidRDefault="004D0520" w:rsidP="0088300F">
      <w:pPr>
        <w:spacing w:after="120"/>
        <w:jc w:val="both"/>
        <w:rPr>
          <w:rFonts w:ascii="Times New Roman" w:hAnsi="Times New Roman"/>
          <w:i/>
        </w:rPr>
      </w:pPr>
      <w:bookmarkStart w:id="5" w:name="_Hlk24468390"/>
      <w:r w:rsidRPr="00C3742D">
        <w:rPr>
          <w:rFonts w:ascii="Times New Roman" w:hAnsi="Times New Roman"/>
          <w:i/>
        </w:rPr>
        <w:t>Avots: PMLP</w:t>
      </w:r>
      <w:r w:rsidR="00FD366D" w:rsidRPr="00C3742D">
        <w:rPr>
          <w:rFonts w:ascii="Times New Roman" w:hAnsi="Times New Roman"/>
          <w:i/>
        </w:rPr>
        <w:t xml:space="preserve"> dati</w:t>
      </w:r>
      <w:bookmarkEnd w:id="5"/>
    </w:p>
    <w:p w14:paraId="21EE9B89" w14:textId="784718D8" w:rsidR="005B14E0" w:rsidRPr="008B69BB" w:rsidRDefault="005B14E0" w:rsidP="005B14E0">
      <w:pPr>
        <w:spacing w:after="120"/>
        <w:ind w:firstLine="567"/>
        <w:jc w:val="both"/>
        <w:rPr>
          <w:rFonts w:ascii="Times New Roman" w:hAnsi="Times New Roman"/>
          <w:sz w:val="26"/>
          <w:szCs w:val="26"/>
        </w:rPr>
      </w:pPr>
      <w:r w:rsidRPr="008B69BB">
        <w:rPr>
          <w:rFonts w:ascii="Times New Roman" w:hAnsi="Times New Roman"/>
          <w:sz w:val="26"/>
          <w:szCs w:val="26"/>
        </w:rPr>
        <w:t xml:space="preserve">Vērtējot nerezidentu ieguldījumu dinamiku jāsecina, ka pirmajos četros gados ar TUA saņemšanu saistītie nerezidentu ieguldījumi ik gadu strauji pieauga – vidēji gadā gandrīz par 36%. Savukārt 2015.gadā nerezidentu investīcijas bija piecas reizes zemākā līmenī nekā pirms gada. Turpmākajos gados </w:t>
      </w:r>
      <w:r w:rsidR="008B69BB" w:rsidRPr="008B69BB">
        <w:rPr>
          <w:rFonts w:ascii="Times New Roman" w:hAnsi="Times New Roman"/>
          <w:sz w:val="26"/>
          <w:szCs w:val="26"/>
        </w:rPr>
        <w:t>(2015.-2020.gadā</w:t>
      </w:r>
      <w:r w:rsidRPr="008B69BB">
        <w:rPr>
          <w:rFonts w:ascii="Times New Roman" w:hAnsi="Times New Roman"/>
          <w:sz w:val="26"/>
          <w:szCs w:val="26"/>
        </w:rPr>
        <w:t>) investīciju dinamikai turpinājās lejupvērsta tendence – piesaistīto investīciju apjoms ik gadu samazinās vidēji par 22% gadā.</w:t>
      </w:r>
    </w:p>
    <w:p w14:paraId="33AB5FC9" w14:textId="58609129" w:rsidR="00FD366D" w:rsidRDefault="005B14E0" w:rsidP="005B14E0">
      <w:pPr>
        <w:spacing w:after="120"/>
        <w:ind w:firstLine="567"/>
        <w:jc w:val="both"/>
        <w:rPr>
          <w:rFonts w:ascii="Times New Roman" w:hAnsi="Times New Roman"/>
          <w:sz w:val="26"/>
          <w:szCs w:val="26"/>
        </w:rPr>
      </w:pPr>
      <w:r w:rsidRPr="008B69BB">
        <w:rPr>
          <w:rFonts w:ascii="Times New Roman" w:hAnsi="Times New Roman"/>
          <w:sz w:val="26"/>
          <w:szCs w:val="26"/>
        </w:rPr>
        <w:t>Būtiskais inves</w:t>
      </w:r>
      <w:r w:rsidRPr="00B63E16">
        <w:rPr>
          <w:rFonts w:ascii="Times New Roman" w:hAnsi="Times New Roman"/>
          <w:sz w:val="26"/>
          <w:szCs w:val="26"/>
        </w:rPr>
        <w:t xml:space="preserve">tīciju samazinājums saistīts ar veiktajiem grozījumiem Imigrācijas likumā, kas no 2014.gada 1.janvāra paredzēja ierobežot ieguldītāju skaitu mazajos uzņēmumos, kā arī noteica to, ka tikai tiem ieguldītājiem, kas investējuši 150 000 </w:t>
      </w:r>
      <w:r w:rsidRPr="007557E8">
        <w:rPr>
          <w:rFonts w:ascii="Times New Roman" w:hAnsi="Times New Roman"/>
          <w:i/>
          <w:sz w:val="26"/>
          <w:szCs w:val="26"/>
        </w:rPr>
        <w:t>euro</w:t>
      </w:r>
      <w:r w:rsidRPr="00B63E16">
        <w:rPr>
          <w:rFonts w:ascii="Times New Roman" w:hAnsi="Times New Roman"/>
          <w:sz w:val="26"/>
          <w:szCs w:val="26"/>
        </w:rPr>
        <w:t xml:space="preserve"> kapitālsabiedrībā, kas nodarbina vairāk nekā 50 darbinieku un kuras gada bilance vai apgrozījums pārsniedz 10 milj. </w:t>
      </w:r>
      <w:r w:rsidRPr="007740AB">
        <w:rPr>
          <w:rFonts w:ascii="Times New Roman" w:hAnsi="Times New Roman"/>
          <w:i/>
          <w:sz w:val="26"/>
          <w:szCs w:val="26"/>
        </w:rPr>
        <w:t>euro</w:t>
      </w:r>
      <w:r w:rsidRPr="00B63E16">
        <w:rPr>
          <w:rFonts w:ascii="Times New Roman" w:hAnsi="Times New Roman"/>
          <w:sz w:val="26"/>
          <w:szCs w:val="26"/>
        </w:rPr>
        <w:t>, netiek veikta nodokļu nomaksas pārbaude. 2016.gada jūnijā veiktie grozījumi Imigrācijas likumā paredzēja veikt nodokļu nomaksas pārbaudi arī šādos gadījumos.</w:t>
      </w:r>
    </w:p>
    <w:p w14:paraId="3C2CC54E" w14:textId="1C9A2119" w:rsidR="006D38AB" w:rsidRPr="006D38AB" w:rsidRDefault="000E4D26" w:rsidP="006D38AB">
      <w:pPr>
        <w:spacing w:after="120"/>
        <w:ind w:firstLine="567"/>
        <w:jc w:val="both"/>
        <w:rPr>
          <w:rFonts w:ascii="Times New Roman" w:hAnsi="Times New Roman"/>
          <w:sz w:val="26"/>
          <w:szCs w:val="26"/>
        </w:rPr>
      </w:pPr>
      <w:r>
        <w:rPr>
          <w:rFonts w:ascii="Times New Roman" w:hAnsi="Times New Roman"/>
          <w:sz w:val="26"/>
          <w:szCs w:val="26"/>
        </w:rPr>
        <w:t>2014.gadā pieņemtie</w:t>
      </w:r>
      <w:r w:rsidR="00BF58EC" w:rsidRPr="00226D9D">
        <w:rPr>
          <w:rFonts w:ascii="Times New Roman" w:hAnsi="Times New Roman"/>
          <w:sz w:val="26"/>
          <w:szCs w:val="26"/>
        </w:rPr>
        <w:t xml:space="preserve"> grozījumi Imigrācijas likumā noteica arī </w:t>
      </w:r>
      <w:r w:rsidR="00AB3AEF" w:rsidRPr="00226D9D">
        <w:rPr>
          <w:rFonts w:ascii="Times New Roman" w:hAnsi="Times New Roman"/>
          <w:sz w:val="26"/>
          <w:szCs w:val="26"/>
        </w:rPr>
        <w:t xml:space="preserve">papildu iemaksu </w:t>
      </w:r>
      <w:r w:rsidR="00BF58EC" w:rsidRPr="00226D9D">
        <w:rPr>
          <w:rFonts w:ascii="Times New Roman" w:hAnsi="Times New Roman"/>
          <w:sz w:val="26"/>
          <w:szCs w:val="26"/>
        </w:rPr>
        <w:t xml:space="preserve">valsts budžetā - </w:t>
      </w:r>
      <w:r w:rsidR="00F21EDC" w:rsidRPr="00226D9D">
        <w:rPr>
          <w:rFonts w:ascii="Times New Roman" w:hAnsi="Times New Roman"/>
          <w:sz w:val="26"/>
          <w:szCs w:val="26"/>
        </w:rPr>
        <w:t xml:space="preserve">valsts pamatbudžeta programmā </w:t>
      </w:r>
      <w:r w:rsidR="00F8238D">
        <w:rPr>
          <w:rFonts w:ascii="Times New Roman" w:hAnsi="Times New Roman"/>
          <w:sz w:val="26"/>
          <w:szCs w:val="26"/>
        </w:rPr>
        <w:t>“</w:t>
      </w:r>
      <w:r w:rsidR="00F21EDC" w:rsidRPr="00226D9D">
        <w:rPr>
          <w:rFonts w:ascii="Times New Roman" w:hAnsi="Times New Roman"/>
          <w:sz w:val="26"/>
          <w:szCs w:val="26"/>
        </w:rPr>
        <w:t>Ekonomikas attīstības programma</w:t>
      </w:r>
      <w:r w:rsidR="00F8238D">
        <w:rPr>
          <w:rFonts w:ascii="Times New Roman" w:hAnsi="Times New Roman"/>
          <w:sz w:val="26"/>
          <w:szCs w:val="26"/>
        </w:rPr>
        <w:t>”</w:t>
      </w:r>
      <w:r w:rsidR="00F21EDC" w:rsidRPr="00226D9D">
        <w:rPr>
          <w:rFonts w:ascii="Times New Roman" w:hAnsi="Times New Roman"/>
          <w:sz w:val="26"/>
          <w:szCs w:val="26"/>
        </w:rPr>
        <w:t xml:space="preserve"> </w:t>
      </w:r>
      <w:r w:rsidR="00AB3AEF" w:rsidRPr="00226D9D">
        <w:rPr>
          <w:rFonts w:ascii="Times New Roman" w:hAnsi="Times New Roman"/>
          <w:sz w:val="26"/>
          <w:szCs w:val="26"/>
        </w:rPr>
        <w:t xml:space="preserve">un paaugstināja TUA piešķiršanai nepieciešamo ieguldījumu summas apmēru investīcijām nekustamajā īpašumā. Saskaņā ar šiem grozījumiem, nekustamā īpašuma iegādes darījuma summa, lai ārvalstnieks varētu pretendēt uz TUA, tika paaugstināta līdz 250 000 </w:t>
      </w:r>
      <w:r w:rsidR="00AB3AEF" w:rsidRPr="00226D9D">
        <w:rPr>
          <w:rFonts w:ascii="Times New Roman" w:hAnsi="Times New Roman"/>
          <w:i/>
          <w:sz w:val="26"/>
          <w:szCs w:val="26"/>
        </w:rPr>
        <w:t>euro</w:t>
      </w:r>
      <w:r w:rsidR="00AB3AEF" w:rsidRPr="00226D9D">
        <w:rPr>
          <w:rFonts w:ascii="Times New Roman" w:hAnsi="Times New Roman"/>
          <w:sz w:val="26"/>
          <w:szCs w:val="26"/>
        </w:rPr>
        <w:t xml:space="preserve"> visā Latvijas teritorijā (iepriekš ārpus Rīgas plānošanas reģiona vai republikas pilsētām – 71 150 </w:t>
      </w:r>
      <w:r w:rsidR="00AB3AEF" w:rsidRPr="00226D9D">
        <w:rPr>
          <w:rFonts w:ascii="Times New Roman" w:hAnsi="Times New Roman"/>
          <w:i/>
          <w:sz w:val="26"/>
          <w:szCs w:val="26"/>
        </w:rPr>
        <w:t>euro</w:t>
      </w:r>
      <w:r w:rsidR="00AB3AEF" w:rsidRPr="00226D9D">
        <w:rPr>
          <w:rFonts w:ascii="Times New Roman" w:hAnsi="Times New Roman"/>
          <w:sz w:val="26"/>
          <w:szCs w:val="26"/>
        </w:rPr>
        <w:t xml:space="preserve">, savukārt, Rīgas plānošanas reģionā un republikas nozīmes pilsētās – 142 300 </w:t>
      </w:r>
      <w:r w:rsidR="00AB3AEF" w:rsidRPr="00226D9D">
        <w:rPr>
          <w:rFonts w:ascii="Times New Roman" w:hAnsi="Times New Roman"/>
          <w:i/>
          <w:sz w:val="26"/>
          <w:szCs w:val="26"/>
        </w:rPr>
        <w:t>euro</w:t>
      </w:r>
      <w:r w:rsidR="00AB3AEF" w:rsidRPr="00226D9D">
        <w:rPr>
          <w:rFonts w:ascii="Times New Roman" w:hAnsi="Times New Roman"/>
          <w:sz w:val="26"/>
          <w:szCs w:val="26"/>
        </w:rPr>
        <w:t xml:space="preserve">). </w:t>
      </w:r>
    </w:p>
    <w:p w14:paraId="0E33C73F" w14:textId="77777777" w:rsidR="0088300F" w:rsidRPr="0096147F" w:rsidRDefault="0088300F" w:rsidP="00593F91">
      <w:pPr>
        <w:spacing w:before="120" w:after="120"/>
        <w:jc w:val="right"/>
        <w:rPr>
          <w:rFonts w:ascii="Times New Roman" w:hAnsi="Times New Roman"/>
          <w:sz w:val="24"/>
          <w:szCs w:val="24"/>
        </w:rPr>
      </w:pPr>
      <w:r w:rsidRPr="0096147F">
        <w:rPr>
          <w:rFonts w:ascii="Times New Roman" w:hAnsi="Times New Roman"/>
          <w:sz w:val="24"/>
          <w:szCs w:val="24"/>
        </w:rPr>
        <w:t>1.attēls</w:t>
      </w:r>
    </w:p>
    <w:p w14:paraId="736F628C" w14:textId="77777777" w:rsidR="0088300F" w:rsidRPr="0096147F" w:rsidRDefault="0088300F" w:rsidP="0088300F">
      <w:pPr>
        <w:spacing w:after="120"/>
        <w:jc w:val="center"/>
        <w:rPr>
          <w:rFonts w:ascii="Times New Roman" w:hAnsi="Times New Roman"/>
          <w:b/>
          <w:sz w:val="24"/>
          <w:szCs w:val="24"/>
        </w:rPr>
      </w:pPr>
      <w:r w:rsidRPr="0096147F">
        <w:rPr>
          <w:rFonts w:ascii="Times New Roman" w:hAnsi="Times New Roman"/>
          <w:b/>
          <w:sz w:val="24"/>
          <w:szCs w:val="24"/>
        </w:rPr>
        <w:t>TUA pieteikumu (investoru) skaits</w:t>
      </w:r>
      <w:r>
        <w:rPr>
          <w:rFonts w:ascii="Times New Roman" w:hAnsi="Times New Roman"/>
          <w:b/>
          <w:sz w:val="24"/>
          <w:szCs w:val="24"/>
        </w:rPr>
        <w:t xml:space="preserve"> pēc ieguldījuma veida</w:t>
      </w:r>
      <w:r w:rsidRPr="0096147F">
        <w:rPr>
          <w:rFonts w:ascii="Times New Roman" w:hAnsi="Times New Roman"/>
          <w:b/>
          <w:sz w:val="24"/>
          <w:szCs w:val="24"/>
        </w:rPr>
        <w:t xml:space="preserve"> sadalījumā pa gadiem</w:t>
      </w:r>
    </w:p>
    <w:p w14:paraId="13248A93" w14:textId="77777777" w:rsidR="0088300F" w:rsidRPr="0096147F" w:rsidRDefault="0088300F" w:rsidP="0088300F">
      <w:pPr>
        <w:spacing w:after="120"/>
        <w:jc w:val="center"/>
        <w:rPr>
          <w:rFonts w:ascii="Times New Roman" w:hAnsi="Times New Roman"/>
          <w:b/>
          <w:sz w:val="24"/>
          <w:szCs w:val="24"/>
        </w:rPr>
      </w:pPr>
      <w:r w:rsidRPr="0096147F">
        <w:rPr>
          <w:rFonts w:ascii="Times New Roman" w:hAnsi="Times New Roman"/>
          <w:b/>
          <w:noProof/>
          <w:sz w:val="24"/>
          <w:szCs w:val="24"/>
          <w:lang w:val="en-GB" w:eastAsia="en-GB"/>
        </w:rPr>
        <w:drawing>
          <wp:inline distT="0" distB="0" distL="0" distR="0" wp14:anchorId="07133292" wp14:editId="0687B90D">
            <wp:extent cx="5629275" cy="25241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BE4EAA9" w14:textId="77777777" w:rsidR="0088300F" w:rsidRPr="006E7306" w:rsidRDefault="0088300F" w:rsidP="0088300F">
      <w:pPr>
        <w:ind w:firstLine="567"/>
        <w:jc w:val="both"/>
        <w:rPr>
          <w:rFonts w:ascii="Times New Roman" w:hAnsi="Times New Roman"/>
          <w:i/>
        </w:rPr>
      </w:pPr>
      <w:r w:rsidRPr="0096147F">
        <w:rPr>
          <w:rFonts w:ascii="Times New Roman" w:hAnsi="Times New Roman"/>
          <w:i/>
        </w:rPr>
        <w:t>Avots: PMLP dati</w:t>
      </w:r>
    </w:p>
    <w:p w14:paraId="2BA6921D" w14:textId="77777777" w:rsidR="0088300F" w:rsidRPr="00497B78" w:rsidRDefault="0088300F" w:rsidP="0088300F">
      <w:pPr>
        <w:jc w:val="both"/>
        <w:rPr>
          <w:rFonts w:ascii="Times New Roman" w:hAnsi="Times New Roman"/>
          <w:sz w:val="26"/>
          <w:szCs w:val="26"/>
        </w:rPr>
      </w:pPr>
    </w:p>
    <w:p w14:paraId="74EC9553" w14:textId="528C17B6" w:rsidR="00593F91" w:rsidRPr="00593F91" w:rsidRDefault="00593F91" w:rsidP="00593F91">
      <w:pPr>
        <w:spacing w:after="120"/>
        <w:ind w:firstLine="567"/>
        <w:jc w:val="both"/>
        <w:rPr>
          <w:rFonts w:ascii="Times New Roman" w:hAnsi="Times New Roman"/>
          <w:sz w:val="26"/>
          <w:szCs w:val="26"/>
        </w:rPr>
      </w:pPr>
      <w:r w:rsidRPr="00593F91">
        <w:rPr>
          <w:rFonts w:ascii="Times New Roman" w:hAnsi="Times New Roman"/>
          <w:sz w:val="26"/>
          <w:szCs w:val="26"/>
        </w:rPr>
        <w:t xml:space="preserve">Straujās Covid-19 </w:t>
      </w:r>
      <w:r w:rsidR="008B69BB">
        <w:rPr>
          <w:rFonts w:ascii="Times New Roman" w:hAnsi="Times New Roman"/>
          <w:sz w:val="26"/>
          <w:szCs w:val="26"/>
        </w:rPr>
        <w:t xml:space="preserve">infekcijas </w:t>
      </w:r>
      <w:r w:rsidRPr="00593F91">
        <w:rPr>
          <w:rFonts w:ascii="Times New Roman" w:hAnsi="Times New Roman"/>
          <w:sz w:val="26"/>
          <w:szCs w:val="26"/>
        </w:rPr>
        <w:t xml:space="preserve">izplatības dēļ Pasaules Veselības organizācija 2020.gada 11.martā paziņoja, ka Covid-19 izplatība sasniegusi globālas pandēmijas apmērus. Lai ierobežotu Covid-19 vīrusa izplatību Latvijā, valdība 12.martā izsludināja ārkārtējo situāciju, kas tika pagarināta līdz 10.jūnijam. 2020.gada 6.novembrī tika pieņemts atkārtots lēmums par ārkārtējās situācijas izsludināšanu. Gan Eiropas Savienības, gan nacionālā līmenī no 2020.gada marta tika būtiski ierobežota personu kustība pār Šengenas līguma valstu ārējām robežām, šo iespēju nodrošinot tikai būtiskākajām ieceļotāju kategorijām. Vienlaikus citi ieviestie ierobežojumi izraisīja saimnieciskās darbības apsīkumu un uzņēmumu dīkstāvi, neradot iespēju un nepieciešamību paplašināt to darbību. Šie un citi ierobežojumi ir radījuši tiešu ietekmi uz 2020.gadā saņemto TUA pieteikumu skaitu, tam samazinoties. </w:t>
      </w:r>
    </w:p>
    <w:p w14:paraId="599AC1F3" w14:textId="5B1F1439" w:rsidR="00593F91" w:rsidRDefault="00593F91" w:rsidP="00593F91">
      <w:pPr>
        <w:spacing w:after="120"/>
        <w:ind w:firstLine="567"/>
        <w:jc w:val="both"/>
        <w:rPr>
          <w:rFonts w:ascii="Times New Roman" w:hAnsi="Times New Roman"/>
          <w:sz w:val="26"/>
          <w:szCs w:val="26"/>
        </w:rPr>
      </w:pPr>
      <w:r w:rsidRPr="00593F91">
        <w:rPr>
          <w:rFonts w:ascii="Times New Roman" w:hAnsi="Times New Roman"/>
          <w:sz w:val="26"/>
          <w:szCs w:val="26"/>
        </w:rPr>
        <w:t>No 2014.gada septembra ar investīciju programmu saistīto pieteikumu skaits būtiski samazinājās. Ja 2014.gadā tika saņemti 2 532 pieteikumi, tad 2015.gadā – 398, 2016.gadā – 262, 2017.gadā – 160, 2018.gadā – 192, 2019.gadā – 146 pieteikumi, bet 2020.gadā - 107 pieteikumi.</w:t>
      </w:r>
    </w:p>
    <w:p w14:paraId="433763C0" w14:textId="42412E51" w:rsidR="00AB3AEF" w:rsidRPr="00497B78" w:rsidRDefault="00B50428" w:rsidP="006D6066">
      <w:pPr>
        <w:spacing w:after="120"/>
        <w:ind w:firstLine="567"/>
        <w:jc w:val="both"/>
        <w:rPr>
          <w:rFonts w:ascii="Times New Roman" w:hAnsi="Times New Roman"/>
          <w:sz w:val="26"/>
          <w:szCs w:val="26"/>
        </w:rPr>
      </w:pPr>
      <w:r w:rsidRPr="00497B78">
        <w:rPr>
          <w:rFonts w:ascii="Times New Roman" w:hAnsi="Times New Roman"/>
          <w:sz w:val="26"/>
          <w:szCs w:val="26"/>
        </w:rPr>
        <w:t>I</w:t>
      </w:r>
      <w:r w:rsidR="00AB3AEF" w:rsidRPr="00497B78">
        <w:rPr>
          <w:rFonts w:ascii="Times New Roman" w:hAnsi="Times New Roman"/>
          <w:sz w:val="26"/>
          <w:szCs w:val="26"/>
        </w:rPr>
        <w:t>evērojot iepriekš minēto, ja 2014.gadā investīciju programmas ietvaros izsniegto TUA skaits veidoja 53% no visām</w:t>
      </w:r>
      <w:r w:rsidR="007A3DAC" w:rsidRPr="00497B78">
        <w:rPr>
          <w:rFonts w:ascii="Times New Roman" w:hAnsi="Times New Roman"/>
          <w:sz w:val="26"/>
          <w:szCs w:val="26"/>
        </w:rPr>
        <w:t xml:space="preserve"> trešo valstu pilsoņiem </w:t>
      </w:r>
      <w:r w:rsidR="00AB3AEF" w:rsidRPr="00497B78">
        <w:rPr>
          <w:rFonts w:ascii="Times New Roman" w:hAnsi="Times New Roman"/>
          <w:sz w:val="26"/>
          <w:szCs w:val="26"/>
        </w:rPr>
        <w:t xml:space="preserve">izsniegtajām </w:t>
      </w:r>
      <w:r w:rsidR="007A3DAC" w:rsidRPr="00497B78">
        <w:rPr>
          <w:rFonts w:ascii="Times New Roman" w:hAnsi="Times New Roman"/>
          <w:sz w:val="26"/>
          <w:szCs w:val="26"/>
        </w:rPr>
        <w:t xml:space="preserve">pirmreizējām </w:t>
      </w:r>
      <w:r w:rsidR="00AB3AEF" w:rsidRPr="00497B78">
        <w:rPr>
          <w:rFonts w:ascii="Times New Roman" w:hAnsi="Times New Roman"/>
          <w:sz w:val="26"/>
          <w:szCs w:val="26"/>
        </w:rPr>
        <w:t>TUA, tad 2015.gad</w:t>
      </w:r>
      <w:r w:rsidRPr="00497B78">
        <w:rPr>
          <w:rFonts w:ascii="Times New Roman" w:hAnsi="Times New Roman"/>
          <w:sz w:val="26"/>
          <w:szCs w:val="26"/>
        </w:rPr>
        <w:t>ā</w:t>
      </w:r>
      <w:r w:rsidR="00AB3AEF" w:rsidRPr="00497B78">
        <w:rPr>
          <w:rFonts w:ascii="Times New Roman" w:hAnsi="Times New Roman"/>
          <w:sz w:val="26"/>
          <w:szCs w:val="26"/>
        </w:rPr>
        <w:t xml:space="preserve"> - 2</w:t>
      </w:r>
      <w:r w:rsidRPr="00497B78">
        <w:rPr>
          <w:rFonts w:ascii="Times New Roman" w:hAnsi="Times New Roman"/>
          <w:sz w:val="26"/>
          <w:szCs w:val="26"/>
        </w:rPr>
        <w:t>1</w:t>
      </w:r>
      <w:r w:rsidR="00AB3AEF" w:rsidRPr="00497B78">
        <w:rPr>
          <w:rFonts w:ascii="Times New Roman" w:hAnsi="Times New Roman"/>
          <w:sz w:val="26"/>
          <w:szCs w:val="26"/>
        </w:rPr>
        <w:t>%, 2016.</w:t>
      </w:r>
      <w:r w:rsidR="007A3DAC" w:rsidRPr="00497B78">
        <w:rPr>
          <w:rFonts w:ascii="Times New Roman" w:hAnsi="Times New Roman"/>
          <w:sz w:val="26"/>
          <w:szCs w:val="26"/>
        </w:rPr>
        <w:t>gadā – 10%, 2017.gadā</w:t>
      </w:r>
      <w:r w:rsidR="00497B78" w:rsidRPr="00497B78">
        <w:rPr>
          <w:rFonts w:ascii="Times New Roman" w:hAnsi="Times New Roman"/>
          <w:sz w:val="26"/>
          <w:szCs w:val="26"/>
        </w:rPr>
        <w:t xml:space="preserve"> – 5%, 2018.gadā – 6%</w:t>
      </w:r>
      <w:r w:rsidR="00C94844">
        <w:rPr>
          <w:rFonts w:ascii="Times New Roman" w:hAnsi="Times New Roman"/>
          <w:sz w:val="26"/>
          <w:szCs w:val="26"/>
        </w:rPr>
        <w:t xml:space="preserve">, </w:t>
      </w:r>
      <w:r w:rsidR="00497B78" w:rsidRPr="00497B78">
        <w:rPr>
          <w:rFonts w:ascii="Times New Roman" w:hAnsi="Times New Roman"/>
          <w:sz w:val="26"/>
          <w:szCs w:val="26"/>
        </w:rPr>
        <w:t>2019</w:t>
      </w:r>
      <w:r w:rsidR="00C94844">
        <w:rPr>
          <w:rFonts w:ascii="Times New Roman" w:hAnsi="Times New Roman"/>
          <w:sz w:val="26"/>
          <w:szCs w:val="26"/>
        </w:rPr>
        <w:t>.gadā 1,6%, bet 2020.gadā – 1%.</w:t>
      </w:r>
    </w:p>
    <w:p w14:paraId="2E2DD381" w14:textId="035E3EAA" w:rsidR="00857D63" w:rsidRPr="00424678" w:rsidRDefault="00D52E97" w:rsidP="00593F91">
      <w:pPr>
        <w:ind w:firstLine="567"/>
        <w:jc w:val="both"/>
        <w:rPr>
          <w:rFonts w:ascii="Times New Roman" w:hAnsi="Times New Roman"/>
          <w:sz w:val="26"/>
          <w:szCs w:val="26"/>
          <w:lang w:eastAsia="lv-LV"/>
        </w:rPr>
      </w:pPr>
      <w:r w:rsidRPr="000E4D26">
        <w:rPr>
          <w:rFonts w:ascii="Times New Roman" w:hAnsi="Times New Roman"/>
          <w:sz w:val="26"/>
          <w:szCs w:val="26"/>
          <w:lang w:eastAsia="lv-LV"/>
        </w:rPr>
        <w:t>A</w:t>
      </w:r>
      <w:r w:rsidR="00AB3AEF" w:rsidRPr="000E4D26">
        <w:rPr>
          <w:rFonts w:ascii="Times New Roman" w:hAnsi="Times New Roman"/>
          <w:sz w:val="26"/>
          <w:szCs w:val="26"/>
          <w:lang w:eastAsia="lv-LV"/>
        </w:rPr>
        <w:t>plūkojot</w:t>
      </w:r>
      <w:r w:rsidR="00034C68" w:rsidRPr="000E4D26">
        <w:rPr>
          <w:rFonts w:ascii="Times New Roman" w:hAnsi="Times New Roman"/>
          <w:sz w:val="26"/>
          <w:szCs w:val="26"/>
          <w:lang w:eastAsia="lv-LV"/>
        </w:rPr>
        <w:t xml:space="preserve"> </w:t>
      </w:r>
      <w:r w:rsidR="00AB3AEF" w:rsidRPr="000E4D26">
        <w:rPr>
          <w:rFonts w:ascii="Times New Roman" w:hAnsi="Times New Roman"/>
          <w:sz w:val="26"/>
          <w:szCs w:val="26"/>
          <w:lang w:eastAsia="lv-LV"/>
        </w:rPr>
        <w:t>statistiku par TU</w:t>
      </w:r>
      <w:r w:rsidR="00CB2A3D" w:rsidRPr="000E4D26">
        <w:rPr>
          <w:rFonts w:ascii="Times New Roman" w:hAnsi="Times New Roman"/>
          <w:sz w:val="26"/>
          <w:szCs w:val="26"/>
          <w:lang w:eastAsia="lv-LV"/>
        </w:rPr>
        <w:t>A pieteicēju izcelsmes valstīm</w:t>
      </w:r>
      <w:r w:rsidRPr="000E4D26">
        <w:rPr>
          <w:rFonts w:ascii="Times New Roman" w:hAnsi="Times New Roman"/>
          <w:sz w:val="26"/>
          <w:szCs w:val="26"/>
          <w:lang w:eastAsia="lv-LV"/>
        </w:rPr>
        <w:t xml:space="preserve">, var secināt, ka TUA pieprasījuši vairāk nekā </w:t>
      </w:r>
      <w:r w:rsidR="000E4D26" w:rsidRPr="000E4D26">
        <w:rPr>
          <w:rFonts w:ascii="Times New Roman" w:hAnsi="Times New Roman"/>
          <w:sz w:val="26"/>
          <w:szCs w:val="26"/>
          <w:lang w:eastAsia="lv-LV"/>
        </w:rPr>
        <w:t>6</w:t>
      </w:r>
      <w:r w:rsidRPr="000E4D26">
        <w:rPr>
          <w:rFonts w:ascii="Times New Roman" w:hAnsi="Times New Roman"/>
          <w:sz w:val="26"/>
          <w:szCs w:val="26"/>
          <w:lang w:eastAsia="lv-LV"/>
        </w:rPr>
        <w:t>0 valstu pilsoņi</w:t>
      </w:r>
      <w:r w:rsidR="000E4D26" w:rsidRPr="000E4D26">
        <w:rPr>
          <w:rFonts w:ascii="Times New Roman" w:hAnsi="Times New Roman"/>
          <w:sz w:val="26"/>
          <w:szCs w:val="26"/>
          <w:lang w:eastAsia="lv-LV"/>
        </w:rPr>
        <w:t>.</w:t>
      </w:r>
      <w:r w:rsidR="00C94844">
        <w:rPr>
          <w:rFonts w:ascii="Times New Roman" w:hAnsi="Times New Roman"/>
          <w:sz w:val="26"/>
          <w:szCs w:val="26"/>
          <w:lang w:eastAsia="lv-LV"/>
        </w:rPr>
        <w:t xml:space="preserve"> Vislielākais ir </w:t>
      </w:r>
      <w:r w:rsidR="000E4D26" w:rsidRPr="000E4D26">
        <w:rPr>
          <w:rFonts w:ascii="Times New Roman" w:hAnsi="Times New Roman"/>
          <w:sz w:val="26"/>
          <w:szCs w:val="26"/>
          <w:lang w:eastAsia="lv-LV"/>
        </w:rPr>
        <w:t xml:space="preserve">Krievijas Federācijas pilsoņu īpatsvars </w:t>
      </w:r>
      <w:r w:rsidR="00C94844">
        <w:rPr>
          <w:rFonts w:ascii="Times New Roman" w:hAnsi="Times New Roman"/>
          <w:sz w:val="26"/>
          <w:szCs w:val="26"/>
          <w:lang w:eastAsia="lv-LV"/>
        </w:rPr>
        <w:t>– 66%. Pārskata periodā nav turpināj</w:t>
      </w:r>
      <w:r w:rsidR="00B84E3F">
        <w:rPr>
          <w:rFonts w:ascii="Times New Roman" w:hAnsi="Times New Roman"/>
          <w:sz w:val="26"/>
          <w:szCs w:val="26"/>
          <w:lang w:eastAsia="lv-LV"/>
        </w:rPr>
        <w:t>u</w:t>
      </w:r>
      <w:r w:rsidR="00C94844">
        <w:rPr>
          <w:rFonts w:ascii="Times New Roman" w:hAnsi="Times New Roman"/>
          <w:sz w:val="26"/>
          <w:szCs w:val="26"/>
          <w:lang w:eastAsia="lv-LV"/>
        </w:rPr>
        <w:t>sies iepriekšējā ziņojumā norādītā tendence palielināties V</w:t>
      </w:r>
      <w:r w:rsidR="000E4D26" w:rsidRPr="000E4D26">
        <w:rPr>
          <w:rFonts w:ascii="Times New Roman" w:hAnsi="Times New Roman"/>
          <w:sz w:val="26"/>
          <w:szCs w:val="26"/>
          <w:lang w:eastAsia="lv-LV"/>
        </w:rPr>
        <w:t>jetnamas pilsoņu pieteikumu skaita īpatsvara</w:t>
      </w:r>
      <w:r w:rsidR="00C94844">
        <w:rPr>
          <w:rFonts w:ascii="Times New Roman" w:hAnsi="Times New Roman"/>
          <w:sz w:val="26"/>
          <w:szCs w:val="26"/>
          <w:lang w:eastAsia="lv-LV"/>
        </w:rPr>
        <w:t xml:space="preserve">m, jo, ja </w:t>
      </w:r>
      <w:r w:rsidR="000E4D26" w:rsidRPr="000E4D26">
        <w:rPr>
          <w:rFonts w:ascii="Times New Roman" w:hAnsi="Times New Roman"/>
          <w:sz w:val="26"/>
          <w:szCs w:val="26"/>
          <w:lang w:eastAsia="lv-LV"/>
        </w:rPr>
        <w:t xml:space="preserve">2018.gadā </w:t>
      </w:r>
      <w:r w:rsidR="00B84E3F">
        <w:rPr>
          <w:rFonts w:ascii="Times New Roman" w:hAnsi="Times New Roman"/>
          <w:sz w:val="26"/>
          <w:szCs w:val="26"/>
          <w:lang w:eastAsia="lv-LV"/>
        </w:rPr>
        <w:t xml:space="preserve">Vjetnamas investoru pieteikumi, kas bija saistīti ar ieguldījumu veikšanu ierobežotā skaitā kapitālsabiedrību, </w:t>
      </w:r>
      <w:r w:rsidR="00C94844">
        <w:rPr>
          <w:rFonts w:ascii="Times New Roman" w:hAnsi="Times New Roman"/>
          <w:sz w:val="26"/>
          <w:szCs w:val="26"/>
          <w:lang w:eastAsia="lv-LV"/>
        </w:rPr>
        <w:t xml:space="preserve">veidoja </w:t>
      </w:r>
      <w:r w:rsidR="00B84E3F">
        <w:rPr>
          <w:rFonts w:ascii="Times New Roman" w:hAnsi="Times New Roman"/>
          <w:sz w:val="26"/>
          <w:szCs w:val="26"/>
          <w:lang w:eastAsia="lv-LV"/>
        </w:rPr>
        <w:t xml:space="preserve">25%, tad 2019.gadā - 24%, bet 2020.gadā – tikai 17% </w:t>
      </w:r>
      <w:r w:rsidR="000E4D26" w:rsidRPr="000E4D26">
        <w:rPr>
          <w:rFonts w:ascii="Times New Roman" w:hAnsi="Times New Roman"/>
          <w:sz w:val="26"/>
          <w:szCs w:val="26"/>
          <w:lang w:eastAsia="lv-LV"/>
        </w:rPr>
        <w:t>no kopējā attiecīgajā periodā saņemto pieteikumu skaita</w:t>
      </w:r>
      <w:r w:rsidR="00B84E3F">
        <w:rPr>
          <w:rFonts w:ascii="Times New Roman" w:hAnsi="Times New Roman"/>
          <w:sz w:val="26"/>
          <w:szCs w:val="26"/>
          <w:lang w:eastAsia="lv-LV"/>
        </w:rPr>
        <w:t>. Neraugoties uz pieteikumu skaita īpatsvara samazināšanos, Vjetnama pēdējos gados ir kļuvusi par septīto lielāko investoru izcelsmes valsti.</w:t>
      </w:r>
    </w:p>
    <w:p w14:paraId="2F17C0F3" w14:textId="4D2D9423" w:rsidR="00AB3AEF" w:rsidRPr="00F264A7" w:rsidRDefault="00321A34" w:rsidP="00593F91">
      <w:pPr>
        <w:spacing w:before="120" w:after="120"/>
        <w:ind w:firstLine="567"/>
        <w:jc w:val="right"/>
        <w:rPr>
          <w:rFonts w:ascii="Times New Roman" w:hAnsi="Times New Roman"/>
          <w:sz w:val="24"/>
          <w:szCs w:val="24"/>
        </w:rPr>
      </w:pPr>
      <w:r w:rsidRPr="00F264A7">
        <w:rPr>
          <w:rFonts w:ascii="Times New Roman" w:hAnsi="Times New Roman"/>
          <w:sz w:val="24"/>
          <w:szCs w:val="24"/>
        </w:rPr>
        <w:t>2</w:t>
      </w:r>
      <w:r w:rsidR="00AB3AEF" w:rsidRPr="00F264A7">
        <w:rPr>
          <w:rFonts w:ascii="Times New Roman" w:hAnsi="Times New Roman"/>
          <w:sz w:val="24"/>
          <w:szCs w:val="24"/>
        </w:rPr>
        <w:t>.attēls</w:t>
      </w:r>
    </w:p>
    <w:p w14:paraId="3D51EFE3" w14:textId="77777777" w:rsidR="00AB3AEF" w:rsidRPr="004D4660" w:rsidRDefault="00AB3AEF" w:rsidP="004D4660">
      <w:pPr>
        <w:jc w:val="center"/>
        <w:rPr>
          <w:rFonts w:ascii="Times New Roman" w:hAnsi="Times New Roman"/>
          <w:b/>
          <w:sz w:val="24"/>
          <w:szCs w:val="24"/>
        </w:rPr>
      </w:pPr>
      <w:r w:rsidRPr="004D4660">
        <w:rPr>
          <w:rFonts w:ascii="Times New Roman" w:hAnsi="Times New Roman"/>
          <w:b/>
          <w:sz w:val="24"/>
          <w:szCs w:val="24"/>
        </w:rPr>
        <w:t>Ārvalstu investoru (TUA pieteicēju) sadalījums pēc valstiskās piederības</w:t>
      </w:r>
    </w:p>
    <w:p w14:paraId="0B6CA77E" w14:textId="4E55022F" w:rsidR="00AB3AEF" w:rsidRPr="004D4660" w:rsidRDefault="00B84E3F" w:rsidP="004D4660">
      <w:pPr>
        <w:spacing w:after="120"/>
        <w:jc w:val="center"/>
        <w:rPr>
          <w:rFonts w:ascii="Times New Roman" w:hAnsi="Times New Roman"/>
          <w:b/>
          <w:sz w:val="24"/>
          <w:szCs w:val="24"/>
        </w:rPr>
      </w:pPr>
      <w:r>
        <w:rPr>
          <w:rFonts w:ascii="Times New Roman" w:hAnsi="Times New Roman"/>
          <w:b/>
          <w:sz w:val="24"/>
          <w:szCs w:val="24"/>
        </w:rPr>
        <w:t>(01.07.2010.-31.12.2020</w:t>
      </w:r>
      <w:r w:rsidR="00AB3AEF" w:rsidRPr="004D4660">
        <w:rPr>
          <w:rFonts w:ascii="Times New Roman" w:hAnsi="Times New Roman"/>
          <w:b/>
          <w:sz w:val="24"/>
          <w:szCs w:val="24"/>
        </w:rPr>
        <w:t>.)</w:t>
      </w:r>
    </w:p>
    <w:p w14:paraId="62623FF3" w14:textId="77777777" w:rsidR="00AB3AEF" w:rsidRPr="00424678" w:rsidRDefault="00AB3AEF" w:rsidP="004D4660">
      <w:pPr>
        <w:jc w:val="center"/>
        <w:rPr>
          <w:rFonts w:ascii="Times New Roman" w:hAnsi="Times New Roman"/>
          <w:b/>
          <w:sz w:val="26"/>
          <w:szCs w:val="26"/>
        </w:rPr>
      </w:pPr>
      <w:r w:rsidRPr="00424678">
        <w:rPr>
          <w:rFonts w:ascii="Times New Roman" w:hAnsi="Times New Roman"/>
          <w:noProof/>
          <w:sz w:val="26"/>
          <w:szCs w:val="26"/>
          <w:lang w:val="en-GB" w:eastAsia="en-GB"/>
        </w:rPr>
        <w:drawing>
          <wp:inline distT="0" distB="0" distL="0" distR="0" wp14:anchorId="56A69820" wp14:editId="6209F0BA">
            <wp:extent cx="5867400" cy="3357562"/>
            <wp:effectExtent l="0" t="0" r="0" b="14605"/>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E3C2970" w14:textId="1A4CEEDD" w:rsidR="00AB3AEF" w:rsidRPr="00424678" w:rsidRDefault="00AB3AEF" w:rsidP="0002055B">
      <w:pPr>
        <w:ind w:firstLine="567"/>
        <w:jc w:val="both"/>
        <w:rPr>
          <w:rFonts w:ascii="Times New Roman" w:hAnsi="Times New Roman"/>
          <w:b/>
          <w:szCs w:val="26"/>
        </w:rPr>
      </w:pPr>
      <w:r w:rsidRPr="00424678">
        <w:rPr>
          <w:rFonts w:ascii="Times New Roman" w:hAnsi="Times New Roman"/>
          <w:i/>
          <w:szCs w:val="26"/>
        </w:rPr>
        <w:t>Avots: PMLP</w:t>
      </w:r>
      <w:r w:rsidR="006E7306">
        <w:rPr>
          <w:rFonts w:ascii="Times New Roman" w:hAnsi="Times New Roman"/>
          <w:i/>
          <w:szCs w:val="26"/>
        </w:rPr>
        <w:t xml:space="preserve"> dati</w:t>
      </w:r>
    </w:p>
    <w:p w14:paraId="150E9790" w14:textId="77777777" w:rsidR="00AB3AEF" w:rsidRPr="00424678" w:rsidRDefault="00AB3AEF" w:rsidP="0002055B">
      <w:pPr>
        <w:ind w:firstLine="567"/>
        <w:jc w:val="both"/>
        <w:rPr>
          <w:rFonts w:ascii="Times New Roman" w:hAnsi="Times New Roman"/>
          <w:sz w:val="26"/>
          <w:szCs w:val="26"/>
        </w:rPr>
      </w:pPr>
    </w:p>
    <w:p w14:paraId="3A259031" w14:textId="4F697D5E" w:rsidR="00EC2950" w:rsidRPr="000E4D26" w:rsidRDefault="0002055B" w:rsidP="00CD05F9">
      <w:pPr>
        <w:spacing w:after="120"/>
        <w:ind w:firstLine="567"/>
        <w:jc w:val="both"/>
        <w:rPr>
          <w:rFonts w:ascii="Times New Roman" w:hAnsi="Times New Roman"/>
          <w:sz w:val="26"/>
          <w:szCs w:val="26"/>
          <w:lang w:eastAsia="lv-LV"/>
        </w:rPr>
      </w:pPr>
      <w:r w:rsidRPr="00424678">
        <w:rPr>
          <w:rFonts w:ascii="Times New Roman" w:hAnsi="Times New Roman"/>
          <w:sz w:val="26"/>
          <w:szCs w:val="26"/>
        </w:rPr>
        <w:t>Kopumā a</w:t>
      </w:r>
      <w:r w:rsidR="00AB3AEF" w:rsidRPr="00424678">
        <w:rPr>
          <w:rFonts w:ascii="Times New Roman" w:hAnsi="Times New Roman"/>
          <w:sz w:val="26"/>
          <w:szCs w:val="26"/>
        </w:rPr>
        <w:t xml:space="preserve">ptuveni </w:t>
      </w:r>
      <w:r w:rsidR="0073230E">
        <w:rPr>
          <w:rFonts w:ascii="Times New Roman" w:hAnsi="Times New Roman"/>
          <w:sz w:val="26"/>
          <w:szCs w:val="26"/>
        </w:rPr>
        <w:t>86</w:t>
      </w:r>
      <w:r w:rsidR="00AB3AEF" w:rsidRPr="00424678">
        <w:rPr>
          <w:rFonts w:ascii="Times New Roman" w:hAnsi="Times New Roman"/>
          <w:sz w:val="26"/>
          <w:szCs w:val="26"/>
        </w:rPr>
        <w:t xml:space="preserve">% no visām TUA ir pieprasījuši investori no bijušajām PSRS republikām. Ārpus bijušās </w:t>
      </w:r>
      <w:r w:rsidR="00AB3AEF" w:rsidRPr="0073230E">
        <w:rPr>
          <w:rFonts w:ascii="Times New Roman" w:hAnsi="Times New Roman"/>
          <w:sz w:val="26"/>
          <w:szCs w:val="26"/>
        </w:rPr>
        <w:t xml:space="preserve">PSRS teritorijas lielākā investoru interese ir no </w:t>
      </w:r>
      <w:r w:rsidR="0073230E" w:rsidRPr="0073230E">
        <w:rPr>
          <w:rFonts w:ascii="Times New Roman" w:hAnsi="Times New Roman"/>
          <w:sz w:val="26"/>
          <w:szCs w:val="26"/>
        </w:rPr>
        <w:t>Āzijas valstīm - Ķīnas (kopā no 2010.gada - 1 537 jeb 8% TUA pieprasījumu), Vjetnamas (404 TUA pieprasījumu) un Pakistānas pilsoņu (106 TUA pieprasījumi)</w:t>
      </w:r>
      <w:r w:rsidR="006B1D84" w:rsidRPr="0073230E">
        <w:rPr>
          <w:rFonts w:ascii="Times New Roman" w:hAnsi="Times New Roman"/>
          <w:sz w:val="26"/>
          <w:szCs w:val="26"/>
        </w:rPr>
        <w:t>.</w:t>
      </w:r>
      <w:r w:rsidR="006B1D84" w:rsidRPr="00424678">
        <w:rPr>
          <w:rFonts w:ascii="Times New Roman" w:hAnsi="Times New Roman"/>
          <w:sz w:val="26"/>
          <w:szCs w:val="26"/>
        </w:rPr>
        <w:t xml:space="preserve"> </w:t>
      </w:r>
      <w:r w:rsidR="00424678" w:rsidRPr="00424678">
        <w:rPr>
          <w:rFonts w:ascii="Times New Roman" w:hAnsi="Times New Roman"/>
          <w:sz w:val="26"/>
          <w:szCs w:val="26"/>
          <w:lang w:eastAsia="lv-LV"/>
        </w:rPr>
        <w:t>(</w:t>
      </w:r>
      <w:r w:rsidR="00424678" w:rsidRPr="00424678">
        <w:rPr>
          <w:rFonts w:ascii="Times New Roman" w:hAnsi="Times New Roman"/>
          <w:i/>
          <w:sz w:val="26"/>
          <w:szCs w:val="26"/>
          <w:lang w:eastAsia="lv-LV"/>
        </w:rPr>
        <w:t>detalizētāka</w:t>
      </w:r>
      <w:r w:rsidR="00424678" w:rsidRPr="000E4D26">
        <w:rPr>
          <w:rFonts w:ascii="Times New Roman" w:hAnsi="Times New Roman"/>
          <w:i/>
          <w:sz w:val="26"/>
          <w:szCs w:val="26"/>
          <w:lang w:eastAsia="lv-LV"/>
        </w:rPr>
        <w:t xml:space="preserve"> informācija par TUA pieteicēju izcelsmes valstīm pielikumā nr.1</w:t>
      </w:r>
      <w:r w:rsidR="00424678" w:rsidRPr="000E4D26">
        <w:rPr>
          <w:rFonts w:ascii="Times New Roman" w:hAnsi="Times New Roman"/>
          <w:sz w:val="26"/>
          <w:szCs w:val="26"/>
          <w:lang w:eastAsia="lv-LV"/>
        </w:rPr>
        <w:t xml:space="preserve">). </w:t>
      </w:r>
    </w:p>
    <w:p w14:paraId="46C1E167" w14:textId="59C41793" w:rsidR="00B80FFC" w:rsidRPr="0073230E" w:rsidRDefault="00B80FFC" w:rsidP="00ED4CAE">
      <w:pPr>
        <w:spacing w:after="120"/>
        <w:ind w:firstLine="720"/>
        <w:jc w:val="both"/>
        <w:rPr>
          <w:rFonts w:ascii="Times New Roman" w:hAnsi="Times New Roman"/>
          <w:sz w:val="26"/>
          <w:szCs w:val="26"/>
        </w:rPr>
      </w:pPr>
      <w:r w:rsidRPr="0073230E">
        <w:rPr>
          <w:rFonts w:ascii="Times New Roman" w:hAnsi="Times New Roman"/>
          <w:sz w:val="26"/>
          <w:szCs w:val="26"/>
        </w:rPr>
        <w:t>Salīdzinot datus par kopējām ikgadējām nerezidentu investīciju plūsmām Latvijas ekonomikā un piesaistītajām investīcijām izmantojot TUA, redzams, ka pēdējās ir visai nelielā apjomā (</w:t>
      </w:r>
      <w:r w:rsidR="00EB2AFB" w:rsidRPr="0073230E">
        <w:rPr>
          <w:rFonts w:ascii="Times New Roman" w:hAnsi="Times New Roman"/>
          <w:sz w:val="26"/>
          <w:szCs w:val="26"/>
        </w:rPr>
        <w:t xml:space="preserve">skatīt </w:t>
      </w:r>
      <w:r w:rsidRPr="0073230E">
        <w:rPr>
          <w:rFonts w:ascii="Times New Roman" w:hAnsi="Times New Roman"/>
          <w:sz w:val="26"/>
          <w:szCs w:val="26"/>
        </w:rPr>
        <w:t>3.attēl</w:t>
      </w:r>
      <w:r w:rsidR="00EB2AFB" w:rsidRPr="0073230E">
        <w:rPr>
          <w:rFonts w:ascii="Times New Roman" w:hAnsi="Times New Roman"/>
          <w:sz w:val="26"/>
          <w:szCs w:val="26"/>
        </w:rPr>
        <w:t>u</w:t>
      </w:r>
      <w:r w:rsidRPr="008B69BB">
        <w:rPr>
          <w:rFonts w:ascii="Times New Roman" w:hAnsi="Times New Roman"/>
          <w:sz w:val="26"/>
          <w:szCs w:val="26"/>
        </w:rPr>
        <w:t>)</w:t>
      </w:r>
      <w:r w:rsidR="00340CC3" w:rsidRPr="008B69BB">
        <w:rPr>
          <w:rFonts w:ascii="Times New Roman" w:hAnsi="Times New Roman"/>
          <w:sz w:val="26"/>
          <w:szCs w:val="26"/>
        </w:rPr>
        <w:t>, turklāt</w:t>
      </w:r>
      <w:r w:rsidRPr="008B69BB">
        <w:rPr>
          <w:rFonts w:ascii="Times New Roman" w:hAnsi="Times New Roman"/>
          <w:sz w:val="26"/>
          <w:szCs w:val="26"/>
        </w:rPr>
        <w:t xml:space="preserve"> kopš 2014.gada </w:t>
      </w:r>
      <w:r w:rsidR="00ED4CAE" w:rsidRPr="008B69BB">
        <w:rPr>
          <w:rFonts w:ascii="Times New Roman" w:hAnsi="Times New Roman"/>
          <w:sz w:val="26"/>
          <w:szCs w:val="26"/>
        </w:rPr>
        <w:t>samazinās.</w:t>
      </w:r>
      <w:r w:rsidRPr="008B69BB">
        <w:rPr>
          <w:rFonts w:ascii="Times New Roman" w:hAnsi="Times New Roman"/>
          <w:sz w:val="26"/>
          <w:szCs w:val="26"/>
        </w:rPr>
        <w:t xml:space="preserve"> Tas norāda, ka TUA programmas, kā ārvalstu investīciju piesaisti veicinoša instrumenta, efektivitāte ir vāja, un tā nav motivators investīciju piesaistei. Uz to ir norādījusi arī Finanšu nozares asociācija, vērtējot programmas iepriekšējo gadu rezultātus</w:t>
      </w:r>
      <w:r w:rsidRPr="008B69BB">
        <w:rPr>
          <w:rStyle w:val="FootnoteReference"/>
          <w:rFonts w:ascii="Times New Roman" w:hAnsi="Times New Roman"/>
          <w:sz w:val="26"/>
          <w:szCs w:val="26"/>
        </w:rPr>
        <w:footnoteReference w:id="1"/>
      </w:r>
      <w:r w:rsidRPr="008B69BB">
        <w:rPr>
          <w:rFonts w:ascii="Times New Roman" w:hAnsi="Times New Roman"/>
          <w:sz w:val="26"/>
          <w:szCs w:val="26"/>
        </w:rPr>
        <w:t xml:space="preserve">. Ja 2014.gadā nerezidentu ieguldījumi, kas </w:t>
      </w:r>
      <w:r w:rsidR="00340CC3" w:rsidRPr="008B69BB">
        <w:rPr>
          <w:rFonts w:ascii="Times New Roman" w:hAnsi="Times New Roman"/>
          <w:sz w:val="26"/>
          <w:szCs w:val="26"/>
        </w:rPr>
        <w:t>saistīti ar TUA saņemšanu, salīdzinājumā pret kopējiem nerezidentu ieguldījumiem Latvijas ekonomikā, pārsniedza 11%,  tad 2018. un 2019. gadā tie bija vairs tikai 0,5%. Covid-19 pandēmija un tās ierobežošanas pasākumi vēl vairāk pastiprina iepriekšējos gados lejupvērsto tendenci.</w:t>
      </w:r>
    </w:p>
    <w:p w14:paraId="602DF65C" w14:textId="77777777" w:rsidR="00F264A7" w:rsidRPr="0073230E" w:rsidRDefault="00F264A7" w:rsidP="00F264A7">
      <w:pPr>
        <w:tabs>
          <w:tab w:val="center" w:pos="426"/>
        </w:tabs>
        <w:spacing w:after="120"/>
        <w:ind w:firstLine="567"/>
        <w:jc w:val="right"/>
        <w:rPr>
          <w:rFonts w:ascii="Times New Roman" w:hAnsi="Times New Roman"/>
          <w:sz w:val="24"/>
          <w:szCs w:val="24"/>
        </w:rPr>
      </w:pPr>
    </w:p>
    <w:p w14:paraId="3477A088" w14:textId="4C07BEC2" w:rsidR="00424678" w:rsidRPr="0073230E" w:rsidRDefault="00424678" w:rsidP="00F264A7">
      <w:pPr>
        <w:tabs>
          <w:tab w:val="center" w:pos="426"/>
        </w:tabs>
        <w:spacing w:after="120"/>
        <w:ind w:firstLine="567"/>
        <w:jc w:val="right"/>
        <w:rPr>
          <w:rFonts w:ascii="Times New Roman" w:hAnsi="Times New Roman"/>
          <w:sz w:val="24"/>
          <w:szCs w:val="24"/>
        </w:rPr>
      </w:pPr>
      <w:r w:rsidRPr="0073230E">
        <w:rPr>
          <w:rFonts w:ascii="Times New Roman" w:hAnsi="Times New Roman"/>
          <w:sz w:val="24"/>
          <w:szCs w:val="24"/>
        </w:rPr>
        <w:t>3. attēls</w:t>
      </w:r>
    </w:p>
    <w:p w14:paraId="3E76A183" w14:textId="77777777" w:rsidR="00AF6A9F" w:rsidRPr="0073230E" w:rsidRDefault="00AF6A9F" w:rsidP="00AF6A9F">
      <w:pPr>
        <w:spacing w:after="120"/>
        <w:jc w:val="center"/>
        <w:rPr>
          <w:rFonts w:ascii="Times New Roman" w:hAnsi="Times New Roman"/>
          <w:b/>
          <w:sz w:val="24"/>
          <w:szCs w:val="24"/>
        </w:rPr>
      </w:pPr>
      <w:r w:rsidRPr="0073230E">
        <w:rPr>
          <w:rFonts w:ascii="Times New Roman" w:hAnsi="Times New Roman"/>
          <w:b/>
          <w:sz w:val="24"/>
          <w:szCs w:val="24"/>
        </w:rPr>
        <w:t>Nerezidentu tiešās investīcijas Latvijā (ienākošās un izejošās plūsmas) un</w:t>
      </w:r>
      <w:r w:rsidRPr="0073230E">
        <w:rPr>
          <w:sz w:val="24"/>
          <w:szCs w:val="24"/>
        </w:rPr>
        <w:t xml:space="preserve"> </w:t>
      </w:r>
      <w:r w:rsidRPr="0073230E">
        <w:rPr>
          <w:rFonts w:ascii="Times New Roman" w:hAnsi="Times New Roman"/>
          <w:b/>
          <w:sz w:val="24"/>
          <w:szCs w:val="24"/>
        </w:rPr>
        <w:t xml:space="preserve">nerezidentu ieguldījumi, kas saistīti ar TUA saņemšanu, milj. </w:t>
      </w:r>
      <w:r w:rsidRPr="0073230E">
        <w:rPr>
          <w:rFonts w:ascii="Times New Roman" w:hAnsi="Times New Roman"/>
          <w:b/>
          <w:i/>
          <w:sz w:val="24"/>
          <w:szCs w:val="24"/>
        </w:rPr>
        <w:t>euro</w:t>
      </w:r>
    </w:p>
    <w:p w14:paraId="681EFA4D" w14:textId="77777777" w:rsidR="00AF6A9F" w:rsidRPr="0073230E" w:rsidRDefault="00AF6A9F" w:rsidP="00AF6A9F">
      <w:pPr>
        <w:spacing w:after="120"/>
        <w:jc w:val="center"/>
        <w:rPr>
          <w:rFonts w:ascii="Times New Roman" w:hAnsi="Times New Roman"/>
          <w:b/>
          <w:i/>
          <w:color w:val="632423" w:themeColor="accent2" w:themeShade="80"/>
          <w:sz w:val="24"/>
          <w:szCs w:val="24"/>
        </w:rPr>
      </w:pPr>
      <w:r w:rsidRPr="0073230E">
        <w:rPr>
          <w:noProof/>
          <w:color w:val="632423" w:themeColor="accent2" w:themeShade="80"/>
          <w:lang w:val="en-GB" w:eastAsia="en-GB"/>
        </w:rPr>
        <w:drawing>
          <wp:inline distT="0" distB="0" distL="0" distR="0" wp14:anchorId="4DFBDAD1" wp14:editId="57CC9095">
            <wp:extent cx="5715000" cy="3409950"/>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A84975E-1C8D-4E6E-A44F-58F6B00CD6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754267" w14:textId="77777777" w:rsidR="00AF6A9F" w:rsidRPr="0073230E" w:rsidRDefault="00AF6A9F" w:rsidP="00AF6A9F">
      <w:pPr>
        <w:rPr>
          <w:rFonts w:ascii="Times New Roman" w:hAnsi="Times New Roman"/>
          <w:i/>
        </w:rPr>
      </w:pPr>
      <w:r w:rsidRPr="0073230E">
        <w:rPr>
          <w:rFonts w:ascii="Times New Roman" w:hAnsi="Times New Roman"/>
          <w:i/>
        </w:rPr>
        <w:t xml:space="preserve">   Avots: LB un PMLP dati</w:t>
      </w:r>
    </w:p>
    <w:p w14:paraId="54B02D80" w14:textId="77777777" w:rsidR="006E7306" w:rsidRPr="0073230E" w:rsidRDefault="006E7306" w:rsidP="00C54A82">
      <w:pPr>
        <w:jc w:val="both"/>
        <w:rPr>
          <w:rFonts w:ascii="Times New Roman" w:hAnsi="Times New Roman"/>
          <w:sz w:val="26"/>
          <w:szCs w:val="26"/>
        </w:rPr>
      </w:pPr>
    </w:p>
    <w:p w14:paraId="50AD6EA4" w14:textId="251DE541" w:rsidR="00663B2E" w:rsidRPr="0073230E" w:rsidRDefault="0007220D" w:rsidP="00663B2E">
      <w:pPr>
        <w:spacing w:after="120"/>
        <w:ind w:firstLine="720"/>
        <w:jc w:val="both"/>
        <w:rPr>
          <w:rFonts w:ascii="Times New Roman" w:hAnsi="Times New Roman"/>
          <w:sz w:val="26"/>
          <w:szCs w:val="26"/>
        </w:rPr>
      </w:pPr>
      <w:r w:rsidRPr="008B69BB">
        <w:rPr>
          <w:rFonts w:ascii="Times New Roman" w:hAnsi="Times New Roman"/>
          <w:sz w:val="26"/>
          <w:szCs w:val="26"/>
        </w:rPr>
        <w:t>Lielāko</w:t>
      </w:r>
      <w:r w:rsidR="00663B2E" w:rsidRPr="008B69BB">
        <w:rPr>
          <w:rFonts w:ascii="Times New Roman" w:hAnsi="Times New Roman"/>
          <w:sz w:val="26"/>
          <w:szCs w:val="26"/>
        </w:rPr>
        <w:t xml:space="preserve"> d</w:t>
      </w:r>
      <w:r w:rsidR="00663B2E" w:rsidRPr="0073230E">
        <w:rPr>
          <w:rFonts w:ascii="Times New Roman" w:hAnsi="Times New Roman"/>
          <w:sz w:val="26"/>
          <w:szCs w:val="26"/>
        </w:rPr>
        <w:t>aļu no uz TUA attiecināmajiem ieguldījumiem veido ieguldījumi nekustamajā īpašumā, kuru apjoms kopš 2014.gada ir ievērojami krities (1.tabula).  Viens no iemesliem ir veiktās izmaiņas Imigrācijas likumā (08.05.2014. likums “Grozījumi Imigrācijas likumā” (LV, 98 (5158), 22.05.2014.), kur tika paaugstināta nekustamā īpašuma iegādes darījuma summa, lai pieteiktos TUA saņemšanai (</w:t>
      </w:r>
      <w:r w:rsidR="00663B2E" w:rsidRPr="0073230E">
        <w:rPr>
          <w:rFonts w:ascii="Times New Roman" w:hAnsi="Times New Roman"/>
          <w:i/>
          <w:iCs/>
          <w:sz w:val="26"/>
          <w:szCs w:val="26"/>
        </w:rPr>
        <w:t>detalizētāka informācija par veiktajām izmaiņām Imigrācijas likumā sniegta 6.pielikumā</w:t>
      </w:r>
      <w:r w:rsidR="00663B2E" w:rsidRPr="0073230E">
        <w:rPr>
          <w:rFonts w:ascii="Times New Roman" w:hAnsi="Times New Roman"/>
          <w:sz w:val="26"/>
          <w:szCs w:val="26"/>
        </w:rPr>
        <w:t>). Ne mazāk svarīgs faktors ir arī politiskā un ekonomiskā situācija nerezidentu izcelsmes valstīs. Ņemot vērā, ka lielākā daļa TUA pieteicēju (investoru) kopš programmas sākuma ir bijuši Krievijas Federācijas pilsoņi, ar TUA saistīto ieguldījumu apjomu samazinājumu ietekmē arī vājā un nestabilā ekonomiskā situācija Krievijā, kas vērojama kopš 2014. gada un ko ietekmē ģeopolitiskā situācija reģionā.</w:t>
      </w:r>
    </w:p>
    <w:p w14:paraId="287A5ACD" w14:textId="77777777" w:rsidR="00663B2E" w:rsidRPr="0073230E" w:rsidRDefault="00663B2E" w:rsidP="00663B2E">
      <w:pPr>
        <w:spacing w:after="120"/>
        <w:ind w:firstLine="720"/>
        <w:jc w:val="both"/>
        <w:rPr>
          <w:rFonts w:ascii="Times New Roman" w:hAnsi="Times New Roman"/>
          <w:sz w:val="26"/>
          <w:szCs w:val="26"/>
        </w:rPr>
      </w:pPr>
      <w:r w:rsidRPr="0073230E">
        <w:rPr>
          <w:rFonts w:ascii="Times New Roman" w:hAnsi="Times New Roman"/>
          <w:sz w:val="26"/>
          <w:szCs w:val="26"/>
        </w:rPr>
        <w:t xml:space="preserve">Bez tam ar TUA saistīto ieguldījumu apmēra samazinājumu ir ietekmējuši arī pēdējos gados veiktie pasākumi, lai pastiprinātu uzraudzību nerezidentu noguldījumiem Latvijas komercbankās. Ieguldījumi kredītiestāžu pakārtotajās saistībās pēc to kopējā apjoma ir otri lielākie uz TUA attiecināmie ieguldījumi, taču kopš 2018. gada Latvijas kredītiestāžu pakārtotajās saistībās nav veikts neviens ieguldījums. </w:t>
      </w:r>
    </w:p>
    <w:p w14:paraId="76EE3728" w14:textId="60D4ABBB" w:rsidR="008122A2" w:rsidRDefault="00663B2E" w:rsidP="00EB2AFB">
      <w:pPr>
        <w:spacing w:after="120"/>
        <w:ind w:firstLine="720"/>
        <w:jc w:val="both"/>
        <w:rPr>
          <w:rFonts w:ascii="Times New Roman" w:hAnsi="Times New Roman"/>
          <w:sz w:val="26"/>
          <w:szCs w:val="26"/>
        </w:rPr>
      </w:pPr>
      <w:r w:rsidRPr="0073230E">
        <w:rPr>
          <w:rFonts w:ascii="Times New Roman" w:hAnsi="Times New Roman"/>
          <w:sz w:val="26"/>
          <w:szCs w:val="26"/>
        </w:rPr>
        <w:t>Ar TUA mehānismu piesaistīto ieguldījumu apjomu svārstības ietekmē arī konkurences faktori. Jāatzīmē, ka līdzīgas ārvalstu investīciju piesaistes programmas darbojas arī citās Eiropas Savienības valstīs (piemēram, Ungārijā, Čehijā, Bulgārijā, Grieķijā, Spānijā u.c.). Politikas maiņa minētajās valstīs ietekmē arī potenciālo investoru motivāciju investēšanas valsts izvēlē. Zināma ietekme ir arī kopējai Eiropas Savienības nostājai attiecībā uz investīciju piesaisti no paaugstināta riska reģioniem (piemēram, Krievijas, Ķīnas).</w:t>
      </w:r>
    </w:p>
    <w:p w14:paraId="2A9AC30F" w14:textId="77777777" w:rsidR="00671283" w:rsidRPr="00EB2AFB" w:rsidRDefault="00671283" w:rsidP="00EB2AFB">
      <w:pPr>
        <w:spacing w:after="120"/>
        <w:ind w:firstLine="720"/>
        <w:jc w:val="both"/>
        <w:rPr>
          <w:rFonts w:ascii="Times New Roman" w:hAnsi="Times New Roman"/>
          <w:sz w:val="26"/>
          <w:szCs w:val="26"/>
        </w:rPr>
      </w:pPr>
    </w:p>
    <w:p w14:paraId="2BC6E714" w14:textId="77777777" w:rsidR="008122A2" w:rsidRDefault="008122A2" w:rsidP="009F711D">
      <w:pPr>
        <w:spacing w:after="120"/>
        <w:jc w:val="center"/>
        <w:rPr>
          <w:rFonts w:ascii="Times New Roman" w:hAnsi="Times New Roman"/>
          <w:b/>
          <w:sz w:val="26"/>
          <w:szCs w:val="26"/>
        </w:rPr>
      </w:pPr>
      <w:r w:rsidRPr="00424678">
        <w:rPr>
          <w:rFonts w:ascii="Times New Roman" w:hAnsi="Times New Roman"/>
          <w:b/>
          <w:sz w:val="26"/>
          <w:szCs w:val="26"/>
        </w:rPr>
        <w:t>Ar investīciju programmu saistīto uzņēmumu samaksātie nodokļi</w:t>
      </w:r>
    </w:p>
    <w:p w14:paraId="57EDE7B2" w14:textId="77777777" w:rsidR="0021121A" w:rsidRPr="00424678" w:rsidRDefault="0021121A" w:rsidP="009F711D">
      <w:pPr>
        <w:spacing w:after="120"/>
        <w:jc w:val="center"/>
        <w:rPr>
          <w:rFonts w:ascii="Times New Roman" w:hAnsi="Times New Roman"/>
          <w:b/>
          <w:sz w:val="26"/>
          <w:szCs w:val="26"/>
        </w:rPr>
      </w:pPr>
    </w:p>
    <w:p w14:paraId="583B2E73" w14:textId="26964D24" w:rsidR="00491B71" w:rsidRPr="006C3752" w:rsidRDefault="007114EF" w:rsidP="00410265">
      <w:pPr>
        <w:spacing w:after="120"/>
        <w:ind w:firstLine="567"/>
        <w:jc w:val="both"/>
        <w:rPr>
          <w:rFonts w:ascii="Times New Roman" w:hAnsi="Times New Roman"/>
          <w:sz w:val="26"/>
          <w:szCs w:val="26"/>
        </w:rPr>
      </w:pPr>
      <w:r w:rsidRPr="006C3752">
        <w:rPr>
          <w:rFonts w:ascii="Times New Roman" w:hAnsi="Times New Roman"/>
          <w:sz w:val="26"/>
          <w:szCs w:val="26"/>
        </w:rPr>
        <w:t xml:space="preserve">Saskaņā ar VID </w:t>
      </w:r>
      <w:r w:rsidR="000D07AE" w:rsidRPr="006C3752">
        <w:rPr>
          <w:rFonts w:ascii="Times New Roman" w:hAnsi="Times New Roman"/>
          <w:sz w:val="26"/>
          <w:szCs w:val="26"/>
        </w:rPr>
        <w:t>sniegto informāciju</w:t>
      </w:r>
      <w:r w:rsidR="001F24A8" w:rsidRPr="006C3752">
        <w:rPr>
          <w:rStyle w:val="FootnoteReference"/>
          <w:rFonts w:ascii="Times New Roman" w:hAnsi="Times New Roman"/>
          <w:sz w:val="26"/>
          <w:szCs w:val="26"/>
        </w:rPr>
        <w:footnoteReference w:id="2"/>
      </w:r>
      <w:r w:rsidR="00342E92" w:rsidRPr="006C3752">
        <w:rPr>
          <w:rFonts w:ascii="Times New Roman" w:hAnsi="Times New Roman"/>
          <w:sz w:val="26"/>
          <w:szCs w:val="26"/>
        </w:rPr>
        <w:t>,</w:t>
      </w:r>
      <w:r w:rsidRPr="006C3752">
        <w:rPr>
          <w:rFonts w:ascii="Times New Roman" w:hAnsi="Times New Roman"/>
          <w:sz w:val="26"/>
          <w:szCs w:val="26"/>
        </w:rPr>
        <w:t xml:space="preserve"> </w:t>
      </w:r>
      <w:r w:rsidR="001F24A8" w:rsidRPr="006C3752">
        <w:rPr>
          <w:rFonts w:ascii="Times New Roman" w:hAnsi="Times New Roman"/>
          <w:sz w:val="26"/>
          <w:szCs w:val="26"/>
        </w:rPr>
        <w:t>p</w:t>
      </w:r>
      <w:r w:rsidR="00342E92" w:rsidRPr="006C3752">
        <w:rPr>
          <w:rFonts w:ascii="Times New Roman" w:hAnsi="Times New Roman"/>
          <w:sz w:val="26"/>
          <w:szCs w:val="26"/>
        </w:rPr>
        <w:t xml:space="preserve">ar </w:t>
      </w:r>
      <w:r w:rsidR="00586D66" w:rsidRPr="006C3752">
        <w:rPr>
          <w:rFonts w:ascii="Times New Roman" w:hAnsi="Times New Roman"/>
          <w:sz w:val="26"/>
          <w:szCs w:val="26"/>
        </w:rPr>
        <w:t>ārzemniekiem</w:t>
      </w:r>
      <w:r w:rsidR="00342E92" w:rsidRPr="006C3752">
        <w:rPr>
          <w:rFonts w:ascii="Times New Roman" w:hAnsi="Times New Roman"/>
          <w:sz w:val="26"/>
          <w:szCs w:val="26"/>
        </w:rPr>
        <w:t>, kuri TUA saņēmuši</w:t>
      </w:r>
      <w:r w:rsidR="000B6094" w:rsidRPr="006C3752">
        <w:t xml:space="preserve"> </w:t>
      </w:r>
      <w:r w:rsidR="00342E92" w:rsidRPr="006C3752">
        <w:rPr>
          <w:rFonts w:ascii="Times New Roman" w:hAnsi="Times New Roman"/>
          <w:sz w:val="26"/>
          <w:szCs w:val="26"/>
        </w:rPr>
        <w:t>investīciju programmas ietvaros, saistītie uzņēmumi</w:t>
      </w:r>
      <w:r w:rsidR="00851B7F" w:rsidRPr="006C3752">
        <w:rPr>
          <w:rStyle w:val="FootnoteReference"/>
          <w:rFonts w:ascii="Times New Roman" w:hAnsi="Times New Roman"/>
          <w:sz w:val="26"/>
          <w:szCs w:val="26"/>
        </w:rPr>
        <w:footnoteReference w:id="3"/>
      </w:r>
      <w:r w:rsidR="00342E92" w:rsidRPr="006C3752">
        <w:rPr>
          <w:rFonts w:ascii="Times New Roman" w:hAnsi="Times New Roman"/>
          <w:sz w:val="26"/>
          <w:szCs w:val="26"/>
        </w:rPr>
        <w:t xml:space="preserve"> </w:t>
      </w:r>
      <w:r w:rsidRPr="006C3752">
        <w:rPr>
          <w:rFonts w:ascii="Times New Roman" w:hAnsi="Times New Roman"/>
          <w:sz w:val="26"/>
          <w:szCs w:val="26"/>
        </w:rPr>
        <w:t>kopā 201</w:t>
      </w:r>
      <w:r w:rsidR="0018291D" w:rsidRPr="006C3752">
        <w:rPr>
          <w:rFonts w:ascii="Times New Roman" w:hAnsi="Times New Roman"/>
          <w:sz w:val="26"/>
          <w:szCs w:val="26"/>
        </w:rPr>
        <w:t>9</w:t>
      </w:r>
      <w:r w:rsidRPr="006C3752">
        <w:rPr>
          <w:rFonts w:ascii="Times New Roman" w:hAnsi="Times New Roman"/>
          <w:sz w:val="26"/>
          <w:szCs w:val="26"/>
        </w:rPr>
        <w:t xml:space="preserve">.gadā valsts budžetā ir iemaksājuši nodokļus (atskaitot no valsts budžeta atmaksātos nodokļus) </w:t>
      </w:r>
      <w:r w:rsidR="0018291D" w:rsidRPr="006C3752">
        <w:rPr>
          <w:rFonts w:ascii="Times New Roman" w:hAnsi="Times New Roman"/>
          <w:sz w:val="26"/>
          <w:szCs w:val="26"/>
        </w:rPr>
        <w:t>46,9</w:t>
      </w:r>
      <w:r w:rsidRPr="006C3752">
        <w:rPr>
          <w:rFonts w:ascii="Times New Roman" w:hAnsi="Times New Roman"/>
          <w:sz w:val="26"/>
          <w:szCs w:val="26"/>
        </w:rPr>
        <w:t xml:space="preserve"> milj. </w:t>
      </w:r>
      <w:r w:rsidRPr="006C3752">
        <w:rPr>
          <w:rFonts w:ascii="Times New Roman" w:hAnsi="Times New Roman"/>
          <w:i/>
          <w:sz w:val="26"/>
          <w:szCs w:val="26"/>
        </w:rPr>
        <w:t>euro</w:t>
      </w:r>
      <w:r w:rsidRPr="006C3752">
        <w:rPr>
          <w:rFonts w:ascii="Times New Roman" w:hAnsi="Times New Roman"/>
          <w:sz w:val="26"/>
          <w:szCs w:val="26"/>
        </w:rPr>
        <w:t xml:space="preserve"> </w:t>
      </w:r>
      <w:r w:rsidR="00E879B7" w:rsidRPr="006C3752">
        <w:rPr>
          <w:rFonts w:ascii="Times New Roman" w:hAnsi="Times New Roman"/>
          <w:sz w:val="26"/>
          <w:szCs w:val="26"/>
        </w:rPr>
        <w:t xml:space="preserve">apmērā </w:t>
      </w:r>
      <w:r w:rsidR="00410265" w:rsidRPr="006C3752">
        <w:rPr>
          <w:rFonts w:ascii="Times New Roman" w:hAnsi="Times New Roman"/>
          <w:sz w:val="26"/>
          <w:szCs w:val="26"/>
        </w:rPr>
        <w:t>un 20</w:t>
      </w:r>
      <w:r w:rsidR="0018291D" w:rsidRPr="006C3752">
        <w:rPr>
          <w:rFonts w:ascii="Times New Roman" w:hAnsi="Times New Roman"/>
          <w:sz w:val="26"/>
          <w:szCs w:val="26"/>
        </w:rPr>
        <w:t>20</w:t>
      </w:r>
      <w:r w:rsidR="00410265" w:rsidRPr="006C3752">
        <w:rPr>
          <w:rFonts w:ascii="Times New Roman" w:hAnsi="Times New Roman"/>
          <w:sz w:val="26"/>
          <w:szCs w:val="26"/>
        </w:rPr>
        <w:t>.gada I pusgadā - nepilnu</w:t>
      </w:r>
      <w:r w:rsidR="00E879B7" w:rsidRPr="006C3752">
        <w:rPr>
          <w:rFonts w:ascii="Times New Roman" w:hAnsi="Times New Roman"/>
          <w:sz w:val="26"/>
          <w:szCs w:val="26"/>
        </w:rPr>
        <w:t>s</w:t>
      </w:r>
      <w:r w:rsidR="00410265" w:rsidRPr="006C3752">
        <w:rPr>
          <w:rFonts w:ascii="Times New Roman" w:hAnsi="Times New Roman"/>
          <w:sz w:val="26"/>
          <w:szCs w:val="26"/>
        </w:rPr>
        <w:t xml:space="preserve"> </w:t>
      </w:r>
      <w:r w:rsidR="00E879B7" w:rsidRPr="006C3752">
        <w:rPr>
          <w:rFonts w:ascii="Times New Roman" w:hAnsi="Times New Roman"/>
          <w:sz w:val="26"/>
          <w:szCs w:val="26"/>
        </w:rPr>
        <w:t>1</w:t>
      </w:r>
      <w:r w:rsidR="0018291D" w:rsidRPr="006C3752">
        <w:rPr>
          <w:rFonts w:ascii="Times New Roman" w:hAnsi="Times New Roman"/>
          <w:sz w:val="26"/>
          <w:szCs w:val="26"/>
        </w:rPr>
        <w:t>7</w:t>
      </w:r>
      <w:r w:rsidR="00410265" w:rsidRPr="006C3752">
        <w:rPr>
          <w:rFonts w:ascii="Times New Roman" w:hAnsi="Times New Roman"/>
          <w:sz w:val="26"/>
          <w:szCs w:val="26"/>
        </w:rPr>
        <w:t>,</w:t>
      </w:r>
      <w:r w:rsidR="0018291D" w:rsidRPr="006C3752">
        <w:rPr>
          <w:rFonts w:ascii="Times New Roman" w:hAnsi="Times New Roman"/>
          <w:sz w:val="26"/>
          <w:szCs w:val="26"/>
        </w:rPr>
        <w:t>5</w:t>
      </w:r>
      <w:r w:rsidR="00410265" w:rsidRPr="006C3752">
        <w:rPr>
          <w:rFonts w:ascii="Times New Roman" w:hAnsi="Times New Roman"/>
          <w:sz w:val="26"/>
          <w:szCs w:val="26"/>
        </w:rPr>
        <w:t xml:space="preserve"> milj.</w:t>
      </w:r>
      <w:r w:rsidR="00410265" w:rsidRPr="006C3752">
        <w:rPr>
          <w:rFonts w:ascii="Times New Roman" w:hAnsi="Times New Roman"/>
          <w:i/>
          <w:sz w:val="26"/>
          <w:szCs w:val="26"/>
        </w:rPr>
        <w:t xml:space="preserve"> euro</w:t>
      </w:r>
      <w:r w:rsidR="00410265" w:rsidRPr="006C3752">
        <w:rPr>
          <w:rFonts w:ascii="Times New Roman" w:hAnsi="Times New Roman"/>
          <w:sz w:val="26"/>
          <w:szCs w:val="26"/>
        </w:rPr>
        <w:t xml:space="preserve">. Šo uzņēmumu valsts budžetā iemaksāto nodokļu apjoms </w:t>
      </w:r>
      <w:r w:rsidR="00E65D34" w:rsidRPr="006C3752">
        <w:rPr>
          <w:rFonts w:ascii="Times New Roman" w:hAnsi="Times New Roman"/>
          <w:sz w:val="26"/>
          <w:szCs w:val="26"/>
        </w:rPr>
        <w:t>veidoja</w:t>
      </w:r>
      <w:r w:rsidR="0018291D" w:rsidRPr="006C3752">
        <w:rPr>
          <w:rFonts w:ascii="Times New Roman" w:hAnsi="Times New Roman"/>
          <w:sz w:val="26"/>
          <w:szCs w:val="26"/>
        </w:rPr>
        <w:t xml:space="preserve"> attiecīgajā periodā nepilnus 0,5% un 0,4%</w:t>
      </w:r>
      <w:r w:rsidR="00E65D34" w:rsidRPr="006C3752">
        <w:rPr>
          <w:rFonts w:ascii="Times New Roman" w:hAnsi="Times New Roman"/>
          <w:sz w:val="26"/>
          <w:szCs w:val="26"/>
        </w:rPr>
        <w:t xml:space="preserve"> no</w:t>
      </w:r>
      <w:r w:rsidR="00E879B7" w:rsidRPr="006C3752">
        <w:t xml:space="preserve"> </w:t>
      </w:r>
      <w:bookmarkStart w:id="6" w:name="_Hlk24462828"/>
      <w:r w:rsidR="00E879B7" w:rsidRPr="006C3752">
        <w:rPr>
          <w:rFonts w:ascii="Times New Roman" w:hAnsi="Times New Roman"/>
          <w:sz w:val="26"/>
          <w:szCs w:val="26"/>
        </w:rPr>
        <w:t>VID administrētajiem</w:t>
      </w:r>
      <w:r w:rsidR="00E65D34" w:rsidRPr="006C3752">
        <w:rPr>
          <w:rFonts w:ascii="Times New Roman" w:hAnsi="Times New Roman"/>
          <w:sz w:val="26"/>
          <w:szCs w:val="26"/>
        </w:rPr>
        <w:t xml:space="preserve"> kopbudžeta ie</w:t>
      </w:r>
      <w:r w:rsidR="00727306" w:rsidRPr="006C3752">
        <w:rPr>
          <w:rFonts w:ascii="Times New Roman" w:hAnsi="Times New Roman"/>
          <w:sz w:val="26"/>
          <w:szCs w:val="26"/>
        </w:rPr>
        <w:t>ņēmumiem</w:t>
      </w:r>
      <w:bookmarkEnd w:id="6"/>
      <w:r w:rsidR="00410265" w:rsidRPr="006C3752">
        <w:rPr>
          <w:rFonts w:ascii="Times New Roman" w:hAnsi="Times New Roman"/>
          <w:sz w:val="26"/>
          <w:szCs w:val="26"/>
        </w:rPr>
        <w:t>.</w:t>
      </w:r>
    </w:p>
    <w:p w14:paraId="7171CD90" w14:textId="40A3D4F4" w:rsidR="00781782" w:rsidRPr="00DC60FA" w:rsidRDefault="0086681F" w:rsidP="00491B71">
      <w:pPr>
        <w:spacing w:after="120"/>
        <w:ind w:firstLine="567"/>
        <w:jc w:val="both"/>
        <w:rPr>
          <w:rFonts w:ascii="Times New Roman" w:hAnsi="Times New Roman"/>
          <w:iCs/>
          <w:sz w:val="26"/>
          <w:szCs w:val="26"/>
        </w:rPr>
      </w:pPr>
      <w:r w:rsidRPr="006C3752">
        <w:rPr>
          <w:rFonts w:ascii="Times New Roman" w:hAnsi="Times New Roman"/>
          <w:sz w:val="26"/>
          <w:szCs w:val="26"/>
        </w:rPr>
        <w:t>Aptuveni 1/2</w:t>
      </w:r>
      <w:r w:rsidR="00781782" w:rsidRPr="006C3752">
        <w:rPr>
          <w:rFonts w:ascii="Times New Roman" w:hAnsi="Times New Roman"/>
          <w:sz w:val="26"/>
          <w:szCs w:val="26"/>
        </w:rPr>
        <w:t xml:space="preserve"> no uzņēmumu nomaksātajiem nodokļiem veido </w:t>
      </w:r>
      <w:r w:rsidRPr="006C3752">
        <w:rPr>
          <w:rFonts w:ascii="Times New Roman" w:hAnsi="Times New Roman"/>
          <w:sz w:val="26"/>
          <w:szCs w:val="26"/>
        </w:rPr>
        <w:t xml:space="preserve">sociālās apdrošināšanas obligātās iemaksas </w:t>
      </w:r>
      <w:r w:rsidR="00781782" w:rsidRPr="006C3752">
        <w:rPr>
          <w:rFonts w:ascii="Times New Roman" w:hAnsi="Times New Roman"/>
          <w:sz w:val="26"/>
          <w:szCs w:val="26"/>
        </w:rPr>
        <w:t>(</w:t>
      </w:r>
      <w:r w:rsidR="0098210B" w:rsidRPr="006C3752">
        <w:rPr>
          <w:rFonts w:ascii="Times New Roman" w:hAnsi="Times New Roman"/>
          <w:sz w:val="26"/>
          <w:szCs w:val="26"/>
        </w:rPr>
        <w:t>201</w:t>
      </w:r>
      <w:r w:rsidR="00260244" w:rsidRPr="006C3752">
        <w:rPr>
          <w:rFonts w:ascii="Times New Roman" w:hAnsi="Times New Roman"/>
          <w:sz w:val="26"/>
          <w:szCs w:val="26"/>
        </w:rPr>
        <w:t>9</w:t>
      </w:r>
      <w:r w:rsidR="0098210B" w:rsidRPr="006C3752">
        <w:rPr>
          <w:rFonts w:ascii="Times New Roman" w:hAnsi="Times New Roman"/>
          <w:sz w:val="26"/>
          <w:szCs w:val="26"/>
        </w:rPr>
        <w:t xml:space="preserve">.gadā </w:t>
      </w:r>
      <w:r w:rsidRPr="006C3752">
        <w:rPr>
          <w:rFonts w:ascii="Times New Roman" w:hAnsi="Times New Roman"/>
          <w:sz w:val="26"/>
          <w:szCs w:val="26"/>
        </w:rPr>
        <w:t>–</w:t>
      </w:r>
      <w:r w:rsidR="0098210B" w:rsidRPr="006C3752">
        <w:rPr>
          <w:rFonts w:ascii="Times New Roman" w:hAnsi="Times New Roman"/>
          <w:sz w:val="26"/>
          <w:szCs w:val="26"/>
        </w:rPr>
        <w:t xml:space="preserve"> </w:t>
      </w:r>
      <w:r w:rsidR="00260244" w:rsidRPr="006C3752">
        <w:rPr>
          <w:rFonts w:ascii="Times New Roman" w:hAnsi="Times New Roman"/>
          <w:sz w:val="26"/>
          <w:szCs w:val="26"/>
        </w:rPr>
        <w:t>22</w:t>
      </w:r>
      <w:r w:rsidRPr="006C3752">
        <w:rPr>
          <w:rFonts w:ascii="Times New Roman" w:hAnsi="Times New Roman"/>
          <w:sz w:val="26"/>
          <w:szCs w:val="26"/>
        </w:rPr>
        <w:t>,</w:t>
      </w:r>
      <w:r w:rsidR="00260244" w:rsidRPr="006C3752">
        <w:rPr>
          <w:rFonts w:ascii="Times New Roman" w:hAnsi="Times New Roman"/>
          <w:sz w:val="26"/>
          <w:szCs w:val="26"/>
        </w:rPr>
        <w:t>6</w:t>
      </w:r>
      <w:r w:rsidR="00781782" w:rsidRPr="006C3752">
        <w:rPr>
          <w:rFonts w:ascii="Times New Roman" w:hAnsi="Times New Roman"/>
          <w:sz w:val="26"/>
          <w:szCs w:val="26"/>
        </w:rPr>
        <w:t xml:space="preserve"> milj</w:t>
      </w:r>
      <w:r w:rsidR="000A2C12" w:rsidRPr="006C3752">
        <w:rPr>
          <w:rFonts w:ascii="Times New Roman" w:hAnsi="Times New Roman"/>
          <w:sz w:val="26"/>
          <w:szCs w:val="26"/>
        </w:rPr>
        <w:t>.</w:t>
      </w:r>
      <w:r w:rsidR="00781782" w:rsidRPr="006C3752">
        <w:rPr>
          <w:rFonts w:ascii="Times New Roman" w:hAnsi="Times New Roman"/>
          <w:sz w:val="26"/>
          <w:szCs w:val="26"/>
        </w:rPr>
        <w:t xml:space="preserve"> </w:t>
      </w:r>
      <w:r w:rsidR="00781782" w:rsidRPr="006C3752">
        <w:rPr>
          <w:rFonts w:ascii="Times New Roman" w:hAnsi="Times New Roman"/>
          <w:i/>
          <w:sz w:val="26"/>
          <w:szCs w:val="26"/>
        </w:rPr>
        <w:t>euro</w:t>
      </w:r>
      <w:r w:rsidR="000A2C12" w:rsidRPr="006C3752">
        <w:rPr>
          <w:rFonts w:ascii="Times New Roman" w:hAnsi="Times New Roman"/>
          <w:sz w:val="26"/>
          <w:szCs w:val="26"/>
        </w:rPr>
        <w:t xml:space="preserve"> un 20</w:t>
      </w:r>
      <w:r w:rsidR="00260244" w:rsidRPr="006C3752">
        <w:rPr>
          <w:rFonts w:ascii="Times New Roman" w:hAnsi="Times New Roman"/>
          <w:sz w:val="26"/>
          <w:szCs w:val="26"/>
        </w:rPr>
        <w:t>20</w:t>
      </w:r>
      <w:r w:rsidR="000A2C12" w:rsidRPr="006C3752">
        <w:rPr>
          <w:rFonts w:ascii="Times New Roman" w:hAnsi="Times New Roman"/>
          <w:sz w:val="26"/>
          <w:szCs w:val="26"/>
        </w:rPr>
        <w:t xml:space="preserve">.gada I pusgadā - </w:t>
      </w:r>
      <w:r w:rsidR="00260244" w:rsidRPr="006C3752">
        <w:rPr>
          <w:rFonts w:ascii="Times New Roman" w:hAnsi="Times New Roman"/>
          <w:sz w:val="26"/>
          <w:szCs w:val="26"/>
        </w:rPr>
        <w:t>9</w:t>
      </w:r>
      <w:r w:rsidR="000A2C12" w:rsidRPr="006C3752">
        <w:rPr>
          <w:rFonts w:ascii="Times New Roman" w:hAnsi="Times New Roman"/>
          <w:sz w:val="26"/>
          <w:szCs w:val="26"/>
        </w:rPr>
        <w:t>,</w:t>
      </w:r>
      <w:r w:rsidR="00260244" w:rsidRPr="006C3752">
        <w:rPr>
          <w:rFonts w:ascii="Times New Roman" w:hAnsi="Times New Roman"/>
          <w:sz w:val="26"/>
          <w:szCs w:val="26"/>
        </w:rPr>
        <w:t>9</w:t>
      </w:r>
      <w:r w:rsidR="000A2C12" w:rsidRPr="006C3752">
        <w:t xml:space="preserve"> </w:t>
      </w:r>
      <w:r w:rsidR="000A2C12" w:rsidRPr="006C3752">
        <w:rPr>
          <w:rFonts w:ascii="Times New Roman" w:hAnsi="Times New Roman"/>
          <w:sz w:val="26"/>
          <w:szCs w:val="26"/>
        </w:rPr>
        <w:t xml:space="preserve">milj. </w:t>
      </w:r>
      <w:r w:rsidR="000A2C12" w:rsidRPr="006C3752">
        <w:rPr>
          <w:rFonts w:ascii="Times New Roman" w:hAnsi="Times New Roman"/>
          <w:i/>
          <w:sz w:val="26"/>
          <w:szCs w:val="26"/>
        </w:rPr>
        <w:t>euro</w:t>
      </w:r>
      <w:r w:rsidR="00781782" w:rsidRPr="006C3752">
        <w:rPr>
          <w:rFonts w:ascii="Times New Roman" w:hAnsi="Times New Roman"/>
          <w:sz w:val="26"/>
          <w:szCs w:val="26"/>
        </w:rPr>
        <w:t>)</w:t>
      </w:r>
      <w:r w:rsidR="00C7497E" w:rsidRPr="006C3752">
        <w:rPr>
          <w:rFonts w:ascii="Times New Roman" w:hAnsi="Times New Roman"/>
          <w:sz w:val="26"/>
          <w:szCs w:val="26"/>
        </w:rPr>
        <w:t>, sasniedzot</w:t>
      </w:r>
      <w:r w:rsidRPr="006C3752">
        <w:rPr>
          <w:rFonts w:ascii="Times New Roman" w:hAnsi="Times New Roman"/>
          <w:sz w:val="26"/>
          <w:szCs w:val="26"/>
        </w:rPr>
        <w:t xml:space="preserve"> </w:t>
      </w:r>
      <w:r w:rsidR="001A4079" w:rsidRPr="006C3752">
        <w:rPr>
          <w:rFonts w:ascii="Times New Roman" w:hAnsi="Times New Roman"/>
          <w:sz w:val="26"/>
          <w:szCs w:val="26"/>
        </w:rPr>
        <w:t>0,</w:t>
      </w:r>
      <w:r w:rsidR="00260244" w:rsidRPr="006C3752">
        <w:rPr>
          <w:rFonts w:ascii="Times New Roman" w:hAnsi="Times New Roman"/>
          <w:sz w:val="26"/>
          <w:szCs w:val="26"/>
        </w:rPr>
        <w:t>6</w:t>
      </w:r>
      <w:r w:rsidR="001A4079" w:rsidRPr="006C3752">
        <w:rPr>
          <w:rFonts w:ascii="Times New Roman" w:hAnsi="Times New Roman"/>
          <w:sz w:val="26"/>
          <w:szCs w:val="26"/>
        </w:rPr>
        <w:t xml:space="preserve">% </w:t>
      </w:r>
      <w:r w:rsidR="00C7497E" w:rsidRPr="006C3752">
        <w:rPr>
          <w:rFonts w:ascii="Times New Roman" w:hAnsi="Times New Roman"/>
          <w:sz w:val="26"/>
          <w:szCs w:val="26"/>
        </w:rPr>
        <w:t>no kopēj</w:t>
      </w:r>
      <w:r w:rsidR="00390EE5" w:rsidRPr="006C3752">
        <w:rPr>
          <w:rFonts w:ascii="Times New Roman" w:hAnsi="Times New Roman"/>
          <w:sz w:val="26"/>
          <w:szCs w:val="26"/>
        </w:rPr>
        <w:t>ām</w:t>
      </w:r>
      <w:r w:rsidR="00390EE5" w:rsidRPr="006C3752">
        <w:t xml:space="preserve"> </w:t>
      </w:r>
      <w:r w:rsidR="00390EE5" w:rsidRPr="006C3752">
        <w:rPr>
          <w:rFonts w:ascii="Times New Roman" w:hAnsi="Times New Roman"/>
          <w:sz w:val="26"/>
          <w:szCs w:val="26"/>
        </w:rPr>
        <w:t>sociālās apdrošināšanas</w:t>
      </w:r>
      <w:r w:rsidR="00C7497E" w:rsidRPr="006C3752">
        <w:rPr>
          <w:rFonts w:ascii="Times New Roman" w:hAnsi="Times New Roman"/>
          <w:sz w:val="26"/>
          <w:szCs w:val="26"/>
        </w:rPr>
        <w:t xml:space="preserve"> </w:t>
      </w:r>
      <w:r w:rsidRPr="006C3752">
        <w:rPr>
          <w:rFonts w:ascii="Times New Roman" w:hAnsi="Times New Roman"/>
          <w:sz w:val="26"/>
          <w:szCs w:val="26"/>
        </w:rPr>
        <w:t xml:space="preserve">obligātajām </w:t>
      </w:r>
      <w:r w:rsidR="00390EE5" w:rsidRPr="006C3752">
        <w:rPr>
          <w:rFonts w:ascii="Times New Roman" w:hAnsi="Times New Roman"/>
          <w:sz w:val="26"/>
          <w:szCs w:val="26"/>
        </w:rPr>
        <w:t>iemaksām</w:t>
      </w:r>
      <w:r w:rsidR="00C7497E" w:rsidRPr="006C3752">
        <w:rPr>
          <w:rFonts w:ascii="Times New Roman" w:hAnsi="Times New Roman"/>
          <w:sz w:val="26"/>
          <w:szCs w:val="26"/>
        </w:rPr>
        <w:t xml:space="preserve"> valstī. 201</w:t>
      </w:r>
      <w:r w:rsidR="00260244" w:rsidRPr="006C3752">
        <w:rPr>
          <w:rFonts w:ascii="Times New Roman" w:hAnsi="Times New Roman"/>
          <w:sz w:val="26"/>
          <w:szCs w:val="26"/>
        </w:rPr>
        <w:t>9</w:t>
      </w:r>
      <w:r w:rsidR="00C7497E" w:rsidRPr="006C3752">
        <w:rPr>
          <w:rFonts w:ascii="Times New Roman" w:hAnsi="Times New Roman"/>
          <w:sz w:val="26"/>
          <w:szCs w:val="26"/>
        </w:rPr>
        <w:t xml:space="preserve">.gadā tika nomaksāts iedzīvotāju ienākumu nodoklis </w:t>
      </w:r>
      <w:r w:rsidR="00260244" w:rsidRPr="006C3752">
        <w:rPr>
          <w:rFonts w:ascii="Times New Roman" w:hAnsi="Times New Roman"/>
          <w:sz w:val="26"/>
          <w:szCs w:val="26"/>
        </w:rPr>
        <w:t>14,3</w:t>
      </w:r>
      <w:r w:rsidR="00C7497E" w:rsidRPr="006C3752">
        <w:rPr>
          <w:rFonts w:ascii="Times New Roman" w:hAnsi="Times New Roman"/>
          <w:sz w:val="26"/>
          <w:szCs w:val="26"/>
        </w:rPr>
        <w:t xml:space="preserve"> milj. </w:t>
      </w:r>
      <w:r w:rsidR="00C7497E" w:rsidRPr="006C3752">
        <w:rPr>
          <w:rFonts w:ascii="Times New Roman" w:hAnsi="Times New Roman"/>
          <w:i/>
          <w:sz w:val="26"/>
          <w:szCs w:val="26"/>
        </w:rPr>
        <w:t>euro</w:t>
      </w:r>
      <w:r w:rsidR="00C7497E" w:rsidRPr="006C3752">
        <w:rPr>
          <w:rFonts w:ascii="Times New Roman" w:hAnsi="Times New Roman"/>
          <w:sz w:val="26"/>
          <w:szCs w:val="26"/>
        </w:rPr>
        <w:t xml:space="preserve"> apmērā</w:t>
      </w:r>
      <w:r w:rsidR="00260244" w:rsidRPr="006C3752">
        <w:rPr>
          <w:rFonts w:ascii="Times New Roman" w:hAnsi="Times New Roman"/>
          <w:sz w:val="26"/>
          <w:szCs w:val="26"/>
        </w:rPr>
        <w:t>, kas veidoja attiecīgi 0,7% kopējā attiecīgā nodokļa ieņēmumiem valstī</w:t>
      </w:r>
      <w:r w:rsidR="00DC60FA" w:rsidRPr="006C3752">
        <w:rPr>
          <w:rFonts w:ascii="Times New Roman" w:hAnsi="Times New Roman"/>
          <w:sz w:val="26"/>
          <w:szCs w:val="26"/>
        </w:rPr>
        <w:t xml:space="preserve">, </w:t>
      </w:r>
      <w:r w:rsidR="00C7497E" w:rsidRPr="006C3752">
        <w:rPr>
          <w:rFonts w:ascii="Times New Roman" w:hAnsi="Times New Roman"/>
          <w:sz w:val="26"/>
          <w:szCs w:val="26"/>
        </w:rPr>
        <w:t>un uzņēmum</w:t>
      </w:r>
      <w:r w:rsidR="009929AE" w:rsidRPr="006C3752">
        <w:rPr>
          <w:rFonts w:ascii="Times New Roman" w:hAnsi="Times New Roman"/>
          <w:sz w:val="26"/>
          <w:szCs w:val="26"/>
        </w:rPr>
        <w:t>u</w:t>
      </w:r>
      <w:r w:rsidR="00C7497E" w:rsidRPr="006C3752">
        <w:rPr>
          <w:rFonts w:ascii="Times New Roman" w:hAnsi="Times New Roman"/>
          <w:sz w:val="26"/>
          <w:szCs w:val="26"/>
        </w:rPr>
        <w:t xml:space="preserve"> ienākum</w:t>
      </w:r>
      <w:r w:rsidR="009929AE" w:rsidRPr="006C3752">
        <w:rPr>
          <w:rFonts w:ascii="Times New Roman" w:hAnsi="Times New Roman"/>
          <w:sz w:val="26"/>
          <w:szCs w:val="26"/>
        </w:rPr>
        <w:t>a</w:t>
      </w:r>
      <w:r w:rsidR="00C7497E" w:rsidRPr="006C3752">
        <w:rPr>
          <w:rFonts w:ascii="Times New Roman" w:hAnsi="Times New Roman"/>
          <w:sz w:val="26"/>
          <w:szCs w:val="26"/>
        </w:rPr>
        <w:t xml:space="preserve"> nodoklis </w:t>
      </w:r>
      <w:r w:rsidR="009929AE" w:rsidRPr="006C3752">
        <w:rPr>
          <w:rFonts w:ascii="Times New Roman" w:hAnsi="Times New Roman"/>
          <w:sz w:val="26"/>
          <w:szCs w:val="26"/>
        </w:rPr>
        <w:t>1,7</w:t>
      </w:r>
      <w:r w:rsidR="00C7497E" w:rsidRPr="006C3752">
        <w:rPr>
          <w:rFonts w:ascii="Times New Roman" w:hAnsi="Times New Roman"/>
          <w:sz w:val="26"/>
          <w:szCs w:val="26"/>
        </w:rPr>
        <w:t xml:space="preserve"> milj. </w:t>
      </w:r>
      <w:r w:rsidR="00C7497E" w:rsidRPr="006C3752">
        <w:rPr>
          <w:rFonts w:ascii="Times New Roman" w:hAnsi="Times New Roman"/>
          <w:i/>
          <w:sz w:val="26"/>
          <w:szCs w:val="26"/>
        </w:rPr>
        <w:t>euro</w:t>
      </w:r>
      <w:r w:rsidR="00C7497E" w:rsidRPr="006C3752">
        <w:rPr>
          <w:rFonts w:ascii="Times New Roman" w:hAnsi="Times New Roman"/>
          <w:sz w:val="26"/>
          <w:szCs w:val="26"/>
        </w:rPr>
        <w:t xml:space="preserve"> apmērā</w:t>
      </w:r>
      <w:r w:rsidR="002C0ACE" w:rsidRPr="006C3752">
        <w:rPr>
          <w:rFonts w:ascii="Times New Roman" w:hAnsi="Times New Roman"/>
          <w:sz w:val="26"/>
          <w:szCs w:val="26"/>
        </w:rPr>
        <w:t xml:space="preserve"> </w:t>
      </w:r>
      <w:r w:rsidR="002C0ACE" w:rsidRPr="006C3752">
        <w:rPr>
          <w:rFonts w:ascii="Times New Roman" w:hAnsi="Times New Roman"/>
          <w:i/>
          <w:sz w:val="26"/>
          <w:szCs w:val="26"/>
        </w:rPr>
        <w:t>(detalizēt</w:t>
      </w:r>
      <w:r w:rsidR="00A259AE" w:rsidRPr="006C3752">
        <w:rPr>
          <w:rFonts w:ascii="Times New Roman" w:hAnsi="Times New Roman"/>
          <w:i/>
          <w:sz w:val="26"/>
          <w:szCs w:val="26"/>
        </w:rPr>
        <w:t>u</w:t>
      </w:r>
      <w:r w:rsidR="002C0ACE" w:rsidRPr="006C3752">
        <w:rPr>
          <w:rFonts w:ascii="Times New Roman" w:hAnsi="Times New Roman"/>
          <w:i/>
          <w:sz w:val="26"/>
          <w:szCs w:val="26"/>
        </w:rPr>
        <w:t xml:space="preserve"> informācij</w:t>
      </w:r>
      <w:r w:rsidR="00A259AE" w:rsidRPr="006C3752">
        <w:rPr>
          <w:rFonts w:ascii="Times New Roman" w:hAnsi="Times New Roman"/>
          <w:i/>
          <w:sz w:val="26"/>
          <w:szCs w:val="26"/>
        </w:rPr>
        <w:t>u</w:t>
      </w:r>
      <w:r w:rsidR="002C0ACE" w:rsidRPr="006C3752">
        <w:rPr>
          <w:rFonts w:ascii="Times New Roman" w:hAnsi="Times New Roman"/>
          <w:i/>
          <w:sz w:val="26"/>
          <w:szCs w:val="26"/>
        </w:rPr>
        <w:t xml:space="preserve"> par</w:t>
      </w:r>
      <w:r w:rsidR="00A259AE" w:rsidRPr="006C3752">
        <w:rPr>
          <w:rFonts w:ascii="Times New Roman" w:hAnsi="Times New Roman"/>
          <w:i/>
          <w:sz w:val="26"/>
          <w:szCs w:val="26"/>
        </w:rPr>
        <w:t xml:space="preserve"> uzņēmumu, kuri saistīti ar investīciju programmas ietvaros izsniegto TUA saņēmējiem, nomaksātajiem nodokļiem skatīt 5.pielikumā)</w:t>
      </w:r>
      <w:r w:rsidR="00DC60FA" w:rsidRPr="006C3752">
        <w:rPr>
          <w:rFonts w:ascii="Times New Roman" w:hAnsi="Times New Roman"/>
          <w:iCs/>
          <w:sz w:val="26"/>
          <w:szCs w:val="26"/>
        </w:rPr>
        <w:t>.</w:t>
      </w:r>
    </w:p>
    <w:p w14:paraId="35E7FAB5" w14:textId="6CFB01F2" w:rsidR="00034C68" w:rsidRPr="00FB19C8" w:rsidRDefault="00034C68" w:rsidP="00747AEC">
      <w:pPr>
        <w:spacing w:after="120"/>
        <w:ind w:firstLine="567"/>
        <w:jc w:val="both"/>
        <w:rPr>
          <w:rFonts w:ascii="Times New Roman" w:hAnsi="Times New Roman"/>
          <w:sz w:val="26"/>
          <w:szCs w:val="26"/>
        </w:rPr>
      </w:pPr>
      <w:r w:rsidRPr="00E879B7">
        <w:rPr>
          <w:rFonts w:ascii="Times New Roman" w:hAnsi="Times New Roman"/>
          <w:sz w:val="26"/>
          <w:szCs w:val="26"/>
        </w:rPr>
        <w:t xml:space="preserve">Nodevas “Par vīzas un uzturēšanās atļaujas pieprasīšanai nepieciešamo dokumentu izskatīšanai un ar to saistītajiem pakalpojumiem” no 2010.gada 1.jūlija </w:t>
      </w:r>
      <w:r w:rsidRPr="00A41BAA">
        <w:rPr>
          <w:rFonts w:ascii="Times New Roman" w:hAnsi="Times New Roman"/>
          <w:sz w:val="26"/>
          <w:szCs w:val="26"/>
        </w:rPr>
        <w:t>līdz 20</w:t>
      </w:r>
      <w:r w:rsidR="006C3752">
        <w:rPr>
          <w:rFonts w:ascii="Times New Roman" w:hAnsi="Times New Roman"/>
          <w:sz w:val="26"/>
          <w:szCs w:val="26"/>
        </w:rPr>
        <w:t>20.gada 31.decembri</w:t>
      </w:r>
      <w:r w:rsidRPr="00A41BAA">
        <w:rPr>
          <w:rFonts w:ascii="Times New Roman" w:hAnsi="Times New Roman"/>
          <w:sz w:val="26"/>
          <w:szCs w:val="26"/>
        </w:rPr>
        <w:t xml:space="preserve">m iekasētas </w:t>
      </w:r>
      <w:r w:rsidR="004A353A" w:rsidRPr="004A353A">
        <w:rPr>
          <w:rFonts w:ascii="Times New Roman" w:hAnsi="Times New Roman"/>
          <w:sz w:val="26"/>
          <w:szCs w:val="26"/>
        </w:rPr>
        <w:t>9</w:t>
      </w:r>
      <w:r w:rsidRPr="004A353A">
        <w:rPr>
          <w:rFonts w:ascii="Times New Roman" w:hAnsi="Times New Roman"/>
          <w:sz w:val="26"/>
          <w:szCs w:val="26"/>
        </w:rPr>
        <w:t>,</w:t>
      </w:r>
      <w:r w:rsidR="00A41BAA" w:rsidRPr="004A353A">
        <w:rPr>
          <w:rFonts w:ascii="Times New Roman" w:hAnsi="Times New Roman"/>
          <w:sz w:val="26"/>
          <w:szCs w:val="26"/>
        </w:rPr>
        <w:t>8</w:t>
      </w:r>
      <w:r w:rsidRPr="004A353A">
        <w:rPr>
          <w:rFonts w:ascii="Times New Roman" w:hAnsi="Times New Roman"/>
          <w:sz w:val="26"/>
          <w:szCs w:val="26"/>
        </w:rPr>
        <w:t> milj.</w:t>
      </w:r>
      <w:r w:rsidRPr="00A41BAA">
        <w:rPr>
          <w:rFonts w:ascii="Times New Roman" w:hAnsi="Times New Roman"/>
          <w:sz w:val="26"/>
          <w:szCs w:val="26"/>
        </w:rPr>
        <w:t> </w:t>
      </w:r>
      <w:r w:rsidRPr="00A41BAA">
        <w:rPr>
          <w:rFonts w:ascii="Times New Roman" w:hAnsi="Times New Roman"/>
          <w:i/>
          <w:sz w:val="26"/>
          <w:szCs w:val="26"/>
        </w:rPr>
        <w:t>euro</w:t>
      </w:r>
      <w:r w:rsidRPr="00A41BAA">
        <w:rPr>
          <w:rFonts w:ascii="Times New Roman" w:hAnsi="Times New Roman"/>
          <w:sz w:val="26"/>
          <w:szCs w:val="26"/>
        </w:rPr>
        <w:t xml:space="preserve"> apmērā, savukārt nodevas “Par īp</w:t>
      </w:r>
      <w:r w:rsidRPr="00FB19C8">
        <w:rPr>
          <w:rFonts w:ascii="Times New Roman" w:hAnsi="Times New Roman"/>
          <w:sz w:val="26"/>
          <w:szCs w:val="26"/>
        </w:rPr>
        <w:t xml:space="preserve">ašuma tiesību nostiprināšanu zemesgrāmatā” iekasētas aptuveni </w:t>
      </w:r>
      <w:r w:rsidR="003D75D5" w:rsidRPr="00FB19C8">
        <w:rPr>
          <w:rFonts w:ascii="Times New Roman" w:hAnsi="Times New Roman"/>
          <w:sz w:val="26"/>
          <w:szCs w:val="26"/>
        </w:rPr>
        <w:t>23,</w:t>
      </w:r>
      <w:r w:rsidR="002876B5">
        <w:rPr>
          <w:rFonts w:ascii="Times New Roman" w:hAnsi="Times New Roman"/>
          <w:sz w:val="26"/>
          <w:szCs w:val="26"/>
        </w:rPr>
        <w:t>9</w:t>
      </w:r>
      <w:r w:rsidRPr="00FB19C8">
        <w:rPr>
          <w:rFonts w:ascii="Times New Roman" w:hAnsi="Times New Roman"/>
          <w:sz w:val="26"/>
          <w:szCs w:val="26"/>
        </w:rPr>
        <w:t> milj. </w:t>
      </w:r>
      <w:r w:rsidRPr="00FB19C8">
        <w:rPr>
          <w:rFonts w:ascii="Times New Roman" w:hAnsi="Times New Roman"/>
          <w:i/>
          <w:sz w:val="26"/>
          <w:szCs w:val="26"/>
        </w:rPr>
        <w:t xml:space="preserve">euro </w:t>
      </w:r>
      <w:r w:rsidRPr="00FB19C8">
        <w:rPr>
          <w:rFonts w:ascii="Times New Roman" w:hAnsi="Times New Roman"/>
          <w:sz w:val="26"/>
          <w:szCs w:val="26"/>
        </w:rPr>
        <w:t>apmērā</w:t>
      </w:r>
      <w:r w:rsidRPr="00FB19C8">
        <w:rPr>
          <w:rStyle w:val="FootnoteReference"/>
          <w:rFonts w:ascii="Times New Roman" w:hAnsi="Times New Roman"/>
          <w:sz w:val="26"/>
          <w:szCs w:val="26"/>
        </w:rPr>
        <w:footnoteReference w:id="4"/>
      </w:r>
      <w:r w:rsidR="00A67CA7" w:rsidRPr="00FB19C8">
        <w:rPr>
          <w:rFonts w:ascii="Times New Roman" w:hAnsi="Times New Roman"/>
          <w:sz w:val="26"/>
          <w:szCs w:val="26"/>
        </w:rPr>
        <w:t>.</w:t>
      </w:r>
    </w:p>
    <w:p w14:paraId="1F89D317" w14:textId="5F105C1B" w:rsidR="00290CBC" w:rsidRDefault="00290CBC">
      <w:pPr>
        <w:rPr>
          <w:rFonts w:ascii="Times New Roman" w:hAnsi="Times New Roman"/>
          <w:sz w:val="26"/>
          <w:szCs w:val="26"/>
          <w:highlight w:val="yellow"/>
        </w:rPr>
      </w:pPr>
      <w:r>
        <w:rPr>
          <w:rFonts w:ascii="Times New Roman" w:hAnsi="Times New Roman"/>
          <w:sz w:val="26"/>
          <w:szCs w:val="26"/>
          <w:highlight w:val="yellow"/>
        </w:rPr>
        <w:br w:type="page"/>
      </w:r>
    </w:p>
    <w:p w14:paraId="11AA5A58" w14:textId="77777777" w:rsidR="00FF58A0" w:rsidRPr="0082447D" w:rsidRDefault="00FF58A0" w:rsidP="00B63E16">
      <w:pPr>
        <w:ind w:firstLine="567"/>
        <w:jc w:val="both"/>
        <w:rPr>
          <w:rFonts w:ascii="Times New Roman" w:hAnsi="Times New Roman"/>
          <w:sz w:val="26"/>
          <w:szCs w:val="26"/>
          <w:highlight w:val="yellow"/>
        </w:rPr>
      </w:pPr>
    </w:p>
    <w:p w14:paraId="0573CAF6" w14:textId="77777777" w:rsidR="00A67CA7" w:rsidRDefault="00A67CA7" w:rsidP="00747AEC">
      <w:pPr>
        <w:spacing w:after="120"/>
        <w:ind w:firstLine="567"/>
        <w:jc w:val="center"/>
        <w:rPr>
          <w:rFonts w:ascii="Times New Roman" w:hAnsi="Times New Roman"/>
          <w:b/>
          <w:sz w:val="26"/>
          <w:szCs w:val="26"/>
        </w:rPr>
      </w:pPr>
      <w:r w:rsidRPr="00424678">
        <w:rPr>
          <w:rFonts w:ascii="Times New Roman" w:hAnsi="Times New Roman"/>
          <w:b/>
          <w:sz w:val="26"/>
          <w:szCs w:val="26"/>
        </w:rPr>
        <w:t>Investīcijas nekustamajā īpašumā</w:t>
      </w:r>
    </w:p>
    <w:p w14:paraId="68BDE458" w14:textId="77777777" w:rsidR="0021121A" w:rsidRPr="00424678" w:rsidRDefault="0021121A" w:rsidP="00747AEC">
      <w:pPr>
        <w:spacing w:after="120"/>
        <w:ind w:firstLine="567"/>
        <w:jc w:val="center"/>
        <w:rPr>
          <w:rFonts w:ascii="Times New Roman" w:hAnsi="Times New Roman"/>
          <w:b/>
          <w:sz w:val="26"/>
          <w:szCs w:val="26"/>
        </w:rPr>
      </w:pPr>
    </w:p>
    <w:p w14:paraId="530449D8" w14:textId="445A0DB7" w:rsidR="00CB2A3D" w:rsidRPr="00424678" w:rsidRDefault="00AB3AEF" w:rsidP="005E009F">
      <w:pPr>
        <w:spacing w:after="120"/>
        <w:ind w:firstLine="567"/>
        <w:jc w:val="both"/>
        <w:rPr>
          <w:rFonts w:ascii="Times New Roman" w:hAnsi="Times New Roman"/>
          <w:sz w:val="26"/>
          <w:szCs w:val="26"/>
        </w:rPr>
      </w:pPr>
      <w:r w:rsidRPr="00AD1EC4">
        <w:rPr>
          <w:rFonts w:ascii="Times New Roman" w:hAnsi="Times New Roman"/>
          <w:sz w:val="26"/>
          <w:szCs w:val="26"/>
        </w:rPr>
        <w:t>No 2010.gada 1.jūlija līdz 20</w:t>
      </w:r>
      <w:r w:rsidR="004B4F62" w:rsidRPr="00AD1EC4">
        <w:rPr>
          <w:rFonts w:ascii="Times New Roman" w:hAnsi="Times New Roman"/>
          <w:sz w:val="26"/>
          <w:szCs w:val="26"/>
        </w:rPr>
        <w:t>20</w:t>
      </w:r>
      <w:r w:rsidRPr="00AD1EC4">
        <w:rPr>
          <w:rFonts w:ascii="Times New Roman" w:hAnsi="Times New Roman"/>
          <w:sz w:val="26"/>
          <w:szCs w:val="26"/>
        </w:rPr>
        <w:t>.gada 3</w:t>
      </w:r>
      <w:r w:rsidR="002876B5" w:rsidRPr="00AD1EC4">
        <w:rPr>
          <w:rFonts w:ascii="Times New Roman" w:hAnsi="Times New Roman"/>
          <w:sz w:val="26"/>
          <w:szCs w:val="26"/>
        </w:rPr>
        <w:t>1.decembrim</w:t>
      </w:r>
      <w:r w:rsidRPr="00AD1EC4">
        <w:rPr>
          <w:rFonts w:ascii="Times New Roman" w:hAnsi="Times New Roman"/>
          <w:sz w:val="26"/>
          <w:szCs w:val="26"/>
        </w:rPr>
        <w:t xml:space="preserve"> Latvijas nekustamo īpašumu tirgū notikuši ar TUA saņemšanu par nekustamā īpašuma iegādi saistīti darījumi ar kopējo 1,</w:t>
      </w:r>
      <w:r w:rsidR="004B4F62" w:rsidRPr="00AD1EC4">
        <w:rPr>
          <w:rFonts w:ascii="Times New Roman" w:hAnsi="Times New Roman"/>
          <w:sz w:val="26"/>
          <w:szCs w:val="26"/>
        </w:rPr>
        <w:t>2</w:t>
      </w:r>
      <w:r w:rsidR="00AD1EC4" w:rsidRPr="00AD1EC4">
        <w:rPr>
          <w:rFonts w:ascii="Times New Roman" w:hAnsi="Times New Roman"/>
          <w:sz w:val="26"/>
          <w:szCs w:val="26"/>
        </w:rPr>
        <w:t>89</w:t>
      </w:r>
      <w:r w:rsidRPr="00AD1EC4">
        <w:rPr>
          <w:rFonts w:ascii="Times New Roman" w:hAnsi="Times New Roman"/>
          <w:sz w:val="26"/>
          <w:szCs w:val="26"/>
        </w:rPr>
        <w:t xml:space="preserve"> miljr. </w:t>
      </w:r>
      <w:r w:rsidRPr="00AD1EC4">
        <w:rPr>
          <w:rFonts w:ascii="Times New Roman" w:hAnsi="Times New Roman"/>
          <w:i/>
          <w:sz w:val="26"/>
          <w:szCs w:val="26"/>
        </w:rPr>
        <w:t xml:space="preserve">euro </w:t>
      </w:r>
      <w:r w:rsidRPr="00AD1EC4">
        <w:rPr>
          <w:rFonts w:ascii="Times New Roman" w:hAnsi="Times New Roman"/>
          <w:sz w:val="26"/>
          <w:szCs w:val="26"/>
        </w:rPr>
        <w:t>apmērā (</w:t>
      </w:r>
      <w:r w:rsidRPr="00AD1EC4">
        <w:rPr>
          <w:rFonts w:ascii="Times New Roman" w:hAnsi="Times New Roman"/>
          <w:i/>
          <w:sz w:val="26"/>
          <w:szCs w:val="26"/>
        </w:rPr>
        <w:t>detalizētu informāciju par ar TUA saistītām investīcijām nekustamajos īpašumos skatīt pielikumā Nr.</w:t>
      </w:r>
      <w:r w:rsidR="00CB2A3D" w:rsidRPr="00AD1EC4">
        <w:rPr>
          <w:rFonts w:ascii="Times New Roman" w:hAnsi="Times New Roman"/>
          <w:i/>
          <w:sz w:val="26"/>
          <w:szCs w:val="26"/>
        </w:rPr>
        <w:t>2</w:t>
      </w:r>
      <w:r w:rsidRPr="00AD1EC4">
        <w:rPr>
          <w:rFonts w:ascii="Times New Roman" w:hAnsi="Times New Roman"/>
          <w:sz w:val="26"/>
          <w:szCs w:val="26"/>
        </w:rPr>
        <w:t>).</w:t>
      </w:r>
      <w:r w:rsidRPr="00424678">
        <w:rPr>
          <w:rFonts w:ascii="Times New Roman" w:hAnsi="Times New Roman"/>
          <w:sz w:val="26"/>
          <w:szCs w:val="26"/>
        </w:rPr>
        <w:t xml:space="preserve"> </w:t>
      </w:r>
    </w:p>
    <w:p w14:paraId="6691CEB0" w14:textId="4DCCF0A2" w:rsidR="00F21EDC" w:rsidRPr="00424678" w:rsidRDefault="00F21EDC" w:rsidP="00F21EDC">
      <w:pPr>
        <w:spacing w:after="120"/>
        <w:ind w:firstLine="567"/>
        <w:jc w:val="both"/>
        <w:rPr>
          <w:rFonts w:ascii="Times New Roman" w:hAnsi="Times New Roman"/>
          <w:color w:val="000000"/>
          <w:sz w:val="26"/>
          <w:szCs w:val="26"/>
        </w:rPr>
      </w:pPr>
      <w:r w:rsidRPr="00424678">
        <w:rPr>
          <w:rFonts w:ascii="Times New Roman" w:hAnsi="Times New Roman"/>
          <w:color w:val="000000"/>
          <w:sz w:val="26"/>
          <w:szCs w:val="26"/>
        </w:rPr>
        <w:t>Sākot no 2014.gada otrās puses</w:t>
      </w:r>
      <w:r w:rsidR="00AD1EC4">
        <w:rPr>
          <w:rFonts w:ascii="Times New Roman" w:hAnsi="Times New Roman"/>
          <w:color w:val="000000"/>
          <w:sz w:val="26"/>
          <w:szCs w:val="26"/>
        </w:rPr>
        <w:t>,</w:t>
      </w:r>
      <w:r w:rsidRPr="00424678">
        <w:rPr>
          <w:rFonts w:ascii="Times New Roman" w:hAnsi="Times New Roman"/>
          <w:color w:val="000000"/>
          <w:sz w:val="26"/>
          <w:szCs w:val="26"/>
        </w:rPr>
        <w:t xml:space="preserve"> samazinājies nekustamo īpašumu ārvalstnieku pircēju skaits un īpatsvars. Būtisks kritums bija </w:t>
      </w:r>
      <w:r w:rsidR="00AC7C1D" w:rsidRPr="00424678">
        <w:rPr>
          <w:rFonts w:ascii="Times New Roman" w:hAnsi="Times New Roman"/>
          <w:color w:val="000000"/>
          <w:sz w:val="26"/>
          <w:szCs w:val="26"/>
        </w:rPr>
        <w:t>2015.gadā, un tendence saglabāja</w:t>
      </w:r>
      <w:r w:rsidRPr="00424678">
        <w:rPr>
          <w:rFonts w:ascii="Times New Roman" w:hAnsi="Times New Roman"/>
          <w:color w:val="000000"/>
          <w:sz w:val="26"/>
          <w:szCs w:val="26"/>
        </w:rPr>
        <w:t xml:space="preserve">s arī </w:t>
      </w:r>
      <w:r w:rsidR="00AC7C1D" w:rsidRPr="00424678">
        <w:rPr>
          <w:rFonts w:ascii="Times New Roman" w:hAnsi="Times New Roman"/>
          <w:color w:val="000000"/>
          <w:sz w:val="26"/>
          <w:szCs w:val="26"/>
        </w:rPr>
        <w:t>turpmākajos gados</w:t>
      </w:r>
      <w:r w:rsidRPr="00424678">
        <w:rPr>
          <w:rFonts w:ascii="Times New Roman" w:hAnsi="Times New Roman"/>
          <w:color w:val="000000"/>
          <w:sz w:val="26"/>
          <w:szCs w:val="26"/>
        </w:rPr>
        <w:t>. Galvenokārt tas skaidrojams ar 2014.gad</w:t>
      </w:r>
      <w:r w:rsidR="008B1059">
        <w:rPr>
          <w:rFonts w:ascii="Times New Roman" w:hAnsi="Times New Roman"/>
          <w:color w:val="000000"/>
          <w:sz w:val="26"/>
          <w:szCs w:val="26"/>
        </w:rPr>
        <w:t>ā</w:t>
      </w:r>
      <w:r w:rsidRPr="00424678">
        <w:rPr>
          <w:rFonts w:ascii="Times New Roman" w:hAnsi="Times New Roman"/>
          <w:color w:val="000000"/>
          <w:sz w:val="26"/>
          <w:szCs w:val="26"/>
        </w:rPr>
        <w:t xml:space="preserve"> </w:t>
      </w:r>
      <w:r w:rsidR="008B1059">
        <w:rPr>
          <w:rFonts w:ascii="Times New Roman" w:hAnsi="Times New Roman"/>
          <w:color w:val="000000"/>
          <w:sz w:val="26"/>
          <w:szCs w:val="26"/>
        </w:rPr>
        <w:t>veiktajiem g</w:t>
      </w:r>
      <w:r w:rsidRPr="00424678">
        <w:rPr>
          <w:rFonts w:ascii="Times New Roman" w:hAnsi="Times New Roman"/>
          <w:color w:val="000000"/>
          <w:sz w:val="26"/>
          <w:szCs w:val="26"/>
        </w:rPr>
        <w:t>rozījumiem Imigrācijas likumā</w:t>
      </w:r>
      <w:r w:rsidR="008B1059">
        <w:rPr>
          <w:rFonts w:ascii="Times New Roman" w:hAnsi="Times New Roman"/>
          <w:color w:val="000000"/>
          <w:sz w:val="26"/>
          <w:szCs w:val="26"/>
        </w:rPr>
        <w:t xml:space="preserve">, </w:t>
      </w:r>
      <w:r w:rsidRPr="00424678">
        <w:rPr>
          <w:rFonts w:ascii="Times New Roman" w:hAnsi="Times New Roman"/>
          <w:color w:val="000000"/>
          <w:sz w:val="26"/>
          <w:szCs w:val="26"/>
        </w:rPr>
        <w:t>kas stājās spēkā 2014.gada 1.septembrī un noteica lielāku minimālo investīciju summu nekustamā īpašuma iegādes gadījumā</w:t>
      </w:r>
      <w:r w:rsidR="00AC7C1D" w:rsidRPr="00424678">
        <w:rPr>
          <w:rFonts w:ascii="Times New Roman" w:hAnsi="Times New Roman"/>
          <w:color w:val="000000"/>
          <w:sz w:val="26"/>
          <w:szCs w:val="26"/>
        </w:rPr>
        <w:t>.</w:t>
      </w:r>
    </w:p>
    <w:p w14:paraId="2F6E2912" w14:textId="59BD0730" w:rsidR="00EC2950" w:rsidRPr="00AD1EC4" w:rsidRDefault="00E62259" w:rsidP="00E73DB6">
      <w:pPr>
        <w:spacing w:after="120"/>
        <w:ind w:firstLine="567"/>
        <w:jc w:val="both"/>
        <w:rPr>
          <w:rFonts w:ascii="Times New Roman" w:hAnsi="Times New Roman"/>
          <w:color w:val="000000"/>
          <w:sz w:val="26"/>
          <w:szCs w:val="26"/>
        </w:rPr>
      </w:pPr>
      <w:r w:rsidRPr="00424678">
        <w:rPr>
          <w:rFonts w:ascii="Times New Roman" w:hAnsi="Times New Roman"/>
          <w:color w:val="000000"/>
          <w:sz w:val="26"/>
          <w:szCs w:val="26"/>
        </w:rPr>
        <w:t>TUA saņemšanai nepieciešamā minimālā ieguldījuma apmēra maiņa (palielinājums) nekustamā īpašuma iegādes gadījumā kopš 2014.gada 1.septembra ir samazinājusi darījumu skaitu ārpus Rīgas un Pierīgas (Jūrmala un Babītes, Mārupes, Olaines, Ķekavas, Baldones, Salaspils, Ikšķiles, Stopiņu, Ropažu, Garkalnes, Ādažu, Carnikavas un Saulkrastu novadi). No 2015.gadā iesniegtajiem 272 pieteikumiem tikai 72 notikuši pēc 2014.gada 1.septembra, t.i., atbilstoši jaunajām Imigrācijas likuma prasībām, turklāt neviens no tiem nav veikts ārpus Rīgas un Pierīgas. 2016.gadā n</w:t>
      </w:r>
      <w:r w:rsidR="00424678">
        <w:rPr>
          <w:rFonts w:ascii="Times New Roman" w:hAnsi="Times New Roman"/>
          <w:color w:val="000000"/>
          <w:sz w:val="26"/>
          <w:szCs w:val="26"/>
        </w:rPr>
        <w:t>o 178</w:t>
      </w:r>
      <w:r w:rsidRPr="00424678">
        <w:rPr>
          <w:rFonts w:ascii="Times New Roman" w:hAnsi="Times New Roman"/>
          <w:color w:val="000000"/>
          <w:sz w:val="26"/>
          <w:szCs w:val="26"/>
        </w:rPr>
        <w:t xml:space="preserve"> pieteikumiem 140 atbilst jaunajām likuma prasībām, bet tikai četri īpašumi iegādāti ārpus Rīgas un Pierīgas – pa vienam īpašumam Jaunjelgavas, Bauskas, Engures un Kuldīgas novadā. No 2017.gada 1.janvāra pieteikumi par nekustamā īpašuma iegādi, kas veikta atbilstoši Imigrācijas likuma redakcijai, kas bija spēkā līdz 2014.gada 31.augustam, vairs </w:t>
      </w:r>
      <w:r w:rsidR="00424678" w:rsidRPr="00424678">
        <w:rPr>
          <w:rFonts w:ascii="Times New Roman" w:hAnsi="Times New Roman"/>
          <w:color w:val="000000"/>
          <w:sz w:val="26"/>
          <w:szCs w:val="26"/>
        </w:rPr>
        <w:t>nebija</w:t>
      </w:r>
      <w:r w:rsidRPr="00424678">
        <w:rPr>
          <w:rFonts w:ascii="Times New Roman" w:hAnsi="Times New Roman"/>
          <w:color w:val="000000"/>
          <w:sz w:val="26"/>
          <w:szCs w:val="26"/>
        </w:rPr>
        <w:t xml:space="preserve"> iesniedzami, līdz ar to visi nekustamā īpašuma iegādes darījumi (</w:t>
      </w:r>
      <w:r w:rsidR="00AC7C1D" w:rsidRPr="00424678">
        <w:rPr>
          <w:rFonts w:ascii="Times New Roman" w:hAnsi="Times New Roman"/>
          <w:color w:val="000000"/>
          <w:sz w:val="26"/>
          <w:szCs w:val="26"/>
        </w:rPr>
        <w:t>100</w:t>
      </w:r>
      <w:r w:rsidR="00424678" w:rsidRPr="00424678">
        <w:rPr>
          <w:rFonts w:ascii="Times New Roman" w:hAnsi="Times New Roman"/>
          <w:color w:val="000000"/>
          <w:sz w:val="26"/>
          <w:szCs w:val="26"/>
        </w:rPr>
        <w:t>) atbilda</w:t>
      </w:r>
      <w:r w:rsidRPr="00424678">
        <w:rPr>
          <w:rFonts w:ascii="Times New Roman" w:hAnsi="Times New Roman"/>
          <w:color w:val="000000"/>
          <w:sz w:val="26"/>
          <w:szCs w:val="26"/>
        </w:rPr>
        <w:t xml:space="preserve"> pašlaik spēkā esošajai minimālajai nekustamā īpašuma iegādes summai, t.i., vismaz 250 000 </w:t>
      </w:r>
      <w:r w:rsidRPr="007557E8">
        <w:rPr>
          <w:rFonts w:ascii="Times New Roman" w:hAnsi="Times New Roman"/>
          <w:i/>
          <w:color w:val="000000"/>
          <w:sz w:val="26"/>
          <w:szCs w:val="26"/>
        </w:rPr>
        <w:t>euro</w:t>
      </w:r>
      <w:r w:rsidR="00424678" w:rsidRPr="00424678">
        <w:rPr>
          <w:rFonts w:ascii="Times New Roman" w:hAnsi="Times New Roman"/>
          <w:color w:val="000000"/>
          <w:sz w:val="26"/>
          <w:szCs w:val="26"/>
        </w:rPr>
        <w:t>, bet neviens no īpašumiem nebija</w:t>
      </w:r>
      <w:r w:rsidRPr="00424678">
        <w:rPr>
          <w:rFonts w:ascii="Times New Roman" w:hAnsi="Times New Roman"/>
          <w:color w:val="000000"/>
          <w:sz w:val="26"/>
          <w:szCs w:val="26"/>
        </w:rPr>
        <w:t xml:space="preserve"> iegādāts ārpus Rīgas vai Pierīgas</w:t>
      </w:r>
      <w:r w:rsidR="005E7487" w:rsidRPr="00424678">
        <w:rPr>
          <w:rFonts w:ascii="Times New Roman" w:hAnsi="Times New Roman"/>
          <w:color w:val="000000"/>
          <w:sz w:val="26"/>
          <w:szCs w:val="26"/>
        </w:rPr>
        <w:t>.</w:t>
      </w:r>
      <w:r w:rsidR="00AC7C1D" w:rsidRPr="00424678">
        <w:rPr>
          <w:rFonts w:ascii="Times New Roman" w:hAnsi="Times New Roman"/>
          <w:color w:val="000000"/>
          <w:sz w:val="26"/>
          <w:szCs w:val="26"/>
        </w:rPr>
        <w:t xml:space="preserve"> </w:t>
      </w:r>
      <w:r w:rsidR="00AC7C1D" w:rsidRPr="00AD1EC4">
        <w:rPr>
          <w:rFonts w:ascii="Times New Roman" w:hAnsi="Times New Roman"/>
          <w:color w:val="000000"/>
          <w:sz w:val="26"/>
          <w:szCs w:val="26"/>
        </w:rPr>
        <w:t xml:space="preserve">Līdzīga situācija </w:t>
      </w:r>
      <w:r w:rsidR="00424678" w:rsidRPr="00AD1EC4">
        <w:rPr>
          <w:rFonts w:ascii="Times New Roman" w:hAnsi="Times New Roman"/>
          <w:color w:val="000000"/>
          <w:sz w:val="26"/>
          <w:szCs w:val="26"/>
        </w:rPr>
        <w:t>vērojama arī 2018.</w:t>
      </w:r>
      <w:r w:rsidR="00AD1EC4" w:rsidRPr="00AD1EC4">
        <w:rPr>
          <w:rFonts w:ascii="Times New Roman" w:hAnsi="Times New Roman"/>
          <w:color w:val="000000"/>
          <w:sz w:val="26"/>
          <w:szCs w:val="26"/>
        </w:rPr>
        <w:t>, 2019. un 2020</w:t>
      </w:r>
      <w:r w:rsidR="00EC2950" w:rsidRPr="00AD1EC4">
        <w:rPr>
          <w:rFonts w:ascii="Times New Roman" w:hAnsi="Times New Roman"/>
          <w:color w:val="000000"/>
          <w:sz w:val="26"/>
          <w:szCs w:val="26"/>
        </w:rPr>
        <w:t>.gadā. 2018.gadā</w:t>
      </w:r>
      <w:r w:rsidR="00424678" w:rsidRPr="00AD1EC4">
        <w:rPr>
          <w:rFonts w:ascii="Times New Roman" w:hAnsi="Times New Roman"/>
          <w:color w:val="000000"/>
          <w:sz w:val="26"/>
          <w:szCs w:val="26"/>
        </w:rPr>
        <w:t xml:space="preserve"> </w:t>
      </w:r>
      <w:r w:rsidR="00EC2950" w:rsidRPr="00AD1EC4">
        <w:rPr>
          <w:rFonts w:ascii="Times New Roman" w:hAnsi="Times New Roman"/>
          <w:color w:val="000000"/>
          <w:sz w:val="26"/>
          <w:szCs w:val="26"/>
        </w:rPr>
        <w:t>saņemti</w:t>
      </w:r>
      <w:r w:rsidR="00AC7C1D" w:rsidRPr="00AD1EC4">
        <w:rPr>
          <w:rFonts w:ascii="Times New Roman" w:hAnsi="Times New Roman"/>
          <w:color w:val="000000"/>
          <w:sz w:val="26"/>
          <w:szCs w:val="26"/>
        </w:rPr>
        <w:t xml:space="preserve"> </w:t>
      </w:r>
      <w:r w:rsidR="00424678" w:rsidRPr="00AD1EC4">
        <w:rPr>
          <w:rFonts w:ascii="Times New Roman" w:hAnsi="Times New Roman"/>
          <w:color w:val="000000"/>
          <w:sz w:val="26"/>
          <w:szCs w:val="26"/>
        </w:rPr>
        <w:t>99</w:t>
      </w:r>
      <w:r w:rsidR="00AC7C1D" w:rsidRPr="00AD1EC4">
        <w:rPr>
          <w:rFonts w:ascii="Times New Roman" w:hAnsi="Times New Roman"/>
          <w:color w:val="000000"/>
          <w:sz w:val="26"/>
          <w:szCs w:val="26"/>
        </w:rPr>
        <w:t xml:space="preserve"> pieteikumi, </w:t>
      </w:r>
      <w:bookmarkStart w:id="7" w:name="_Hlk60214881"/>
      <w:r w:rsidR="00AC7C1D" w:rsidRPr="00AD1EC4">
        <w:rPr>
          <w:rFonts w:ascii="Times New Roman" w:hAnsi="Times New Roman"/>
          <w:color w:val="000000"/>
          <w:sz w:val="26"/>
          <w:szCs w:val="26"/>
        </w:rPr>
        <w:t xml:space="preserve">visi – Rīgā vai Pierīgā, izņemot </w:t>
      </w:r>
      <w:r w:rsidR="00DE7B39" w:rsidRPr="00AD1EC4">
        <w:rPr>
          <w:rFonts w:ascii="Times New Roman" w:hAnsi="Times New Roman"/>
          <w:color w:val="000000"/>
          <w:sz w:val="26"/>
          <w:szCs w:val="26"/>
        </w:rPr>
        <w:t xml:space="preserve">trīs </w:t>
      </w:r>
      <w:r w:rsidR="00AC7C1D" w:rsidRPr="00AD1EC4">
        <w:rPr>
          <w:rFonts w:ascii="Times New Roman" w:hAnsi="Times New Roman"/>
          <w:color w:val="000000"/>
          <w:sz w:val="26"/>
          <w:szCs w:val="26"/>
        </w:rPr>
        <w:t>darīj</w:t>
      </w:r>
      <w:r w:rsidR="00424678" w:rsidRPr="00AD1EC4">
        <w:rPr>
          <w:rFonts w:ascii="Times New Roman" w:hAnsi="Times New Roman"/>
          <w:color w:val="000000"/>
          <w:sz w:val="26"/>
          <w:szCs w:val="26"/>
        </w:rPr>
        <w:t xml:space="preserve">umus, </w:t>
      </w:r>
      <w:bookmarkEnd w:id="7"/>
      <w:r w:rsidR="00424678" w:rsidRPr="00AD1EC4">
        <w:rPr>
          <w:rFonts w:ascii="Times New Roman" w:hAnsi="Times New Roman"/>
          <w:color w:val="000000"/>
          <w:sz w:val="26"/>
          <w:szCs w:val="26"/>
        </w:rPr>
        <w:t>kas veikti Bauskas novadā</w:t>
      </w:r>
      <w:r w:rsidR="00DE7B39" w:rsidRPr="00AD1EC4">
        <w:rPr>
          <w:rFonts w:ascii="Times New Roman" w:hAnsi="Times New Roman"/>
          <w:color w:val="000000"/>
          <w:sz w:val="26"/>
          <w:szCs w:val="26"/>
        </w:rPr>
        <w:t xml:space="preserve"> un vienu darījumu </w:t>
      </w:r>
      <w:bookmarkStart w:id="8" w:name="_Hlk60214906"/>
      <w:r w:rsidR="00DE7B39" w:rsidRPr="00AD1EC4">
        <w:rPr>
          <w:rFonts w:ascii="Times New Roman" w:hAnsi="Times New Roman"/>
          <w:color w:val="000000"/>
          <w:sz w:val="26"/>
          <w:szCs w:val="26"/>
        </w:rPr>
        <w:t>Pārgaujas novadā</w:t>
      </w:r>
      <w:bookmarkEnd w:id="8"/>
      <w:r w:rsidR="00424678" w:rsidRPr="00AD1EC4">
        <w:rPr>
          <w:rFonts w:ascii="Times New Roman" w:hAnsi="Times New Roman"/>
          <w:color w:val="000000"/>
          <w:sz w:val="26"/>
          <w:szCs w:val="26"/>
        </w:rPr>
        <w:t xml:space="preserve">, </w:t>
      </w:r>
      <w:r w:rsidR="00AD1EC4" w:rsidRPr="00AD1EC4">
        <w:rPr>
          <w:rFonts w:ascii="Times New Roman" w:hAnsi="Times New Roman"/>
          <w:color w:val="000000"/>
          <w:sz w:val="26"/>
          <w:szCs w:val="26"/>
        </w:rPr>
        <w:t>2</w:t>
      </w:r>
      <w:r w:rsidR="00424678" w:rsidRPr="00AD1EC4">
        <w:rPr>
          <w:rFonts w:ascii="Times New Roman" w:hAnsi="Times New Roman"/>
          <w:color w:val="000000"/>
          <w:sz w:val="26"/>
          <w:szCs w:val="26"/>
        </w:rPr>
        <w:t>019.gad</w:t>
      </w:r>
      <w:r w:rsidR="00EC2950" w:rsidRPr="00AD1EC4">
        <w:rPr>
          <w:rFonts w:ascii="Times New Roman" w:hAnsi="Times New Roman"/>
          <w:color w:val="000000"/>
          <w:sz w:val="26"/>
          <w:szCs w:val="26"/>
        </w:rPr>
        <w:t>ā – 10</w:t>
      </w:r>
      <w:r w:rsidR="00AD1EC4" w:rsidRPr="00AD1EC4">
        <w:rPr>
          <w:rFonts w:ascii="Times New Roman" w:hAnsi="Times New Roman"/>
          <w:color w:val="000000"/>
          <w:sz w:val="26"/>
          <w:szCs w:val="26"/>
        </w:rPr>
        <w:t xml:space="preserve">0 </w:t>
      </w:r>
      <w:r w:rsidR="00EC2950" w:rsidRPr="00AD1EC4">
        <w:rPr>
          <w:rFonts w:ascii="Times New Roman" w:hAnsi="Times New Roman"/>
          <w:color w:val="000000"/>
          <w:sz w:val="26"/>
          <w:szCs w:val="26"/>
        </w:rPr>
        <w:t>pieteikumi</w:t>
      </w:r>
      <w:r w:rsidR="00B118B7" w:rsidRPr="00AD1EC4">
        <w:rPr>
          <w:rFonts w:ascii="Times New Roman" w:hAnsi="Times New Roman"/>
          <w:color w:val="000000"/>
          <w:sz w:val="26"/>
          <w:szCs w:val="26"/>
        </w:rPr>
        <w:t xml:space="preserve">, </w:t>
      </w:r>
      <w:r w:rsidR="00E73DB6" w:rsidRPr="00AD1EC4">
        <w:rPr>
          <w:rFonts w:ascii="Times New Roman" w:hAnsi="Times New Roman"/>
          <w:color w:val="000000"/>
          <w:sz w:val="26"/>
          <w:szCs w:val="26"/>
        </w:rPr>
        <w:t>no kuriem</w:t>
      </w:r>
      <w:r w:rsidR="00B118B7" w:rsidRPr="00AD1EC4">
        <w:rPr>
          <w:rFonts w:ascii="Times New Roman" w:hAnsi="Times New Roman"/>
          <w:color w:val="000000"/>
          <w:sz w:val="26"/>
          <w:szCs w:val="26"/>
        </w:rPr>
        <w:t xml:space="preserve"> vien</w:t>
      </w:r>
      <w:r w:rsidR="00E73DB6" w:rsidRPr="00AD1EC4">
        <w:rPr>
          <w:rFonts w:ascii="Times New Roman" w:hAnsi="Times New Roman"/>
          <w:color w:val="000000"/>
          <w:sz w:val="26"/>
          <w:szCs w:val="26"/>
        </w:rPr>
        <w:t>s</w:t>
      </w:r>
      <w:r w:rsidR="00B118B7" w:rsidRPr="00AD1EC4">
        <w:rPr>
          <w:rFonts w:ascii="Times New Roman" w:hAnsi="Times New Roman"/>
          <w:color w:val="000000"/>
          <w:sz w:val="26"/>
          <w:szCs w:val="26"/>
        </w:rPr>
        <w:t xml:space="preserve"> darījum</w:t>
      </w:r>
      <w:r w:rsidR="00E73DB6" w:rsidRPr="00AD1EC4">
        <w:rPr>
          <w:rFonts w:ascii="Times New Roman" w:hAnsi="Times New Roman"/>
          <w:color w:val="000000"/>
          <w:sz w:val="26"/>
          <w:szCs w:val="26"/>
        </w:rPr>
        <w:t>s</w:t>
      </w:r>
      <w:r w:rsidR="00B118B7" w:rsidRPr="00AD1EC4">
        <w:t xml:space="preserve"> </w:t>
      </w:r>
      <w:r w:rsidR="00B118B7" w:rsidRPr="00AD1EC4">
        <w:rPr>
          <w:rFonts w:ascii="Times New Roman" w:hAnsi="Times New Roman"/>
          <w:color w:val="000000"/>
          <w:sz w:val="26"/>
          <w:szCs w:val="26"/>
        </w:rPr>
        <w:t>Pārgaujas novadā</w:t>
      </w:r>
      <w:r w:rsidR="00E73DB6" w:rsidRPr="00AD1EC4">
        <w:rPr>
          <w:rFonts w:ascii="Times New Roman" w:hAnsi="Times New Roman"/>
          <w:color w:val="000000"/>
          <w:sz w:val="26"/>
          <w:szCs w:val="26"/>
        </w:rPr>
        <w:t>, pārējie – Rīgā vai Pierīgā</w:t>
      </w:r>
      <w:r w:rsidR="00B118B7" w:rsidRPr="00AD1EC4">
        <w:rPr>
          <w:rFonts w:ascii="Times New Roman" w:hAnsi="Times New Roman"/>
          <w:color w:val="000000"/>
          <w:sz w:val="26"/>
          <w:szCs w:val="26"/>
        </w:rPr>
        <w:t>.</w:t>
      </w:r>
      <w:r w:rsidR="00B118B7" w:rsidRPr="00AD1EC4">
        <w:t xml:space="preserve"> </w:t>
      </w:r>
      <w:r w:rsidR="00B118B7" w:rsidRPr="00AD1EC4">
        <w:rPr>
          <w:rFonts w:ascii="Times New Roman" w:hAnsi="Times New Roman"/>
          <w:color w:val="000000"/>
          <w:sz w:val="26"/>
          <w:szCs w:val="26"/>
        </w:rPr>
        <w:t xml:space="preserve">2020.gadā saņemti </w:t>
      </w:r>
      <w:r w:rsidR="00AD1EC4" w:rsidRPr="00AD1EC4">
        <w:rPr>
          <w:rFonts w:ascii="Times New Roman" w:hAnsi="Times New Roman"/>
          <w:color w:val="000000"/>
          <w:sz w:val="26"/>
          <w:szCs w:val="26"/>
        </w:rPr>
        <w:t xml:space="preserve">69 </w:t>
      </w:r>
      <w:r w:rsidR="00B118B7" w:rsidRPr="00AD1EC4">
        <w:rPr>
          <w:rFonts w:ascii="Times New Roman" w:hAnsi="Times New Roman"/>
          <w:color w:val="000000"/>
          <w:sz w:val="26"/>
          <w:szCs w:val="26"/>
        </w:rPr>
        <w:t>pieteikumi, visi</w:t>
      </w:r>
      <w:r w:rsidR="00B118B7" w:rsidRPr="00AD1EC4">
        <w:t xml:space="preserve"> </w:t>
      </w:r>
      <w:r w:rsidR="00B118B7" w:rsidRPr="00AD1EC4">
        <w:rPr>
          <w:rFonts w:ascii="Times New Roman" w:hAnsi="Times New Roman"/>
          <w:color w:val="000000"/>
          <w:sz w:val="26"/>
          <w:szCs w:val="26"/>
        </w:rPr>
        <w:t>Rīgā vai Pierīgā</w:t>
      </w:r>
      <w:r w:rsidR="00AD1EC4" w:rsidRPr="00AD1EC4">
        <w:rPr>
          <w:rFonts w:ascii="Times New Roman" w:hAnsi="Times New Roman"/>
          <w:color w:val="000000"/>
          <w:sz w:val="26"/>
          <w:szCs w:val="26"/>
        </w:rPr>
        <w:t xml:space="preserve">. </w:t>
      </w:r>
      <w:r w:rsidR="00B118B7" w:rsidRPr="00AD1EC4">
        <w:rPr>
          <w:rFonts w:ascii="Times New Roman" w:hAnsi="Times New Roman"/>
          <w:color w:val="000000"/>
          <w:sz w:val="26"/>
          <w:szCs w:val="26"/>
        </w:rPr>
        <w:t>Pieteikumu skaita kritums 2020.</w:t>
      </w:r>
      <w:r w:rsidR="00AD1EC4" w:rsidRPr="00AD1EC4">
        <w:rPr>
          <w:rFonts w:ascii="Times New Roman" w:hAnsi="Times New Roman"/>
          <w:color w:val="000000"/>
          <w:sz w:val="26"/>
          <w:szCs w:val="26"/>
        </w:rPr>
        <w:t>gadā</w:t>
      </w:r>
      <w:r w:rsidR="00B118B7" w:rsidRPr="00AD1EC4">
        <w:rPr>
          <w:rFonts w:ascii="Times New Roman" w:hAnsi="Times New Roman"/>
          <w:color w:val="000000"/>
          <w:sz w:val="26"/>
          <w:szCs w:val="26"/>
        </w:rPr>
        <w:t xml:space="preserve"> </w:t>
      </w:r>
      <w:r w:rsidR="00AD1EC4" w:rsidRPr="00AD1EC4">
        <w:rPr>
          <w:rFonts w:ascii="Times New Roman" w:hAnsi="Times New Roman"/>
          <w:color w:val="000000"/>
          <w:sz w:val="26"/>
          <w:szCs w:val="26"/>
        </w:rPr>
        <w:t>s</w:t>
      </w:r>
      <w:r w:rsidR="00B118B7" w:rsidRPr="00AD1EC4">
        <w:rPr>
          <w:rFonts w:ascii="Times New Roman" w:hAnsi="Times New Roman"/>
          <w:color w:val="000000"/>
          <w:sz w:val="26"/>
          <w:szCs w:val="26"/>
        </w:rPr>
        <w:t xml:space="preserve">kaidrojams ar </w:t>
      </w:r>
      <w:r w:rsidR="00764875" w:rsidRPr="00AD1EC4">
        <w:rPr>
          <w:rFonts w:ascii="Times New Roman" w:hAnsi="Times New Roman"/>
          <w:color w:val="000000"/>
          <w:sz w:val="26"/>
          <w:szCs w:val="26"/>
        </w:rPr>
        <w:t xml:space="preserve">Covid-19 pandēmiju un </w:t>
      </w:r>
      <w:r w:rsidR="00F71607" w:rsidRPr="00AD1EC4">
        <w:rPr>
          <w:rFonts w:ascii="Times New Roman" w:hAnsi="Times New Roman"/>
          <w:color w:val="000000"/>
          <w:sz w:val="26"/>
          <w:szCs w:val="26"/>
        </w:rPr>
        <w:t xml:space="preserve">Latvijā un Eiropas Savienībā veiktajiem pasākumiem </w:t>
      </w:r>
      <w:r w:rsidR="00764875" w:rsidRPr="00AD1EC4">
        <w:rPr>
          <w:rFonts w:ascii="Times New Roman" w:hAnsi="Times New Roman"/>
          <w:color w:val="000000"/>
          <w:sz w:val="26"/>
          <w:szCs w:val="26"/>
        </w:rPr>
        <w:t>tās izplatīb</w:t>
      </w:r>
      <w:r w:rsidR="00F71607" w:rsidRPr="00AD1EC4">
        <w:rPr>
          <w:rFonts w:ascii="Times New Roman" w:hAnsi="Times New Roman"/>
          <w:color w:val="000000"/>
          <w:sz w:val="26"/>
          <w:szCs w:val="26"/>
        </w:rPr>
        <w:t>as</w:t>
      </w:r>
      <w:r w:rsidR="00764875" w:rsidRPr="00AD1EC4">
        <w:rPr>
          <w:rFonts w:ascii="Times New Roman" w:hAnsi="Times New Roman"/>
          <w:color w:val="000000"/>
          <w:sz w:val="26"/>
          <w:szCs w:val="26"/>
        </w:rPr>
        <w:t xml:space="preserve"> ierobežoš</w:t>
      </w:r>
      <w:r w:rsidR="00F71607" w:rsidRPr="00AD1EC4">
        <w:rPr>
          <w:rFonts w:ascii="Times New Roman" w:hAnsi="Times New Roman"/>
          <w:color w:val="000000"/>
          <w:sz w:val="26"/>
          <w:szCs w:val="26"/>
        </w:rPr>
        <w:t>anai</w:t>
      </w:r>
      <w:r w:rsidR="00AD1EC4" w:rsidRPr="00AD1EC4">
        <w:rPr>
          <w:rFonts w:ascii="Times New Roman" w:hAnsi="Times New Roman"/>
          <w:color w:val="000000"/>
          <w:sz w:val="26"/>
          <w:szCs w:val="26"/>
        </w:rPr>
        <w:t>, galvenokārt, ceļojumu</w:t>
      </w:r>
      <w:r w:rsidR="00600619" w:rsidRPr="00AD1EC4">
        <w:rPr>
          <w:rFonts w:ascii="Times New Roman" w:hAnsi="Times New Roman"/>
          <w:color w:val="000000"/>
          <w:sz w:val="26"/>
          <w:szCs w:val="26"/>
        </w:rPr>
        <w:t xml:space="preserve"> un pasažieru pārvadājumu </w:t>
      </w:r>
      <w:r w:rsidR="00AC4CC1" w:rsidRPr="00AD1EC4">
        <w:rPr>
          <w:rFonts w:ascii="Times New Roman" w:hAnsi="Times New Roman"/>
          <w:color w:val="000000"/>
          <w:sz w:val="26"/>
          <w:szCs w:val="26"/>
        </w:rPr>
        <w:t>ierobežošana.</w:t>
      </w:r>
    </w:p>
    <w:p w14:paraId="65652B78" w14:textId="7D947B45" w:rsidR="00C6033E" w:rsidRDefault="00C6033E" w:rsidP="00424678">
      <w:pPr>
        <w:spacing w:after="120"/>
        <w:ind w:firstLine="567"/>
        <w:jc w:val="both"/>
        <w:rPr>
          <w:rFonts w:ascii="Times New Roman" w:hAnsi="Times New Roman"/>
          <w:sz w:val="26"/>
          <w:szCs w:val="26"/>
        </w:rPr>
      </w:pPr>
      <w:r>
        <w:rPr>
          <w:rFonts w:ascii="Times New Roman" w:hAnsi="Times New Roman"/>
          <w:sz w:val="26"/>
          <w:szCs w:val="26"/>
        </w:rPr>
        <w:t xml:space="preserve">Kopumā </w:t>
      </w:r>
      <w:r w:rsidR="008B1059">
        <w:rPr>
          <w:rFonts w:ascii="Times New Roman" w:hAnsi="Times New Roman"/>
          <w:sz w:val="26"/>
          <w:szCs w:val="26"/>
        </w:rPr>
        <w:t>šobrīd</w:t>
      </w:r>
      <w:r>
        <w:rPr>
          <w:rFonts w:ascii="Times New Roman" w:hAnsi="Times New Roman"/>
          <w:sz w:val="26"/>
          <w:szCs w:val="26"/>
        </w:rPr>
        <w:t xml:space="preserve"> </w:t>
      </w:r>
      <w:r w:rsidRPr="00C6033E">
        <w:rPr>
          <w:rFonts w:ascii="Times New Roman" w:hAnsi="Times New Roman"/>
          <w:sz w:val="26"/>
          <w:szCs w:val="26"/>
        </w:rPr>
        <w:t xml:space="preserve">TUA ietekme uz Latvijas nekustamā īpašuma tirgu un dažādiem tās segmentiem </w:t>
      </w:r>
      <w:r>
        <w:rPr>
          <w:rFonts w:ascii="Times New Roman" w:hAnsi="Times New Roman"/>
          <w:sz w:val="26"/>
          <w:szCs w:val="26"/>
        </w:rPr>
        <w:t xml:space="preserve">vērtējama kā </w:t>
      </w:r>
      <w:r w:rsidRPr="00C6033E">
        <w:rPr>
          <w:rFonts w:ascii="Times New Roman" w:hAnsi="Times New Roman"/>
          <w:sz w:val="26"/>
          <w:szCs w:val="26"/>
        </w:rPr>
        <w:t xml:space="preserve">nebūtiska. Izņēmumi ir atsevišķas </w:t>
      </w:r>
      <w:r>
        <w:rPr>
          <w:rFonts w:ascii="Times New Roman" w:hAnsi="Times New Roman"/>
          <w:sz w:val="26"/>
          <w:szCs w:val="26"/>
        </w:rPr>
        <w:t xml:space="preserve">ekskluzīvas </w:t>
      </w:r>
      <w:r w:rsidRPr="00C6033E">
        <w:rPr>
          <w:rFonts w:ascii="Times New Roman" w:hAnsi="Times New Roman"/>
          <w:sz w:val="26"/>
          <w:szCs w:val="26"/>
        </w:rPr>
        <w:t>zonas, piemēram, Jūrmalas</w:t>
      </w:r>
      <w:r>
        <w:rPr>
          <w:rFonts w:ascii="Times New Roman" w:hAnsi="Times New Roman"/>
          <w:sz w:val="26"/>
          <w:szCs w:val="26"/>
        </w:rPr>
        <w:t xml:space="preserve"> </w:t>
      </w:r>
      <w:r w:rsidRPr="00C6033E">
        <w:rPr>
          <w:rFonts w:ascii="Times New Roman" w:hAnsi="Times New Roman"/>
          <w:sz w:val="26"/>
          <w:szCs w:val="26"/>
        </w:rPr>
        <w:t>centrs</w:t>
      </w:r>
      <w:r>
        <w:rPr>
          <w:rFonts w:ascii="Times New Roman" w:hAnsi="Times New Roman"/>
          <w:sz w:val="26"/>
          <w:szCs w:val="26"/>
        </w:rPr>
        <w:t xml:space="preserve"> un</w:t>
      </w:r>
      <w:r w:rsidRPr="00C6033E">
        <w:rPr>
          <w:rFonts w:ascii="Times New Roman" w:hAnsi="Times New Roman"/>
          <w:sz w:val="26"/>
          <w:szCs w:val="26"/>
        </w:rPr>
        <w:t xml:space="preserve"> </w:t>
      </w:r>
      <w:r>
        <w:rPr>
          <w:rFonts w:ascii="Times New Roman" w:hAnsi="Times New Roman"/>
          <w:sz w:val="26"/>
          <w:szCs w:val="26"/>
        </w:rPr>
        <w:t>apbūve jūras tuvumā</w:t>
      </w:r>
      <w:r w:rsidR="00B67655">
        <w:rPr>
          <w:rFonts w:ascii="Times New Roman" w:hAnsi="Times New Roman"/>
          <w:sz w:val="26"/>
          <w:szCs w:val="26"/>
        </w:rPr>
        <w:t>.</w:t>
      </w:r>
    </w:p>
    <w:p w14:paraId="1B68B751" w14:textId="77777777" w:rsidR="00424678" w:rsidRPr="00424678" w:rsidRDefault="00424678" w:rsidP="00B63E16">
      <w:pPr>
        <w:ind w:firstLine="567"/>
        <w:jc w:val="both"/>
        <w:rPr>
          <w:rFonts w:ascii="Times New Roman" w:hAnsi="Times New Roman"/>
          <w:sz w:val="26"/>
          <w:szCs w:val="26"/>
        </w:rPr>
      </w:pPr>
    </w:p>
    <w:p w14:paraId="6C31552F" w14:textId="77777777" w:rsidR="00FF58A0" w:rsidRDefault="00A67CA7" w:rsidP="00F37FDA">
      <w:pPr>
        <w:spacing w:after="120"/>
        <w:ind w:firstLine="567"/>
        <w:jc w:val="center"/>
        <w:rPr>
          <w:rFonts w:ascii="Times New Roman" w:hAnsi="Times New Roman"/>
          <w:b/>
          <w:sz w:val="26"/>
          <w:szCs w:val="26"/>
        </w:rPr>
      </w:pPr>
      <w:r w:rsidRPr="007428B3">
        <w:rPr>
          <w:rFonts w:ascii="Times New Roman" w:hAnsi="Times New Roman"/>
          <w:b/>
          <w:sz w:val="26"/>
          <w:szCs w:val="26"/>
        </w:rPr>
        <w:t>Investīcijas kredītiestāžu pakārtotajās saistībās</w:t>
      </w:r>
    </w:p>
    <w:p w14:paraId="5CDE8ECC" w14:textId="77777777" w:rsidR="0021121A" w:rsidRPr="007428B3" w:rsidRDefault="0021121A" w:rsidP="00F37FDA">
      <w:pPr>
        <w:spacing w:after="120"/>
        <w:ind w:firstLine="567"/>
        <w:jc w:val="center"/>
        <w:rPr>
          <w:rFonts w:ascii="Times New Roman" w:hAnsi="Times New Roman"/>
          <w:b/>
          <w:sz w:val="26"/>
          <w:szCs w:val="26"/>
        </w:rPr>
      </w:pPr>
    </w:p>
    <w:p w14:paraId="0B53F3AC" w14:textId="77777777" w:rsidR="006E4446" w:rsidRPr="007428B3" w:rsidRDefault="006E4446" w:rsidP="006E4446">
      <w:pPr>
        <w:spacing w:after="120"/>
        <w:ind w:firstLine="567"/>
        <w:jc w:val="both"/>
        <w:rPr>
          <w:rFonts w:ascii="Times New Roman" w:hAnsi="Times New Roman"/>
          <w:sz w:val="26"/>
          <w:szCs w:val="26"/>
        </w:rPr>
      </w:pPr>
      <w:r w:rsidRPr="007428B3">
        <w:rPr>
          <w:rFonts w:ascii="Times New Roman" w:hAnsi="Times New Roman"/>
          <w:sz w:val="26"/>
          <w:szCs w:val="26"/>
        </w:rPr>
        <w:t>Imigrācijas likuma 23.panta pirmās daļas 30.punkts, kas stājās spēkā 2010.gada 1.jūlijā, dod iespēju attīstīt un tirgū aktīvi piedāvāt iepriekš maz pieprasīto pakalpojumu – līgumu par pakārtotajām saistībām, kā rezultātā, kredītiestādēm sniedzot iespēju paplašināt potenciālo klientu loku un palielināt depozītu skaitu. Piesaistītos līdzekļus kredītiestādes atgriež apgrozījumā, izsniedzot kredītus, t.i. attīsta kreditēšanas sfēru un ļauj naudai strādāt tautsaimniecības interesēs. Palielinoties piesaistītajam kapitālam, parādās iespēja refinansēt daļu no sliktajiem un kavētajiem kredītiem – tas nozīmē, ka to īpatsvaram parādās tendence samazināties, kā arī uzlabojas kredītiestāžu kapitāla pietiekamības rādītāji.</w:t>
      </w:r>
    </w:p>
    <w:p w14:paraId="2EB7C5C2" w14:textId="77777777" w:rsidR="006E4446" w:rsidRPr="007428B3" w:rsidRDefault="006E4446" w:rsidP="006E4446">
      <w:pPr>
        <w:spacing w:after="120"/>
        <w:ind w:firstLine="567"/>
        <w:jc w:val="both"/>
        <w:rPr>
          <w:rFonts w:ascii="Times New Roman" w:hAnsi="Times New Roman"/>
          <w:sz w:val="26"/>
          <w:szCs w:val="26"/>
        </w:rPr>
      </w:pPr>
      <w:r w:rsidRPr="007428B3">
        <w:rPr>
          <w:rFonts w:ascii="Times New Roman" w:hAnsi="Times New Roman"/>
          <w:sz w:val="26"/>
          <w:szCs w:val="26"/>
        </w:rPr>
        <w:t>Pakārtotās saistības tiek izmantotas tikai otrā līmeņa kapitālā (Tier 2 Capital) un tiek ņemts vērā kredītiestādes kapitāla pietiekamības aprēķinā. Tādējādi tas tiek izmantots attiecīgās bankas un visas banku sistēmas risku mazināšanai (pieaug kapitāla pietiekamība) un attiecīgi palielinās iespēja bankām izsniegt kredītus (</w:t>
      </w:r>
      <w:r w:rsidRPr="007428B3">
        <w:rPr>
          <w:rFonts w:ascii="Times New Roman" w:hAnsi="Times New Roman"/>
          <w:i/>
          <w:sz w:val="26"/>
          <w:szCs w:val="26"/>
        </w:rPr>
        <w:t>detalizētāku informāciju par ar TUA saņemšanu saistītiem finanšu ieguldījumiem kredītiestādēs skatīt pielikumā Nr.3</w:t>
      </w:r>
      <w:r w:rsidRPr="007428B3">
        <w:rPr>
          <w:rFonts w:ascii="Times New Roman" w:hAnsi="Times New Roman"/>
          <w:sz w:val="26"/>
          <w:szCs w:val="26"/>
        </w:rPr>
        <w:t>).</w:t>
      </w:r>
    </w:p>
    <w:p w14:paraId="341F55E2" w14:textId="04AC59B7" w:rsidR="00AB3AEF" w:rsidRPr="007428B3" w:rsidRDefault="00AB3AEF" w:rsidP="006E4446">
      <w:pPr>
        <w:spacing w:after="120"/>
        <w:ind w:firstLine="567"/>
        <w:jc w:val="both"/>
        <w:rPr>
          <w:rFonts w:ascii="Times New Roman" w:hAnsi="Times New Roman"/>
          <w:sz w:val="26"/>
          <w:szCs w:val="26"/>
        </w:rPr>
      </w:pPr>
      <w:r w:rsidRPr="007428B3">
        <w:rPr>
          <w:rFonts w:ascii="Times New Roman" w:hAnsi="Times New Roman"/>
          <w:sz w:val="26"/>
          <w:szCs w:val="26"/>
          <w:lang w:eastAsia="lv-LV"/>
        </w:rPr>
        <w:t xml:space="preserve">Kopš </w:t>
      </w:r>
      <w:r w:rsidR="00F21EDC" w:rsidRPr="007428B3">
        <w:rPr>
          <w:rFonts w:ascii="Times New Roman" w:hAnsi="Times New Roman"/>
          <w:sz w:val="26"/>
          <w:szCs w:val="26"/>
          <w:lang w:eastAsia="lv-LV"/>
        </w:rPr>
        <w:t xml:space="preserve">2014.gada 1.septembrī stājās spēkā </w:t>
      </w:r>
      <w:r w:rsidRPr="007428B3">
        <w:rPr>
          <w:rFonts w:ascii="Times New Roman" w:hAnsi="Times New Roman"/>
          <w:sz w:val="26"/>
          <w:szCs w:val="26"/>
          <w:lang w:eastAsia="lv-LV"/>
        </w:rPr>
        <w:t>grozījum</w:t>
      </w:r>
      <w:r w:rsidR="00F21EDC" w:rsidRPr="007428B3">
        <w:rPr>
          <w:rFonts w:ascii="Times New Roman" w:hAnsi="Times New Roman"/>
          <w:sz w:val="26"/>
          <w:szCs w:val="26"/>
          <w:lang w:eastAsia="lv-LV"/>
        </w:rPr>
        <w:t>i</w:t>
      </w:r>
      <w:r w:rsidRPr="007428B3">
        <w:rPr>
          <w:rFonts w:ascii="Times New Roman" w:hAnsi="Times New Roman"/>
          <w:sz w:val="26"/>
          <w:szCs w:val="26"/>
          <w:lang w:eastAsia="lv-LV"/>
        </w:rPr>
        <w:t xml:space="preserve"> Imigrācijas likumā, </w:t>
      </w:r>
      <w:r w:rsidR="00F21EDC" w:rsidRPr="007428B3">
        <w:rPr>
          <w:rFonts w:ascii="Times New Roman" w:hAnsi="Times New Roman"/>
          <w:sz w:val="26"/>
          <w:szCs w:val="26"/>
          <w:lang w:eastAsia="lv-LV"/>
        </w:rPr>
        <w:t>ārzemnieku skaits</w:t>
      </w:r>
      <w:r w:rsidRPr="007428B3">
        <w:rPr>
          <w:rFonts w:ascii="Times New Roman" w:hAnsi="Times New Roman"/>
          <w:sz w:val="26"/>
          <w:szCs w:val="26"/>
          <w:lang w:eastAsia="lv-LV"/>
        </w:rPr>
        <w:t xml:space="preserve">, kuri vēlas saņemt TUA saskaņā ar Imigrācijas likuma 23.panta pirmās daļas 30.punktu (iespēja saņemt TUA par ieguldījumu Latvijas kredītiestādes pakārtotajās saistībās vismaz 280 tūkst. </w:t>
      </w:r>
      <w:r w:rsidRPr="007428B3">
        <w:rPr>
          <w:rFonts w:ascii="Times New Roman" w:hAnsi="Times New Roman"/>
          <w:i/>
          <w:sz w:val="26"/>
          <w:szCs w:val="26"/>
          <w:lang w:eastAsia="lv-LV"/>
        </w:rPr>
        <w:t>euro</w:t>
      </w:r>
      <w:r w:rsidRPr="007428B3">
        <w:rPr>
          <w:rFonts w:ascii="Times New Roman" w:hAnsi="Times New Roman"/>
          <w:sz w:val="26"/>
          <w:szCs w:val="26"/>
          <w:lang w:eastAsia="lv-LV"/>
        </w:rPr>
        <w:t xml:space="preserve"> apmērā)</w:t>
      </w:r>
      <w:r w:rsidR="00F21EDC" w:rsidRPr="007428B3">
        <w:rPr>
          <w:rFonts w:ascii="Times New Roman" w:hAnsi="Times New Roman"/>
          <w:sz w:val="26"/>
          <w:szCs w:val="26"/>
          <w:lang w:eastAsia="lv-LV"/>
        </w:rPr>
        <w:t>,</w:t>
      </w:r>
      <w:r w:rsidRPr="007428B3">
        <w:rPr>
          <w:rFonts w:ascii="Times New Roman" w:hAnsi="Times New Roman"/>
          <w:sz w:val="26"/>
          <w:szCs w:val="26"/>
          <w:lang w:eastAsia="lv-LV"/>
        </w:rPr>
        <w:t xml:space="preserve"> ir samazinājies. </w:t>
      </w:r>
      <w:r w:rsidRPr="007428B3">
        <w:rPr>
          <w:rFonts w:ascii="Times New Roman" w:hAnsi="Times New Roman"/>
          <w:sz w:val="26"/>
          <w:szCs w:val="26"/>
        </w:rPr>
        <w:t>No 2014.gada 1.septembra līdz 201</w:t>
      </w:r>
      <w:r w:rsidR="005D6637">
        <w:rPr>
          <w:rFonts w:ascii="Times New Roman" w:hAnsi="Times New Roman"/>
          <w:sz w:val="26"/>
          <w:szCs w:val="26"/>
        </w:rPr>
        <w:t>9</w:t>
      </w:r>
      <w:r w:rsidRPr="007428B3">
        <w:rPr>
          <w:rFonts w:ascii="Times New Roman" w:hAnsi="Times New Roman"/>
          <w:sz w:val="26"/>
          <w:szCs w:val="26"/>
        </w:rPr>
        <w:t>.gada 3</w:t>
      </w:r>
      <w:r w:rsidR="005D6637">
        <w:rPr>
          <w:rFonts w:ascii="Times New Roman" w:hAnsi="Times New Roman"/>
          <w:sz w:val="26"/>
          <w:szCs w:val="26"/>
        </w:rPr>
        <w:t>0</w:t>
      </w:r>
      <w:r w:rsidRPr="007428B3">
        <w:rPr>
          <w:rFonts w:ascii="Times New Roman" w:hAnsi="Times New Roman"/>
          <w:sz w:val="26"/>
          <w:szCs w:val="26"/>
        </w:rPr>
        <w:t xml:space="preserve">.jūnijam TUA pieteikumus iesnieguši tikai </w:t>
      </w:r>
      <w:r w:rsidR="00AC7C1D" w:rsidRPr="007428B3">
        <w:rPr>
          <w:rFonts w:ascii="Times New Roman" w:hAnsi="Times New Roman"/>
          <w:sz w:val="26"/>
          <w:szCs w:val="26"/>
        </w:rPr>
        <w:t>6</w:t>
      </w:r>
      <w:r w:rsidR="005D6637">
        <w:rPr>
          <w:rFonts w:ascii="Times New Roman" w:hAnsi="Times New Roman"/>
          <w:sz w:val="26"/>
          <w:szCs w:val="26"/>
        </w:rPr>
        <w:t>5</w:t>
      </w:r>
      <w:r w:rsidRPr="007428B3">
        <w:rPr>
          <w:rFonts w:ascii="Times New Roman" w:hAnsi="Times New Roman"/>
          <w:sz w:val="26"/>
          <w:szCs w:val="26"/>
        </w:rPr>
        <w:t xml:space="preserve"> investori</w:t>
      </w:r>
      <w:r w:rsidR="006E4446">
        <w:rPr>
          <w:rFonts w:ascii="Times New Roman" w:hAnsi="Times New Roman"/>
          <w:sz w:val="26"/>
          <w:szCs w:val="26"/>
        </w:rPr>
        <w:t>.</w:t>
      </w:r>
      <w:r w:rsidR="00766F66">
        <w:rPr>
          <w:rFonts w:ascii="Times New Roman" w:hAnsi="Times New Roman"/>
          <w:sz w:val="26"/>
          <w:szCs w:val="26"/>
        </w:rPr>
        <w:t xml:space="preserve"> </w:t>
      </w:r>
      <w:r w:rsidRPr="007428B3">
        <w:rPr>
          <w:rFonts w:ascii="Times New Roman" w:hAnsi="Times New Roman"/>
          <w:sz w:val="26"/>
          <w:szCs w:val="26"/>
        </w:rPr>
        <w:t>Salīdzinot ar laikposmu no 2010.gada 1.jūlija līdz 2014.gada 31.augustam, kad pieteikumus iesniedza 427 investori (vidējais pieteikumu skaits gadā – ap 90 pieteikumiem),</w:t>
      </w:r>
      <w:r w:rsidR="00C95996">
        <w:rPr>
          <w:rFonts w:ascii="Times New Roman" w:hAnsi="Times New Roman"/>
          <w:sz w:val="26"/>
          <w:szCs w:val="26"/>
        </w:rPr>
        <w:t xml:space="preserve"> pēdējos gados</w:t>
      </w:r>
      <w:r w:rsidRPr="007428B3">
        <w:rPr>
          <w:rFonts w:ascii="Times New Roman" w:hAnsi="Times New Roman"/>
          <w:sz w:val="26"/>
          <w:szCs w:val="26"/>
        </w:rPr>
        <w:t xml:space="preserve"> vērojams būtisks pieteikumu skaita samazinājums </w:t>
      </w:r>
      <w:bookmarkStart w:id="9" w:name="_Hlk24734418"/>
      <w:r w:rsidR="00E909F7" w:rsidRPr="007428B3">
        <w:rPr>
          <w:rFonts w:ascii="Times New Roman" w:hAnsi="Times New Roman"/>
          <w:sz w:val="26"/>
          <w:szCs w:val="26"/>
        </w:rPr>
        <w:t>–</w:t>
      </w:r>
      <w:r w:rsidRPr="007428B3">
        <w:rPr>
          <w:rFonts w:ascii="Times New Roman" w:hAnsi="Times New Roman"/>
          <w:sz w:val="26"/>
          <w:szCs w:val="26"/>
        </w:rPr>
        <w:t xml:space="preserve"> </w:t>
      </w:r>
      <w:r w:rsidR="00E909F7" w:rsidRPr="007428B3">
        <w:rPr>
          <w:rFonts w:ascii="Times New Roman" w:hAnsi="Times New Roman"/>
          <w:sz w:val="26"/>
          <w:szCs w:val="26"/>
        </w:rPr>
        <w:t>2016.gadā saņe</w:t>
      </w:r>
      <w:r w:rsidR="00FB784F" w:rsidRPr="007428B3">
        <w:rPr>
          <w:rFonts w:ascii="Times New Roman" w:hAnsi="Times New Roman"/>
          <w:sz w:val="26"/>
          <w:szCs w:val="26"/>
        </w:rPr>
        <w:t xml:space="preserve">mti 13 pieteikumi, </w:t>
      </w:r>
      <w:r w:rsidR="00AC7C1D" w:rsidRPr="007428B3">
        <w:rPr>
          <w:rFonts w:ascii="Times New Roman" w:hAnsi="Times New Roman"/>
          <w:sz w:val="26"/>
          <w:szCs w:val="26"/>
        </w:rPr>
        <w:t>2017.gadā – 12 pieteikumi,</w:t>
      </w:r>
      <w:r w:rsidR="007428B3" w:rsidRPr="007428B3">
        <w:rPr>
          <w:rFonts w:ascii="Times New Roman" w:hAnsi="Times New Roman"/>
          <w:sz w:val="26"/>
          <w:szCs w:val="26"/>
        </w:rPr>
        <w:t xml:space="preserve"> 2018.gadā – 2 pieteikumi, bet </w:t>
      </w:r>
      <w:r w:rsidR="007428B3" w:rsidRPr="00AD1EC4">
        <w:rPr>
          <w:rFonts w:ascii="Times New Roman" w:hAnsi="Times New Roman"/>
          <w:sz w:val="26"/>
          <w:szCs w:val="26"/>
        </w:rPr>
        <w:t>2019</w:t>
      </w:r>
      <w:r w:rsidR="00AC7C1D" w:rsidRPr="00AD1EC4">
        <w:rPr>
          <w:rFonts w:ascii="Times New Roman" w:hAnsi="Times New Roman"/>
          <w:sz w:val="26"/>
          <w:szCs w:val="26"/>
        </w:rPr>
        <w:t>.gad</w:t>
      </w:r>
      <w:r w:rsidR="0085150C" w:rsidRPr="00AD1EC4">
        <w:rPr>
          <w:rFonts w:ascii="Times New Roman" w:hAnsi="Times New Roman"/>
          <w:sz w:val="26"/>
          <w:szCs w:val="26"/>
        </w:rPr>
        <w:t>ā un 2020.</w:t>
      </w:r>
      <w:r w:rsidR="00AD1EC4" w:rsidRPr="00AD1EC4">
        <w:rPr>
          <w:rFonts w:ascii="Times New Roman" w:hAnsi="Times New Roman"/>
          <w:sz w:val="26"/>
          <w:szCs w:val="26"/>
        </w:rPr>
        <w:t>gadā</w:t>
      </w:r>
      <w:r w:rsidR="00AC7C1D" w:rsidRPr="00AD1EC4">
        <w:rPr>
          <w:rFonts w:ascii="Times New Roman" w:hAnsi="Times New Roman"/>
          <w:sz w:val="26"/>
          <w:szCs w:val="26"/>
        </w:rPr>
        <w:t xml:space="preserve"> </w:t>
      </w:r>
      <w:r w:rsidR="007428B3" w:rsidRPr="00AD1EC4">
        <w:rPr>
          <w:rFonts w:ascii="Times New Roman" w:hAnsi="Times New Roman"/>
          <w:sz w:val="26"/>
          <w:szCs w:val="26"/>
        </w:rPr>
        <w:t>pieteikumi nav saņemti</w:t>
      </w:r>
      <w:r w:rsidRPr="00AD1EC4">
        <w:rPr>
          <w:rFonts w:ascii="Times New Roman" w:hAnsi="Times New Roman"/>
          <w:sz w:val="26"/>
          <w:szCs w:val="26"/>
        </w:rPr>
        <w:t>.</w:t>
      </w:r>
      <w:r w:rsidR="00C95996" w:rsidRPr="00AD1EC4">
        <w:rPr>
          <w:rFonts w:ascii="Times New Roman" w:hAnsi="Times New Roman"/>
          <w:sz w:val="26"/>
          <w:szCs w:val="26"/>
        </w:rPr>
        <w:t xml:space="preserve"> </w:t>
      </w:r>
      <w:bookmarkEnd w:id="9"/>
      <w:r w:rsidR="00C95996" w:rsidRPr="00AD1EC4">
        <w:rPr>
          <w:rFonts w:ascii="Times New Roman" w:hAnsi="Times New Roman"/>
          <w:sz w:val="26"/>
          <w:szCs w:val="26"/>
        </w:rPr>
        <w:t xml:space="preserve">Tas skaidrojams ar </w:t>
      </w:r>
      <w:r w:rsidR="00B93CBE" w:rsidRPr="00AD1EC4">
        <w:rPr>
          <w:rFonts w:ascii="Times New Roman" w:hAnsi="Times New Roman"/>
          <w:sz w:val="26"/>
          <w:szCs w:val="26"/>
        </w:rPr>
        <w:t>veiktajiem pasākumiem saistībā ar finanšu sektora sakārtošanu, pastiprinot uzraudzību nerezidentu noguldījumiem Latvijas komercbankās</w:t>
      </w:r>
      <w:r w:rsidR="00C95996" w:rsidRPr="00AD1EC4">
        <w:rPr>
          <w:rFonts w:ascii="Times New Roman" w:hAnsi="Times New Roman"/>
          <w:sz w:val="26"/>
          <w:szCs w:val="26"/>
        </w:rPr>
        <w:t>.</w:t>
      </w:r>
    </w:p>
    <w:p w14:paraId="1C12A369" w14:textId="77777777" w:rsidR="0021121A" w:rsidRDefault="0021121A" w:rsidP="0085150C">
      <w:pPr>
        <w:rPr>
          <w:rFonts w:ascii="Times New Roman" w:hAnsi="Times New Roman"/>
          <w:sz w:val="26"/>
          <w:szCs w:val="26"/>
          <w:highlight w:val="yellow"/>
        </w:rPr>
      </w:pPr>
    </w:p>
    <w:p w14:paraId="563B8BE5" w14:textId="3E209991" w:rsidR="00F21F22" w:rsidRDefault="00A67CA7" w:rsidP="000E0613">
      <w:pPr>
        <w:spacing w:after="120"/>
        <w:jc w:val="center"/>
        <w:rPr>
          <w:rFonts w:ascii="Times New Roman" w:hAnsi="Times New Roman"/>
          <w:b/>
          <w:sz w:val="26"/>
          <w:szCs w:val="26"/>
        </w:rPr>
      </w:pPr>
      <w:r w:rsidRPr="007428B3">
        <w:rPr>
          <w:rFonts w:ascii="Times New Roman" w:hAnsi="Times New Roman"/>
          <w:b/>
          <w:sz w:val="26"/>
          <w:szCs w:val="26"/>
        </w:rPr>
        <w:t>Investīcijas kapitālsabiedrību pamatkapitālā</w:t>
      </w:r>
    </w:p>
    <w:p w14:paraId="19E2D14B" w14:textId="77777777" w:rsidR="0021121A" w:rsidRPr="000E0613" w:rsidRDefault="0021121A" w:rsidP="000E0613">
      <w:pPr>
        <w:spacing w:after="120"/>
        <w:jc w:val="center"/>
        <w:rPr>
          <w:rFonts w:ascii="Times New Roman" w:hAnsi="Times New Roman"/>
          <w:b/>
          <w:sz w:val="26"/>
          <w:szCs w:val="26"/>
        </w:rPr>
      </w:pPr>
    </w:p>
    <w:p w14:paraId="0B7760CA" w14:textId="0B8E3AB5" w:rsidR="00683E40" w:rsidRPr="007A13E7" w:rsidRDefault="00A67CA7" w:rsidP="005D4E28">
      <w:pPr>
        <w:spacing w:after="120"/>
        <w:ind w:firstLine="567"/>
        <w:jc w:val="both"/>
        <w:rPr>
          <w:rFonts w:ascii="Times New Roman" w:hAnsi="Times New Roman"/>
          <w:sz w:val="26"/>
          <w:szCs w:val="26"/>
        </w:rPr>
      </w:pPr>
      <w:r w:rsidRPr="007A13E7">
        <w:rPr>
          <w:rFonts w:ascii="Times New Roman" w:hAnsi="Times New Roman"/>
          <w:sz w:val="26"/>
          <w:szCs w:val="26"/>
        </w:rPr>
        <w:t>P</w:t>
      </w:r>
      <w:r w:rsidR="00AB3AEF" w:rsidRPr="007A13E7">
        <w:rPr>
          <w:rFonts w:ascii="Times New Roman" w:hAnsi="Times New Roman"/>
          <w:sz w:val="26"/>
          <w:szCs w:val="26"/>
        </w:rPr>
        <w:t>ieteikumu skaita TUA saņemšanai samazināšanās</w:t>
      </w:r>
      <w:r w:rsidR="007A13E7" w:rsidRPr="007A13E7">
        <w:rPr>
          <w:rFonts w:ascii="Times New Roman" w:hAnsi="Times New Roman"/>
          <w:sz w:val="26"/>
          <w:szCs w:val="26"/>
        </w:rPr>
        <w:t xml:space="preserve"> no</w:t>
      </w:r>
      <w:r w:rsidR="00E822D2" w:rsidRPr="007A13E7">
        <w:rPr>
          <w:rFonts w:ascii="Times New Roman" w:hAnsi="Times New Roman"/>
          <w:sz w:val="26"/>
          <w:szCs w:val="26"/>
        </w:rPr>
        <w:t xml:space="preserve"> </w:t>
      </w:r>
      <w:r w:rsidR="00AB3AEF" w:rsidRPr="007A13E7">
        <w:rPr>
          <w:rFonts w:ascii="Times New Roman" w:hAnsi="Times New Roman"/>
          <w:sz w:val="26"/>
          <w:szCs w:val="26"/>
        </w:rPr>
        <w:t>2015.gad</w:t>
      </w:r>
      <w:r w:rsidR="007A13E7" w:rsidRPr="007A13E7">
        <w:rPr>
          <w:rFonts w:ascii="Times New Roman" w:hAnsi="Times New Roman"/>
          <w:sz w:val="26"/>
          <w:szCs w:val="26"/>
        </w:rPr>
        <w:t>a</w:t>
      </w:r>
      <w:r w:rsidR="00AB3AEF" w:rsidRPr="007A13E7">
        <w:rPr>
          <w:rFonts w:ascii="Times New Roman" w:hAnsi="Times New Roman"/>
          <w:sz w:val="26"/>
          <w:szCs w:val="26"/>
        </w:rPr>
        <w:t xml:space="preserve"> ir vērojama arī attiecībā uz Imigrācijas likuma 23.panta pirmās daļas 28.punkta sniegto iespēju saņemt TUA par ieguldījumu kapitālsabiedrību pamatkapitālā. </w:t>
      </w:r>
      <w:r w:rsidR="005D4E28" w:rsidRPr="007A13E7">
        <w:rPr>
          <w:rFonts w:ascii="Times New Roman" w:hAnsi="Times New Roman"/>
          <w:sz w:val="26"/>
          <w:szCs w:val="26"/>
        </w:rPr>
        <w:t xml:space="preserve">TUA pieteikumu skaits ir samazinājies no 178 pieteikumiem 2014 gadā līdz 89 pieteikumiem 2018.gadā. </w:t>
      </w:r>
      <w:r w:rsidR="009C59F2" w:rsidRPr="007A13E7">
        <w:rPr>
          <w:rFonts w:ascii="Times New Roman" w:hAnsi="Times New Roman"/>
          <w:sz w:val="26"/>
          <w:szCs w:val="26"/>
        </w:rPr>
        <w:t>2019.gad</w:t>
      </w:r>
      <w:r w:rsidR="007E526E" w:rsidRPr="007A13E7">
        <w:rPr>
          <w:rFonts w:ascii="Times New Roman" w:hAnsi="Times New Roman"/>
          <w:sz w:val="26"/>
          <w:szCs w:val="26"/>
        </w:rPr>
        <w:t>ā pieteikumu skaits turpināja samazināties</w:t>
      </w:r>
      <w:r w:rsidR="00DB2527" w:rsidRPr="007A13E7">
        <w:rPr>
          <w:rFonts w:ascii="Times New Roman" w:hAnsi="Times New Roman"/>
          <w:sz w:val="26"/>
          <w:szCs w:val="26"/>
        </w:rPr>
        <w:t xml:space="preserve"> </w:t>
      </w:r>
      <w:r w:rsidR="007E526E" w:rsidRPr="007A13E7">
        <w:rPr>
          <w:rFonts w:ascii="Times New Roman" w:hAnsi="Times New Roman"/>
          <w:sz w:val="26"/>
          <w:szCs w:val="26"/>
        </w:rPr>
        <w:t xml:space="preserve">un bija </w:t>
      </w:r>
      <w:r w:rsidR="007A13E7" w:rsidRPr="007A13E7">
        <w:rPr>
          <w:rFonts w:ascii="Times New Roman" w:hAnsi="Times New Roman"/>
          <w:sz w:val="26"/>
          <w:szCs w:val="26"/>
        </w:rPr>
        <w:t xml:space="preserve">mazāk nekā puse </w:t>
      </w:r>
      <w:r w:rsidR="007E526E" w:rsidRPr="007A13E7">
        <w:rPr>
          <w:rFonts w:ascii="Times New Roman" w:hAnsi="Times New Roman"/>
          <w:sz w:val="26"/>
          <w:szCs w:val="26"/>
        </w:rPr>
        <w:t>(</w:t>
      </w:r>
      <w:r w:rsidR="007A13E7" w:rsidRPr="007A13E7">
        <w:rPr>
          <w:rFonts w:ascii="Times New Roman" w:hAnsi="Times New Roman"/>
          <w:sz w:val="26"/>
          <w:szCs w:val="26"/>
        </w:rPr>
        <w:t>39</w:t>
      </w:r>
      <w:r w:rsidR="007E526E" w:rsidRPr="007A13E7">
        <w:rPr>
          <w:rFonts w:ascii="Times New Roman" w:hAnsi="Times New Roman"/>
          <w:sz w:val="26"/>
          <w:szCs w:val="26"/>
        </w:rPr>
        <w:t xml:space="preserve"> pieteikumi) no 2018.gada pieteikumu skaita. </w:t>
      </w:r>
      <w:r w:rsidR="007A13E7" w:rsidRPr="007A13E7">
        <w:rPr>
          <w:rFonts w:ascii="Times New Roman" w:hAnsi="Times New Roman"/>
          <w:sz w:val="26"/>
          <w:szCs w:val="26"/>
        </w:rPr>
        <w:t>2020.gadā</w:t>
      </w:r>
      <w:r w:rsidR="007E526E" w:rsidRPr="007A13E7">
        <w:rPr>
          <w:rFonts w:ascii="Times New Roman" w:hAnsi="Times New Roman"/>
          <w:sz w:val="26"/>
          <w:szCs w:val="26"/>
        </w:rPr>
        <w:t xml:space="preserve"> saņemti </w:t>
      </w:r>
      <w:r w:rsidR="007A13E7" w:rsidRPr="007A13E7">
        <w:rPr>
          <w:rFonts w:ascii="Times New Roman" w:hAnsi="Times New Roman"/>
          <w:sz w:val="26"/>
          <w:szCs w:val="26"/>
        </w:rPr>
        <w:t>25</w:t>
      </w:r>
      <w:r w:rsidR="007E526E" w:rsidRPr="007A13E7">
        <w:rPr>
          <w:rFonts w:ascii="Times New Roman" w:hAnsi="Times New Roman"/>
          <w:sz w:val="26"/>
          <w:szCs w:val="26"/>
        </w:rPr>
        <w:t xml:space="preserve"> pieteikumi, no kuriem 1</w:t>
      </w:r>
      <w:r w:rsidR="007A13E7" w:rsidRPr="007A13E7">
        <w:rPr>
          <w:rFonts w:ascii="Times New Roman" w:hAnsi="Times New Roman"/>
          <w:sz w:val="26"/>
          <w:szCs w:val="26"/>
        </w:rPr>
        <w:t>5</w:t>
      </w:r>
      <w:r w:rsidR="007E526E" w:rsidRPr="007A13E7">
        <w:rPr>
          <w:rFonts w:ascii="Times New Roman" w:hAnsi="Times New Roman"/>
          <w:sz w:val="26"/>
          <w:szCs w:val="26"/>
        </w:rPr>
        <w:t xml:space="preserve"> ir Vjetnamas pilsoņu pieteikumi.</w:t>
      </w:r>
    </w:p>
    <w:p w14:paraId="084112A3" w14:textId="3D6A1261" w:rsidR="00683E40" w:rsidRDefault="00683E40" w:rsidP="00E822D2">
      <w:pPr>
        <w:spacing w:after="120"/>
        <w:ind w:firstLine="567"/>
        <w:jc w:val="both"/>
        <w:rPr>
          <w:rFonts w:ascii="Times New Roman" w:hAnsi="Times New Roman"/>
          <w:sz w:val="26"/>
          <w:szCs w:val="26"/>
        </w:rPr>
      </w:pPr>
      <w:r w:rsidRPr="00404D36">
        <w:rPr>
          <w:rFonts w:ascii="Times New Roman" w:hAnsi="Times New Roman"/>
          <w:sz w:val="26"/>
          <w:szCs w:val="26"/>
        </w:rPr>
        <w:t>Attiecīgās Imigrācijas likuma normas ietvaros kopš 2010.gada 1.jūlija kapitālsabiedrību pamatkapitālā veikti ieguldījumi 5</w:t>
      </w:r>
      <w:r w:rsidR="007E526E" w:rsidRPr="00404D36">
        <w:rPr>
          <w:rFonts w:ascii="Times New Roman" w:hAnsi="Times New Roman"/>
          <w:sz w:val="26"/>
          <w:szCs w:val="26"/>
        </w:rPr>
        <w:t>23</w:t>
      </w:r>
      <w:r w:rsidRPr="00404D36">
        <w:rPr>
          <w:rFonts w:ascii="Times New Roman" w:hAnsi="Times New Roman"/>
          <w:sz w:val="26"/>
          <w:szCs w:val="26"/>
        </w:rPr>
        <w:t xml:space="preserve"> Latvijā reģistrētās kapitālsabiedrībās, sasniedzot tikai 6% </w:t>
      </w:r>
      <w:r w:rsidR="007740AB" w:rsidRPr="00404D36">
        <w:rPr>
          <w:rFonts w:ascii="Times New Roman" w:hAnsi="Times New Roman"/>
          <w:sz w:val="26"/>
          <w:szCs w:val="26"/>
        </w:rPr>
        <w:t>(9</w:t>
      </w:r>
      <w:r w:rsidR="007E526E" w:rsidRPr="00404D36">
        <w:rPr>
          <w:rFonts w:ascii="Times New Roman" w:hAnsi="Times New Roman"/>
          <w:sz w:val="26"/>
          <w:szCs w:val="26"/>
        </w:rPr>
        <w:t>2</w:t>
      </w:r>
      <w:r w:rsidR="007740AB" w:rsidRPr="00404D36">
        <w:rPr>
          <w:rFonts w:ascii="Times New Roman" w:hAnsi="Times New Roman"/>
          <w:sz w:val="26"/>
          <w:szCs w:val="26"/>
        </w:rPr>
        <w:t>,</w:t>
      </w:r>
      <w:r w:rsidR="007E526E" w:rsidRPr="00404D36">
        <w:rPr>
          <w:rFonts w:ascii="Times New Roman" w:hAnsi="Times New Roman"/>
          <w:sz w:val="26"/>
          <w:szCs w:val="26"/>
        </w:rPr>
        <w:t>2</w:t>
      </w:r>
      <w:r w:rsidR="007740AB" w:rsidRPr="00404D36">
        <w:rPr>
          <w:rFonts w:ascii="Times New Roman" w:hAnsi="Times New Roman"/>
          <w:sz w:val="26"/>
          <w:szCs w:val="26"/>
        </w:rPr>
        <w:t xml:space="preserve"> milj. </w:t>
      </w:r>
      <w:r w:rsidR="007740AB" w:rsidRPr="00404D36">
        <w:rPr>
          <w:rFonts w:ascii="Times New Roman" w:hAnsi="Times New Roman"/>
          <w:i/>
          <w:sz w:val="26"/>
          <w:szCs w:val="26"/>
        </w:rPr>
        <w:t>euro</w:t>
      </w:r>
      <w:r w:rsidR="007740AB" w:rsidRPr="00404D36">
        <w:rPr>
          <w:rFonts w:ascii="Times New Roman" w:hAnsi="Times New Roman"/>
          <w:sz w:val="26"/>
          <w:szCs w:val="26"/>
        </w:rPr>
        <w:t xml:space="preserve">) </w:t>
      </w:r>
      <w:r w:rsidRPr="00404D36">
        <w:rPr>
          <w:rFonts w:ascii="Times New Roman" w:hAnsi="Times New Roman"/>
          <w:sz w:val="26"/>
          <w:szCs w:val="26"/>
        </w:rPr>
        <w:t>no kopējiem ar investīciju programmu saistītajiem ieguldījumiem.</w:t>
      </w:r>
      <w:r w:rsidR="00A573AC" w:rsidRPr="00404D36">
        <w:rPr>
          <w:rFonts w:ascii="Times New Roman" w:hAnsi="Times New Roman"/>
          <w:sz w:val="26"/>
          <w:szCs w:val="26"/>
        </w:rPr>
        <w:t xml:space="preserve"> (</w:t>
      </w:r>
      <w:r w:rsidR="00A573AC" w:rsidRPr="00404D36">
        <w:rPr>
          <w:rFonts w:ascii="Times New Roman" w:hAnsi="Times New Roman"/>
          <w:i/>
          <w:sz w:val="26"/>
          <w:szCs w:val="26"/>
        </w:rPr>
        <w:t>Detalizētāku informāciju par ar TUA saņemšanu saistītiem ieguldījumiem kapitālsabiedrību pamatkapitālos skatīt pielikumā Nr.3.</w:t>
      </w:r>
      <w:r w:rsidR="00A573AC" w:rsidRPr="00404D36">
        <w:rPr>
          <w:rFonts w:ascii="Times New Roman" w:hAnsi="Times New Roman"/>
          <w:sz w:val="26"/>
          <w:szCs w:val="26"/>
        </w:rPr>
        <w:t>)</w:t>
      </w:r>
    </w:p>
    <w:p w14:paraId="2DE9DA02" w14:textId="2D9720FF" w:rsidR="00992DD7" w:rsidRPr="00404D36" w:rsidRDefault="00992DD7" w:rsidP="00992DD7">
      <w:pPr>
        <w:spacing w:after="120"/>
        <w:ind w:firstLine="567"/>
        <w:jc w:val="both"/>
        <w:rPr>
          <w:rFonts w:ascii="Verdana Pro Cond Light" w:hAnsi="Verdana Pro Cond Light"/>
          <w:sz w:val="18"/>
          <w:szCs w:val="18"/>
        </w:rPr>
      </w:pPr>
      <w:bookmarkStart w:id="10" w:name="_Hlk60134890"/>
      <w:r w:rsidRPr="00404D36">
        <w:rPr>
          <w:rFonts w:ascii="Times New Roman" w:hAnsi="Times New Roman"/>
          <w:sz w:val="26"/>
          <w:szCs w:val="26"/>
        </w:rPr>
        <w:t>Ārvalstu tiešo investīciju plūsmu intensitāte Latvijā ir mērena. Tas skaidrojams ar nestabilitāti pasaules ekonomikā un pieaugušiem ģeopolitiskiem riskiem. Arī Covid-19 pandēmijas izplatīšanās ierobežojumi kļūst par nozīmīgu šķērsli investīciju pārrobežu plūsmām. 2020. gadā publicētajā ANO ziņojumā par pasaules investīcijām (“World investment report”</w:t>
      </w:r>
      <w:r w:rsidRPr="00404D36">
        <w:rPr>
          <w:rStyle w:val="FootnoteReference"/>
          <w:rFonts w:ascii="Times New Roman" w:hAnsi="Times New Roman"/>
          <w:sz w:val="26"/>
          <w:szCs w:val="26"/>
        </w:rPr>
        <w:footnoteReference w:id="5"/>
      </w:r>
      <w:r w:rsidRPr="00404D36">
        <w:rPr>
          <w:rFonts w:ascii="Times New Roman" w:hAnsi="Times New Roman"/>
          <w:sz w:val="26"/>
          <w:szCs w:val="26"/>
        </w:rPr>
        <w:t>) lēsts, ka globālās ārvalstu tiešo investīciju plūsmas 2020. gadā samazināsies līdz 40%, salīdzinot ar 2019. gada līmeni, un pirmo reizi kopš 2005. gada to apjoms nepārsniegs 1 triljonu ASV dolāru. Tiek prognozēts, ka 2021. gadā ārvalstu tiešās investīcijas turpinās krist vēl par 5-10% un sāks atgūties tikai 2022. gadā, bet ārvalstu tiešo investīciju pārrobežu plūsmu ilgtermiņa augšup vērstā tendence ir iespējama tikai pie ļoti pozitīviem nākotnes paredzējumiem.</w:t>
      </w:r>
    </w:p>
    <w:p w14:paraId="4572AE14" w14:textId="0C72DF36" w:rsidR="00AB3AEF" w:rsidRPr="00404D36" w:rsidRDefault="00F8238D" w:rsidP="00683E40">
      <w:pPr>
        <w:spacing w:after="120"/>
        <w:ind w:firstLine="567"/>
        <w:jc w:val="both"/>
        <w:rPr>
          <w:rFonts w:ascii="Times New Roman" w:hAnsi="Times New Roman"/>
          <w:sz w:val="26"/>
          <w:szCs w:val="26"/>
        </w:rPr>
      </w:pPr>
      <w:r w:rsidRPr="00404D36">
        <w:rPr>
          <w:rFonts w:ascii="Times New Roman" w:hAnsi="Times New Roman"/>
          <w:sz w:val="26"/>
          <w:szCs w:val="26"/>
        </w:rPr>
        <w:t>EM</w:t>
      </w:r>
      <w:r w:rsidR="00683E40" w:rsidRPr="00404D36">
        <w:rPr>
          <w:rFonts w:ascii="Times New Roman" w:hAnsi="Times New Roman"/>
          <w:sz w:val="26"/>
          <w:szCs w:val="26"/>
        </w:rPr>
        <w:t xml:space="preserve"> novērtējums balstoties uz LURSOFT un PMLP datiem rāda, ka</w:t>
      </w:r>
      <w:r w:rsidR="0000079B" w:rsidRPr="00404D36">
        <w:rPr>
          <w:rFonts w:ascii="Times New Roman" w:hAnsi="Times New Roman"/>
          <w:sz w:val="26"/>
          <w:szCs w:val="26"/>
        </w:rPr>
        <w:t xml:space="preserve"> </w:t>
      </w:r>
      <w:bookmarkStart w:id="11" w:name="_Hlk24711274"/>
      <w:r w:rsidR="0000079B" w:rsidRPr="00404D36">
        <w:rPr>
          <w:rFonts w:ascii="Times New Roman" w:hAnsi="Times New Roman"/>
          <w:sz w:val="26"/>
          <w:szCs w:val="26"/>
        </w:rPr>
        <w:t>kopumā</w:t>
      </w:r>
      <w:r w:rsidR="00683E40" w:rsidRPr="00404D36">
        <w:rPr>
          <w:rFonts w:ascii="Times New Roman" w:hAnsi="Times New Roman"/>
          <w:sz w:val="26"/>
          <w:szCs w:val="26"/>
        </w:rPr>
        <w:t xml:space="preserve"> ar TUA saistīto </w:t>
      </w:r>
      <w:r w:rsidR="0000079B" w:rsidRPr="00404D36">
        <w:rPr>
          <w:rFonts w:ascii="Times New Roman" w:hAnsi="Times New Roman"/>
          <w:sz w:val="26"/>
          <w:szCs w:val="26"/>
        </w:rPr>
        <w:t>investīciju</w:t>
      </w:r>
      <w:r w:rsidR="00683E40" w:rsidRPr="00404D36">
        <w:rPr>
          <w:rFonts w:ascii="Times New Roman" w:hAnsi="Times New Roman"/>
          <w:sz w:val="26"/>
          <w:szCs w:val="26"/>
        </w:rPr>
        <w:t xml:space="preserve"> pienesums ir nenozīmīgs, un </w:t>
      </w:r>
      <w:r w:rsidR="005D4E28" w:rsidRPr="00404D36">
        <w:rPr>
          <w:rFonts w:ascii="Times New Roman" w:hAnsi="Times New Roman"/>
          <w:sz w:val="26"/>
          <w:szCs w:val="26"/>
        </w:rPr>
        <w:t>TUA instrumenta</w:t>
      </w:r>
      <w:r w:rsidR="00683E40" w:rsidRPr="00404D36">
        <w:rPr>
          <w:rFonts w:ascii="Times New Roman" w:hAnsi="Times New Roman"/>
          <w:sz w:val="26"/>
          <w:szCs w:val="26"/>
        </w:rPr>
        <w:t xml:space="preserve"> ietekme uz nerezidentu</w:t>
      </w:r>
      <w:r w:rsidR="00683E40" w:rsidRPr="00404D36">
        <w:t xml:space="preserve"> </w:t>
      </w:r>
      <w:r w:rsidR="00683E40" w:rsidRPr="00404D36">
        <w:rPr>
          <w:rFonts w:ascii="Times New Roman" w:hAnsi="Times New Roman"/>
          <w:sz w:val="26"/>
          <w:szCs w:val="26"/>
        </w:rPr>
        <w:t>kapitāla piesaisti</w:t>
      </w:r>
      <w:r w:rsidR="00683E40" w:rsidRPr="00404D36">
        <w:t xml:space="preserve"> </w:t>
      </w:r>
      <w:r w:rsidR="00683E40" w:rsidRPr="00404D36">
        <w:rPr>
          <w:rFonts w:ascii="Times New Roman" w:hAnsi="Times New Roman"/>
          <w:sz w:val="26"/>
          <w:szCs w:val="26"/>
        </w:rPr>
        <w:t>ir vāja</w:t>
      </w:r>
      <w:bookmarkStart w:id="12" w:name="_Hlk24710962"/>
      <w:r w:rsidR="00683E40" w:rsidRPr="00404D36">
        <w:rPr>
          <w:rFonts w:ascii="Times New Roman" w:hAnsi="Times New Roman"/>
          <w:sz w:val="26"/>
          <w:szCs w:val="26"/>
        </w:rPr>
        <w:t xml:space="preserve">. Tomēr atsevišķu valstu, kā piemēram, Krievijas </w:t>
      </w:r>
      <w:r w:rsidR="00E73DB6" w:rsidRPr="00404D36">
        <w:rPr>
          <w:rFonts w:ascii="Times New Roman" w:hAnsi="Times New Roman"/>
          <w:sz w:val="26"/>
          <w:szCs w:val="26"/>
        </w:rPr>
        <w:t xml:space="preserve">un pēdējos gados </w:t>
      </w:r>
      <w:r w:rsidR="00683E40" w:rsidRPr="00404D36">
        <w:rPr>
          <w:rFonts w:ascii="Times New Roman" w:hAnsi="Times New Roman"/>
          <w:sz w:val="26"/>
          <w:szCs w:val="26"/>
        </w:rPr>
        <w:t>Vjetnamas</w:t>
      </w:r>
      <w:r w:rsidR="00E73DB6" w:rsidRPr="00404D36">
        <w:rPr>
          <w:rFonts w:ascii="Times New Roman" w:hAnsi="Times New Roman"/>
          <w:sz w:val="26"/>
          <w:szCs w:val="26"/>
        </w:rPr>
        <w:t xml:space="preserve"> </w:t>
      </w:r>
      <w:r w:rsidR="00683E40" w:rsidRPr="00404D36">
        <w:rPr>
          <w:rFonts w:ascii="Times New Roman" w:hAnsi="Times New Roman"/>
          <w:sz w:val="26"/>
          <w:szCs w:val="26"/>
        </w:rPr>
        <w:t xml:space="preserve">investoriem, tas ir bijis noteicošais stimuls ieguldījumiem Latvijā reģistrētu uzņēmumu pamatkapitālā. </w:t>
      </w:r>
      <w:bookmarkEnd w:id="10"/>
      <w:bookmarkEnd w:id="11"/>
      <w:bookmarkEnd w:id="12"/>
    </w:p>
    <w:p w14:paraId="5B8CFF98" w14:textId="3AC0D25A" w:rsidR="00FF58A0" w:rsidRPr="00404D36" w:rsidRDefault="00FF58A0" w:rsidP="00B63E16">
      <w:pPr>
        <w:ind w:firstLine="567"/>
        <w:jc w:val="both"/>
        <w:rPr>
          <w:rFonts w:ascii="Times New Roman" w:hAnsi="Times New Roman"/>
          <w:sz w:val="26"/>
          <w:szCs w:val="26"/>
        </w:rPr>
      </w:pPr>
    </w:p>
    <w:p w14:paraId="7CF1B8B4" w14:textId="03B0379B" w:rsidR="00FF58A0" w:rsidRDefault="00A67CA7" w:rsidP="000E0613">
      <w:pPr>
        <w:spacing w:after="120"/>
        <w:ind w:firstLine="567"/>
        <w:jc w:val="center"/>
        <w:rPr>
          <w:rFonts w:ascii="Times New Roman" w:hAnsi="Times New Roman"/>
          <w:b/>
          <w:sz w:val="26"/>
          <w:szCs w:val="26"/>
        </w:rPr>
      </w:pPr>
      <w:r w:rsidRPr="007428B3">
        <w:rPr>
          <w:rFonts w:ascii="Times New Roman" w:hAnsi="Times New Roman"/>
          <w:b/>
          <w:sz w:val="26"/>
          <w:szCs w:val="26"/>
        </w:rPr>
        <w:t>Bezprocentu valsts vērtspapīru iegāde kā TUA saņemšanas pamats</w:t>
      </w:r>
    </w:p>
    <w:p w14:paraId="2D83F5DA" w14:textId="77777777" w:rsidR="0021121A" w:rsidRPr="000E0613" w:rsidRDefault="0021121A" w:rsidP="000E0613">
      <w:pPr>
        <w:spacing w:after="120"/>
        <w:ind w:firstLine="567"/>
        <w:jc w:val="center"/>
        <w:rPr>
          <w:rFonts w:ascii="Times New Roman" w:hAnsi="Times New Roman"/>
          <w:b/>
          <w:sz w:val="26"/>
          <w:szCs w:val="26"/>
        </w:rPr>
      </w:pPr>
    </w:p>
    <w:p w14:paraId="6047C527" w14:textId="459C61FA" w:rsidR="005D4A94" w:rsidRPr="005F0DF1" w:rsidRDefault="005D4A94" w:rsidP="005D4A94">
      <w:pPr>
        <w:spacing w:after="120"/>
        <w:ind w:firstLine="567"/>
        <w:jc w:val="both"/>
        <w:rPr>
          <w:rFonts w:ascii="Times New Roman" w:eastAsiaTheme="minorHAnsi" w:hAnsi="Times New Roman" w:cstheme="minorBidi"/>
          <w:i/>
          <w:sz w:val="26"/>
          <w:szCs w:val="26"/>
        </w:rPr>
      </w:pPr>
      <w:r w:rsidRPr="005F0DF1">
        <w:rPr>
          <w:rFonts w:ascii="Times New Roman" w:eastAsiaTheme="minorHAnsi" w:hAnsi="Times New Roman" w:cstheme="minorBidi"/>
          <w:sz w:val="26"/>
          <w:szCs w:val="26"/>
        </w:rPr>
        <w:t xml:space="preserve">Imigrācijas likuma 23.panta pirmās daļas 31.punkts – iespēja pieprasīt TUA uz laiku līdz pieciem gadiem, ja ārzemnieks iegādājas īpašam mērķim noteiktus bezprocentu valsts vērtspapīrus par nominālvērtību 250 000 </w:t>
      </w:r>
      <w:r w:rsidRPr="005F0DF1">
        <w:rPr>
          <w:rFonts w:ascii="Times New Roman" w:eastAsiaTheme="minorHAnsi" w:hAnsi="Times New Roman" w:cstheme="minorBidi"/>
          <w:i/>
          <w:sz w:val="26"/>
          <w:szCs w:val="26"/>
        </w:rPr>
        <w:t>euro</w:t>
      </w:r>
      <w:r w:rsidR="00285B28" w:rsidRPr="005F0DF1">
        <w:rPr>
          <w:rFonts w:ascii="Times New Roman" w:eastAsiaTheme="minorHAnsi" w:hAnsi="Times New Roman" w:cstheme="minorBidi"/>
          <w:i/>
          <w:sz w:val="26"/>
          <w:szCs w:val="26"/>
        </w:rPr>
        <w:t xml:space="preserve">, </w:t>
      </w:r>
      <w:r w:rsidR="00285B28" w:rsidRPr="005F0DF1">
        <w:rPr>
          <w:rFonts w:ascii="Times New Roman" w:eastAsiaTheme="minorHAnsi" w:hAnsi="Times New Roman" w:cstheme="minorBidi"/>
          <w:sz w:val="26"/>
          <w:szCs w:val="26"/>
        </w:rPr>
        <w:t>ir spēkā no 2015.gada 1.janvāra</w:t>
      </w:r>
      <w:r w:rsidRPr="005F0DF1">
        <w:rPr>
          <w:rFonts w:ascii="Times New Roman" w:eastAsiaTheme="minorHAnsi" w:hAnsi="Times New Roman" w:cstheme="minorBidi"/>
          <w:i/>
          <w:sz w:val="26"/>
          <w:szCs w:val="26"/>
        </w:rPr>
        <w:t xml:space="preserve">. </w:t>
      </w:r>
      <w:r w:rsidRPr="005F0DF1">
        <w:rPr>
          <w:rFonts w:ascii="Times New Roman" w:eastAsiaTheme="minorHAnsi" w:hAnsi="Times New Roman" w:cstheme="minorBidi"/>
          <w:sz w:val="26"/>
          <w:szCs w:val="26"/>
        </w:rPr>
        <w:t xml:space="preserve">Saņemot TUA, ārzemniekam jāveic iemaksa valsts budžetā 38 000 </w:t>
      </w:r>
      <w:r w:rsidRPr="005F0DF1">
        <w:rPr>
          <w:rFonts w:ascii="Times New Roman" w:eastAsiaTheme="minorHAnsi" w:hAnsi="Times New Roman" w:cstheme="minorBidi"/>
          <w:i/>
          <w:sz w:val="26"/>
          <w:szCs w:val="26"/>
        </w:rPr>
        <w:t xml:space="preserve">euro </w:t>
      </w:r>
      <w:r w:rsidRPr="005F0DF1">
        <w:rPr>
          <w:rFonts w:ascii="Times New Roman" w:eastAsiaTheme="minorHAnsi" w:hAnsi="Times New Roman" w:cstheme="minorBidi"/>
          <w:sz w:val="26"/>
          <w:szCs w:val="26"/>
        </w:rPr>
        <w:t>apmērā</w:t>
      </w:r>
      <w:r w:rsidRPr="005F0DF1">
        <w:rPr>
          <w:rFonts w:ascii="Times New Roman" w:eastAsiaTheme="minorHAnsi" w:hAnsi="Times New Roman" w:cstheme="minorBidi"/>
          <w:i/>
          <w:sz w:val="26"/>
          <w:szCs w:val="26"/>
        </w:rPr>
        <w:t xml:space="preserve">. </w:t>
      </w:r>
    </w:p>
    <w:p w14:paraId="3C635B6F" w14:textId="12463723" w:rsidR="0079208C" w:rsidRPr="005F0DF1" w:rsidRDefault="00FB784F" w:rsidP="0079208C">
      <w:pPr>
        <w:spacing w:after="120"/>
        <w:ind w:firstLine="709"/>
        <w:jc w:val="both"/>
        <w:rPr>
          <w:rFonts w:ascii="Times New Roman" w:eastAsiaTheme="minorHAnsi" w:hAnsi="Times New Roman" w:cstheme="minorBidi"/>
          <w:sz w:val="26"/>
          <w:szCs w:val="26"/>
        </w:rPr>
      </w:pPr>
      <w:r w:rsidRPr="005F0DF1">
        <w:rPr>
          <w:rFonts w:ascii="Times New Roman" w:eastAsiaTheme="minorHAnsi" w:hAnsi="Times New Roman" w:cstheme="minorBidi"/>
          <w:sz w:val="26"/>
          <w:szCs w:val="26"/>
        </w:rPr>
        <w:t>No 2015.gada 1.janvāra līdz 20</w:t>
      </w:r>
      <w:r w:rsidR="00404D36">
        <w:rPr>
          <w:rFonts w:ascii="Times New Roman" w:eastAsiaTheme="minorHAnsi" w:hAnsi="Times New Roman" w:cstheme="minorBidi"/>
          <w:sz w:val="26"/>
          <w:szCs w:val="26"/>
        </w:rPr>
        <w:t>20.gada 31</w:t>
      </w:r>
      <w:r w:rsidR="005D4A94" w:rsidRPr="005F0DF1">
        <w:rPr>
          <w:rFonts w:ascii="Times New Roman" w:eastAsiaTheme="minorHAnsi" w:hAnsi="Times New Roman" w:cstheme="minorBidi"/>
          <w:sz w:val="26"/>
          <w:szCs w:val="26"/>
        </w:rPr>
        <w:t>.</w:t>
      </w:r>
      <w:r w:rsidR="00404D36">
        <w:rPr>
          <w:rFonts w:ascii="Times New Roman" w:eastAsiaTheme="minorHAnsi" w:hAnsi="Times New Roman" w:cstheme="minorBidi"/>
          <w:sz w:val="26"/>
          <w:szCs w:val="26"/>
        </w:rPr>
        <w:t>decembrim</w:t>
      </w:r>
      <w:r w:rsidR="005D4A94" w:rsidRPr="005F0DF1">
        <w:rPr>
          <w:rFonts w:ascii="Times New Roman" w:eastAsiaTheme="minorHAnsi" w:hAnsi="Times New Roman" w:cstheme="minorBidi"/>
          <w:sz w:val="26"/>
          <w:szCs w:val="26"/>
        </w:rPr>
        <w:t xml:space="preserve"> TUA saskaņā ar īpašam mērķim noteiktu bezprocentu valsts v</w:t>
      </w:r>
      <w:r w:rsidRPr="005F0DF1">
        <w:rPr>
          <w:rFonts w:ascii="Times New Roman" w:eastAsiaTheme="minorHAnsi" w:hAnsi="Times New Roman" w:cstheme="minorBidi"/>
          <w:sz w:val="26"/>
          <w:szCs w:val="26"/>
        </w:rPr>
        <w:t xml:space="preserve">ērtspapīru iegādi pieprasījuši </w:t>
      </w:r>
      <w:r w:rsidR="00404D36">
        <w:rPr>
          <w:rFonts w:ascii="Times New Roman" w:eastAsiaTheme="minorHAnsi" w:hAnsi="Times New Roman" w:cstheme="minorBidi"/>
          <w:sz w:val="26"/>
          <w:szCs w:val="26"/>
        </w:rPr>
        <w:t>67</w:t>
      </w:r>
      <w:r w:rsidRPr="005F0DF1">
        <w:rPr>
          <w:rFonts w:ascii="Times New Roman" w:eastAsiaTheme="minorHAnsi" w:hAnsi="Times New Roman" w:cstheme="minorBidi"/>
          <w:sz w:val="26"/>
          <w:szCs w:val="26"/>
        </w:rPr>
        <w:t xml:space="preserve"> investori un </w:t>
      </w:r>
      <w:r w:rsidR="00404D36">
        <w:rPr>
          <w:rFonts w:ascii="Times New Roman" w:eastAsiaTheme="minorHAnsi" w:hAnsi="Times New Roman" w:cstheme="minorBidi"/>
          <w:sz w:val="26"/>
          <w:szCs w:val="26"/>
        </w:rPr>
        <w:t>106</w:t>
      </w:r>
      <w:r w:rsidR="005D4A94" w:rsidRPr="005F0DF1">
        <w:rPr>
          <w:rFonts w:ascii="Times New Roman" w:eastAsiaTheme="minorHAnsi" w:hAnsi="Times New Roman" w:cstheme="minorBidi"/>
          <w:sz w:val="26"/>
          <w:szCs w:val="26"/>
        </w:rPr>
        <w:t xml:space="preserve"> viņu ģimenes locekļi. Investoru pilsonības – Krievijas Federācija – </w:t>
      </w:r>
      <w:r w:rsidR="00404D36">
        <w:rPr>
          <w:rFonts w:ascii="Times New Roman" w:eastAsiaTheme="minorHAnsi" w:hAnsi="Times New Roman" w:cstheme="minorBidi"/>
          <w:sz w:val="26"/>
          <w:szCs w:val="26"/>
        </w:rPr>
        <w:t>32</w:t>
      </w:r>
      <w:r w:rsidR="005D4A94" w:rsidRPr="005F0DF1">
        <w:rPr>
          <w:rFonts w:ascii="Times New Roman" w:eastAsiaTheme="minorHAnsi" w:hAnsi="Times New Roman" w:cstheme="minorBidi"/>
          <w:sz w:val="26"/>
          <w:szCs w:val="26"/>
        </w:rPr>
        <w:t xml:space="preserve">, Ukraina – </w:t>
      </w:r>
      <w:r w:rsidRPr="005F0DF1">
        <w:rPr>
          <w:rFonts w:ascii="Times New Roman" w:eastAsiaTheme="minorHAnsi" w:hAnsi="Times New Roman" w:cstheme="minorBidi"/>
          <w:sz w:val="26"/>
          <w:szCs w:val="26"/>
        </w:rPr>
        <w:t>8</w:t>
      </w:r>
      <w:r w:rsidR="005D4A94" w:rsidRPr="005F0DF1">
        <w:rPr>
          <w:rFonts w:ascii="Times New Roman" w:eastAsiaTheme="minorHAnsi" w:hAnsi="Times New Roman" w:cstheme="minorBidi"/>
          <w:sz w:val="26"/>
          <w:szCs w:val="26"/>
        </w:rPr>
        <w:t xml:space="preserve">, </w:t>
      </w:r>
      <w:r w:rsidR="005F0DF1" w:rsidRPr="005F0DF1">
        <w:rPr>
          <w:rFonts w:ascii="Times New Roman" w:eastAsiaTheme="minorHAnsi" w:hAnsi="Times New Roman" w:cstheme="minorBidi"/>
          <w:sz w:val="26"/>
          <w:szCs w:val="26"/>
        </w:rPr>
        <w:t xml:space="preserve">Ķīna </w:t>
      </w:r>
      <w:r w:rsidRPr="005F0DF1">
        <w:rPr>
          <w:rFonts w:ascii="Times New Roman" w:eastAsiaTheme="minorHAnsi" w:hAnsi="Times New Roman" w:cstheme="minorBidi"/>
          <w:sz w:val="26"/>
          <w:szCs w:val="26"/>
        </w:rPr>
        <w:t xml:space="preserve">– </w:t>
      </w:r>
      <w:r w:rsidR="00404D36">
        <w:rPr>
          <w:rFonts w:ascii="Times New Roman" w:eastAsiaTheme="minorHAnsi" w:hAnsi="Times New Roman" w:cstheme="minorBidi"/>
          <w:sz w:val="26"/>
          <w:szCs w:val="26"/>
        </w:rPr>
        <w:t>12</w:t>
      </w:r>
      <w:r w:rsidRPr="005F0DF1">
        <w:rPr>
          <w:rFonts w:ascii="Times New Roman" w:eastAsiaTheme="minorHAnsi" w:hAnsi="Times New Roman" w:cstheme="minorBidi"/>
          <w:sz w:val="26"/>
          <w:szCs w:val="26"/>
        </w:rPr>
        <w:t xml:space="preserve">, </w:t>
      </w:r>
      <w:r w:rsidR="00A54144" w:rsidRPr="005F0DF1">
        <w:rPr>
          <w:rFonts w:ascii="Times New Roman" w:eastAsiaTheme="minorHAnsi" w:hAnsi="Times New Roman" w:cstheme="minorBidi"/>
          <w:sz w:val="26"/>
          <w:szCs w:val="26"/>
        </w:rPr>
        <w:t>Azerbaidžāna</w:t>
      </w:r>
      <w:r w:rsidR="00A54144">
        <w:rPr>
          <w:rFonts w:ascii="Times New Roman" w:eastAsiaTheme="minorHAnsi" w:hAnsi="Times New Roman" w:cstheme="minorBidi"/>
          <w:sz w:val="26"/>
          <w:szCs w:val="26"/>
        </w:rPr>
        <w:t xml:space="preserve"> - 6</w:t>
      </w:r>
      <w:r w:rsidR="00A54144" w:rsidRPr="005F0DF1">
        <w:rPr>
          <w:rFonts w:ascii="Times New Roman" w:eastAsiaTheme="minorHAnsi" w:hAnsi="Times New Roman" w:cstheme="minorBidi"/>
          <w:sz w:val="26"/>
          <w:szCs w:val="26"/>
        </w:rPr>
        <w:t xml:space="preserve">, </w:t>
      </w:r>
      <w:r w:rsidR="005D4A94" w:rsidRPr="005F0DF1">
        <w:rPr>
          <w:rFonts w:ascii="Times New Roman" w:eastAsiaTheme="minorHAnsi" w:hAnsi="Times New Roman" w:cstheme="minorBidi"/>
          <w:sz w:val="26"/>
          <w:szCs w:val="26"/>
        </w:rPr>
        <w:t xml:space="preserve">Baltkrievija – </w:t>
      </w:r>
      <w:r w:rsidRPr="005F0DF1">
        <w:rPr>
          <w:rFonts w:ascii="Times New Roman" w:eastAsiaTheme="minorHAnsi" w:hAnsi="Times New Roman" w:cstheme="minorBidi"/>
          <w:sz w:val="26"/>
          <w:szCs w:val="26"/>
        </w:rPr>
        <w:t>4</w:t>
      </w:r>
      <w:r w:rsidR="005D4A94" w:rsidRPr="005F0DF1">
        <w:rPr>
          <w:rFonts w:ascii="Times New Roman" w:eastAsiaTheme="minorHAnsi" w:hAnsi="Times New Roman" w:cstheme="minorBidi"/>
          <w:sz w:val="26"/>
          <w:szCs w:val="26"/>
        </w:rPr>
        <w:t xml:space="preserve">, </w:t>
      </w:r>
      <w:r w:rsidRPr="005F0DF1">
        <w:rPr>
          <w:rFonts w:ascii="Times New Roman" w:eastAsiaTheme="minorHAnsi" w:hAnsi="Times New Roman" w:cstheme="minorBidi"/>
          <w:sz w:val="26"/>
          <w:szCs w:val="26"/>
        </w:rPr>
        <w:t xml:space="preserve">Uzbekistāna – 2, </w:t>
      </w:r>
      <w:r w:rsidR="005D4A94" w:rsidRPr="005F0DF1">
        <w:rPr>
          <w:rFonts w:ascii="Times New Roman" w:eastAsiaTheme="minorHAnsi" w:hAnsi="Times New Roman" w:cstheme="minorBidi"/>
          <w:sz w:val="26"/>
          <w:szCs w:val="26"/>
        </w:rPr>
        <w:t xml:space="preserve">Kazahstāna – 1, Irāka – 1, </w:t>
      </w:r>
      <w:r w:rsidR="005F0DF1" w:rsidRPr="005F0DF1">
        <w:rPr>
          <w:rFonts w:ascii="Times New Roman" w:eastAsiaTheme="minorHAnsi" w:hAnsi="Times New Roman" w:cstheme="minorBidi"/>
          <w:sz w:val="26"/>
          <w:szCs w:val="26"/>
        </w:rPr>
        <w:t>Indija – 1</w:t>
      </w:r>
      <w:r w:rsidRPr="005F0DF1">
        <w:rPr>
          <w:rFonts w:ascii="Times New Roman" w:eastAsiaTheme="minorHAnsi" w:hAnsi="Times New Roman" w:cstheme="minorBidi"/>
          <w:sz w:val="26"/>
          <w:szCs w:val="26"/>
        </w:rPr>
        <w:t xml:space="preserve">. </w:t>
      </w:r>
    </w:p>
    <w:p w14:paraId="0CC49A15" w14:textId="5C39060F" w:rsidR="00285B28" w:rsidRDefault="00285B28" w:rsidP="00285B28">
      <w:pPr>
        <w:spacing w:after="120"/>
        <w:ind w:firstLine="567"/>
        <w:jc w:val="both"/>
        <w:rPr>
          <w:rFonts w:ascii="Times New Roman" w:hAnsi="Times New Roman"/>
          <w:sz w:val="26"/>
          <w:szCs w:val="26"/>
        </w:rPr>
      </w:pPr>
      <w:r w:rsidRPr="005F0DF1">
        <w:rPr>
          <w:rFonts w:asciiTheme="majorBidi" w:hAnsiTheme="majorBidi" w:cstheme="majorBidi"/>
          <w:sz w:val="26"/>
          <w:szCs w:val="26"/>
        </w:rPr>
        <w:t>Laika periodā no 2015. gada 1. janvāra līdz 20</w:t>
      </w:r>
      <w:r w:rsidR="00A54144">
        <w:rPr>
          <w:rFonts w:asciiTheme="majorBidi" w:hAnsiTheme="majorBidi" w:cstheme="majorBidi"/>
          <w:sz w:val="26"/>
          <w:szCs w:val="26"/>
        </w:rPr>
        <w:t>20. </w:t>
      </w:r>
      <w:r w:rsidR="00A54144" w:rsidRPr="008B69BB">
        <w:rPr>
          <w:rFonts w:asciiTheme="majorBidi" w:hAnsiTheme="majorBidi" w:cstheme="majorBidi"/>
          <w:sz w:val="26"/>
          <w:szCs w:val="26"/>
        </w:rPr>
        <w:t>gada 31</w:t>
      </w:r>
      <w:r w:rsidRPr="008B69BB">
        <w:rPr>
          <w:rFonts w:asciiTheme="majorBidi" w:hAnsiTheme="majorBidi" w:cstheme="majorBidi"/>
          <w:sz w:val="26"/>
          <w:szCs w:val="26"/>
        </w:rPr>
        <w:t>.</w:t>
      </w:r>
      <w:r w:rsidR="00A54144" w:rsidRPr="008B69BB">
        <w:rPr>
          <w:rFonts w:asciiTheme="majorBidi" w:hAnsiTheme="majorBidi" w:cstheme="majorBidi"/>
          <w:sz w:val="26"/>
          <w:szCs w:val="26"/>
        </w:rPr>
        <w:t>decembri</w:t>
      </w:r>
      <w:r w:rsidRPr="008B69BB">
        <w:rPr>
          <w:rFonts w:asciiTheme="majorBidi" w:hAnsiTheme="majorBidi" w:cstheme="majorBidi"/>
          <w:sz w:val="26"/>
          <w:szCs w:val="26"/>
        </w:rPr>
        <w:t xml:space="preserve">m īpašam mērķim noteikto </w:t>
      </w:r>
      <w:r w:rsidRPr="008B69BB">
        <w:rPr>
          <w:rFonts w:ascii="Times New Roman" w:hAnsi="Times New Roman"/>
          <w:sz w:val="26"/>
          <w:szCs w:val="26"/>
        </w:rPr>
        <w:t xml:space="preserve">bezprocentu valsts vērtspapīru emisijas rezultātā valsts </w:t>
      </w:r>
      <w:r w:rsidR="004A353A" w:rsidRPr="008B69BB">
        <w:rPr>
          <w:rFonts w:ascii="Times New Roman" w:hAnsi="Times New Roman"/>
          <w:sz w:val="26"/>
          <w:szCs w:val="26"/>
        </w:rPr>
        <w:t>parāds ir palielinājies par 9,5</w:t>
      </w:r>
      <w:r w:rsidRPr="008B69BB">
        <w:rPr>
          <w:rFonts w:ascii="Times New Roman" w:hAnsi="Times New Roman"/>
          <w:sz w:val="26"/>
          <w:szCs w:val="26"/>
        </w:rPr>
        <w:t xml:space="preserve"> milj. </w:t>
      </w:r>
      <w:r w:rsidRPr="008B69BB">
        <w:rPr>
          <w:rFonts w:ascii="Times New Roman" w:hAnsi="Times New Roman"/>
          <w:bCs/>
          <w:i/>
          <w:iCs/>
          <w:sz w:val="26"/>
          <w:szCs w:val="26"/>
        </w:rPr>
        <w:t xml:space="preserve">euro, </w:t>
      </w:r>
      <w:r w:rsidRPr="008B69BB">
        <w:rPr>
          <w:rFonts w:ascii="Times New Roman" w:hAnsi="Times New Roman"/>
          <w:bCs/>
          <w:sz w:val="26"/>
          <w:szCs w:val="26"/>
        </w:rPr>
        <w:t>ko</w:t>
      </w:r>
      <w:r w:rsidRPr="008B69BB">
        <w:rPr>
          <w:rFonts w:ascii="Times New Roman" w:hAnsi="Times New Roman"/>
          <w:sz w:val="26"/>
          <w:szCs w:val="26"/>
        </w:rPr>
        <w:t xml:space="preserve"> veido </w:t>
      </w:r>
      <w:r w:rsidRPr="008B69BB">
        <w:rPr>
          <w:rFonts w:ascii="Times New Roman" w:hAnsi="Times New Roman"/>
          <w:bCs/>
          <w:sz w:val="26"/>
          <w:szCs w:val="26"/>
        </w:rPr>
        <w:t>2015., 2016.,</w:t>
      </w:r>
      <w:r w:rsidRPr="008B69BB">
        <w:rPr>
          <w:rFonts w:ascii="Times New Roman" w:hAnsi="Times New Roman"/>
          <w:sz w:val="26"/>
          <w:szCs w:val="26"/>
        </w:rPr>
        <w:t xml:space="preserve"> 2017.</w:t>
      </w:r>
      <w:r w:rsidR="004A353A" w:rsidRPr="008B69BB">
        <w:rPr>
          <w:rFonts w:ascii="Times New Roman" w:hAnsi="Times New Roman"/>
          <w:sz w:val="26"/>
          <w:szCs w:val="26"/>
        </w:rPr>
        <w:t>, 2018., 2019. un 2020.</w:t>
      </w:r>
      <w:r w:rsidRPr="008B69BB">
        <w:rPr>
          <w:rFonts w:ascii="Times New Roman" w:hAnsi="Times New Roman"/>
          <w:sz w:val="26"/>
          <w:szCs w:val="26"/>
        </w:rPr>
        <w:t>gadā emitētie bezprocentu valsts vērtspapīri attiecīgi</w:t>
      </w:r>
      <w:r w:rsidRPr="008B69BB">
        <w:rPr>
          <w:rFonts w:ascii="Times New Roman" w:hAnsi="Times New Roman"/>
          <w:bCs/>
          <w:sz w:val="26"/>
          <w:szCs w:val="26"/>
        </w:rPr>
        <w:t xml:space="preserve"> 1,25 milj. </w:t>
      </w:r>
      <w:r w:rsidRPr="008B69BB">
        <w:rPr>
          <w:rFonts w:ascii="Times New Roman" w:hAnsi="Times New Roman"/>
          <w:bCs/>
          <w:i/>
          <w:iCs/>
          <w:sz w:val="26"/>
          <w:szCs w:val="26"/>
        </w:rPr>
        <w:t xml:space="preserve">euro, </w:t>
      </w:r>
      <w:r w:rsidRPr="008B69BB">
        <w:rPr>
          <w:rFonts w:ascii="Times New Roman" w:hAnsi="Times New Roman"/>
          <w:bCs/>
          <w:sz w:val="26"/>
          <w:szCs w:val="26"/>
        </w:rPr>
        <w:t xml:space="preserve">4,75 milj. </w:t>
      </w:r>
      <w:r w:rsidRPr="008B69BB">
        <w:rPr>
          <w:rFonts w:ascii="Times New Roman" w:hAnsi="Times New Roman"/>
          <w:bCs/>
          <w:i/>
          <w:iCs/>
          <w:sz w:val="26"/>
          <w:szCs w:val="26"/>
        </w:rPr>
        <w:t>euro,</w:t>
      </w:r>
      <w:r w:rsidRPr="008B69BB">
        <w:rPr>
          <w:rFonts w:ascii="Times New Roman" w:hAnsi="Times New Roman"/>
          <w:bCs/>
          <w:iCs/>
          <w:sz w:val="26"/>
          <w:szCs w:val="26"/>
        </w:rPr>
        <w:t xml:space="preserve"> 2,25 milj. </w:t>
      </w:r>
      <w:r w:rsidRPr="008B69BB">
        <w:rPr>
          <w:rFonts w:ascii="Times New Roman" w:hAnsi="Times New Roman"/>
          <w:bCs/>
          <w:i/>
          <w:iCs/>
          <w:sz w:val="26"/>
          <w:szCs w:val="26"/>
        </w:rPr>
        <w:t>euro</w:t>
      </w:r>
      <w:r w:rsidR="004A353A" w:rsidRPr="008B69BB">
        <w:rPr>
          <w:rFonts w:ascii="Times New Roman" w:hAnsi="Times New Roman"/>
          <w:bCs/>
          <w:i/>
          <w:iCs/>
          <w:sz w:val="26"/>
          <w:szCs w:val="26"/>
        </w:rPr>
        <w:t>,</w:t>
      </w:r>
      <w:r w:rsidRPr="008B69BB">
        <w:rPr>
          <w:rFonts w:ascii="Times New Roman" w:hAnsi="Times New Roman"/>
          <w:bCs/>
          <w:i/>
          <w:iCs/>
          <w:sz w:val="26"/>
          <w:szCs w:val="26"/>
        </w:rPr>
        <w:t xml:space="preserve">  </w:t>
      </w:r>
      <w:r w:rsidRPr="008B69BB">
        <w:rPr>
          <w:rFonts w:ascii="Times New Roman" w:hAnsi="Times New Roman"/>
          <w:bCs/>
          <w:iCs/>
          <w:sz w:val="26"/>
          <w:szCs w:val="26"/>
        </w:rPr>
        <w:t>1,25</w:t>
      </w:r>
      <w:r w:rsidRPr="008B69BB">
        <w:rPr>
          <w:rFonts w:ascii="Times New Roman" w:hAnsi="Times New Roman"/>
          <w:bCs/>
          <w:i/>
          <w:iCs/>
          <w:sz w:val="26"/>
          <w:szCs w:val="26"/>
        </w:rPr>
        <w:t> </w:t>
      </w:r>
      <w:r w:rsidRPr="008B69BB">
        <w:rPr>
          <w:rFonts w:ascii="Times New Roman" w:hAnsi="Times New Roman"/>
          <w:bCs/>
          <w:iCs/>
          <w:sz w:val="26"/>
          <w:szCs w:val="26"/>
        </w:rPr>
        <w:t>milj.</w:t>
      </w:r>
      <w:r w:rsidR="004A353A" w:rsidRPr="008B69BB">
        <w:rPr>
          <w:rFonts w:ascii="Times New Roman" w:hAnsi="Times New Roman"/>
          <w:bCs/>
          <w:i/>
          <w:iCs/>
          <w:sz w:val="26"/>
          <w:szCs w:val="26"/>
        </w:rPr>
        <w:t xml:space="preserve">, </w:t>
      </w:r>
      <w:r w:rsidR="004A353A" w:rsidRPr="008B69BB">
        <w:rPr>
          <w:rFonts w:ascii="Times New Roman" w:hAnsi="Times New Roman"/>
          <w:bCs/>
          <w:iCs/>
          <w:sz w:val="26"/>
          <w:szCs w:val="26"/>
        </w:rPr>
        <w:t xml:space="preserve">0,75 milj. </w:t>
      </w:r>
      <w:r w:rsidR="004A353A" w:rsidRPr="008B69BB">
        <w:rPr>
          <w:rFonts w:ascii="Times New Roman" w:hAnsi="Times New Roman"/>
          <w:bCs/>
          <w:i/>
          <w:iCs/>
          <w:sz w:val="26"/>
          <w:szCs w:val="26"/>
        </w:rPr>
        <w:t xml:space="preserve">euro </w:t>
      </w:r>
      <w:r w:rsidR="004A353A" w:rsidRPr="008B69BB">
        <w:rPr>
          <w:rFonts w:ascii="Times New Roman" w:hAnsi="Times New Roman"/>
          <w:bCs/>
          <w:iCs/>
          <w:sz w:val="26"/>
          <w:szCs w:val="26"/>
        </w:rPr>
        <w:t xml:space="preserve">un </w:t>
      </w:r>
      <w:r w:rsidR="00E56FAA" w:rsidRPr="008B69BB">
        <w:rPr>
          <w:rFonts w:ascii="Times New Roman" w:hAnsi="Times New Roman"/>
          <w:bCs/>
          <w:iCs/>
          <w:sz w:val="26"/>
          <w:szCs w:val="26"/>
        </w:rPr>
        <w:t>1,2</w:t>
      </w:r>
      <w:r w:rsidR="004A353A" w:rsidRPr="008B69BB">
        <w:rPr>
          <w:rFonts w:ascii="Times New Roman" w:hAnsi="Times New Roman"/>
          <w:bCs/>
          <w:iCs/>
          <w:sz w:val="26"/>
          <w:szCs w:val="26"/>
        </w:rPr>
        <w:t xml:space="preserve">5 milj. </w:t>
      </w:r>
      <w:r w:rsidRPr="008B69BB">
        <w:rPr>
          <w:rFonts w:ascii="Times New Roman" w:hAnsi="Times New Roman"/>
          <w:bCs/>
          <w:i/>
          <w:iCs/>
          <w:sz w:val="26"/>
          <w:szCs w:val="26"/>
        </w:rPr>
        <w:t>e</w:t>
      </w:r>
      <w:r w:rsidR="004A353A" w:rsidRPr="008B69BB">
        <w:rPr>
          <w:rFonts w:ascii="Times New Roman" w:hAnsi="Times New Roman"/>
          <w:bCs/>
          <w:i/>
          <w:iCs/>
          <w:sz w:val="26"/>
          <w:szCs w:val="26"/>
        </w:rPr>
        <w:t>u</w:t>
      </w:r>
      <w:r w:rsidRPr="008B69BB">
        <w:rPr>
          <w:rFonts w:ascii="Times New Roman" w:hAnsi="Times New Roman"/>
          <w:bCs/>
          <w:i/>
          <w:iCs/>
          <w:sz w:val="26"/>
          <w:szCs w:val="26"/>
        </w:rPr>
        <w:t>ro</w:t>
      </w:r>
      <w:r w:rsidRPr="008B69BB">
        <w:rPr>
          <w:rFonts w:ascii="Times New Roman" w:hAnsi="Times New Roman"/>
          <w:sz w:val="26"/>
          <w:szCs w:val="26"/>
        </w:rPr>
        <w:t xml:space="preserve"> apjomā</w:t>
      </w:r>
      <w:r w:rsidR="004A353A" w:rsidRPr="008B69BB">
        <w:rPr>
          <w:rFonts w:ascii="Times New Roman" w:hAnsi="Times New Roman"/>
          <w:sz w:val="26"/>
          <w:szCs w:val="26"/>
        </w:rPr>
        <w:t xml:space="preserve"> un jau notikusī šo vērtspapīru dzēšana, kas 2020.gada gadā bija </w:t>
      </w:r>
      <w:r w:rsidR="00E56FAA" w:rsidRPr="008B69BB">
        <w:rPr>
          <w:rFonts w:ascii="Times New Roman" w:hAnsi="Times New Roman"/>
          <w:sz w:val="26"/>
          <w:szCs w:val="26"/>
        </w:rPr>
        <w:t>2</w:t>
      </w:r>
      <w:r w:rsidR="004A353A" w:rsidRPr="008B69BB">
        <w:rPr>
          <w:rFonts w:ascii="Times New Roman" w:hAnsi="Times New Roman"/>
          <w:sz w:val="26"/>
          <w:szCs w:val="26"/>
        </w:rPr>
        <w:t xml:space="preserve"> milj. </w:t>
      </w:r>
      <w:r w:rsidR="004A353A" w:rsidRPr="008B69BB">
        <w:rPr>
          <w:rFonts w:ascii="Times New Roman" w:hAnsi="Times New Roman"/>
          <w:i/>
          <w:sz w:val="26"/>
          <w:szCs w:val="26"/>
        </w:rPr>
        <w:t>euro</w:t>
      </w:r>
      <w:r w:rsidRPr="008B69BB">
        <w:rPr>
          <w:rFonts w:ascii="Times New Roman" w:hAnsi="Times New Roman"/>
          <w:sz w:val="26"/>
          <w:szCs w:val="26"/>
        </w:rPr>
        <w:t>.</w:t>
      </w:r>
      <w:r w:rsidRPr="005F0DF1">
        <w:rPr>
          <w:rFonts w:ascii="Times New Roman" w:hAnsi="Times New Roman"/>
          <w:sz w:val="26"/>
          <w:szCs w:val="26"/>
        </w:rPr>
        <w:t xml:space="preserve"> </w:t>
      </w:r>
    </w:p>
    <w:p w14:paraId="211D5F8F" w14:textId="791DBC5A" w:rsidR="004A353A" w:rsidRPr="008B69BB" w:rsidRDefault="004A353A" w:rsidP="00285B28">
      <w:pPr>
        <w:spacing w:after="120"/>
        <w:ind w:firstLine="567"/>
        <w:jc w:val="both"/>
        <w:rPr>
          <w:rFonts w:ascii="Times New Roman" w:hAnsi="Times New Roman"/>
          <w:sz w:val="26"/>
          <w:szCs w:val="26"/>
        </w:rPr>
      </w:pPr>
      <w:r>
        <w:rPr>
          <w:rFonts w:ascii="Times New Roman" w:hAnsi="Times New Roman"/>
          <w:sz w:val="26"/>
          <w:szCs w:val="26"/>
        </w:rPr>
        <w:t xml:space="preserve">Laika periodā no 2020.gada 1.janvāra </w:t>
      </w:r>
      <w:r w:rsidRPr="008B69BB">
        <w:rPr>
          <w:rFonts w:ascii="Times New Roman" w:hAnsi="Times New Roman"/>
          <w:sz w:val="26"/>
          <w:szCs w:val="26"/>
        </w:rPr>
        <w:t xml:space="preserve">līdz </w:t>
      </w:r>
      <w:r w:rsidR="00D47B47" w:rsidRPr="008B69BB">
        <w:rPr>
          <w:rFonts w:ascii="Times New Roman" w:hAnsi="Times New Roman"/>
          <w:sz w:val="26"/>
          <w:szCs w:val="26"/>
        </w:rPr>
        <w:t>31.decembrim</w:t>
      </w:r>
      <w:r w:rsidRPr="008B69BB">
        <w:rPr>
          <w:rFonts w:ascii="Times New Roman" w:hAnsi="Times New Roman"/>
          <w:sz w:val="26"/>
          <w:szCs w:val="26"/>
        </w:rPr>
        <w:t xml:space="preserve"> emitētas </w:t>
      </w:r>
      <w:r w:rsidR="00D47B47" w:rsidRPr="008B69BB">
        <w:rPr>
          <w:rFonts w:ascii="Times New Roman" w:hAnsi="Times New Roman"/>
          <w:sz w:val="26"/>
          <w:szCs w:val="26"/>
        </w:rPr>
        <w:t>piecas</w:t>
      </w:r>
      <w:r w:rsidRPr="008B69BB">
        <w:rPr>
          <w:rFonts w:ascii="Times New Roman" w:hAnsi="Times New Roman"/>
          <w:sz w:val="26"/>
          <w:szCs w:val="26"/>
        </w:rPr>
        <w:t xml:space="preserve"> bezprocentu obligācijas </w:t>
      </w:r>
      <w:r w:rsidR="00D47B47" w:rsidRPr="008B69BB">
        <w:rPr>
          <w:rFonts w:ascii="Times New Roman" w:hAnsi="Times New Roman"/>
          <w:sz w:val="26"/>
          <w:szCs w:val="26"/>
        </w:rPr>
        <w:t>1</w:t>
      </w:r>
      <w:r w:rsidRPr="008B69BB">
        <w:rPr>
          <w:rFonts w:ascii="Times New Roman" w:hAnsi="Times New Roman"/>
          <w:sz w:val="26"/>
          <w:szCs w:val="26"/>
        </w:rPr>
        <w:t>,</w:t>
      </w:r>
      <w:r w:rsidR="00D47B47" w:rsidRPr="008B69BB">
        <w:rPr>
          <w:rFonts w:ascii="Times New Roman" w:hAnsi="Times New Roman"/>
          <w:sz w:val="26"/>
          <w:szCs w:val="26"/>
        </w:rPr>
        <w:t>2</w:t>
      </w:r>
      <w:r w:rsidRPr="008B69BB">
        <w:rPr>
          <w:rFonts w:ascii="Times New Roman" w:hAnsi="Times New Roman"/>
          <w:sz w:val="26"/>
          <w:szCs w:val="26"/>
        </w:rPr>
        <w:t xml:space="preserve">5 milj. </w:t>
      </w:r>
      <w:r w:rsidRPr="008B69BB">
        <w:rPr>
          <w:rFonts w:ascii="Times New Roman" w:hAnsi="Times New Roman"/>
          <w:i/>
          <w:sz w:val="26"/>
          <w:szCs w:val="26"/>
        </w:rPr>
        <w:t>euro</w:t>
      </w:r>
      <w:r w:rsidRPr="008B69BB">
        <w:rPr>
          <w:rFonts w:ascii="Times New Roman" w:hAnsi="Times New Roman"/>
          <w:sz w:val="26"/>
          <w:szCs w:val="26"/>
        </w:rPr>
        <w:t xml:space="preserve"> apmērā</w:t>
      </w:r>
      <w:r w:rsidR="0007220D" w:rsidRPr="008B69BB">
        <w:rPr>
          <w:rFonts w:ascii="Times New Roman" w:hAnsi="Times New Roman"/>
          <w:sz w:val="26"/>
          <w:szCs w:val="26"/>
        </w:rPr>
        <w:t xml:space="preserve"> un</w:t>
      </w:r>
      <w:r w:rsidR="008B69BB" w:rsidRPr="008B69BB">
        <w:rPr>
          <w:rFonts w:ascii="Times New Roman" w:hAnsi="Times New Roman"/>
          <w:sz w:val="26"/>
          <w:szCs w:val="26"/>
        </w:rPr>
        <w:t xml:space="preserve"> </w:t>
      </w:r>
      <w:r w:rsidRPr="008B69BB">
        <w:rPr>
          <w:rFonts w:ascii="Times New Roman" w:hAnsi="Times New Roman"/>
          <w:sz w:val="26"/>
          <w:szCs w:val="26"/>
        </w:rPr>
        <w:t xml:space="preserve">dzēstas </w:t>
      </w:r>
      <w:r w:rsidR="00D47B47" w:rsidRPr="008B69BB">
        <w:rPr>
          <w:rFonts w:ascii="Times New Roman" w:hAnsi="Times New Roman"/>
          <w:sz w:val="26"/>
          <w:szCs w:val="26"/>
        </w:rPr>
        <w:t>astoņas</w:t>
      </w:r>
      <w:r w:rsidRPr="008B69BB">
        <w:rPr>
          <w:rFonts w:ascii="Times New Roman" w:hAnsi="Times New Roman"/>
          <w:sz w:val="26"/>
          <w:szCs w:val="26"/>
        </w:rPr>
        <w:t xml:space="preserve"> bezprocentu obligācijas kopā </w:t>
      </w:r>
      <w:r w:rsidR="00D47B47" w:rsidRPr="008B69BB">
        <w:rPr>
          <w:rFonts w:ascii="Times New Roman" w:hAnsi="Times New Roman"/>
          <w:sz w:val="26"/>
          <w:szCs w:val="26"/>
        </w:rPr>
        <w:t>2</w:t>
      </w:r>
      <w:r w:rsidRPr="008B69BB">
        <w:rPr>
          <w:rFonts w:ascii="Times New Roman" w:hAnsi="Times New Roman"/>
          <w:sz w:val="26"/>
          <w:szCs w:val="26"/>
        </w:rPr>
        <w:t xml:space="preserve"> milj.</w:t>
      </w:r>
      <w:r w:rsidR="0007220D" w:rsidRPr="008B69BB">
        <w:rPr>
          <w:rFonts w:ascii="Times New Roman" w:hAnsi="Times New Roman"/>
          <w:sz w:val="26"/>
          <w:szCs w:val="26"/>
        </w:rPr>
        <w:t xml:space="preserve"> </w:t>
      </w:r>
      <w:r w:rsidRPr="008B69BB">
        <w:rPr>
          <w:rFonts w:ascii="Times New Roman" w:hAnsi="Times New Roman"/>
          <w:i/>
          <w:sz w:val="26"/>
          <w:szCs w:val="26"/>
        </w:rPr>
        <w:t>euro</w:t>
      </w:r>
      <w:r w:rsidRPr="008B69BB">
        <w:rPr>
          <w:rFonts w:ascii="Times New Roman" w:hAnsi="Times New Roman"/>
          <w:sz w:val="26"/>
          <w:szCs w:val="26"/>
        </w:rPr>
        <w:t xml:space="preserve"> </w:t>
      </w:r>
      <w:r w:rsidR="0007220D" w:rsidRPr="008B69BB">
        <w:rPr>
          <w:rFonts w:ascii="Times New Roman" w:hAnsi="Times New Roman"/>
          <w:sz w:val="26"/>
          <w:szCs w:val="26"/>
        </w:rPr>
        <w:t xml:space="preserve">vērtībā. Minēto darījumu rezultātā </w:t>
      </w:r>
      <w:r w:rsidRPr="008B69BB">
        <w:rPr>
          <w:rFonts w:ascii="Times New Roman" w:hAnsi="Times New Roman"/>
          <w:sz w:val="26"/>
          <w:szCs w:val="26"/>
        </w:rPr>
        <w:t>valsts parāda saistības pret šo vērtspapīru turētājiem</w:t>
      </w:r>
      <w:r w:rsidR="0007220D" w:rsidRPr="008B69BB">
        <w:rPr>
          <w:rFonts w:ascii="Times New Roman" w:hAnsi="Times New Roman"/>
          <w:sz w:val="26"/>
          <w:szCs w:val="26"/>
        </w:rPr>
        <w:t xml:space="preserve"> samazinājās</w:t>
      </w:r>
      <w:r w:rsidRPr="008B69BB">
        <w:rPr>
          <w:rFonts w:ascii="Times New Roman" w:hAnsi="Times New Roman"/>
          <w:sz w:val="26"/>
          <w:szCs w:val="26"/>
        </w:rPr>
        <w:t xml:space="preserve"> par 0,</w:t>
      </w:r>
      <w:r w:rsidR="00D47B47" w:rsidRPr="008B69BB">
        <w:rPr>
          <w:rFonts w:ascii="Times New Roman" w:hAnsi="Times New Roman"/>
          <w:sz w:val="26"/>
          <w:szCs w:val="26"/>
        </w:rPr>
        <w:t>7</w:t>
      </w:r>
      <w:r w:rsidRPr="008B69BB">
        <w:rPr>
          <w:rFonts w:ascii="Times New Roman" w:hAnsi="Times New Roman"/>
          <w:sz w:val="26"/>
          <w:szCs w:val="26"/>
        </w:rPr>
        <w:t>5 milj.</w:t>
      </w:r>
      <w:r w:rsidRPr="008B69BB">
        <w:rPr>
          <w:rFonts w:ascii="Times New Roman" w:hAnsi="Times New Roman"/>
          <w:i/>
          <w:sz w:val="26"/>
          <w:szCs w:val="26"/>
        </w:rPr>
        <w:t>euro</w:t>
      </w:r>
      <w:r w:rsidRPr="008B69BB">
        <w:rPr>
          <w:rFonts w:ascii="Times New Roman" w:hAnsi="Times New Roman"/>
          <w:sz w:val="26"/>
          <w:szCs w:val="26"/>
        </w:rPr>
        <w:t xml:space="preserve"> </w:t>
      </w:r>
      <w:r w:rsidR="0007220D" w:rsidRPr="008B69BB">
        <w:rPr>
          <w:rFonts w:ascii="Times New Roman" w:hAnsi="Times New Roman"/>
          <w:sz w:val="26"/>
          <w:szCs w:val="26"/>
        </w:rPr>
        <w:t xml:space="preserve">un sasniedza </w:t>
      </w:r>
      <w:r w:rsidRPr="008B69BB">
        <w:rPr>
          <w:rFonts w:ascii="Times New Roman" w:hAnsi="Times New Roman"/>
          <w:sz w:val="26"/>
          <w:szCs w:val="26"/>
        </w:rPr>
        <w:t xml:space="preserve">9,5 milj. </w:t>
      </w:r>
      <w:r w:rsidRPr="008B69BB">
        <w:rPr>
          <w:rFonts w:ascii="Times New Roman" w:hAnsi="Times New Roman"/>
          <w:i/>
          <w:sz w:val="26"/>
          <w:szCs w:val="26"/>
        </w:rPr>
        <w:t>euro.</w:t>
      </w:r>
      <w:r w:rsidRPr="008B69BB">
        <w:rPr>
          <w:rFonts w:ascii="Times New Roman" w:hAnsi="Times New Roman"/>
          <w:sz w:val="26"/>
          <w:szCs w:val="26"/>
        </w:rPr>
        <w:t xml:space="preserve"> Ņemot vērā valsts parāda kopējo apjomu, kas </w:t>
      </w:r>
      <w:r w:rsidR="00D47B47" w:rsidRPr="008B69BB">
        <w:rPr>
          <w:rFonts w:ascii="Times New Roman" w:hAnsi="Times New Roman"/>
          <w:sz w:val="26"/>
          <w:szCs w:val="26"/>
        </w:rPr>
        <w:t>2020.gada decembra beigās</w:t>
      </w:r>
      <w:r w:rsidRPr="008B69BB">
        <w:rPr>
          <w:rFonts w:ascii="Times New Roman" w:hAnsi="Times New Roman"/>
          <w:sz w:val="26"/>
          <w:szCs w:val="26"/>
        </w:rPr>
        <w:t xml:space="preserve"> veidoja 12,</w:t>
      </w:r>
      <w:r w:rsidR="00D47B47" w:rsidRPr="008B69BB">
        <w:rPr>
          <w:rFonts w:ascii="Times New Roman" w:hAnsi="Times New Roman"/>
          <w:sz w:val="26"/>
          <w:szCs w:val="26"/>
        </w:rPr>
        <w:t>459</w:t>
      </w:r>
      <w:r w:rsidRPr="008B69BB">
        <w:rPr>
          <w:rFonts w:ascii="Times New Roman" w:hAnsi="Times New Roman"/>
          <w:sz w:val="26"/>
          <w:szCs w:val="26"/>
        </w:rPr>
        <w:t xml:space="preserve"> mljrd.</w:t>
      </w:r>
      <w:r w:rsidR="0007220D" w:rsidRPr="008B69BB">
        <w:rPr>
          <w:rFonts w:ascii="Times New Roman" w:hAnsi="Times New Roman"/>
          <w:sz w:val="26"/>
          <w:szCs w:val="26"/>
        </w:rPr>
        <w:t xml:space="preserve"> </w:t>
      </w:r>
      <w:r w:rsidRPr="008B69BB">
        <w:rPr>
          <w:rFonts w:ascii="Times New Roman" w:hAnsi="Times New Roman"/>
          <w:i/>
          <w:sz w:val="26"/>
          <w:szCs w:val="26"/>
        </w:rPr>
        <w:t>euro</w:t>
      </w:r>
      <w:r w:rsidR="00D47B47" w:rsidRPr="008B69BB">
        <w:rPr>
          <w:rStyle w:val="FootnoteReference"/>
          <w:rFonts w:ascii="Times New Roman" w:hAnsi="Times New Roman"/>
          <w:i/>
          <w:sz w:val="26"/>
          <w:szCs w:val="26"/>
        </w:rPr>
        <w:footnoteReference w:id="6"/>
      </w:r>
      <w:r w:rsidRPr="008B69BB">
        <w:rPr>
          <w:rFonts w:ascii="Times New Roman" w:hAnsi="Times New Roman"/>
          <w:sz w:val="26"/>
          <w:szCs w:val="26"/>
        </w:rPr>
        <w:t>, no valsts parāda vadības viedokļa šis instruments nav vērā ņemams finansēšanas avots, salīdzinot ar citiem aizņemšanās instrumentiem.</w:t>
      </w:r>
    </w:p>
    <w:p w14:paraId="29380BC1" w14:textId="585980AB" w:rsidR="004A353A" w:rsidRPr="008B69BB" w:rsidRDefault="004A353A" w:rsidP="00285B28">
      <w:pPr>
        <w:spacing w:after="120"/>
        <w:ind w:firstLine="567"/>
        <w:jc w:val="both"/>
        <w:rPr>
          <w:rFonts w:asciiTheme="majorBidi" w:hAnsiTheme="majorBidi" w:cstheme="majorBidi"/>
          <w:sz w:val="26"/>
          <w:szCs w:val="26"/>
        </w:rPr>
      </w:pPr>
      <w:r w:rsidRPr="008B69BB">
        <w:rPr>
          <w:rFonts w:ascii="Times New Roman" w:hAnsi="Times New Roman"/>
          <w:sz w:val="26"/>
          <w:szCs w:val="26"/>
        </w:rPr>
        <w:t xml:space="preserve">Salīdzinot ar instrumenta ieviešanas sākumu 2015.gadā un 2016.gadā, kad tika emitētas attiecīgi </w:t>
      </w:r>
      <w:r w:rsidR="00AF3297">
        <w:rPr>
          <w:rFonts w:ascii="Times New Roman" w:hAnsi="Times New Roman"/>
          <w:sz w:val="26"/>
          <w:szCs w:val="26"/>
        </w:rPr>
        <w:t>piecas</w:t>
      </w:r>
      <w:r w:rsidRPr="008B69BB">
        <w:rPr>
          <w:rFonts w:ascii="Times New Roman" w:hAnsi="Times New Roman"/>
          <w:sz w:val="26"/>
          <w:szCs w:val="26"/>
        </w:rPr>
        <w:t xml:space="preserve"> un 18 bezprocentu obligāciju emisijas, 2020.gadā bijušas </w:t>
      </w:r>
      <w:r w:rsidR="00D47B47" w:rsidRPr="008B69BB">
        <w:rPr>
          <w:rFonts w:ascii="Times New Roman" w:hAnsi="Times New Roman"/>
          <w:sz w:val="26"/>
          <w:szCs w:val="26"/>
        </w:rPr>
        <w:t>piecas</w:t>
      </w:r>
      <w:r w:rsidRPr="008B69BB">
        <w:rPr>
          <w:rFonts w:ascii="Times New Roman" w:hAnsi="Times New Roman"/>
          <w:sz w:val="26"/>
          <w:szCs w:val="26"/>
        </w:rPr>
        <w:t xml:space="preserve"> bezprocentu obligāciju emisijas, bet 2019.gadā – trīs, tātad aktivitāte šī instrumenta izmantošanā ir būtiski samazinājusies, bet jāuzsver, ka neatkarīgi no emitēto vērtspapīru apjoma sistēmu uzturēšanas izmaksas mēnesī paliek nemainīgas. </w:t>
      </w:r>
    </w:p>
    <w:p w14:paraId="65A4D7D0" w14:textId="617ACEDE" w:rsidR="00D47B47" w:rsidRDefault="005F0DF1" w:rsidP="00D47B47">
      <w:pPr>
        <w:ind w:right="12" w:firstLine="567"/>
        <w:jc w:val="both"/>
        <w:rPr>
          <w:rFonts w:ascii="Times New Roman" w:hAnsi="Times New Roman"/>
          <w:color w:val="000000"/>
          <w:sz w:val="26"/>
          <w:szCs w:val="26"/>
          <w:lang w:eastAsia="lv-LV"/>
        </w:rPr>
      </w:pPr>
      <w:r w:rsidRPr="008B69BB">
        <w:rPr>
          <w:rFonts w:asciiTheme="majorBidi" w:hAnsiTheme="majorBidi" w:cstheme="majorBidi"/>
          <w:sz w:val="26"/>
          <w:szCs w:val="26"/>
        </w:rPr>
        <w:t>S</w:t>
      </w:r>
      <w:r w:rsidR="00285B28" w:rsidRPr="008B69BB">
        <w:rPr>
          <w:rFonts w:asciiTheme="majorBidi" w:hAnsiTheme="majorBidi" w:cstheme="majorBidi"/>
          <w:sz w:val="26"/>
          <w:szCs w:val="26"/>
        </w:rPr>
        <w:t xml:space="preserve">ākotnējās izvietošanas izsolēs Latvijas valsts </w:t>
      </w:r>
      <w:r w:rsidR="004A353A" w:rsidRPr="008B69BB">
        <w:rPr>
          <w:rFonts w:asciiTheme="majorBidi" w:hAnsiTheme="majorBidi" w:cstheme="majorBidi"/>
          <w:sz w:val="26"/>
          <w:szCs w:val="26"/>
        </w:rPr>
        <w:t>piecu</w:t>
      </w:r>
      <w:r w:rsidR="00285B28" w:rsidRPr="008B69BB">
        <w:rPr>
          <w:rFonts w:asciiTheme="majorBidi" w:hAnsiTheme="majorBidi" w:cstheme="majorBidi"/>
          <w:sz w:val="26"/>
          <w:szCs w:val="26"/>
        </w:rPr>
        <w:t xml:space="preserve"> gadu obligāciju noteiktās </w:t>
      </w:r>
      <w:r w:rsidR="00285B28" w:rsidRPr="008B69BB">
        <w:rPr>
          <w:rFonts w:ascii="Times New Roman" w:hAnsi="Times New Roman"/>
          <w:color w:val="000000"/>
          <w:sz w:val="26"/>
          <w:szCs w:val="26"/>
          <w:lang w:eastAsia="lv-LV"/>
        </w:rPr>
        <w:t>vidējās svērtās ienesīguma likmes pārskata p</w:t>
      </w:r>
      <w:r w:rsidR="004A353A" w:rsidRPr="008B69BB">
        <w:rPr>
          <w:rFonts w:ascii="Times New Roman" w:hAnsi="Times New Roman"/>
          <w:color w:val="000000"/>
          <w:sz w:val="26"/>
          <w:szCs w:val="26"/>
          <w:lang w:eastAsia="lv-LV"/>
        </w:rPr>
        <w:t xml:space="preserve">eriodā ir strauji samazinājušās, līdz 2019.gada beigās/ 2020.gada sākumā sasniedza jau negatīvas likmes, bet Covid-19 </w:t>
      </w:r>
      <w:r w:rsidR="004A353A" w:rsidRPr="00AF3297">
        <w:rPr>
          <w:rFonts w:ascii="Times New Roman" w:hAnsi="Times New Roman"/>
          <w:color w:val="000000"/>
          <w:sz w:val="26"/>
          <w:szCs w:val="26"/>
          <w:lang w:eastAsia="lv-LV"/>
        </w:rPr>
        <w:t>globālā uzliesmojuma ietekmē likmes kļuva īslaicīgi pozitīvas.</w:t>
      </w:r>
      <w:r w:rsidR="00D47B47" w:rsidRPr="00AF3297">
        <w:rPr>
          <w:rFonts w:ascii="Times New Roman" w:hAnsi="Times New Roman"/>
          <w:noProof/>
          <w:sz w:val="24"/>
          <w:szCs w:val="24"/>
          <w:lang w:eastAsia="lv-LV"/>
        </w:rPr>
        <w:t xml:space="preserve"> </w:t>
      </w:r>
      <w:r w:rsidR="00D47B47" w:rsidRPr="00AF3297">
        <w:rPr>
          <w:rFonts w:ascii="Times New Roman" w:hAnsi="Times New Roman"/>
          <w:color w:val="000000"/>
          <w:sz w:val="26"/>
          <w:szCs w:val="26"/>
          <w:lang w:eastAsia="lv-LV"/>
        </w:rPr>
        <w:t xml:space="preserve">Šobrīd likmes 5 gadu valsts obligācijām iekšējā tirgū sasniegušas negatīvu līmeni, kāds tas bija pirms Covid-19 sākuma (pēdējā 2020. gada 15.jūlija izsolē vidējā svērtā likme bija -0.070%, bet 19.februāra izsolē vidējā svērtā likme bija -0.050%). Turpinoties negatīvu likmju attīstības tendencei, likme pēdējai </w:t>
      </w:r>
      <w:r w:rsidR="00AF3297" w:rsidRPr="00AF3297">
        <w:rPr>
          <w:rFonts w:ascii="Times New Roman" w:hAnsi="Times New Roman"/>
          <w:color w:val="000000"/>
          <w:sz w:val="26"/>
          <w:szCs w:val="26"/>
          <w:lang w:eastAsia="lv-LV"/>
        </w:rPr>
        <w:t>septiņu</w:t>
      </w:r>
      <w:r w:rsidR="00D47B47" w:rsidRPr="00AF3297">
        <w:rPr>
          <w:rFonts w:ascii="Times New Roman" w:hAnsi="Times New Roman"/>
          <w:color w:val="000000"/>
          <w:sz w:val="26"/>
          <w:szCs w:val="26"/>
          <w:lang w:eastAsia="lv-LV"/>
        </w:rPr>
        <w:t xml:space="preserve"> gadu valsts vērtspapīru izsolei iekšējā tirgū 23.septembrī jau sasniedza negatīvu līmeni -0.003%.</w:t>
      </w:r>
    </w:p>
    <w:p w14:paraId="7FF9B6AC" w14:textId="29E1E4D7" w:rsidR="00D47B47" w:rsidRDefault="00D47B47" w:rsidP="00D47B47">
      <w:pPr>
        <w:ind w:right="12" w:firstLine="567"/>
        <w:jc w:val="both"/>
        <w:rPr>
          <w:rFonts w:ascii="Times New Roman" w:hAnsi="Times New Roman"/>
          <w:color w:val="000000"/>
          <w:sz w:val="26"/>
          <w:szCs w:val="26"/>
          <w:lang w:eastAsia="lv-LV"/>
        </w:rPr>
      </w:pPr>
    </w:p>
    <w:p w14:paraId="6E5E914F" w14:textId="69D815F6" w:rsidR="00D47B47" w:rsidRPr="00D47B47" w:rsidRDefault="00D47B47" w:rsidP="00D47B47">
      <w:pPr>
        <w:spacing w:after="120"/>
        <w:ind w:right="11" w:firstLine="567"/>
        <w:jc w:val="right"/>
        <w:rPr>
          <w:rFonts w:ascii="Times New Roman" w:hAnsi="Times New Roman"/>
          <w:color w:val="000000"/>
          <w:sz w:val="24"/>
          <w:szCs w:val="24"/>
          <w:lang w:eastAsia="lv-LV"/>
        </w:rPr>
      </w:pPr>
      <w:r w:rsidRPr="00D47B47">
        <w:rPr>
          <w:rFonts w:ascii="Times New Roman" w:hAnsi="Times New Roman"/>
          <w:color w:val="000000"/>
          <w:sz w:val="24"/>
          <w:szCs w:val="24"/>
          <w:lang w:eastAsia="lv-LV"/>
        </w:rPr>
        <w:t>4.attēls</w:t>
      </w:r>
    </w:p>
    <w:p w14:paraId="679E4BE5" w14:textId="4EF6E42B" w:rsidR="004A353A" w:rsidRDefault="00D47B47" w:rsidP="00B239EA">
      <w:pPr>
        <w:ind w:right="12"/>
        <w:jc w:val="center"/>
        <w:rPr>
          <w:rFonts w:ascii="Times New Roman" w:hAnsi="Times New Roman"/>
          <w:color w:val="000000"/>
          <w:sz w:val="26"/>
          <w:szCs w:val="26"/>
          <w:lang w:eastAsia="lv-LV"/>
        </w:rPr>
      </w:pPr>
      <w:r w:rsidRPr="00CA53E3">
        <w:rPr>
          <w:rFonts w:ascii="Times New Roman" w:hAnsi="Times New Roman"/>
          <w:noProof/>
          <w:sz w:val="24"/>
          <w:szCs w:val="24"/>
          <w:lang w:val="en-GB" w:eastAsia="en-GB"/>
        </w:rPr>
        <w:drawing>
          <wp:inline distT="0" distB="0" distL="0" distR="0" wp14:anchorId="2FC7DC8C" wp14:editId="2164C426">
            <wp:extent cx="5854700" cy="332142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1984" cy="3325560"/>
                    </a:xfrm>
                    <a:prstGeom prst="rect">
                      <a:avLst/>
                    </a:prstGeom>
                    <a:noFill/>
                  </pic:spPr>
                </pic:pic>
              </a:graphicData>
            </a:graphic>
          </wp:inline>
        </w:drawing>
      </w:r>
    </w:p>
    <w:p w14:paraId="2BBB8EC1" w14:textId="77777777" w:rsidR="004A353A" w:rsidRDefault="004A353A" w:rsidP="000468B6">
      <w:pPr>
        <w:ind w:right="12" w:firstLine="567"/>
        <w:jc w:val="both"/>
        <w:rPr>
          <w:rFonts w:ascii="Times New Roman" w:hAnsi="Times New Roman"/>
          <w:color w:val="000000"/>
          <w:sz w:val="26"/>
          <w:szCs w:val="26"/>
          <w:lang w:eastAsia="lv-LV"/>
        </w:rPr>
      </w:pPr>
    </w:p>
    <w:p w14:paraId="24878A48" w14:textId="2D92F711" w:rsidR="00285B28" w:rsidRPr="00310210" w:rsidRDefault="00435C40" w:rsidP="00D03B0E">
      <w:pPr>
        <w:ind w:right="12" w:firstLine="567"/>
        <w:jc w:val="both"/>
        <w:rPr>
          <w:rFonts w:ascii="Times New Roman" w:hAnsi="Times New Roman"/>
          <w:sz w:val="24"/>
          <w:szCs w:val="24"/>
        </w:rPr>
      </w:pPr>
      <w:r w:rsidRPr="00AF3297">
        <w:rPr>
          <w:rFonts w:ascii="Times New Roman" w:hAnsi="Times New Roman"/>
          <w:color w:val="000000"/>
          <w:sz w:val="26"/>
          <w:szCs w:val="26"/>
          <w:lang w:eastAsia="lv-LV"/>
        </w:rPr>
        <w:t>T</w:t>
      </w:r>
      <w:r w:rsidR="00285B28" w:rsidRPr="00AF3297">
        <w:rPr>
          <w:rFonts w:ascii="Times New Roman" w:hAnsi="Times New Roman"/>
          <w:color w:val="000000"/>
          <w:sz w:val="26"/>
          <w:szCs w:val="26"/>
          <w:lang w:eastAsia="lv-LV"/>
        </w:rPr>
        <w:t>endence</w:t>
      </w:r>
      <w:r w:rsidR="004A353A" w:rsidRPr="00AF3297">
        <w:rPr>
          <w:rFonts w:ascii="Times New Roman" w:hAnsi="Times New Roman"/>
          <w:color w:val="000000"/>
          <w:sz w:val="26"/>
          <w:szCs w:val="26"/>
          <w:lang w:eastAsia="lv-LV"/>
        </w:rPr>
        <w:t>, kad</w:t>
      </w:r>
      <w:r w:rsidR="004A353A">
        <w:rPr>
          <w:rFonts w:ascii="Times New Roman" w:hAnsi="Times New Roman"/>
          <w:color w:val="000000"/>
          <w:sz w:val="26"/>
          <w:szCs w:val="26"/>
          <w:lang w:eastAsia="lv-LV"/>
        </w:rPr>
        <w:t xml:space="preserve"> likmes ir tuvu nullei vai pat negatīvas,</w:t>
      </w:r>
      <w:r w:rsidR="00285B28" w:rsidRPr="005F0DF1">
        <w:rPr>
          <w:rFonts w:ascii="Times New Roman" w:hAnsi="Times New Roman"/>
          <w:color w:val="000000"/>
          <w:sz w:val="26"/>
          <w:szCs w:val="26"/>
          <w:lang w:eastAsia="lv-LV"/>
        </w:rPr>
        <w:t xml:space="preserve"> norāda uz </w:t>
      </w:r>
      <w:r w:rsidR="004A353A">
        <w:rPr>
          <w:rFonts w:ascii="Times New Roman" w:hAnsi="Times New Roman"/>
          <w:color w:val="000000"/>
          <w:sz w:val="26"/>
          <w:szCs w:val="26"/>
          <w:lang w:eastAsia="lv-LV"/>
        </w:rPr>
        <w:t xml:space="preserve">to, ka </w:t>
      </w:r>
      <w:r w:rsidR="00285B28" w:rsidRPr="005F0DF1">
        <w:rPr>
          <w:rFonts w:ascii="Times New Roman" w:hAnsi="Times New Roman"/>
          <w:color w:val="000000"/>
          <w:sz w:val="26"/>
          <w:szCs w:val="26"/>
          <w:lang w:eastAsia="lv-LV"/>
        </w:rPr>
        <w:t xml:space="preserve">piecu gadu bezprocentu obligāciju kā finansēšanas instrumenta </w:t>
      </w:r>
      <w:r w:rsidR="004A353A">
        <w:rPr>
          <w:rFonts w:ascii="Times New Roman" w:hAnsi="Times New Roman"/>
          <w:color w:val="000000"/>
          <w:sz w:val="26"/>
          <w:szCs w:val="26"/>
          <w:lang w:eastAsia="lv-LV"/>
        </w:rPr>
        <w:t>ekonomiskais pienesums</w:t>
      </w:r>
      <w:r w:rsidR="00285B28" w:rsidRPr="005F0DF1">
        <w:rPr>
          <w:rFonts w:ascii="Times New Roman" w:hAnsi="Times New Roman"/>
          <w:color w:val="000000"/>
          <w:sz w:val="26"/>
          <w:szCs w:val="26"/>
          <w:lang w:eastAsia="lv-LV"/>
        </w:rPr>
        <w:t xml:space="preserve"> no valsts parāda apkalpošanas izdevumu samazinājuma viedokļa </w:t>
      </w:r>
      <w:r w:rsidR="004A353A">
        <w:rPr>
          <w:rFonts w:ascii="Times New Roman" w:hAnsi="Times New Roman"/>
          <w:color w:val="000000"/>
          <w:sz w:val="26"/>
          <w:szCs w:val="26"/>
          <w:lang w:eastAsia="lv-LV"/>
        </w:rPr>
        <w:t xml:space="preserve">ir būtiski samazinājies līdz pat brīdim, kad tā vairs nav vispār, salīdzinot ar ienesīguma līmeni 1% robežās, </w:t>
      </w:r>
      <w:r w:rsidR="00285B28" w:rsidRPr="005F0DF1">
        <w:rPr>
          <w:rFonts w:ascii="Times New Roman" w:hAnsi="Times New Roman"/>
          <w:color w:val="000000"/>
          <w:sz w:val="26"/>
          <w:szCs w:val="26"/>
          <w:lang w:eastAsia="lv-LV"/>
        </w:rPr>
        <w:t xml:space="preserve">kas bija aktuāls 2015. gada 1. janvārī, </w:t>
      </w:r>
      <w:r w:rsidR="004A353A">
        <w:rPr>
          <w:rFonts w:ascii="Times New Roman" w:hAnsi="Times New Roman"/>
          <w:color w:val="000000"/>
          <w:sz w:val="26"/>
          <w:szCs w:val="26"/>
          <w:lang w:eastAsia="lv-LV"/>
        </w:rPr>
        <w:t>spēkā stājoties</w:t>
      </w:r>
      <w:r w:rsidR="00285B28" w:rsidRPr="005F0DF1">
        <w:rPr>
          <w:rFonts w:ascii="Times New Roman" w:hAnsi="Times New Roman"/>
          <w:color w:val="000000"/>
          <w:sz w:val="26"/>
          <w:szCs w:val="26"/>
          <w:lang w:eastAsia="lv-LV"/>
        </w:rPr>
        <w:t xml:space="preserve"> Imigrācijas likuma 2</w:t>
      </w:r>
      <w:r w:rsidR="004A353A">
        <w:rPr>
          <w:rFonts w:ascii="Times New Roman" w:hAnsi="Times New Roman"/>
          <w:color w:val="000000"/>
          <w:sz w:val="26"/>
          <w:szCs w:val="26"/>
          <w:lang w:eastAsia="lv-LV"/>
        </w:rPr>
        <w:t>3. panta pirmās daļas 31. punktam</w:t>
      </w:r>
      <w:r w:rsidR="00285B28" w:rsidRPr="005F0DF1">
        <w:rPr>
          <w:rFonts w:ascii="Times New Roman" w:hAnsi="Times New Roman"/>
          <w:color w:val="000000"/>
          <w:sz w:val="26"/>
          <w:szCs w:val="26"/>
          <w:lang w:eastAsia="lv-LV"/>
        </w:rPr>
        <w:t>.</w:t>
      </w:r>
      <w:r w:rsidR="004A353A">
        <w:rPr>
          <w:rFonts w:ascii="Times New Roman" w:hAnsi="Times New Roman"/>
          <w:color w:val="000000"/>
          <w:sz w:val="26"/>
          <w:szCs w:val="26"/>
          <w:lang w:eastAsia="lv-LV"/>
        </w:rPr>
        <w:t xml:space="preserve"> Šobrīd veikt piecu gadu obligāciju emisiju iekšējā tirgū ir kļuvis finansiāli izdevīgāk kā emitēt bezprocentu obligācijas. V</w:t>
      </w:r>
      <w:r w:rsidR="00285B28" w:rsidRPr="005F0DF1">
        <w:rPr>
          <w:rFonts w:ascii="Times New Roman" w:hAnsi="Times New Roman"/>
          <w:color w:val="000000"/>
          <w:sz w:val="26"/>
          <w:szCs w:val="26"/>
          <w:lang w:eastAsia="lv-LV"/>
        </w:rPr>
        <w:t>ienreizējās maksas saglabāšana</w:t>
      </w:r>
      <w:r w:rsidR="004A353A">
        <w:rPr>
          <w:rFonts w:ascii="Times New Roman" w:hAnsi="Times New Roman"/>
          <w:color w:val="000000"/>
          <w:sz w:val="26"/>
          <w:szCs w:val="26"/>
          <w:lang w:eastAsia="lv-LV"/>
        </w:rPr>
        <w:t xml:space="preserve">, kas no 2017.gada 2.marta ir noteikta 38 000 </w:t>
      </w:r>
      <w:r w:rsidR="004A353A">
        <w:rPr>
          <w:rFonts w:ascii="Times New Roman" w:hAnsi="Times New Roman"/>
          <w:i/>
          <w:color w:val="000000"/>
          <w:sz w:val="26"/>
          <w:szCs w:val="26"/>
          <w:lang w:eastAsia="lv-LV"/>
        </w:rPr>
        <w:t>euro</w:t>
      </w:r>
      <w:r w:rsidR="00D03B0E">
        <w:rPr>
          <w:rFonts w:ascii="Times New Roman" w:hAnsi="Times New Roman"/>
          <w:color w:val="000000"/>
          <w:sz w:val="26"/>
          <w:szCs w:val="26"/>
          <w:lang w:eastAsia="lv-LV"/>
        </w:rPr>
        <w:t xml:space="preserve"> apmērā (līdz tam 25 000 </w:t>
      </w:r>
      <w:r w:rsidR="00D03B0E">
        <w:rPr>
          <w:rFonts w:ascii="Times New Roman" w:hAnsi="Times New Roman"/>
          <w:i/>
          <w:color w:val="000000"/>
          <w:sz w:val="26"/>
          <w:szCs w:val="26"/>
          <w:lang w:eastAsia="lv-LV"/>
        </w:rPr>
        <w:t>euro</w:t>
      </w:r>
      <w:r w:rsidR="00D03B0E">
        <w:rPr>
          <w:rFonts w:ascii="Times New Roman" w:hAnsi="Times New Roman"/>
          <w:color w:val="000000"/>
          <w:sz w:val="26"/>
          <w:szCs w:val="26"/>
          <w:lang w:eastAsia="lv-LV"/>
        </w:rPr>
        <w:t>) pašreizējā līmenī ir pamatota</w:t>
      </w:r>
      <w:r w:rsidR="00285B28" w:rsidRPr="005F0DF1">
        <w:rPr>
          <w:rFonts w:ascii="Times New Roman" w:hAnsi="Times New Roman"/>
          <w:color w:val="000000"/>
          <w:sz w:val="26"/>
          <w:szCs w:val="26"/>
          <w:lang w:eastAsia="lv-LV"/>
        </w:rPr>
        <w:t>, lai bezprocentu obligāciju emisijas neradītu negatīvu ietekmi uz valsts budžeta bilanci</w:t>
      </w:r>
      <w:r w:rsidR="00D03B0E">
        <w:rPr>
          <w:rFonts w:ascii="Times New Roman" w:hAnsi="Times New Roman"/>
          <w:color w:val="000000"/>
          <w:sz w:val="26"/>
          <w:szCs w:val="26"/>
          <w:lang w:eastAsia="lv-LV"/>
        </w:rPr>
        <w:t xml:space="preserve">, tomēr, ņemot vērā zemo bezprocentu obligāciju iegādes darījumu aktivitāti un pastāvīgās izmaksas Nasdaq CSD par šī finanšu instrumenta apkalpošanu, lietderīgāka būtu attiecīgā regulējuma izslēgšana no Imigrācijas likuma. </w:t>
      </w:r>
    </w:p>
    <w:p w14:paraId="545134DC" w14:textId="77777777" w:rsidR="00285B28" w:rsidRDefault="00285B28" w:rsidP="00285B28">
      <w:pPr>
        <w:ind w:firstLine="720"/>
        <w:jc w:val="right"/>
        <w:rPr>
          <w:rFonts w:asciiTheme="majorBidi" w:hAnsiTheme="majorBidi" w:cstheme="majorBidi"/>
          <w:sz w:val="24"/>
          <w:szCs w:val="24"/>
        </w:rPr>
      </w:pPr>
    </w:p>
    <w:p w14:paraId="49DB8B63" w14:textId="77777777" w:rsidR="00074494" w:rsidRDefault="00074494" w:rsidP="00074494">
      <w:pPr>
        <w:spacing w:after="120"/>
        <w:rPr>
          <w:rFonts w:ascii="Times New Roman" w:hAnsi="Times New Roman"/>
          <w:b/>
          <w:sz w:val="26"/>
          <w:szCs w:val="26"/>
        </w:rPr>
      </w:pPr>
    </w:p>
    <w:p w14:paraId="5F511FE8" w14:textId="093B7A9D" w:rsidR="00D40C50" w:rsidRPr="00254B4B" w:rsidRDefault="00D40C50" w:rsidP="00D40C50">
      <w:pPr>
        <w:spacing w:after="120"/>
        <w:ind w:firstLine="567"/>
        <w:jc w:val="center"/>
        <w:rPr>
          <w:rFonts w:ascii="Times New Roman" w:hAnsi="Times New Roman"/>
          <w:b/>
          <w:sz w:val="26"/>
          <w:szCs w:val="26"/>
        </w:rPr>
      </w:pPr>
      <w:r w:rsidRPr="00254B4B">
        <w:rPr>
          <w:rFonts w:ascii="Times New Roman" w:hAnsi="Times New Roman"/>
          <w:b/>
          <w:sz w:val="26"/>
          <w:szCs w:val="26"/>
        </w:rPr>
        <w:t>Valsts pamatbudžeta programmā “Ekonomikas attīstības programma” ārzemnieku veikto maksājumu izlietojums</w:t>
      </w:r>
    </w:p>
    <w:p w14:paraId="5AA5071D" w14:textId="77777777" w:rsidR="00074494" w:rsidRPr="00254B4B" w:rsidRDefault="00074494" w:rsidP="00074494">
      <w:pPr>
        <w:spacing w:after="120"/>
        <w:jc w:val="both"/>
        <w:rPr>
          <w:rFonts w:ascii="Times New Roman" w:hAnsi="Times New Roman"/>
          <w:sz w:val="24"/>
          <w:szCs w:val="24"/>
        </w:rPr>
      </w:pPr>
    </w:p>
    <w:p w14:paraId="080EB7AF" w14:textId="12A13E4E" w:rsidR="00074494" w:rsidRPr="00254B4B" w:rsidRDefault="00074494" w:rsidP="00074494">
      <w:pPr>
        <w:spacing w:after="60"/>
        <w:ind w:firstLine="567"/>
        <w:jc w:val="both"/>
        <w:rPr>
          <w:rFonts w:ascii="Times New Roman" w:hAnsi="Times New Roman"/>
          <w:sz w:val="26"/>
          <w:szCs w:val="26"/>
        </w:rPr>
      </w:pPr>
      <w:r w:rsidRPr="00254B4B">
        <w:rPr>
          <w:rFonts w:ascii="Times New Roman" w:hAnsi="Times New Roman"/>
          <w:sz w:val="26"/>
          <w:szCs w:val="26"/>
        </w:rPr>
        <w:t>“Ekonomikas attīstības programmas” darbība tika uzsākta 2014.</w:t>
      </w:r>
      <w:r w:rsidR="00290CBC">
        <w:rPr>
          <w:rFonts w:ascii="Times New Roman" w:hAnsi="Times New Roman"/>
          <w:sz w:val="26"/>
          <w:szCs w:val="26"/>
        </w:rPr>
        <w:t> </w:t>
      </w:r>
      <w:r w:rsidRPr="00254B4B">
        <w:rPr>
          <w:rFonts w:ascii="Times New Roman" w:hAnsi="Times New Roman"/>
          <w:sz w:val="26"/>
          <w:szCs w:val="26"/>
        </w:rPr>
        <w:t>gada 1.</w:t>
      </w:r>
      <w:r w:rsidR="00290CBC">
        <w:rPr>
          <w:rFonts w:ascii="Times New Roman" w:hAnsi="Times New Roman"/>
          <w:sz w:val="26"/>
          <w:szCs w:val="26"/>
        </w:rPr>
        <w:t> </w:t>
      </w:r>
      <w:r w:rsidRPr="00254B4B">
        <w:rPr>
          <w:rFonts w:ascii="Times New Roman" w:hAnsi="Times New Roman"/>
          <w:sz w:val="26"/>
          <w:szCs w:val="26"/>
        </w:rPr>
        <w:t xml:space="preserve">septembrī, kad spēkā stājās grozījumi Imigrācijas likumā, kas noteica, ka pirms TUA saņemšanas ārzemniekam jāveic maksājums valsts pamatbudžeta programmai 33.00.00 “Ekonomikas attīstības programma” atvērtajā valsts pamatbudžeta izdevumu kontā Valsts kasē. </w:t>
      </w:r>
    </w:p>
    <w:p w14:paraId="37A96760" w14:textId="77777777" w:rsidR="00074494" w:rsidRPr="00254B4B" w:rsidRDefault="00074494" w:rsidP="00074494">
      <w:pPr>
        <w:spacing w:after="60"/>
        <w:ind w:firstLine="567"/>
        <w:jc w:val="both"/>
        <w:rPr>
          <w:rFonts w:ascii="Times New Roman" w:hAnsi="Times New Roman"/>
          <w:sz w:val="26"/>
          <w:szCs w:val="26"/>
        </w:rPr>
      </w:pPr>
      <w:r w:rsidRPr="00254B4B">
        <w:rPr>
          <w:rFonts w:ascii="Times New Roman" w:hAnsi="Times New Roman"/>
          <w:sz w:val="26"/>
          <w:szCs w:val="26"/>
        </w:rPr>
        <w:t>Lai izsniegtu pirmreizēju TUA, veicamo iemaksu apjoms valsts pamatbudžeta programmā “Ekonomikas attīstības programma” ir:</w:t>
      </w:r>
    </w:p>
    <w:p w14:paraId="78EFAD8E" w14:textId="77777777" w:rsidR="00074494" w:rsidRPr="00254B4B" w:rsidRDefault="00074494" w:rsidP="00074494">
      <w:pPr>
        <w:pStyle w:val="ListParagraph"/>
        <w:numPr>
          <w:ilvl w:val="0"/>
          <w:numId w:val="15"/>
        </w:numPr>
        <w:ind w:left="1134" w:hanging="567"/>
        <w:contextualSpacing w:val="0"/>
        <w:jc w:val="both"/>
        <w:rPr>
          <w:rFonts w:ascii="Times New Roman" w:hAnsi="Times New Roman"/>
          <w:lang w:eastAsia="lv-LV"/>
        </w:rPr>
      </w:pPr>
      <w:r w:rsidRPr="00254B4B">
        <w:rPr>
          <w:rFonts w:ascii="Times New Roman" w:hAnsi="Times New Roman"/>
          <w:sz w:val="26"/>
          <w:szCs w:val="26"/>
        </w:rPr>
        <w:t xml:space="preserve">10 000 </w:t>
      </w:r>
      <w:r w:rsidRPr="00254B4B">
        <w:rPr>
          <w:rFonts w:ascii="Times New Roman" w:hAnsi="Times New Roman"/>
          <w:i/>
          <w:sz w:val="26"/>
          <w:szCs w:val="26"/>
        </w:rPr>
        <w:t>euro,</w:t>
      </w:r>
      <w:r w:rsidRPr="00254B4B">
        <w:rPr>
          <w:rFonts w:ascii="Times New Roman" w:hAnsi="Times New Roman"/>
          <w:sz w:val="26"/>
          <w:szCs w:val="26"/>
        </w:rPr>
        <w:t xml:space="preserve"> saskaņā ar Imigrācijas likuma 23.panta pirmās daļas 28.punkta nosacījumiem, veicot ieguldījumus kapitālsabiedrības pamatkapitālā;</w:t>
      </w:r>
    </w:p>
    <w:p w14:paraId="1DE21F11" w14:textId="77777777" w:rsidR="00074494" w:rsidRPr="00254B4B" w:rsidRDefault="00074494" w:rsidP="00074494">
      <w:pPr>
        <w:pStyle w:val="ListParagraph"/>
        <w:numPr>
          <w:ilvl w:val="0"/>
          <w:numId w:val="15"/>
        </w:numPr>
        <w:ind w:left="1134" w:hanging="567"/>
        <w:contextualSpacing w:val="0"/>
        <w:jc w:val="both"/>
        <w:rPr>
          <w:rFonts w:ascii="Times New Roman" w:hAnsi="Times New Roman"/>
          <w:lang w:eastAsia="lv-LV"/>
        </w:rPr>
      </w:pPr>
      <w:r w:rsidRPr="00254B4B">
        <w:rPr>
          <w:rFonts w:ascii="Times New Roman" w:hAnsi="Times New Roman"/>
          <w:sz w:val="26"/>
          <w:szCs w:val="26"/>
        </w:rPr>
        <w:t>5% no nekustamā īpašuma vērtības, saskaņā ar Imigrācijas likuma 23.panta pirmās daļas 29.punkta nosacījumiem, iegādājoties nekustamo īpašumu;</w:t>
      </w:r>
    </w:p>
    <w:p w14:paraId="06CE9A08" w14:textId="77777777" w:rsidR="00074494" w:rsidRPr="00254B4B" w:rsidRDefault="00074494" w:rsidP="00074494">
      <w:pPr>
        <w:pStyle w:val="ListParagraph"/>
        <w:numPr>
          <w:ilvl w:val="0"/>
          <w:numId w:val="15"/>
        </w:numPr>
        <w:ind w:left="1134" w:hanging="567"/>
        <w:jc w:val="both"/>
        <w:rPr>
          <w:rFonts w:ascii="Times New Roman" w:hAnsi="Times New Roman"/>
          <w:lang w:eastAsia="lv-LV"/>
        </w:rPr>
      </w:pPr>
      <w:r w:rsidRPr="00254B4B">
        <w:rPr>
          <w:rFonts w:ascii="Times New Roman" w:hAnsi="Times New Roman"/>
          <w:sz w:val="26"/>
          <w:szCs w:val="26"/>
        </w:rPr>
        <w:t xml:space="preserve">25 000 </w:t>
      </w:r>
      <w:r w:rsidRPr="00254B4B">
        <w:rPr>
          <w:rFonts w:ascii="Times New Roman" w:hAnsi="Times New Roman"/>
          <w:i/>
          <w:sz w:val="26"/>
          <w:szCs w:val="26"/>
        </w:rPr>
        <w:t>euro</w:t>
      </w:r>
      <w:r w:rsidRPr="00254B4B">
        <w:rPr>
          <w:rFonts w:ascii="Times New Roman" w:hAnsi="Times New Roman"/>
          <w:sz w:val="26"/>
          <w:szCs w:val="26"/>
        </w:rPr>
        <w:t>, saskaņā ar Imigrācijas likuma 23.panta pirmās daļas 30.punkta nosacījumiem, veidojot pakārtotās saistības ar Latvijas Republikas kredītiestādi;</w:t>
      </w:r>
    </w:p>
    <w:p w14:paraId="3EF7E9FE" w14:textId="77777777" w:rsidR="00074494" w:rsidRPr="00254B4B" w:rsidRDefault="00074494" w:rsidP="00074494">
      <w:pPr>
        <w:pStyle w:val="ListParagraph"/>
        <w:numPr>
          <w:ilvl w:val="0"/>
          <w:numId w:val="15"/>
        </w:numPr>
        <w:spacing w:after="60"/>
        <w:ind w:left="1134" w:hanging="567"/>
        <w:jc w:val="both"/>
        <w:rPr>
          <w:rFonts w:ascii="Times New Roman" w:hAnsi="Times New Roman"/>
          <w:lang w:eastAsia="lv-LV"/>
        </w:rPr>
      </w:pPr>
      <w:r w:rsidRPr="00254B4B">
        <w:rPr>
          <w:rFonts w:ascii="Times New Roman" w:hAnsi="Times New Roman"/>
          <w:sz w:val="26"/>
          <w:szCs w:val="26"/>
        </w:rPr>
        <w:t xml:space="preserve">38 000 </w:t>
      </w:r>
      <w:r w:rsidRPr="00254B4B">
        <w:rPr>
          <w:rFonts w:ascii="Times New Roman" w:hAnsi="Times New Roman"/>
          <w:i/>
          <w:sz w:val="26"/>
          <w:szCs w:val="26"/>
        </w:rPr>
        <w:t>euro,</w:t>
      </w:r>
      <w:r w:rsidRPr="00254B4B">
        <w:rPr>
          <w:rFonts w:ascii="Times New Roman" w:hAnsi="Times New Roman"/>
          <w:sz w:val="26"/>
          <w:szCs w:val="26"/>
        </w:rPr>
        <w:t xml:space="preserve"> saskaņā ar Imigrācijas likuma 23.panta pirmās daļas 31.punkta nosacījumiem, iegādājoties bezprocentu valsts vērtspapīrus. </w:t>
      </w:r>
    </w:p>
    <w:p w14:paraId="188F6BE2" w14:textId="7D9D5EB3" w:rsidR="00A841EC" w:rsidRDefault="00074494" w:rsidP="00D60BD9">
      <w:pPr>
        <w:spacing w:after="60"/>
        <w:ind w:firstLine="567"/>
        <w:jc w:val="both"/>
        <w:rPr>
          <w:rFonts w:ascii="Times New Roman" w:hAnsi="Times New Roman"/>
          <w:sz w:val="26"/>
          <w:szCs w:val="26"/>
          <w:highlight w:val="cyan"/>
        </w:rPr>
      </w:pPr>
      <w:r w:rsidRPr="00254B4B">
        <w:rPr>
          <w:rFonts w:ascii="Times New Roman" w:hAnsi="Times New Roman"/>
          <w:sz w:val="26"/>
          <w:szCs w:val="26"/>
        </w:rPr>
        <w:t xml:space="preserve">2017.gadā bija vērojama kopējā pieteikumu skaita un investīciju apjoma samazināšanās visos pirmreizēju TUA ieguves veidos, t.sk. darījumos ar nekustamo īpašumu, kas laika periodā no 2015.gada līdz 2017.gadam veidoja programmas lielāko ieņēmumu daļu. Tas atspoguļojās arī valsts pamatbudžeta programmā “Ekonomikas attīstības programma” veikto iemaksu skaita un iemaksātās summas apjoma kritumā, kas izteikti bija vērojams 2017.gada 3.ceturksnī (skatīt </w:t>
      </w:r>
      <w:r w:rsidR="005750A8" w:rsidRPr="00254B4B">
        <w:rPr>
          <w:rFonts w:ascii="Times New Roman" w:hAnsi="Times New Roman"/>
          <w:sz w:val="26"/>
          <w:szCs w:val="26"/>
        </w:rPr>
        <w:t>5</w:t>
      </w:r>
      <w:r w:rsidRPr="00254B4B">
        <w:rPr>
          <w:rFonts w:ascii="Times New Roman" w:hAnsi="Times New Roman"/>
          <w:sz w:val="26"/>
          <w:szCs w:val="26"/>
        </w:rPr>
        <w:t xml:space="preserve">.attēlu). Taču turpmākajos gados situācija ir mainījusies un 2018.-2020.gadā iemaksu apjoms ir </w:t>
      </w:r>
      <w:r w:rsidRPr="009E7611">
        <w:rPr>
          <w:rFonts w:ascii="Times New Roman" w:hAnsi="Times New Roman"/>
          <w:sz w:val="26"/>
          <w:szCs w:val="26"/>
        </w:rPr>
        <w:t>stabilizējies, kopskaitā 9</w:t>
      </w:r>
      <w:r w:rsidR="00A841EC" w:rsidRPr="009E7611">
        <w:rPr>
          <w:rFonts w:ascii="Times New Roman" w:hAnsi="Times New Roman"/>
          <w:sz w:val="26"/>
          <w:szCs w:val="26"/>
        </w:rPr>
        <w:t>3</w:t>
      </w:r>
      <w:r w:rsidRPr="009E7611">
        <w:rPr>
          <w:rFonts w:ascii="Times New Roman" w:hAnsi="Times New Roman"/>
          <w:sz w:val="26"/>
          <w:szCs w:val="26"/>
        </w:rPr>
        <w:t>6 pirmreizēj</w:t>
      </w:r>
      <w:r w:rsidR="00993758" w:rsidRPr="009E7611">
        <w:rPr>
          <w:rFonts w:ascii="Times New Roman" w:hAnsi="Times New Roman"/>
          <w:sz w:val="26"/>
          <w:szCs w:val="26"/>
        </w:rPr>
        <w:t>ām</w:t>
      </w:r>
      <w:r w:rsidRPr="009E7611">
        <w:rPr>
          <w:rFonts w:ascii="Times New Roman" w:hAnsi="Times New Roman"/>
          <w:sz w:val="26"/>
          <w:szCs w:val="26"/>
        </w:rPr>
        <w:t xml:space="preserve"> iemaks</w:t>
      </w:r>
      <w:r w:rsidR="00993758" w:rsidRPr="009E7611">
        <w:rPr>
          <w:rFonts w:ascii="Times New Roman" w:hAnsi="Times New Roman"/>
          <w:sz w:val="26"/>
          <w:szCs w:val="26"/>
        </w:rPr>
        <w:t>ām</w:t>
      </w:r>
      <w:r w:rsidRPr="009E7611">
        <w:rPr>
          <w:rFonts w:ascii="Times New Roman" w:hAnsi="Times New Roman"/>
          <w:sz w:val="26"/>
          <w:szCs w:val="26"/>
        </w:rPr>
        <w:t xml:space="preserve"> no programmas uzsākšanas brīža 2014.</w:t>
      </w:r>
      <w:r w:rsidR="00290CBC" w:rsidRPr="009E7611">
        <w:rPr>
          <w:rFonts w:ascii="Times New Roman" w:hAnsi="Times New Roman"/>
          <w:sz w:val="26"/>
          <w:szCs w:val="26"/>
        </w:rPr>
        <w:t> </w:t>
      </w:r>
      <w:r w:rsidRPr="009E7611">
        <w:rPr>
          <w:rFonts w:ascii="Times New Roman" w:hAnsi="Times New Roman"/>
          <w:sz w:val="26"/>
          <w:szCs w:val="26"/>
        </w:rPr>
        <w:t>gada 1.</w:t>
      </w:r>
      <w:r w:rsidR="00290CBC" w:rsidRPr="009E7611">
        <w:rPr>
          <w:rFonts w:ascii="Times New Roman" w:hAnsi="Times New Roman"/>
          <w:sz w:val="26"/>
          <w:szCs w:val="26"/>
        </w:rPr>
        <w:t> </w:t>
      </w:r>
      <w:r w:rsidRPr="009E7611">
        <w:rPr>
          <w:rFonts w:ascii="Times New Roman" w:hAnsi="Times New Roman"/>
          <w:sz w:val="26"/>
          <w:szCs w:val="26"/>
        </w:rPr>
        <w:t>septembrī līdz 2020.</w:t>
      </w:r>
      <w:r w:rsidR="00290CBC" w:rsidRPr="009E7611">
        <w:rPr>
          <w:rFonts w:ascii="Times New Roman" w:hAnsi="Times New Roman"/>
          <w:sz w:val="26"/>
          <w:szCs w:val="26"/>
        </w:rPr>
        <w:t> </w:t>
      </w:r>
      <w:r w:rsidRPr="009E7611">
        <w:rPr>
          <w:rFonts w:ascii="Times New Roman" w:hAnsi="Times New Roman"/>
          <w:sz w:val="26"/>
          <w:szCs w:val="26"/>
        </w:rPr>
        <w:t xml:space="preserve">gada </w:t>
      </w:r>
      <w:r w:rsidR="00A841EC" w:rsidRPr="009E7611">
        <w:rPr>
          <w:rFonts w:ascii="Times New Roman" w:hAnsi="Times New Roman"/>
          <w:sz w:val="26"/>
          <w:szCs w:val="26"/>
        </w:rPr>
        <w:t>3</w:t>
      </w:r>
      <w:r w:rsidRPr="009E7611">
        <w:rPr>
          <w:rFonts w:ascii="Times New Roman" w:hAnsi="Times New Roman"/>
          <w:sz w:val="26"/>
          <w:szCs w:val="26"/>
        </w:rPr>
        <w:t>1.</w:t>
      </w:r>
      <w:r w:rsidR="00290CBC" w:rsidRPr="009E7611">
        <w:rPr>
          <w:rFonts w:ascii="Times New Roman" w:hAnsi="Times New Roman"/>
          <w:sz w:val="26"/>
          <w:szCs w:val="26"/>
        </w:rPr>
        <w:t> </w:t>
      </w:r>
      <w:r w:rsidR="00A841EC" w:rsidRPr="009E7611">
        <w:rPr>
          <w:rFonts w:ascii="Times New Roman" w:hAnsi="Times New Roman"/>
          <w:sz w:val="26"/>
          <w:szCs w:val="26"/>
        </w:rPr>
        <w:t>decem</w:t>
      </w:r>
      <w:r w:rsidRPr="009E7611">
        <w:rPr>
          <w:rFonts w:ascii="Times New Roman" w:hAnsi="Times New Roman"/>
          <w:sz w:val="26"/>
          <w:szCs w:val="26"/>
        </w:rPr>
        <w:t>brim</w:t>
      </w:r>
      <w:r w:rsidR="00993758" w:rsidRPr="009E7611">
        <w:rPr>
          <w:rFonts w:ascii="Times New Roman" w:hAnsi="Times New Roman"/>
          <w:sz w:val="26"/>
          <w:szCs w:val="26"/>
        </w:rPr>
        <w:t>,</w:t>
      </w:r>
      <w:r w:rsidRPr="009E7611">
        <w:rPr>
          <w:rFonts w:ascii="Times New Roman" w:hAnsi="Times New Roman"/>
          <w:sz w:val="26"/>
          <w:szCs w:val="26"/>
        </w:rPr>
        <w:t xml:space="preserve"> sasniedzot </w:t>
      </w:r>
      <w:r w:rsidR="00993758" w:rsidRPr="009E7611">
        <w:rPr>
          <w:rFonts w:ascii="Times New Roman" w:hAnsi="Times New Roman"/>
          <w:sz w:val="26"/>
          <w:szCs w:val="26"/>
        </w:rPr>
        <w:t xml:space="preserve">kopējo apjomu </w:t>
      </w:r>
      <w:r w:rsidRPr="009E7611">
        <w:rPr>
          <w:rFonts w:ascii="Times New Roman" w:hAnsi="Times New Roman"/>
          <w:sz w:val="26"/>
          <w:szCs w:val="26"/>
        </w:rPr>
        <w:t>14,</w:t>
      </w:r>
      <w:r w:rsidR="00A841EC" w:rsidRPr="009E7611">
        <w:rPr>
          <w:rFonts w:ascii="Times New Roman" w:hAnsi="Times New Roman"/>
          <w:sz w:val="26"/>
          <w:szCs w:val="26"/>
        </w:rPr>
        <w:t>6</w:t>
      </w:r>
      <w:r w:rsidRPr="009E7611">
        <w:rPr>
          <w:rFonts w:ascii="Times New Roman" w:hAnsi="Times New Roman"/>
          <w:sz w:val="26"/>
          <w:szCs w:val="26"/>
        </w:rPr>
        <w:t xml:space="preserve"> milj. </w:t>
      </w:r>
      <w:r w:rsidRPr="009E7611">
        <w:rPr>
          <w:rFonts w:ascii="Times New Roman" w:hAnsi="Times New Roman"/>
          <w:i/>
          <w:iCs/>
          <w:sz w:val="26"/>
          <w:szCs w:val="26"/>
        </w:rPr>
        <w:t>euro</w:t>
      </w:r>
      <w:r w:rsidR="00993758" w:rsidRPr="009E7611">
        <w:rPr>
          <w:rFonts w:ascii="Times New Roman" w:hAnsi="Times New Roman"/>
          <w:i/>
          <w:iCs/>
          <w:sz w:val="26"/>
          <w:szCs w:val="26"/>
        </w:rPr>
        <w:t xml:space="preserve"> </w:t>
      </w:r>
      <w:r w:rsidR="00993758" w:rsidRPr="009E7611">
        <w:rPr>
          <w:rFonts w:ascii="Times New Roman" w:hAnsi="Times New Roman"/>
          <w:sz w:val="26"/>
          <w:szCs w:val="26"/>
        </w:rPr>
        <w:t>apmērā</w:t>
      </w:r>
      <w:r w:rsidRPr="009E7611">
        <w:rPr>
          <w:rFonts w:ascii="Times New Roman" w:hAnsi="Times New Roman"/>
          <w:sz w:val="26"/>
          <w:szCs w:val="26"/>
        </w:rPr>
        <w:t>.</w:t>
      </w:r>
    </w:p>
    <w:p w14:paraId="1946FC01" w14:textId="77777777" w:rsidR="00D60BD9" w:rsidRPr="00D60BD9" w:rsidRDefault="00D60BD9" w:rsidP="00D60BD9">
      <w:pPr>
        <w:ind w:firstLine="567"/>
        <w:jc w:val="both"/>
        <w:rPr>
          <w:rFonts w:ascii="Times New Roman" w:hAnsi="Times New Roman"/>
          <w:sz w:val="26"/>
          <w:szCs w:val="26"/>
          <w:highlight w:val="cyan"/>
        </w:rPr>
      </w:pPr>
    </w:p>
    <w:p w14:paraId="003DE0F9" w14:textId="2F51B610" w:rsidR="00376BDE" w:rsidRPr="00A841EC" w:rsidRDefault="004E35C7" w:rsidP="00376BDE">
      <w:pPr>
        <w:spacing w:after="120"/>
        <w:jc w:val="right"/>
        <w:rPr>
          <w:rFonts w:ascii="Times New Roman" w:hAnsi="Times New Roman"/>
          <w:color w:val="000000"/>
          <w:sz w:val="24"/>
          <w:szCs w:val="24"/>
          <w:lang w:eastAsia="lv-LV"/>
        </w:rPr>
      </w:pPr>
      <w:r w:rsidRPr="00A841EC">
        <w:rPr>
          <w:rFonts w:ascii="Times New Roman" w:hAnsi="Times New Roman"/>
          <w:color w:val="000000"/>
          <w:sz w:val="24"/>
          <w:szCs w:val="24"/>
          <w:lang w:eastAsia="lv-LV"/>
        </w:rPr>
        <w:t>5</w:t>
      </w:r>
      <w:r w:rsidR="00376BDE" w:rsidRPr="00A841EC">
        <w:rPr>
          <w:rFonts w:ascii="Times New Roman" w:hAnsi="Times New Roman"/>
          <w:color w:val="000000"/>
          <w:sz w:val="24"/>
          <w:szCs w:val="24"/>
          <w:lang w:eastAsia="lv-LV"/>
        </w:rPr>
        <w:t>. attēls</w:t>
      </w:r>
    </w:p>
    <w:p w14:paraId="4A6EE860" w14:textId="44F82F5D" w:rsidR="00074494" w:rsidRPr="004E35C7" w:rsidRDefault="00074494" w:rsidP="00074494">
      <w:pPr>
        <w:spacing w:after="120"/>
        <w:jc w:val="center"/>
        <w:rPr>
          <w:rFonts w:ascii="Times New Roman" w:hAnsi="Times New Roman"/>
          <w:b/>
          <w:sz w:val="24"/>
          <w:szCs w:val="24"/>
        </w:rPr>
      </w:pPr>
      <w:r w:rsidRPr="00A841EC">
        <w:rPr>
          <w:rFonts w:ascii="Times New Roman" w:hAnsi="Times New Roman"/>
          <w:b/>
          <w:sz w:val="24"/>
          <w:szCs w:val="24"/>
        </w:rPr>
        <w:t>Ārzemnieku veiktās iemaksas 2016.-2020.gadā (pa ceturkšņiem) valsts pamatbudžeta programmā 33.00.00 “Ekonomikas attīstības programma”</w:t>
      </w:r>
    </w:p>
    <w:p w14:paraId="462A712D" w14:textId="512A803D" w:rsidR="00A841EC" w:rsidRDefault="00A841EC" w:rsidP="00074494">
      <w:pPr>
        <w:spacing w:after="120"/>
        <w:rPr>
          <w:rFonts w:ascii="Times New Roman" w:hAnsi="Times New Roman"/>
          <w:sz w:val="20"/>
          <w:szCs w:val="20"/>
          <w:highlight w:val="yellow"/>
        </w:rPr>
      </w:pPr>
    </w:p>
    <w:p w14:paraId="6500E1FD" w14:textId="13A84708" w:rsidR="00290CBC" w:rsidRDefault="00290CBC" w:rsidP="00074494">
      <w:pPr>
        <w:spacing w:after="120"/>
        <w:rPr>
          <w:rFonts w:ascii="Times New Roman" w:hAnsi="Times New Roman"/>
          <w:sz w:val="20"/>
          <w:szCs w:val="20"/>
        </w:rPr>
      </w:pPr>
      <w:r>
        <w:rPr>
          <w:noProof/>
          <w:lang w:val="en-GB" w:eastAsia="en-GB"/>
        </w:rPr>
        <w:drawing>
          <wp:inline distT="0" distB="0" distL="0" distR="0" wp14:anchorId="39B9A92E" wp14:editId="5DB2A087">
            <wp:extent cx="5878830" cy="3850005"/>
            <wp:effectExtent l="0" t="0" r="7620" b="17145"/>
            <wp:docPr id="3" name="Chart 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FD8E34-3DDA-44E1-B9D7-DC8D0A109E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817E03F" w14:textId="6DEA8CF6" w:rsidR="00074494" w:rsidRPr="00D45A34" w:rsidRDefault="00D45A34" w:rsidP="00074494">
      <w:pPr>
        <w:spacing w:after="120"/>
        <w:rPr>
          <w:rFonts w:ascii="Times New Roman" w:hAnsi="Times New Roman"/>
          <w:sz w:val="20"/>
          <w:szCs w:val="20"/>
        </w:rPr>
      </w:pPr>
      <w:r>
        <w:rPr>
          <w:rFonts w:ascii="Times New Roman" w:hAnsi="Times New Roman"/>
          <w:sz w:val="20"/>
          <w:szCs w:val="20"/>
        </w:rPr>
        <w:t>I</w:t>
      </w:r>
      <w:r w:rsidR="00074494" w:rsidRPr="00D45A34">
        <w:rPr>
          <w:rFonts w:ascii="Times New Roman" w:hAnsi="Times New Roman"/>
          <w:sz w:val="20"/>
          <w:szCs w:val="20"/>
        </w:rPr>
        <w:t xml:space="preserve">nformācija par atspoguļota pēc situācijas uz 2020.gada </w:t>
      </w:r>
      <w:r>
        <w:rPr>
          <w:rFonts w:ascii="Times New Roman" w:hAnsi="Times New Roman"/>
          <w:sz w:val="20"/>
          <w:szCs w:val="20"/>
        </w:rPr>
        <w:t>3</w:t>
      </w:r>
      <w:r w:rsidR="00074494" w:rsidRPr="00D45A34">
        <w:rPr>
          <w:rFonts w:ascii="Times New Roman" w:hAnsi="Times New Roman"/>
          <w:sz w:val="20"/>
          <w:szCs w:val="20"/>
        </w:rPr>
        <w:t>1.</w:t>
      </w:r>
      <w:r>
        <w:rPr>
          <w:rFonts w:ascii="Times New Roman" w:hAnsi="Times New Roman"/>
          <w:sz w:val="20"/>
          <w:szCs w:val="20"/>
        </w:rPr>
        <w:t>dece</w:t>
      </w:r>
      <w:r w:rsidR="00074494" w:rsidRPr="00D45A34">
        <w:rPr>
          <w:rFonts w:ascii="Times New Roman" w:hAnsi="Times New Roman"/>
          <w:sz w:val="20"/>
          <w:szCs w:val="20"/>
        </w:rPr>
        <w:t>mbri, neņemot vērā ārzemnieku kļūdaini veikto iemaksu atmaksu</w:t>
      </w:r>
    </w:p>
    <w:p w14:paraId="7702C579" w14:textId="77777777" w:rsidR="00074494" w:rsidRPr="004E35C7" w:rsidRDefault="00074494" w:rsidP="00074494">
      <w:pPr>
        <w:rPr>
          <w:rFonts w:ascii="Times New Roman" w:hAnsi="Times New Roman"/>
          <w:i/>
          <w:iCs/>
        </w:rPr>
      </w:pPr>
      <w:r w:rsidRPr="00D45A34">
        <w:rPr>
          <w:rFonts w:ascii="Times New Roman" w:hAnsi="Times New Roman"/>
          <w:i/>
          <w:iCs/>
        </w:rPr>
        <w:t>Avots: Ekonomikas ministrija</w:t>
      </w:r>
    </w:p>
    <w:p w14:paraId="405EA513" w14:textId="77777777" w:rsidR="00074494" w:rsidRPr="00A805E3" w:rsidRDefault="00074494" w:rsidP="00074494">
      <w:pPr>
        <w:spacing w:after="120"/>
        <w:jc w:val="both"/>
        <w:rPr>
          <w:rFonts w:ascii="Times New Roman" w:hAnsi="Times New Roman"/>
          <w:sz w:val="16"/>
          <w:szCs w:val="16"/>
          <w:highlight w:val="yellow"/>
        </w:rPr>
      </w:pPr>
    </w:p>
    <w:p w14:paraId="05BA8446" w14:textId="32F5C7E1" w:rsidR="004E35C7" w:rsidRDefault="009E73E0" w:rsidP="004E35C7">
      <w:pPr>
        <w:spacing w:after="60"/>
        <w:ind w:firstLine="567"/>
        <w:jc w:val="both"/>
        <w:rPr>
          <w:rFonts w:ascii="Times New Roman" w:hAnsi="Times New Roman"/>
          <w:sz w:val="26"/>
          <w:szCs w:val="26"/>
        </w:rPr>
      </w:pPr>
      <w:r w:rsidRPr="001B04D3">
        <w:rPr>
          <w:rFonts w:ascii="Times New Roman" w:hAnsi="Times New Roman"/>
          <w:sz w:val="26"/>
          <w:szCs w:val="26"/>
        </w:rPr>
        <w:t xml:space="preserve">2020. gadā </w:t>
      </w:r>
      <w:r w:rsidR="004E35C7" w:rsidRPr="001B04D3">
        <w:rPr>
          <w:rFonts w:ascii="Times New Roman" w:hAnsi="Times New Roman"/>
          <w:sz w:val="26"/>
          <w:szCs w:val="26"/>
        </w:rPr>
        <w:t xml:space="preserve">pirmreizējo TUA saņemšanai kopā ir veiktas </w:t>
      </w:r>
      <w:r w:rsidR="00A91B44">
        <w:rPr>
          <w:rFonts w:ascii="Times New Roman" w:hAnsi="Times New Roman"/>
          <w:b/>
          <w:bCs/>
          <w:sz w:val="26"/>
          <w:szCs w:val="26"/>
        </w:rPr>
        <w:t>80</w:t>
      </w:r>
      <w:r w:rsidR="004E35C7" w:rsidRPr="001B04D3">
        <w:rPr>
          <w:rFonts w:ascii="Times New Roman" w:hAnsi="Times New Roman"/>
          <w:b/>
          <w:bCs/>
          <w:sz w:val="26"/>
          <w:szCs w:val="26"/>
        </w:rPr>
        <w:t xml:space="preserve"> iemaksas 1 </w:t>
      </w:r>
      <w:r w:rsidR="001B04D3" w:rsidRPr="001B04D3">
        <w:rPr>
          <w:rFonts w:ascii="Times New Roman" w:hAnsi="Times New Roman"/>
          <w:b/>
          <w:bCs/>
          <w:sz w:val="26"/>
          <w:szCs w:val="26"/>
        </w:rPr>
        <w:t>363</w:t>
      </w:r>
      <w:r w:rsidR="004E35C7" w:rsidRPr="001B04D3">
        <w:rPr>
          <w:rFonts w:ascii="Times New Roman" w:hAnsi="Times New Roman"/>
          <w:b/>
          <w:bCs/>
          <w:sz w:val="26"/>
          <w:szCs w:val="26"/>
        </w:rPr>
        <w:t> 9</w:t>
      </w:r>
      <w:r w:rsidR="001B04D3" w:rsidRPr="001B04D3">
        <w:rPr>
          <w:rFonts w:ascii="Times New Roman" w:hAnsi="Times New Roman"/>
          <w:b/>
          <w:bCs/>
          <w:sz w:val="26"/>
          <w:szCs w:val="26"/>
        </w:rPr>
        <w:t>1</w:t>
      </w:r>
      <w:r w:rsidR="004E35C7" w:rsidRPr="001B04D3">
        <w:rPr>
          <w:rFonts w:ascii="Times New Roman" w:hAnsi="Times New Roman"/>
          <w:b/>
          <w:bCs/>
          <w:sz w:val="26"/>
          <w:szCs w:val="26"/>
        </w:rPr>
        <w:t>4,</w:t>
      </w:r>
      <w:r w:rsidR="001B04D3" w:rsidRPr="001B04D3">
        <w:rPr>
          <w:rFonts w:ascii="Times New Roman" w:hAnsi="Times New Roman"/>
          <w:b/>
          <w:bCs/>
          <w:sz w:val="26"/>
          <w:szCs w:val="26"/>
        </w:rPr>
        <w:t>1</w:t>
      </w:r>
      <w:r w:rsidR="004E35C7" w:rsidRPr="001B04D3">
        <w:rPr>
          <w:rFonts w:ascii="Times New Roman" w:hAnsi="Times New Roman"/>
          <w:b/>
          <w:bCs/>
          <w:sz w:val="26"/>
          <w:szCs w:val="26"/>
        </w:rPr>
        <w:t>5 </w:t>
      </w:r>
      <w:r w:rsidR="004E35C7" w:rsidRPr="001B04D3">
        <w:rPr>
          <w:rFonts w:ascii="Times New Roman" w:hAnsi="Times New Roman"/>
          <w:b/>
          <w:bCs/>
          <w:i/>
          <w:sz w:val="26"/>
          <w:szCs w:val="26"/>
        </w:rPr>
        <w:t xml:space="preserve">euro </w:t>
      </w:r>
      <w:r w:rsidR="004E35C7" w:rsidRPr="001B04D3">
        <w:rPr>
          <w:rFonts w:ascii="Times New Roman" w:hAnsi="Times New Roman"/>
          <w:sz w:val="26"/>
          <w:szCs w:val="26"/>
        </w:rPr>
        <w:t>apmērā (</w:t>
      </w:r>
      <w:r w:rsidR="001B04D3" w:rsidRPr="001B04D3">
        <w:rPr>
          <w:rFonts w:ascii="Times New Roman" w:hAnsi="Times New Roman"/>
          <w:sz w:val="26"/>
          <w:szCs w:val="26"/>
        </w:rPr>
        <w:t xml:space="preserve">2019. gadā - 168 iemaksas </w:t>
      </w:r>
      <w:r w:rsidR="00DD7460">
        <w:rPr>
          <w:rFonts w:ascii="Times New Roman" w:hAnsi="Times New Roman"/>
          <w:sz w:val="26"/>
          <w:szCs w:val="26"/>
        </w:rPr>
        <w:t>2</w:t>
      </w:r>
      <w:r w:rsidR="001B04D3" w:rsidRPr="001B04D3">
        <w:rPr>
          <w:rFonts w:ascii="Times New Roman" w:hAnsi="Times New Roman"/>
          <w:sz w:val="26"/>
          <w:szCs w:val="26"/>
        </w:rPr>
        <w:t> </w:t>
      </w:r>
      <w:r w:rsidR="00DD7460">
        <w:rPr>
          <w:rFonts w:ascii="Times New Roman" w:hAnsi="Times New Roman"/>
          <w:sz w:val="26"/>
          <w:szCs w:val="26"/>
        </w:rPr>
        <w:t>2</w:t>
      </w:r>
      <w:r w:rsidR="001B04D3" w:rsidRPr="001B04D3">
        <w:rPr>
          <w:rFonts w:ascii="Times New Roman" w:hAnsi="Times New Roman"/>
          <w:sz w:val="26"/>
          <w:szCs w:val="26"/>
        </w:rPr>
        <w:t>36 1</w:t>
      </w:r>
      <w:r w:rsidR="00DD7460">
        <w:rPr>
          <w:rFonts w:ascii="Times New Roman" w:hAnsi="Times New Roman"/>
          <w:sz w:val="26"/>
          <w:szCs w:val="26"/>
        </w:rPr>
        <w:t>07</w:t>
      </w:r>
      <w:r w:rsidR="001B04D3" w:rsidRPr="001B04D3">
        <w:rPr>
          <w:rFonts w:ascii="Times New Roman" w:hAnsi="Times New Roman"/>
          <w:sz w:val="26"/>
          <w:szCs w:val="26"/>
        </w:rPr>
        <w:t>,</w:t>
      </w:r>
      <w:r w:rsidR="00DD7460">
        <w:rPr>
          <w:rFonts w:ascii="Times New Roman" w:hAnsi="Times New Roman"/>
          <w:sz w:val="26"/>
          <w:szCs w:val="26"/>
        </w:rPr>
        <w:t>8</w:t>
      </w:r>
      <w:r w:rsidR="001B04D3" w:rsidRPr="001B04D3">
        <w:rPr>
          <w:rFonts w:ascii="Times New Roman" w:hAnsi="Times New Roman"/>
          <w:sz w:val="26"/>
          <w:szCs w:val="26"/>
        </w:rPr>
        <w:t>5 </w:t>
      </w:r>
      <w:r w:rsidR="001B04D3" w:rsidRPr="001B04D3">
        <w:rPr>
          <w:rFonts w:ascii="Times New Roman" w:hAnsi="Times New Roman"/>
          <w:i/>
          <w:sz w:val="26"/>
          <w:szCs w:val="26"/>
        </w:rPr>
        <w:t>euro</w:t>
      </w:r>
      <w:r w:rsidR="001B04D3" w:rsidRPr="001B04D3">
        <w:rPr>
          <w:rFonts w:ascii="Times New Roman" w:hAnsi="Times New Roman"/>
          <w:sz w:val="26"/>
          <w:szCs w:val="26"/>
        </w:rPr>
        <w:t>;</w:t>
      </w:r>
      <w:r w:rsidR="001B04D3">
        <w:rPr>
          <w:rFonts w:ascii="Times New Roman" w:hAnsi="Times New Roman"/>
          <w:sz w:val="26"/>
          <w:szCs w:val="26"/>
        </w:rPr>
        <w:t xml:space="preserve"> </w:t>
      </w:r>
      <w:r w:rsidRPr="009E73E0">
        <w:rPr>
          <w:rFonts w:ascii="Times New Roman" w:hAnsi="Times New Roman"/>
          <w:sz w:val="26"/>
          <w:szCs w:val="26"/>
        </w:rPr>
        <w:t>salīdzināmajā pārskata periodā - laika posmā 01.07.2019./30.06.2020. ir veiktas 109 iemaksas 1</w:t>
      </w:r>
      <w:r w:rsidR="001B04D3">
        <w:rPr>
          <w:rFonts w:ascii="Times New Roman" w:hAnsi="Times New Roman"/>
          <w:sz w:val="26"/>
          <w:szCs w:val="26"/>
        </w:rPr>
        <w:t>,</w:t>
      </w:r>
      <w:r w:rsidRPr="009E73E0">
        <w:rPr>
          <w:rFonts w:ascii="Times New Roman" w:hAnsi="Times New Roman"/>
          <w:sz w:val="26"/>
          <w:szCs w:val="26"/>
        </w:rPr>
        <w:t>56 </w:t>
      </w:r>
      <w:r w:rsidR="001B04D3">
        <w:rPr>
          <w:rFonts w:ascii="Times New Roman" w:hAnsi="Times New Roman"/>
          <w:sz w:val="26"/>
          <w:szCs w:val="26"/>
        </w:rPr>
        <w:t>milj. </w:t>
      </w:r>
      <w:r w:rsidRPr="009E73E0">
        <w:rPr>
          <w:rFonts w:ascii="Times New Roman" w:hAnsi="Times New Roman"/>
          <w:i/>
          <w:sz w:val="26"/>
          <w:szCs w:val="26"/>
        </w:rPr>
        <w:t xml:space="preserve">euro </w:t>
      </w:r>
      <w:r w:rsidRPr="009E73E0">
        <w:rPr>
          <w:rFonts w:ascii="Times New Roman" w:hAnsi="Times New Roman"/>
          <w:sz w:val="26"/>
          <w:szCs w:val="26"/>
        </w:rPr>
        <w:t xml:space="preserve">apmērā; </w:t>
      </w:r>
      <w:r w:rsidR="004E35C7" w:rsidRPr="009E73E0">
        <w:rPr>
          <w:rFonts w:ascii="Times New Roman" w:hAnsi="Times New Roman"/>
          <w:sz w:val="26"/>
          <w:szCs w:val="26"/>
        </w:rPr>
        <w:t xml:space="preserve">iepriekšējos periodos – 01.07.2018./30.06.2019. veiktas 186 iemaksas 2,41 milj. </w:t>
      </w:r>
      <w:r w:rsidR="004E35C7" w:rsidRPr="009E73E0">
        <w:rPr>
          <w:rFonts w:ascii="Times New Roman" w:hAnsi="Times New Roman"/>
          <w:i/>
          <w:iCs/>
          <w:sz w:val="26"/>
          <w:szCs w:val="26"/>
        </w:rPr>
        <w:t xml:space="preserve">euro </w:t>
      </w:r>
      <w:r w:rsidR="004E35C7" w:rsidRPr="009E73E0">
        <w:rPr>
          <w:rFonts w:ascii="Times New Roman" w:hAnsi="Times New Roman"/>
          <w:sz w:val="26"/>
          <w:szCs w:val="26"/>
        </w:rPr>
        <w:t xml:space="preserve">apmērā; 01.07.2017./30.06.2018. veiktas 148 iemaksas 2,15 milj. </w:t>
      </w:r>
      <w:r w:rsidR="004E35C7" w:rsidRPr="009E73E0">
        <w:rPr>
          <w:rFonts w:ascii="Times New Roman" w:hAnsi="Times New Roman"/>
          <w:i/>
          <w:sz w:val="26"/>
          <w:szCs w:val="26"/>
        </w:rPr>
        <w:t xml:space="preserve">euro </w:t>
      </w:r>
      <w:r w:rsidR="004E35C7" w:rsidRPr="009E73E0">
        <w:rPr>
          <w:rFonts w:ascii="Times New Roman" w:hAnsi="Times New Roman"/>
          <w:sz w:val="26"/>
          <w:szCs w:val="26"/>
        </w:rPr>
        <w:t xml:space="preserve">apmērā), neņemot vērā uz ziņojuma sagatavošanas brīdi iespējami veicamās atmaksas, kad ārzemnieks ir veicis kļūdainu iemaksu, jo </w:t>
      </w:r>
      <w:r w:rsidR="00DD7460">
        <w:rPr>
          <w:rFonts w:ascii="Times New Roman" w:hAnsi="Times New Roman"/>
          <w:sz w:val="26"/>
          <w:szCs w:val="26"/>
        </w:rPr>
        <w:t>2019./2020.</w:t>
      </w:r>
      <w:r w:rsidR="00C97ACE">
        <w:rPr>
          <w:rFonts w:ascii="Times New Roman" w:hAnsi="Times New Roman"/>
          <w:sz w:val="26"/>
          <w:szCs w:val="26"/>
        </w:rPr>
        <w:t> </w:t>
      </w:r>
      <w:r w:rsidR="00DD7460">
        <w:rPr>
          <w:rFonts w:ascii="Times New Roman" w:hAnsi="Times New Roman"/>
          <w:sz w:val="26"/>
          <w:szCs w:val="26"/>
        </w:rPr>
        <w:t xml:space="preserve">gada </w:t>
      </w:r>
      <w:r w:rsidR="004E35C7" w:rsidRPr="009E73E0">
        <w:rPr>
          <w:rFonts w:ascii="Times New Roman" w:hAnsi="Times New Roman"/>
          <w:sz w:val="26"/>
          <w:szCs w:val="26"/>
        </w:rPr>
        <w:t xml:space="preserve">laika posmā ir atmaksāti </w:t>
      </w:r>
      <w:r w:rsidR="004E35C7" w:rsidRPr="00C97ACE">
        <w:rPr>
          <w:rFonts w:ascii="Times New Roman" w:hAnsi="Times New Roman"/>
          <w:sz w:val="26"/>
          <w:szCs w:val="26"/>
        </w:rPr>
        <w:t xml:space="preserve">ārzemnieku </w:t>
      </w:r>
      <w:r w:rsidR="00C97ACE" w:rsidRPr="00C97ACE">
        <w:rPr>
          <w:rFonts w:ascii="Times New Roman" w:hAnsi="Times New Roman"/>
          <w:sz w:val="26"/>
          <w:szCs w:val="26"/>
        </w:rPr>
        <w:t>pieci</w:t>
      </w:r>
      <w:r w:rsidR="004E35C7" w:rsidRPr="00C97ACE">
        <w:rPr>
          <w:rFonts w:ascii="Times New Roman" w:hAnsi="Times New Roman"/>
          <w:sz w:val="26"/>
          <w:szCs w:val="26"/>
        </w:rPr>
        <w:t xml:space="preserve"> pirmreizējo TUA saņemšanai kļūdaini veiktie maksājumi 3</w:t>
      </w:r>
      <w:r w:rsidR="00C97ACE" w:rsidRPr="00C97ACE">
        <w:rPr>
          <w:rFonts w:ascii="Times New Roman" w:hAnsi="Times New Roman"/>
          <w:sz w:val="26"/>
          <w:szCs w:val="26"/>
        </w:rPr>
        <w:t>8</w:t>
      </w:r>
      <w:r w:rsidR="004E35C7" w:rsidRPr="00C97ACE">
        <w:rPr>
          <w:rFonts w:ascii="Times New Roman" w:hAnsi="Times New Roman"/>
          <w:sz w:val="26"/>
          <w:szCs w:val="26"/>
        </w:rPr>
        <w:t> </w:t>
      </w:r>
      <w:r w:rsidR="00C97ACE" w:rsidRPr="00C97ACE">
        <w:rPr>
          <w:rFonts w:ascii="Times New Roman" w:hAnsi="Times New Roman"/>
          <w:sz w:val="26"/>
          <w:szCs w:val="26"/>
        </w:rPr>
        <w:t>0</w:t>
      </w:r>
      <w:r w:rsidR="004E35C7" w:rsidRPr="00C97ACE">
        <w:rPr>
          <w:rFonts w:ascii="Times New Roman" w:hAnsi="Times New Roman"/>
          <w:sz w:val="26"/>
          <w:szCs w:val="26"/>
        </w:rPr>
        <w:t>00 </w:t>
      </w:r>
      <w:r w:rsidR="004E35C7" w:rsidRPr="00C97ACE">
        <w:rPr>
          <w:rFonts w:ascii="Times New Roman" w:hAnsi="Times New Roman"/>
          <w:i/>
          <w:sz w:val="26"/>
          <w:szCs w:val="26"/>
        </w:rPr>
        <w:t>euro</w:t>
      </w:r>
      <w:r w:rsidR="004E35C7" w:rsidRPr="00C97ACE">
        <w:rPr>
          <w:rFonts w:ascii="Times New Roman" w:hAnsi="Times New Roman"/>
          <w:sz w:val="26"/>
          <w:szCs w:val="26"/>
        </w:rPr>
        <w:t xml:space="preserve"> apmērā.</w:t>
      </w:r>
    </w:p>
    <w:p w14:paraId="75A3BA4A" w14:textId="4FBA8E0C" w:rsidR="004E35C7" w:rsidRPr="004E35C7" w:rsidRDefault="004E35C7" w:rsidP="004E35C7">
      <w:pPr>
        <w:spacing w:after="60"/>
        <w:ind w:firstLine="567"/>
        <w:jc w:val="both"/>
        <w:rPr>
          <w:rFonts w:ascii="Times New Roman" w:hAnsi="Times New Roman"/>
          <w:sz w:val="26"/>
          <w:szCs w:val="26"/>
        </w:rPr>
      </w:pPr>
      <w:r w:rsidRPr="00993758">
        <w:rPr>
          <w:rFonts w:ascii="Times New Roman" w:hAnsi="Times New Roman"/>
          <w:sz w:val="26"/>
          <w:szCs w:val="26"/>
        </w:rPr>
        <w:t>2020.gada otrajā ceturksnī Covid-19 izraisītā ārkārtējā situācija un noteiktie ierobežojumi krasi samazināja pirmreizējo TUA saņemšanai ārvalstnieku veiktās iemaksas (skatīt 5.attēlu). Faktiski iemaksas tika veiktas tikai par iepriekšējos ceturkšņos (lielākoties 2019.gadā) iesniegtajiem pirmreizējo TUA saņemšanas pieteikumiem. Sākoties 2020.gada trešaj</w:t>
      </w:r>
      <w:r w:rsidR="00993758" w:rsidRPr="00993758">
        <w:rPr>
          <w:rFonts w:ascii="Times New Roman" w:hAnsi="Times New Roman"/>
          <w:sz w:val="26"/>
          <w:szCs w:val="26"/>
        </w:rPr>
        <w:t>ā un ceturtajā</w:t>
      </w:r>
      <w:r w:rsidRPr="00993758">
        <w:rPr>
          <w:rFonts w:ascii="Times New Roman" w:hAnsi="Times New Roman"/>
          <w:sz w:val="26"/>
          <w:szCs w:val="26"/>
        </w:rPr>
        <w:t xml:space="preserve"> ceturksn</w:t>
      </w:r>
      <w:r w:rsidR="00993758" w:rsidRPr="00993758">
        <w:rPr>
          <w:rFonts w:ascii="Times New Roman" w:hAnsi="Times New Roman"/>
          <w:sz w:val="26"/>
          <w:szCs w:val="26"/>
        </w:rPr>
        <w:t>ī</w:t>
      </w:r>
      <w:r w:rsidRPr="00993758">
        <w:rPr>
          <w:rFonts w:ascii="Times New Roman" w:hAnsi="Times New Roman"/>
          <w:sz w:val="26"/>
          <w:szCs w:val="26"/>
        </w:rPr>
        <w:t xml:space="preserve"> vērojama situācijas uzlabošanās un iemaksu pieaugums, taču arī tas, lielākoties, ir saistīts ar iepriekš saņemtiem pirmreizējo TUA saņemšanas </w:t>
      </w:r>
      <w:r w:rsidRPr="00C97ACE">
        <w:rPr>
          <w:rFonts w:ascii="Times New Roman" w:hAnsi="Times New Roman"/>
          <w:sz w:val="26"/>
          <w:szCs w:val="26"/>
        </w:rPr>
        <w:t>pieteikumiem.</w:t>
      </w:r>
      <w:r w:rsidR="009E73E0" w:rsidRPr="00C97ACE">
        <w:rPr>
          <w:rFonts w:ascii="Times New Roman" w:hAnsi="Times New Roman"/>
          <w:sz w:val="26"/>
          <w:szCs w:val="26"/>
        </w:rPr>
        <w:t xml:space="preserve"> </w:t>
      </w:r>
      <w:r w:rsidR="00B41DF5" w:rsidRPr="00C97ACE">
        <w:rPr>
          <w:rFonts w:ascii="Times New Roman" w:hAnsi="Times New Roman"/>
          <w:sz w:val="26"/>
          <w:szCs w:val="26"/>
        </w:rPr>
        <w:t>Arī</w:t>
      </w:r>
      <w:r w:rsidR="009E73E0" w:rsidRPr="00C97ACE">
        <w:rPr>
          <w:rFonts w:ascii="Times New Roman" w:hAnsi="Times New Roman"/>
          <w:sz w:val="26"/>
          <w:szCs w:val="26"/>
        </w:rPr>
        <w:t xml:space="preserve"> 2020.gada ceturtajā ceturksnī </w:t>
      </w:r>
      <w:r w:rsidR="00B41DF5" w:rsidRPr="00C97ACE">
        <w:rPr>
          <w:rFonts w:ascii="Times New Roman" w:hAnsi="Times New Roman"/>
          <w:sz w:val="26"/>
          <w:szCs w:val="26"/>
        </w:rPr>
        <w:t>atkārtotās Covid-19 izplatības izraisītā ārkārtējā situācijas turpinājums un noteiktie ierobežojumi</w:t>
      </w:r>
      <w:r w:rsidR="00C97ACE" w:rsidRPr="00C97ACE">
        <w:rPr>
          <w:rFonts w:ascii="Times New Roman" w:hAnsi="Times New Roman"/>
          <w:sz w:val="26"/>
          <w:szCs w:val="26"/>
        </w:rPr>
        <w:t xml:space="preserve"> ir</w:t>
      </w:r>
      <w:r w:rsidR="00C97ACE">
        <w:rPr>
          <w:rFonts w:ascii="Times New Roman" w:hAnsi="Times New Roman"/>
          <w:sz w:val="26"/>
          <w:szCs w:val="26"/>
        </w:rPr>
        <w:t xml:space="preserve"> atstājuši savu ietekmi, jo maksājumi faktiski ir veikti par iepriekšējos periodos izdarītiem pieteikumiem.</w:t>
      </w:r>
    </w:p>
    <w:p w14:paraId="5FFB2845" w14:textId="4A13D373" w:rsidR="004E35C7" w:rsidRPr="004E35C7" w:rsidRDefault="004E35C7" w:rsidP="004E35C7">
      <w:pPr>
        <w:spacing w:after="60"/>
        <w:ind w:firstLine="567"/>
        <w:jc w:val="both"/>
        <w:rPr>
          <w:rFonts w:ascii="Times New Roman" w:hAnsi="Times New Roman"/>
        </w:rPr>
      </w:pPr>
      <w:r w:rsidRPr="00F74A3D">
        <w:rPr>
          <w:rFonts w:ascii="Times New Roman" w:hAnsi="Times New Roman"/>
          <w:sz w:val="26"/>
          <w:szCs w:val="26"/>
        </w:rPr>
        <w:t>Pamatojoties uz Imigrācijas likuma 23.panta 7.</w:t>
      </w:r>
      <w:r w:rsidRPr="00F74A3D">
        <w:rPr>
          <w:rFonts w:ascii="Times New Roman" w:hAnsi="Times New Roman"/>
          <w:sz w:val="26"/>
          <w:szCs w:val="26"/>
          <w:vertAlign w:val="superscript"/>
        </w:rPr>
        <w:t>3</w:t>
      </w:r>
      <w:r w:rsidRPr="00F74A3D">
        <w:rPr>
          <w:rFonts w:ascii="Times New Roman" w:hAnsi="Times New Roman"/>
          <w:sz w:val="26"/>
          <w:szCs w:val="26"/>
        </w:rPr>
        <w:t> daļu ārzemniekam, kuram saskaņā ar šā panta pirmās daļas 28., 29. vai 30.punktu ir izsniegta vai bija izsniegta TUA, ir tiesības atkārtoti pieprasīt TUA, ja joprojām pastāv tās izsniegšanai nepieciešamie nosacījumi un viņš, atkārtoti saņemot TUA, samaksā valsts budžetā 5 000 </w:t>
      </w:r>
      <w:r w:rsidRPr="00F74A3D">
        <w:rPr>
          <w:rFonts w:ascii="Times New Roman" w:hAnsi="Times New Roman"/>
          <w:i/>
          <w:sz w:val="26"/>
          <w:szCs w:val="26"/>
        </w:rPr>
        <w:t>euro</w:t>
      </w:r>
      <w:r w:rsidRPr="00F74A3D">
        <w:rPr>
          <w:rFonts w:ascii="Times New Roman" w:hAnsi="Times New Roman"/>
          <w:sz w:val="26"/>
          <w:szCs w:val="26"/>
        </w:rPr>
        <w:t xml:space="preserve">. Pieņemot 2017.gada 22.novembrī Saeimā grozījumus Imigrācijas likumā, kas stājās spēkā 2018.gada 1.janvārī, tā Pārejas noteikumos tika noteikts, ka </w:t>
      </w:r>
      <w:r w:rsidRPr="00F74A3D">
        <w:rPr>
          <w:rFonts w:ascii="Times New Roman" w:hAnsi="Times New Roman"/>
          <w:sz w:val="26"/>
          <w:szCs w:val="26"/>
          <w:lang w:eastAsia="lv-LV"/>
        </w:rPr>
        <w:t>pirmo reizi atkārtoti pieprasot TUA, Imigrācijas likuma 23.panta 7.</w:t>
      </w:r>
      <w:r w:rsidRPr="00F74A3D">
        <w:rPr>
          <w:rFonts w:ascii="Times New Roman" w:hAnsi="Times New Roman"/>
          <w:sz w:val="26"/>
          <w:szCs w:val="26"/>
          <w:vertAlign w:val="superscript"/>
          <w:lang w:eastAsia="lv-LV"/>
        </w:rPr>
        <w:t>3</w:t>
      </w:r>
      <w:r w:rsidRPr="00F74A3D">
        <w:rPr>
          <w:rFonts w:ascii="Times New Roman" w:hAnsi="Times New Roman"/>
          <w:sz w:val="26"/>
          <w:szCs w:val="26"/>
          <w:lang w:eastAsia="lv-LV"/>
        </w:rPr>
        <w:t> daļā noteikto maksājumu valsts budžetā 5 000 </w:t>
      </w:r>
      <w:r w:rsidRPr="00F74A3D">
        <w:rPr>
          <w:rFonts w:ascii="Times New Roman" w:hAnsi="Times New Roman"/>
          <w:i/>
          <w:iCs/>
          <w:sz w:val="26"/>
          <w:szCs w:val="26"/>
          <w:lang w:eastAsia="lv-LV"/>
        </w:rPr>
        <w:t>euro</w:t>
      </w:r>
      <w:r w:rsidRPr="00F74A3D">
        <w:rPr>
          <w:rFonts w:ascii="Times New Roman" w:hAnsi="Times New Roman"/>
          <w:sz w:val="26"/>
          <w:szCs w:val="26"/>
          <w:lang w:eastAsia="lv-LV"/>
        </w:rPr>
        <w:t xml:space="preserve"> apmērā veic vienā maksājumā atkārtotās TUA saņemšanas brīdī vai pa daļām, pirmo daļējo maksājumu 1 000 </w:t>
      </w:r>
      <w:r w:rsidRPr="00F74A3D">
        <w:rPr>
          <w:rFonts w:ascii="Times New Roman" w:hAnsi="Times New Roman"/>
          <w:i/>
          <w:iCs/>
          <w:sz w:val="26"/>
          <w:szCs w:val="26"/>
          <w:lang w:eastAsia="lv-LV"/>
        </w:rPr>
        <w:t>euro</w:t>
      </w:r>
      <w:r w:rsidRPr="00F74A3D">
        <w:rPr>
          <w:rFonts w:ascii="Times New Roman" w:hAnsi="Times New Roman"/>
          <w:sz w:val="26"/>
          <w:szCs w:val="26"/>
          <w:lang w:eastAsia="lv-LV"/>
        </w:rPr>
        <w:t xml:space="preserve"> apmērā veicot atkārtotās TUA saņemšanas brīdī un turpmākos maksājumus - katru 1 000 </w:t>
      </w:r>
      <w:r w:rsidRPr="00F74A3D">
        <w:rPr>
          <w:rFonts w:ascii="Times New Roman" w:hAnsi="Times New Roman"/>
          <w:i/>
          <w:iCs/>
          <w:sz w:val="26"/>
          <w:szCs w:val="26"/>
          <w:lang w:eastAsia="lv-LV"/>
        </w:rPr>
        <w:t>euro</w:t>
      </w:r>
      <w:r w:rsidRPr="00F74A3D">
        <w:rPr>
          <w:rFonts w:ascii="Times New Roman" w:hAnsi="Times New Roman"/>
          <w:sz w:val="26"/>
          <w:szCs w:val="26"/>
          <w:lang w:eastAsia="lv-LV"/>
        </w:rPr>
        <w:t xml:space="preserve"> apmērā - ik gadu, reģistrējot TUA.</w:t>
      </w:r>
      <w:r w:rsidRPr="00F74A3D">
        <w:rPr>
          <w:rFonts w:ascii="Times New Roman" w:hAnsi="Times New Roman"/>
          <w:sz w:val="26"/>
          <w:szCs w:val="26"/>
        </w:rPr>
        <w:t xml:space="preserve"> Pieņemot minētos grozījumus, tika paredzēts, ka šādam maksājumam par atkārtotām TUA vajadzētu kompensēt iepriekš novēroto “Ekonomikas attīstības programmā” ārzemnieku veicamo iemaksu skaita un iemaksātās summas kritumu.</w:t>
      </w:r>
    </w:p>
    <w:p w14:paraId="09EF95F5" w14:textId="60721333" w:rsidR="00074494" w:rsidRPr="00585A0B" w:rsidRDefault="00074494" w:rsidP="00074494">
      <w:pPr>
        <w:spacing w:after="60"/>
        <w:ind w:firstLine="567"/>
        <w:jc w:val="both"/>
        <w:rPr>
          <w:rFonts w:ascii="Times New Roman" w:eastAsia="Calibri" w:hAnsi="Times New Roman"/>
          <w:sz w:val="26"/>
          <w:szCs w:val="26"/>
          <w:lang w:eastAsia="lv-LV"/>
        </w:rPr>
      </w:pPr>
      <w:r w:rsidRPr="00F74A3D">
        <w:rPr>
          <w:rFonts w:ascii="Times New Roman" w:eastAsia="Calibri" w:hAnsi="Times New Roman"/>
          <w:sz w:val="26"/>
          <w:szCs w:val="26"/>
          <w:lang w:eastAsia="lv-LV"/>
        </w:rPr>
        <w:t>Sākotnēji veiktās Ekonomikas ministrijas prognozes par atkārtoto TUA saņemšanai veicamajām iemaksām</w:t>
      </w:r>
      <w:r w:rsidRPr="00F74A3D">
        <w:rPr>
          <w:rStyle w:val="FootnoteReference"/>
          <w:rFonts w:ascii="Times New Roman" w:eastAsia="Calibri" w:hAnsi="Times New Roman"/>
          <w:sz w:val="26"/>
          <w:szCs w:val="26"/>
          <w:lang w:eastAsia="lv-LV"/>
        </w:rPr>
        <w:footnoteReference w:id="7"/>
      </w:r>
      <w:r w:rsidRPr="00F74A3D">
        <w:rPr>
          <w:rFonts w:ascii="Times New Roman" w:eastAsia="Calibri" w:hAnsi="Times New Roman"/>
          <w:sz w:val="26"/>
          <w:szCs w:val="26"/>
          <w:lang w:eastAsia="lv-LV"/>
        </w:rPr>
        <w:t xml:space="preserve">, kas balstījās uz Pilsonības un migrācijas lietu pārvaldes sniegtajām indikācijām un datiem, paredzot, ka papildus iemaksas </w:t>
      </w:r>
      <w:r w:rsidRPr="00F74A3D">
        <w:rPr>
          <w:rFonts w:ascii="Times New Roman" w:hAnsi="Times New Roman"/>
          <w:sz w:val="26"/>
          <w:szCs w:val="26"/>
        </w:rPr>
        <w:t xml:space="preserve">“Ekonomikas attīstības programmā” </w:t>
      </w:r>
      <w:r w:rsidRPr="00F74A3D">
        <w:rPr>
          <w:rFonts w:ascii="Times New Roman" w:eastAsia="Calibri" w:hAnsi="Times New Roman"/>
          <w:sz w:val="26"/>
          <w:szCs w:val="26"/>
          <w:lang w:eastAsia="lv-LV"/>
        </w:rPr>
        <w:t>2018.gadā varētu svārstīties no 5,18 milj. </w:t>
      </w:r>
      <w:r w:rsidRPr="00F74A3D">
        <w:rPr>
          <w:rFonts w:ascii="Times New Roman" w:eastAsia="Calibri" w:hAnsi="Times New Roman"/>
          <w:i/>
          <w:sz w:val="26"/>
          <w:szCs w:val="26"/>
          <w:lang w:eastAsia="lv-LV"/>
        </w:rPr>
        <w:t>euro</w:t>
      </w:r>
      <w:r w:rsidRPr="00F74A3D">
        <w:rPr>
          <w:rFonts w:ascii="Times New Roman" w:eastAsia="Calibri" w:hAnsi="Times New Roman"/>
          <w:sz w:val="26"/>
          <w:szCs w:val="26"/>
          <w:lang w:eastAsia="lv-LV"/>
        </w:rPr>
        <w:t xml:space="preserve"> (A variantā</w:t>
      </w:r>
      <w:r w:rsidRPr="00F74A3D">
        <w:rPr>
          <w:rStyle w:val="FootnoteReference"/>
          <w:rFonts w:ascii="Times New Roman" w:eastAsia="Calibri" w:hAnsi="Times New Roman"/>
          <w:sz w:val="26"/>
          <w:szCs w:val="26"/>
          <w:lang w:eastAsia="lv-LV"/>
        </w:rPr>
        <w:footnoteReference w:id="8"/>
      </w:r>
      <w:r w:rsidRPr="00F74A3D">
        <w:rPr>
          <w:rFonts w:ascii="Times New Roman" w:eastAsia="Calibri" w:hAnsi="Times New Roman"/>
          <w:sz w:val="26"/>
          <w:szCs w:val="26"/>
          <w:lang w:eastAsia="lv-LV"/>
        </w:rPr>
        <w:t>) līdz 3,7 milj. </w:t>
      </w:r>
      <w:r w:rsidRPr="00F74A3D">
        <w:rPr>
          <w:rFonts w:ascii="Times New Roman" w:eastAsia="Calibri" w:hAnsi="Times New Roman"/>
          <w:i/>
          <w:sz w:val="26"/>
          <w:szCs w:val="26"/>
          <w:lang w:eastAsia="lv-LV"/>
        </w:rPr>
        <w:t>euro</w:t>
      </w:r>
      <w:r w:rsidRPr="00F74A3D">
        <w:rPr>
          <w:rFonts w:ascii="Times New Roman" w:eastAsia="Calibri" w:hAnsi="Times New Roman"/>
          <w:sz w:val="26"/>
          <w:szCs w:val="26"/>
          <w:lang w:eastAsia="lv-LV"/>
        </w:rPr>
        <w:t xml:space="preserve"> (B variantā</w:t>
      </w:r>
      <w:r w:rsidRPr="00F74A3D">
        <w:rPr>
          <w:rStyle w:val="FootnoteReference"/>
          <w:rFonts w:ascii="Times New Roman" w:eastAsia="Calibri" w:hAnsi="Times New Roman"/>
          <w:sz w:val="26"/>
          <w:szCs w:val="26"/>
          <w:lang w:eastAsia="lv-LV"/>
        </w:rPr>
        <w:footnoteReference w:id="9"/>
      </w:r>
      <w:r w:rsidRPr="00F74A3D">
        <w:rPr>
          <w:rFonts w:ascii="Times New Roman" w:eastAsia="Calibri" w:hAnsi="Times New Roman"/>
          <w:sz w:val="26"/>
          <w:szCs w:val="26"/>
          <w:lang w:eastAsia="lv-LV"/>
        </w:rPr>
        <w:t>), savukārt, 2019.gadā plānojot vēl lielāku apjomu no 7,75 milj. </w:t>
      </w:r>
      <w:r w:rsidRPr="00F74A3D">
        <w:rPr>
          <w:rFonts w:ascii="Times New Roman" w:eastAsia="Calibri" w:hAnsi="Times New Roman"/>
          <w:i/>
          <w:sz w:val="26"/>
          <w:szCs w:val="26"/>
          <w:lang w:eastAsia="lv-LV"/>
        </w:rPr>
        <w:t>euro</w:t>
      </w:r>
      <w:r w:rsidRPr="00F74A3D">
        <w:rPr>
          <w:rFonts w:ascii="Times New Roman" w:eastAsia="Calibri" w:hAnsi="Times New Roman"/>
          <w:sz w:val="26"/>
          <w:szCs w:val="26"/>
          <w:lang w:eastAsia="lv-LV"/>
        </w:rPr>
        <w:t xml:space="preserve"> (A variantā) līdz 5,54 milj. </w:t>
      </w:r>
      <w:r w:rsidRPr="00F74A3D">
        <w:rPr>
          <w:rFonts w:ascii="Times New Roman" w:eastAsia="Calibri" w:hAnsi="Times New Roman"/>
          <w:i/>
          <w:sz w:val="26"/>
          <w:szCs w:val="26"/>
          <w:lang w:eastAsia="lv-LV"/>
        </w:rPr>
        <w:t>euro</w:t>
      </w:r>
      <w:r w:rsidRPr="00F74A3D">
        <w:rPr>
          <w:rFonts w:ascii="Times New Roman" w:eastAsia="Calibri" w:hAnsi="Times New Roman"/>
          <w:sz w:val="26"/>
          <w:szCs w:val="26"/>
          <w:lang w:eastAsia="lv-LV"/>
        </w:rPr>
        <w:t xml:space="preserve"> (B variantā) un 2020.gadā paredzot mazāku iemaksu apjomu no 1,31 milj. </w:t>
      </w:r>
      <w:r w:rsidRPr="00F74A3D">
        <w:rPr>
          <w:rFonts w:ascii="Times New Roman" w:eastAsia="Calibri" w:hAnsi="Times New Roman"/>
          <w:i/>
          <w:sz w:val="26"/>
          <w:szCs w:val="26"/>
          <w:lang w:eastAsia="lv-LV"/>
        </w:rPr>
        <w:t>euro</w:t>
      </w:r>
      <w:r w:rsidRPr="00F74A3D">
        <w:rPr>
          <w:rFonts w:ascii="Times New Roman" w:eastAsia="Calibri" w:hAnsi="Times New Roman"/>
          <w:sz w:val="26"/>
          <w:szCs w:val="26"/>
          <w:lang w:eastAsia="lv-LV"/>
        </w:rPr>
        <w:t xml:space="preserve"> (A variantā) līdz 0,93 milj. </w:t>
      </w:r>
      <w:r w:rsidRPr="00F74A3D">
        <w:rPr>
          <w:rFonts w:ascii="Times New Roman" w:eastAsia="Calibri" w:hAnsi="Times New Roman"/>
          <w:i/>
          <w:sz w:val="26"/>
          <w:szCs w:val="26"/>
          <w:lang w:eastAsia="lv-LV"/>
        </w:rPr>
        <w:t>euro</w:t>
      </w:r>
      <w:r w:rsidRPr="00F74A3D">
        <w:rPr>
          <w:rFonts w:ascii="Times New Roman" w:eastAsia="Calibri" w:hAnsi="Times New Roman"/>
          <w:sz w:val="26"/>
          <w:szCs w:val="26"/>
          <w:lang w:eastAsia="lv-LV"/>
        </w:rPr>
        <w:t xml:space="preserve"> (B variantā), šajā laikā posmā faktiski nav attaisnojušās. Lielākā daļa no atkārtoto TUA pieteicējiem </w:t>
      </w:r>
      <w:r w:rsidR="00C97ACE">
        <w:rPr>
          <w:rFonts w:ascii="Times New Roman" w:eastAsia="Calibri" w:hAnsi="Times New Roman"/>
          <w:sz w:val="26"/>
          <w:szCs w:val="26"/>
          <w:lang w:eastAsia="lv-LV"/>
        </w:rPr>
        <w:t xml:space="preserve">ir </w:t>
      </w:r>
      <w:r w:rsidRPr="00F74A3D">
        <w:rPr>
          <w:rFonts w:ascii="Times New Roman" w:eastAsia="Calibri" w:hAnsi="Times New Roman"/>
          <w:sz w:val="26"/>
          <w:szCs w:val="26"/>
          <w:lang w:eastAsia="lv-LV"/>
        </w:rPr>
        <w:t>izvē</w:t>
      </w:r>
      <w:r w:rsidR="00C97ACE">
        <w:rPr>
          <w:rFonts w:ascii="Times New Roman" w:eastAsia="Calibri" w:hAnsi="Times New Roman"/>
          <w:sz w:val="26"/>
          <w:szCs w:val="26"/>
          <w:lang w:eastAsia="lv-LV"/>
        </w:rPr>
        <w:t>jušies</w:t>
      </w:r>
      <w:r w:rsidRPr="00F74A3D">
        <w:rPr>
          <w:rFonts w:ascii="Times New Roman" w:eastAsia="Calibri" w:hAnsi="Times New Roman"/>
          <w:sz w:val="26"/>
          <w:szCs w:val="26"/>
          <w:lang w:eastAsia="lv-LV"/>
        </w:rPr>
        <w:t xml:space="preserve"> veikt minimālo maksājumu 1 000 </w:t>
      </w:r>
      <w:r w:rsidRPr="00F74A3D">
        <w:rPr>
          <w:rFonts w:ascii="Times New Roman" w:eastAsia="Calibri" w:hAnsi="Times New Roman"/>
          <w:i/>
          <w:sz w:val="26"/>
          <w:szCs w:val="26"/>
          <w:lang w:eastAsia="lv-LV"/>
        </w:rPr>
        <w:t>euro</w:t>
      </w:r>
      <w:r w:rsidRPr="00F74A3D">
        <w:rPr>
          <w:rFonts w:ascii="Times New Roman" w:eastAsia="Calibri" w:hAnsi="Times New Roman"/>
          <w:sz w:val="26"/>
          <w:szCs w:val="26"/>
          <w:lang w:eastAsia="lv-LV"/>
        </w:rPr>
        <w:t xml:space="preserve"> apmērā, piesakoties atkārtotu TUA saņemšanai, turpmākos maksājum</w:t>
      </w:r>
      <w:r w:rsidR="00383770" w:rsidRPr="00F74A3D">
        <w:rPr>
          <w:rFonts w:ascii="Times New Roman" w:eastAsia="Calibri" w:hAnsi="Times New Roman"/>
          <w:sz w:val="26"/>
          <w:szCs w:val="26"/>
          <w:lang w:eastAsia="lv-LV"/>
        </w:rPr>
        <w:t>u</w:t>
      </w:r>
      <w:r w:rsidRPr="00F74A3D">
        <w:rPr>
          <w:rFonts w:ascii="Times New Roman" w:eastAsia="Calibri" w:hAnsi="Times New Roman"/>
          <w:sz w:val="26"/>
          <w:szCs w:val="26"/>
          <w:lang w:eastAsia="lv-LV"/>
        </w:rPr>
        <w:t>s paredzot veikt pa gadiem, reģistrējot atkārtoto TUA attiecīgajam gadam.</w:t>
      </w:r>
      <w:r w:rsidRPr="00585A0B">
        <w:rPr>
          <w:rFonts w:ascii="Times New Roman" w:eastAsia="Calibri" w:hAnsi="Times New Roman"/>
          <w:sz w:val="26"/>
          <w:szCs w:val="26"/>
          <w:lang w:eastAsia="lv-LV"/>
        </w:rPr>
        <w:t xml:space="preserve"> </w:t>
      </w:r>
    </w:p>
    <w:p w14:paraId="4758997E" w14:textId="3C363F62" w:rsidR="00074494" w:rsidRPr="00E90608" w:rsidRDefault="00074494" w:rsidP="00074494">
      <w:pPr>
        <w:spacing w:after="60"/>
        <w:ind w:firstLine="567"/>
        <w:jc w:val="both"/>
        <w:rPr>
          <w:rFonts w:ascii="Times New Roman" w:hAnsi="Times New Roman"/>
          <w:sz w:val="26"/>
          <w:szCs w:val="26"/>
        </w:rPr>
      </w:pPr>
      <w:r w:rsidRPr="00F74A3D">
        <w:rPr>
          <w:rFonts w:ascii="Times New Roman" w:hAnsi="Times New Roman"/>
          <w:sz w:val="26"/>
          <w:szCs w:val="26"/>
        </w:rPr>
        <w:t xml:space="preserve">Ņemot vērā grozījumus Imigrācijas likumā par iemaksām atkārtotu TUA saņemšanai un reģistrēšanai, sākot ar 2018.gada 1.janvāri kopējais iemaksu skaits ir pieaudzis (skatīt </w:t>
      </w:r>
      <w:r w:rsidR="005750A8" w:rsidRPr="00F74A3D">
        <w:rPr>
          <w:rFonts w:ascii="Times New Roman" w:hAnsi="Times New Roman"/>
          <w:sz w:val="26"/>
          <w:szCs w:val="26"/>
        </w:rPr>
        <w:t>5</w:t>
      </w:r>
      <w:r w:rsidRPr="00F74A3D">
        <w:rPr>
          <w:rFonts w:ascii="Times New Roman" w:hAnsi="Times New Roman"/>
          <w:sz w:val="26"/>
          <w:szCs w:val="26"/>
        </w:rPr>
        <w:t>.attēlu). Lai arī iemaksu apjoms sākotnēji palielinājās relatīvi maz, taču pakāpeniski tas ir pieaudzis, ārzemniekiem aizvien aktīvāk pieprasot atkārtotas TUA un arī veicot maksājumus reģistrējot iepriekš (2018. un 2019.gada laikā) izsniegtās atkārtotās TUA. Tomēr iemaksu apjoms ievērojami atpaliek no sākotnēji paredzētā.</w:t>
      </w:r>
    </w:p>
    <w:p w14:paraId="4DCC2BCC" w14:textId="77777777" w:rsidR="005E7BC4" w:rsidRDefault="00074494" w:rsidP="00074494">
      <w:pPr>
        <w:spacing w:after="60"/>
        <w:ind w:firstLine="567"/>
        <w:jc w:val="both"/>
        <w:rPr>
          <w:rFonts w:ascii="Times New Roman" w:hAnsi="Times New Roman"/>
          <w:sz w:val="26"/>
          <w:szCs w:val="26"/>
        </w:rPr>
      </w:pPr>
      <w:bookmarkStart w:id="13" w:name="_Hlk61619092"/>
      <w:r w:rsidRPr="00EB5525">
        <w:rPr>
          <w:rFonts w:ascii="Times New Roman" w:hAnsi="Times New Roman"/>
          <w:sz w:val="26"/>
          <w:szCs w:val="26"/>
        </w:rPr>
        <w:t xml:space="preserve">No atkārtoto TUA saņemšanai paredzēto iemaksu uzsākšanas brīža 2018.gada 1.janvārī līdz 2020.gada </w:t>
      </w:r>
      <w:r w:rsidR="00C97ACE">
        <w:rPr>
          <w:rFonts w:ascii="Times New Roman" w:hAnsi="Times New Roman"/>
          <w:sz w:val="26"/>
          <w:szCs w:val="26"/>
        </w:rPr>
        <w:t>3</w:t>
      </w:r>
      <w:r w:rsidRPr="00EB5525">
        <w:rPr>
          <w:rFonts w:ascii="Times New Roman" w:hAnsi="Times New Roman"/>
          <w:sz w:val="26"/>
          <w:szCs w:val="26"/>
        </w:rPr>
        <w:t>1.</w:t>
      </w:r>
      <w:r w:rsidR="00C97ACE">
        <w:rPr>
          <w:rFonts w:ascii="Times New Roman" w:hAnsi="Times New Roman"/>
          <w:sz w:val="26"/>
          <w:szCs w:val="26"/>
        </w:rPr>
        <w:t>decem</w:t>
      </w:r>
      <w:r w:rsidRPr="00EB5525">
        <w:rPr>
          <w:rFonts w:ascii="Times New Roman" w:hAnsi="Times New Roman"/>
          <w:sz w:val="26"/>
          <w:szCs w:val="26"/>
        </w:rPr>
        <w:t>brim atkārtotu TUA saņemšanai valsts pamatbudžeta programmā 33.00.00 “Ekonomikas attīstības programma” tika veiktas 3 </w:t>
      </w:r>
      <w:r w:rsidR="00EB5525">
        <w:rPr>
          <w:rFonts w:ascii="Times New Roman" w:hAnsi="Times New Roman"/>
          <w:sz w:val="26"/>
          <w:szCs w:val="26"/>
        </w:rPr>
        <w:t>844</w:t>
      </w:r>
      <w:r w:rsidRPr="00EB5525">
        <w:rPr>
          <w:rFonts w:ascii="Times New Roman" w:hAnsi="Times New Roman"/>
          <w:sz w:val="26"/>
          <w:szCs w:val="26"/>
        </w:rPr>
        <w:t xml:space="preserve"> iemaksas 4,</w:t>
      </w:r>
      <w:r w:rsidR="00EB5525">
        <w:rPr>
          <w:rFonts w:ascii="Times New Roman" w:hAnsi="Times New Roman"/>
          <w:sz w:val="26"/>
          <w:szCs w:val="26"/>
        </w:rPr>
        <w:t>7 </w:t>
      </w:r>
      <w:r w:rsidRPr="00EB5525">
        <w:rPr>
          <w:rFonts w:ascii="Times New Roman" w:hAnsi="Times New Roman"/>
          <w:sz w:val="26"/>
          <w:szCs w:val="26"/>
        </w:rPr>
        <w:t>milj. </w:t>
      </w:r>
      <w:r w:rsidRPr="00EB5525">
        <w:rPr>
          <w:rFonts w:ascii="Times New Roman" w:hAnsi="Times New Roman"/>
          <w:i/>
          <w:sz w:val="26"/>
          <w:szCs w:val="26"/>
        </w:rPr>
        <w:t>euro</w:t>
      </w:r>
      <w:r w:rsidRPr="00EB5525">
        <w:rPr>
          <w:rFonts w:ascii="Times New Roman" w:hAnsi="Times New Roman"/>
          <w:sz w:val="26"/>
          <w:szCs w:val="26"/>
        </w:rPr>
        <w:t xml:space="preserve"> apmērā</w:t>
      </w:r>
      <w:bookmarkEnd w:id="13"/>
      <w:r w:rsidRPr="00EB5525">
        <w:rPr>
          <w:rFonts w:ascii="Times New Roman" w:hAnsi="Times New Roman"/>
          <w:sz w:val="26"/>
          <w:szCs w:val="26"/>
        </w:rPr>
        <w:t xml:space="preserve">. </w:t>
      </w:r>
    </w:p>
    <w:p w14:paraId="2D05472C" w14:textId="409B7D0D" w:rsidR="00074494" w:rsidRDefault="00074494" w:rsidP="00074494">
      <w:pPr>
        <w:spacing w:after="60"/>
        <w:ind w:firstLine="567"/>
        <w:jc w:val="both"/>
        <w:rPr>
          <w:rFonts w:ascii="Times New Roman" w:hAnsi="Times New Roman"/>
          <w:sz w:val="26"/>
          <w:szCs w:val="26"/>
        </w:rPr>
      </w:pPr>
      <w:r w:rsidRPr="00F07C41">
        <w:rPr>
          <w:rFonts w:ascii="Times New Roman" w:hAnsi="Times New Roman"/>
          <w:sz w:val="26"/>
          <w:szCs w:val="26"/>
        </w:rPr>
        <w:t>2020.</w:t>
      </w:r>
      <w:r w:rsidR="00F07C41" w:rsidRPr="00F07C41">
        <w:rPr>
          <w:rFonts w:ascii="Times New Roman" w:hAnsi="Times New Roman"/>
          <w:sz w:val="26"/>
          <w:szCs w:val="26"/>
        </w:rPr>
        <w:t> </w:t>
      </w:r>
      <w:r w:rsidRPr="00F07C41">
        <w:rPr>
          <w:rFonts w:ascii="Times New Roman" w:hAnsi="Times New Roman"/>
          <w:sz w:val="26"/>
          <w:szCs w:val="26"/>
        </w:rPr>
        <w:t>gad</w:t>
      </w:r>
      <w:r w:rsidR="005E7BC4" w:rsidRPr="00F07C41">
        <w:rPr>
          <w:rFonts w:ascii="Times New Roman" w:hAnsi="Times New Roman"/>
          <w:sz w:val="26"/>
          <w:szCs w:val="26"/>
        </w:rPr>
        <w:t>ā</w:t>
      </w:r>
      <w:r w:rsidRPr="00F07C41">
        <w:rPr>
          <w:rFonts w:ascii="Times New Roman" w:hAnsi="Times New Roman"/>
          <w:sz w:val="26"/>
          <w:szCs w:val="26"/>
        </w:rPr>
        <w:t xml:space="preserve"> kopumā tika veiktas </w:t>
      </w:r>
      <w:r w:rsidRPr="00F07C41">
        <w:rPr>
          <w:rFonts w:ascii="Times New Roman" w:hAnsi="Times New Roman"/>
          <w:b/>
          <w:bCs/>
          <w:sz w:val="26"/>
          <w:szCs w:val="26"/>
        </w:rPr>
        <w:t>1 </w:t>
      </w:r>
      <w:r w:rsidR="00F07C41" w:rsidRPr="00F07C41">
        <w:rPr>
          <w:rFonts w:ascii="Times New Roman" w:hAnsi="Times New Roman"/>
          <w:b/>
          <w:bCs/>
          <w:sz w:val="26"/>
          <w:szCs w:val="26"/>
        </w:rPr>
        <w:t>387</w:t>
      </w:r>
      <w:r w:rsidRPr="00F07C41">
        <w:rPr>
          <w:rFonts w:ascii="Times New Roman" w:hAnsi="Times New Roman"/>
          <w:b/>
          <w:bCs/>
          <w:sz w:val="26"/>
          <w:szCs w:val="26"/>
        </w:rPr>
        <w:t xml:space="preserve"> iemaksas </w:t>
      </w:r>
      <w:r w:rsidR="00F07C41" w:rsidRPr="00F07C41">
        <w:rPr>
          <w:rFonts w:ascii="Times New Roman" w:hAnsi="Times New Roman"/>
          <w:b/>
          <w:bCs/>
          <w:sz w:val="26"/>
          <w:szCs w:val="26"/>
        </w:rPr>
        <w:t>1</w:t>
      </w:r>
      <w:r w:rsidRPr="00F07C41">
        <w:rPr>
          <w:rFonts w:ascii="Times New Roman" w:hAnsi="Times New Roman"/>
          <w:b/>
          <w:bCs/>
          <w:sz w:val="26"/>
          <w:szCs w:val="26"/>
        </w:rPr>
        <w:t> </w:t>
      </w:r>
      <w:r w:rsidR="00F07C41" w:rsidRPr="00F07C41">
        <w:rPr>
          <w:rFonts w:ascii="Times New Roman" w:hAnsi="Times New Roman"/>
          <w:b/>
          <w:bCs/>
          <w:sz w:val="26"/>
          <w:szCs w:val="26"/>
        </w:rPr>
        <w:t>788</w:t>
      </w:r>
      <w:r w:rsidRPr="00F07C41">
        <w:rPr>
          <w:rFonts w:ascii="Times New Roman" w:hAnsi="Times New Roman"/>
          <w:b/>
          <w:bCs/>
          <w:sz w:val="26"/>
          <w:szCs w:val="26"/>
        </w:rPr>
        <w:t> </w:t>
      </w:r>
      <w:r w:rsidR="00F07C41" w:rsidRPr="00F07C41">
        <w:rPr>
          <w:rFonts w:ascii="Times New Roman" w:hAnsi="Times New Roman"/>
          <w:b/>
          <w:bCs/>
          <w:sz w:val="26"/>
          <w:szCs w:val="26"/>
        </w:rPr>
        <w:t>898</w:t>
      </w:r>
      <w:r w:rsidRPr="00F07C41">
        <w:rPr>
          <w:rFonts w:ascii="Times New Roman" w:hAnsi="Times New Roman"/>
          <w:b/>
          <w:bCs/>
          <w:sz w:val="26"/>
          <w:szCs w:val="26"/>
        </w:rPr>
        <w:t>,</w:t>
      </w:r>
      <w:r w:rsidR="00F07C41" w:rsidRPr="00F07C41">
        <w:rPr>
          <w:rFonts w:ascii="Times New Roman" w:hAnsi="Times New Roman"/>
          <w:b/>
          <w:bCs/>
          <w:sz w:val="26"/>
          <w:szCs w:val="26"/>
        </w:rPr>
        <w:t>5</w:t>
      </w:r>
      <w:r w:rsidRPr="00F07C41">
        <w:rPr>
          <w:rFonts w:ascii="Times New Roman" w:hAnsi="Times New Roman"/>
          <w:b/>
          <w:bCs/>
          <w:sz w:val="26"/>
          <w:szCs w:val="26"/>
        </w:rPr>
        <w:t> </w:t>
      </w:r>
      <w:r w:rsidRPr="00F07C41">
        <w:rPr>
          <w:rFonts w:ascii="Times New Roman" w:hAnsi="Times New Roman"/>
          <w:b/>
          <w:bCs/>
          <w:i/>
          <w:sz w:val="26"/>
          <w:szCs w:val="26"/>
        </w:rPr>
        <w:t>euro</w:t>
      </w:r>
      <w:r w:rsidRPr="00F07C41">
        <w:rPr>
          <w:rFonts w:ascii="Times New Roman" w:hAnsi="Times New Roman"/>
          <w:b/>
          <w:bCs/>
          <w:sz w:val="26"/>
          <w:szCs w:val="26"/>
        </w:rPr>
        <w:t xml:space="preserve"> apmērā</w:t>
      </w:r>
      <w:r w:rsidRPr="00F07C41">
        <w:rPr>
          <w:rFonts w:ascii="Times New Roman" w:hAnsi="Times New Roman"/>
          <w:sz w:val="26"/>
          <w:szCs w:val="26"/>
        </w:rPr>
        <w:t xml:space="preserve"> (</w:t>
      </w:r>
      <w:r w:rsidR="00F07C41" w:rsidRPr="00866BA2">
        <w:rPr>
          <w:rFonts w:ascii="Times New Roman" w:hAnsi="Times New Roman"/>
          <w:sz w:val="26"/>
          <w:szCs w:val="26"/>
        </w:rPr>
        <w:t>iepriekš</w:t>
      </w:r>
      <w:r w:rsidR="00F07C41" w:rsidRPr="00F07C41">
        <w:rPr>
          <w:rFonts w:ascii="Times New Roman" w:hAnsi="Times New Roman"/>
          <w:sz w:val="26"/>
          <w:szCs w:val="26"/>
        </w:rPr>
        <w:t xml:space="preserve"> </w:t>
      </w:r>
      <w:r w:rsidR="005E7BC4" w:rsidRPr="00F07C41">
        <w:rPr>
          <w:rFonts w:ascii="Times New Roman" w:hAnsi="Times New Roman"/>
          <w:sz w:val="26"/>
          <w:szCs w:val="26"/>
        </w:rPr>
        <w:t xml:space="preserve">2019. gadā </w:t>
      </w:r>
      <w:r w:rsidR="00F07C41" w:rsidRPr="00866BA2">
        <w:rPr>
          <w:rFonts w:ascii="Times New Roman" w:hAnsi="Times New Roman"/>
          <w:sz w:val="26"/>
          <w:szCs w:val="26"/>
        </w:rPr>
        <w:t>veiktas</w:t>
      </w:r>
      <w:r w:rsidR="005E7BC4" w:rsidRPr="00F07C41">
        <w:rPr>
          <w:rFonts w:ascii="Times New Roman" w:hAnsi="Times New Roman"/>
          <w:sz w:val="26"/>
          <w:szCs w:val="26"/>
        </w:rPr>
        <w:t xml:space="preserve"> 1</w:t>
      </w:r>
      <w:r w:rsidR="00F07C41" w:rsidRPr="00F07C41">
        <w:rPr>
          <w:rFonts w:ascii="Times New Roman" w:hAnsi="Times New Roman"/>
          <w:sz w:val="26"/>
          <w:szCs w:val="26"/>
        </w:rPr>
        <w:t> </w:t>
      </w:r>
      <w:r w:rsidR="005E7BC4" w:rsidRPr="00F07C41">
        <w:rPr>
          <w:rFonts w:ascii="Times New Roman" w:hAnsi="Times New Roman"/>
          <w:sz w:val="26"/>
          <w:szCs w:val="26"/>
        </w:rPr>
        <w:t>8</w:t>
      </w:r>
      <w:r w:rsidR="00F07C41" w:rsidRPr="00F07C41">
        <w:rPr>
          <w:rFonts w:ascii="Times New Roman" w:hAnsi="Times New Roman"/>
          <w:sz w:val="26"/>
          <w:szCs w:val="26"/>
        </w:rPr>
        <w:t>05</w:t>
      </w:r>
      <w:r w:rsidR="005E7BC4" w:rsidRPr="00F07C41">
        <w:rPr>
          <w:rFonts w:ascii="Times New Roman" w:hAnsi="Times New Roman"/>
          <w:sz w:val="26"/>
          <w:szCs w:val="26"/>
        </w:rPr>
        <w:t xml:space="preserve"> iemaksas 2 </w:t>
      </w:r>
      <w:r w:rsidR="00F07C41" w:rsidRPr="00F07C41">
        <w:rPr>
          <w:rFonts w:ascii="Times New Roman" w:hAnsi="Times New Roman"/>
          <w:sz w:val="26"/>
          <w:szCs w:val="26"/>
        </w:rPr>
        <w:t>177</w:t>
      </w:r>
      <w:r w:rsidR="005E7BC4" w:rsidRPr="00F07C41">
        <w:rPr>
          <w:rFonts w:ascii="Times New Roman" w:hAnsi="Times New Roman"/>
          <w:sz w:val="26"/>
          <w:szCs w:val="26"/>
        </w:rPr>
        <w:t> </w:t>
      </w:r>
      <w:r w:rsidR="00F07C41" w:rsidRPr="00F07C41">
        <w:rPr>
          <w:rFonts w:ascii="Times New Roman" w:hAnsi="Times New Roman"/>
          <w:sz w:val="26"/>
          <w:szCs w:val="26"/>
        </w:rPr>
        <w:t>932</w:t>
      </w:r>
      <w:r w:rsidR="005E7BC4" w:rsidRPr="00F07C41">
        <w:rPr>
          <w:rFonts w:ascii="Times New Roman" w:hAnsi="Times New Roman"/>
          <w:sz w:val="26"/>
          <w:szCs w:val="26"/>
        </w:rPr>
        <w:t>,</w:t>
      </w:r>
      <w:r w:rsidR="00F07C41" w:rsidRPr="00F07C41">
        <w:rPr>
          <w:rFonts w:ascii="Times New Roman" w:hAnsi="Times New Roman"/>
          <w:sz w:val="26"/>
          <w:szCs w:val="26"/>
        </w:rPr>
        <w:t>5</w:t>
      </w:r>
      <w:r w:rsidR="005E7BC4" w:rsidRPr="00F07C41">
        <w:rPr>
          <w:rFonts w:ascii="Times New Roman" w:hAnsi="Times New Roman"/>
          <w:sz w:val="26"/>
          <w:szCs w:val="26"/>
        </w:rPr>
        <w:t>8 </w:t>
      </w:r>
      <w:r w:rsidR="005E7BC4" w:rsidRPr="00F07C41">
        <w:rPr>
          <w:rFonts w:ascii="Times New Roman" w:hAnsi="Times New Roman"/>
          <w:i/>
          <w:sz w:val="26"/>
          <w:szCs w:val="26"/>
        </w:rPr>
        <w:t>euro</w:t>
      </w:r>
      <w:r w:rsidR="005E7BC4" w:rsidRPr="00F07C41">
        <w:rPr>
          <w:rFonts w:ascii="Times New Roman" w:hAnsi="Times New Roman"/>
          <w:sz w:val="26"/>
          <w:szCs w:val="26"/>
        </w:rPr>
        <w:t xml:space="preserve"> apmērā;</w:t>
      </w:r>
      <w:r w:rsidR="005E7BC4">
        <w:rPr>
          <w:rFonts w:ascii="Times New Roman" w:hAnsi="Times New Roman"/>
          <w:sz w:val="26"/>
          <w:szCs w:val="26"/>
        </w:rPr>
        <w:t xml:space="preserve"> </w:t>
      </w:r>
      <w:r w:rsidR="00F07C41" w:rsidRPr="00F07C41">
        <w:rPr>
          <w:rFonts w:ascii="Times New Roman" w:hAnsi="Times New Roman"/>
          <w:sz w:val="26"/>
          <w:szCs w:val="26"/>
        </w:rPr>
        <w:t>201</w:t>
      </w:r>
      <w:r w:rsidR="00F07C41">
        <w:rPr>
          <w:rFonts w:ascii="Times New Roman" w:hAnsi="Times New Roman"/>
          <w:sz w:val="26"/>
          <w:szCs w:val="26"/>
        </w:rPr>
        <w:t>8</w:t>
      </w:r>
      <w:r w:rsidR="00F07C41" w:rsidRPr="00F07C41">
        <w:rPr>
          <w:rFonts w:ascii="Times New Roman" w:hAnsi="Times New Roman"/>
          <w:sz w:val="26"/>
          <w:szCs w:val="26"/>
        </w:rPr>
        <w:t xml:space="preserve">. gadā – </w:t>
      </w:r>
      <w:r w:rsidR="005E7BC4" w:rsidRPr="00866BA2">
        <w:rPr>
          <w:rFonts w:ascii="Times New Roman" w:hAnsi="Times New Roman"/>
          <w:sz w:val="26"/>
          <w:szCs w:val="26"/>
        </w:rPr>
        <w:t>6</w:t>
      </w:r>
      <w:r w:rsidR="00F07C41">
        <w:rPr>
          <w:rFonts w:ascii="Times New Roman" w:hAnsi="Times New Roman"/>
          <w:sz w:val="26"/>
          <w:szCs w:val="26"/>
        </w:rPr>
        <w:t>1</w:t>
      </w:r>
      <w:r w:rsidR="005E7BC4" w:rsidRPr="00866BA2">
        <w:rPr>
          <w:rFonts w:ascii="Times New Roman" w:hAnsi="Times New Roman"/>
          <w:sz w:val="26"/>
          <w:szCs w:val="26"/>
        </w:rPr>
        <w:t xml:space="preserve">5 iemaksas </w:t>
      </w:r>
      <w:r w:rsidR="00F07C41">
        <w:rPr>
          <w:rFonts w:ascii="Times New Roman" w:hAnsi="Times New Roman"/>
          <w:sz w:val="26"/>
          <w:szCs w:val="26"/>
        </w:rPr>
        <w:t>752 206,34</w:t>
      </w:r>
      <w:r w:rsidR="005E7BC4" w:rsidRPr="00866BA2">
        <w:rPr>
          <w:rFonts w:ascii="Times New Roman" w:hAnsi="Times New Roman"/>
          <w:sz w:val="26"/>
          <w:szCs w:val="26"/>
        </w:rPr>
        <w:t> </w:t>
      </w:r>
      <w:r w:rsidR="005E7BC4" w:rsidRPr="00866BA2">
        <w:rPr>
          <w:rFonts w:ascii="Times New Roman" w:hAnsi="Times New Roman"/>
          <w:i/>
          <w:sz w:val="26"/>
          <w:szCs w:val="26"/>
        </w:rPr>
        <w:t>euro</w:t>
      </w:r>
      <w:r w:rsidR="005E7BC4" w:rsidRPr="00866BA2">
        <w:rPr>
          <w:rFonts w:ascii="Times New Roman" w:hAnsi="Times New Roman"/>
          <w:sz w:val="26"/>
          <w:szCs w:val="26"/>
        </w:rPr>
        <w:t xml:space="preserve"> apmērā</w:t>
      </w:r>
      <w:r w:rsidRPr="00866BA2">
        <w:rPr>
          <w:rFonts w:ascii="Times New Roman" w:hAnsi="Times New Roman"/>
          <w:sz w:val="26"/>
          <w:szCs w:val="26"/>
        </w:rPr>
        <w:t xml:space="preserve">), neņemot vērā uz ziņojuma sagatavošanas brīdi jau veiktās vai iespējami veicamās atmaksas, kad ārzemnieks ir veicis kļūdainu iemaksu, jo </w:t>
      </w:r>
      <w:r w:rsidR="003D66DB">
        <w:rPr>
          <w:rFonts w:ascii="Times New Roman" w:hAnsi="Times New Roman"/>
          <w:sz w:val="26"/>
          <w:szCs w:val="26"/>
        </w:rPr>
        <w:t>2020. gad</w:t>
      </w:r>
      <w:r w:rsidRPr="00866BA2">
        <w:rPr>
          <w:rFonts w:ascii="Times New Roman" w:hAnsi="Times New Roman"/>
          <w:sz w:val="26"/>
          <w:szCs w:val="26"/>
        </w:rPr>
        <w:t xml:space="preserve">ā ir </w:t>
      </w:r>
      <w:r w:rsidRPr="003D66DB">
        <w:rPr>
          <w:rFonts w:ascii="Times New Roman" w:hAnsi="Times New Roman"/>
          <w:sz w:val="26"/>
          <w:szCs w:val="26"/>
        </w:rPr>
        <w:t>atmaksāti 2</w:t>
      </w:r>
      <w:r w:rsidR="003D66DB" w:rsidRPr="003D66DB">
        <w:rPr>
          <w:rFonts w:ascii="Times New Roman" w:hAnsi="Times New Roman"/>
          <w:sz w:val="26"/>
          <w:szCs w:val="26"/>
        </w:rPr>
        <w:t>0</w:t>
      </w:r>
      <w:r w:rsidRPr="003D66DB">
        <w:rPr>
          <w:rFonts w:ascii="Times New Roman" w:hAnsi="Times New Roman"/>
          <w:sz w:val="26"/>
          <w:szCs w:val="26"/>
        </w:rPr>
        <w:t xml:space="preserve"> atkārtotu</w:t>
      </w:r>
      <w:r w:rsidRPr="00866BA2">
        <w:rPr>
          <w:rFonts w:ascii="Times New Roman" w:hAnsi="Times New Roman"/>
          <w:sz w:val="26"/>
          <w:szCs w:val="26"/>
        </w:rPr>
        <w:t xml:space="preserve"> TUA saņemšanai vai reģistrēšanai nepareizi veiktie maksājumi </w:t>
      </w:r>
      <w:r w:rsidRPr="003D66DB">
        <w:rPr>
          <w:rFonts w:ascii="Times New Roman" w:hAnsi="Times New Roman"/>
          <w:sz w:val="26"/>
          <w:szCs w:val="26"/>
        </w:rPr>
        <w:t>2</w:t>
      </w:r>
      <w:r w:rsidR="003D66DB" w:rsidRPr="003D66DB">
        <w:rPr>
          <w:rFonts w:ascii="Times New Roman" w:hAnsi="Times New Roman"/>
          <w:sz w:val="26"/>
          <w:szCs w:val="26"/>
        </w:rPr>
        <w:t>4</w:t>
      </w:r>
      <w:r w:rsidRPr="003D66DB">
        <w:rPr>
          <w:rFonts w:ascii="Times New Roman" w:hAnsi="Times New Roman"/>
          <w:sz w:val="26"/>
          <w:szCs w:val="26"/>
        </w:rPr>
        <w:t> 5</w:t>
      </w:r>
      <w:r w:rsidR="003D66DB" w:rsidRPr="003D66DB">
        <w:rPr>
          <w:rFonts w:ascii="Times New Roman" w:hAnsi="Times New Roman"/>
          <w:sz w:val="26"/>
          <w:szCs w:val="26"/>
        </w:rPr>
        <w:t>06</w:t>
      </w:r>
      <w:r w:rsidRPr="003D66DB">
        <w:rPr>
          <w:rFonts w:ascii="Times New Roman" w:hAnsi="Times New Roman"/>
          <w:sz w:val="26"/>
          <w:szCs w:val="26"/>
        </w:rPr>
        <w:t>,</w:t>
      </w:r>
      <w:r w:rsidR="003D66DB" w:rsidRPr="003D66DB">
        <w:rPr>
          <w:rFonts w:ascii="Times New Roman" w:hAnsi="Times New Roman"/>
          <w:sz w:val="26"/>
          <w:szCs w:val="26"/>
        </w:rPr>
        <w:t>85</w:t>
      </w:r>
      <w:r w:rsidRPr="003D66DB">
        <w:rPr>
          <w:rFonts w:ascii="Times New Roman" w:hAnsi="Times New Roman"/>
          <w:sz w:val="26"/>
          <w:szCs w:val="26"/>
        </w:rPr>
        <w:t> </w:t>
      </w:r>
      <w:r w:rsidRPr="003D66DB">
        <w:rPr>
          <w:rFonts w:ascii="Times New Roman" w:hAnsi="Times New Roman"/>
          <w:i/>
          <w:sz w:val="26"/>
          <w:szCs w:val="26"/>
        </w:rPr>
        <w:t>euro</w:t>
      </w:r>
      <w:r w:rsidRPr="003D66DB">
        <w:rPr>
          <w:rFonts w:ascii="Times New Roman" w:hAnsi="Times New Roman"/>
          <w:sz w:val="26"/>
          <w:szCs w:val="26"/>
        </w:rPr>
        <w:t xml:space="preserve"> apmērā</w:t>
      </w:r>
      <w:r w:rsidR="003D66DB" w:rsidRPr="003D66DB">
        <w:rPr>
          <w:rFonts w:ascii="Times New Roman" w:hAnsi="Times New Roman"/>
          <w:sz w:val="26"/>
          <w:szCs w:val="26"/>
        </w:rPr>
        <w:t xml:space="preserve"> (2019.gadā – 36 maksājumi 36 615,42 </w:t>
      </w:r>
      <w:r w:rsidR="003D66DB" w:rsidRPr="003D66DB">
        <w:rPr>
          <w:rFonts w:ascii="Times New Roman" w:hAnsi="Times New Roman"/>
          <w:i/>
          <w:iCs/>
          <w:sz w:val="26"/>
          <w:szCs w:val="26"/>
        </w:rPr>
        <w:t>euro</w:t>
      </w:r>
      <w:r w:rsidR="003D66DB" w:rsidRPr="003D66DB">
        <w:rPr>
          <w:rFonts w:ascii="Times New Roman" w:hAnsi="Times New Roman"/>
          <w:sz w:val="26"/>
          <w:szCs w:val="26"/>
        </w:rPr>
        <w:t xml:space="preserve"> apmērā)</w:t>
      </w:r>
      <w:r w:rsidRPr="003D66DB">
        <w:rPr>
          <w:rFonts w:ascii="Times New Roman" w:hAnsi="Times New Roman"/>
          <w:sz w:val="26"/>
          <w:szCs w:val="26"/>
        </w:rPr>
        <w:t>.</w:t>
      </w:r>
    </w:p>
    <w:p w14:paraId="3E883901" w14:textId="698BCBDE" w:rsidR="00074494" w:rsidRPr="00F74A3D" w:rsidRDefault="00074494" w:rsidP="00074494">
      <w:pPr>
        <w:spacing w:after="60"/>
        <w:ind w:firstLine="567"/>
        <w:jc w:val="both"/>
        <w:rPr>
          <w:rFonts w:ascii="Times New Roman" w:hAnsi="Times New Roman"/>
          <w:sz w:val="26"/>
          <w:szCs w:val="26"/>
        </w:rPr>
      </w:pPr>
      <w:r w:rsidRPr="00D27276">
        <w:rPr>
          <w:rFonts w:ascii="Times New Roman" w:hAnsi="Times New Roman"/>
          <w:sz w:val="26"/>
          <w:szCs w:val="26"/>
        </w:rPr>
        <w:t>2020.gada otrajā ceturksnī Covid-19 izraisītā ārkārt</w:t>
      </w:r>
      <w:r w:rsidR="00730350" w:rsidRPr="00D27276">
        <w:rPr>
          <w:rFonts w:ascii="Times New Roman" w:hAnsi="Times New Roman"/>
          <w:sz w:val="26"/>
          <w:szCs w:val="26"/>
        </w:rPr>
        <w:t>ējā</w:t>
      </w:r>
      <w:r w:rsidRPr="00D27276">
        <w:rPr>
          <w:rFonts w:ascii="Times New Roman" w:hAnsi="Times New Roman"/>
          <w:sz w:val="26"/>
          <w:szCs w:val="26"/>
        </w:rPr>
        <w:t xml:space="preserve"> situācija samazināja arī atkārtoto TUA saņemšanai vai reģistrēšanai ārvalstnieku veiktās iemaksas (skatīt </w:t>
      </w:r>
      <w:r w:rsidR="00277C77" w:rsidRPr="00D27276">
        <w:rPr>
          <w:rFonts w:ascii="Times New Roman" w:hAnsi="Times New Roman"/>
          <w:sz w:val="26"/>
          <w:szCs w:val="26"/>
        </w:rPr>
        <w:t>5</w:t>
      </w:r>
      <w:r w:rsidRPr="00D27276">
        <w:rPr>
          <w:rFonts w:ascii="Times New Roman" w:hAnsi="Times New Roman"/>
          <w:sz w:val="26"/>
          <w:szCs w:val="26"/>
        </w:rPr>
        <w:t>.attēlu). Faktiski iemaksas tika veiktas tikai par nelielu skaitu iepriekšējos ceturkšņos (lielākoties 2019.gadā) iesniegtajiem atkārtotu TUA saņemšanas pieteikumiem. Dominējoši lielāko daļu no iemaksām veidoja ar iepriekšējos gados saņemto atkārtoto TUA reģistrēšanu saistītās ārzemnieku veiktās iemaksas, turklāt ievērojama daļa no šīm iemaksām pārsniedza paredzamo maksājuma saņemšanas termiņu, kas saistīts arī ar vēlāku atkārtotu TUA reģistrācijas noformēšanu</w:t>
      </w:r>
      <w:r w:rsidRPr="00F74A3D">
        <w:rPr>
          <w:rFonts w:ascii="Times New Roman" w:hAnsi="Times New Roman"/>
          <w:sz w:val="26"/>
          <w:szCs w:val="26"/>
        </w:rPr>
        <w:t>. 2020.gada trešaj</w:t>
      </w:r>
      <w:r w:rsidR="00D27276" w:rsidRPr="00F74A3D">
        <w:rPr>
          <w:rFonts w:ascii="Times New Roman" w:hAnsi="Times New Roman"/>
          <w:sz w:val="26"/>
          <w:szCs w:val="26"/>
        </w:rPr>
        <w:t>ā un ceturtajā</w:t>
      </w:r>
      <w:r w:rsidRPr="00F74A3D">
        <w:rPr>
          <w:rFonts w:ascii="Times New Roman" w:hAnsi="Times New Roman"/>
          <w:sz w:val="26"/>
          <w:szCs w:val="26"/>
        </w:rPr>
        <w:t xml:space="preserve"> ceturksn</w:t>
      </w:r>
      <w:r w:rsidR="00D27276" w:rsidRPr="00F74A3D">
        <w:rPr>
          <w:rFonts w:ascii="Times New Roman" w:hAnsi="Times New Roman"/>
          <w:sz w:val="26"/>
          <w:szCs w:val="26"/>
        </w:rPr>
        <w:t>ī</w:t>
      </w:r>
      <w:r w:rsidRPr="00F74A3D">
        <w:rPr>
          <w:rFonts w:ascii="Times New Roman" w:hAnsi="Times New Roman"/>
          <w:sz w:val="26"/>
          <w:szCs w:val="26"/>
        </w:rPr>
        <w:t xml:space="preserve"> ir vērojama situācijas uzlabošanās un iemaksu </w:t>
      </w:r>
      <w:r w:rsidR="00D27276" w:rsidRPr="00F74A3D">
        <w:rPr>
          <w:rFonts w:ascii="Times New Roman" w:hAnsi="Times New Roman"/>
          <w:sz w:val="26"/>
          <w:szCs w:val="26"/>
        </w:rPr>
        <w:t>stabilizēšanās (skatīt 5.attēlu)</w:t>
      </w:r>
      <w:r w:rsidRPr="00F74A3D">
        <w:rPr>
          <w:rFonts w:ascii="Times New Roman" w:hAnsi="Times New Roman"/>
          <w:sz w:val="26"/>
          <w:szCs w:val="26"/>
        </w:rPr>
        <w:t xml:space="preserve"> taču tas ir saistīts pamatā tikai ar atkārtotu TUA reģistrācijas maksājumiem.</w:t>
      </w:r>
    </w:p>
    <w:p w14:paraId="6B53D45E" w14:textId="48B7E1D0" w:rsidR="000F30A2" w:rsidRDefault="00074494" w:rsidP="00074494">
      <w:pPr>
        <w:spacing w:after="60"/>
        <w:ind w:firstLine="567"/>
        <w:jc w:val="both"/>
        <w:rPr>
          <w:rFonts w:ascii="Times New Roman" w:hAnsi="Times New Roman"/>
          <w:bCs/>
          <w:sz w:val="26"/>
          <w:szCs w:val="26"/>
        </w:rPr>
      </w:pPr>
      <w:r w:rsidRPr="00D27276">
        <w:rPr>
          <w:rFonts w:ascii="Times New Roman" w:hAnsi="Times New Roman"/>
          <w:sz w:val="26"/>
          <w:szCs w:val="26"/>
        </w:rPr>
        <w:t xml:space="preserve">Veicot programmas izdevumu analīzi ir jānorāda, ka gadskārtējā valsts budžeta likumā tiek noteikti mērķi valsts pamatbudžeta programmā 33.00.00 “Ekonomikas attīstības programma” ārzemnieku ieskaitīto līdzekļu izmantošanai </w:t>
      </w:r>
      <w:r w:rsidRPr="00D27276">
        <w:rPr>
          <w:rFonts w:ascii="Times New Roman" w:hAnsi="Times New Roman"/>
          <w:bCs/>
          <w:sz w:val="26"/>
          <w:szCs w:val="26"/>
        </w:rPr>
        <w:t xml:space="preserve">– atbalsta pasākumiem Latvijas uzņēmējiem jaunu eksporta tirgu apguvē un eksporta palielināšanā uz prioritāriem mērķa tirgiem, jaunuzņēmumu ekosistēmas attīstībai, tūrisma attīstības pasākumiem, investīciju veicināšanai, reemigrācijas atbalsta pasākumu un mājokļa programmas finansēšanai, kā arī citiem darba vietu radīšanas un ģimeņu atbalsta pasākumiem un sistēmas administrēšanas izmaksu segšanai </w:t>
      </w:r>
      <w:r w:rsidRPr="003D66DB">
        <w:rPr>
          <w:rFonts w:ascii="Times New Roman" w:hAnsi="Times New Roman"/>
          <w:bCs/>
          <w:sz w:val="26"/>
          <w:szCs w:val="26"/>
        </w:rPr>
        <w:t>(likuma “Par valsts budžetu 2019.gadam” 30.panta pirmā daļa</w:t>
      </w:r>
      <w:r w:rsidR="003D66DB" w:rsidRPr="003D66DB">
        <w:rPr>
          <w:rFonts w:ascii="Times New Roman" w:hAnsi="Times New Roman"/>
          <w:bCs/>
          <w:sz w:val="26"/>
          <w:szCs w:val="26"/>
        </w:rPr>
        <w:t xml:space="preserve">, </w:t>
      </w:r>
      <w:r w:rsidRPr="003D66DB">
        <w:rPr>
          <w:rFonts w:ascii="Times New Roman" w:hAnsi="Times New Roman"/>
          <w:bCs/>
          <w:sz w:val="26"/>
          <w:szCs w:val="26"/>
        </w:rPr>
        <w:t>likuma “Par valsts budžetu 2020.gadam” 28.panta pirmā daļa</w:t>
      </w:r>
      <w:r w:rsidRPr="003D66DB">
        <w:rPr>
          <w:rStyle w:val="FootnoteReference"/>
          <w:rFonts w:ascii="Times New Roman" w:hAnsi="Times New Roman"/>
          <w:bCs/>
          <w:sz w:val="26"/>
          <w:szCs w:val="26"/>
        </w:rPr>
        <w:footnoteReference w:id="10"/>
      </w:r>
      <w:r w:rsidR="003D66DB" w:rsidRPr="003D66DB">
        <w:rPr>
          <w:rFonts w:ascii="Times New Roman" w:hAnsi="Times New Roman"/>
          <w:bCs/>
          <w:sz w:val="26"/>
          <w:szCs w:val="26"/>
        </w:rPr>
        <w:t xml:space="preserve"> </w:t>
      </w:r>
      <w:r w:rsidR="003D66DB" w:rsidRPr="000F30A2">
        <w:rPr>
          <w:rFonts w:ascii="Times New Roman" w:hAnsi="Times New Roman"/>
          <w:bCs/>
          <w:sz w:val="26"/>
          <w:szCs w:val="26"/>
        </w:rPr>
        <w:t>un likuma “Par valsts budžetu 20</w:t>
      </w:r>
      <w:r w:rsidR="000F30A2" w:rsidRPr="000F30A2">
        <w:rPr>
          <w:rFonts w:ascii="Times New Roman" w:hAnsi="Times New Roman"/>
          <w:bCs/>
          <w:sz w:val="26"/>
          <w:szCs w:val="26"/>
        </w:rPr>
        <w:t>2</w:t>
      </w:r>
      <w:r w:rsidR="003D66DB" w:rsidRPr="000F30A2">
        <w:rPr>
          <w:rFonts w:ascii="Times New Roman" w:hAnsi="Times New Roman"/>
          <w:bCs/>
          <w:sz w:val="26"/>
          <w:szCs w:val="26"/>
        </w:rPr>
        <w:t xml:space="preserve">1.gadam” </w:t>
      </w:r>
      <w:r w:rsidR="000F30A2" w:rsidRPr="000F30A2">
        <w:rPr>
          <w:rFonts w:ascii="Times New Roman" w:hAnsi="Times New Roman"/>
          <w:bCs/>
          <w:sz w:val="26"/>
          <w:szCs w:val="26"/>
        </w:rPr>
        <w:t>25</w:t>
      </w:r>
      <w:r w:rsidR="003D66DB" w:rsidRPr="000F30A2">
        <w:rPr>
          <w:rFonts w:ascii="Times New Roman" w:hAnsi="Times New Roman"/>
          <w:bCs/>
          <w:sz w:val="26"/>
          <w:szCs w:val="26"/>
        </w:rPr>
        <w:t>.panta pirmā daļa</w:t>
      </w:r>
      <w:r w:rsidR="000F30A2" w:rsidRPr="000F30A2">
        <w:rPr>
          <w:rStyle w:val="FootnoteReference"/>
          <w:rFonts w:ascii="Times New Roman" w:hAnsi="Times New Roman"/>
          <w:bCs/>
          <w:sz w:val="26"/>
          <w:szCs w:val="26"/>
        </w:rPr>
        <w:footnoteReference w:id="11"/>
      </w:r>
      <w:r w:rsidRPr="000F30A2">
        <w:rPr>
          <w:rFonts w:ascii="Times New Roman" w:hAnsi="Times New Roman"/>
          <w:bCs/>
          <w:sz w:val="26"/>
          <w:szCs w:val="26"/>
        </w:rPr>
        <w:t xml:space="preserve">). </w:t>
      </w:r>
    </w:p>
    <w:p w14:paraId="0AFFA2EC" w14:textId="6B67D0A5" w:rsidR="00074494" w:rsidRPr="00D27276" w:rsidRDefault="00074494" w:rsidP="00074494">
      <w:pPr>
        <w:spacing w:after="60"/>
        <w:ind w:firstLine="567"/>
        <w:jc w:val="both"/>
        <w:rPr>
          <w:rFonts w:ascii="Times New Roman" w:hAnsi="Times New Roman"/>
          <w:bCs/>
          <w:sz w:val="26"/>
          <w:szCs w:val="26"/>
        </w:rPr>
      </w:pPr>
      <w:r w:rsidRPr="00D27276">
        <w:rPr>
          <w:rFonts w:ascii="Times New Roman" w:hAnsi="Times New Roman"/>
          <w:bCs/>
          <w:sz w:val="26"/>
          <w:szCs w:val="26"/>
        </w:rPr>
        <w:t xml:space="preserve">Savukārt, </w:t>
      </w:r>
      <w:r w:rsidRPr="00D27276">
        <w:rPr>
          <w:rFonts w:ascii="Times New Roman" w:hAnsi="Times New Roman"/>
          <w:bCs/>
          <w:sz w:val="26"/>
          <w:szCs w:val="26"/>
          <w:lang w:eastAsia="lv-LV"/>
        </w:rPr>
        <w:t xml:space="preserve">Ministru kabineta </w:t>
      </w:r>
      <w:r w:rsidRPr="00D27276">
        <w:rPr>
          <w:rFonts w:ascii="Times New Roman" w:hAnsi="Times New Roman"/>
          <w:sz w:val="26"/>
          <w:szCs w:val="26"/>
          <w:lang w:eastAsia="lv-LV"/>
        </w:rPr>
        <w:t xml:space="preserve">2015.gada 9.jūnija </w:t>
      </w:r>
      <w:r w:rsidRPr="00D27276">
        <w:rPr>
          <w:rFonts w:ascii="Times New Roman" w:hAnsi="Times New Roman"/>
          <w:bCs/>
          <w:sz w:val="26"/>
          <w:szCs w:val="26"/>
          <w:lang w:eastAsia="lv-LV"/>
        </w:rPr>
        <w:t>noteikumos Nr.284</w:t>
      </w:r>
      <w:r w:rsidRPr="00D27276">
        <w:rPr>
          <w:rFonts w:ascii="Times New Roman" w:hAnsi="Times New Roman"/>
          <w:sz w:val="26"/>
          <w:szCs w:val="26"/>
          <w:lang w:eastAsia="lv-LV"/>
        </w:rPr>
        <w:t xml:space="preserve"> “</w:t>
      </w:r>
      <w:r w:rsidRPr="00D27276">
        <w:rPr>
          <w:rFonts w:ascii="Times New Roman" w:hAnsi="Times New Roman"/>
          <w:bCs/>
          <w:sz w:val="26"/>
          <w:szCs w:val="26"/>
          <w:lang w:eastAsia="lv-LV"/>
        </w:rPr>
        <w:t xml:space="preserve">Valsts pamatbudžeta programmas “Ekonomikas attīstības programma” finanšu līdzekļu izmantošanas kārtība” ir noteikti līdzekļu izmantošanas nosacījumi kārtējā saimnieciskajā gadā budžeta programmas kontā ieskaitītajiem finanšu līdzekļiem, kas saskaņā ar normatīvajos aktos par uzturēšanās atļaujām noteiktajiem nosacījumiem ir uzskatāmi par neatmaksājamiem ārzemniekam vai viņa mantiniekam. </w:t>
      </w:r>
    </w:p>
    <w:p w14:paraId="0C19FD1F" w14:textId="77777777" w:rsidR="00074494" w:rsidRDefault="00074494" w:rsidP="00074494">
      <w:pPr>
        <w:spacing w:after="60"/>
        <w:ind w:firstLine="567"/>
        <w:jc w:val="both"/>
        <w:rPr>
          <w:rFonts w:ascii="Times New Roman" w:hAnsi="Times New Roman"/>
          <w:sz w:val="26"/>
          <w:szCs w:val="26"/>
        </w:rPr>
      </w:pPr>
      <w:r w:rsidRPr="00B66252">
        <w:rPr>
          <w:rFonts w:ascii="Times New Roman" w:eastAsia="Calibri" w:hAnsi="Times New Roman"/>
          <w:sz w:val="26"/>
          <w:szCs w:val="26"/>
          <w:lang w:eastAsia="lv-LV"/>
        </w:rPr>
        <w:t xml:space="preserve">Iepriekšējos gados ārzemnieku veiktie maksājumi pirms TUA saņemšanas Ekonomikas ministrijas budžeta programmā 33.00.00 “Ekonomikas attīstības programma” ir bijis būtisks finanšu avots, lai nodrošinātu valsts galvojumus bankas aizdevumiem mājokļu iegādei vai būvniecībai. No ārzemnieku veiktajām iemaksām </w:t>
      </w:r>
      <w:r w:rsidRPr="00B66252">
        <w:rPr>
          <w:rFonts w:ascii="Times New Roman" w:hAnsi="Times New Roman"/>
          <w:sz w:val="26"/>
          <w:szCs w:val="26"/>
        </w:rPr>
        <w:t xml:space="preserve">budžeta programmā 33.00.00 “Ekonomikas attīstības programma” akciju sabiedrības “Attīstības finanšu institūcija Altum” īstenotajai mājokļu atbalsta programmai - </w:t>
      </w:r>
      <w:r w:rsidRPr="00B66252">
        <w:rPr>
          <w:rFonts w:ascii="Times New Roman" w:eastAsia="Calibri" w:hAnsi="Times New Roman"/>
          <w:sz w:val="26"/>
          <w:szCs w:val="26"/>
          <w:lang w:eastAsia="lv-LV"/>
        </w:rPr>
        <w:t>valsts galvojumiem bankas aizdevumiem mājokļu iegādei vai būvniecībai 2015.gadā tika novirzīts 2,34 milj. </w:t>
      </w:r>
      <w:r w:rsidRPr="00B66252">
        <w:rPr>
          <w:rFonts w:ascii="Times New Roman" w:eastAsia="Calibri" w:hAnsi="Times New Roman"/>
          <w:i/>
          <w:sz w:val="26"/>
          <w:szCs w:val="26"/>
          <w:lang w:eastAsia="lv-LV"/>
        </w:rPr>
        <w:t>euro</w:t>
      </w:r>
      <w:r w:rsidRPr="00B66252">
        <w:rPr>
          <w:rFonts w:ascii="Times New Roman" w:eastAsia="Calibri" w:hAnsi="Times New Roman"/>
          <w:sz w:val="26"/>
          <w:szCs w:val="26"/>
          <w:lang w:eastAsia="lv-LV"/>
        </w:rPr>
        <w:t xml:space="preserve"> un 2016.gadā – 2,36 milj.</w:t>
      </w:r>
      <w:r w:rsidRPr="00B66252">
        <w:rPr>
          <w:rFonts w:ascii="Times New Roman" w:eastAsia="Calibri" w:hAnsi="Times New Roman"/>
          <w:i/>
          <w:sz w:val="26"/>
          <w:szCs w:val="26"/>
          <w:lang w:eastAsia="lv-LV"/>
        </w:rPr>
        <w:t> euro</w:t>
      </w:r>
      <w:r w:rsidRPr="00B66252">
        <w:rPr>
          <w:rFonts w:ascii="Times New Roman" w:hAnsi="Times New Roman"/>
          <w:sz w:val="26"/>
          <w:szCs w:val="26"/>
        </w:rPr>
        <w:t xml:space="preserve">. </w:t>
      </w:r>
      <w:r w:rsidRPr="00B66252">
        <w:rPr>
          <w:rFonts w:ascii="Times New Roman" w:eastAsia="Calibri" w:hAnsi="Times New Roman"/>
          <w:sz w:val="26"/>
          <w:szCs w:val="26"/>
          <w:lang w:eastAsia="lv-LV"/>
        </w:rPr>
        <w:t xml:space="preserve">Taču, ņemot vērā sarūkošo pirmreizējo TUA iemaksu un sākotnēji nelielo atkārtoto TUA iemaksu apjomu 2017. un 2018.gadā, no veiktajām iemaksām līdzekļi </w:t>
      </w:r>
      <w:r w:rsidRPr="00B66252">
        <w:rPr>
          <w:rFonts w:ascii="Times New Roman" w:hAnsi="Times New Roman"/>
          <w:sz w:val="26"/>
          <w:szCs w:val="26"/>
        </w:rPr>
        <w:t>mājokļu galvojumu programmai</w:t>
      </w:r>
      <w:r w:rsidRPr="00B66252">
        <w:rPr>
          <w:rFonts w:ascii="Times New Roman" w:eastAsia="Calibri" w:hAnsi="Times New Roman"/>
          <w:sz w:val="26"/>
          <w:szCs w:val="26"/>
          <w:lang w:eastAsia="lv-LV"/>
        </w:rPr>
        <w:t xml:space="preserve"> netika novirzīti. Tika veidots līdzekļu uzkrājums, nodrošinot nepieciešamos resursus </w:t>
      </w:r>
      <w:r w:rsidRPr="00B66252">
        <w:rPr>
          <w:rFonts w:ascii="Times New Roman" w:hAnsi="Times New Roman"/>
          <w:sz w:val="26"/>
          <w:szCs w:val="26"/>
        </w:rPr>
        <w:t>mājokļu galvojumu programmas turpināšanai, saskaņā ar Ministru kabineta 2017.gada 8.septembra ārkārtas sēdes protokollēmuma (prot. Nr.44, 1.§) 11.punktā noteikto, kas paredzēja līdzekļu ietaupījumu, lai nodrošinātu mājokļu atbalsta programmas īstenošanu 2019. un 2020.gadā.</w:t>
      </w:r>
      <w:r>
        <w:rPr>
          <w:rFonts w:ascii="Times New Roman" w:hAnsi="Times New Roman"/>
          <w:sz w:val="26"/>
          <w:szCs w:val="26"/>
        </w:rPr>
        <w:t xml:space="preserve"> </w:t>
      </w:r>
    </w:p>
    <w:p w14:paraId="5C104961" w14:textId="0DF9331F" w:rsidR="00074494" w:rsidRPr="00B66252" w:rsidRDefault="00074494" w:rsidP="00074494">
      <w:pPr>
        <w:spacing w:after="60"/>
        <w:ind w:firstLine="567"/>
        <w:jc w:val="both"/>
        <w:rPr>
          <w:rFonts w:ascii="Times New Roman" w:eastAsia="Calibri" w:hAnsi="Times New Roman"/>
          <w:iCs/>
          <w:sz w:val="26"/>
          <w:szCs w:val="26"/>
          <w:lang w:eastAsia="lv-LV"/>
        </w:rPr>
      </w:pPr>
      <w:r w:rsidRPr="00B66252">
        <w:rPr>
          <w:rFonts w:ascii="Times New Roman" w:hAnsi="Times New Roman"/>
          <w:sz w:val="26"/>
          <w:szCs w:val="26"/>
        </w:rPr>
        <w:t xml:space="preserve">Izveidotais ārzemnieku iemaksāto līdzekļu uzkrājums 2019.gada sākumā ļāva piešķirt mājokļu atbalsts programmai </w:t>
      </w:r>
      <w:r w:rsidRPr="00B66252">
        <w:rPr>
          <w:rFonts w:ascii="Times New Roman" w:eastAsia="Calibri" w:hAnsi="Times New Roman"/>
          <w:sz w:val="26"/>
          <w:szCs w:val="26"/>
          <w:lang w:eastAsia="lv-LV"/>
        </w:rPr>
        <w:t>–</w:t>
      </w:r>
      <w:r w:rsidRPr="00B66252">
        <w:rPr>
          <w:rFonts w:ascii="Times New Roman" w:hAnsi="Times New Roman"/>
          <w:sz w:val="26"/>
          <w:szCs w:val="26"/>
        </w:rPr>
        <w:t xml:space="preserve"> </w:t>
      </w:r>
      <w:r w:rsidRPr="00B66252">
        <w:rPr>
          <w:rFonts w:ascii="Times New Roman" w:eastAsia="Calibri" w:hAnsi="Times New Roman"/>
          <w:sz w:val="26"/>
          <w:szCs w:val="26"/>
          <w:lang w:eastAsia="lv-LV"/>
        </w:rPr>
        <w:t xml:space="preserve">valsts galvojumiem bankas aizdevumiem mājokļu iegādei vai būvniecībai – </w:t>
      </w:r>
      <w:r w:rsidRPr="00B66252">
        <w:rPr>
          <w:rFonts w:ascii="Times New Roman" w:hAnsi="Times New Roman"/>
          <w:sz w:val="26"/>
          <w:szCs w:val="26"/>
        </w:rPr>
        <w:t>līdzekļus 2,81 milj. </w:t>
      </w:r>
      <w:r w:rsidRPr="00B66252">
        <w:rPr>
          <w:rFonts w:ascii="Times New Roman" w:hAnsi="Times New Roman"/>
          <w:i/>
          <w:iCs/>
          <w:sz w:val="26"/>
          <w:szCs w:val="26"/>
        </w:rPr>
        <w:t>euro</w:t>
      </w:r>
      <w:r w:rsidRPr="00B66252">
        <w:rPr>
          <w:rFonts w:ascii="Times New Roman" w:hAnsi="Times New Roman"/>
          <w:sz w:val="26"/>
          <w:szCs w:val="26"/>
        </w:rPr>
        <w:t xml:space="preserve"> apmērā, saskaņā ar Ministru kabineta 2019.gada 13.februāra rīkojumu Nr.56 “Par pamatbudžeta programmas “Ekonomikas attīstības programma” finanšu līdzekļu izmantošanu”</w:t>
      </w:r>
      <w:r w:rsidRPr="00B66252">
        <w:rPr>
          <w:rStyle w:val="FootnoteReference"/>
          <w:rFonts w:ascii="Times New Roman" w:hAnsi="Times New Roman"/>
          <w:sz w:val="26"/>
          <w:szCs w:val="26"/>
        </w:rPr>
        <w:footnoteReference w:id="12"/>
      </w:r>
      <w:r w:rsidRPr="00B66252">
        <w:rPr>
          <w:rFonts w:ascii="Times New Roman" w:hAnsi="Times New Roman"/>
          <w:sz w:val="26"/>
          <w:szCs w:val="26"/>
        </w:rPr>
        <w:t xml:space="preserve">, novirzot tam citu pašu ieņēmumu (no maksājumiem, kurus veic ārzemnieks pirmreizējas vai atkārtotas TUA saņemšanai) naudas līdzekļu atlikumu uz 2019.gada 1.janvāri, lai akciju sabiedrība "Attīstības finanšu institūcija Altum" turpinātu mājokļu atbalsta programmas īstenošanu. </w:t>
      </w:r>
      <w:r w:rsidRPr="00B66252">
        <w:rPr>
          <w:rFonts w:ascii="Times New Roman" w:hAnsi="Times New Roman"/>
          <w:bCs/>
          <w:sz w:val="26"/>
          <w:szCs w:val="26"/>
        </w:rPr>
        <w:t>Savukārt, saskaņā ar Ministru kabineta 2019.gada 17.jūlija rīkojumu Nr.374 Par pamatbudžeta programmas “Ekonomikas attīstības programma” finanšu līdzekļu izmantošanu”</w:t>
      </w:r>
      <w:r w:rsidRPr="00B66252">
        <w:rPr>
          <w:rStyle w:val="FootnoteReference"/>
          <w:rFonts w:ascii="Times New Roman" w:hAnsi="Times New Roman"/>
          <w:bCs/>
          <w:sz w:val="26"/>
          <w:szCs w:val="26"/>
        </w:rPr>
        <w:footnoteReference w:id="13"/>
      </w:r>
      <w:r w:rsidRPr="00B66252">
        <w:rPr>
          <w:rFonts w:ascii="Times New Roman" w:hAnsi="Times New Roman"/>
          <w:bCs/>
          <w:sz w:val="26"/>
          <w:szCs w:val="26"/>
        </w:rPr>
        <w:t xml:space="preserve"> tika atbalstīta apropriācija, lai nodrošinātu nepieciešamo finansējumu Mājokļu atbalsta programmas nepārtrauktai īstenošanai, novirzot no 2019.gadā ārzemnieku veiktajiem maksājumiem pirmreizēju vai atkārtotu TUA saņemšanai izmantošanai pieejamo finansējumu 1,02 milj. </w:t>
      </w:r>
      <w:r w:rsidRPr="00B66252">
        <w:rPr>
          <w:rFonts w:ascii="Times New Roman" w:hAnsi="Times New Roman"/>
          <w:bCs/>
          <w:i/>
          <w:iCs/>
          <w:sz w:val="26"/>
          <w:szCs w:val="26"/>
        </w:rPr>
        <w:t>euro</w:t>
      </w:r>
      <w:r w:rsidRPr="00B66252">
        <w:rPr>
          <w:rFonts w:ascii="Times New Roman" w:hAnsi="Times New Roman"/>
          <w:bCs/>
          <w:sz w:val="26"/>
          <w:szCs w:val="26"/>
        </w:rPr>
        <w:t xml:space="preserve"> apmērā. Līdz ar to n</w:t>
      </w:r>
      <w:r w:rsidRPr="00B66252">
        <w:rPr>
          <w:rFonts w:ascii="Times New Roman" w:eastAsia="Calibri" w:hAnsi="Times New Roman"/>
          <w:sz w:val="26"/>
          <w:szCs w:val="26"/>
          <w:lang w:eastAsia="lv-LV"/>
        </w:rPr>
        <w:t xml:space="preserve">o ārzemnieku veiktajām iemaksām </w:t>
      </w:r>
      <w:r w:rsidRPr="00B66252">
        <w:rPr>
          <w:rFonts w:ascii="Times New Roman" w:hAnsi="Times New Roman"/>
          <w:sz w:val="26"/>
          <w:szCs w:val="26"/>
        </w:rPr>
        <w:t xml:space="preserve">budžeta programmā 33.00.00 “Ekonomikas attīstības programma” akciju sabiedrības “Attīstības finanšu institūcija Altum” īstenotajai mājokļu atbalsta programmai 2019.gadā kopumā tika novirzīts finansējums </w:t>
      </w:r>
      <w:r w:rsidRPr="00B66252">
        <w:rPr>
          <w:rFonts w:ascii="Times New Roman" w:eastAsia="Calibri" w:hAnsi="Times New Roman"/>
          <w:sz w:val="26"/>
          <w:szCs w:val="26"/>
          <w:lang w:eastAsia="lv-LV"/>
        </w:rPr>
        <w:t>3,83 milj. </w:t>
      </w:r>
      <w:r w:rsidRPr="00B66252">
        <w:rPr>
          <w:rFonts w:ascii="Times New Roman" w:eastAsia="Calibri" w:hAnsi="Times New Roman"/>
          <w:i/>
          <w:sz w:val="26"/>
          <w:szCs w:val="26"/>
          <w:lang w:eastAsia="lv-LV"/>
        </w:rPr>
        <w:t xml:space="preserve">euro </w:t>
      </w:r>
      <w:r w:rsidRPr="00B66252">
        <w:rPr>
          <w:rFonts w:ascii="Times New Roman" w:eastAsia="Calibri" w:hAnsi="Times New Roman"/>
          <w:iCs/>
          <w:sz w:val="26"/>
          <w:szCs w:val="26"/>
          <w:lang w:eastAsia="lv-LV"/>
        </w:rPr>
        <w:t xml:space="preserve">apmērā. 2020.gadā </w:t>
      </w:r>
      <w:r w:rsidRPr="00B66252">
        <w:rPr>
          <w:rFonts w:ascii="Times New Roman" w:hAnsi="Times New Roman"/>
          <w:sz w:val="26"/>
          <w:szCs w:val="26"/>
        </w:rPr>
        <w:t xml:space="preserve">mājokļu atbalsta programmai līdzekļi no ārvalstnieku veiktajiem maksājumiem netika novirzīti, jo 2019.gadā tika rasta iespēja finansēt mājokļu atbalsta programmu pārdalīto valsts budžeta līdzekļu ietvaros. </w:t>
      </w:r>
    </w:p>
    <w:p w14:paraId="77DBF423" w14:textId="77777777" w:rsidR="00074494" w:rsidRPr="00B66252" w:rsidRDefault="00074494" w:rsidP="00074494">
      <w:pPr>
        <w:spacing w:before="60" w:after="60"/>
        <w:ind w:firstLine="567"/>
        <w:jc w:val="both"/>
        <w:rPr>
          <w:rFonts w:ascii="Times New Roman" w:hAnsi="Times New Roman"/>
          <w:sz w:val="26"/>
          <w:szCs w:val="26"/>
        </w:rPr>
      </w:pPr>
      <w:r w:rsidRPr="00B66252">
        <w:rPr>
          <w:rFonts w:ascii="Times New Roman" w:hAnsi="Times New Roman"/>
          <w:sz w:val="26"/>
          <w:szCs w:val="26"/>
        </w:rPr>
        <w:t xml:space="preserve">Valsts pamatbudžeta programmā 33.00.00 “Ekonomikas attīstības programma” ārzemnieku ieskaitīto līdzekļu pozitīvās izmaiņas deva iespēju izmantot pieejamos līdzekļus arī citiem nolūkiem, vienlaikus ievērojot, ka līdzekļu izmantošanas mērķus nosaka gadskārtējā valsts budžeta likumā, kā prioritāro izmantošanas mērķi norādot šīs budžeta programmas administrēšanas izdevumu segšanu. </w:t>
      </w:r>
    </w:p>
    <w:p w14:paraId="4C31E41E" w14:textId="77777777" w:rsidR="00074494" w:rsidRPr="00B66252" w:rsidRDefault="00074494" w:rsidP="00074494">
      <w:pPr>
        <w:spacing w:after="60"/>
        <w:ind w:firstLine="567"/>
        <w:jc w:val="both"/>
        <w:rPr>
          <w:rFonts w:ascii="Times New Roman" w:hAnsi="Times New Roman"/>
          <w:bCs/>
          <w:sz w:val="26"/>
          <w:szCs w:val="26"/>
        </w:rPr>
      </w:pPr>
      <w:r w:rsidRPr="00B66252">
        <w:rPr>
          <w:rFonts w:ascii="Times New Roman" w:hAnsi="Times New Roman"/>
          <w:sz w:val="26"/>
          <w:szCs w:val="26"/>
        </w:rPr>
        <w:t xml:space="preserve">Balstoties uz Imigrācijas likuma 23.panta astotajā daļā noteikto deleģējumu, </w:t>
      </w:r>
      <w:r w:rsidRPr="00B66252">
        <w:rPr>
          <w:rFonts w:ascii="Times New Roman" w:hAnsi="Times New Roman"/>
          <w:bCs/>
          <w:sz w:val="26"/>
          <w:szCs w:val="26"/>
        </w:rPr>
        <w:t xml:space="preserve">iepriekšējos gados uzskaitītie mērķi </w:t>
      </w:r>
      <w:r w:rsidRPr="00B66252">
        <w:rPr>
          <w:rFonts w:ascii="Times New Roman" w:hAnsi="Times New Roman"/>
          <w:sz w:val="26"/>
          <w:szCs w:val="26"/>
        </w:rPr>
        <w:t xml:space="preserve">valsts pamatbudžeta programmā 33.00.00 “Ekonomikas attīstības programma” ārzemnieku ieskaitīto līdzekļu izmantošanai likuma “Par </w:t>
      </w:r>
      <w:r w:rsidRPr="00B66252">
        <w:rPr>
          <w:rFonts w:ascii="Times New Roman" w:hAnsi="Times New Roman"/>
          <w:bCs/>
          <w:sz w:val="26"/>
          <w:szCs w:val="26"/>
        </w:rPr>
        <w:t>valsts budžetu 2019.gadam” 30.panta pirmajā daļā un likuma “Par valsts budžetu 2020.gadam” 28.panta pirmajā daļā</w:t>
      </w:r>
      <w:r w:rsidRPr="00B66252">
        <w:rPr>
          <w:rFonts w:ascii="Times New Roman" w:hAnsi="Times New Roman"/>
          <w:sz w:val="26"/>
          <w:szCs w:val="26"/>
        </w:rPr>
        <w:t xml:space="preserve"> tika papildināti ar </w:t>
      </w:r>
      <w:r w:rsidRPr="00B66252">
        <w:rPr>
          <w:rFonts w:ascii="Times New Roman" w:hAnsi="Times New Roman"/>
          <w:bCs/>
          <w:sz w:val="26"/>
          <w:szCs w:val="26"/>
        </w:rPr>
        <w:t>tūrisma attīstības pasākumiem.</w:t>
      </w:r>
      <w:r w:rsidRPr="00B66252">
        <w:rPr>
          <w:rFonts w:ascii="Times New Roman" w:hAnsi="Times New Roman"/>
          <w:sz w:val="26"/>
          <w:szCs w:val="26"/>
        </w:rPr>
        <w:t xml:space="preserve"> </w:t>
      </w:r>
      <w:r w:rsidRPr="00B66252">
        <w:rPr>
          <w:rFonts w:ascii="Times New Roman" w:hAnsi="Times New Roman"/>
          <w:bCs/>
          <w:sz w:val="26"/>
          <w:szCs w:val="26"/>
        </w:rPr>
        <w:t>Tādēļ Ekonomikas ministrijai radās iespēja ierosināt arī tūrisma attīstības pasākumus un saskaņā ar Ministru kabineta 2019.gada 17.jūlija rīkojumu Nr.374 “Par pamatbudžeta programmas “Ekonomikas attīstības programma” finanšu līdzekļu izmantošanu” tika atbalstīta apropriācija 2019.gadā, lai nodrošinātu nepieciešamo finansējumu Ķīnas-Centrālās un Austrumeiropas valstu tūrisma foruma organizēšanai 150 000 </w:t>
      </w:r>
      <w:r w:rsidRPr="00B66252">
        <w:rPr>
          <w:rFonts w:ascii="Times New Roman" w:hAnsi="Times New Roman"/>
          <w:bCs/>
          <w:i/>
          <w:iCs/>
          <w:sz w:val="26"/>
          <w:szCs w:val="26"/>
        </w:rPr>
        <w:t>euro</w:t>
      </w:r>
      <w:r w:rsidRPr="00B66252">
        <w:rPr>
          <w:rFonts w:ascii="Times New Roman" w:hAnsi="Times New Roman"/>
          <w:bCs/>
          <w:sz w:val="26"/>
          <w:szCs w:val="26"/>
        </w:rPr>
        <w:t xml:space="preserve"> apmērā un dalības maksai Ekonomiskās sadarbības un attīstības organizācijas (OECD) Tūrisma komitejas brīvprātīgās iniciatīvas pētījumā “Digitālās pārveides veicināšana mazos un vidējos uzņēmumos tūrisma nozarē” 5 000 </w:t>
      </w:r>
      <w:r w:rsidRPr="00B66252">
        <w:rPr>
          <w:rFonts w:ascii="Times New Roman" w:hAnsi="Times New Roman"/>
          <w:bCs/>
          <w:i/>
          <w:iCs/>
          <w:sz w:val="26"/>
          <w:szCs w:val="26"/>
        </w:rPr>
        <w:t>euro</w:t>
      </w:r>
      <w:r w:rsidRPr="00B66252">
        <w:rPr>
          <w:rFonts w:ascii="Times New Roman" w:hAnsi="Times New Roman"/>
          <w:bCs/>
          <w:sz w:val="26"/>
          <w:szCs w:val="26"/>
        </w:rPr>
        <w:t xml:space="preserve"> apmērā.</w:t>
      </w:r>
    </w:p>
    <w:p w14:paraId="3109210D" w14:textId="0C6242B0" w:rsidR="00074494" w:rsidRPr="00B66252" w:rsidRDefault="00074494" w:rsidP="00074494">
      <w:pPr>
        <w:spacing w:after="60"/>
        <w:ind w:firstLine="567"/>
        <w:jc w:val="both"/>
        <w:rPr>
          <w:rFonts w:ascii="Times New Roman" w:hAnsi="Times New Roman"/>
          <w:sz w:val="26"/>
          <w:szCs w:val="26"/>
        </w:rPr>
      </w:pPr>
      <w:r w:rsidRPr="00B66252">
        <w:rPr>
          <w:rFonts w:ascii="Times New Roman" w:hAnsi="Times New Roman"/>
          <w:bCs/>
          <w:sz w:val="26"/>
          <w:szCs w:val="26"/>
        </w:rPr>
        <w:t>Veicinot eksporta palielināšanu uz prioritāriem mērķa tirgiem,</w:t>
      </w:r>
      <w:r w:rsidRPr="00B66252">
        <w:rPr>
          <w:rFonts w:ascii="Times New Roman" w:hAnsi="Times New Roman"/>
          <w:sz w:val="26"/>
          <w:szCs w:val="26"/>
        </w:rPr>
        <w:t xml:space="preserve"> saskaņā ar Ministru kabineta 2020. gada 10. marta rīkojumu Nr. 97 “Par pamatbudžeta programmas “Ekonomikas attīstības programma” finanšu līdzekļu izmantošanu”</w:t>
      </w:r>
      <w:r w:rsidRPr="00B66252">
        <w:rPr>
          <w:rStyle w:val="FootnoteReference"/>
          <w:rFonts w:ascii="Times New Roman" w:hAnsi="Times New Roman"/>
          <w:sz w:val="26"/>
          <w:szCs w:val="26"/>
        </w:rPr>
        <w:footnoteReference w:id="14"/>
      </w:r>
      <w:r w:rsidRPr="00B66252">
        <w:rPr>
          <w:rFonts w:ascii="Times New Roman" w:hAnsi="Times New Roman"/>
          <w:sz w:val="26"/>
          <w:szCs w:val="26"/>
        </w:rPr>
        <w:t xml:space="preserve"> izmantošanai pieejamie līdzekļi 30 000 </w:t>
      </w:r>
      <w:r w:rsidRPr="00B66252">
        <w:rPr>
          <w:rFonts w:ascii="Times New Roman" w:hAnsi="Times New Roman"/>
          <w:i/>
          <w:iCs/>
          <w:sz w:val="26"/>
          <w:szCs w:val="26"/>
        </w:rPr>
        <w:t>euro</w:t>
      </w:r>
      <w:r w:rsidRPr="00B66252">
        <w:rPr>
          <w:rFonts w:ascii="Times New Roman" w:hAnsi="Times New Roman"/>
          <w:sz w:val="26"/>
          <w:szCs w:val="26"/>
        </w:rPr>
        <w:t xml:space="preserve"> apmērā tika novirzīti Kultūras ministrijai daļējai izmaksu segšanai, kas saistītas ar Latvijas pārstāvību Londonas Dizaina biennālē (</w:t>
      </w:r>
      <w:r w:rsidRPr="00B66252">
        <w:rPr>
          <w:rFonts w:ascii="Times New Roman" w:hAnsi="Times New Roman"/>
          <w:i/>
          <w:iCs/>
          <w:sz w:val="26"/>
          <w:szCs w:val="26"/>
        </w:rPr>
        <w:t>London Design Biennale</w:t>
      </w:r>
      <w:r w:rsidRPr="00B66252">
        <w:rPr>
          <w:rFonts w:ascii="Times New Roman" w:hAnsi="Times New Roman"/>
          <w:sz w:val="26"/>
          <w:szCs w:val="26"/>
        </w:rPr>
        <w:t xml:space="preserve">). Tomēr šī pasākuma īstenošana ir atkarīga no turpmākās situācijas attīstības saistībā ar Covid-19 </w:t>
      </w:r>
      <w:r w:rsidR="00AE694B" w:rsidRPr="00B66252">
        <w:rPr>
          <w:rFonts w:ascii="Times New Roman" w:hAnsi="Times New Roman"/>
          <w:sz w:val="26"/>
          <w:szCs w:val="26"/>
        </w:rPr>
        <w:t>pandēmiju.</w:t>
      </w:r>
    </w:p>
    <w:p w14:paraId="4645B482" w14:textId="3FD90B07" w:rsidR="00074494" w:rsidRPr="00B66252" w:rsidRDefault="00074494" w:rsidP="00074494">
      <w:pPr>
        <w:spacing w:after="120"/>
        <w:ind w:firstLine="567"/>
        <w:jc w:val="both"/>
        <w:rPr>
          <w:rFonts w:ascii="Times New Roman" w:hAnsi="Times New Roman"/>
          <w:sz w:val="26"/>
          <w:szCs w:val="26"/>
        </w:rPr>
      </w:pPr>
      <w:r w:rsidRPr="00B66252">
        <w:rPr>
          <w:rFonts w:ascii="Times New Roman" w:hAnsi="Times New Roman"/>
          <w:sz w:val="26"/>
          <w:szCs w:val="26"/>
        </w:rPr>
        <w:t xml:space="preserve">Valsts pamatbudžeta programmā “Ekonomikas attīstības programma” ieskaitītie līdzekļi saskaņā ar Ministru kabineta </w:t>
      </w:r>
      <w:r w:rsidRPr="00B66252">
        <w:rPr>
          <w:rFonts w:ascii="Times New Roman" w:hAnsi="Times New Roman"/>
          <w:bCs/>
          <w:sz w:val="26"/>
          <w:szCs w:val="26"/>
        </w:rPr>
        <w:t xml:space="preserve">2017.gada 16.augusta sēdes </w:t>
      </w:r>
      <w:r w:rsidRPr="00B66252">
        <w:rPr>
          <w:rFonts w:ascii="Times New Roman" w:hAnsi="Times New Roman"/>
          <w:sz w:val="26"/>
          <w:szCs w:val="26"/>
        </w:rPr>
        <w:t>protokollēmumu (prot. Nr.39 41</w:t>
      </w:r>
      <w:r w:rsidRPr="00B66252">
        <w:rPr>
          <w:rFonts w:ascii="Times New Roman" w:hAnsi="Times New Roman"/>
          <w:bCs/>
          <w:sz w:val="26"/>
          <w:szCs w:val="26"/>
        </w:rPr>
        <w:t>.§, rīkojuma projekts “Par pamatbudžeta programmas “Ekonomikas attīstības programma” finanšu līdzekļu izmantošanu”)</w:t>
      </w:r>
      <w:r w:rsidRPr="00B66252">
        <w:rPr>
          <w:rStyle w:val="FootnoteReference"/>
          <w:rFonts w:ascii="Times New Roman" w:hAnsi="Times New Roman"/>
          <w:bCs/>
          <w:sz w:val="26"/>
          <w:szCs w:val="26"/>
        </w:rPr>
        <w:footnoteReference w:id="15"/>
      </w:r>
      <w:r w:rsidRPr="00B66252">
        <w:rPr>
          <w:rFonts w:ascii="Times New Roman" w:hAnsi="Times New Roman"/>
          <w:bCs/>
          <w:sz w:val="26"/>
          <w:szCs w:val="26"/>
        </w:rPr>
        <w:t xml:space="preserve"> un pamatojoties uz </w:t>
      </w:r>
      <w:r w:rsidRPr="00B66252">
        <w:rPr>
          <w:rFonts w:ascii="Times New Roman" w:hAnsi="Times New Roman"/>
          <w:sz w:val="26"/>
          <w:szCs w:val="26"/>
        </w:rPr>
        <w:t xml:space="preserve">gadskārtējā valsts budžeta likumā noteikto tiek izmantoti arī sistēmas administrēšanas izmaksu segšanai (skatīt </w:t>
      </w:r>
      <w:r w:rsidR="00F264A7" w:rsidRPr="00B66252">
        <w:rPr>
          <w:rFonts w:ascii="Times New Roman" w:hAnsi="Times New Roman"/>
          <w:sz w:val="26"/>
          <w:szCs w:val="26"/>
        </w:rPr>
        <w:t>2</w:t>
      </w:r>
      <w:r w:rsidRPr="00B66252">
        <w:rPr>
          <w:rFonts w:ascii="Times New Roman" w:hAnsi="Times New Roman"/>
          <w:sz w:val="26"/>
          <w:szCs w:val="26"/>
        </w:rPr>
        <w:t xml:space="preserve">.tabulu). </w:t>
      </w:r>
    </w:p>
    <w:p w14:paraId="7B2AAF52" w14:textId="77777777" w:rsidR="00074494" w:rsidRPr="00B66252" w:rsidRDefault="00074494" w:rsidP="00074494">
      <w:pPr>
        <w:spacing w:after="120"/>
        <w:ind w:firstLine="567"/>
        <w:jc w:val="both"/>
        <w:rPr>
          <w:rFonts w:ascii="Times New Roman" w:hAnsi="Times New Roman"/>
          <w:sz w:val="16"/>
          <w:szCs w:val="16"/>
        </w:rPr>
      </w:pPr>
    </w:p>
    <w:p w14:paraId="2F94E3A9" w14:textId="6816F191" w:rsidR="00074494" w:rsidRPr="00B66252" w:rsidRDefault="00F264A7" w:rsidP="00074494">
      <w:pPr>
        <w:spacing w:after="120"/>
        <w:jc w:val="right"/>
        <w:rPr>
          <w:rFonts w:ascii="Times New Roman" w:hAnsi="Times New Roman"/>
          <w:sz w:val="24"/>
          <w:szCs w:val="24"/>
        </w:rPr>
      </w:pPr>
      <w:r w:rsidRPr="00B66252">
        <w:rPr>
          <w:rFonts w:ascii="Times New Roman" w:hAnsi="Times New Roman"/>
          <w:sz w:val="24"/>
          <w:szCs w:val="24"/>
        </w:rPr>
        <w:t>2</w:t>
      </w:r>
      <w:r w:rsidR="00074494" w:rsidRPr="00B66252">
        <w:rPr>
          <w:rFonts w:ascii="Times New Roman" w:hAnsi="Times New Roman"/>
          <w:sz w:val="24"/>
          <w:szCs w:val="24"/>
        </w:rPr>
        <w:t>.tabula</w:t>
      </w:r>
    </w:p>
    <w:p w14:paraId="7DEEA26F" w14:textId="77777777" w:rsidR="00074494" w:rsidRPr="00B66252" w:rsidRDefault="00074494" w:rsidP="00074494">
      <w:pPr>
        <w:spacing w:after="120"/>
        <w:jc w:val="center"/>
        <w:rPr>
          <w:rFonts w:ascii="Times New Roman" w:eastAsia="Calibri" w:hAnsi="Times New Roman"/>
          <w:sz w:val="24"/>
          <w:szCs w:val="24"/>
          <w:lang w:eastAsia="lv-LV"/>
        </w:rPr>
      </w:pPr>
      <w:r w:rsidRPr="00B66252">
        <w:rPr>
          <w:rFonts w:ascii="Times New Roman" w:hAnsi="Times New Roman"/>
          <w:b/>
          <w:bCs/>
          <w:sz w:val="24"/>
          <w:szCs w:val="24"/>
          <w:lang w:eastAsia="lv-LV"/>
        </w:rPr>
        <w:t>No Ekonomikas ministrijas budžeta programmas 33.00.00 "Ekonomikas attīstības programma" segtās administratīvās izmaksas</w:t>
      </w:r>
      <w:r w:rsidRPr="00B66252">
        <w:rPr>
          <w:rFonts w:ascii="Times New Roman" w:hAnsi="Times New Roman"/>
          <w:b/>
          <w:sz w:val="24"/>
          <w:szCs w:val="24"/>
        </w:rPr>
        <w:t xml:space="preserve"> (tūkst. </w:t>
      </w:r>
      <w:r w:rsidRPr="00B66252">
        <w:rPr>
          <w:rFonts w:ascii="Times New Roman" w:hAnsi="Times New Roman"/>
          <w:b/>
          <w:i/>
          <w:sz w:val="24"/>
          <w:szCs w:val="24"/>
        </w:rPr>
        <w:t>euro</w:t>
      </w:r>
      <w:r w:rsidRPr="00B66252">
        <w:rPr>
          <w:rFonts w:ascii="Times New Roman" w:hAnsi="Times New Roman"/>
          <w:b/>
          <w:sz w:val="24"/>
          <w:szCs w:val="24"/>
        </w:rPr>
        <w:t>)</w:t>
      </w:r>
    </w:p>
    <w:tbl>
      <w:tblPr>
        <w:tblW w:w="9085" w:type="dxa"/>
        <w:tblInd w:w="-5" w:type="dxa"/>
        <w:tblLook w:val="04A0" w:firstRow="1" w:lastRow="0" w:firstColumn="1" w:lastColumn="0" w:noHBand="0" w:noVBand="1"/>
      </w:tblPr>
      <w:tblGrid>
        <w:gridCol w:w="2835"/>
        <w:gridCol w:w="1250"/>
        <w:gridCol w:w="1250"/>
        <w:gridCol w:w="1250"/>
        <w:gridCol w:w="1250"/>
        <w:gridCol w:w="1250"/>
      </w:tblGrid>
      <w:tr w:rsidR="00074494" w:rsidRPr="00B66252" w14:paraId="148679FD" w14:textId="77777777" w:rsidTr="00074494">
        <w:trPr>
          <w:trHeight w:val="615"/>
        </w:trPr>
        <w:tc>
          <w:tcPr>
            <w:tcW w:w="2835" w:type="dxa"/>
            <w:tcBorders>
              <w:top w:val="single" w:sz="4" w:space="0" w:color="auto"/>
              <w:left w:val="single" w:sz="4" w:space="0" w:color="auto"/>
              <w:bottom w:val="single" w:sz="4" w:space="0" w:color="auto"/>
              <w:right w:val="single" w:sz="4" w:space="0" w:color="auto"/>
            </w:tcBorders>
            <w:vAlign w:val="center"/>
            <w:hideMark/>
          </w:tcPr>
          <w:p w14:paraId="46DA6693" w14:textId="77777777" w:rsidR="00074494" w:rsidRPr="00B66252" w:rsidRDefault="00074494" w:rsidP="00074494">
            <w:pPr>
              <w:jc w:val="center"/>
              <w:rPr>
                <w:rFonts w:ascii="Times New Roman" w:hAnsi="Times New Roman"/>
                <w:b/>
                <w:sz w:val="24"/>
                <w:szCs w:val="24"/>
                <w:lang w:eastAsia="lv-LV"/>
              </w:rPr>
            </w:pPr>
            <w:r w:rsidRPr="00B66252">
              <w:rPr>
                <w:rFonts w:ascii="Times New Roman" w:hAnsi="Times New Roman"/>
                <w:b/>
                <w:sz w:val="24"/>
                <w:szCs w:val="24"/>
                <w:lang w:eastAsia="lv-LV"/>
              </w:rPr>
              <w:t>Institūcija</w:t>
            </w:r>
          </w:p>
        </w:tc>
        <w:tc>
          <w:tcPr>
            <w:tcW w:w="1250" w:type="dxa"/>
            <w:tcBorders>
              <w:top w:val="single" w:sz="4" w:space="0" w:color="auto"/>
              <w:left w:val="single" w:sz="4" w:space="0" w:color="auto"/>
              <w:bottom w:val="single" w:sz="4" w:space="0" w:color="auto"/>
              <w:right w:val="single" w:sz="4" w:space="0" w:color="auto"/>
            </w:tcBorders>
            <w:vAlign w:val="center"/>
            <w:hideMark/>
          </w:tcPr>
          <w:p w14:paraId="439DDEC2" w14:textId="77777777" w:rsidR="00074494" w:rsidRPr="00B66252" w:rsidRDefault="00074494" w:rsidP="00074494">
            <w:pPr>
              <w:jc w:val="center"/>
              <w:rPr>
                <w:rFonts w:ascii="Times New Roman" w:hAnsi="Times New Roman"/>
                <w:b/>
                <w:sz w:val="24"/>
                <w:szCs w:val="24"/>
                <w:lang w:eastAsia="lv-LV"/>
              </w:rPr>
            </w:pPr>
            <w:r w:rsidRPr="00B66252">
              <w:rPr>
                <w:rFonts w:ascii="Times New Roman" w:hAnsi="Times New Roman"/>
                <w:b/>
                <w:sz w:val="24"/>
                <w:szCs w:val="24"/>
                <w:lang w:eastAsia="lv-LV"/>
              </w:rPr>
              <w:t>2016.gadā piešķirts</w:t>
            </w:r>
          </w:p>
        </w:tc>
        <w:tc>
          <w:tcPr>
            <w:tcW w:w="1250" w:type="dxa"/>
            <w:tcBorders>
              <w:top w:val="single" w:sz="4" w:space="0" w:color="auto"/>
              <w:left w:val="single" w:sz="4" w:space="0" w:color="auto"/>
              <w:bottom w:val="single" w:sz="4" w:space="0" w:color="auto"/>
              <w:right w:val="single" w:sz="4" w:space="0" w:color="auto"/>
            </w:tcBorders>
            <w:vAlign w:val="center"/>
            <w:hideMark/>
          </w:tcPr>
          <w:p w14:paraId="1A778BA6" w14:textId="77777777" w:rsidR="00074494" w:rsidRPr="00B66252" w:rsidRDefault="00074494" w:rsidP="00074494">
            <w:pPr>
              <w:jc w:val="center"/>
              <w:rPr>
                <w:rFonts w:ascii="Times New Roman" w:hAnsi="Times New Roman"/>
                <w:b/>
                <w:sz w:val="24"/>
                <w:szCs w:val="24"/>
                <w:lang w:eastAsia="lv-LV"/>
              </w:rPr>
            </w:pPr>
            <w:r w:rsidRPr="00B66252">
              <w:rPr>
                <w:rFonts w:ascii="Times New Roman" w:hAnsi="Times New Roman"/>
                <w:b/>
                <w:sz w:val="24"/>
                <w:szCs w:val="24"/>
                <w:lang w:eastAsia="lv-LV"/>
              </w:rPr>
              <w:t>2017.gadā piešķirts</w:t>
            </w:r>
          </w:p>
        </w:tc>
        <w:tc>
          <w:tcPr>
            <w:tcW w:w="1250" w:type="dxa"/>
            <w:tcBorders>
              <w:top w:val="single" w:sz="4" w:space="0" w:color="auto"/>
              <w:left w:val="single" w:sz="4" w:space="0" w:color="auto"/>
              <w:bottom w:val="single" w:sz="4" w:space="0" w:color="auto"/>
              <w:right w:val="single" w:sz="4" w:space="0" w:color="auto"/>
            </w:tcBorders>
            <w:vAlign w:val="center"/>
          </w:tcPr>
          <w:p w14:paraId="77352A9B" w14:textId="77777777" w:rsidR="00074494" w:rsidRPr="00B66252" w:rsidRDefault="00074494" w:rsidP="00074494">
            <w:pPr>
              <w:jc w:val="center"/>
              <w:rPr>
                <w:rFonts w:ascii="Times New Roman" w:hAnsi="Times New Roman"/>
                <w:b/>
                <w:sz w:val="24"/>
                <w:szCs w:val="24"/>
                <w:lang w:eastAsia="lv-LV"/>
              </w:rPr>
            </w:pPr>
            <w:r w:rsidRPr="00B66252">
              <w:rPr>
                <w:rFonts w:ascii="Times New Roman" w:hAnsi="Times New Roman"/>
                <w:b/>
                <w:sz w:val="24"/>
                <w:szCs w:val="24"/>
                <w:lang w:eastAsia="lv-LV"/>
              </w:rPr>
              <w:t>2018.gadā piešķirts</w:t>
            </w:r>
          </w:p>
        </w:tc>
        <w:tc>
          <w:tcPr>
            <w:tcW w:w="1250" w:type="dxa"/>
            <w:tcBorders>
              <w:top w:val="single" w:sz="4" w:space="0" w:color="auto"/>
              <w:left w:val="single" w:sz="4" w:space="0" w:color="auto"/>
              <w:bottom w:val="single" w:sz="4" w:space="0" w:color="auto"/>
              <w:right w:val="single" w:sz="4" w:space="0" w:color="auto"/>
            </w:tcBorders>
            <w:vAlign w:val="center"/>
          </w:tcPr>
          <w:p w14:paraId="4DB06B34" w14:textId="77777777" w:rsidR="00074494" w:rsidRPr="00B66252" w:rsidRDefault="00074494" w:rsidP="00074494">
            <w:pPr>
              <w:jc w:val="center"/>
              <w:rPr>
                <w:rFonts w:ascii="Times New Roman" w:hAnsi="Times New Roman"/>
                <w:b/>
                <w:sz w:val="24"/>
                <w:szCs w:val="24"/>
                <w:lang w:eastAsia="lv-LV"/>
              </w:rPr>
            </w:pPr>
            <w:r w:rsidRPr="00B66252">
              <w:rPr>
                <w:rFonts w:ascii="Times New Roman" w:hAnsi="Times New Roman"/>
                <w:b/>
                <w:sz w:val="24"/>
                <w:szCs w:val="24"/>
                <w:lang w:eastAsia="lv-LV"/>
              </w:rPr>
              <w:t>2019.gadā piešķirts</w:t>
            </w:r>
          </w:p>
        </w:tc>
        <w:tc>
          <w:tcPr>
            <w:tcW w:w="1250" w:type="dxa"/>
            <w:tcBorders>
              <w:top w:val="single" w:sz="4" w:space="0" w:color="auto"/>
              <w:left w:val="single" w:sz="4" w:space="0" w:color="auto"/>
              <w:bottom w:val="single" w:sz="4" w:space="0" w:color="auto"/>
              <w:right w:val="single" w:sz="4" w:space="0" w:color="auto"/>
            </w:tcBorders>
            <w:vAlign w:val="center"/>
          </w:tcPr>
          <w:p w14:paraId="040D7D24" w14:textId="77777777" w:rsidR="00074494" w:rsidRPr="00B66252" w:rsidRDefault="00074494" w:rsidP="00074494">
            <w:pPr>
              <w:jc w:val="center"/>
              <w:rPr>
                <w:rFonts w:ascii="Times New Roman" w:hAnsi="Times New Roman"/>
                <w:b/>
                <w:sz w:val="24"/>
                <w:szCs w:val="24"/>
                <w:lang w:eastAsia="lv-LV"/>
              </w:rPr>
            </w:pPr>
            <w:r w:rsidRPr="00B66252">
              <w:rPr>
                <w:rFonts w:ascii="Times New Roman" w:hAnsi="Times New Roman"/>
                <w:b/>
                <w:sz w:val="24"/>
                <w:szCs w:val="24"/>
                <w:lang w:eastAsia="lv-LV"/>
              </w:rPr>
              <w:t>2020.gadā piešķirts</w:t>
            </w:r>
          </w:p>
        </w:tc>
      </w:tr>
      <w:tr w:rsidR="00074494" w:rsidRPr="00B66252" w14:paraId="7A42058D" w14:textId="77777777" w:rsidTr="00074494">
        <w:trPr>
          <w:trHeight w:val="66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2A353" w14:textId="77777777" w:rsidR="00074494" w:rsidRPr="00B66252" w:rsidRDefault="00074494" w:rsidP="00074494">
            <w:pPr>
              <w:rPr>
                <w:rFonts w:ascii="Times New Roman" w:hAnsi="Times New Roman"/>
                <w:sz w:val="24"/>
                <w:szCs w:val="24"/>
                <w:lang w:eastAsia="lv-LV"/>
              </w:rPr>
            </w:pPr>
            <w:r w:rsidRPr="00B66252">
              <w:rPr>
                <w:rFonts w:ascii="Times New Roman" w:hAnsi="Times New Roman"/>
                <w:b/>
                <w:bCs/>
                <w:sz w:val="24"/>
                <w:szCs w:val="24"/>
                <w:lang w:eastAsia="lv-LV"/>
              </w:rPr>
              <w:t>Iekšlietu ministrija</w:t>
            </w:r>
            <w:r w:rsidRPr="00B66252">
              <w:rPr>
                <w:rFonts w:ascii="Times New Roman" w:hAnsi="Times New Roman"/>
                <w:sz w:val="24"/>
                <w:szCs w:val="24"/>
                <w:lang w:eastAsia="lv-LV"/>
              </w:rPr>
              <w:t xml:space="preserve"> </w:t>
            </w:r>
          </w:p>
          <w:p w14:paraId="2E405469" w14:textId="77777777" w:rsidR="00074494" w:rsidRPr="00B66252" w:rsidRDefault="00074494" w:rsidP="00074494">
            <w:pPr>
              <w:rPr>
                <w:rFonts w:ascii="Times New Roman" w:hAnsi="Times New Roman"/>
                <w:b/>
                <w:bCs/>
                <w:sz w:val="24"/>
                <w:szCs w:val="24"/>
                <w:lang w:eastAsia="lv-LV"/>
              </w:rPr>
            </w:pPr>
            <w:r w:rsidRPr="00B66252">
              <w:rPr>
                <w:rFonts w:ascii="Times New Roman" w:hAnsi="Times New Roman"/>
                <w:sz w:val="24"/>
                <w:szCs w:val="24"/>
                <w:lang w:eastAsia="lv-LV"/>
              </w:rPr>
              <w:t xml:space="preserve">(Pilsonības un migrācijas lietu pārvalde) </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30EE4"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230,84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F3D5C"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240,13</w:t>
            </w:r>
          </w:p>
        </w:tc>
        <w:tc>
          <w:tcPr>
            <w:tcW w:w="1250" w:type="dxa"/>
            <w:tcBorders>
              <w:top w:val="single" w:sz="4" w:space="0" w:color="auto"/>
              <w:left w:val="single" w:sz="4" w:space="0" w:color="auto"/>
              <w:bottom w:val="single" w:sz="4" w:space="0" w:color="auto"/>
              <w:right w:val="single" w:sz="4" w:space="0" w:color="auto"/>
            </w:tcBorders>
            <w:vAlign w:val="center"/>
          </w:tcPr>
          <w:p w14:paraId="3131C811"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40,21</w:t>
            </w:r>
          </w:p>
        </w:tc>
        <w:tc>
          <w:tcPr>
            <w:tcW w:w="1250" w:type="dxa"/>
            <w:tcBorders>
              <w:top w:val="single" w:sz="4" w:space="0" w:color="auto"/>
              <w:left w:val="single" w:sz="4" w:space="0" w:color="auto"/>
              <w:bottom w:val="single" w:sz="4" w:space="0" w:color="auto"/>
              <w:right w:val="single" w:sz="4" w:space="0" w:color="auto"/>
            </w:tcBorders>
            <w:vAlign w:val="center"/>
          </w:tcPr>
          <w:p w14:paraId="5DD4FF41"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80,77</w:t>
            </w:r>
          </w:p>
        </w:tc>
        <w:tc>
          <w:tcPr>
            <w:tcW w:w="1250" w:type="dxa"/>
            <w:tcBorders>
              <w:top w:val="single" w:sz="4" w:space="0" w:color="auto"/>
              <w:left w:val="single" w:sz="4" w:space="0" w:color="auto"/>
              <w:bottom w:val="single" w:sz="4" w:space="0" w:color="auto"/>
              <w:right w:val="single" w:sz="4" w:space="0" w:color="auto"/>
            </w:tcBorders>
            <w:vAlign w:val="center"/>
          </w:tcPr>
          <w:p w14:paraId="4F513A9A"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35,39</w:t>
            </w:r>
          </w:p>
        </w:tc>
      </w:tr>
      <w:tr w:rsidR="00074494" w:rsidRPr="00B66252" w14:paraId="2186C729" w14:textId="77777777" w:rsidTr="00074494">
        <w:trPr>
          <w:trHeight w:val="68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BE9BC" w14:textId="77777777" w:rsidR="00074494" w:rsidRPr="00B66252" w:rsidRDefault="00074494" w:rsidP="00074494">
            <w:pPr>
              <w:rPr>
                <w:rFonts w:ascii="Times New Roman" w:hAnsi="Times New Roman"/>
                <w:b/>
                <w:bCs/>
                <w:sz w:val="24"/>
                <w:szCs w:val="24"/>
                <w:lang w:eastAsia="lv-LV"/>
              </w:rPr>
            </w:pPr>
            <w:r w:rsidRPr="00B66252">
              <w:rPr>
                <w:rFonts w:ascii="Times New Roman" w:hAnsi="Times New Roman"/>
                <w:b/>
                <w:bCs/>
                <w:sz w:val="24"/>
                <w:szCs w:val="24"/>
                <w:lang w:eastAsia="lv-LV"/>
              </w:rPr>
              <w:t>Iekšlietu ministrija</w:t>
            </w:r>
          </w:p>
          <w:p w14:paraId="7CA2A058" w14:textId="77777777" w:rsidR="00074494" w:rsidRPr="00B66252" w:rsidRDefault="00074494" w:rsidP="00074494">
            <w:pPr>
              <w:rPr>
                <w:rFonts w:ascii="Times New Roman" w:hAnsi="Times New Roman"/>
                <w:b/>
                <w:bCs/>
                <w:sz w:val="24"/>
                <w:szCs w:val="24"/>
                <w:lang w:eastAsia="lv-LV"/>
              </w:rPr>
            </w:pPr>
            <w:r w:rsidRPr="00B66252">
              <w:rPr>
                <w:rFonts w:ascii="Times New Roman" w:hAnsi="Times New Roman"/>
                <w:sz w:val="24"/>
                <w:szCs w:val="24"/>
                <w:lang w:eastAsia="lv-LV"/>
              </w:rPr>
              <w:t>(Valsts drošības dienests)</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E4203"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221,00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673240"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210,00</w:t>
            </w:r>
          </w:p>
        </w:tc>
        <w:tc>
          <w:tcPr>
            <w:tcW w:w="1250" w:type="dxa"/>
            <w:tcBorders>
              <w:top w:val="single" w:sz="4" w:space="0" w:color="auto"/>
              <w:left w:val="single" w:sz="4" w:space="0" w:color="auto"/>
              <w:bottom w:val="single" w:sz="4" w:space="0" w:color="auto"/>
              <w:right w:val="single" w:sz="4" w:space="0" w:color="auto"/>
            </w:tcBorders>
            <w:vAlign w:val="center"/>
          </w:tcPr>
          <w:p w14:paraId="31FF8DD4"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210,00</w:t>
            </w:r>
          </w:p>
        </w:tc>
        <w:tc>
          <w:tcPr>
            <w:tcW w:w="1250" w:type="dxa"/>
            <w:tcBorders>
              <w:top w:val="single" w:sz="4" w:space="0" w:color="auto"/>
              <w:left w:val="single" w:sz="4" w:space="0" w:color="auto"/>
              <w:bottom w:val="single" w:sz="4" w:space="0" w:color="auto"/>
              <w:right w:val="single" w:sz="4" w:space="0" w:color="auto"/>
            </w:tcBorders>
            <w:vAlign w:val="center"/>
          </w:tcPr>
          <w:p w14:paraId="33F0C9EB"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210,00</w:t>
            </w:r>
          </w:p>
        </w:tc>
        <w:tc>
          <w:tcPr>
            <w:tcW w:w="1250" w:type="dxa"/>
            <w:tcBorders>
              <w:top w:val="single" w:sz="4" w:space="0" w:color="auto"/>
              <w:left w:val="single" w:sz="4" w:space="0" w:color="auto"/>
              <w:bottom w:val="single" w:sz="4" w:space="0" w:color="auto"/>
              <w:right w:val="single" w:sz="4" w:space="0" w:color="auto"/>
            </w:tcBorders>
            <w:vAlign w:val="center"/>
          </w:tcPr>
          <w:p w14:paraId="377F1649"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210,00</w:t>
            </w:r>
          </w:p>
        </w:tc>
      </w:tr>
      <w:tr w:rsidR="00074494" w:rsidRPr="00B66252" w14:paraId="030A0986" w14:textId="77777777" w:rsidTr="00074494">
        <w:trPr>
          <w:trHeight w:val="62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3452A" w14:textId="77777777" w:rsidR="00074494" w:rsidRPr="00B66252" w:rsidRDefault="00074494" w:rsidP="00074494">
            <w:pPr>
              <w:rPr>
                <w:rFonts w:ascii="Times New Roman" w:hAnsi="Times New Roman"/>
                <w:sz w:val="24"/>
                <w:szCs w:val="24"/>
                <w:lang w:eastAsia="lv-LV"/>
              </w:rPr>
            </w:pPr>
            <w:r w:rsidRPr="00B66252">
              <w:rPr>
                <w:rFonts w:ascii="Times New Roman" w:hAnsi="Times New Roman"/>
                <w:b/>
                <w:bCs/>
                <w:sz w:val="24"/>
                <w:szCs w:val="24"/>
                <w:lang w:eastAsia="lv-LV"/>
              </w:rPr>
              <w:t>Finanšu ministrija</w:t>
            </w:r>
            <w:r w:rsidRPr="00B66252">
              <w:rPr>
                <w:rFonts w:ascii="Times New Roman" w:hAnsi="Times New Roman"/>
                <w:sz w:val="24"/>
                <w:szCs w:val="24"/>
                <w:lang w:eastAsia="lv-LV"/>
              </w:rPr>
              <w:t xml:space="preserve"> </w:t>
            </w:r>
          </w:p>
          <w:p w14:paraId="0ED12ADC" w14:textId="77777777" w:rsidR="00074494" w:rsidRPr="00B66252" w:rsidRDefault="00074494" w:rsidP="00074494">
            <w:pPr>
              <w:rPr>
                <w:rFonts w:ascii="Times New Roman" w:hAnsi="Times New Roman"/>
                <w:b/>
                <w:bCs/>
                <w:sz w:val="24"/>
                <w:szCs w:val="24"/>
                <w:lang w:eastAsia="lv-LV"/>
              </w:rPr>
            </w:pPr>
            <w:r w:rsidRPr="00B66252">
              <w:rPr>
                <w:rFonts w:ascii="Times New Roman" w:hAnsi="Times New Roman"/>
                <w:sz w:val="24"/>
                <w:szCs w:val="24"/>
                <w:lang w:eastAsia="lv-LV"/>
              </w:rPr>
              <w:t>(Valsts kase)</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60228"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46,80</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6D6FE8"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46,80</w:t>
            </w:r>
          </w:p>
        </w:tc>
        <w:tc>
          <w:tcPr>
            <w:tcW w:w="1250" w:type="dxa"/>
            <w:tcBorders>
              <w:top w:val="single" w:sz="4" w:space="0" w:color="auto"/>
              <w:left w:val="single" w:sz="4" w:space="0" w:color="auto"/>
              <w:bottom w:val="single" w:sz="4" w:space="0" w:color="auto"/>
              <w:right w:val="single" w:sz="4" w:space="0" w:color="auto"/>
            </w:tcBorders>
            <w:vAlign w:val="center"/>
          </w:tcPr>
          <w:p w14:paraId="666AD3AC"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46,80</w:t>
            </w:r>
          </w:p>
        </w:tc>
        <w:tc>
          <w:tcPr>
            <w:tcW w:w="1250" w:type="dxa"/>
            <w:tcBorders>
              <w:top w:val="single" w:sz="4" w:space="0" w:color="auto"/>
              <w:left w:val="single" w:sz="4" w:space="0" w:color="auto"/>
              <w:bottom w:val="single" w:sz="4" w:space="0" w:color="auto"/>
              <w:right w:val="single" w:sz="4" w:space="0" w:color="auto"/>
            </w:tcBorders>
            <w:vAlign w:val="center"/>
          </w:tcPr>
          <w:p w14:paraId="2B4756C3"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46,80</w:t>
            </w:r>
          </w:p>
        </w:tc>
        <w:tc>
          <w:tcPr>
            <w:tcW w:w="1250" w:type="dxa"/>
            <w:tcBorders>
              <w:top w:val="single" w:sz="4" w:space="0" w:color="auto"/>
              <w:left w:val="single" w:sz="4" w:space="0" w:color="auto"/>
              <w:bottom w:val="single" w:sz="4" w:space="0" w:color="auto"/>
              <w:right w:val="single" w:sz="4" w:space="0" w:color="auto"/>
            </w:tcBorders>
            <w:vAlign w:val="center"/>
          </w:tcPr>
          <w:p w14:paraId="6AD8322E" w14:textId="77777777" w:rsidR="00074494" w:rsidRPr="00B66252" w:rsidRDefault="00074494" w:rsidP="00074494">
            <w:pPr>
              <w:jc w:val="center"/>
              <w:rPr>
                <w:rFonts w:ascii="Times New Roman" w:hAnsi="Times New Roman"/>
                <w:sz w:val="24"/>
                <w:szCs w:val="24"/>
                <w:lang w:eastAsia="lv-LV"/>
              </w:rPr>
            </w:pPr>
            <w:r w:rsidRPr="00B66252">
              <w:rPr>
                <w:rFonts w:ascii="Times New Roman" w:hAnsi="Times New Roman"/>
                <w:sz w:val="24"/>
                <w:szCs w:val="24"/>
                <w:lang w:eastAsia="lv-LV"/>
              </w:rPr>
              <w:t>-</w:t>
            </w:r>
          </w:p>
        </w:tc>
      </w:tr>
      <w:tr w:rsidR="00074494" w:rsidRPr="00B66252" w14:paraId="74EC0092" w14:textId="77777777" w:rsidTr="00074494">
        <w:trPr>
          <w:trHeight w:val="454"/>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1C0211" w14:textId="77777777" w:rsidR="00074494" w:rsidRPr="00B66252" w:rsidRDefault="00074494" w:rsidP="00074494">
            <w:pPr>
              <w:jc w:val="right"/>
              <w:rPr>
                <w:rFonts w:ascii="Times New Roman" w:hAnsi="Times New Roman"/>
                <w:b/>
                <w:bCs/>
                <w:sz w:val="24"/>
                <w:szCs w:val="24"/>
                <w:lang w:eastAsia="lv-LV"/>
              </w:rPr>
            </w:pPr>
            <w:r w:rsidRPr="00B66252">
              <w:rPr>
                <w:rFonts w:ascii="Times New Roman" w:hAnsi="Times New Roman"/>
                <w:b/>
                <w:bCs/>
                <w:sz w:val="24"/>
                <w:szCs w:val="24"/>
                <w:lang w:eastAsia="lv-LV"/>
              </w:rPr>
              <w:t>Kopā</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81C58" w14:textId="77777777" w:rsidR="00074494" w:rsidRPr="00B66252" w:rsidRDefault="00074494" w:rsidP="00074494">
            <w:pPr>
              <w:jc w:val="center"/>
              <w:rPr>
                <w:rFonts w:ascii="Times New Roman" w:hAnsi="Times New Roman"/>
                <w:b/>
                <w:bCs/>
                <w:sz w:val="24"/>
                <w:szCs w:val="24"/>
                <w:lang w:eastAsia="lv-LV"/>
              </w:rPr>
            </w:pPr>
            <w:r w:rsidRPr="00B66252">
              <w:rPr>
                <w:rFonts w:ascii="Times New Roman" w:hAnsi="Times New Roman"/>
                <w:b/>
                <w:bCs/>
                <w:sz w:val="24"/>
                <w:szCs w:val="24"/>
                <w:lang w:eastAsia="lv-LV"/>
              </w:rPr>
              <w:t>498,64</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44878" w14:textId="77777777" w:rsidR="00074494" w:rsidRPr="00B66252" w:rsidRDefault="00074494" w:rsidP="00074494">
            <w:pPr>
              <w:jc w:val="center"/>
              <w:rPr>
                <w:rFonts w:ascii="Times New Roman" w:hAnsi="Times New Roman"/>
                <w:b/>
                <w:bCs/>
                <w:sz w:val="24"/>
                <w:szCs w:val="24"/>
                <w:lang w:eastAsia="lv-LV"/>
              </w:rPr>
            </w:pPr>
            <w:r w:rsidRPr="00B66252">
              <w:rPr>
                <w:rFonts w:ascii="Times New Roman" w:hAnsi="Times New Roman"/>
                <w:b/>
                <w:bCs/>
                <w:sz w:val="24"/>
                <w:szCs w:val="24"/>
                <w:lang w:eastAsia="lv-LV"/>
              </w:rPr>
              <w:t>496,93</w:t>
            </w:r>
          </w:p>
        </w:tc>
        <w:tc>
          <w:tcPr>
            <w:tcW w:w="1250" w:type="dxa"/>
            <w:tcBorders>
              <w:top w:val="single" w:sz="4" w:space="0" w:color="auto"/>
              <w:left w:val="single" w:sz="4" w:space="0" w:color="auto"/>
              <w:bottom w:val="single" w:sz="4" w:space="0" w:color="auto"/>
              <w:right w:val="single" w:sz="4" w:space="0" w:color="auto"/>
            </w:tcBorders>
            <w:vAlign w:val="center"/>
          </w:tcPr>
          <w:p w14:paraId="134CD7AC" w14:textId="77777777" w:rsidR="00074494" w:rsidRPr="00B66252" w:rsidRDefault="00074494" w:rsidP="00074494">
            <w:pPr>
              <w:jc w:val="center"/>
              <w:rPr>
                <w:rFonts w:ascii="Times New Roman" w:hAnsi="Times New Roman"/>
                <w:b/>
                <w:bCs/>
                <w:sz w:val="24"/>
                <w:szCs w:val="24"/>
                <w:lang w:eastAsia="lv-LV"/>
              </w:rPr>
            </w:pPr>
            <w:r w:rsidRPr="00B66252">
              <w:rPr>
                <w:rFonts w:ascii="Times New Roman" w:hAnsi="Times New Roman"/>
                <w:b/>
                <w:bCs/>
                <w:sz w:val="24"/>
                <w:szCs w:val="24"/>
                <w:lang w:eastAsia="lv-LV"/>
              </w:rPr>
              <w:t>297,01</w:t>
            </w:r>
          </w:p>
        </w:tc>
        <w:tc>
          <w:tcPr>
            <w:tcW w:w="1250" w:type="dxa"/>
            <w:tcBorders>
              <w:top w:val="single" w:sz="4" w:space="0" w:color="auto"/>
              <w:left w:val="single" w:sz="4" w:space="0" w:color="auto"/>
              <w:bottom w:val="single" w:sz="4" w:space="0" w:color="auto"/>
              <w:right w:val="single" w:sz="4" w:space="0" w:color="auto"/>
            </w:tcBorders>
            <w:vAlign w:val="center"/>
          </w:tcPr>
          <w:p w14:paraId="05FA9E2E" w14:textId="77777777" w:rsidR="00074494" w:rsidRPr="00B66252" w:rsidRDefault="00074494" w:rsidP="00074494">
            <w:pPr>
              <w:jc w:val="center"/>
              <w:rPr>
                <w:rFonts w:ascii="Times New Roman" w:hAnsi="Times New Roman"/>
                <w:b/>
                <w:bCs/>
                <w:sz w:val="24"/>
                <w:szCs w:val="24"/>
                <w:lang w:eastAsia="lv-LV"/>
              </w:rPr>
            </w:pPr>
            <w:r w:rsidRPr="00B66252">
              <w:rPr>
                <w:rFonts w:ascii="Times New Roman" w:hAnsi="Times New Roman"/>
                <w:b/>
                <w:bCs/>
                <w:sz w:val="24"/>
                <w:szCs w:val="24"/>
                <w:lang w:eastAsia="lv-LV"/>
              </w:rPr>
              <w:t>337,57</w:t>
            </w:r>
          </w:p>
        </w:tc>
        <w:tc>
          <w:tcPr>
            <w:tcW w:w="1250" w:type="dxa"/>
            <w:tcBorders>
              <w:top w:val="single" w:sz="4" w:space="0" w:color="auto"/>
              <w:left w:val="single" w:sz="4" w:space="0" w:color="auto"/>
              <w:bottom w:val="single" w:sz="4" w:space="0" w:color="auto"/>
              <w:right w:val="single" w:sz="4" w:space="0" w:color="auto"/>
            </w:tcBorders>
            <w:vAlign w:val="center"/>
          </w:tcPr>
          <w:p w14:paraId="7A930321" w14:textId="77777777" w:rsidR="00074494" w:rsidRPr="00B66252" w:rsidRDefault="00074494" w:rsidP="00074494">
            <w:pPr>
              <w:jc w:val="center"/>
              <w:rPr>
                <w:rFonts w:ascii="Times New Roman" w:hAnsi="Times New Roman"/>
                <w:b/>
                <w:bCs/>
                <w:sz w:val="24"/>
                <w:szCs w:val="24"/>
                <w:lang w:eastAsia="lv-LV"/>
              </w:rPr>
            </w:pPr>
            <w:r w:rsidRPr="00B66252">
              <w:rPr>
                <w:rFonts w:ascii="Times New Roman" w:hAnsi="Times New Roman"/>
                <w:b/>
                <w:bCs/>
                <w:sz w:val="24"/>
                <w:szCs w:val="24"/>
                <w:lang w:eastAsia="lv-LV"/>
              </w:rPr>
              <w:t>245,39</w:t>
            </w:r>
          </w:p>
        </w:tc>
      </w:tr>
    </w:tbl>
    <w:p w14:paraId="1CDEDD59" w14:textId="77777777" w:rsidR="00074494" w:rsidRPr="00F264A7" w:rsidRDefault="00074494" w:rsidP="00074494">
      <w:pPr>
        <w:spacing w:after="120"/>
        <w:rPr>
          <w:rFonts w:ascii="Times New Roman" w:hAnsi="Times New Roman"/>
          <w:i/>
          <w:iCs/>
        </w:rPr>
      </w:pPr>
      <w:r w:rsidRPr="00B66252">
        <w:rPr>
          <w:rFonts w:ascii="Times New Roman" w:hAnsi="Times New Roman"/>
          <w:i/>
          <w:iCs/>
        </w:rPr>
        <w:t>Avots: Ekonomikas ministrija</w:t>
      </w:r>
    </w:p>
    <w:p w14:paraId="30838687" w14:textId="77777777" w:rsidR="005A359D" w:rsidRDefault="005A359D" w:rsidP="008D5167">
      <w:pPr>
        <w:spacing w:after="120"/>
        <w:rPr>
          <w:rFonts w:ascii="Times New Roman" w:hAnsi="Times New Roman"/>
          <w:b/>
          <w:sz w:val="26"/>
          <w:szCs w:val="26"/>
        </w:rPr>
      </w:pPr>
    </w:p>
    <w:p w14:paraId="2BA768EC" w14:textId="77777777" w:rsidR="0021121A" w:rsidRPr="00EC6014" w:rsidRDefault="0021121A" w:rsidP="00EF1F29">
      <w:pPr>
        <w:spacing w:after="120"/>
        <w:jc w:val="center"/>
        <w:rPr>
          <w:rFonts w:ascii="Times New Roman" w:hAnsi="Times New Roman"/>
          <w:b/>
          <w:sz w:val="26"/>
          <w:szCs w:val="26"/>
        </w:rPr>
      </w:pPr>
    </w:p>
    <w:p w14:paraId="4A4EEAB6" w14:textId="77777777" w:rsidR="00AF3297" w:rsidRDefault="00AF3297" w:rsidP="00EF1F29">
      <w:pPr>
        <w:spacing w:after="120"/>
        <w:jc w:val="center"/>
        <w:rPr>
          <w:rFonts w:ascii="Times New Roman" w:hAnsi="Times New Roman"/>
          <w:b/>
          <w:sz w:val="26"/>
          <w:szCs w:val="26"/>
        </w:rPr>
      </w:pPr>
    </w:p>
    <w:p w14:paraId="508F275A" w14:textId="77777777" w:rsidR="00AF3297" w:rsidRDefault="00AF3297" w:rsidP="00EF1F29">
      <w:pPr>
        <w:spacing w:after="120"/>
        <w:jc w:val="center"/>
        <w:rPr>
          <w:rFonts w:ascii="Times New Roman" w:hAnsi="Times New Roman"/>
          <w:b/>
          <w:sz w:val="26"/>
          <w:szCs w:val="26"/>
        </w:rPr>
      </w:pPr>
    </w:p>
    <w:p w14:paraId="40CCB2C6" w14:textId="4B10221B" w:rsidR="00A67CA7" w:rsidRDefault="00EF1F29" w:rsidP="00EF1F29">
      <w:pPr>
        <w:spacing w:after="120"/>
        <w:jc w:val="center"/>
        <w:rPr>
          <w:rFonts w:ascii="Times New Roman" w:hAnsi="Times New Roman"/>
          <w:b/>
          <w:sz w:val="26"/>
          <w:szCs w:val="26"/>
        </w:rPr>
      </w:pPr>
      <w:r w:rsidRPr="00EC6014">
        <w:rPr>
          <w:rFonts w:ascii="Times New Roman" w:hAnsi="Times New Roman"/>
          <w:b/>
          <w:sz w:val="26"/>
          <w:szCs w:val="26"/>
        </w:rPr>
        <w:t xml:space="preserve">Atkārtotu TUA vai </w:t>
      </w:r>
      <w:r w:rsidR="00D10D03">
        <w:rPr>
          <w:rFonts w:ascii="Times New Roman" w:hAnsi="Times New Roman"/>
          <w:b/>
          <w:sz w:val="26"/>
          <w:szCs w:val="26"/>
        </w:rPr>
        <w:t>PUA</w:t>
      </w:r>
      <w:r w:rsidR="00A67CA7" w:rsidRPr="00EC6014">
        <w:rPr>
          <w:rFonts w:ascii="Times New Roman" w:hAnsi="Times New Roman"/>
          <w:b/>
          <w:sz w:val="26"/>
          <w:szCs w:val="26"/>
        </w:rPr>
        <w:t xml:space="preserve"> izsniegšana</w:t>
      </w:r>
    </w:p>
    <w:p w14:paraId="7A881900" w14:textId="77777777" w:rsidR="00A41BAA" w:rsidRPr="00EC6014" w:rsidRDefault="00A41BAA" w:rsidP="00EF1F29">
      <w:pPr>
        <w:spacing w:after="120"/>
        <w:jc w:val="center"/>
        <w:rPr>
          <w:rFonts w:ascii="Times New Roman" w:hAnsi="Times New Roman"/>
          <w:b/>
          <w:sz w:val="26"/>
          <w:szCs w:val="26"/>
        </w:rPr>
      </w:pPr>
    </w:p>
    <w:p w14:paraId="15F57BD4" w14:textId="77777777" w:rsidR="00B84C7A" w:rsidRPr="0082447D" w:rsidRDefault="00B84C7A" w:rsidP="007F100C">
      <w:pPr>
        <w:spacing w:after="120"/>
        <w:ind w:firstLine="567"/>
        <w:jc w:val="both"/>
        <w:rPr>
          <w:rFonts w:ascii="Times New Roman" w:eastAsia="Calibri" w:hAnsi="Times New Roman"/>
          <w:sz w:val="26"/>
          <w:szCs w:val="26"/>
          <w:highlight w:val="yellow"/>
          <w:lang w:eastAsia="lv-LV"/>
        </w:rPr>
      </w:pPr>
      <w:r w:rsidRPr="00EC6014">
        <w:rPr>
          <w:rFonts w:ascii="Times New Roman" w:eastAsia="Calibri" w:hAnsi="Times New Roman"/>
          <w:sz w:val="26"/>
          <w:szCs w:val="26"/>
          <w:lang w:eastAsia="lv-LV"/>
        </w:rPr>
        <w:t xml:space="preserve">Investīciju programma darbojas no 2010.gada 1.jūlija, paredzot TUA piešķiršanu uz piecu gadu periodu, un 2015.gada jūlijā beidzās pirmo programmas darbības sākumā piešķirto TUA derīguma termiņi. Beidzoties TUA derīguma termiņam, un ja personas vēlas turpināt uzturēties Latvijas Republikā, Imigrācijas likums paredz iespēju pieprasīt vai nu atkārtotu TUA (ja visi TUA pieprasīšanai nepieciešamie nosacījumi joprojām ir spēkā) vai PUA, ja trešās valsts pilsonis ir apguvis valsts valodu (līmenis 2A), viņam ir pietiekami finanšu līdzekļi, un viņa prombūtne no Latvijas Republikas TUA derīguma termiņa laikā nav pārsniegusi vienu gadu ar pārtraukumiem vai sešus mēnešus nepārtraukti. </w:t>
      </w:r>
    </w:p>
    <w:p w14:paraId="20AC8206" w14:textId="77777777" w:rsidR="0079434E" w:rsidRDefault="0079434E" w:rsidP="00BE74AC">
      <w:pPr>
        <w:ind w:right="11" w:firstLine="567"/>
        <w:jc w:val="right"/>
        <w:rPr>
          <w:rFonts w:ascii="Times New Roman" w:eastAsiaTheme="minorHAnsi" w:hAnsi="Times New Roman" w:cstheme="minorBidi"/>
          <w:sz w:val="26"/>
          <w:szCs w:val="26"/>
        </w:rPr>
      </w:pPr>
    </w:p>
    <w:p w14:paraId="43C42759" w14:textId="72D99816" w:rsidR="00A1706D" w:rsidRPr="009F4AF7" w:rsidRDefault="009A09A2" w:rsidP="00A1706D">
      <w:pPr>
        <w:spacing w:after="120"/>
        <w:ind w:right="11" w:firstLine="567"/>
        <w:jc w:val="right"/>
        <w:rPr>
          <w:rFonts w:ascii="Times New Roman" w:eastAsiaTheme="minorHAnsi" w:hAnsi="Times New Roman" w:cstheme="minorBidi"/>
          <w:sz w:val="26"/>
          <w:szCs w:val="26"/>
        </w:rPr>
      </w:pPr>
      <w:r w:rsidRPr="009F4AF7">
        <w:rPr>
          <w:rFonts w:ascii="Times New Roman" w:eastAsiaTheme="minorHAnsi" w:hAnsi="Times New Roman" w:cstheme="minorBidi"/>
          <w:sz w:val="26"/>
          <w:szCs w:val="26"/>
        </w:rPr>
        <w:t>3</w:t>
      </w:r>
      <w:r w:rsidR="00A1706D" w:rsidRPr="009F4AF7">
        <w:rPr>
          <w:rFonts w:ascii="Times New Roman" w:eastAsiaTheme="minorHAnsi" w:hAnsi="Times New Roman" w:cstheme="minorBidi"/>
          <w:sz w:val="26"/>
          <w:szCs w:val="26"/>
        </w:rPr>
        <w:t>.tabula</w:t>
      </w:r>
    </w:p>
    <w:p w14:paraId="57264F1B" w14:textId="1EE57C5E" w:rsidR="00A1706D" w:rsidRPr="0079434E" w:rsidRDefault="00A1706D" w:rsidP="00A1706D">
      <w:pPr>
        <w:spacing w:after="120"/>
        <w:ind w:right="11" w:firstLine="567"/>
        <w:jc w:val="center"/>
        <w:rPr>
          <w:rFonts w:ascii="Times New Roman" w:eastAsiaTheme="minorHAnsi" w:hAnsi="Times New Roman" w:cstheme="minorBidi"/>
          <w:b/>
          <w:sz w:val="24"/>
          <w:szCs w:val="24"/>
        </w:rPr>
      </w:pPr>
      <w:r w:rsidRPr="0079434E">
        <w:rPr>
          <w:rFonts w:ascii="Times New Roman" w:eastAsiaTheme="minorHAnsi" w:hAnsi="Times New Roman" w:cstheme="minorBidi"/>
          <w:b/>
          <w:sz w:val="24"/>
          <w:szCs w:val="24"/>
        </w:rPr>
        <w:t>Atkārtotu uzturēšanās atļauju pieprasījumi</w:t>
      </w:r>
      <w:r w:rsidR="008E7A45" w:rsidRPr="0079434E">
        <w:rPr>
          <w:rFonts w:ascii="Times New Roman" w:eastAsiaTheme="minorHAnsi" w:hAnsi="Times New Roman" w:cstheme="minorBidi"/>
          <w:b/>
          <w:sz w:val="24"/>
          <w:szCs w:val="24"/>
        </w:rPr>
        <w:t xml:space="preserve"> </w:t>
      </w:r>
      <w:r w:rsidR="00AF3297">
        <w:rPr>
          <w:rFonts w:ascii="Times New Roman" w:eastAsiaTheme="minorHAnsi" w:hAnsi="Times New Roman" w:cstheme="minorBidi"/>
          <w:b/>
          <w:sz w:val="24"/>
          <w:szCs w:val="24"/>
        </w:rPr>
        <w:t>01.</w:t>
      </w:r>
      <w:r w:rsidR="008E7A45" w:rsidRPr="0079434E">
        <w:rPr>
          <w:rFonts w:ascii="Times New Roman" w:eastAsiaTheme="minorHAnsi" w:hAnsi="Times New Roman" w:cstheme="minorBidi"/>
          <w:b/>
          <w:sz w:val="24"/>
          <w:szCs w:val="24"/>
        </w:rPr>
        <w:t>07.2015.-</w:t>
      </w:r>
      <w:r w:rsidR="002874E0">
        <w:rPr>
          <w:rFonts w:ascii="Times New Roman" w:eastAsiaTheme="minorHAnsi" w:hAnsi="Times New Roman" w:cstheme="minorBidi"/>
          <w:b/>
          <w:sz w:val="24"/>
          <w:szCs w:val="24"/>
        </w:rPr>
        <w:t>31.12.2020</w:t>
      </w:r>
      <w:r w:rsidR="008E7A45" w:rsidRPr="0079434E">
        <w:rPr>
          <w:rFonts w:ascii="Times New Roman" w:eastAsiaTheme="minorHAnsi" w:hAnsi="Times New Roman" w:cstheme="minorBidi"/>
          <w:b/>
          <w:sz w:val="24"/>
          <w:szCs w:val="24"/>
        </w:rPr>
        <w:t>.</w:t>
      </w:r>
      <w:r w:rsidR="003A4F67" w:rsidRPr="0079434E">
        <w:rPr>
          <w:rFonts w:ascii="Times New Roman" w:eastAsiaTheme="minorHAnsi" w:hAnsi="Times New Roman" w:cstheme="minorBidi"/>
          <w:b/>
          <w:sz w:val="24"/>
          <w:szCs w:val="24"/>
        </w:rPr>
        <w:t xml:space="preserve"> </w:t>
      </w:r>
    </w:p>
    <w:tbl>
      <w:tblPr>
        <w:tblStyle w:val="TableGrid"/>
        <w:tblW w:w="0" w:type="auto"/>
        <w:jc w:val="right"/>
        <w:tblLook w:val="04A0" w:firstRow="1" w:lastRow="0" w:firstColumn="1" w:lastColumn="0" w:noHBand="0" w:noVBand="1"/>
      </w:tblPr>
      <w:tblGrid>
        <w:gridCol w:w="2028"/>
        <w:gridCol w:w="1580"/>
        <w:gridCol w:w="1420"/>
        <w:gridCol w:w="1420"/>
        <w:gridCol w:w="1329"/>
        <w:gridCol w:w="1471"/>
      </w:tblGrid>
      <w:tr w:rsidR="00A1706D" w:rsidRPr="009F4AF7" w14:paraId="435C7B65" w14:textId="77777777" w:rsidTr="0079434E">
        <w:trPr>
          <w:jc w:val="right"/>
        </w:trPr>
        <w:tc>
          <w:tcPr>
            <w:tcW w:w="2028" w:type="dxa"/>
          </w:tcPr>
          <w:p w14:paraId="73B5AD7A" w14:textId="77777777" w:rsidR="00A1706D" w:rsidRPr="009F4AF7" w:rsidRDefault="00A1706D" w:rsidP="00A1706D">
            <w:pPr>
              <w:spacing w:after="120"/>
              <w:ind w:right="11"/>
              <w:jc w:val="center"/>
              <w:rPr>
                <w:rFonts w:ascii="Times New Roman" w:eastAsiaTheme="minorHAnsi" w:hAnsi="Times New Roman" w:cstheme="minorBidi"/>
                <w:sz w:val="24"/>
                <w:szCs w:val="24"/>
              </w:rPr>
            </w:pPr>
          </w:p>
        </w:tc>
        <w:tc>
          <w:tcPr>
            <w:tcW w:w="1580" w:type="dxa"/>
          </w:tcPr>
          <w:p w14:paraId="1BCD0607" w14:textId="7516CE5C" w:rsidR="00A1706D" w:rsidRPr="009F4AF7" w:rsidRDefault="00162886"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 xml:space="preserve">Atkārtoto </w:t>
            </w:r>
            <w:r w:rsidR="00D10D03">
              <w:rPr>
                <w:rFonts w:ascii="Times New Roman" w:eastAsiaTheme="minorHAnsi" w:hAnsi="Times New Roman" w:cstheme="minorBidi"/>
                <w:sz w:val="24"/>
                <w:szCs w:val="24"/>
              </w:rPr>
              <w:t>uzturēšanās atļauju</w:t>
            </w:r>
            <w:r w:rsidR="00A1706D" w:rsidRPr="009F4AF7">
              <w:rPr>
                <w:rFonts w:ascii="Times New Roman" w:eastAsiaTheme="minorHAnsi" w:hAnsi="Times New Roman" w:cstheme="minorBidi"/>
                <w:sz w:val="24"/>
                <w:szCs w:val="24"/>
              </w:rPr>
              <w:t xml:space="preserve"> pieprasījumu skaits</w:t>
            </w:r>
          </w:p>
        </w:tc>
        <w:tc>
          <w:tcPr>
            <w:tcW w:w="1420" w:type="dxa"/>
          </w:tcPr>
          <w:p w14:paraId="236CF2D1"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Pieņemts lēmums par TUA piešķiršanu</w:t>
            </w:r>
          </w:p>
        </w:tc>
        <w:tc>
          <w:tcPr>
            <w:tcW w:w="1420" w:type="dxa"/>
          </w:tcPr>
          <w:p w14:paraId="25ABFF37"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Pieņemts lēmums par PUA piešķiršanu</w:t>
            </w:r>
          </w:p>
        </w:tc>
        <w:tc>
          <w:tcPr>
            <w:tcW w:w="1329" w:type="dxa"/>
          </w:tcPr>
          <w:p w14:paraId="526A98CD"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Atteikums</w:t>
            </w:r>
          </w:p>
        </w:tc>
        <w:tc>
          <w:tcPr>
            <w:tcW w:w="1471" w:type="dxa"/>
          </w:tcPr>
          <w:p w14:paraId="5E74D6AC" w14:textId="77777777" w:rsidR="00A1706D" w:rsidRPr="009F4AF7" w:rsidRDefault="00A1706D" w:rsidP="00A1706D">
            <w:pPr>
              <w:spacing w:after="120"/>
              <w:ind w:right="11"/>
              <w:jc w:val="center"/>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Pieteikums atrodas izskatīšanas stadijā</w:t>
            </w:r>
          </w:p>
        </w:tc>
      </w:tr>
      <w:tr w:rsidR="00A1706D" w:rsidRPr="009F4AF7" w14:paraId="0828076C" w14:textId="77777777" w:rsidTr="0079434E">
        <w:trPr>
          <w:jc w:val="right"/>
        </w:trPr>
        <w:tc>
          <w:tcPr>
            <w:tcW w:w="2028" w:type="dxa"/>
            <w:shd w:val="clear" w:color="auto" w:fill="auto"/>
          </w:tcPr>
          <w:p w14:paraId="4DF6B5A5" w14:textId="77777777" w:rsidR="00A1706D" w:rsidRPr="009F4AF7" w:rsidRDefault="00A1706D" w:rsidP="00A1706D">
            <w:pPr>
              <w:spacing w:after="120"/>
              <w:ind w:right="11"/>
              <w:jc w:val="right"/>
              <w:rPr>
                <w:rFonts w:ascii="Times New Roman" w:eastAsiaTheme="minorHAnsi" w:hAnsi="Times New Roman" w:cstheme="minorBidi"/>
                <w:b/>
                <w:sz w:val="24"/>
                <w:szCs w:val="24"/>
              </w:rPr>
            </w:pPr>
            <w:r w:rsidRPr="009F4AF7">
              <w:rPr>
                <w:rFonts w:ascii="Times New Roman" w:eastAsiaTheme="minorHAnsi" w:hAnsi="Times New Roman" w:cstheme="minorBidi"/>
                <w:b/>
                <w:sz w:val="24"/>
                <w:szCs w:val="24"/>
              </w:rPr>
              <w:t>Ieguldītāji kapitālsabiedrībā</w:t>
            </w:r>
          </w:p>
        </w:tc>
        <w:tc>
          <w:tcPr>
            <w:tcW w:w="1580" w:type="dxa"/>
            <w:shd w:val="clear" w:color="auto" w:fill="auto"/>
            <w:vAlign w:val="center"/>
          </w:tcPr>
          <w:p w14:paraId="0CA3609F" w14:textId="000BB1BD" w:rsidR="00A1706D" w:rsidRPr="004979E8" w:rsidRDefault="009F4AF7" w:rsidP="00EC511A">
            <w:pPr>
              <w:ind w:right="11"/>
              <w:jc w:val="right"/>
              <w:rPr>
                <w:rFonts w:ascii="Times New Roman" w:eastAsiaTheme="minorHAnsi" w:hAnsi="Times New Roman"/>
                <w:b/>
                <w:sz w:val="24"/>
                <w:szCs w:val="24"/>
              </w:rPr>
            </w:pPr>
            <w:r w:rsidRPr="004979E8">
              <w:rPr>
                <w:rFonts w:ascii="Times New Roman" w:eastAsiaTheme="minorHAnsi" w:hAnsi="Times New Roman"/>
                <w:b/>
                <w:sz w:val="24"/>
                <w:szCs w:val="24"/>
              </w:rPr>
              <w:t>1</w:t>
            </w:r>
            <w:r w:rsidR="00EC511A" w:rsidRPr="004979E8">
              <w:rPr>
                <w:rFonts w:ascii="Times New Roman" w:eastAsiaTheme="minorHAnsi" w:hAnsi="Times New Roman"/>
                <w:b/>
                <w:sz w:val="24"/>
                <w:szCs w:val="24"/>
              </w:rPr>
              <w:t>45</w:t>
            </w:r>
          </w:p>
        </w:tc>
        <w:tc>
          <w:tcPr>
            <w:tcW w:w="1420" w:type="dxa"/>
            <w:shd w:val="clear" w:color="auto" w:fill="auto"/>
            <w:vAlign w:val="center"/>
          </w:tcPr>
          <w:p w14:paraId="72BE79E4" w14:textId="6D816052" w:rsidR="00A1706D" w:rsidRPr="004979E8" w:rsidRDefault="00EC511A" w:rsidP="00162886">
            <w:pPr>
              <w:ind w:right="11"/>
              <w:jc w:val="right"/>
              <w:rPr>
                <w:rFonts w:ascii="Times New Roman" w:eastAsiaTheme="minorHAnsi" w:hAnsi="Times New Roman"/>
                <w:b/>
                <w:sz w:val="24"/>
                <w:szCs w:val="24"/>
              </w:rPr>
            </w:pPr>
            <w:r w:rsidRPr="004979E8">
              <w:rPr>
                <w:rFonts w:ascii="Times New Roman" w:eastAsiaTheme="minorHAnsi" w:hAnsi="Times New Roman"/>
                <w:b/>
                <w:sz w:val="24"/>
                <w:szCs w:val="24"/>
              </w:rPr>
              <w:t>99</w:t>
            </w:r>
          </w:p>
        </w:tc>
        <w:tc>
          <w:tcPr>
            <w:tcW w:w="1420" w:type="dxa"/>
            <w:shd w:val="clear" w:color="auto" w:fill="auto"/>
            <w:vAlign w:val="center"/>
          </w:tcPr>
          <w:p w14:paraId="105720A2" w14:textId="500B697A" w:rsidR="00A1706D" w:rsidRPr="004979E8" w:rsidRDefault="00EC511A" w:rsidP="009F4AF7">
            <w:pPr>
              <w:ind w:right="11"/>
              <w:jc w:val="right"/>
              <w:rPr>
                <w:rFonts w:ascii="Times New Roman" w:eastAsiaTheme="minorHAnsi" w:hAnsi="Times New Roman"/>
                <w:b/>
                <w:sz w:val="24"/>
                <w:szCs w:val="24"/>
              </w:rPr>
            </w:pPr>
            <w:r w:rsidRPr="004979E8">
              <w:rPr>
                <w:rFonts w:ascii="Times New Roman" w:eastAsiaTheme="minorHAnsi" w:hAnsi="Times New Roman"/>
                <w:b/>
                <w:sz w:val="24"/>
                <w:szCs w:val="24"/>
              </w:rPr>
              <w:t>25</w:t>
            </w:r>
          </w:p>
        </w:tc>
        <w:tc>
          <w:tcPr>
            <w:tcW w:w="1329" w:type="dxa"/>
            <w:shd w:val="clear" w:color="auto" w:fill="auto"/>
            <w:vAlign w:val="center"/>
          </w:tcPr>
          <w:p w14:paraId="798BA39D" w14:textId="1B8BA08A" w:rsidR="00A1706D" w:rsidRPr="004979E8" w:rsidRDefault="00A1706D" w:rsidP="009F4AF7">
            <w:pPr>
              <w:ind w:right="11"/>
              <w:jc w:val="right"/>
              <w:rPr>
                <w:rFonts w:ascii="Times New Roman" w:eastAsiaTheme="minorHAnsi" w:hAnsi="Times New Roman"/>
                <w:b/>
                <w:sz w:val="24"/>
                <w:szCs w:val="24"/>
              </w:rPr>
            </w:pPr>
            <w:r w:rsidRPr="004979E8">
              <w:rPr>
                <w:rFonts w:ascii="Times New Roman" w:eastAsiaTheme="minorHAnsi" w:hAnsi="Times New Roman"/>
                <w:b/>
                <w:sz w:val="24"/>
                <w:szCs w:val="24"/>
              </w:rPr>
              <w:t>1</w:t>
            </w:r>
            <w:r w:rsidR="009F4AF7" w:rsidRPr="004979E8">
              <w:rPr>
                <w:rFonts w:ascii="Times New Roman" w:eastAsiaTheme="minorHAnsi" w:hAnsi="Times New Roman"/>
                <w:b/>
                <w:sz w:val="24"/>
                <w:szCs w:val="24"/>
              </w:rPr>
              <w:t>5</w:t>
            </w:r>
          </w:p>
        </w:tc>
        <w:tc>
          <w:tcPr>
            <w:tcW w:w="1471" w:type="dxa"/>
            <w:shd w:val="clear" w:color="auto" w:fill="auto"/>
            <w:vAlign w:val="center"/>
          </w:tcPr>
          <w:p w14:paraId="7D10CA26" w14:textId="150BE517" w:rsidR="00A1706D" w:rsidRPr="004979E8" w:rsidRDefault="00EC511A" w:rsidP="00162886">
            <w:pPr>
              <w:ind w:right="11"/>
              <w:jc w:val="right"/>
              <w:rPr>
                <w:rFonts w:ascii="Times New Roman" w:eastAsiaTheme="minorHAnsi" w:hAnsi="Times New Roman"/>
                <w:b/>
                <w:sz w:val="24"/>
                <w:szCs w:val="24"/>
              </w:rPr>
            </w:pPr>
            <w:r w:rsidRPr="004979E8">
              <w:rPr>
                <w:rFonts w:ascii="Times New Roman" w:eastAsiaTheme="minorHAnsi" w:hAnsi="Times New Roman"/>
                <w:b/>
                <w:sz w:val="24"/>
                <w:szCs w:val="24"/>
              </w:rPr>
              <w:t>6</w:t>
            </w:r>
          </w:p>
        </w:tc>
      </w:tr>
      <w:tr w:rsidR="003637F5" w:rsidRPr="009F4AF7" w14:paraId="63B5E2F7" w14:textId="77777777" w:rsidTr="0079434E">
        <w:trPr>
          <w:jc w:val="right"/>
        </w:trPr>
        <w:tc>
          <w:tcPr>
            <w:tcW w:w="2028" w:type="dxa"/>
            <w:shd w:val="clear" w:color="auto" w:fill="auto"/>
          </w:tcPr>
          <w:p w14:paraId="02B17834"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t.sk., investori</w:t>
            </w:r>
          </w:p>
        </w:tc>
        <w:tc>
          <w:tcPr>
            <w:tcW w:w="1580" w:type="dxa"/>
            <w:shd w:val="clear" w:color="auto" w:fill="auto"/>
            <w:vAlign w:val="center"/>
          </w:tcPr>
          <w:p w14:paraId="6D5D1EAE" w14:textId="43AA00A9"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69</w:t>
            </w:r>
          </w:p>
        </w:tc>
        <w:tc>
          <w:tcPr>
            <w:tcW w:w="1420" w:type="dxa"/>
            <w:shd w:val="clear" w:color="auto" w:fill="auto"/>
            <w:vAlign w:val="center"/>
          </w:tcPr>
          <w:p w14:paraId="286EF778" w14:textId="0632FC8A"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49</w:t>
            </w:r>
          </w:p>
        </w:tc>
        <w:tc>
          <w:tcPr>
            <w:tcW w:w="1420" w:type="dxa"/>
            <w:shd w:val="clear" w:color="auto" w:fill="auto"/>
            <w:vAlign w:val="center"/>
          </w:tcPr>
          <w:p w14:paraId="4418838C" w14:textId="47D26D3E"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11</w:t>
            </w:r>
          </w:p>
        </w:tc>
        <w:tc>
          <w:tcPr>
            <w:tcW w:w="1329" w:type="dxa"/>
            <w:shd w:val="clear" w:color="auto" w:fill="auto"/>
            <w:vAlign w:val="center"/>
          </w:tcPr>
          <w:p w14:paraId="7B7B5A3D" w14:textId="2B2D066F"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6</w:t>
            </w:r>
          </w:p>
        </w:tc>
        <w:tc>
          <w:tcPr>
            <w:tcW w:w="1471" w:type="dxa"/>
            <w:shd w:val="clear" w:color="auto" w:fill="auto"/>
            <w:vAlign w:val="center"/>
          </w:tcPr>
          <w:p w14:paraId="4641C1D5" w14:textId="6F302A83"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3</w:t>
            </w:r>
          </w:p>
        </w:tc>
      </w:tr>
      <w:tr w:rsidR="003637F5" w:rsidRPr="0082447D" w14:paraId="2B47C53B" w14:textId="77777777" w:rsidTr="0079434E">
        <w:trPr>
          <w:jc w:val="right"/>
        </w:trPr>
        <w:tc>
          <w:tcPr>
            <w:tcW w:w="2028" w:type="dxa"/>
            <w:shd w:val="clear" w:color="auto" w:fill="auto"/>
          </w:tcPr>
          <w:p w14:paraId="53D10EB9"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ģimenes locekļi</w:t>
            </w:r>
          </w:p>
        </w:tc>
        <w:tc>
          <w:tcPr>
            <w:tcW w:w="1580" w:type="dxa"/>
            <w:shd w:val="clear" w:color="auto" w:fill="auto"/>
            <w:vAlign w:val="center"/>
          </w:tcPr>
          <w:p w14:paraId="162EA5C1" w14:textId="36F17F85"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76</w:t>
            </w:r>
          </w:p>
        </w:tc>
        <w:tc>
          <w:tcPr>
            <w:tcW w:w="1420" w:type="dxa"/>
            <w:shd w:val="clear" w:color="auto" w:fill="auto"/>
            <w:vAlign w:val="center"/>
          </w:tcPr>
          <w:p w14:paraId="169988B9" w14:textId="7C3FE765"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50</w:t>
            </w:r>
          </w:p>
        </w:tc>
        <w:tc>
          <w:tcPr>
            <w:tcW w:w="1420" w:type="dxa"/>
            <w:shd w:val="clear" w:color="auto" w:fill="auto"/>
            <w:vAlign w:val="center"/>
          </w:tcPr>
          <w:p w14:paraId="1B1EF01C" w14:textId="338FF9F1"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14</w:t>
            </w:r>
          </w:p>
        </w:tc>
        <w:tc>
          <w:tcPr>
            <w:tcW w:w="1329" w:type="dxa"/>
            <w:shd w:val="clear" w:color="auto" w:fill="auto"/>
            <w:vAlign w:val="center"/>
          </w:tcPr>
          <w:p w14:paraId="0CEE1FEB" w14:textId="53CCEC40"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9</w:t>
            </w:r>
          </w:p>
        </w:tc>
        <w:tc>
          <w:tcPr>
            <w:tcW w:w="1471" w:type="dxa"/>
            <w:shd w:val="clear" w:color="auto" w:fill="auto"/>
            <w:vAlign w:val="center"/>
          </w:tcPr>
          <w:p w14:paraId="264B2143" w14:textId="720492AE" w:rsidR="003637F5" w:rsidRPr="009F4AF7" w:rsidRDefault="00EC511A" w:rsidP="00162886">
            <w:pPr>
              <w:jc w:val="right"/>
              <w:rPr>
                <w:rFonts w:ascii="Times New Roman" w:eastAsiaTheme="minorHAnsi" w:hAnsi="Times New Roman"/>
                <w:sz w:val="24"/>
                <w:szCs w:val="24"/>
              </w:rPr>
            </w:pPr>
            <w:r>
              <w:rPr>
                <w:rFonts w:ascii="Times New Roman" w:eastAsiaTheme="minorHAnsi" w:hAnsi="Times New Roman"/>
                <w:sz w:val="24"/>
                <w:szCs w:val="24"/>
              </w:rPr>
              <w:t>3</w:t>
            </w:r>
          </w:p>
        </w:tc>
      </w:tr>
      <w:tr w:rsidR="00A1706D" w:rsidRPr="0082447D" w14:paraId="2C7BE3DD" w14:textId="77777777" w:rsidTr="0079434E">
        <w:trPr>
          <w:jc w:val="right"/>
        </w:trPr>
        <w:tc>
          <w:tcPr>
            <w:tcW w:w="2028" w:type="dxa"/>
            <w:shd w:val="clear" w:color="auto" w:fill="auto"/>
          </w:tcPr>
          <w:p w14:paraId="7B66439E" w14:textId="77777777" w:rsidR="00A1706D" w:rsidRPr="009F4AF7" w:rsidRDefault="00A1706D" w:rsidP="00A1706D">
            <w:pPr>
              <w:spacing w:after="120"/>
              <w:ind w:right="11"/>
              <w:jc w:val="right"/>
              <w:rPr>
                <w:rFonts w:ascii="Times New Roman" w:eastAsiaTheme="minorHAnsi" w:hAnsi="Times New Roman" w:cstheme="minorBidi"/>
                <w:b/>
                <w:sz w:val="24"/>
                <w:szCs w:val="24"/>
              </w:rPr>
            </w:pPr>
            <w:r w:rsidRPr="009F4AF7">
              <w:rPr>
                <w:rFonts w:ascii="Times New Roman" w:eastAsiaTheme="minorHAnsi" w:hAnsi="Times New Roman" w:cstheme="minorBidi"/>
                <w:b/>
                <w:sz w:val="24"/>
                <w:szCs w:val="24"/>
              </w:rPr>
              <w:t>Ieguldītāji nekustamajā īpašumā</w:t>
            </w:r>
          </w:p>
        </w:tc>
        <w:tc>
          <w:tcPr>
            <w:tcW w:w="1580" w:type="dxa"/>
            <w:shd w:val="clear" w:color="auto" w:fill="auto"/>
            <w:vAlign w:val="center"/>
          </w:tcPr>
          <w:p w14:paraId="1D3D06C7" w14:textId="0739C3D9" w:rsidR="00A1706D" w:rsidRPr="004979E8" w:rsidRDefault="004979E8" w:rsidP="00162886">
            <w:pPr>
              <w:ind w:right="11"/>
              <w:jc w:val="right"/>
              <w:rPr>
                <w:rFonts w:ascii="Times New Roman" w:eastAsiaTheme="minorHAnsi" w:hAnsi="Times New Roman"/>
                <w:b/>
                <w:sz w:val="24"/>
                <w:szCs w:val="24"/>
              </w:rPr>
            </w:pPr>
            <w:r w:rsidRPr="004979E8">
              <w:rPr>
                <w:rFonts w:ascii="Times New Roman" w:eastAsiaTheme="minorHAnsi" w:hAnsi="Times New Roman"/>
                <w:b/>
                <w:sz w:val="24"/>
                <w:szCs w:val="24"/>
              </w:rPr>
              <w:t>9036</w:t>
            </w:r>
          </w:p>
        </w:tc>
        <w:tc>
          <w:tcPr>
            <w:tcW w:w="1420" w:type="dxa"/>
            <w:shd w:val="clear" w:color="auto" w:fill="auto"/>
            <w:vAlign w:val="center"/>
          </w:tcPr>
          <w:p w14:paraId="4939B5DE" w14:textId="02C8CA1C" w:rsidR="00A1706D" w:rsidRPr="004979E8" w:rsidRDefault="004979E8" w:rsidP="00162886">
            <w:pPr>
              <w:ind w:right="11"/>
              <w:jc w:val="right"/>
              <w:rPr>
                <w:rFonts w:ascii="Times New Roman" w:eastAsiaTheme="minorHAnsi" w:hAnsi="Times New Roman"/>
                <w:b/>
                <w:sz w:val="24"/>
                <w:szCs w:val="24"/>
                <w:highlight w:val="yellow"/>
              </w:rPr>
            </w:pPr>
            <w:r>
              <w:rPr>
                <w:rFonts w:ascii="Times New Roman" w:eastAsiaTheme="minorHAnsi" w:hAnsi="Times New Roman"/>
                <w:b/>
                <w:sz w:val="24"/>
                <w:szCs w:val="24"/>
              </w:rPr>
              <w:t>7398</w:t>
            </w:r>
          </w:p>
        </w:tc>
        <w:tc>
          <w:tcPr>
            <w:tcW w:w="1420" w:type="dxa"/>
            <w:shd w:val="clear" w:color="auto" w:fill="auto"/>
            <w:vAlign w:val="center"/>
          </w:tcPr>
          <w:p w14:paraId="4602DA9E" w14:textId="7E1F3FE7"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1242</w:t>
            </w:r>
          </w:p>
        </w:tc>
        <w:tc>
          <w:tcPr>
            <w:tcW w:w="1329" w:type="dxa"/>
            <w:shd w:val="clear" w:color="auto" w:fill="auto"/>
            <w:vAlign w:val="center"/>
          </w:tcPr>
          <w:p w14:paraId="7689B87C" w14:textId="103A6C28"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325</w:t>
            </w:r>
          </w:p>
        </w:tc>
        <w:tc>
          <w:tcPr>
            <w:tcW w:w="1471" w:type="dxa"/>
            <w:shd w:val="clear" w:color="auto" w:fill="auto"/>
            <w:vAlign w:val="center"/>
          </w:tcPr>
          <w:p w14:paraId="1C776C21" w14:textId="225F3BF7"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71</w:t>
            </w:r>
          </w:p>
        </w:tc>
      </w:tr>
      <w:tr w:rsidR="00A1706D" w:rsidRPr="0082447D" w14:paraId="672302B4" w14:textId="77777777" w:rsidTr="0079434E">
        <w:trPr>
          <w:jc w:val="right"/>
        </w:trPr>
        <w:tc>
          <w:tcPr>
            <w:tcW w:w="2028" w:type="dxa"/>
            <w:shd w:val="clear" w:color="auto" w:fill="auto"/>
          </w:tcPr>
          <w:p w14:paraId="27E15FC4" w14:textId="77777777" w:rsidR="00A1706D" w:rsidRPr="009F4AF7" w:rsidRDefault="00A1706D" w:rsidP="00A1706D">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t.sk., investori</w:t>
            </w:r>
          </w:p>
        </w:tc>
        <w:tc>
          <w:tcPr>
            <w:tcW w:w="1580" w:type="dxa"/>
            <w:shd w:val="clear" w:color="auto" w:fill="auto"/>
            <w:vAlign w:val="center"/>
          </w:tcPr>
          <w:p w14:paraId="0C23AAD0" w14:textId="7E0AC130"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4277</w:t>
            </w:r>
          </w:p>
        </w:tc>
        <w:tc>
          <w:tcPr>
            <w:tcW w:w="1420" w:type="dxa"/>
            <w:shd w:val="clear" w:color="auto" w:fill="auto"/>
            <w:vAlign w:val="center"/>
          </w:tcPr>
          <w:p w14:paraId="4F5CA16A" w14:textId="0001918C" w:rsidR="00A1706D" w:rsidRPr="0082447D" w:rsidRDefault="004979E8" w:rsidP="00162886">
            <w:pPr>
              <w:ind w:right="11"/>
              <w:jc w:val="right"/>
              <w:rPr>
                <w:rFonts w:ascii="Times New Roman" w:eastAsiaTheme="minorHAnsi" w:hAnsi="Times New Roman"/>
                <w:sz w:val="24"/>
                <w:szCs w:val="24"/>
                <w:highlight w:val="yellow"/>
              </w:rPr>
            </w:pPr>
            <w:r>
              <w:rPr>
                <w:rFonts w:ascii="Times New Roman" w:eastAsiaTheme="minorHAnsi" w:hAnsi="Times New Roman"/>
                <w:sz w:val="24"/>
                <w:szCs w:val="24"/>
              </w:rPr>
              <w:t>3365</w:t>
            </w:r>
          </w:p>
        </w:tc>
        <w:tc>
          <w:tcPr>
            <w:tcW w:w="1420" w:type="dxa"/>
            <w:shd w:val="clear" w:color="auto" w:fill="auto"/>
            <w:vAlign w:val="center"/>
          </w:tcPr>
          <w:p w14:paraId="2FA92DA9" w14:textId="152F1B8F"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692</w:t>
            </w:r>
          </w:p>
        </w:tc>
        <w:tc>
          <w:tcPr>
            <w:tcW w:w="1329" w:type="dxa"/>
            <w:shd w:val="clear" w:color="auto" w:fill="auto"/>
            <w:vAlign w:val="center"/>
          </w:tcPr>
          <w:p w14:paraId="0849712F" w14:textId="2336F288"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182</w:t>
            </w:r>
          </w:p>
        </w:tc>
        <w:tc>
          <w:tcPr>
            <w:tcW w:w="1471" w:type="dxa"/>
            <w:shd w:val="clear" w:color="auto" w:fill="auto"/>
            <w:vAlign w:val="center"/>
          </w:tcPr>
          <w:p w14:paraId="0487C1D0" w14:textId="2B93AC41"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38</w:t>
            </w:r>
          </w:p>
        </w:tc>
      </w:tr>
      <w:tr w:rsidR="00A1706D" w:rsidRPr="0082447D" w14:paraId="53090E62" w14:textId="77777777" w:rsidTr="0079434E">
        <w:trPr>
          <w:jc w:val="right"/>
        </w:trPr>
        <w:tc>
          <w:tcPr>
            <w:tcW w:w="2028" w:type="dxa"/>
            <w:shd w:val="clear" w:color="auto" w:fill="auto"/>
          </w:tcPr>
          <w:p w14:paraId="452BB1CB" w14:textId="77777777" w:rsidR="00A1706D" w:rsidRPr="009F4AF7" w:rsidRDefault="00A1706D" w:rsidP="00A1706D">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ģimenes locekļi</w:t>
            </w:r>
          </w:p>
        </w:tc>
        <w:tc>
          <w:tcPr>
            <w:tcW w:w="1580" w:type="dxa"/>
            <w:shd w:val="clear" w:color="auto" w:fill="auto"/>
            <w:vAlign w:val="center"/>
          </w:tcPr>
          <w:p w14:paraId="3850A2FF" w14:textId="55C125FC"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4759</w:t>
            </w:r>
          </w:p>
        </w:tc>
        <w:tc>
          <w:tcPr>
            <w:tcW w:w="1420" w:type="dxa"/>
            <w:shd w:val="clear" w:color="auto" w:fill="auto"/>
            <w:vAlign w:val="center"/>
          </w:tcPr>
          <w:p w14:paraId="0889D9D8" w14:textId="4D6F0F8E" w:rsidR="00A1706D" w:rsidRPr="0082447D" w:rsidRDefault="004979E8" w:rsidP="00162886">
            <w:pPr>
              <w:ind w:right="11"/>
              <w:jc w:val="right"/>
              <w:rPr>
                <w:rFonts w:ascii="Times New Roman" w:eastAsiaTheme="minorHAnsi" w:hAnsi="Times New Roman"/>
                <w:sz w:val="24"/>
                <w:szCs w:val="24"/>
                <w:highlight w:val="yellow"/>
              </w:rPr>
            </w:pPr>
            <w:r>
              <w:rPr>
                <w:rFonts w:ascii="Times New Roman" w:eastAsiaTheme="minorHAnsi" w:hAnsi="Times New Roman"/>
                <w:sz w:val="24"/>
                <w:szCs w:val="24"/>
              </w:rPr>
              <w:t>4033</w:t>
            </w:r>
          </w:p>
        </w:tc>
        <w:tc>
          <w:tcPr>
            <w:tcW w:w="1420" w:type="dxa"/>
            <w:shd w:val="clear" w:color="auto" w:fill="auto"/>
            <w:vAlign w:val="center"/>
          </w:tcPr>
          <w:p w14:paraId="2B76F8B4" w14:textId="17AA3C5F"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550</w:t>
            </w:r>
          </w:p>
        </w:tc>
        <w:tc>
          <w:tcPr>
            <w:tcW w:w="1329" w:type="dxa"/>
            <w:shd w:val="clear" w:color="auto" w:fill="auto"/>
            <w:vAlign w:val="center"/>
          </w:tcPr>
          <w:p w14:paraId="0E2FE4F0" w14:textId="26F8733F"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143</w:t>
            </w:r>
          </w:p>
        </w:tc>
        <w:tc>
          <w:tcPr>
            <w:tcW w:w="1471" w:type="dxa"/>
            <w:shd w:val="clear" w:color="auto" w:fill="auto"/>
            <w:vAlign w:val="center"/>
          </w:tcPr>
          <w:p w14:paraId="5E6E92F8" w14:textId="59302E6A" w:rsidR="00A1706D" w:rsidRPr="009F4AF7" w:rsidRDefault="004979E8" w:rsidP="00162886">
            <w:pPr>
              <w:ind w:right="11"/>
              <w:jc w:val="right"/>
              <w:rPr>
                <w:rFonts w:ascii="Times New Roman" w:eastAsiaTheme="minorHAnsi" w:hAnsi="Times New Roman"/>
                <w:sz w:val="24"/>
                <w:szCs w:val="24"/>
              </w:rPr>
            </w:pPr>
            <w:r>
              <w:rPr>
                <w:rFonts w:ascii="Times New Roman" w:eastAsiaTheme="minorHAnsi" w:hAnsi="Times New Roman"/>
                <w:sz w:val="24"/>
                <w:szCs w:val="24"/>
              </w:rPr>
              <w:t>33</w:t>
            </w:r>
          </w:p>
        </w:tc>
      </w:tr>
      <w:tr w:rsidR="00A1706D" w:rsidRPr="0082447D" w14:paraId="75D9208C" w14:textId="77777777" w:rsidTr="0079434E">
        <w:trPr>
          <w:jc w:val="right"/>
        </w:trPr>
        <w:tc>
          <w:tcPr>
            <w:tcW w:w="2028" w:type="dxa"/>
            <w:shd w:val="clear" w:color="auto" w:fill="auto"/>
          </w:tcPr>
          <w:p w14:paraId="1D799AB9" w14:textId="77777777" w:rsidR="00A1706D" w:rsidRPr="009F4AF7" w:rsidRDefault="00A1706D" w:rsidP="00A1706D">
            <w:pPr>
              <w:spacing w:after="120"/>
              <w:ind w:right="11"/>
              <w:jc w:val="right"/>
              <w:rPr>
                <w:rFonts w:ascii="Times New Roman" w:eastAsiaTheme="minorHAnsi" w:hAnsi="Times New Roman" w:cstheme="minorBidi"/>
                <w:b/>
                <w:sz w:val="24"/>
                <w:szCs w:val="24"/>
              </w:rPr>
            </w:pPr>
            <w:r w:rsidRPr="009F4AF7">
              <w:rPr>
                <w:rFonts w:ascii="Times New Roman" w:eastAsiaTheme="minorHAnsi" w:hAnsi="Times New Roman" w:cstheme="minorBidi"/>
                <w:b/>
                <w:sz w:val="24"/>
                <w:szCs w:val="24"/>
              </w:rPr>
              <w:t>Ieguldītāji kredītiestādē</w:t>
            </w:r>
          </w:p>
        </w:tc>
        <w:tc>
          <w:tcPr>
            <w:tcW w:w="1580" w:type="dxa"/>
            <w:shd w:val="clear" w:color="auto" w:fill="auto"/>
            <w:vAlign w:val="center"/>
          </w:tcPr>
          <w:p w14:paraId="5D316BDE" w14:textId="075102A2"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245</w:t>
            </w:r>
          </w:p>
        </w:tc>
        <w:tc>
          <w:tcPr>
            <w:tcW w:w="1420" w:type="dxa"/>
            <w:shd w:val="clear" w:color="auto" w:fill="auto"/>
            <w:vAlign w:val="center"/>
          </w:tcPr>
          <w:p w14:paraId="4C041A7C" w14:textId="205B0AF7"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211</w:t>
            </w:r>
          </w:p>
        </w:tc>
        <w:tc>
          <w:tcPr>
            <w:tcW w:w="1420" w:type="dxa"/>
            <w:shd w:val="clear" w:color="auto" w:fill="auto"/>
            <w:vAlign w:val="center"/>
          </w:tcPr>
          <w:p w14:paraId="5478E408" w14:textId="0E904D95"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14</w:t>
            </w:r>
          </w:p>
        </w:tc>
        <w:tc>
          <w:tcPr>
            <w:tcW w:w="1329" w:type="dxa"/>
            <w:shd w:val="clear" w:color="auto" w:fill="auto"/>
            <w:vAlign w:val="center"/>
          </w:tcPr>
          <w:p w14:paraId="3CD0F0B5" w14:textId="3E1FEC3C"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18</w:t>
            </w:r>
          </w:p>
        </w:tc>
        <w:tc>
          <w:tcPr>
            <w:tcW w:w="1471" w:type="dxa"/>
            <w:shd w:val="clear" w:color="auto" w:fill="auto"/>
            <w:vAlign w:val="center"/>
          </w:tcPr>
          <w:p w14:paraId="36AF1583" w14:textId="06D06644" w:rsidR="00A1706D" w:rsidRPr="004979E8" w:rsidRDefault="004979E8" w:rsidP="00162886">
            <w:pPr>
              <w:ind w:right="11"/>
              <w:jc w:val="right"/>
              <w:rPr>
                <w:rFonts w:ascii="Times New Roman" w:eastAsiaTheme="minorHAnsi" w:hAnsi="Times New Roman"/>
                <w:b/>
                <w:sz w:val="24"/>
                <w:szCs w:val="24"/>
              </w:rPr>
            </w:pPr>
            <w:r>
              <w:rPr>
                <w:rFonts w:ascii="Times New Roman" w:eastAsiaTheme="minorHAnsi" w:hAnsi="Times New Roman"/>
                <w:b/>
                <w:sz w:val="24"/>
                <w:szCs w:val="24"/>
              </w:rPr>
              <w:t>2</w:t>
            </w:r>
          </w:p>
        </w:tc>
      </w:tr>
      <w:tr w:rsidR="003637F5" w:rsidRPr="0082447D" w14:paraId="4249DE1B" w14:textId="77777777" w:rsidTr="0079434E">
        <w:trPr>
          <w:jc w:val="right"/>
        </w:trPr>
        <w:tc>
          <w:tcPr>
            <w:tcW w:w="2028" w:type="dxa"/>
            <w:shd w:val="clear" w:color="auto" w:fill="auto"/>
          </w:tcPr>
          <w:p w14:paraId="25C29286"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t.sk., investori</w:t>
            </w:r>
          </w:p>
        </w:tc>
        <w:tc>
          <w:tcPr>
            <w:tcW w:w="1580" w:type="dxa"/>
            <w:shd w:val="clear" w:color="auto" w:fill="auto"/>
            <w:vAlign w:val="center"/>
          </w:tcPr>
          <w:p w14:paraId="347BD54E" w14:textId="2F20DFBA" w:rsidR="003637F5" w:rsidRPr="009F4AF7" w:rsidRDefault="004979E8" w:rsidP="00162886">
            <w:pPr>
              <w:jc w:val="right"/>
              <w:rPr>
                <w:rFonts w:ascii="Times New Roman" w:hAnsi="Times New Roman"/>
                <w:color w:val="000000"/>
                <w:sz w:val="24"/>
                <w:szCs w:val="24"/>
                <w:lang w:eastAsia="lv-LV"/>
              </w:rPr>
            </w:pPr>
            <w:r>
              <w:rPr>
                <w:rFonts w:ascii="Times New Roman" w:hAnsi="Times New Roman"/>
                <w:color w:val="000000"/>
                <w:sz w:val="24"/>
                <w:szCs w:val="24"/>
              </w:rPr>
              <w:t>102</w:t>
            </w:r>
          </w:p>
        </w:tc>
        <w:tc>
          <w:tcPr>
            <w:tcW w:w="1420" w:type="dxa"/>
            <w:shd w:val="clear" w:color="auto" w:fill="auto"/>
            <w:vAlign w:val="center"/>
          </w:tcPr>
          <w:p w14:paraId="0DB2D4C6" w14:textId="5C1BE6DE"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86</w:t>
            </w:r>
          </w:p>
        </w:tc>
        <w:tc>
          <w:tcPr>
            <w:tcW w:w="1420" w:type="dxa"/>
            <w:shd w:val="clear" w:color="auto" w:fill="auto"/>
            <w:vAlign w:val="center"/>
          </w:tcPr>
          <w:p w14:paraId="209975B1" w14:textId="67EE9F59"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7</w:t>
            </w:r>
          </w:p>
        </w:tc>
        <w:tc>
          <w:tcPr>
            <w:tcW w:w="1329" w:type="dxa"/>
            <w:shd w:val="clear" w:color="auto" w:fill="auto"/>
            <w:vAlign w:val="center"/>
          </w:tcPr>
          <w:p w14:paraId="3A44BEE6" w14:textId="1BA6CD43"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8</w:t>
            </w:r>
          </w:p>
        </w:tc>
        <w:tc>
          <w:tcPr>
            <w:tcW w:w="1471" w:type="dxa"/>
            <w:shd w:val="clear" w:color="auto" w:fill="auto"/>
            <w:vAlign w:val="center"/>
          </w:tcPr>
          <w:p w14:paraId="7A5C4ED9" w14:textId="6CD3713D"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1</w:t>
            </w:r>
          </w:p>
        </w:tc>
      </w:tr>
      <w:tr w:rsidR="003637F5" w:rsidRPr="0082447D" w14:paraId="0F999DFF" w14:textId="77777777" w:rsidTr="0079434E">
        <w:trPr>
          <w:jc w:val="right"/>
        </w:trPr>
        <w:tc>
          <w:tcPr>
            <w:tcW w:w="2028" w:type="dxa"/>
            <w:shd w:val="clear" w:color="auto" w:fill="auto"/>
          </w:tcPr>
          <w:p w14:paraId="26DA94A4" w14:textId="77777777" w:rsidR="003637F5" w:rsidRPr="009F4AF7" w:rsidRDefault="003637F5" w:rsidP="003637F5">
            <w:pPr>
              <w:spacing w:after="120"/>
              <w:ind w:right="11"/>
              <w:jc w:val="right"/>
              <w:rPr>
                <w:rFonts w:ascii="Times New Roman" w:eastAsiaTheme="minorHAnsi" w:hAnsi="Times New Roman" w:cstheme="minorBidi"/>
                <w:sz w:val="24"/>
                <w:szCs w:val="24"/>
              </w:rPr>
            </w:pPr>
            <w:r w:rsidRPr="009F4AF7">
              <w:rPr>
                <w:rFonts w:ascii="Times New Roman" w:eastAsiaTheme="minorHAnsi" w:hAnsi="Times New Roman" w:cstheme="minorBidi"/>
                <w:sz w:val="24"/>
                <w:szCs w:val="24"/>
              </w:rPr>
              <w:t>ģimenes locekļi</w:t>
            </w:r>
          </w:p>
        </w:tc>
        <w:tc>
          <w:tcPr>
            <w:tcW w:w="1580" w:type="dxa"/>
            <w:shd w:val="clear" w:color="auto" w:fill="auto"/>
            <w:vAlign w:val="center"/>
          </w:tcPr>
          <w:p w14:paraId="2A852176" w14:textId="29180D9B"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143</w:t>
            </w:r>
          </w:p>
        </w:tc>
        <w:tc>
          <w:tcPr>
            <w:tcW w:w="1420" w:type="dxa"/>
            <w:shd w:val="clear" w:color="auto" w:fill="auto"/>
            <w:vAlign w:val="center"/>
          </w:tcPr>
          <w:p w14:paraId="50616317" w14:textId="58888364"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125</w:t>
            </w:r>
          </w:p>
        </w:tc>
        <w:tc>
          <w:tcPr>
            <w:tcW w:w="1420" w:type="dxa"/>
            <w:shd w:val="clear" w:color="auto" w:fill="auto"/>
            <w:vAlign w:val="center"/>
          </w:tcPr>
          <w:p w14:paraId="43233E2D" w14:textId="42AD5485"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7</w:t>
            </w:r>
          </w:p>
        </w:tc>
        <w:tc>
          <w:tcPr>
            <w:tcW w:w="1329" w:type="dxa"/>
            <w:shd w:val="clear" w:color="auto" w:fill="auto"/>
            <w:vAlign w:val="center"/>
          </w:tcPr>
          <w:p w14:paraId="3A150F80" w14:textId="21709A3A"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10</w:t>
            </w:r>
          </w:p>
        </w:tc>
        <w:tc>
          <w:tcPr>
            <w:tcW w:w="1471" w:type="dxa"/>
            <w:shd w:val="clear" w:color="auto" w:fill="auto"/>
            <w:vAlign w:val="center"/>
          </w:tcPr>
          <w:p w14:paraId="55008275" w14:textId="137EF61C" w:rsidR="003637F5" w:rsidRPr="009F4AF7" w:rsidRDefault="004979E8" w:rsidP="00162886">
            <w:pPr>
              <w:jc w:val="right"/>
              <w:rPr>
                <w:rFonts w:ascii="Times New Roman" w:hAnsi="Times New Roman"/>
                <w:color w:val="000000"/>
                <w:sz w:val="24"/>
                <w:szCs w:val="24"/>
              </w:rPr>
            </w:pPr>
            <w:r>
              <w:rPr>
                <w:rFonts w:ascii="Times New Roman" w:hAnsi="Times New Roman"/>
                <w:color w:val="000000"/>
                <w:sz w:val="24"/>
                <w:szCs w:val="24"/>
              </w:rPr>
              <w:t>1</w:t>
            </w:r>
          </w:p>
        </w:tc>
      </w:tr>
    </w:tbl>
    <w:p w14:paraId="7225F79A" w14:textId="612F5CCD" w:rsidR="0079434E" w:rsidRPr="007607B1" w:rsidRDefault="0079434E" w:rsidP="0079434E">
      <w:pPr>
        <w:spacing w:after="120"/>
        <w:rPr>
          <w:rFonts w:ascii="Times New Roman" w:hAnsi="Times New Roman"/>
          <w:i/>
        </w:rPr>
      </w:pPr>
      <w:r w:rsidRPr="007607B1">
        <w:rPr>
          <w:rFonts w:ascii="Times New Roman" w:hAnsi="Times New Roman"/>
          <w:i/>
        </w:rPr>
        <w:t>Avots: PMLP</w:t>
      </w:r>
      <w:r w:rsidR="007607B1" w:rsidRPr="007607B1">
        <w:rPr>
          <w:rFonts w:ascii="Times New Roman" w:hAnsi="Times New Roman"/>
          <w:i/>
        </w:rPr>
        <w:t xml:space="preserve"> dati</w:t>
      </w:r>
    </w:p>
    <w:p w14:paraId="33D2099E" w14:textId="77777777" w:rsidR="0079434E" w:rsidRDefault="0079434E" w:rsidP="00BE74AC">
      <w:pPr>
        <w:ind w:firstLine="567"/>
        <w:jc w:val="both"/>
        <w:rPr>
          <w:rFonts w:ascii="Times New Roman" w:eastAsia="Calibri" w:hAnsi="Times New Roman"/>
          <w:sz w:val="26"/>
          <w:szCs w:val="26"/>
          <w:lang w:eastAsia="lv-LV"/>
        </w:rPr>
      </w:pPr>
    </w:p>
    <w:p w14:paraId="0AF09E7B" w14:textId="18897D58" w:rsidR="0079434E" w:rsidRDefault="004979E8" w:rsidP="0079434E">
      <w:pPr>
        <w:spacing w:after="120"/>
        <w:ind w:firstLine="567"/>
        <w:jc w:val="both"/>
        <w:rPr>
          <w:rFonts w:ascii="Times New Roman" w:eastAsia="Calibri" w:hAnsi="Times New Roman"/>
          <w:sz w:val="26"/>
          <w:szCs w:val="26"/>
          <w:lang w:eastAsia="lv-LV"/>
        </w:rPr>
      </w:pPr>
      <w:r>
        <w:rPr>
          <w:rFonts w:ascii="Times New Roman" w:eastAsia="Calibri" w:hAnsi="Times New Roman"/>
          <w:sz w:val="26"/>
          <w:szCs w:val="26"/>
          <w:lang w:eastAsia="lv-LV"/>
        </w:rPr>
        <w:t xml:space="preserve">No 2015.gada līdz </w:t>
      </w:r>
      <w:r w:rsidR="0079434E" w:rsidRPr="006720EE">
        <w:rPr>
          <w:rFonts w:ascii="Times New Roman" w:eastAsia="Calibri" w:hAnsi="Times New Roman"/>
          <w:sz w:val="26"/>
          <w:szCs w:val="26"/>
          <w:lang w:eastAsia="lv-LV"/>
        </w:rPr>
        <w:t>20</w:t>
      </w:r>
      <w:r>
        <w:rPr>
          <w:rFonts w:ascii="Times New Roman" w:eastAsia="Calibri" w:hAnsi="Times New Roman"/>
          <w:sz w:val="26"/>
          <w:szCs w:val="26"/>
          <w:lang w:eastAsia="lv-LV"/>
        </w:rPr>
        <w:t>20</w:t>
      </w:r>
      <w:r w:rsidR="0079434E" w:rsidRPr="006720EE">
        <w:rPr>
          <w:rFonts w:ascii="Times New Roman" w:eastAsia="Calibri" w:hAnsi="Times New Roman"/>
          <w:sz w:val="26"/>
          <w:szCs w:val="26"/>
          <w:lang w:eastAsia="lv-LV"/>
        </w:rPr>
        <w:t>.gada 3</w:t>
      </w:r>
      <w:r>
        <w:rPr>
          <w:rFonts w:ascii="Times New Roman" w:eastAsia="Calibri" w:hAnsi="Times New Roman"/>
          <w:sz w:val="26"/>
          <w:szCs w:val="26"/>
          <w:lang w:eastAsia="lv-LV"/>
        </w:rPr>
        <w:t>1.decembrim</w:t>
      </w:r>
      <w:r w:rsidR="0079434E" w:rsidRPr="006720EE">
        <w:rPr>
          <w:rFonts w:ascii="Times New Roman" w:eastAsia="Calibri" w:hAnsi="Times New Roman"/>
          <w:sz w:val="26"/>
          <w:szCs w:val="26"/>
          <w:lang w:eastAsia="lv-LV"/>
        </w:rPr>
        <w:t xml:space="preserve"> atkārtotu atļauju ir pieprasījuši </w:t>
      </w:r>
      <w:r>
        <w:rPr>
          <w:rFonts w:ascii="Times New Roman" w:eastAsia="Calibri" w:hAnsi="Times New Roman"/>
          <w:sz w:val="26"/>
          <w:szCs w:val="26"/>
          <w:lang w:eastAsia="lv-LV"/>
        </w:rPr>
        <w:t>9426</w:t>
      </w:r>
      <w:r w:rsidR="0079434E" w:rsidRPr="006720EE">
        <w:rPr>
          <w:rFonts w:ascii="Times New Roman" w:eastAsia="Calibri" w:hAnsi="Times New Roman"/>
          <w:sz w:val="26"/>
          <w:szCs w:val="26"/>
          <w:lang w:eastAsia="lv-LV"/>
        </w:rPr>
        <w:t xml:space="preserve"> ārzemnieki, tajā skait</w:t>
      </w:r>
      <w:r>
        <w:rPr>
          <w:rFonts w:ascii="Times New Roman" w:eastAsia="Calibri" w:hAnsi="Times New Roman"/>
          <w:sz w:val="26"/>
          <w:szCs w:val="26"/>
          <w:lang w:eastAsia="lv-LV"/>
        </w:rPr>
        <w:t>ā, 4448</w:t>
      </w:r>
      <w:r w:rsidR="0079434E" w:rsidRPr="006720EE">
        <w:rPr>
          <w:rFonts w:ascii="Times New Roman" w:eastAsia="Calibri" w:hAnsi="Times New Roman"/>
          <w:sz w:val="26"/>
          <w:szCs w:val="26"/>
          <w:lang w:eastAsia="lv-LV"/>
        </w:rPr>
        <w:t xml:space="preserve"> investor</w:t>
      </w:r>
      <w:r w:rsidR="0079434E">
        <w:rPr>
          <w:rFonts w:ascii="Times New Roman" w:eastAsia="Calibri" w:hAnsi="Times New Roman"/>
          <w:sz w:val="26"/>
          <w:szCs w:val="26"/>
          <w:lang w:eastAsia="lv-LV"/>
        </w:rPr>
        <w:t>i</w:t>
      </w:r>
      <w:r w:rsidR="0079434E" w:rsidRPr="006720EE">
        <w:rPr>
          <w:rFonts w:ascii="Times New Roman" w:eastAsia="Calibri" w:hAnsi="Times New Roman"/>
          <w:sz w:val="26"/>
          <w:szCs w:val="26"/>
          <w:lang w:eastAsia="lv-LV"/>
        </w:rPr>
        <w:t xml:space="preserve"> un </w:t>
      </w:r>
      <w:r>
        <w:rPr>
          <w:rFonts w:ascii="Times New Roman" w:eastAsia="Calibri" w:hAnsi="Times New Roman"/>
          <w:sz w:val="26"/>
          <w:szCs w:val="26"/>
          <w:lang w:eastAsia="lv-LV"/>
        </w:rPr>
        <w:t>4978</w:t>
      </w:r>
      <w:r w:rsidR="0079434E" w:rsidRPr="006720EE">
        <w:rPr>
          <w:rFonts w:ascii="Times New Roman" w:eastAsia="Calibri" w:hAnsi="Times New Roman"/>
          <w:sz w:val="26"/>
          <w:szCs w:val="26"/>
          <w:lang w:eastAsia="lv-LV"/>
        </w:rPr>
        <w:t xml:space="preserve"> investoru ģimenes locekļi. </w:t>
      </w:r>
      <w:r>
        <w:rPr>
          <w:rFonts w:ascii="Times New Roman" w:eastAsia="Calibri" w:hAnsi="Times New Roman"/>
          <w:sz w:val="26"/>
          <w:szCs w:val="26"/>
          <w:lang w:eastAsia="lv-LV"/>
        </w:rPr>
        <w:t>770</w:t>
      </w:r>
      <w:r w:rsidR="0079434E" w:rsidRPr="00295033">
        <w:rPr>
          <w:rFonts w:ascii="Times New Roman" w:eastAsia="Calibri" w:hAnsi="Times New Roman"/>
          <w:sz w:val="26"/>
          <w:szCs w:val="26"/>
          <w:lang w:eastAsia="lv-LV"/>
        </w:rPr>
        <w:t xml:space="preserve">8 personām ir pieņemts lēmums par </w:t>
      </w:r>
      <w:r w:rsidR="00C55003">
        <w:rPr>
          <w:rFonts w:ascii="Times New Roman" w:eastAsia="Calibri" w:hAnsi="Times New Roman"/>
          <w:sz w:val="26"/>
          <w:szCs w:val="26"/>
          <w:lang w:eastAsia="lv-LV"/>
        </w:rPr>
        <w:t>TUA</w:t>
      </w:r>
      <w:r>
        <w:rPr>
          <w:rFonts w:ascii="Times New Roman" w:eastAsia="Calibri" w:hAnsi="Times New Roman"/>
          <w:sz w:val="26"/>
          <w:szCs w:val="26"/>
          <w:lang w:eastAsia="lv-LV"/>
        </w:rPr>
        <w:t xml:space="preserve"> piešķiršanu, 1281</w:t>
      </w:r>
      <w:r w:rsidR="0079434E" w:rsidRPr="00295033">
        <w:rPr>
          <w:rFonts w:ascii="Times New Roman" w:eastAsia="Calibri" w:hAnsi="Times New Roman"/>
          <w:sz w:val="26"/>
          <w:szCs w:val="26"/>
          <w:lang w:eastAsia="lv-LV"/>
        </w:rPr>
        <w:t xml:space="preserve"> – par </w:t>
      </w:r>
      <w:r w:rsidR="00C55003">
        <w:rPr>
          <w:rFonts w:ascii="Times New Roman" w:eastAsia="Calibri" w:hAnsi="Times New Roman"/>
          <w:sz w:val="26"/>
          <w:szCs w:val="26"/>
          <w:lang w:eastAsia="lv-LV"/>
        </w:rPr>
        <w:t>PUA</w:t>
      </w:r>
      <w:r w:rsidR="0079434E" w:rsidRPr="00295033">
        <w:rPr>
          <w:rFonts w:ascii="Times New Roman" w:eastAsia="Calibri" w:hAnsi="Times New Roman"/>
          <w:sz w:val="26"/>
          <w:szCs w:val="26"/>
          <w:lang w:eastAsia="lv-LV"/>
        </w:rPr>
        <w:t xml:space="preserve"> piešķiršanu, bet </w:t>
      </w:r>
      <w:r>
        <w:rPr>
          <w:rFonts w:ascii="Times New Roman" w:eastAsia="Calibri" w:hAnsi="Times New Roman"/>
          <w:sz w:val="26"/>
          <w:szCs w:val="26"/>
          <w:lang w:eastAsia="lv-LV"/>
        </w:rPr>
        <w:t>358</w:t>
      </w:r>
      <w:r w:rsidR="0079434E" w:rsidRPr="00295033">
        <w:rPr>
          <w:rFonts w:ascii="Times New Roman" w:eastAsia="Calibri" w:hAnsi="Times New Roman"/>
          <w:sz w:val="26"/>
          <w:szCs w:val="26"/>
          <w:lang w:eastAsia="lv-LV"/>
        </w:rPr>
        <w:t xml:space="preserve"> gadījumos uzturēšanās atļaujas izsniegšana ir atteikta. </w:t>
      </w:r>
      <w:r>
        <w:rPr>
          <w:rFonts w:ascii="Times New Roman" w:eastAsia="Calibri" w:hAnsi="Times New Roman"/>
          <w:sz w:val="26"/>
          <w:szCs w:val="26"/>
          <w:lang w:eastAsia="lv-LV"/>
        </w:rPr>
        <w:t>79</w:t>
      </w:r>
      <w:r w:rsidR="0079434E" w:rsidRPr="00295033">
        <w:rPr>
          <w:rFonts w:ascii="Times New Roman" w:eastAsia="Calibri" w:hAnsi="Times New Roman"/>
          <w:sz w:val="26"/>
          <w:szCs w:val="26"/>
          <w:lang w:eastAsia="lv-LV"/>
        </w:rPr>
        <w:t xml:space="preserve"> pieprasījumi joprojām atrodas izskatīšanas stadijā. Detalizētāks sadalījums par atkārtotajiem uzturēšanās atļauju pieprasījumiem sadalījumā pa investīciju veidiem ir attēlots 3.tabulā.</w:t>
      </w:r>
    </w:p>
    <w:p w14:paraId="5070F981" w14:textId="3AF9B02A" w:rsidR="0021121A" w:rsidRDefault="0021121A" w:rsidP="0079434E">
      <w:pPr>
        <w:spacing w:after="120"/>
        <w:ind w:firstLine="567"/>
        <w:jc w:val="both"/>
        <w:rPr>
          <w:rFonts w:ascii="Times New Roman" w:hAnsi="Times New Roman"/>
          <w:sz w:val="26"/>
          <w:szCs w:val="26"/>
        </w:rPr>
      </w:pPr>
    </w:p>
    <w:p w14:paraId="17E814BA" w14:textId="3D6FD267" w:rsidR="00D60BD9" w:rsidRDefault="00D60BD9" w:rsidP="0079434E">
      <w:pPr>
        <w:spacing w:after="120"/>
        <w:ind w:firstLine="567"/>
        <w:jc w:val="both"/>
        <w:rPr>
          <w:rFonts w:ascii="Times New Roman" w:hAnsi="Times New Roman"/>
          <w:sz w:val="26"/>
          <w:szCs w:val="26"/>
        </w:rPr>
      </w:pPr>
    </w:p>
    <w:p w14:paraId="77706798" w14:textId="77777777" w:rsidR="00A67CA7" w:rsidRDefault="00A67CA7" w:rsidP="007446A3">
      <w:pPr>
        <w:spacing w:after="120"/>
        <w:jc w:val="center"/>
        <w:rPr>
          <w:rFonts w:ascii="Times New Roman" w:eastAsia="Calibri" w:hAnsi="Times New Roman"/>
          <w:b/>
          <w:sz w:val="26"/>
          <w:szCs w:val="26"/>
          <w:lang w:eastAsia="lv-LV"/>
        </w:rPr>
      </w:pPr>
      <w:r w:rsidRPr="009F4AF7">
        <w:rPr>
          <w:rFonts w:ascii="Times New Roman" w:eastAsia="Calibri" w:hAnsi="Times New Roman"/>
          <w:b/>
          <w:sz w:val="26"/>
          <w:szCs w:val="26"/>
          <w:lang w:eastAsia="lv-LV"/>
        </w:rPr>
        <w:t>Grozījumi Imigrācijas likumā</w:t>
      </w:r>
    </w:p>
    <w:p w14:paraId="523407A4" w14:textId="77777777" w:rsidR="00A41BAA" w:rsidRPr="009F4AF7" w:rsidRDefault="00A41BAA" w:rsidP="007446A3">
      <w:pPr>
        <w:spacing w:after="120"/>
        <w:jc w:val="center"/>
        <w:rPr>
          <w:rFonts w:ascii="Times New Roman" w:eastAsia="Calibri" w:hAnsi="Times New Roman"/>
          <w:b/>
          <w:sz w:val="26"/>
          <w:szCs w:val="26"/>
          <w:lang w:eastAsia="lv-LV"/>
        </w:rPr>
      </w:pPr>
    </w:p>
    <w:p w14:paraId="071D5648" w14:textId="48ACEBBA" w:rsidR="009B0949" w:rsidRPr="009B0949" w:rsidRDefault="00A657A3" w:rsidP="00D916C6">
      <w:pPr>
        <w:ind w:firstLine="567"/>
        <w:jc w:val="both"/>
        <w:rPr>
          <w:rFonts w:ascii="Times New Roman" w:hAnsi="Times New Roman"/>
          <w:sz w:val="26"/>
          <w:szCs w:val="26"/>
        </w:rPr>
      </w:pPr>
      <w:r>
        <w:rPr>
          <w:rFonts w:ascii="Times New Roman" w:hAnsi="Times New Roman"/>
          <w:sz w:val="26"/>
          <w:szCs w:val="26"/>
        </w:rPr>
        <w:t>Kopš</w:t>
      </w:r>
      <w:r w:rsidR="00141432" w:rsidRPr="009F4AF7">
        <w:rPr>
          <w:rFonts w:ascii="Times New Roman" w:hAnsi="Times New Roman"/>
          <w:sz w:val="26"/>
          <w:szCs w:val="26"/>
        </w:rPr>
        <w:t xml:space="preserve"> 201</w:t>
      </w:r>
      <w:r w:rsidR="009F4AF7" w:rsidRPr="009F4AF7">
        <w:rPr>
          <w:rFonts w:ascii="Times New Roman" w:hAnsi="Times New Roman"/>
          <w:sz w:val="26"/>
          <w:szCs w:val="26"/>
        </w:rPr>
        <w:t>8</w:t>
      </w:r>
      <w:r w:rsidR="00141432" w:rsidRPr="009F4AF7">
        <w:rPr>
          <w:rFonts w:ascii="Times New Roman" w:hAnsi="Times New Roman"/>
          <w:sz w:val="26"/>
          <w:szCs w:val="26"/>
        </w:rPr>
        <w:t>.gada jū</w:t>
      </w:r>
      <w:r w:rsidR="00EB5198" w:rsidRPr="009F4AF7">
        <w:rPr>
          <w:rFonts w:ascii="Times New Roman" w:hAnsi="Times New Roman"/>
          <w:sz w:val="26"/>
          <w:szCs w:val="26"/>
        </w:rPr>
        <w:t>lija</w:t>
      </w:r>
      <w:r w:rsidR="00141432" w:rsidRPr="009F4AF7">
        <w:rPr>
          <w:rFonts w:ascii="Times New Roman" w:hAnsi="Times New Roman"/>
          <w:sz w:val="26"/>
          <w:szCs w:val="26"/>
        </w:rPr>
        <w:t xml:space="preserve"> </w:t>
      </w:r>
      <w:r w:rsidR="009F4AF7" w:rsidRPr="009F4AF7">
        <w:rPr>
          <w:rFonts w:ascii="Times New Roman" w:hAnsi="Times New Roman"/>
          <w:sz w:val="26"/>
          <w:szCs w:val="26"/>
        </w:rPr>
        <w:t xml:space="preserve">Imigrācijas likumā </w:t>
      </w:r>
      <w:r w:rsidR="001A487F" w:rsidRPr="009F4AF7">
        <w:rPr>
          <w:rFonts w:ascii="Times New Roman" w:hAnsi="Times New Roman"/>
          <w:sz w:val="26"/>
          <w:szCs w:val="26"/>
        </w:rPr>
        <w:t>nav veikti grozījumi attiecībā uz investīciju programmas nosacījumiem</w:t>
      </w:r>
      <w:r>
        <w:rPr>
          <w:rFonts w:ascii="Times New Roman" w:hAnsi="Times New Roman"/>
          <w:sz w:val="26"/>
          <w:szCs w:val="26"/>
        </w:rPr>
        <w:t xml:space="preserve">, bet Ministru kabineta 2020.gada </w:t>
      </w:r>
      <w:r w:rsidR="009B0949">
        <w:rPr>
          <w:rFonts w:ascii="Times New Roman" w:hAnsi="Times New Roman"/>
          <w:sz w:val="26"/>
          <w:szCs w:val="26"/>
        </w:rPr>
        <w:t>10.marta sēdes protokola Nr.</w:t>
      </w:r>
      <w:r w:rsidR="009B0949" w:rsidRPr="009B0949">
        <w:rPr>
          <w:rFonts w:ascii="Times New Roman" w:hAnsi="Times New Roman"/>
          <w:sz w:val="26"/>
          <w:szCs w:val="26"/>
        </w:rPr>
        <w:t xml:space="preserve">10 18.§ </w:t>
      </w:r>
      <w:r w:rsidR="00A91B44" w:rsidRPr="00AF3297">
        <w:rPr>
          <w:rFonts w:ascii="Times New Roman" w:hAnsi="Times New Roman"/>
          <w:sz w:val="26"/>
          <w:szCs w:val="26"/>
        </w:rPr>
        <w:t xml:space="preserve">2.punktā </w:t>
      </w:r>
      <w:r w:rsidR="009B0949" w:rsidRPr="00AF3297">
        <w:rPr>
          <w:rFonts w:ascii="Times New Roman" w:hAnsi="Times New Roman"/>
          <w:sz w:val="26"/>
          <w:szCs w:val="26"/>
        </w:rPr>
        <w:t>Iekšlietu ministrijai un Ekonomikas ministrijai tika dots uzdevums</w:t>
      </w:r>
      <w:r w:rsidR="00A91B44" w:rsidRPr="00AF3297">
        <w:rPr>
          <w:rStyle w:val="FootnoteReference"/>
          <w:rFonts w:ascii="Times New Roman" w:hAnsi="Times New Roman"/>
          <w:sz w:val="26"/>
          <w:szCs w:val="26"/>
        </w:rPr>
        <w:footnoteReference w:id="16"/>
      </w:r>
      <w:r w:rsidR="009B0949" w:rsidRPr="00AF3297">
        <w:rPr>
          <w:rFonts w:ascii="Times New Roman" w:hAnsi="Times New Roman"/>
          <w:sz w:val="26"/>
          <w:szCs w:val="26"/>
        </w:rPr>
        <w:t xml:space="preserve"> sagatavot likumprojektu “Grozījumi Imigrācijas likumā”</w:t>
      </w:r>
      <w:r w:rsidR="00A91B44" w:rsidRPr="00AF3297">
        <w:rPr>
          <w:rFonts w:ascii="Times New Roman" w:hAnsi="Times New Roman"/>
          <w:sz w:val="26"/>
          <w:szCs w:val="26"/>
        </w:rPr>
        <w:t>,</w:t>
      </w:r>
      <w:r w:rsidR="00A91B44" w:rsidRPr="00AF3297">
        <w:t xml:space="preserve"> </w:t>
      </w:r>
      <w:r w:rsidR="009B0949" w:rsidRPr="00AF3297">
        <w:rPr>
          <w:rFonts w:ascii="Times New Roman" w:hAnsi="Times New Roman"/>
          <w:sz w:val="26"/>
          <w:szCs w:val="26"/>
        </w:rPr>
        <w:t>k</w:t>
      </w:r>
      <w:r w:rsidR="009B0949" w:rsidRPr="009B0949">
        <w:rPr>
          <w:rFonts w:ascii="Times New Roman" w:hAnsi="Times New Roman"/>
          <w:sz w:val="26"/>
          <w:szCs w:val="26"/>
        </w:rPr>
        <w:t>as paredzētu no Imigrācijas likuma izslēgt normas, kas dod iespēju pieprasīt termiņuzturēšanās atļauju, veicot investīcijas:</w:t>
      </w:r>
    </w:p>
    <w:p w14:paraId="0B83C693" w14:textId="77777777" w:rsidR="009B0949" w:rsidRPr="009B0949" w:rsidRDefault="009B0949" w:rsidP="009B0949">
      <w:pPr>
        <w:pStyle w:val="ListParagraph"/>
        <w:numPr>
          <w:ilvl w:val="0"/>
          <w:numId w:val="25"/>
        </w:numPr>
        <w:ind w:left="26" w:firstLine="425"/>
        <w:jc w:val="both"/>
        <w:rPr>
          <w:rFonts w:ascii="Times New Roman" w:hAnsi="Times New Roman"/>
          <w:sz w:val="26"/>
          <w:szCs w:val="26"/>
        </w:rPr>
      </w:pPr>
      <w:r w:rsidRPr="009B0949">
        <w:rPr>
          <w:rFonts w:ascii="Times New Roman" w:hAnsi="Times New Roman"/>
          <w:sz w:val="26"/>
          <w:szCs w:val="26"/>
        </w:rPr>
        <w:t xml:space="preserve">kapitālsabiedrības pamatkapitālā 50 000 </w:t>
      </w:r>
      <w:r w:rsidRPr="009B0949">
        <w:rPr>
          <w:rFonts w:ascii="Times New Roman" w:hAnsi="Times New Roman"/>
          <w:i/>
          <w:sz w:val="26"/>
          <w:szCs w:val="26"/>
        </w:rPr>
        <w:t>euro</w:t>
      </w:r>
      <w:r w:rsidRPr="009B0949">
        <w:rPr>
          <w:rFonts w:ascii="Times New Roman" w:hAnsi="Times New Roman"/>
          <w:sz w:val="26"/>
          <w:szCs w:val="26"/>
        </w:rPr>
        <w:t xml:space="preserve"> apmērā, ja kapitālsabiedrība nodarbina ne vairāk kā 50 darbinieku, un tās gada apgrozījums vai gada bilance nepārsniedz 10 miljonus </w:t>
      </w:r>
      <w:r w:rsidRPr="009B0949">
        <w:rPr>
          <w:rFonts w:ascii="Times New Roman" w:hAnsi="Times New Roman"/>
          <w:i/>
          <w:sz w:val="26"/>
          <w:szCs w:val="26"/>
        </w:rPr>
        <w:t>euro</w:t>
      </w:r>
      <w:r w:rsidRPr="009B0949">
        <w:rPr>
          <w:rFonts w:ascii="Times New Roman" w:hAnsi="Times New Roman"/>
          <w:sz w:val="26"/>
          <w:szCs w:val="26"/>
        </w:rPr>
        <w:t>;</w:t>
      </w:r>
    </w:p>
    <w:p w14:paraId="5965B4A4" w14:textId="77777777" w:rsidR="009B0949" w:rsidRPr="009B0949" w:rsidRDefault="009B0949" w:rsidP="009B0949">
      <w:pPr>
        <w:pStyle w:val="ListParagraph"/>
        <w:numPr>
          <w:ilvl w:val="0"/>
          <w:numId w:val="25"/>
        </w:numPr>
        <w:ind w:left="26" w:firstLine="425"/>
        <w:jc w:val="both"/>
        <w:rPr>
          <w:rFonts w:ascii="Times New Roman" w:hAnsi="Times New Roman"/>
          <w:sz w:val="26"/>
          <w:szCs w:val="26"/>
        </w:rPr>
      </w:pPr>
      <w:r w:rsidRPr="009B0949">
        <w:rPr>
          <w:rFonts w:ascii="Times New Roman" w:hAnsi="Times New Roman"/>
          <w:sz w:val="26"/>
          <w:szCs w:val="26"/>
        </w:rPr>
        <w:t>tādas kapitālsabiedrības pamatkapitālā 100 000 </w:t>
      </w:r>
      <w:r w:rsidRPr="009B0949">
        <w:rPr>
          <w:rFonts w:ascii="Times New Roman" w:hAnsi="Times New Roman"/>
          <w:i/>
          <w:sz w:val="26"/>
          <w:szCs w:val="26"/>
        </w:rPr>
        <w:t>euro</w:t>
      </w:r>
      <w:r w:rsidRPr="009B0949">
        <w:rPr>
          <w:rFonts w:ascii="Times New Roman" w:hAnsi="Times New Roman"/>
          <w:sz w:val="26"/>
          <w:szCs w:val="26"/>
        </w:rPr>
        <w:t xml:space="preserve"> apmērā, kura kopā ar vienu vai vairākiem meitas uzņēmumiem, kas reģistrēti Latvijas Republikā, nodarbina vairāk nekā 50 darbinieku un to kopējais gada apgrozījums vai gada bilance pārsniedz 10 miljonus </w:t>
      </w:r>
      <w:r w:rsidRPr="009B0949">
        <w:rPr>
          <w:rFonts w:ascii="Times New Roman" w:hAnsi="Times New Roman"/>
          <w:i/>
          <w:sz w:val="26"/>
          <w:szCs w:val="26"/>
        </w:rPr>
        <w:t>euro</w:t>
      </w:r>
      <w:r w:rsidRPr="009B0949">
        <w:rPr>
          <w:rFonts w:ascii="Times New Roman" w:hAnsi="Times New Roman"/>
          <w:sz w:val="26"/>
          <w:szCs w:val="26"/>
        </w:rPr>
        <w:t>;</w:t>
      </w:r>
    </w:p>
    <w:p w14:paraId="2DCFDD1B" w14:textId="77777777" w:rsidR="009B0949" w:rsidRPr="009B0949" w:rsidRDefault="009B0949" w:rsidP="009B0949">
      <w:pPr>
        <w:pStyle w:val="ListParagraph"/>
        <w:numPr>
          <w:ilvl w:val="0"/>
          <w:numId w:val="25"/>
        </w:numPr>
        <w:ind w:left="26" w:firstLine="425"/>
        <w:jc w:val="both"/>
        <w:rPr>
          <w:rFonts w:ascii="Times New Roman" w:hAnsi="Times New Roman"/>
          <w:sz w:val="26"/>
          <w:szCs w:val="26"/>
        </w:rPr>
      </w:pPr>
      <w:r w:rsidRPr="009B0949">
        <w:rPr>
          <w:rFonts w:ascii="Times New Roman" w:hAnsi="Times New Roman"/>
          <w:sz w:val="26"/>
          <w:szCs w:val="26"/>
        </w:rPr>
        <w:t>kredītiestādes pakārtotajās saistībās 280 000 </w:t>
      </w:r>
      <w:r w:rsidRPr="009B0949">
        <w:rPr>
          <w:rFonts w:ascii="Times New Roman" w:hAnsi="Times New Roman"/>
          <w:i/>
          <w:sz w:val="26"/>
          <w:szCs w:val="26"/>
        </w:rPr>
        <w:t>euro</w:t>
      </w:r>
      <w:r w:rsidRPr="009B0949">
        <w:rPr>
          <w:rFonts w:ascii="Times New Roman" w:hAnsi="Times New Roman"/>
          <w:sz w:val="26"/>
          <w:szCs w:val="26"/>
        </w:rPr>
        <w:t xml:space="preserve"> apmērā;</w:t>
      </w:r>
    </w:p>
    <w:p w14:paraId="1A62335F" w14:textId="77777777" w:rsidR="009B0949" w:rsidRPr="009B0949" w:rsidRDefault="009B0949" w:rsidP="009B0949">
      <w:pPr>
        <w:pStyle w:val="ListParagraph"/>
        <w:numPr>
          <w:ilvl w:val="0"/>
          <w:numId w:val="25"/>
        </w:numPr>
        <w:ind w:left="26" w:firstLine="425"/>
        <w:jc w:val="both"/>
        <w:rPr>
          <w:rFonts w:ascii="Times New Roman" w:hAnsi="Times New Roman"/>
          <w:sz w:val="26"/>
          <w:szCs w:val="26"/>
        </w:rPr>
      </w:pPr>
      <w:r w:rsidRPr="009B0949">
        <w:rPr>
          <w:rFonts w:ascii="Times New Roman" w:hAnsi="Times New Roman"/>
          <w:sz w:val="26"/>
          <w:szCs w:val="26"/>
        </w:rPr>
        <w:t>iegādājoties īpašam mērķim noteiktus bezprocentu valsts vērtspapīrus par nominālvērtību 250 000 </w:t>
      </w:r>
      <w:r w:rsidRPr="009B0949">
        <w:rPr>
          <w:rFonts w:ascii="Times New Roman" w:hAnsi="Times New Roman"/>
          <w:i/>
          <w:sz w:val="26"/>
          <w:szCs w:val="26"/>
        </w:rPr>
        <w:t>euro</w:t>
      </w:r>
      <w:r w:rsidRPr="009B0949">
        <w:rPr>
          <w:rFonts w:ascii="Times New Roman" w:hAnsi="Times New Roman"/>
          <w:sz w:val="26"/>
          <w:szCs w:val="26"/>
        </w:rPr>
        <w:t>.</w:t>
      </w:r>
    </w:p>
    <w:p w14:paraId="41799BF9" w14:textId="77777777" w:rsidR="00A91B44" w:rsidRDefault="009B0949" w:rsidP="003154A8">
      <w:pPr>
        <w:pStyle w:val="ListParagraph"/>
        <w:ind w:left="0" w:firstLine="567"/>
        <w:jc w:val="both"/>
        <w:rPr>
          <w:rFonts w:ascii="Times New Roman" w:hAnsi="Times New Roman"/>
          <w:iCs/>
          <w:sz w:val="26"/>
          <w:szCs w:val="26"/>
          <w:shd w:val="clear" w:color="auto" w:fill="FFFFFF"/>
        </w:rPr>
      </w:pPr>
      <w:r w:rsidRPr="00D916C6">
        <w:rPr>
          <w:rFonts w:ascii="Times New Roman" w:hAnsi="Times New Roman"/>
          <w:iCs/>
          <w:sz w:val="26"/>
          <w:szCs w:val="26"/>
          <w:shd w:val="clear" w:color="auto" w:fill="FFFFFF"/>
        </w:rPr>
        <w:t xml:space="preserve">Papildus iepriekš  minētajam Ministru kabineta protokollēmumā tika uzdots izvērtēt iespēju palielināt summu, par kādu jāveic nekustamā īpašuma iegāde, ja ārzemnieks vēlas pieprasīt termiņuzturēšanās atļauju, to palielinot no 250 000 līdz 500 000 </w:t>
      </w:r>
      <w:r w:rsidRPr="00D916C6">
        <w:rPr>
          <w:rFonts w:ascii="Times New Roman" w:hAnsi="Times New Roman"/>
          <w:i/>
          <w:iCs/>
          <w:sz w:val="26"/>
          <w:szCs w:val="26"/>
          <w:shd w:val="clear" w:color="auto" w:fill="FFFFFF"/>
        </w:rPr>
        <w:t>euro</w:t>
      </w:r>
      <w:r w:rsidR="00D916C6">
        <w:rPr>
          <w:rFonts w:ascii="Times New Roman" w:hAnsi="Times New Roman"/>
          <w:iCs/>
          <w:sz w:val="26"/>
          <w:szCs w:val="26"/>
          <w:shd w:val="clear" w:color="auto" w:fill="FFFFFF"/>
        </w:rPr>
        <w:t xml:space="preserve">, t.i., dubultojot. </w:t>
      </w:r>
    </w:p>
    <w:p w14:paraId="5EF644B1" w14:textId="0C3C3F46" w:rsidR="00317F1D" w:rsidRDefault="00D916C6" w:rsidP="00317F1D">
      <w:pPr>
        <w:pStyle w:val="ListParagraph"/>
        <w:ind w:left="0" w:firstLine="567"/>
        <w:jc w:val="both"/>
        <w:rPr>
          <w:rFonts w:ascii="Times New Roman" w:hAnsi="Times New Roman"/>
          <w:iCs/>
          <w:sz w:val="26"/>
          <w:szCs w:val="26"/>
          <w:shd w:val="clear" w:color="auto" w:fill="FFFFFF"/>
        </w:rPr>
      </w:pPr>
      <w:r>
        <w:rPr>
          <w:rFonts w:ascii="Times New Roman" w:hAnsi="Times New Roman"/>
          <w:iCs/>
          <w:sz w:val="26"/>
          <w:szCs w:val="26"/>
          <w:shd w:val="clear" w:color="auto" w:fill="FFFFFF"/>
        </w:rPr>
        <w:t xml:space="preserve">Veicot izvērtējumu, tika pieņemts lēmums šādu normu neiekļaut. </w:t>
      </w:r>
      <w:r w:rsidR="009B5278">
        <w:rPr>
          <w:rFonts w:ascii="Times New Roman" w:hAnsi="Times New Roman"/>
          <w:iCs/>
          <w:sz w:val="26"/>
          <w:szCs w:val="26"/>
          <w:shd w:val="clear" w:color="auto" w:fill="FFFFFF"/>
        </w:rPr>
        <w:t>S</w:t>
      </w:r>
      <w:r w:rsidR="009B5278" w:rsidRPr="00D916C6">
        <w:rPr>
          <w:rFonts w:ascii="Times New Roman" w:hAnsi="Times New Roman"/>
          <w:iCs/>
          <w:sz w:val="26"/>
          <w:szCs w:val="26"/>
          <w:shd w:val="clear" w:color="auto" w:fill="FFFFFF"/>
        </w:rPr>
        <w:t>ummas palielināšana netika uzskatīta par lietderīgu</w:t>
      </w:r>
      <w:r w:rsidR="009B5278">
        <w:rPr>
          <w:rFonts w:ascii="Times New Roman" w:hAnsi="Times New Roman"/>
          <w:iCs/>
          <w:sz w:val="26"/>
          <w:szCs w:val="26"/>
          <w:shd w:val="clear" w:color="auto" w:fill="FFFFFF"/>
        </w:rPr>
        <w:t>,</w:t>
      </w:r>
      <w:r w:rsidR="009B5278" w:rsidRPr="00D916C6">
        <w:rPr>
          <w:rFonts w:ascii="Times New Roman" w:hAnsi="Times New Roman"/>
          <w:iCs/>
          <w:sz w:val="26"/>
          <w:szCs w:val="26"/>
          <w:shd w:val="clear" w:color="auto" w:fill="FFFFFF"/>
        </w:rPr>
        <w:t xml:space="preserve"> </w:t>
      </w:r>
      <w:r w:rsidR="009B5278">
        <w:rPr>
          <w:rFonts w:ascii="Times New Roman" w:hAnsi="Times New Roman"/>
          <w:iCs/>
          <w:sz w:val="26"/>
          <w:szCs w:val="26"/>
          <w:shd w:val="clear" w:color="auto" w:fill="FFFFFF"/>
        </w:rPr>
        <w:t>i</w:t>
      </w:r>
      <w:r w:rsidR="006D5173" w:rsidRPr="00D916C6">
        <w:rPr>
          <w:rFonts w:ascii="Times New Roman" w:hAnsi="Times New Roman"/>
          <w:iCs/>
          <w:sz w:val="26"/>
          <w:szCs w:val="26"/>
          <w:shd w:val="clear" w:color="auto" w:fill="FFFFFF"/>
        </w:rPr>
        <w:t xml:space="preserve">evērojot </w:t>
      </w:r>
      <w:r w:rsidR="009B5278" w:rsidRPr="00D916C6">
        <w:rPr>
          <w:rFonts w:ascii="Times New Roman" w:hAnsi="Times New Roman"/>
          <w:iCs/>
          <w:sz w:val="26"/>
          <w:szCs w:val="26"/>
          <w:shd w:val="clear" w:color="auto" w:fill="FFFFFF"/>
        </w:rPr>
        <w:t>sarežģīto ekonomisko situāciju, ko izraisījusi</w:t>
      </w:r>
      <w:r w:rsidR="009B5278">
        <w:rPr>
          <w:rFonts w:ascii="Times New Roman" w:hAnsi="Times New Roman"/>
          <w:iCs/>
          <w:sz w:val="26"/>
          <w:szCs w:val="26"/>
          <w:shd w:val="clear" w:color="auto" w:fill="FFFFFF"/>
        </w:rPr>
        <w:t xml:space="preserve"> globālā pandēmija</w:t>
      </w:r>
      <w:r w:rsidR="009B5278" w:rsidRPr="00D916C6">
        <w:rPr>
          <w:rFonts w:ascii="Times New Roman" w:hAnsi="Times New Roman"/>
          <w:iCs/>
          <w:sz w:val="26"/>
          <w:szCs w:val="26"/>
          <w:shd w:val="clear" w:color="auto" w:fill="FFFFFF"/>
        </w:rPr>
        <w:t>.</w:t>
      </w:r>
      <w:r w:rsidR="006D5173" w:rsidRPr="00D916C6">
        <w:rPr>
          <w:rFonts w:ascii="Times New Roman" w:hAnsi="Times New Roman"/>
          <w:iCs/>
          <w:sz w:val="26"/>
          <w:szCs w:val="26"/>
          <w:shd w:val="clear" w:color="auto" w:fill="FFFFFF"/>
        </w:rPr>
        <w:t xml:space="preserve"> </w:t>
      </w:r>
      <w:r w:rsidR="009B5278">
        <w:rPr>
          <w:rFonts w:ascii="Times New Roman" w:hAnsi="Times New Roman"/>
          <w:iCs/>
          <w:sz w:val="26"/>
          <w:szCs w:val="26"/>
          <w:shd w:val="clear" w:color="auto" w:fill="FFFFFF"/>
        </w:rPr>
        <w:t>L</w:t>
      </w:r>
      <w:r w:rsidR="006D5173" w:rsidRPr="00D916C6">
        <w:rPr>
          <w:rFonts w:ascii="Times New Roman" w:hAnsi="Times New Roman"/>
          <w:iCs/>
          <w:sz w:val="26"/>
          <w:szCs w:val="26"/>
          <w:shd w:val="clear" w:color="auto" w:fill="FFFFFF"/>
        </w:rPr>
        <w:t xml:space="preserve">ielākais investoru pieteikumu skaits tiek saņemts tieši saistībā ar nekustamā īpašuma iegādi, bet minimālās pirkuma summas dubultošana pieteikumu skaitu būtiski samazinātu, </w:t>
      </w:r>
      <w:r w:rsidR="009B5278">
        <w:rPr>
          <w:rFonts w:ascii="Times New Roman" w:hAnsi="Times New Roman"/>
          <w:iCs/>
          <w:sz w:val="26"/>
          <w:szCs w:val="26"/>
          <w:shd w:val="clear" w:color="auto" w:fill="FFFFFF"/>
        </w:rPr>
        <w:t>tam tuvojoties nullei.</w:t>
      </w:r>
      <w:r w:rsidR="006D5173" w:rsidRPr="00D916C6">
        <w:rPr>
          <w:rFonts w:ascii="Times New Roman" w:hAnsi="Times New Roman"/>
          <w:iCs/>
          <w:sz w:val="26"/>
          <w:szCs w:val="26"/>
          <w:shd w:val="clear" w:color="auto" w:fill="FFFFFF"/>
        </w:rPr>
        <w:t xml:space="preserve"> </w:t>
      </w:r>
      <w:r w:rsidR="009B5278">
        <w:rPr>
          <w:rFonts w:ascii="Times New Roman" w:hAnsi="Times New Roman"/>
          <w:iCs/>
          <w:sz w:val="26"/>
          <w:szCs w:val="26"/>
          <w:shd w:val="clear" w:color="auto" w:fill="FFFFFF"/>
        </w:rPr>
        <w:t>2020</w:t>
      </w:r>
      <w:r w:rsidR="006D5173" w:rsidRPr="00D916C6">
        <w:rPr>
          <w:rFonts w:ascii="Times New Roman" w:hAnsi="Times New Roman"/>
          <w:iCs/>
          <w:sz w:val="26"/>
          <w:szCs w:val="26"/>
          <w:shd w:val="clear" w:color="auto" w:fill="FFFFFF"/>
        </w:rPr>
        <w:t xml:space="preserve">.gadā saņemti </w:t>
      </w:r>
      <w:r w:rsidR="00D44B4C">
        <w:rPr>
          <w:rFonts w:ascii="Times New Roman" w:hAnsi="Times New Roman"/>
          <w:iCs/>
          <w:sz w:val="26"/>
          <w:szCs w:val="26"/>
          <w:shd w:val="clear" w:color="auto" w:fill="FFFFFF"/>
        </w:rPr>
        <w:t xml:space="preserve">69 ārzemnieku pieteikumi, par </w:t>
      </w:r>
      <w:r w:rsidR="00D44B4C" w:rsidRPr="00D916C6">
        <w:rPr>
          <w:rFonts w:ascii="Times New Roman" w:hAnsi="Times New Roman"/>
          <w:iCs/>
          <w:sz w:val="26"/>
          <w:szCs w:val="26"/>
          <w:shd w:val="clear" w:color="auto" w:fill="FFFFFF"/>
        </w:rPr>
        <w:t>kuriem valsts pamatbudžeta programmas "Ekonomikas attīstības programma" ietvaros</w:t>
      </w:r>
      <w:r w:rsidR="00D44B4C" w:rsidRPr="00D916C6">
        <w:rPr>
          <w:sz w:val="26"/>
          <w:szCs w:val="26"/>
        </w:rPr>
        <w:t xml:space="preserve"> </w:t>
      </w:r>
      <w:r w:rsidR="00D44B4C" w:rsidRPr="00D916C6">
        <w:rPr>
          <w:rFonts w:ascii="Times New Roman" w:hAnsi="Times New Roman"/>
          <w:iCs/>
          <w:sz w:val="26"/>
          <w:szCs w:val="26"/>
          <w:shd w:val="clear" w:color="auto" w:fill="FFFFFF"/>
        </w:rPr>
        <w:t xml:space="preserve">būtu jāveic iemaksas aptuveni </w:t>
      </w:r>
      <w:r w:rsidR="00D44B4C">
        <w:rPr>
          <w:rFonts w:ascii="Times New Roman" w:hAnsi="Times New Roman"/>
          <w:iCs/>
          <w:sz w:val="26"/>
          <w:szCs w:val="26"/>
          <w:shd w:val="clear" w:color="auto" w:fill="FFFFFF"/>
        </w:rPr>
        <w:t>1,2 milj.</w:t>
      </w:r>
      <w:r w:rsidR="00D44B4C" w:rsidRPr="00D916C6">
        <w:rPr>
          <w:rFonts w:ascii="Times New Roman" w:hAnsi="Times New Roman"/>
          <w:iCs/>
          <w:sz w:val="26"/>
          <w:szCs w:val="26"/>
          <w:shd w:val="clear" w:color="auto" w:fill="FFFFFF"/>
        </w:rPr>
        <w:t xml:space="preserve"> </w:t>
      </w:r>
      <w:r w:rsidR="00D44B4C" w:rsidRPr="00D916C6">
        <w:rPr>
          <w:rFonts w:ascii="Times New Roman" w:hAnsi="Times New Roman"/>
          <w:i/>
          <w:iCs/>
          <w:sz w:val="26"/>
          <w:szCs w:val="26"/>
          <w:shd w:val="clear" w:color="auto" w:fill="FFFFFF"/>
        </w:rPr>
        <w:t>euro</w:t>
      </w:r>
      <w:r w:rsidR="00D44B4C" w:rsidRPr="00D916C6">
        <w:rPr>
          <w:rFonts w:ascii="Times New Roman" w:hAnsi="Times New Roman"/>
          <w:iCs/>
          <w:sz w:val="26"/>
          <w:szCs w:val="26"/>
          <w:shd w:val="clear" w:color="auto" w:fill="FFFFFF"/>
        </w:rPr>
        <w:t xml:space="preserve"> apmērā</w:t>
      </w:r>
      <w:r w:rsidR="00D44B4C">
        <w:rPr>
          <w:rFonts w:ascii="Times New Roman" w:hAnsi="Times New Roman"/>
          <w:iCs/>
          <w:sz w:val="26"/>
          <w:szCs w:val="26"/>
          <w:shd w:val="clear" w:color="auto" w:fill="FFFFFF"/>
        </w:rPr>
        <w:t>, bet tikai pieci</w:t>
      </w:r>
      <w:r w:rsidR="003154A8">
        <w:rPr>
          <w:rFonts w:ascii="Times New Roman" w:hAnsi="Times New Roman"/>
          <w:iCs/>
          <w:sz w:val="26"/>
          <w:szCs w:val="26"/>
          <w:shd w:val="clear" w:color="auto" w:fill="FFFFFF"/>
        </w:rPr>
        <w:t xml:space="preserve"> </w:t>
      </w:r>
      <w:r w:rsidR="006D5173" w:rsidRPr="00D916C6">
        <w:rPr>
          <w:rFonts w:ascii="Times New Roman" w:hAnsi="Times New Roman"/>
          <w:iCs/>
          <w:sz w:val="26"/>
          <w:szCs w:val="26"/>
          <w:shd w:val="clear" w:color="auto" w:fill="FFFFFF"/>
        </w:rPr>
        <w:t xml:space="preserve">no šiem pieteikumiem kvalificētos termiņuzturēšanās atļaujas saņemšanai, ja minimālā nekustamā īpašuma pirkuma summa </w:t>
      </w:r>
      <w:r w:rsidR="006D5173" w:rsidRPr="00317F1D">
        <w:rPr>
          <w:rFonts w:ascii="Times New Roman" w:hAnsi="Times New Roman"/>
          <w:iCs/>
          <w:sz w:val="26"/>
          <w:szCs w:val="26"/>
          <w:shd w:val="clear" w:color="auto" w:fill="FFFFFF"/>
        </w:rPr>
        <w:t>tiktu dubultota</w:t>
      </w:r>
      <w:r w:rsidR="006D5173" w:rsidRPr="00AF3297">
        <w:rPr>
          <w:rFonts w:ascii="Times New Roman" w:hAnsi="Times New Roman"/>
          <w:iCs/>
          <w:sz w:val="26"/>
          <w:szCs w:val="26"/>
          <w:shd w:val="clear" w:color="auto" w:fill="FFFFFF"/>
        </w:rPr>
        <w:t xml:space="preserve">. </w:t>
      </w:r>
      <w:r w:rsidR="00A91B44" w:rsidRPr="00AF3297">
        <w:rPr>
          <w:rFonts w:ascii="Times New Roman" w:hAnsi="Times New Roman"/>
          <w:iCs/>
          <w:sz w:val="26"/>
          <w:szCs w:val="26"/>
          <w:shd w:val="clear" w:color="auto" w:fill="FFFFFF"/>
        </w:rPr>
        <w:t>Faktiski 2020.gada laikā šajā sadaļā tika saņemti 5</w:t>
      </w:r>
      <w:r w:rsidR="00317F1D" w:rsidRPr="00AF3297">
        <w:rPr>
          <w:rFonts w:ascii="Times New Roman" w:hAnsi="Times New Roman"/>
          <w:iCs/>
          <w:sz w:val="26"/>
          <w:szCs w:val="26"/>
          <w:shd w:val="clear" w:color="auto" w:fill="FFFFFF"/>
        </w:rPr>
        <w:t>6</w:t>
      </w:r>
      <w:r w:rsidR="00A91B44" w:rsidRPr="00AF3297">
        <w:rPr>
          <w:rFonts w:ascii="Times New Roman" w:hAnsi="Times New Roman"/>
          <w:iCs/>
          <w:sz w:val="26"/>
          <w:szCs w:val="26"/>
          <w:shd w:val="clear" w:color="auto" w:fill="FFFFFF"/>
        </w:rPr>
        <w:t xml:space="preserve"> maksājumi</w:t>
      </w:r>
      <w:r w:rsidR="00317F1D" w:rsidRPr="00AF3297">
        <w:rPr>
          <w:rFonts w:ascii="Times New Roman" w:hAnsi="Times New Roman"/>
          <w:iCs/>
          <w:sz w:val="26"/>
          <w:szCs w:val="26"/>
          <w:shd w:val="clear" w:color="auto" w:fill="FFFFFF"/>
        </w:rPr>
        <w:t xml:space="preserve"> (kopā valsts budžetā iemaksājot 0,9 milj. </w:t>
      </w:r>
      <w:r w:rsidR="00317F1D" w:rsidRPr="00AF3297">
        <w:rPr>
          <w:rFonts w:ascii="Times New Roman" w:hAnsi="Times New Roman"/>
          <w:i/>
          <w:sz w:val="26"/>
          <w:szCs w:val="26"/>
          <w:shd w:val="clear" w:color="auto" w:fill="FFFFFF"/>
        </w:rPr>
        <w:t>euro</w:t>
      </w:r>
      <w:r w:rsidR="00317F1D" w:rsidRPr="00AF3297">
        <w:rPr>
          <w:rFonts w:ascii="Times New Roman" w:hAnsi="Times New Roman"/>
          <w:iCs/>
          <w:sz w:val="26"/>
          <w:szCs w:val="26"/>
          <w:shd w:val="clear" w:color="auto" w:fill="FFFFFF"/>
        </w:rPr>
        <w:t>) un tikai divi no tiem tika veikti par pirmreizējas TUA saņemšanu saistībā ar iegādātu nekustamo īpašumu, kura vērtība pārsniedza 500 000</w:t>
      </w:r>
      <w:r w:rsidR="00A91B44" w:rsidRPr="00AF3297">
        <w:rPr>
          <w:rFonts w:ascii="Times New Roman" w:hAnsi="Times New Roman"/>
          <w:iCs/>
          <w:sz w:val="26"/>
          <w:szCs w:val="26"/>
          <w:shd w:val="clear" w:color="auto" w:fill="FFFFFF"/>
        </w:rPr>
        <w:t xml:space="preserve"> </w:t>
      </w:r>
      <w:r w:rsidR="00317F1D" w:rsidRPr="00AF3297">
        <w:rPr>
          <w:rFonts w:ascii="Times New Roman" w:hAnsi="Times New Roman"/>
          <w:i/>
          <w:sz w:val="26"/>
          <w:szCs w:val="26"/>
          <w:shd w:val="clear" w:color="auto" w:fill="FFFFFF"/>
        </w:rPr>
        <w:t>euro</w:t>
      </w:r>
      <w:r w:rsidR="00317F1D" w:rsidRPr="00AF3297">
        <w:rPr>
          <w:rFonts w:ascii="Times New Roman" w:hAnsi="Times New Roman"/>
          <w:iCs/>
          <w:sz w:val="26"/>
          <w:szCs w:val="26"/>
          <w:shd w:val="clear" w:color="auto" w:fill="FFFFFF"/>
        </w:rPr>
        <w:t>.</w:t>
      </w:r>
      <w:r w:rsidR="00A91B44" w:rsidRPr="00AF3297">
        <w:rPr>
          <w:rFonts w:ascii="Times New Roman" w:hAnsi="Times New Roman"/>
          <w:iCs/>
          <w:sz w:val="26"/>
          <w:szCs w:val="26"/>
          <w:shd w:val="clear" w:color="auto" w:fill="FFFFFF"/>
        </w:rPr>
        <w:t xml:space="preserve"> </w:t>
      </w:r>
      <w:r w:rsidR="006D5173" w:rsidRPr="00AF3297">
        <w:rPr>
          <w:rFonts w:ascii="Times New Roman" w:hAnsi="Times New Roman"/>
          <w:iCs/>
          <w:sz w:val="26"/>
          <w:szCs w:val="26"/>
          <w:shd w:val="clear" w:color="auto" w:fill="FFFFFF"/>
        </w:rPr>
        <w:t>Līdzīga situācija vērojama</w:t>
      </w:r>
      <w:r w:rsidR="00317F1D" w:rsidRPr="00AF3297">
        <w:rPr>
          <w:rFonts w:ascii="Times New Roman" w:hAnsi="Times New Roman"/>
          <w:iCs/>
          <w:sz w:val="26"/>
          <w:szCs w:val="26"/>
          <w:shd w:val="clear" w:color="auto" w:fill="FFFFFF"/>
        </w:rPr>
        <w:t xml:space="preserve"> arī</w:t>
      </w:r>
      <w:r w:rsidR="006D5173" w:rsidRPr="00AF3297">
        <w:rPr>
          <w:rFonts w:ascii="Times New Roman" w:hAnsi="Times New Roman"/>
          <w:iCs/>
          <w:sz w:val="26"/>
          <w:szCs w:val="26"/>
          <w:shd w:val="clear" w:color="auto" w:fill="FFFFFF"/>
        </w:rPr>
        <w:t xml:space="preserve"> analizējot 2019.gada datus – n</w:t>
      </w:r>
      <w:r w:rsidR="00D44B4C" w:rsidRPr="00AF3297">
        <w:rPr>
          <w:rFonts w:ascii="Times New Roman" w:hAnsi="Times New Roman"/>
          <w:iCs/>
          <w:sz w:val="26"/>
          <w:szCs w:val="26"/>
          <w:shd w:val="clear" w:color="auto" w:fill="FFFFFF"/>
        </w:rPr>
        <w:t xml:space="preserve">o 100 saņemtajiem pieteikumiem </w:t>
      </w:r>
      <w:r w:rsidR="00317F1D" w:rsidRPr="00AF3297">
        <w:rPr>
          <w:rFonts w:ascii="Times New Roman" w:hAnsi="Times New Roman"/>
          <w:iCs/>
          <w:sz w:val="26"/>
          <w:szCs w:val="26"/>
          <w:shd w:val="clear" w:color="auto" w:fill="FFFFFF"/>
        </w:rPr>
        <w:t>(faktiski no veiktiem 99 maksājumiem 1,46 milj. </w:t>
      </w:r>
      <w:r w:rsidR="00317F1D" w:rsidRPr="00AF3297">
        <w:rPr>
          <w:rFonts w:ascii="Times New Roman" w:hAnsi="Times New Roman"/>
          <w:i/>
          <w:sz w:val="26"/>
          <w:szCs w:val="26"/>
          <w:shd w:val="clear" w:color="auto" w:fill="FFFFFF"/>
        </w:rPr>
        <w:t>euro</w:t>
      </w:r>
      <w:r w:rsidR="00317F1D" w:rsidRPr="00AF3297">
        <w:rPr>
          <w:rFonts w:ascii="Times New Roman" w:hAnsi="Times New Roman"/>
          <w:iCs/>
          <w:sz w:val="26"/>
          <w:szCs w:val="26"/>
          <w:shd w:val="clear" w:color="auto" w:fill="FFFFFF"/>
        </w:rPr>
        <w:t xml:space="preserve"> apmērā) </w:t>
      </w:r>
      <w:r w:rsidR="00D44B4C" w:rsidRPr="00AF3297">
        <w:rPr>
          <w:rFonts w:ascii="Times New Roman" w:hAnsi="Times New Roman"/>
          <w:iCs/>
          <w:sz w:val="26"/>
          <w:szCs w:val="26"/>
          <w:shd w:val="clear" w:color="auto" w:fill="FFFFFF"/>
        </w:rPr>
        <w:t>tikai</w:t>
      </w:r>
      <w:r w:rsidR="006D5173" w:rsidRPr="00AF3297">
        <w:rPr>
          <w:rFonts w:ascii="Times New Roman" w:hAnsi="Times New Roman"/>
          <w:iCs/>
          <w:sz w:val="26"/>
          <w:szCs w:val="26"/>
          <w:shd w:val="clear" w:color="auto" w:fill="FFFFFF"/>
        </w:rPr>
        <w:t xml:space="preserve"> divi pieteikumi kvalificētos atļaujas saņemšanai</w:t>
      </w:r>
      <w:r w:rsidR="00317F1D" w:rsidRPr="00AF3297">
        <w:rPr>
          <w:rFonts w:ascii="Times New Roman" w:hAnsi="Times New Roman"/>
          <w:iCs/>
          <w:sz w:val="26"/>
          <w:szCs w:val="26"/>
          <w:shd w:val="clear" w:color="auto" w:fill="FFFFFF"/>
        </w:rPr>
        <w:t>.</w:t>
      </w:r>
      <w:r w:rsidR="006D5173" w:rsidRPr="00D44B4C">
        <w:rPr>
          <w:rFonts w:ascii="Times New Roman" w:hAnsi="Times New Roman"/>
          <w:iCs/>
          <w:sz w:val="26"/>
          <w:szCs w:val="26"/>
          <w:shd w:val="clear" w:color="auto" w:fill="FFFFFF"/>
        </w:rPr>
        <w:t xml:space="preserve"> </w:t>
      </w:r>
    </w:p>
    <w:p w14:paraId="188E23CE" w14:textId="06A6C88A" w:rsidR="009B0949" w:rsidRPr="00D60BD9" w:rsidRDefault="006D5173" w:rsidP="00D60BD9">
      <w:pPr>
        <w:pStyle w:val="ListParagraph"/>
        <w:spacing w:after="120"/>
        <w:ind w:left="0" w:firstLine="567"/>
        <w:contextualSpacing w:val="0"/>
        <w:jc w:val="both"/>
        <w:rPr>
          <w:rFonts w:ascii="Times New Roman" w:hAnsi="Times New Roman"/>
          <w:iCs/>
          <w:sz w:val="26"/>
          <w:szCs w:val="26"/>
          <w:shd w:val="clear" w:color="auto" w:fill="FFFFFF"/>
        </w:rPr>
      </w:pPr>
      <w:r w:rsidRPr="00D44B4C">
        <w:rPr>
          <w:rFonts w:ascii="Times New Roman" w:hAnsi="Times New Roman"/>
          <w:iCs/>
          <w:sz w:val="26"/>
          <w:szCs w:val="26"/>
          <w:shd w:val="clear" w:color="auto" w:fill="FFFFFF"/>
        </w:rPr>
        <w:t>Papildus ārzemnieku veiktajām tiešajām iemaksām valsts budžetā netiktu iekasētas arī valsts nodevas par īpašuma reģistrāciju zemesgrāmatā un uzturēšanās atļaujas saņemšanu.</w:t>
      </w:r>
    </w:p>
    <w:p w14:paraId="51BF505F" w14:textId="77777777" w:rsidR="00C7200F" w:rsidRDefault="00C7200F" w:rsidP="00F06AFF">
      <w:pPr>
        <w:spacing w:after="120"/>
        <w:ind w:firstLine="567"/>
        <w:jc w:val="both"/>
        <w:rPr>
          <w:rFonts w:ascii="Times New Roman" w:hAnsi="Times New Roman"/>
          <w:sz w:val="26"/>
          <w:szCs w:val="26"/>
        </w:rPr>
      </w:pPr>
      <w:r w:rsidRPr="00AF3297">
        <w:rPr>
          <w:rFonts w:ascii="Times New Roman" w:hAnsi="Times New Roman"/>
          <w:sz w:val="26"/>
          <w:szCs w:val="26"/>
        </w:rPr>
        <w:t>Atbilstoši minētajam uzdevumam, l</w:t>
      </w:r>
      <w:r w:rsidR="009B0949" w:rsidRPr="00AF3297">
        <w:rPr>
          <w:rFonts w:ascii="Times New Roman" w:hAnsi="Times New Roman"/>
          <w:sz w:val="26"/>
          <w:szCs w:val="26"/>
        </w:rPr>
        <w:t>ikumprojekts</w:t>
      </w:r>
      <w:r w:rsidRPr="00AF3297">
        <w:rPr>
          <w:rFonts w:ascii="Times New Roman" w:hAnsi="Times New Roman"/>
          <w:sz w:val="26"/>
          <w:szCs w:val="26"/>
        </w:rPr>
        <w:t xml:space="preserve"> “Grozījumi Imigrācijas likumā”</w:t>
      </w:r>
      <w:r w:rsidR="009B0949" w:rsidRPr="00AF3297">
        <w:rPr>
          <w:rFonts w:ascii="Times New Roman" w:hAnsi="Times New Roman"/>
          <w:sz w:val="26"/>
          <w:szCs w:val="26"/>
        </w:rPr>
        <w:t xml:space="preserve"> </w:t>
      </w:r>
      <w:r w:rsidRPr="00AF3297">
        <w:rPr>
          <w:rFonts w:ascii="Times New Roman" w:hAnsi="Times New Roman"/>
          <w:sz w:val="26"/>
          <w:szCs w:val="26"/>
        </w:rPr>
        <w:t xml:space="preserve">(TA-1408) </w:t>
      </w:r>
      <w:r w:rsidR="009B0949" w:rsidRPr="00AF3297">
        <w:rPr>
          <w:rFonts w:ascii="Times New Roman" w:hAnsi="Times New Roman"/>
          <w:sz w:val="26"/>
          <w:szCs w:val="26"/>
        </w:rPr>
        <w:t>tika sagatavots un iekļauts Ministru kabineta 2020.gada 2.septembra sēdes darba kārtībā, bet tā izskatīšana tika atlikta</w:t>
      </w:r>
      <w:r w:rsidRPr="00AF3297">
        <w:rPr>
          <w:rStyle w:val="FootnoteReference"/>
          <w:rFonts w:ascii="Times New Roman" w:hAnsi="Times New Roman"/>
          <w:sz w:val="26"/>
          <w:szCs w:val="26"/>
        </w:rPr>
        <w:footnoteReference w:id="17"/>
      </w:r>
      <w:r w:rsidRPr="00AF3297">
        <w:rPr>
          <w:rFonts w:ascii="Times New Roman" w:hAnsi="Times New Roman"/>
          <w:sz w:val="26"/>
          <w:szCs w:val="26"/>
        </w:rPr>
        <w:t>.</w:t>
      </w:r>
      <w:r w:rsidR="00D44B4C" w:rsidRPr="00AF3297">
        <w:rPr>
          <w:rFonts w:ascii="Times New Roman" w:hAnsi="Times New Roman"/>
          <w:sz w:val="26"/>
          <w:szCs w:val="26"/>
        </w:rPr>
        <w:t xml:space="preserve"> 2020.gada 21.decembrī Iekšlietu, Ekonomikas un Finanšu ministrijām </w:t>
      </w:r>
      <w:r w:rsidRPr="00AF3297">
        <w:rPr>
          <w:rFonts w:ascii="Times New Roman" w:hAnsi="Times New Roman"/>
          <w:sz w:val="26"/>
          <w:szCs w:val="26"/>
        </w:rPr>
        <w:t xml:space="preserve">tika uzdots </w:t>
      </w:r>
      <w:r w:rsidR="00D44B4C" w:rsidRPr="00AF3297">
        <w:rPr>
          <w:rFonts w:ascii="Times New Roman" w:hAnsi="Times New Roman"/>
          <w:sz w:val="26"/>
          <w:szCs w:val="26"/>
        </w:rPr>
        <w:t>atkārtoti izvērtēt likumprojekta turpmākas virzības lietderīgumu</w:t>
      </w:r>
      <w:r w:rsidRPr="00AF3297">
        <w:rPr>
          <w:rFonts w:ascii="Times New Roman" w:hAnsi="Times New Roman"/>
          <w:sz w:val="26"/>
          <w:szCs w:val="26"/>
        </w:rPr>
        <w:t>.</w:t>
      </w:r>
      <w:r w:rsidR="00D44B4C">
        <w:rPr>
          <w:rFonts w:ascii="Times New Roman" w:hAnsi="Times New Roman"/>
          <w:sz w:val="26"/>
          <w:szCs w:val="26"/>
        </w:rPr>
        <w:t xml:space="preserve"> </w:t>
      </w:r>
    </w:p>
    <w:p w14:paraId="13586BB4" w14:textId="0736687C" w:rsidR="003276D9" w:rsidRDefault="007C1771" w:rsidP="00F06AFF">
      <w:pPr>
        <w:spacing w:after="120"/>
        <w:ind w:firstLine="567"/>
        <w:jc w:val="both"/>
        <w:rPr>
          <w:rFonts w:ascii="Times New Roman" w:hAnsi="Times New Roman"/>
          <w:sz w:val="26"/>
          <w:szCs w:val="26"/>
        </w:rPr>
      </w:pPr>
      <w:r>
        <w:rPr>
          <w:rFonts w:ascii="Times New Roman" w:hAnsi="Times New Roman"/>
          <w:sz w:val="26"/>
          <w:szCs w:val="26"/>
        </w:rPr>
        <w:t>Ekonomikas ministrija, veicot šo izvērtējumu un i</w:t>
      </w:r>
      <w:r w:rsidR="003276D9" w:rsidRPr="003276D9">
        <w:rPr>
          <w:rFonts w:ascii="Times New Roman" w:hAnsi="Times New Roman"/>
          <w:sz w:val="26"/>
          <w:szCs w:val="26"/>
        </w:rPr>
        <w:t xml:space="preserve">evērojot to, ka Ministru kabineta sēdes protokollēmumā paredzētais uzdevums tika nodots izpildei pirms globālās pandēmijas sākuma, kuras ierobežošanas pasākumi izraisījuši ekonomisko aktivitāšu būtisku samazināšanos, kā arī to, ka šajā situācijā ir atbalstāmas iniciatīvas, kas veicina ārvalstu investīciju piesaisti, </w:t>
      </w:r>
      <w:r>
        <w:rPr>
          <w:rFonts w:ascii="Times New Roman" w:hAnsi="Times New Roman"/>
          <w:sz w:val="26"/>
          <w:szCs w:val="26"/>
        </w:rPr>
        <w:t>ir norādījusi, ka neatbalsta likumprojekta turpmāko virzību, un iekšlietu ministrs ir iesniedzis vēstuli Valsts kancelejai, paužot viedokli par to, ka minētais likumprojekts ir atsaucams.</w:t>
      </w:r>
    </w:p>
    <w:p w14:paraId="675E00A7" w14:textId="76E30FD2" w:rsidR="00D44B4C" w:rsidRDefault="003276D9" w:rsidP="00F06AFF">
      <w:pPr>
        <w:spacing w:after="120"/>
        <w:ind w:firstLine="567"/>
        <w:jc w:val="both"/>
        <w:rPr>
          <w:rFonts w:ascii="Times New Roman" w:hAnsi="Times New Roman"/>
          <w:sz w:val="26"/>
          <w:szCs w:val="26"/>
        </w:rPr>
      </w:pPr>
      <w:r w:rsidRPr="003276D9">
        <w:rPr>
          <w:rFonts w:ascii="Times New Roman" w:hAnsi="Times New Roman"/>
          <w:sz w:val="26"/>
          <w:szCs w:val="26"/>
        </w:rPr>
        <w:t xml:space="preserve">Vienlaikus jānorāda, ka </w:t>
      </w:r>
      <w:r w:rsidR="007C1771">
        <w:rPr>
          <w:rFonts w:ascii="Times New Roman" w:hAnsi="Times New Roman"/>
          <w:sz w:val="26"/>
          <w:szCs w:val="26"/>
        </w:rPr>
        <w:t xml:space="preserve">tā kā </w:t>
      </w:r>
      <w:r w:rsidRPr="003276D9">
        <w:rPr>
          <w:rFonts w:ascii="Times New Roman" w:hAnsi="Times New Roman"/>
          <w:sz w:val="26"/>
          <w:szCs w:val="26"/>
        </w:rPr>
        <w:t>Imigrācijas likuma norma, kas paredz uzturēšanās atļauju piešķiršanu personām, kas iegādājušās valsts vērtspapīrus, atbilstoši Valsts kases norādītajai informācijai zaudējusi savu finansiālo ienesīgumu</w:t>
      </w:r>
      <w:r w:rsidR="007C1771">
        <w:rPr>
          <w:rFonts w:ascii="Times New Roman" w:hAnsi="Times New Roman"/>
          <w:sz w:val="26"/>
          <w:szCs w:val="26"/>
        </w:rPr>
        <w:t>, m</w:t>
      </w:r>
      <w:r w:rsidRPr="003276D9">
        <w:rPr>
          <w:rFonts w:ascii="Times New Roman" w:hAnsi="Times New Roman"/>
          <w:sz w:val="26"/>
          <w:szCs w:val="26"/>
        </w:rPr>
        <w:t>inētās normas izslēgšana paredzēta likumprojektā “Imigrācijas likums” (VSS-545)</w:t>
      </w:r>
      <w:r w:rsidR="007C1771">
        <w:rPr>
          <w:rFonts w:ascii="Times New Roman" w:hAnsi="Times New Roman"/>
          <w:sz w:val="26"/>
          <w:szCs w:val="26"/>
        </w:rPr>
        <w:t xml:space="preserve">, kas </w:t>
      </w:r>
      <w:r w:rsidR="00292598">
        <w:rPr>
          <w:rFonts w:ascii="Times New Roman" w:hAnsi="Times New Roman"/>
          <w:sz w:val="26"/>
          <w:szCs w:val="26"/>
        </w:rPr>
        <w:t>izsludināts Valsts sekretāru sanāksmē 2020.gada 2.jūlijā</w:t>
      </w:r>
      <w:r w:rsidR="007C1771">
        <w:rPr>
          <w:rFonts w:ascii="Times New Roman" w:hAnsi="Times New Roman"/>
          <w:sz w:val="26"/>
          <w:szCs w:val="26"/>
        </w:rPr>
        <w:t xml:space="preserve">. Šobrīd projekta </w:t>
      </w:r>
      <w:r w:rsidR="00292598">
        <w:rPr>
          <w:rFonts w:ascii="Times New Roman" w:hAnsi="Times New Roman"/>
          <w:sz w:val="26"/>
          <w:szCs w:val="26"/>
        </w:rPr>
        <w:t>saskaņošana ar institūcijām atrodas noslēguma fāzē.</w:t>
      </w:r>
    </w:p>
    <w:p w14:paraId="63624603" w14:textId="4D0F0903" w:rsidR="00F06AFF" w:rsidRPr="009F4AF7" w:rsidRDefault="00F06AFF" w:rsidP="00F06AFF">
      <w:pPr>
        <w:spacing w:after="120"/>
        <w:ind w:firstLine="567"/>
        <w:jc w:val="both"/>
        <w:rPr>
          <w:rFonts w:ascii="Times New Roman" w:eastAsia="Calibri" w:hAnsi="Times New Roman"/>
          <w:sz w:val="26"/>
          <w:szCs w:val="26"/>
          <w:lang w:eastAsia="lv-LV"/>
        </w:rPr>
      </w:pPr>
      <w:r w:rsidRPr="00FB19C8">
        <w:rPr>
          <w:rFonts w:ascii="Times New Roman" w:eastAsia="Calibri" w:hAnsi="Times New Roman"/>
          <w:sz w:val="26"/>
          <w:szCs w:val="26"/>
          <w:lang w:eastAsia="lv-LV"/>
        </w:rPr>
        <w:t>(</w:t>
      </w:r>
      <w:r w:rsidR="00D44B4C" w:rsidRPr="00D44B4C">
        <w:rPr>
          <w:rFonts w:ascii="Times New Roman" w:eastAsia="Calibri" w:hAnsi="Times New Roman"/>
          <w:i/>
          <w:sz w:val="26"/>
          <w:szCs w:val="26"/>
          <w:lang w:eastAsia="lv-LV"/>
        </w:rPr>
        <w:t>D</w:t>
      </w:r>
      <w:r w:rsidRPr="00FB19C8">
        <w:rPr>
          <w:rFonts w:ascii="Times New Roman" w:eastAsia="Calibri" w:hAnsi="Times New Roman"/>
          <w:i/>
          <w:sz w:val="26"/>
          <w:szCs w:val="26"/>
          <w:lang w:eastAsia="lv-LV"/>
        </w:rPr>
        <w:t xml:space="preserve">etalizēta informācija par </w:t>
      </w:r>
      <w:r w:rsidR="00FB19C8">
        <w:rPr>
          <w:rFonts w:ascii="Times New Roman" w:eastAsia="Calibri" w:hAnsi="Times New Roman"/>
          <w:i/>
          <w:sz w:val="26"/>
          <w:szCs w:val="26"/>
          <w:lang w:eastAsia="lv-LV"/>
        </w:rPr>
        <w:t xml:space="preserve">iepriekšējos pārskata periodos </w:t>
      </w:r>
      <w:r w:rsidRPr="00FB19C8">
        <w:rPr>
          <w:rFonts w:ascii="Times New Roman" w:eastAsia="Calibri" w:hAnsi="Times New Roman"/>
          <w:i/>
          <w:sz w:val="26"/>
          <w:szCs w:val="26"/>
          <w:lang w:eastAsia="lv-LV"/>
        </w:rPr>
        <w:t>ar investīciju programmu saistītām izmaiņām Imigrācijas likumā sniegta 6.pielikumā</w:t>
      </w:r>
      <w:r w:rsidRPr="00FB19C8">
        <w:rPr>
          <w:rFonts w:ascii="Times New Roman" w:eastAsia="Calibri" w:hAnsi="Times New Roman"/>
          <w:sz w:val="26"/>
          <w:szCs w:val="26"/>
          <w:lang w:eastAsia="lv-LV"/>
        </w:rPr>
        <w:t>).</w:t>
      </w:r>
    </w:p>
    <w:p w14:paraId="14A23D27" w14:textId="77777777" w:rsidR="0021121A" w:rsidRPr="007607B1" w:rsidRDefault="0021121A" w:rsidP="006E4B30">
      <w:pPr>
        <w:spacing w:after="120"/>
        <w:ind w:firstLine="567"/>
        <w:jc w:val="both"/>
        <w:rPr>
          <w:rFonts w:ascii="Times New Roman" w:hAnsi="Times New Roman"/>
          <w:sz w:val="26"/>
          <w:szCs w:val="26"/>
          <w:highlight w:val="yellow"/>
        </w:rPr>
      </w:pPr>
    </w:p>
    <w:p w14:paraId="5C6C80A1" w14:textId="77777777" w:rsidR="00D0393D" w:rsidRDefault="00343F7B" w:rsidP="005E35BE">
      <w:pPr>
        <w:spacing w:after="120"/>
        <w:jc w:val="center"/>
        <w:rPr>
          <w:rFonts w:ascii="Times New Roman" w:hAnsi="Times New Roman"/>
          <w:b/>
          <w:sz w:val="26"/>
          <w:szCs w:val="26"/>
        </w:rPr>
      </w:pPr>
      <w:r w:rsidRPr="007607B1">
        <w:rPr>
          <w:rFonts w:ascii="Times New Roman" w:hAnsi="Times New Roman"/>
          <w:b/>
          <w:sz w:val="26"/>
          <w:szCs w:val="26"/>
        </w:rPr>
        <w:t xml:space="preserve"> </w:t>
      </w:r>
      <w:r w:rsidR="0023602C" w:rsidRPr="007607B1">
        <w:rPr>
          <w:rFonts w:ascii="Times New Roman" w:hAnsi="Times New Roman"/>
          <w:b/>
          <w:sz w:val="26"/>
          <w:szCs w:val="26"/>
        </w:rPr>
        <w:t>I</w:t>
      </w:r>
      <w:r w:rsidR="00A67CA7" w:rsidRPr="007607B1">
        <w:rPr>
          <w:rFonts w:ascii="Times New Roman" w:hAnsi="Times New Roman"/>
          <w:b/>
          <w:sz w:val="26"/>
          <w:szCs w:val="26"/>
        </w:rPr>
        <w:t>etekme uz valsts drošību</w:t>
      </w:r>
      <w:bookmarkStart w:id="14" w:name="_Toc340050961"/>
      <w:bookmarkEnd w:id="1"/>
    </w:p>
    <w:p w14:paraId="3115F51F" w14:textId="77777777" w:rsidR="00A41BAA" w:rsidRPr="007607B1" w:rsidRDefault="00A41BAA" w:rsidP="005E35BE">
      <w:pPr>
        <w:spacing w:after="120"/>
        <w:jc w:val="center"/>
        <w:rPr>
          <w:rFonts w:ascii="Times New Roman" w:hAnsi="Times New Roman"/>
          <w:b/>
          <w:sz w:val="26"/>
          <w:szCs w:val="26"/>
        </w:rPr>
      </w:pPr>
    </w:p>
    <w:p w14:paraId="2C2DCFFA" w14:textId="77777777" w:rsidR="002B5AA7" w:rsidRPr="00637D3C" w:rsidRDefault="002B5AA7" w:rsidP="002B5AA7">
      <w:pPr>
        <w:spacing w:after="120"/>
        <w:ind w:firstLine="567"/>
        <w:jc w:val="both"/>
        <w:rPr>
          <w:rFonts w:ascii="Times New Roman" w:hAnsi="Times New Roman"/>
          <w:sz w:val="26"/>
          <w:szCs w:val="26"/>
        </w:rPr>
      </w:pPr>
      <w:r w:rsidRPr="00637D3C">
        <w:rPr>
          <w:rFonts w:ascii="Times New Roman" w:hAnsi="Times New Roman"/>
          <w:sz w:val="26"/>
          <w:szCs w:val="26"/>
        </w:rPr>
        <w:t xml:space="preserve">VDD savas kompetences ietvaros īstenojis pasākumus valsts drošības apdraudējuma atklāšanai un novēršanai saistībā ar ārzemnieku ieceļošanu un uzturēšanos Latvijas Republikā, kā rezultātā ir sagatavoti atzinumi un informācija par nepieciešamajiem ierobežojumiem attiecībā uz TUA un PUA izsniegšanu vai anulēšanu. </w:t>
      </w:r>
    </w:p>
    <w:p w14:paraId="7490799E" w14:textId="77777777" w:rsidR="002B5AA7" w:rsidRPr="00637D3C" w:rsidRDefault="002B5AA7" w:rsidP="002B5AA7">
      <w:pPr>
        <w:spacing w:after="120"/>
        <w:ind w:firstLine="567"/>
        <w:jc w:val="both"/>
        <w:rPr>
          <w:rFonts w:ascii="Times New Roman" w:hAnsi="Times New Roman"/>
          <w:sz w:val="26"/>
          <w:szCs w:val="26"/>
        </w:rPr>
      </w:pPr>
      <w:r w:rsidRPr="00637D3C">
        <w:rPr>
          <w:rFonts w:ascii="Times New Roman" w:hAnsi="Times New Roman"/>
          <w:sz w:val="26"/>
          <w:szCs w:val="26"/>
        </w:rPr>
        <w:t xml:space="preserve">2020.gadā, izvērtējot saņemtos pieteikumus, VDD rosināja nepiešķirt TUA 13 ārzemniekiem (2019. gadā – 9 ārzemniekiem, 2018.gadā – 33 ārzemniekiem, 2017.gadā - 26 ārzemniekiem), kā arī nepiešķirt PUA 5 ārzemniekiem. Veicot ārzemnieku, kuriem jau ir izsniegtas TUA, pārbaudes, ņemot vērā VDD konstatēto un iegūto informāciju, VDD rosināja anulēt TUA 2 ārzemniekiem. Negatīvu atzinumu nepieciešamība izrietēja no VDD rīcībā esošas negatīva rakstura informācijas un konstatētajiem riskiem valsts nacionālajai drošībai, kas savukārt ir tiesisks pamats ierobežot ārzemnieku atrašanos Latvijas Republikā, tajā skaitā, liegt tiesības iegūt TUA.   </w:t>
      </w:r>
    </w:p>
    <w:p w14:paraId="65968D65" w14:textId="77777777" w:rsidR="002B5AA7" w:rsidRPr="00637D3C" w:rsidRDefault="002B5AA7" w:rsidP="002B5AA7">
      <w:pPr>
        <w:spacing w:after="120"/>
        <w:ind w:firstLine="567"/>
        <w:jc w:val="both"/>
        <w:rPr>
          <w:rFonts w:ascii="Times New Roman" w:hAnsi="Times New Roman"/>
          <w:sz w:val="26"/>
          <w:szCs w:val="26"/>
        </w:rPr>
      </w:pPr>
      <w:r w:rsidRPr="00637D3C">
        <w:rPr>
          <w:rFonts w:ascii="Times New Roman" w:hAnsi="Times New Roman"/>
          <w:sz w:val="26"/>
          <w:szCs w:val="26"/>
        </w:rPr>
        <w:t xml:space="preserve">Visos iepriekš minētajos gadījumos negatīvo atzinumu pamatā bija ilgākā laika periodā konstatētie izlūkošanas un ekonomiskie riski, atsevišķos gadījumos pastāvot abiem riskiem vienlaikus. </w:t>
      </w:r>
    </w:p>
    <w:p w14:paraId="5BBB4437" w14:textId="77777777" w:rsidR="002B5AA7" w:rsidRPr="00637D3C" w:rsidRDefault="002B5AA7" w:rsidP="002B5AA7">
      <w:pPr>
        <w:spacing w:after="120"/>
        <w:ind w:firstLine="567"/>
        <w:jc w:val="both"/>
        <w:rPr>
          <w:rFonts w:ascii="Times New Roman" w:hAnsi="Times New Roman"/>
          <w:sz w:val="26"/>
          <w:szCs w:val="26"/>
        </w:rPr>
      </w:pPr>
      <w:r w:rsidRPr="00637D3C">
        <w:rPr>
          <w:rFonts w:ascii="Times New Roman" w:hAnsi="Times New Roman"/>
          <w:sz w:val="26"/>
          <w:szCs w:val="26"/>
        </w:rPr>
        <w:t xml:space="preserve">Salīdzinot VDD gatavoto negatīvo atzinumu skaitu ar 2015., 2016., 2017. un 2018.gadu, tas šķietami ir samazinājies, tomēr ieviestie mehānismi sadarbībā ar PMLP, kā ietvaros ir anulētas vai atteiktas TUA bez VDD atzinuma, norāda, ka riska personu skaits joprojām ir salīdzinoši augsts. Proti, 2020. gadā PMLP TUA atteica 34 ārzemniekiem un anulēja 15 ārzemniekiem (bez atsevišķa kompetentās iestādes atzinuma), jo investors atteicās sniegt VDD papildus pieprasīto informāciju vai to slēpa. </w:t>
      </w:r>
    </w:p>
    <w:p w14:paraId="3A34DABB" w14:textId="77777777" w:rsidR="002B5AA7" w:rsidRPr="00637D3C" w:rsidRDefault="002B5AA7" w:rsidP="002B5AA7">
      <w:pPr>
        <w:spacing w:after="120"/>
        <w:ind w:firstLine="567"/>
        <w:jc w:val="both"/>
        <w:rPr>
          <w:rFonts w:ascii="Times New Roman" w:hAnsi="Times New Roman"/>
          <w:sz w:val="26"/>
          <w:szCs w:val="26"/>
        </w:rPr>
      </w:pPr>
      <w:r w:rsidRPr="00637D3C">
        <w:rPr>
          <w:rFonts w:ascii="Times New Roman" w:hAnsi="Times New Roman"/>
          <w:sz w:val="26"/>
          <w:szCs w:val="26"/>
        </w:rPr>
        <w:t xml:space="preserve">Turpinot atkārtoti izvērtēt to ārzemnieku TUA pieprasījumus, kuri TUA saņēma iepriekšējo piecu gadu periodā un kuriem ir jāveic TUA ikgadējā reģistrācija vai atkārtoti jāsaņem TUA, tika secināts, ka atkārtoto TUA uz pieciem gadiem pieteikumu kategorija 2020.gadā veidoja būtisku daļu no visām VDD veiktajām ārzemnieku pārbaudēm. Kopā 2020.gadā tika pārbaudīti 735 TUA pieprasītāji un viņu ģimenes locekļi, no kuriem lielākā daļa – 491 persona, bija tādas, kuras TUA Latvijas Republikā pieprasīja atkārtoti uz pieciem gadiem, savukārt 244 personas TUA Latvijā pieprasīja pirmreizēji. </w:t>
      </w:r>
    </w:p>
    <w:p w14:paraId="18B80F3A" w14:textId="77777777" w:rsidR="002B5AA7" w:rsidRPr="007607B1" w:rsidRDefault="002B5AA7" w:rsidP="002B5AA7">
      <w:pPr>
        <w:spacing w:after="120"/>
        <w:ind w:firstLine="567"/>
        <w:jc w:val="both"/>
        <w:rPr>
          <w:rFonts w:ascii="Times New Roman" w:hAnsi="Times New Roman"/>
          <w:sz w:val="26"/>
          <w:szCs w:val="26"/>
        </w:rPr>
      </w:pPr>
      <w:r w:rsidRPr="00637D3C">
        <w:rPr>
          <w:rFonts w:ascii="Times New Roman" w:hAnsi="Times New Roman"/>
          <w:sz w:val="26"/>
          <w:szCs w:val="26"/>
        </w:rPr>
        <w:t>2020.gadā veikto pārbaužu rezultāti, kā arī šo pārbaužu norise un to ietvaros izvērtētā informācija VDD vērtējumā atspoguļo Latvijas tiesiskajā regulējumā panāktu samērīgu, sabalansētu risinājumu starp ārvalstu investoru piesaistes interesēm un nacionālās drošības interešu aizsardzību.</w:t>
      </w:r>
      <w:r w:rsidRPr="007607B1">
        <w:rPr>
          <w:rFonts w:ascii="Times New Roman" w:hAnsi="Times New Roman"/>
          <w:sz w:val="26"/>
          <w:szCs w:val="26"/>
        </w:rPr>
        <w:t xml:space="preserve"> </w:t>
      </w:r>
    </w:p>
    <w:p w14:paraId="5ABF9437" w14:textId="77777777" w:rsidR="007607B1" w:rsidRPr="007607B1" w:rsidRDefault="007607B1" w:rsidP="005E35BE">
      <w:pPr>
        <w:spacing w:after="120"/>
        <w:ind w:firstLine="567"/>
        <w:jc w:val="both"/>
        <w:rPr>
          <w:rFonts w:ascii="Times New Roman" w:hAnsi="Times New Roman"/>
          <w:sz w:val="26"/>
          <w:szCs w:val="26"/>
        </w:rPr>
      </w:pPr>
    </w:p>
    <w:p w14:paraId="584CBF15" w14:textId="77777777" w:rsidR="002144AF" w:rsidRDefault="002144AF" w:rsidP="003E2466">
      <w:pPr>
        <w:pStyle w:val="Heading1"/>
        <w:spacing w:before="0" w:after="120"/>
        <w:jc w:val="center"/>
        <w:rPr>
          <w:rFonts w:ascii="Times New Roman" w:eastAsia="Times New Roman" w:hAnsi="Times New Roman"/>
          <w:bCs w:val="0"/>
          <w:color w:val="auto"/>
          <w:sz w:val="26"/>
          <w:szCs w:val="26"/>
          <w:lang w:eastAsia="en-US"/>
        </w:rPr>
      </w:pPr>
      <w:r w:rsidRPr="007607B1">
        <w:rPr>
          <w:rFonts w:ascii="Times New Roman" w:eastAsia="Times New Roman" w:hAnsi="Times New Roman"/>
          <w:bCs w:val="0"/>
          <w:color w:val="auto"/>
          <w:sz w:val="26"/>
          <w:szCs w:val="26"/>
          <w:lang w:eastAsia="en-US"/>
        </w:rPr>
        <w:t>Ietekme uz sabiedrību</w:t>
      </w:r>
    </w:p>
    <w:p w14:paraId="78B7029D" w14:textId="77777777" w:rsidR="00A41BAA" w:rsidRPr="00A41BAA" w:rsidRDefault="00A41BAA" w:rsidP="00A41BAA"/>
    <w:p w14:paraId="08830719" w14:textId="411E2B1E" w:rsidR="00FA0791" w:rsidRDefault="00FA0791" w:rsidP="00CF47DD">
      <w:pPr>
        <w:spacing w:after="120"/>
        <w:ind w:firstLine="720"/>
        <w:jc w:val="both"/>
        <w:rPr>
          <w:rFonts w:ascii="Times New Roman" w:hAnsi="Times New Roman"/>
          <w:sz w:val="26"/>
          <w:szCs w:val="26"/>
        </w:rPr>
      </w:pPr>
      <w:r>
        <w:rPr>
          <w:rFonts w:ascii="Times New Roman" w:hAnsi="Times New Roman"/>
          <w:sz w:val="26"/>
          <w:szCs w:val="26"/>
          <w:lang w:eastAsia="lv-LV"/>
        </w:rPr>
        <w:t xml:space="preserve">Jauni pētījumi par mērķa grupu (investori un viņu ģimenes locekļi) nav veikti, vienlaikus svarīgi atzīmēt, ka </w:t>
      </w:r>
      <w:r w:rsidRPr="007607B1">
        <w:rPr>
          <w:rFonts w:ascii="Times New Roman" w:hAnsi="Times New Roman"/>
          <w:sz w:val="26"/>
          <w:szCs w:val="26"/>
        </w:rPr>
        <w:t xml:space="preserve">investori un to ģimenes locekļi ir tikai viena no grupām, kas ik gadu saņem uzturēšanās atļaujas Latvijā. Ar katru gadu palielinās to trešo valstu </w:t>
      </w:r>
      <w:r>
        <w:rPr>
          <w:rFonts w:ascii="Times New Roman" w:hAnsi="Times New Roman"/>
          <w:sz w:val="26"/>
          <w:szCs w:val="26"/>
        </w:rPr>
        <w:t xml:space="preserve">pilsoņu </w:t>
      </w:r>
      <w:r w:rsidRPr="007607B1">
        <w:rPr>
          <w:rFonts w:ascii="Times New Roman" w:hAnsi="Times New Roman"/>
          <w:sz w:val="26"/>
          <w:szCs w:val="26"/>
        </w:rPr>
        <w:t xml:space="preserve">skaits, kuri Latvijā saņem </w:t>
      </w:r>
      <w:r>
        <w:rPr>
          <w:rFonts w:ascii="Times New Roman" w:hAnsi="Times New Roman"/>
          <w:sz w:val="26"/>
          <w:szCs w:val="26"/>
        </w:rPr>
        <w:t>TUA</w:t>
      </w:r>
      <w:r w:rsidRPr="007607B1">
        <w:rPr>
          <w:rFonts w:ascii="Times New Roman" w:hAnsi="Times New Roman"/>
          <w:sz w:val="26"/>
          <w:szCs w:val="26"/>
        </w:rPr>
        <w:t>.</w:t>
      </w:r>
      <w:r>
        <w:rPr>
          <w:rFonts w:ascii="Times New Roman" w:hAnsi="Times New Roman"/>
          <w:sz w:val="26"/>
          <w:szCs w:val="26"/>
        </w:rPr>
        <w:t xml:space="preserve"> Latvijas sabiedrības attīstības kontekstā tas nozīmē, ka ik gadu palielinās kultūras un valodu daudzveidība, veidojot konkurējošu vidi latviskajai kultūrtelpai un latviešu valodai. </w:t>
      </w:r>
    </w:p>
    <w:p w14:paraId="2EAC84C5" w14:textId="0DF4328C" w:rsidR="00CF47DD" w:rsidRPr="00CF47DD" w:rsidRDefault="00CF47DD" w:rsidP="00CF47DD">
      <w:pPr>
        <w:spacing w:after="120"/>
        <w:ind w:firstLine="720"/>
        <w:jc w:val="both"/>
        <w:rPr>
          <w:rFonts w:ascii="Times New Roman" w:hAnsi="Times New Roman"/>
          <w:sz w:val="26"/>
          <w:szCs w:val="26"/>
        </w:rPr>
      </w:pPr>
      <w:r w:rsidRPr="00CF47DD">
        <w:rPr>
          <w:rFonts w:ascii="Times New Roman" w:hAnsi="Times New Roman"/>
          <w:sz w:val="26"/>
          <w:szCs w:val="26"/>
        </w:rPr>
        <w:t xml:space="preserve">Īpaša uzmanība jāpievērš faktam, ka lielākā daļa uzturēšanās atļauju tiek izsniegtas uz investīciju nekustamajā īpašumā pamata, turklāt, atbilstoši </w:t>
      </w:r>
      <w:r>
        <w:rPr>
          <w:rFonts w:ascii="Times New Roman" w:hAnsi="Times New Roman"/>
          <w:sz w:val="26"/>
          <w:szCs w:val="26"/>
        </w:rPr>
        <w:t>PMLP</w:t>
      </w:r>
      <w:r w:rsidRPr="00CF47DD">
        <w:rPr>
          <w:rFonts w:ascii="Times New Roman" w:hAnsi="Times New Roman"/>
          <w:sz w:val="26"/>
          <w:szCs w:val="26"/>
        </w:rPr>
        <w:t xml:space="preserve"> sniegt</w:t>
      </w:r>
      <w:r>
        <w:rPr>
          <w:rFonts w:ascii="Times New Roman" w:hAnsi="Times New Roman"/>
          <w:sz w:val="26"/>
          <w:szCs w:val="26"/>
        </w:rPr>
        <w:t>ajai</w:t>
      </w:r>
      <w:r w:rsidRPr="00CF47DD">
        <w:rPr>
          <w:rFonts w:ascii="Times New Roman" w:hAnsi="Times New Roman"/>
          <w:sz w:val="26"/>
          <w:szCs w:val="26"/>
        </w:rPr>
        <w:t xml:space="preserve"> informācij</w:t>
      </w:r>
      <w:r>
        <w:rPr>
          <w:rFonts w:ascii="Times New Roman" w:hAnsi="Times New Roman"/>
          <w:sz w:val="26"/>
          <w:szCs w:val="26"/>
        </w:rPr>
        <w:t>ai</w:t>
      </w:r>
      <w:r w:rsidRPr="00CF47DD">
        <w:rPr>
          <w:rFonts w:ascii="Times New Roman" w:hAnsi="Times New Roman"/>
          <w:sz w:val="26"/>
          <w:szCs w:val="26"/>
        </w:rPr>
        <w:t>, investori pamatā ir iegādājušies īpašumus Rīgā</w:t>
      </w:r>
      <w:r>
        <w:rPr>
          <w:rFonts w:ascii="Times New Roman" w:hAnsi="Times New Roman"/>
          <w:sz w:val="26"/>
          <w:szCs w:val="26"/>
        </w:rPr>
        <w:t>,</w:t>
      </w:r>
      <w:r w:rsidRPr="00CF47DD">
        <w:rPr>
          <w:rFonts w:ascii="Times New Roman" w:hAnsi="Times New Roman"/>
          <w:sz w:val="26"/>
          <w:szCs w:val="26"/>
        </w:rPr>
        <w:t xml:space="preserve"> Jūrmalā</w:t>
      </w:r>
      <w:r>
        <w:rPr>
          <w:rFonts w:ascii="Times New Roman" w:hAnsi="Times New Roman"/>
          <w:sz w:val="26"/>
          <w:szCs w:val="26"/>
        </w:rPr>
        <w:t xml:space="preserve"> un Pierīgas teritorijās</w:t>
      </w:r>
      <w:r w:rsidRPr="00CF47DD">
        <w:rPr>
          <w:rFonts w:ascii="Times New Roman" w:hAnsi="Times New Roman"/>
          <w:sz w:val="26"/>
          <w:szCs w:val="26"/>
        </w:rPr>
        <w:t xml:space="preserve">, kā arī lielākā daļa investoru, nekustamā īpašuma pircēju, ir bijušās PSRS valstu pilsoņi, pārsvarā Krievijas Federācijas pilsoņi. </w:t>
      </w:r>
    </w:p>
    <w:p w14:paraId="2B6E403A" w14:textId="77777777" w:rsidR="00CF47DD" w:rsidRPr="00CF47DD" w:rsidRDefault="00CF47DD" w:rsidP="00CF47DD">
      <w:pPr>
        <w:spacing w:after="120"/>
        <w:ind w:firstLine="720"/>
        <w:jc w:val="both"/>
        <w:rPr>
          <w:rFonts w:ascii="Times New Roman" w:hAnsi="Times New Roman"/>
          <w:sz w:val="26"/>
          <w:szCs w:val="26"/>
        </w:rPr>
      </w:pPr>
      <w:r w:rsidRPr="00CF47DD">
        <w:rPr>
          <w:rFonts w:ascii="Times New Roman" w:hAnsi="Times New Roman"/>
          <w:sz w:val="26"/>
          <w:szCs w:val="26"/>
        </w:rPr>
        <w:t>Atbilstoši statistikas datiem, Rīgā krievu valodai jau ir dominējošs raksturs - Centrālās statistikas pārvaldes dati par latviešu valodas lietojumu Rīgā liecina, ka 56,1% Rīgas iedzīvotāju mājās sarunājas krieviski (Centrālā statistikas pārvalde, 2017).</w:t>
      </w:r>
    </w:p>
    <w:p w14:paraId="3FA2AF90" w14:textId="77777777" w:rsidR="00CF47DD" w:rsidRPr="00CF47DD" w:rsidRDefault="00CF47DD" w:rsidP="00CF47DD">
      <w:pPr>
        <w:spacing w:after="120"/>
        <w:ind w:firstLine="720"/>
        <w:jc w:val="both"/>
        <w:rPr>
          <w:rFonts w:ascii="Times New Roman" w:hAnsi="Times New Roman"/>
          <w:sz w:val="26"/>
          <w:szCs w:val="26"/>
        </w:rPr>
      </w:pPr>
      <w:r w:rsidRPr="00CF47DD">
        <w:rPr>
          <w:rFonts w:ascii="Times New Roman" w:hAnsi="Times New Roman"/>
          <w:sz w:val="26"/>
          <w:szCs w:val="26"/>
        </w:rPr>
        <w:t xml:space="preserve">Šobrīd Kultūras ministrija ir sagatavojusi pamatnostādņu projektu turpmākajam periodam “Saliedētas un pilsoniski aktīvas sabiedrības pamatnostādnes 2021.-2027.gadam”, kurās pēctecīgi Nacionālās identitātes, pilsoniskas sabiedrības un integrācijas politikas pamatnostādnēs 2012.-2018.gadam noteiktajam par saliedētas sabiedrības pamatu ir definēta latviskā kultūrtelpa un latviešu valoda. </w:t>
      </w:r>
    </w:p>
    <w:p w14:paraId="5F35ED85" w14:textId="77777777" w:rsidR="00CF47DD" w:rsidRPr="00CF47DD" w:rsidRDefault="00CF47DD" w:rsidP="00CF47DD">
      <w:pPr>
        <w:spacing w:after="120"/>
        <w:ind w:firstLine="720"/>
        <w:jc w:val="both"/>
        <w:rPr>
          <w:rFonts w:ascii="Times New Roman" w:hAnsi="Times New Roman"/>
          <w:sz w:val="26"/>
          <w:szCs w:val="26"/>
        </w:rPr>
      </w:pPr>
      <w:r w:rsidRPr="00CF47DD">
        <w:rPr>
          <w:rFonts w:ascii="Times New Roman" w:hAnsi="Times New Roman"/>
          <w:sz w:val="26"/>
          <w:szCs w:val="26"/>
        </w:rPr>
        <w:t>Lai nodrošinātu imigrantu iekļaušanos sabiedrībā, veicinātu viņu izpratni par Latviju un latviešu valodas prasmes, Kultūras ministrija kopš 2009.gada finansē projektus, kas nodrošina latviešu valodas un integrācijas kursus.</w:t>
      </w:r>
      <w:bookmarkStart w:id="15" w:name="_Hlk48745550"/>
      <w:r w:rsidRPr="00CF47DD">
        <w:rPr>
          <w:rFonts w:ascii="Times New Roman" w:hAnsi="Times New Roman"/>
          <w:sz w:val="26"/>
          <w:szCs w:val="26"/>
        </w:rPr>
        <w:t xml:space="preserve"> Esošā normatīvā regulējuma ietvaros dalība integrācijas pasākumos un latviešu valodas kursos ir brīvprātīga, un tie tiek nodrošināti par Eiropas Patvēruma, migrācijas un integrācijas fonda (turpmāk – fonds) finansējumu. </w:t>
      </w:r>
    </w:p>
    <w:p w14:paraId="32E5E8B9" w14:textId="77777777" w:rsidR="00CF47DD" w:rsidRPr="00CF47DD" w:rsidRDefault="00CF47DD" w:rsidP="00CF47DD">
      <w:pPr>
        <w:spacing w:after="120"/>
        <w:ind w:firstLine="720"/>
        <w:jc w:val="both"/>
        <w:rPr>
          <w:rFonts w:ascii="Times New Roman" w:hAnsi="Times New Roman"/>
          <w:sz w:val="26"/>
          <w:szCs w:val="26"/>
        </w:rPr>
      </w:pPr>
      <w:r w:rsidRPr="00CF47DD">
        <w:rPr>
          <w:rFonts w:ascii="Times New Roman" w:hAnsi="Times New Roman"/>
          <w:sz w:val="26"/>
          <w:szCs w:val="26"/>
        </w:rPr>
        <w:t>Atbilstoši fonda īstenošanas pārskatu informācijai latviešu valodas mācības ik gadu apmeklē vidēji 700 personas, savukārt integrācijas kursus vidēji 500 personas</w:t>
      </w:r>
      <w:bookmarkEnd w:id="15"/>
      <w:r w:rsidRPr="00CF47DD">
        <w:rPr>
          <w:rFonts w:ascii="Times New Roman" w:hAnsi="Times New Roman"/>
          <w:sz w:val="26"/>
          <w:szCs w:val="26"/>
        </w:rPr>
        <w:t>. Kopš 2016.gada biedrība “Patvērums “Drošā māja”” īsteno projektu “Informācijas centrs iebraucējiem”. Informācijas centrā iebraucējiem no trešajām valstīm tiek nodrošinātas konsultācijas par tādām tēmām kā migrācija, nodarbinātība, veselības aprūpe, izglītība un citām, kā arī tulkošanas pakalpojumi. Informācijas centra iebraucējiem sniegtā informācija liecina, ka 2018. un 2019.gadā nemainīgi pieprasītākās valodas tulkošanas pakalpojumiem ir arābu, turku un dari, savukārt pieprasījums pēc ķīniešu valodas tulkošanas pakalpojumiem pēdējo gadu laikā ir krities. Biedrība informē, ka pieprasītākās konsultācijas projekta ietvaros nemainīgi ir par nodarbinātību un imigrācijas jautājumiem – piemēram, 2019.gadā par nodarbinātības tēmu konsultanti klientus konsultēja 356 reizes, savukārt 2018.gadā par biznesa jautājumiem klienti tika konsultēti 242 reizes. 2018. un 2019.gadā konsultācijas biedrībā ir apmeklējuši arī investori – kopumā aptuveni 200 Ķīnas pilsoņi, aptuveni 100 Krievijas pilsoņi, aptuveni 25 Kazahstānas pilsoņi un aptuveni 70 Vjetnamas pilsoņi vērsušies biedrībā par tādiem jautājumiem kā izglītība, nodokļu politika un citi. Šādas intereses varētu liecināt par vēlmi veidot pastāvīgu dzīvi Latvijā.</w:t>
      </w:r>
    </w:p>
    <w:p w14:paraId="2DD476D3" w14:textId="04B11EB7" w:rsidR="008D5167" w:rsidRDefault="00CF47DD" w:rsidP="00D60BD9">
      <w:pPr>
        <w:spacing w:after="120"/>
        <w:ind w:firstLine="720"/>
        <w:jc w:val="both"/>
        <w:rPr>
          <w:rFonts w:ascii="Times New Roman" w:hAnsi="Times New Roman"/>
          <w:sz w:val="26"/>
          <w:szCs w:val="26"/>
        </w:rPr>
      </w:pPr>
      <w:r w:rsidRPr="00CF47DD">
        <w:rPr>
          <w:rFonts w:ascii="Times New Roman" w:hAnsi="Times New Roman"/>
          <w:sz w:val="26"/>
          <w:szCs w:val="26"/>
        </w:rPr>
        <w:t>2020.gada 7.jūlijā Valsts sekretāru sanāksmē tika izskatīts Imigrācijas likuma projekts, kurā cita starpā ārzemniekiem, kuru paredzamais uzturēšanās termiņš Latvijas Republikā ir vismaz trīs gadi nepārtraukti, ir noteikts pienākums piedalīties kultūras orientācijas un latviešu valodas kursos. Piedāvātais risinājums paredz, ka kultūras orientācijas un latviešu valodas kursu izmaksas būs jāsedz ārzemniekam, taču sekmīgas kursu nokārtošanas rezultātā ārzemniekam ieguldītie līdzekļi tiks atmaksāti. Lai veicinātu latviešu valodas lietošanu un saliedētas sabiedrības veidošanos, kurā veiksmīgi var iekļauties ārzemnieki, nepieciešami risinājumi, kas nodrošina gan latviešu valodas apguves sistēmu, gan valodas lietošanu stiprinošu un motivējošu vidi.</w:t>
      </w:r>
    </w:p>
    <w:p w14:paraId="61D7B1A0" w14:textId="77777777" w:rsidR="008D5167" w:rsidRDefault="008D5167">
      <w:pPr>
        <w:rPr>
          <w:rFonts w:ascii="Times New Roman" w:hAnsi="Times New Roman"/>
          <w:sz w:val="26"/>
          <w:szCs w:val="26"/>
        </w:rPr>
      </w:pPr>
      <w:r>
        <w:rPr>
          <w:rFonts w:ascii="Times New Roman" w:hAnsi="Times New Roman"/>
          <w:sz w:val="26"/>
          <w:szCs w:val="26"/>
        </w:rPr>
        <w:br w:type="page"/>
      </w:r>
    </w:p>
    <w:p w14:paraId="2F5E2CF7" w14:textId="00AFF016" w:rsidR="009B10A4" w:rsidRDefault="009B10A4" w:rsidP="007607B1">
      <w:pPr>
        <w:pStyle w:val="Heading1"/>
        <w:spacing w:before="0" w:after="120"/>
        <w:jc w:val="center"/>
        <w:rPr>
          <w:rFonts w:ascii="Times New Roman" w:eastAsia="Times New Roman" w:hAnsi="Times New Roman"/>
          <w:bCs w:val="0"/>
          <w:color w:val="auto"/>
          <w:sz w:val="26"/>
          <w:szCs w:val="26"/>
          <w:lang w:eastAsia="en-US"/>
        </w:rPr>
      </w:pPr>
      <w:bookmarkStart w:id="16" w:name="_Toc429659172"/>
      <w:r w:rsidRPr="00A41BAA">
        <w:rPr>
          <w:rFonts w:ascii="Times New Roman" w:eastAsia="Times New Roman" w:hAnsi="Times New Roman"/>
          <w:bCs w:val="0"/>
          <w:color w:val="auto"/>
          <w:sz w:val="26"/>
          <w:szCs w:val="26"/>
          <w:lang w:eastAsia="en-US"/>
        </w:rPr>
        <w:t>Secinājumi</w:t>
      </w:r>
      <w:bookmarkEnd w:id="14"/>
      <w:bookmarkEnd w:id="16"/>
      <w:r w:rsidR="00EA025A" w:rsidRPr="00A41BAA">
        <w:rPr>
          <w:rFonts w:ascii="Times New Roman" w:eastAsia="Times New Roman" w:hAnsi="Times New Roman"/>
          <w:bCs w:val="0"/>
          <w:color w:val="auto"/>
          <w:sz w:val="26"/>
          <w:szCs w:val="26"/>
          <w:lang w:eastAsia="en-US"/>
        </w:rPr>
        <w:t xml:space="preserve"> un ieteikumi turpmākai rīcībai</w:t>
      </w:r>
    </w:p>
    <w:p w14:paraId="1FEC3148" w14:textId="77777777" w:rsidR="00A41BAA" w:rsidRPr="00A41BAA" w:rsidRDefault="00A41BAA" w:rsidP="00A41BAA"/>
    <w:p w14:paraId="0A4CD07D" w14:textId="27A23524" w:rsidR="00D22457" w:rsidRDefault="003C72E6" w:rsidP="00D22457">
      <w:pPr>
        <w:pStyle w:val="ListParagraph"/>
        <w:numPr>
          <w:ilvl w:val="0"/>
          <w:numId w:val="22"/>
        </w:numPr>
        <w:spacing w:after="120"/>
        <w:ind w:left="0" w:firstLine="357"/>
        <w:contextualSpacing w:val="0"/>
        <w:jc w:val="both"/>
        <w:rPr>
          <w:rFonts w:ascii="Times New Roman" w:hAnsi="Times New Roman"/>
          <w:sz w:val="26"/>
          <w:szCs w:val="26"/>
        </w:rPr>
      </w:pPr>
      <w:r w:rsidRPr="00E72462">
        <w:rPr>
          <w:rFonts w:ascii="Times New Roman" w:hAnsi="Times New Roman"/>
          <w:sz w:val="26"/>
          <w:szCs w:val="26"/>
        </w:rPr>
        <w:t>No 2010.gada 1.jūlija līdz 20</w:t>
      </w:r>
      <w:r w:rsidR="00CF47DD">
        <w:rPr>
          <w:rFonts w:ascii="Times New Roman" w:hAnsi="Times New Roman"/>
          <w:sz w:val="26"/>
          <w:szCs w:val="26"/>
        </w:rPr>
        <w:t>20</w:t>
      </w:r>
      <w:r w:rsidRPr="00E72462">
        <w:rPr>
          <w:rFonts w:ascii="Times New Roman" w:hAnsi="Times New Roman"/>
          <w:sz w:val="26"/>
          <w:szCs w:val="26"/>
        </w:rPr>
        <w:t>.gada 3</w:t>
      </w:r>
      <w:r w:rsidR="00CF47DD">
        <w:rPr>
          <w:rFonts w:ascii="Times New Roman" w:hAnsi="Times New Roman"/>
          <w:sz w:val="26"/>
          <w:szCs w:val="26"/>
        </w:rPr>
        <w:t>1</w:t>
      </w:r>
      <w:r w:rsidRPr="00E72462">
        <w:rPr>
          <w:rFonts w:ascii="Times New Roman" w:hAnsi="Times New Roman"/>
          <w:sz w:val="26"/>
          <w:szCs w:val="26"/>
        </w:rPr>
        <w:t>.</w:t>
      </w:r>
      <w:r w:rsidR="00CF47DD">
        <w:rPr>
          <w:rFonts w:ascii="Times New Roman" w:hAnsi="Times New Roman"/>
          <w:sz w:val="26"/>
          <w:szCs w:val="26"/>
        </w:rPr>
        <w:t>decembrim</w:t>
      </w:r>
      <w:r w:rsidRPr="00E72462">
        <w:rPr>
          <w:rFonts w:ascii="Times New Roman" w:hAnsi="Times New Roman"/>
          <w:sz w:val="26"/>
          <w:szCs w:val="26"/>
        </w:rPr>
        <w:t xml:space="preserve"> investīciju programmas ietvaros PMLP ir izsniegusi </w:t>
      </w:r>
      <w:r w:rsidR="00CF47DD">
        <w:rPr>
          <w:rFonts w:ascii="Times New Roman" w:hAnsi="Times New Roman"/>
          <w:sz w:val="26"/>
          <w:szCs w:val="26"/>
        </w:rPr>
        <w:t>19</w:t>
      </w:r>
      <w:r w:rsidR="00074EFD" w:rsidRPr="00E72462">
        <w:rPr>
          <w:rFonts w:ascii="Times New Roman" w:hAnsi="Times New Roman"/>
          <w:sz w:val="26"/>
          <w:szCs w:val="26"/>
        </w:rPr>
        <w:t xml:space="preserve"> tūkst. </w:t>
      </w:r>
      <w:r w:rsidRPr="00E72462">
        <w:rPr>
          <w:rFonts w:ascii="Times New Roman" w:hAnsi="Times New Roman"/>
          <w:sz w:val="26"/>
          <w:szCs w:val="26"/>
        </w:rPr>
        <w:t xml:space="preserve">TUA. </w:t>
      </w:r>
      <w:r w:rsidR="00CF47DD">
        <w:rPr>
          <w:rFonts w:ascii="Times New Roman" w:hAnsi="Times New Roman"/>
          <w:sz w:val="26"/>
          <w:szCs w:val="26"/>
        </w:rPr>
        <w:t>186</w:t>
      </w:r>
      <w:r w:rsidRPr="00E72462">
        <w:rPr>
          <w:rFonts w:ascii="Times New Roman" w:hAnsi="Times New Roman"/>
          <w:sz w:val="26"/>
          <w:szCs w:val="26"/>
        </w:rPr>
        <w:t xml:space="preserve"> gadījumos TUA izsniegšana investoriem atteikta, bet anulētas kopā </w:t>
      </w:r>
      <w:r w:rsidR="00CF47DD">
        <w:rPr>
          <w:rFonts w:ascii="Times New Roman" w:hAnsi="Times New Roman"/>
          <w:sz w:val="26"/>
          <w:szCs w:val="26"/>
        </w:rPr>
        <w:t xml:space="preserve">1672 </w:t>
      </w:r>
      <w:r w:rsidRPr="00E72462">
        <w:rPr>
          <w:rFonts w:ascii="Times New Roman" w:hAnsi="Times New Roman"/>
          <w:sz w:val="26"/>
          <w:szCs w:val="26"/>
        </w:rPr>
        <w:t>TUA.</w:t>
      </w:r>
      <w:r w:rsidR="000E27D0">
        <w:rPr>
          <w:rFonts w:ascii="Times New Roman" w:hAnsi="Times New Roman"/>
          <w:sz w:val="26"/>
          <w:szCs w:val="26"/>
        </w:rPr>
        <w:t xml:space="preserve"> </w:t>
      </w:r>
      <w:r w:rsidR="00A33A5F">
        <w:rPr>
          <w:rFonts w:ascii="Times New Roman" w:hAnsi="Times New Roman"/>
          <w:sz w:val="26"/>
          <w:szCs w:val="26"/>
        </w:rPr>
        <w:t>2</w:t>
      </w:r>
      <w:r w:rsidR="000E27D0">
        <w:rPr>
          <w:rFonts w:ascii="Times New Roman" w:hAnsi="Times New Roman"/>
          <w:sz w:val="26"/>
          <w:szCs w:val="26"/>
        </w:rPr>
        <w:t>0</w:t>
      </w:r>
      <w:r w:rsidR="00CF47DD">
        <w:rPr>
          <w:rFonts w:ascii="Times New Roman" w:hAnsi="Times New Roman"/>
          <w:sz w:val="26"/>
          <w:szCs w:val="26"/>
        </w:rPr>
        <w:t>20</w:t>
      </w:r>
      <w:r w:rsidR="000E27D0">
        <w:rPr>
          <w:rFonts w:ascii="Times New Roman" w:hAnsi="Times New Roman"/>
          <w:sz w:val="26"/>
          <w:szCs w:val="26"/>
        </w:rPr>
        <w:t xml:space="preserve">.gada </w:t>
      </w:r>
      <w:r w:rsidR="00CF47DD">
        <w:rPr>
          <w:rFonts w:ascii="Times New Roman" w:hAnsi="Times New Roman"/>
          <w:sz w:val="26"/>
          <w:szCs w:val="26"/>
        </w:rPr>
        <w:t>3</w:t>
      </w:r>
      <w:r w:rsidR="000E27D0">
        <w:rPr>
          <w:rFonts w:ascii="Times New Roman" w:hAnsi="Times New Roman"/>
          <w:sz w:val="26"/>
          <w:szCs w:val="26"/>
        </w:rPr>
        <w:t>1.</w:t>
      </w:r>
      <w:r w:rsidR="00CF47DD">
        <w:rPr>
          <w:rFonts w:ascii="Times New Roman" w:hAnsi="Times New Roman"/>
          <w:sz w:val="26"/>
          <w:szCs w:val="26"/>
        </w:rPr>
        <w:t>decembrī</w:t>
      </w:r>
      <w:r w:rsidR="000E27D0">
        <w:rPr>
          <w:rFonts w:ascii="Times New Roman" w:hAnsi="Times New Roman"/>
          <w:sz w:val="26"/>
          <w:szCs w:val="26"/>
        </w:rPr>
        <w:t xml:space="preserve"> Latvijas Republikā uzturējās </w:t>
      </w:r>
      <w:r w:rsidR="00CF47DD">
        <w:rPr>
          <w:rFonts w:ascii="Times New Roman" w:hAnsi="Times New Roman"/>
          <w:sz w:val="26"/>
          <w:szCs w:val="26"/>
        </w:rPr>
        <w:t>7441</w:t>
      </w:r>
      <w:r w:rsidR="000E27D0">
        <w:rPr>
          <w:rFonts w:ascii="Times New Roman" w:hAnsi="Times New Roman"/>
          <w:sz w:val="26"/>
          <w:szCs w:val="26"/>
        </w:rPr>
        <w:t xml:space="preserve"> investor</w:t>
      </w:r>
      <w:r w:rsidR="00CF47DD">
        <w:rPr>
          <w:rFonts w:ascii="Times New Roman" w:hAnsi="Times New Roman"/>
          <w:sz w:val="26"/>
          <w:szCs w:val="26"/>
        </w:rPr>
        <w:t>s</w:t>
      </w:r>
      <w:r w:rsidR="000E27D0">
        <w:rPr>
          <w:rFonts w:ascii="Times New Roman" w:hAnsi="Times New Roman"/>
          <w:sz w:val="26"/>
          <w:szCs w:val="26"/>
        </w:rPr>
        <w:t xml:space="preserve"> un viņ</w:t>
      </w:r>
      <w:r w:rsidR="00CF47DD">
        <w:rPr>
          <w:rFonts w:ascii="Times New Roman" w:hAnsi="Times New Roman"/>
          <w:sz w:val="26"/>
          <w:szCs w:val="26"/>
        </w:rPr>
        <w:t>a ģimenes loceklis</w:t>
      </w:r>
      <w:r w:rsidR="000E27D0">
        <w:rPr>
          <w:rFonts w:ascii="Times New Roman" w:hAnsi="Times New Roman"/>
          <w:sz w:val="26"/>
          <w:szCs w:val="26"/>
        </w:rPr>
        <w:t xml:space="preserve"> ar derīgām TUA</w:t>
      </w:r>
      <w:r w:rsidR="00CF47DD">
        <w:rPr>
          <w:rFonts w:ascii="Times New Roman" w:hAnsi="Times New Roman"/>
          <w:sz w:val="26"/>
          <w:szCs w:val="26"/>
        </w:rPr>
        <w:t>. Salīdzinot</w:t>
      </w:r>
      <w:r w:rsidR="000E27D0">
        <w:rPr>
          <w:rFonts w:ascii="Times New Roman" w:hAnsi="Times New Roman"/>
          <w:sz w:val="26"/>
          <w:szCs w:val="26"/>
        </w:rPr>
        <w:t xml:space="preserve"> </w:t>
      </w:r>
      <w:r w:rsidR="00CF47DD">
        <w:rPr>
          <w:rFonts w:ascii="Times New Roman" w:hAnsi="Times New Roman"/>
          <w:sz w:val="26"/>
          <w:szCs w:val="26"/>
        </w:rPr>
        <w:t xml:space="preserve">ar </w:t>
      </w:r>
      <w:r w:rsidR="000E27D0">
        <w:rPr>
          <w:rFonts w:ascii="Times New Roman" w:hAnsi="Times New Roman"/>
          <w:sz w:val="26"/>
          <w:szCs w:val="26"/>
        </w:rPr>
        <w:t xml:space="preserve">2019.gada </w:t>
      </w:r>
      <w:r w:rsidR="00CF47DD">
        <w:rPr>
          <w:rFonts w:ascii="Times New Roman" w:hAnsi="Times New Roman"/>
          <w:sz w:val="26"/>
          <w:szCs w:val="26"/>
        </w:rPr>
        <w:t>3</w:t>
      </w:r>
      <w:r w:rsidR="000E27D0">
        <w:rPr>
          <w:rFonts w:ascii="Times New Roman" w:hAnsi="Times New Roman"/>
          <w:sz w:val="26"/>
          <w:szCs w:val="26"/>
        </w:rPr>
        <w:t>1.</w:t>
      </w:r>
      <w:r w:rsidR="00CF47DD">
        <w:rPr>
          <w:rFonts w:ascii="Times New Roman" w:hAnsi="Times New Roman"/>
          <w:sz w:val="26"/>
          <w:szCs w:val="26"/>
        </w:rPr>
        <w:t>decembri,</w:t>
      </w:r>
      <w:r w:rsidR="000E27D0">
        <w:rPr>
          <w:rFonts w:ascii="Times New Roman" w:hAnsi="Times New Roman"/>
          <w:sz w:val="26"/>
          <w:szCs w:val="26"/>
        </w:rPr>
        <w:t xml:space="preserve"> šis skaits</w:t>
      </w:r>
      <w:r w:rsidR="00A33A5F">
        <w:rPr>
          <w:rFonts w:ascii="Times New Roman" w:hAnsi="Times New Roman"/>
          <w:sz w:val="26"/>
          <w:szCs w:val="26"/>
        </w:rPr>
        <w:t xml:space="preserve"> samazinājies </w:t>
      </w:r>
      <w:r w:rsidR="00CF47DD">
        <w:rPr>
          <w:rFonts w:ascii="Times New Roman" w:hAnsi="Times New Roman"/>
          <w:sz w:val="26"/>
          <w:szCs w:val="26"/>
        </w:rPr>
        <w:t xml:space="preserve">par </w:t>
      </w:r>
      <w:r w:rsidR="0082354F">
        <w:rPr>
          <w:rFonts w:ascii="Times New Roman" w:hAnsi="Times New Roman"/>
          <w:sz w:val="26"/>
          <w:szCs w:val="26"/>
        </w:rPr>
        <w:t>550 personām</w:t>
      </w:r>
      <w:r w:rsidR="00A33A5F">
        <w:rPr>
          <w:rFonts w:ascii="Times New Roman" w:hAnsi="Times New Roman"/>
          <w:sz w:val="26"/>
          <w:szCs w:val="26"/>
        </w:rPr>
        <w:t xml:space="preserve">. </w:t>
      </w:r>
    </w:p>
    <w:p w14:paraId="29B9744D" w14:textId="41736AC6" w:rsidR="00C71B91" w:rsidRPr="00637D3C" w:rsidRDefault="00055839" w:rsidP="00C71B91">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hAnsi="Times New Roman"/>
          <w:sz w:val="26"/>
          <w:szCs w:val="26"/>
        </w:rPr>
        <w:t>Nerezidentu ar TUA saņemšanu saistītie ieguldījumi</w:t>
      </w:r>
      <w:r w:rsidR="00E72462" w:rsidRPr="00637D3C">
        <w:rPr>
          <w:rFonts w:ascii="Times New Roman" w:hAnsi="Times New Roman"/>
          <w:sz w:val="26"/>
          <w:szCs w:val="26"/>
        </w:rPr>
        <w:t xml:space="preserve"> no 2010.gada 1.jūlija līdz 20</w:t>
      </w:r>
      <w:r w:rsidR="00D22457" w:rsidRPr="00637D3C">
        <w:rPr>
          <w:rFonts w:ascii="Times New Roman" w:hAnsi="Times New Roman"/>
          <w:sz w:val="26"/>
          <w:szCs w:val="26"/>
        </w:rPr>
        <w:t>20</w:t>
      </w:r>
      <w:r w:rsidRPr="00637D3C">
        <w:rPr>
          <w:rFonts w:ascii="Times New Roman" w:hAnsi="Times New Roman"/>
          <w:sz w:val="26"/>
          <w:szCs w:val="26"/>
        </w:rPr>
        <w:t>.gada 3</w:t>
      </w:r>
      <w:r w:rsidR="008A1B91" w:rsidRPr="00637D3C">
        <w:rPr>
          <w:rFonts w:ascii="Times New Roman" w:hAnsi="Times New Roman"/>
          <w:sz w:val="26"/>
          <w:szCs w:val="26"/>
        </w:rPr>
        <w:t>1.decembrim</w:t>
      </w:r>
      <w:r w:rsidRPr="00637D3C">
        <w:rPr>
          <w:rFonts w:ascii="Times New Roman" w:hAnsi="Times New Roman"/>
          <w:sz w:val="26"/>
          <w:szCs w:val="26"/>
        </w:rPr>
        <w:t xml:space="preserve"> bija 1,5</w:t>
      </w:r>
      <w:r w:rsidR="008A1B91" w:rsidRPr="00637D3C">
        <w:rPr>
          <w:rFonts w:ascii="Times New Roman" w:hAnsi="Times New Roman"/>
          <w:sz w:val="26"/>
          <w:szCs w:val="26"/>
        </w:rPr>
        <w:t>5</w:t>
      </w:r>
      <w:r w:rsidRPr="00637D3C">
        <w:rPr>
          <w:rFonts w:ascii="Times New Roman" w:hAnsi="Times New Roman"/>
          <w:sz w:val="26"/>
          <w:szCs w:val="26"/>
        </w:rPr>
        <w:t xml:space="preserve"> mljrd. </w:t>
      </w:r>
      <w:r w:rsidRPr="00637D3C">
        <w:rPr>
          <w:rFonts w:ascii="Times New Roman" w:hAnsi="Times New Roman"/>
          <w:i/>
          <w:sz w:val="26"/>
          <w:szCs w:val="26"/>
        </w:rPr>
        <w:t>euro</w:t>
      </w:r>
      <w:r w:rsidRPr="00637D3C">
        <w:rPr>
          <w:rFonts w:ascii="Times New Roman" w:hAnsi="Times New Roman"/>
          <w:sz w:val="26"/>
          <w:szCs w:val="26"/>
        </w:rPr>
        <w:t>.</w:t>
      </w:r>
    </w:p>
    <w:p w14:paraId="4E266948" w14:textId="5E554578" w:rsidR="002117E7" w:rsidRPr="00637D3C" w:rsidRDefault="006B62D6" w:rsidP="002117E7">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hAnsi="Times New Roman"/>
          <w:sz w:val="26"/>
          <w:szCs w:val="26"/>
        </w:rPr>
        <w:t>No kopumā investīciju programmas ietvar</w:t>
      </w:r>
      <w:r w:rsidR="00E72462" w:rsidRPr="00637D3C">
        <w:rPr>
          <w:rFonts w:ascii="Times New Roman" w:hAnsi="Times New Roman"/>
          <w:sz w:val="26"/>
          <w:szCs w:val="26"/>
        </w:rPr>
        <w:t>os ieguldītajiem līdzekļiem 8</w:t>
      </w:r>
      <w:r w:rsidR="00C71B91" w:rsidRPr="00637D3C">
        <w:rPr>
          <w:rFonts w:ascii="Times New Roman" w:hAnsi="Times New Roman"/>
          <w:sz w:val="26"/>
          <w:szCs w:val="26"/>
        </w:rPr>
        <w:t>3</w:t>
      </w:r>
      <w:r w:rsidRPr="00637D3C">
        <w:rPr>
          <w:rFonts w:ascii="Times New Roman" w:hAnsi="Times New Roman"/>
          <w:sz w:val="26"/>
          <w:szCs w:val="26"/>
        </w:rPr>
        <w:t>% jeb 1,2</w:t>
      </w:r>
      <w:r w:rsidR="0047185A" w:rsidRPr="00637D3C">
        <w:rPr>
          <w:rFonts w:ascii="Times New Roman" w:hAnsi="Times New Roman"/>
          <w:sz w:val="26"/>
          <w:szCs w:val="26"/>
        </w:rPr>
        <w:t>9</w:t>
      </w:r>
      <w:r w:rsidRPr="00637D3C">
        <w:rPr>
          <w:rFonts w:ascii="Times New Roman" w:hAnsi="Times New Roman"/>
          <w:sz w:val="26"/>
          <w:szCs w:val="26"/>
        </w:rPr>
        <w:t xml:space="preserve"> mljrd. </w:t>
      </w:r>
      <w:r w:rsidRPr="00637D3C">
        <w:rPr>
          <w:rFonts w:ascii="Times New Roman" w:hAnsi="Times New Roman"/>
          <w:i/>
          <w:sz w:val="26"/>
          <w:szCs w:val="26"/>
        </w:rPr>
        <w:t>euro</w:t>
      </w:r>
      <w:r w:rsidRPr="00637D3C">
        <w:rPr>
          <w:rFonts w:ascii="Times New Roman" w:hAnsi="Times New Roman"/>
          <w:sz w:val="26"/>
          <w:szCs w:val="26"/>
        </w:rPr>
        <w:t xml:space="preserve"> ir saistīti ar darījumiem Latvijas nekustamā īpašuma tirgū</w:t>
      </w:r>
      <w:r w:rsidR="00E73730" w:rsidRPr="00637D3C">
        <w:rPr>
          <w:rFonts w:ascii="Times New Roman" w:hAnsi="Times New Roman"/>
          <w:sz w:val="26"/>
          <w:szCs w:val="26"/>
        </w:rPr>
        <w:t xml:space="preserve">. </w:t>
      </w:r>
      <w:bookmarkStart w:id="17" w:name="_Hlk24462064"/>
      <w:r w:rsidR="00E73730" w:rsidRPr="00637D3C">
        <w:rPr>
          <w:rFonts w:ascii="Times New Roman" w:hAnsi="Times New Roman"/>
          <w:sz w:val="26"/>
          <w:szCs w:val="26"/>
        </w:rPr>
        <w:t>Ieguldījumi kredītiestāžu p</w:t>
      </w:r>
      <w:r w:rsidR="00E72462" w:rsidRPr="00637D3C">
        <w:rPr>
          <w:rFonts w:ascii="Times New Roman" w:hAnsi="Times New Roman"/>
          <w:sz w:val="26"/>
          <w:szCs w:val="26"/>
        </w:rPr>
        <w:t xml:space="preserve">akārtotajās saistībās </w:t>
      </w:r>
      <w:bookmarkEnd w:id="17"/>
      <w:r w:rsidR="00E72462" w:rsidRPr="00637D3C">
        <w:rPr>
          <w:rFonts w:ascii="Times New Roman" w:hAnsi="Times New Roman"/>
          <w:sz w:val="26"/>
          <w:szCs w:val="26"/>
        </w:rPr>
        <w:t>veido 10</w:t>
      </w:r>
      <w:r w:rsidR="00E73730" w:rsidRPr="00637D3C">
        <w:rPr>
          <w:rFonts w:ascii="Times New Roman" w:hAnsi="Times New Roman"/>
          <w:sz w:val="26"/>
          <w:szCs w:val="26"/>
        </w:rPr>
        <w:t xml:space="preserve">% jeb 158 milj. </w:t>
      </w:r>
      <w:r w:rsidR="00E73730" w:rsidRPr="00637D3C">
        <w:rPr>
          <w:rFonts w:ascii="Times New Roman" w:hAnsi="Times New Roman"/>
          <w:i/>
          <w:sz w:val="26"/>
          <w:szCs w:val="26"/>
        </w:rPr>
        <w:t>euro</w:t>
      </w:r>
      <w:r w:rsidR="00E73730" w:rsidRPr="00637D3C">
        <w:rPr>
          <w:rFonts w:ascii="Times New Roman" w:hAnsi="Times New Roman"/>
          <w:sz w:val="26"/>
          <w:szCs w:val="26"/>
        </w:rPr>
        <w:t xml:space="preserve">, bet attiecinātie ieguldījumi kapitālsabiedrību pamatkapitālā – </w:t>
      </w:r>
      <w:r w:rsidR="00E72462" w:rsidRPr="00637D3C">
        <w:rPr>
          <w:rFonts w:ascii="Times New Roman" w:hAnsi="Times New Roman"/>
          <w:sz w:val="26"/>
          <w:szCs w:val="26"/>
        </w:rPr>
        <w:t>6</w:t>
      </w:r>
      <w:r w:rsidR="00E73730" w:rsidRPr="00637D3C">
        <w:rPr>
          <w:rFonts w:ascii="Times New Roman" w:hAnsi="Times New Roman"/>
          <w:sz w:val="26"/>
          <w:szCs w:val="26"/>
        </w:rPr>
        <w:t>% (</w:t>
      </w:r>
      <w:r w:rsidR="00E72462" w:rsidRPr="00637D3C">
        <w:rPr>
          <w:rFonts w:ascii="Times New Roman" w:hAnsi="Times New Roman"/>
          <w:sz w:val="26"/>
          <w:szCs w:val="26"/>
        </w:rPr>
        <w:t>9</w:t>
      </w:r>
      <w:r w:rsidR="00065C22" w:rsidRPr="00637D3C">
        <w:rPr>
          <w:rFonts w:ascii="Times New Roman" w:hAnsi="Times New Roman"/>
          <w:sz w:val="26"/>
          <w:szCs w:val="26"/>
        </w:rPr>
        <w:t>2</w:t>
      </w:r>
      <w:r w:rsidR="002F6237" w:rsidRPr="00637D3C">
        <w:rPr>
          <w:rFonts w:ascii="Times New Roman" w:hAnsi="Times New Roman"/>
          <w:sz w:val="26"/>
          <w:szCs w:val="26"/>
        </w:rPr>
        <w:t>,</w:t>
      </w:r>
      <w:r w:rsidR="0047185A" w:rsidRPr="00637D3C">
        <w:rPr>
          <w:rFonts w:ascii="Times New Roman" w:hAnsi="Times New Roman"/>
          <w:sz w:val="26"/>
          <w:szCs w:val="26"/>
        </w:rPr>
        <w:t>7</w:t>
      </w:r>
      <w:r w:rsidR="00065C22" w:rsidRPr="00637D3C">
        <w:rPr>
          <w:rFonts w:ascii="Times New Roman" w:hAnsi="Times New Roman"/>
          <w:sz w:val="26"/>
          <w:szCs w:val="26"/>
        </w:rPr>
        <w:t xml:space="preserve"> </w:t>
      </w:r>
      <w:r w:rsidR="00E73730" w:rsidRPr="00637D3C">
        <w:rPr>
          <w:rFonts w:ascii="Times New Roman" w:hAnsi="Times New Roman"/>
          <w:sz w:val="26"/>
          <w:szCs w:val="26"/>
        </w:rPr>
        <w:t>milj. </w:t>
      </w:r>
      <w:r w:rsidR="00E73730" w:rsidRPr="00637D3C">
        <w:rPr>
          <w:rFonts w:ascii="Times New Roman" w:hAnsi="Times New Roman"/>
          <w:i/>
          <w:sz w:val="26"/>
          <w:szCs w:val="26"/>
        </w:rPr>
        <w:t>euro</w:t>
      </w:r>
      <w:r w:rsidR="00E73730" w:rsidRPr="00637D3C">
        <w:rPr>
          <w:rFonts w:ascii="Times New Roman" w:hAnsi="Times New Roman"/>
          <w:sz w:val="26"/>
          <w:szCs w:val="26"/>
        </w:rPr>
        <w:t xml:space="preserve">). Īpašam mērķim noteiktu bezprocentu valsts vērtspapīru iegādē ieguldīti </w:t>
      </w:r>
      <w:r w:rsidR="009D7C41" w:rsidRPr="00637D3C">
        <w:rPr>
          <w:rFonts w:ascii="Times New Roman" w:hAnsi="Times New Roman"/>
          <w:sz w:val="26"/>
          <w:szCs w:val="26"/>
        </w:rPr>
        <w:t>1</w:t>
      </w:r>
      <w:r w:rsidR="0047185A" w:rsidRPr="00637D3C">
        <w:rPr>
          <w:rFonts w:ascii="Times New Roman" w:hAnsi="Times New Roman"/>
          <w:sz w:val="26"/>
          <w:szCs w:val="26"/>
        </w:rPr>
        <w:t xml:space="preserve">1,5 </w:t>
      </w:r>
      <w:r w:rsidR="00E73730" w:rsidRPr="00637D3C">
        <w:rPr>
          <w:rFonts w:ascii="Times New Roman" w:hAnsi="Times New Roman"/>
          <w:sz w:val="26"/>
          <w:szCs w:val="26"/>
        </w:rPr>
        <w:t xml:space="preserve">milj. </w:t>
      </w:r>
      <w:r w:rsidR="00E73730" w:rsidRPr="00637D3C">
        <w:rPr>
          <w:rFonts w:ascii="Times New Roman" w:hAnsi="Times New Roman"/>
          <w:i/>
          <w:sz w:val="26"/>
          <w:szCs w:val="26"/>
        </w:rPr>
        <w:t>euro</w:t>
      </w:r>
      <w:r w:rsidR="00E72462" w:rsidRPr="00637D3C">
        <w:rPr>
          <w:rFonts w:ascii="Times New Roman" w:hAnsi="Times New Roman"/>
          <w:sz w:val="26"/>
          <w:szCs w:val="26"/>
        </w:rPr>
        <w:t xml:space="preserve"> jeb </w:t>
      </w:r>
      <w:r w:rsidR="0047185A" w:rsidRPr="00637D3C">
        <w:rPr>
          <w:rFonts w:ascii="Times New Roman" w:hAnsi="Times New Roman"/>
          <w:sz w:val="26"/>
          <w:szCs w:val="26"/>
        </w:rPr>
        <w:t>1</w:t>
      </w:r>
      <w:r w:rsidR="00E73730" w:rsidRPr="00637D3C">
        <w:rPr>
          <w:rFonts w:ascii="Times New Roman" w:hAnsi="Times New Roman"/>
          <w:sz w:val="26"/>
          <w:szCs w:val="26"/>
        </w:rPr>
        <w:t>% no kopējā investīciju apjoma.</w:t>
      </w:r>
    </w:p>
    <w:p w14:paraId="1D504EEF" w14:textId="0F72305C" w:rsidR="00AE727D" w:rsidRPr="00AE6A17" w:rsidRDefault="00E73730" w:rsidP="00AE727D">
      <w:pPr>
        <w:pStyle w:val="ListParagraph"/>
        <w:numPr>
          <w:ilvl w:val="0"/>
          <w:numId w:val="22"/>
        </w:numPr>
        <w:spacing w:after="120"/>
        <w:ind w:left="0" w:firstLine="357"/>
        <w:contextualSpacing w:val="0"/>
        <w:jc w:val="both"/>
        <w:rPr>
          <w:rFonts w:ascii="Times New Roman" w:hAnsi="Times New Roman"/>
          <w:sz w:val="26"/>
          <w:szCs w:val="26"/>
        </w:rPr>
      </w:pPr>
      <w:r w:rsidRPr="00AE6A17">
        <w:rPr>
          <w:rFonts w:ascii="Times New Roman" w:hAnsi="Times New Roman"/>
          <w:sz w:val="26"/>
          <w:szCs w:val="26"/>
        </w:rPr>
        <w:t xml:space="preserve">TUA pieteicēji galvenokārt ir no reģioniem ar nestabilu ģeopolitisko situāciju un kapitāla piesaistei paaugstinātiem riskiem – lielu ekonomisko un politisko nenoteiktību. Aptuveni </w:t>
      </w:r>
      <w:r w:rsidR="00AE6A17">
        <w:rPr>
          <w:rFonts w:ascii="Times New Roman" w:hAnsi="Times New Roman"/>
          <w:sz w:val="26"/>
          <w:szCs w:val="26"/>
        </w:rPr>
        <w:t>86</w:t>
      </w:r>
      <w:r w:rsidRPr="00AE6A17">
        <w:rPr>
          <w:rFonts w:ascii="Times New Roman" w:hAnsi="Times New Roman"/>
          <w:sz w:val="26"/>
          <w:szCs w:val="26"/>
        </w:rPr>
        <w:t>% no visām TUA ir pieprasījuši investori no bijušās PSRS teritorijas.</w:t>
      </w:r>
      <w:r w:rsidR="00D22457" w:rsidRPr="00AE6A17">
        <w:rPr>
          <w:rFonts w:ascii="Times New Roman" w:hAnsi="Times New Roman"/>
          <w:sz w:val="26"/>
          <w:szCs w:val="26"/>
        </w:rPr>
        <w:t xml:space="preserve"> Pēdējos gados aktivizējušies investori no Āzijas valstīm</w:t>
      </w:r>
      <w:r w:rsidR="002117E7" w:rsidRPr="00AE6A17">
        <w:rPr>
          <w:rFonts w:ascii="Times New Roman" w:hAnsi="Times New Roman"/>
          <w:sz w:val="26"/>
          <w:szCs w:val="26"/>
        </w:rPr>
        <w:t>.</w:t>
      </w:r>
    </w:p>
    <w:p w14:paraId="3350D4E5" w14:textId="77777777" w:rsidR="00632B77" w:rsidRPr="00AE6A17" w:rsidRDefault="006A5846" w:rsidP="00674CC6">
      <w:pPr>
        <w:pStyle w:val="ListParagraph"/>
        <w:numPr>
          <w:ilvl w:val="0"/>
          <w:numId w:val="22"/>
        </w:numPr>
        <w:spacing w:after="120"/>
        <w:ind w:left="0" w:firstLine="357"/>
        <w:contextualSpacing w:val="0"/>
        <w:jc w:val="both"/>
        <w:rPr>
          <w:rFonts w:ascii="Times New Roman" w:hAnsi="Times New Roman"/>
          <w:sz w:val="26"/>
          <w:szCs w:val="26"/>
        </w:rPr>
      </w:pPr>
      <w:r w:rsidRPr="00AE6A17">
        <w:rPr>
          <w:rFonts w:ascii="Times New Roman" w:hAnsi="Times New Roman"/>
          <w:sz w:val="26"/>
          <w:szCs w:val="26"/>
        </w:rPr>
        <w:t xml:space="preserve">Sakarā ar investīciju programmas nosacījumu maiņu, tiem kļūstot stingrākiem no 2014.gada 1.septembra, būtiski samazinājies </w:t>
      </w:r>
      <w:r w:rsidR="00CD0830" w:rsidRPr="00AE6A17">
        <w:rPr>
          <w:rFonts w:ascii="Times New Roman" w:hAnsi="Times New Roman"/>
          <w:sz w:val="26"/>
          <w:szCs w:val="26"/>
        </w:rPr>
        <w:t xml:space="preserve">programmas ietvaros saņemtais </w:t>
      </w:r>
      <w:r w:rsidR="00D64832" w:rsidRPr="00AE6A17">
        <w:rPr>
          <w:rFonts w:ascii="Times New Roman" w:hAnsi="Times New Roman"/>
          <w:sz w:val="26"/>
          <w:szCs w:val="26"/>
        </w:rPr>
        <w:t>pieteikumu skaits un invest</w:t>
      </w:r>
      <w:r w:rsidR="00CD0830" w:rsidRPr="00AE6A17">
        <w:rPr>
          <w:rFonts w:ascii="Times New Roman" w:hAnsi="Times New Roman"/>
          <w:sz w:val="26"/>
          <w:szCs w:val="26"/>
        </w:rPr>
        <w:t>īciju apjoms.</w:t>
      </w:r>
      <w:r w:rsidR="00430442" w:rsidRPr="00AE6A17">
        <w:t xml:space="preserve"> </w:t>
      </w:r>
      <w:r w:rsidR="001232E6" w:rsidRPr="00AE6A17">
        <w:rPr>
          <w:rFonts w:ascii="Times New Roman" w:hAnsi="Times New Roman"/>
          <w:sz w:val="26"/>
          <w:szCs w:val="26"/>
        </w:rPr>
        <w:t xml:space="preserve">Covid-19 pandēmija un tās ierobežošanas pasākumi 2020.gadā vēl vairāk pastiprina iepriekšējos gados lejupvērsto tendenci. </w:t>
      </w:r>
    </w:p>
    <w:p w14:paraId="78571453" w14:textId="01B82B9A" w:rsidR="00AE6A17" w:rsidRPr="00637D3C" w:rsidRDefault="00AE6A17" w:rsidP="00AE6A17">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hAnsi="Times New Roman"/>
          <w:sz w:val="26"/>
          <w:szCs w:val="26"/>
        </w:rPr>
        <w:t xml:space="preserve">2020.gadā saņemti </w:t>
      </w:r>
      <w:r w:rsidR="00D60BD9" w:rsidRPr="00637D3C">
        <w:rPr>
          <w:rFonts w:ascii="Times New Roman" w:hAnsi="Times New Roman"/>
          <w:sz w:val="26"/>
          <w:szCs w:val="26"/>
        </w:rPr>
        <w:t>107</w:t>
      </w:r>
      <w:r w:rsidRPr="00637D3C">
        <w:rPr>
          <w:rFonts w:ascii="Times New Roman" w:hAnsi="Times New Roman"/>
          <w:sz w:val="26"/>
          <w:szCs w:val="26"/>
        </w:rPr>
        <w:t xml:space="preserve"> investoru pieteikumi, investīciju apjomam sasniedzot </w:t>
      </w:r>
      <w:r w:rsidR="00D60BD9" w:rsidRPr="00637D3C">
        <w:rPr>
          <w:rFonts w:ascii="Times New Roman" w:hAnsi="Times New Roman"/>
          <w:sz w:val="26"/>
          <w:szCs w:val="26"/>
        </w:rPr>
        <w:t>26,3</w:t>
      </w:r>
      <w:r w:rsidR="00572B4F" w:rsidRPr="00637D3C">
        <w:rPr>
          <w:rFonts w:ascii="Times New Roman" w:hAnsi="Times New Roman"/>
          <w:sz w:val="26"/>
          <w:szCs w:val="26"/>
        </w:rPr>
        <w:t xml:space="preserve"> </w:t>
      </w:r>
      <w:r w:rsidRPr="00637D3C">
        <w:rPr>
          <w:rFonts w:ascii="Times New Roman" w:hAnsi="Times New Roman"/>
          <w:sz w:val="26"/>
          <w:szCs w:val="26"/>
        </w:rPr>
        <w:t xml:space="preserve">milj. </w:t>
      </w:r>
      <w:r w:rsidRPr="00637D3C">
        <w:rPr>
          <w:rFonts w:ascii="Times New Roman" w:hAnsi="Times New Roman"/>
          <w:i/>
          <w:sz w:val="26"/>
          <w:szCs w:val="26"/>
        </w:rPr>
        <w:t xml:space="preserve">euro. </w:t>
      </w:r>
      <w:r w:rsidRPr="00637D3C">
        <w:rPr>
          <w:rFonts w:ascii="Times New Roman" w:hAnsi="Times New Roman"/>
          <w:sz w:val="26"/>
          <w:szCs w:val="26"/>
        </w:rPr>
        <w:t xml:space="preserve">Salīdzinājumam - </w:t>
      </w:r>
      <w:r w:rsidR="00CD0830" w:rsidRPr="00637D3C">
        <w:rPr>
          <w:rFonts w:ascii="Times New Roman" w:hAnsi="Times New Roman"/>
          <w:sz w:val="26"/>
          <w:szCs w:val="26"/>
        </w:rPr>
        <w:t>201</w:t>
      </w:r>
      <w:r w:rsidR="001232E6" w:rsidRPr="00637D3C">
        <w:rPr>
          <w:rFonts w:ascii="Times New Roman" w:hAnsi="Times New Roman"/>
          <w:sz w:val="26"/>
          <w:szCs w:val="26"/>
        </w:rPr>
        <w:t>9</w:t>
      </w:r>
      <w:r w:rsidR="00CD0830" w:rsidRPr="00637D3C">
        <w:rPr>
          <w:rFonts w:ascii="Times New Roman" w:hAnsi="Times New Roman"/>
          <w:sz w:val="26"/>
          <w:szCs w:val="26"/>
        </w:rPr>
        <w:t>.gad</w:t>
      </w:r>
      <w:r w:rsidRPr="00637D3C">
        <w:rPr>
          <w:rFonts w:ascii="Times New Roman" w:hAnsi="Times New Roman"/>
          <w:sz w:val="26"/>
          <w:szCs w:val="26"/>
        </w:rPr>
        <w:t xml:space="preserve">ā saņemti </w:t>
      </w:r>
      <w:r w:rsidR="00D60BD9" w:rsidRPr="00637D3C">
        <w:rPr>
          <w:rFonts w:ascii="Times New Roman" w:hAnsi="Times New Roman"/>
          <w:sz w:val="26"/>
          <w:szCs w:val="26"/>
        </w:rPr>
        <w:t xml:space="preserve">146 </w:t>
      </w:r>
      <w:r w:rsidRPr="00637D3C">
        <w:rPr>
          <w:rFonts w:ascii="Times New Roman" w:hAnsi="Times New Roman"/>
          <w:sz w:val="26"/>
          <w:szCs w:val="26"/>
        </w:rPr>
        <w:t>T</w:t>
      </w:r>
      <w:r w:rsidR="006C46CA" w:rsidRPr="00637D3C">
        <w:rPr>
          <w:rFonts w:ascii="Times New Roman" w:hAnsi="Times New Roman"/>
          <w:sz w:val="26"/>
          <w:szCs w:val="26"/>
        </w:rPr>
        <w:t xml:space="preserve">UA </w:t>
      </w:r>
      <w:r w:rsidR="009B5D84" w:rsidRPr="00637D3C">
        <w:rPr>
          <w:rFonts w:ascii="Times New Roman" w:hAnsi="Times New Roman"/>
          <w:sz w:val="26"/>
          <w:szCs w:val="26"/>
        </w:rPr>
        <w:t>piete</w:t>
      </w:r>
      <w:r w:rsidR="00E72462" w:rsidRPr="00637D3C">
        <w:rPr>
          <w:rFonts w:ascii="Times New Roman" w:hAnsi="Times New Roman"/>
          <w:sz w:val="26"/>
          <w:szCs w:val="26"/>
        </w:rPr>
        <w:t>i</w:t>
      </w:r>
      <w:r w:rsidR="009B5D84" w:rsidRPr="00637D3C">
        <w:rPr>
          <w:rFonts w:ascii="Times New Roman" w:hAnsi="Times New Roman"/>
          <w:sz w:val="26"/>
          <w:szCs w:val="26"/>
        </w:rPr>
        <w:t>kumi</w:t>
      </w:r>
      <w:r w:rsidR="00E72462" w:rsidRPr="00637D3C">
        <w:rPr>
          <w:rFonts w:ascii="Times New Roman" w:hAnsi="Times New Roman"/>
          <w:sz w:val="26"/>
          <w:szCs w:val="26"/>
        </w:rPr>
        <w:t xml:space="preserve"> </w:t>
      </w:r>
      <w:r w:rsidR="009B5D84" w:rsidRPr="00637D3C">
        <w:rPr>
          <w:rFonts w:ascii="Times New Roman" w:hAnsi="Times New Roman"/>
          <w:sz w:val="26"/>
          <w:szCs w:val="26"/>
        </w:rPr>
        <w:t>un investīciju apjoms</w:t>
      </w:r>
      <w:r w:rsidR="00632B77" w:rsidRPr="00637D3C">
        <w:rPr>
          <w:rFonts w:ascii="Times New Roman" w:hAnsi="Times New Roman"/>
          <w:sz w:val="26"/>
          <w:szCs w:val="26"/>
        </w:rPr>
        <w:t xml:space="preserve"> </w:t>
      </w:r>
      <w:r w:rsidR="00D60BD9" w:rsidRPr="00637D3C">
        <w:rPr>
          <w:rFonts w:ascii="Times New Roman" w:hAnsi="Times New Roman"/>
          <w:sz w:val="26"/>
          <w:szCs w:val="26"/>
        </w:rPr>
        <w:t>–</w:t>
      </w:r>
      <w:r w:rsidR="00632B77" w:rsidRPr="00637D3C">
        <w:rPr>
          <w:rFonts w:ascii="Times New Roman" w:hAnsi="Times New Roman"/>
          <w:sz w:val="26"/>
          <w:szCs w:val="26"/>
        </w:rPr>
        <w:t xml:space="preserve"> </w:t>
      </w:r>
      <w:r w:rsidR="00D60BD9" w:rsidRPr="00637D3C">
        <w:rPr>
          <w:rFonts w:ascii="Times New Roman" w:hAnsi="Times New Roman"/>
          <w:sz w:val="26"/>
          <w:szCs w:val="26"/>
        </w:rPr>
        <w:t>33,1</w:t>
      </w:r>
      <w:r w:rsidR="00E72462" w:rsidRPr="00637D3C">
        <w:rPr>
          <w:rFonts w:ascii="Times New Roman" w:hAnsi="Times New Roman"/>
          <w:sz w:val="26"/>
          <w:szCs w:val="26"/>
        </w:rPr>
        <w:t xml:space="preserve"> milj.</w:t>
      </w:r>
      <w:r w:rsidR="00784C8C" w:rsidRPr="00637D3C">
        <w:rPr>
          <w:rFonts w:ascii="Times New Roman" w:hAnsi="Times New Roman"/>
          <w:sz w:val="26"/>
          <w:szCs w:val="26"/>
        </w:rPr>
        <w:t xml:space="preserve"> </w:t>
      </w:r>
      <w:r w:rsidR="00784C8C" w:rsidRPr="00637D3C">
        <w:rPr>
          <w:rFonts w:ascii="Times New Roman" w:hAnsi="Times New Roman"/>
          <w:i/>
          <w:sz w:val="26"/>
          <w:szCs w:val="26"/>
        </w:rPr>
        <w:t>euro</w:t>
      </w:r>
      <w:r w:rsidR="00632B77" w:rsidRPr="00637D3C">
        <w:rPr>
          <w:rFonts w:ascii="Times New Roman" w:hAnsi="Times New Roman"/>
          <w:sz w:val="26"/>
          <w:szCs w:val="26"/>
        </w:rPr>
        <w:t>. Lielāko daļu no ieguldījumiem joprojām veido ieguldījumi nekustamajā īpašumā.</w:t>
      </w:r>
    </w:p>
    <w:p w14:paraId="3C011BF9" w14:textId="2160334C" w:rsidR="00AE6A17" w:rsidRPr="00637D3C" w:rsidRDefault="00AE6A17" w:rsidP="00AE6A17">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hAnsi="Times New Roman"/>
          <w:sz w:val="26"/>
          <w:szCs w:val="26"/>
        </w:rPr>
        <w:t xml:space="preserve">Ja </w:t>
      </w:r>
      <w:r w:rsidR="008F53F2" w:rsidRPr="00637D3C">
        <w:rPr>
          <w:rFonts w:ascii="Times New Roman" w:hAnsi="Times New Roman"/>
          <w:sz w:val="26"/>
          <w:szCs w:val="26"/>
        </w:rPr>
        <w:t>2014.gadā investīciju programmas ietvaros izsniegto TUA skaits veidoja 53% no visām trešo valstu pilsoņiem izsniegtajām pirmreizējām TUA</w:t>
      </w:r>
      <w:r w:rsidRPr="00637D3C">
        <w:rPr>
          <w:rFonts w:ascii="Times New Roman" w:hAnsi="Times New Roman"/>
          <w:sz w:val="26"/>
          <w:szCs w:val="26"/>
        </w:rPr>
        <w:t xml:space="preserve">, tad turpmākajos gados tas </w:t>
      </w:r>
      <w:r w:rsidR="00797435" w:rsidRPr="00637D3C">
        <w:rPr>
          <w:rFonts w:ascii="Times New Roman" w:hAnsi="Times New Roman"/>
          <w:sz w:val="26"/>
          <w:szCs w:val="26"/>
        </w:rPr>
        <w:t xml:space="preserve">strauji </w:t>
      </w:r>
      <w:r w:rsidRPr="00637D3C">
        <w:rPr>
          <w:rFonts w:ascii="Times New Roman" w:hAnsi="Times New Roman"/>
          <w:sz w:val="26"/>
          <w:szCs w:val="26"/>
        </w:rPr>
        <w:t xml:space="preserve">samazinājies, 2019.gadā šim skaitam veidojot 1,6%, bet 2020.gadā – tikai 1% no kopējā pirmreizēji izsniegto TUA skaita. </w:t>
      </w:r>
    </w:p>
    <w:p w14:paraId="2AB4EFB3" w14:textId="36F82343" w:rsidR="00674CC6" w:rsidRPr="00637D3C" w:rsidRDefault="00FB666C" w:rsidP="00674CC6">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hAnsi="Times New Roman"/>
          <w:sz w:val="26"/>
          <w:szCs w:val="26"/>
        </w:rPr>
        <w:t>Ar TUA saistīto ieguldījumu skaita un apmēra samazinājumu ir ietekmējuši arī p</w:t>
      </w:r>
      <w:r w:rsidR="00A91D43" w:rsidRPr="00637D3C">
        <w:rPr>
          <w:rFonts w:ascii="Times New Roman" w:hAnsi="Times New Roman"/>
          <w:sz w:val="26"/>
          <w:szCs w:val="26"/>
        </w:rPr>
        <w:t>ēdējos gados veiktie pasākumi, lai pastiprinātu uzraudzību nerezidentu nogu</w:t>
      </w:r>
      <w:r w:rsidR="00AB1177" w:rsidRPr="00637D3C">
        <w:rPr>
          <w:rFonts w:ascii="Times New Roman" w:hAnsi="Times New Roman"/>
          <w:sz w:val="26"/>
          <w:szCs w:val="26"/>
        </w:rPr>
        <w:t>ldījumiem Latvijas komercbankās</w:t>
      </w:r>
      <w:r w:rsidRPr="00637D3C">
        <w:rPr>
          <w:rFonts w:ascii="Times New Roman" w:hAnsi="Times New Roman"/>
          <w:sz w:val="26"/>
          <w:szCs w:val="26"/>
        </w:rPr>
        <w:t>.</w:t>
      </w:r>
      <w:r w:rsidR="00D26BB2" w:rsidRPr="00637D3C">
        <w:rPr>
          <w:rFonts w:ascii="Times New Roman" w:hAnsi="Times New Roman"/>
          <w:sz w:val="26"/>
          <w:szCs w:val="26"/>
        </w:rPr>
        <w:t xml:space="preserve"> </w:t>
      </w:r>
      <w:r w:rsidR="0069122B" w:rsidRPr="00637D3C">
        <w:rPr>
          <w:rFonts w:ascii="Times New Roman" w:hAnsi="Times New Roman"/>
          <w:sz w:val="26"/>
          <w:szCs w:val="26"/>
        </w:rPr>
        <w:t>TUA pieteikumu skaits saistībā ar ieguldījumiem kredītiestāžu pakārtotajās</w:t>
      </w:r>
      <w:r w:rsidR="00EF309E" w:rsidRPr="00637D3C">
        <w:rPr>
          <w:rFonts w:ascii="Times New Roman" w:hAnsi="Times New Roman"/>
          <w:sz w:val="26"/>
          <w:szCs w:val="26"/>
        </w:rPr>
        <w:t xml:space="preserve"> saistībās pēdējos</w:t>
      </w:r>
      <w:r w:rsidR="0069122B" w:rsidRPr="00637D3C">
        <w:rPr>
          <w:rFonts w:ascii="Times New Roman" w:hAnsi="Times New Roman"/>
          <w:sz w:val="26"/>
          <w:szCs w:val="26"/>
        </w:rPr>
        <w:t xml:space="preserve"> </w:t>
      </w:r>
      <w:r w:rsidR="00766F66" w:rsidRPr="00637D3C">
        <w:rPr>
          <w:rFonts w:ascii="Times New Roman" w:hAnsi="Times New Roman"/>
          <w:sz w:val="26"/>
          <w:szCs w:val="26"/>
        </w:rPr>
        <w:t>gados ir apsīcis</w:t>
      </w:r>
      <w:r w:rsidR="005D6637" w:rsidRPr="00637D3C">
        <w:rPr>
          <w:rFonts w:ascii="Times New Roman" w:hAnsi="Times New Roman"/>
          <w:sz w:val="26"/>
          <w:szCs w:val="26"/>
        </w:rPr>
        <w:t>.</w:t>
      </w:r>
      <w:r w:rsidR="00674CC6" w:rsidRPr="00637D3C">
        <w:rPr>
          <w:rFonts w:ascii="Times New Roman" w:hAnsi="Times New Roman"/>
          <w:sz w:val="26"/>
          <w:szCs w:val="26"/>
        </w:rPr>
        <w:t xml:space="preserve"> Kopš 2018.gada jauni pieteikumi nav saņemti.</w:t>
      </w:r>
    </w:p>
    <w:p w14:paraId="2B821710" w14:textId="3008ABFB" w:rsidR="00674CC6" w:rsidRPr="00AE6A17" w:rsidRDefault="00663950" w:rsidP="00674CC6">
      <w:pPr>
        <w:pStyle w:val="ListParagraph"/>
        <w:numPr>
          <w:ilvl w:val="0"/>
          <w:numId w:val="22"/>
        </w:numPr>
        <w:spacing w:after="120"/>
        <w:ind w:left="0" w:firstLine="357"/>
        <w:contextualSpacing w:val="0"/>
        <w:jc w:val="both"/>
        <w:rPr>
          <w:rFonts w:ascii="Times New Roman" w:hAnsi="Times New Roman"/>
          <w:sz w:val="26"/>
          <w:szCs w:val="26"/>
        </w:rPr>
      </w:pPr>
      <w:r w:rsidRPr="00AE6A17">
        <w:rPr>
          <w:rFonts w:ascii="Times New Roman" w:hAnsi="Times New Roman"/>
          <w:sz w:val="26"/>
          <w:szCs w:val="26"/>
        </w:rPr>
        <w:t>K</w:t>
      </w:r>
      <w:r w:rsidR="005B67E1" w:rsidRPr="00AE6A17">
        <w:rPr>
          <w:rFonts w:ascii="Times New Roman" w:hAnsi="Times New Roman"/>
          <w:sz w:val="26"/>
          <w:szCs w:val="26"/>
        </w:rPr>
        <w:t>opumā ar TUA saistīto investīciju</w:t>
      </w:r>
      <w:r w:rsidRPr="00AE6A17">
        <w:rPr>
          <w:rFonts w:ascii="Times New Roman" w:hAnsi="Times New Roman"/>
          <w:sz w:val="26"/>
          <w:szCs w:val="26"/>
        </w:rPr>
        <w:t xml:space="preserve"> (ieguldījumi kapitālsabiedrību pamatkapitālā)</w:t>
      </w:r>
      <w:r w:rsidR="005B67E1" w:rsidRPr="00AE6A17">
        <w:rPr>
          <w:rFonts w:ascii="Times New Roman" w:hAnsi="Times New Roman"/>
          <w:sz w:val="26"/>
          <w:szCs w:val="26"/>
        </w:rPr>
        <w:t xml:space="preserve"> ietekme uz nerezidentu</w:t>
      </w:r>
      <w:r w:rsidR="005B67E1" w:rsidRPr="00AE6A17">
        <w:t xml:space="preserve"> </w:t>
      </w:r>
      <w:r w:rsidR="005B67E1" w:rsidRPr="00AE6A17">
        <w:rPr>
          <w:rFonts w:ascii="Times New Roman" w:hAnsi="Times New Roman"/>
          <w:sz w:val="26"/>
          <w:szCs w:val="26"/>
        </w:rPr>
        <w:t>kapitāla piesaisti</w:t>
      </w:r>
      <w:r w:rsidR="005B67E1" w:rsidRPr="00AE6A17">
        <w:t xml:space="preserve"> </w:t>
      </w:r>
      <w:r w:rsidR="005B67E1" w:rsidRPr="00AE6A17">
        <w:rPr>
          <w:rFonts w:ascii="Times New Roman" w:hAnsi="Times New Roman"/>
          <w:sz w:val="26"/>
          <w:szCs w:val="26"/>
        </w:rPr>
        <w:t>ir vāja. Tomēr atsevišķu valstu, kā piemēram,</w:t>
      </w:r>
      <w:r w:rsidR="00674CC6" w:rsidRPr="00AE6A17">
        <w:rPr>
          <w:rFonts w:ascii="Times New Roman" w:hAnsi="Times New Roman"/>
          <w:sz w:val="26"/>
          <w:szCs w:val="26"/>
        </w:rPr>
        <w:t xml:space="preserve"> </w:t>
      </w:r>
      <w:r w:rsidR="005B67E1" w:rsidRPr="00AE6A17">
        <w:rPr>
          <w:rFonts w:ascii="Times New Roman" w:hAnsi="Times New Roman"/>
          <w:sz w:val="26"/>
          <w:szCs w:val="26"/>
        </w:rPr>
        <w:t xml:space="preserve">Krievijas </w:t>
      </w:r>
      <w:r w:rsidR="00894233" w:rsidRPr="00AE6A17">
        <w:rPr>
          <w:rFonts w:ascii="Times New Roman" w:hAnsi="Times New Roman"/>
          <w:sz w:val="26"/>
          <w:szCs w:val="26"/>
        </w:rPr>
        <w:t xml:space="preserve">un pēdējos gados </w:t>
      </w:r>
      <w:r w:rsidR="005B67E1" w:rsidRPr="00AE6A17">
        <w:rPr>
          <w:rFonts w:ascii="Times New Roman" w:hAnsi="Times New Roman"/>
          <w:sz w:val="26"/>
          <w:szCs w:val="26"/>
        </w:rPr>
        <w:t xml:space="preserve">Vjetnamas investoriem, </w:t>
      </w:r>
      <w:r w:rsidR="00CA7AEF" w:rsidRPr="00AE6A17">
        <w:rPr>
          <w:rFonts w:ascii="Times New Roman" w:hAnsi="Times New Roman"/>
          <w:sz w:val="26"/>
          <w:szCs w:val="26"/>
        </w:rPr>
        <w:t>TUA</w:t>
      </w:r>
      <w:r w:rsidR="005B67E1" w:rsidRPr="00AE6A17">
        <w:rPr>
          <w:rFonts w:ascii="Times New Roman" w:hAnsi="Times New Roman"/>
          <w:sz w:val="26"/>
          <w:szCs w:val="26"/>
        </w:rPr>
        <w:t xml:space="preserve"> ir bijis </w:t>
      </w:r>
      <w:r w:rsidR="00674CC6" w:rsidRPr="00AE6A17">
        <w:rPr>
          <w:rFonts w:ascii="Times New Roman" w:hAnsi="Times New Roman"/>
          <w:sz w:val="26"/>
          <w:szCs w:val="26"/>
        </w:rPr>
        <w:t>nozīmīgs</w:t>
      </w:r>
      <w:r w:rsidR="005B67E1" w:rsidRPr="00AE6A17">
        <w:rPr>
          <w:rFonts w:ascii="Times New Roman" w:hAnsi="Times New Roman"/>
          <w:sz w:val="26"/>
          <w:szCs w:val="26"/>
        </w:rPr>
        <w:t xml:space="preserve"> stimuls ieguldījumiem Latvijā reģistrētu uzņēmumu pamatkapitālā.</w:t>
      </w:r>
    </w:p>
    <w:p w14:paraId="752F97D5" w14:textId="5F6102CE" w:rsidR="00117B5B" w:rsidRPr="00AE6A17" w:rsidRDefault="00B838F6" w:rsidP="00674CC6">
      <w:pPr>
        <w:pStyle w:val="ListParagraph"/>
        <w:numPr>
          <w:ilvl w:val="0"/>
          <w:numId w:val="22"/>
        </w:numPr>
        <w:spacing w:after="120"/>
        <w:ind w:left="0" w:firstLine="357"/>
        <w:contextualSpacing w:val="0"/>
        <w:jc w:val="both"/>
        <w:rPr>
          <w:rFonts w:ascii="Times New Roman" w:hAnsi="Times New Roman"/>
          <w:sz w:val="26"/>
          <w:szCs w:val="26"/>
        </w:rPr>
      </w:pPr>
      <w:r w:rsidRPr="00AE6A17">
        <w:rPr>
          <w:rFonts w:ascii="Times New Roman" w:hAnsi="Times New Roman"/>
          <w:sz w:val="26"/>
          <w:szCs w:val="26"/>
        </w:rPr>
        <w:t>Ar investīciju programmu saistīto ieguldījumu nekustamajos īpašumos apjomu samazināšanās</w:t>
      </w:r>
      <w:r w:rsidR="005D6637" w:rsidRPr="00AE6A17">
        <w:rPr>
          <w:rFonts w:ascii="Times New Roman" w:hAnsi="Times New Roman"/>
          <w:sz w:val="26"/>
          <w:szCs w:val="26"/>
        </w:rPr>
        <w:t xml:space="preserve"> </w:t>
      </w:r>
      <w:r w:rsidR="008F53F2" w:rsidRPr="00AE6A17">
        <w:rPr>
          <w:rFonts w:ascii="Times New Roman" w:hAnsi="Times New Roman"/>
          <w:sz w:val="26"/>
          <w:szCs w:val="26"/>
        </w:rPr>
        <w:t xml:space="preserve">kopumā </w:t>
      </w:r>
      <w:r w:rsidR="003C79ED" w:rsidRPr="00AE6A17">
        <w:rPr>
          <w:rFonts w:ascii="Times New Roman" w:hAnsi="Times New Roman"/>
          <w:sz w:val="26"/>
          <w:szCs w:val="26"/>
        </w:rPr>
        <w:t>nav iespaidojusi nekustamā</w:t>
      </w:r>
      <w:r w:rsidRPr="00AE6A17">
        <w:rPr>
          <w:rFonts w:ascii="Times New Roman" w:hAnsi="Times New Roman"/>
          <w:sz w:val="26"/>
          <w:szCs w:val="26"/>
        </w:rPr>
        <w:t xml:space="preserve"> īpašumu tirgu.</w:t>
      </w:r>
      <w:r w:rsidR="008A211B" w:rsidRPr="00AE6A17">
        <w:t xml:space="preserve"> </w:t>
      </w:r>
      <w:r w:rsidR="008A211B" w:rsidRPr="00AE6A17">
        <w:rPr>
          <w:rFonts w:ascii="Times New Roman" w:hAnsi="Times New Roman"/>
          <w:sz w:val="26"/>
          <w:szCs w:val="26"/>
        </w:rPr>
        <w:t>Nozare lielā mērā</w:t>
      </w:r>
      <w:r w:rsidR="00D8540A" w:rsidRPr="00AE6A17">
        <w:rPr>
          <w:rFonts w:ascii="Times New Roman" w:hAnsi="Times New Roman"/>
          <w:sz w:val="26"/>
          <w:szCs w:val="26"/>
        </w:rPr>
        <w:t xml:space="preserve"> </w:t>
      </w:r>
      <w:r w:rsidR="008A211B" w:rsidRPr="00AE6A17">
        <w:rPr>
          <w:rFonts w:ascii="Times New Roman" w:hAnsi="Times New Roman"/>
          <w:sz w:val="26"/>
          <w:szCs w:val="26"/>
        </w:rPr>
        <w:t>pārkārtojusies uz vietējo pieprasījumu.</w:t>
      </w:r>
      <w:r w:rsidR="00481E37" w:rsidRPr="00AE6A17">
        <w:t xml:space="preserve"> </w:t>
      </w:r>
    </w:p>
    <w:p w14:paraId="5DD465D1" w14:textId="77777777" w:rsidR="006A2E73" w:rsidRPr="00AE6A17" w:rsidRDefault="00481E37" w:rsidP="006A2E73">
      <w:pPr>
        <w:pStyle w:val="ListParagraph"/>
        <w:numPr>
          <w:ilvl w:val="0"/>
          <w:numId w:val="22"/>
        </w:numPr>
        <w:spacing w:after="120"/>
        <w:ind w:left="0" w:firstLine="357"/>
        <w:contextualSpacing w:val="0"/>
        <w:jc w:val="both"/>
        <w:rPr>
          <w:rFonts w:ascii="Times New Roman" w:hAnsi="Times New Roman"/>
          <w:sz w:val="26"/>
          <w:szCs w:val="26"/>
        </w:rPr>
      </w:pPr>
      <w:r w:rsidRPr="00AE6A17">
        <w:rPr>
          <w:rFonts w:ascii="Times New Roman" w:hAnsi="Times New Roman"/>
          <w:sz w:val="26"/>
          <w:szCs w:val="26"/>
          <w:lang w:eastAsia="lv-LV"/>
        </w:rPr>
        <w:t>N</w:t>
      </w:r>
      <w:r w:rsidR="00990693" w:rsidRPr="00AE6A17">
        <w:rPr>
          <w:rFonts w:ascii="Times New Roman" w:hAnsi="Times New Roman"/>
          <w:sz w:val="26"/>
          <w:szCs w:val="26"/>
          <w:lang w:eastAsia="lv-LV"/>
        </w:rPr>
        <w:t xml:space="preserve">ekustamā īpašuma iegādē saistībā ar TUA saņemšanu </w:t>
      </w:r>
      <w:r w:rsidR="00766F66" w:rsidRPr="00AE6A17">
        <w:rPr>
          <w:rFonts w:ascii="Times New Roman" w:hAnsi="Times New Roman"/>
          <w:sz w:val="26"/>
          <w:szCs w:val="26"/>
          <w:lang w:eastAsia="lv-LV"/>
        </w:rPr>
        <w:t>dominē</w:t>
      </w:r>
      <w:r w:rsidR="00990693" w:rsidRPr="00AE6A17">
        <w:rPr>
          <w:rFonts w:ascii="Times New Roman" w:hAnsi="Times New Roman"/>
          <w:sz w:val="26"/>
          <w:szCs w:val="26"/>
          <w:lang w:eastAsia="lv-LV"/>
        </w:rPr>
        <w:t xml:space="preserve"> Rīga un Pierīga, it īpaši Jūrmala, – ekskluzīvas vietas un jaunie projekti</w:t>
      </w:r>
      <w:r w:rsidRPr="00AE6A17">
        <w:rPr>
          <w:rFonts w:ascii="Times New Roman" w:hAnsi="Times New Roman"/>
          <w:sz w:val="26"/>
          <w:szCs w:val="26"/>
          <w:lang w:eastAsia="lv-LV"/>
        </w:rPr>
        <w:t>, taču darījumu skaits</w:t>
      </w:r>
      <w:r w:rsidR="00B41800" w:rsidRPr="00AE6A17">
        <w:rPr>
          <w:rFonts w:ascii="Times New Roman" w:hAnsi="Times New Roman"/>
          <w:sz w:val="26"/>
          <w:szCs w:val="26"/>
          <w:lang w:eastAsia="lv-LV"/>
        </w:rPr>
        <w:t xml:space="preserve"> un apjoms</w:t>
      </w:r>
      <w:r w:rsidRPr="00AE6A17">
        <w:rPr>
          <w:rFonts w:ascii="Times New Roman" w:hAnsi="Times New Roman"/>
          <w:sz w:val="26"/>
          <w:szCs w:val="26"/>
          <w:lang w:eastAsia="lv-LV"/>
        </w:rPr>
        <w:t xml:space="preserve"> ir krities. </w:t>
      </w:r>
    </w:p>
    <w:p w14:paraId="4DD38307" w14:textId="19D0A0CA" w:rsidR="007A401D" w:rsidRPr="00AE6A17" w:rsidRDefault="00673806" w:rsidP="007A401D">
      <w:pPr>
        <w:pStyle w:val="ListParagraph"/>
        <w:numPr>
          <w:ilvl w:val="0"/>
          <w:numId w:val="22"/>
        </w:numPr>
        <w:spacing w:after="120"/>
        <w:ind w:left="0" w:firstLine="357"/>
        <w:contextualSpacing w:val="0"/>
        <w:jc w:val="both"/>
        <w:rPr>
          <w:rFonts w:ascii="Times New Roman" w:hAnsi="Times New Roman"/>
          <w:sz w:val="26"/>
          <w:szCs w:val="26"/>
        </w:rPr>
      </w:pPr>
      <w:r w:rsidRPr="00AE6A17">
        <w:rPr>
          <w:rFonts w:ascii="Times New Roman" w:hAnsi="Times New Roman"/>
          <w:sz w:val="26"/>
          <w:szCs w:val="26"/>
        </w:rPr>
        <w:t>Rīgā un Jūrmalā</w:t>
      </w:r>
      <w:r w:rsidR="00D07302" w:rsidRPr="00AE6A17">
        <w:rPr>
          <w:rFonts w:ascii="Times New Roman" w:hAnsi="Times New Roman"/>
          <w:sz w:val="26"/>
          <w:szCs w:val="26"/>
        </w:rPr>
        <w:t xml:space="preserve"> nekustamā īpašuma n</w:t>
      </w:r>
      <w:r w:rsidRPr="00AE6A17">
        <w:rPr>
          <w:rFonts w:ascii="Times New Roman" w:hAnsi="Times New Roman"/>
          <w:sz w:val="26"/>
          <w:szCs w:val="26"/>
        </w:rPr>
        <w:t xml:space="preserve">odokļa veidā </w:t>
      </w:r>
      <w:r w:rsidR="00776FB6">
        <w:rPr>
          <w:rFonts w:ascii="Times New Roman" w:hAnsi="Times New Roman"/>
          <w:sz w:val="26"/>
          <w:szCs w:val="26"/>
        </w:rPr>
        <w:t xml:space="preserve">derīgu </w:t>
      </w:r>
      <w:r w:rsidRPr="00AE6A17">
        <w:rPr>
          <w:rFonts w:ascii="Times New Roman" w:hAnsi="Times New Roman"/>
          <w:sz w:val="26"/>
          <w:szCs w:val="26"/>
        </w:rPr>
        <w:t>TUA turētāji 201</w:t>
      </w:r>
      <w:r w:rsidR="00726C45" w:rsidRPr="00AE6A17">
        <w:rPr>
          <w:rFonts w:ascii="Times New Roman" w:hAnsi="Times New Roman"/>
          <w:sz w:val="26"/>
          <w:szCs w:val="26"/>
        </w:rPr>
        <w:t>9</w:t>
      </w:r>
      <w:r w:rsidR="00D07302" w:rsidRPr="00AE6A17">
        <w:rPr>
          <w:rFonts w:ascii="Times New Roman" w:hAnsi="Times New Roman"/>
          <w:sz w:val="26"/>
          <w:szCs w:val="26"/>
        </w:rPr>
        <w:t xml:space="preserve">.gadā pašvaldību budžetos </w:t>
      </w:r>
      <w:r w:rsidRPr="00AE6A17">
        <w:rPr>
          <w:rFonts w:ascii="Times New Roman" w:hAnsi="Times New Roman"/>
          <w:sz w:val="26"/>
          <w:szCs w:val="26"/>
        </w:rPr>
        <w:t xml:space="preserve">kopā </w:t>
      </w:r>
      <w:r w:rsidR="00D07302" w:rsidRPr="00AE6A17">
        <w:rPr>
          <w:rFonts w:ascii="Times New Roman" w:hAnsi="Times New Roman"/>
          <w:sz w:val="26"/>
          <w:szCs w:val="26"/>
        </w:rPr>
        <w:t xml:space="preserve">iemaksāja </w:t>
      </w:r>
      <w:r w:rsidR="004100FD" w:rsidRPr="00AE6A17">
        <w:rPr>
          <w:rFonts w:ascii="Times New Roman" w:hAnsi="Times New Roman"/>
          <w:sz w:val="26"/>
          <w:szCs w:val="26"/>
        </w:rPr>
        <w:t>2,</w:t>
      </w:r>
      <w:r w:rsidR="00726C45" w:rsidRPr="00AE6A17">
        <w:rPr>
          <w:rFonts w:ascii="Times New Roman" w:hAnsi="Times New Roman"/>
          <w:sz w:val="26"/>
          <w:szCs w:val="26"/>
        </w:rPr>
        <w:t>2</w:t>
      </w:r>
      <w:r w:rsidR="004100FD" w:rsidRPr="00AE6A17">
        <w:rPr>
          <w:rFonts w:ascii="Times New Roman" w:hAnsi="Times New Roman"/>
          <w:sz w:val="26"/>
          <w:szCs w:val="26"/>
        </w:rPr>
        <w:t xml:space="preserve"> milj. </w:t>
      </w:r>
      <w:r w:rsidR="004100FD" w:rsidRPr="00AE6A17">
        <w:rPr>
          <w:rFonts w:ascii="Times New Roman" w:hAnsi="Times New Roman"/>
          <w:i/>
          <w:sz w:val="26"/>
          <w:szCs w:val="26"/>
        </w:rPr>
        <w:t>euro</w:t>
      </w:r>
      <w:r w:rsidR="004100FD" w:rsidRPr="00AE6A17">
        <w:rPr>
          <w:rFonts w:ascii="Times New Roman" w:hAnsi="Times New Roman"/>
          <w:sz w:val="26"/>
          <w:szCs w:val="26"/>
        </w:rPr>
        <w:t xml:space="preserve"> jeb </w:t>
      </w:r>
      <w:r w:rsidR="00726C45" w:rsidRPr="00AE6A17">
        <w:rPr>
          <w:rFonts w:ascii="Times New Roman" w:hAnsi="Times New Roman"/>
          <w:sz w:val="26"/>
          <w:szCs w:val="26"/>
        </w:rPr>
        <w:t xml:space="preserve">aptuveni </w:t>
      </w:r>
      <w:r w:rsidR="008F53F2" w:rsidRPr="00AE6A17">
        <w:rPr>
          <w:rFonts w:ascii="Times New Roman" w:hAnsi="Times New Roman"/>
          <w:sz w:val="26"/>
          <w:szCs w:val="26"/>
        </w:rPr>
        <w:t>1</w:t>
      </w:r>
      <w:r w:rsidR="004100FD" w:rsidRPr="00AE6A17">
        <w:rPr>
          <w:rFonts w:ascii="Times New Roman" w:hAnsi="Times New Roman"/>
          <w:sz w:val="26"/>
          <w:szCs w:val="26"/>
        </w:rPr>
        <w:t>% no kopumā valstī iekasētā nekustamā īpašuma nodokļa</w:t>
      </w:r>
      <w:r w:rsidR="00135282" w:rsidRPr="00AE6A17">
        <w:rPr>
          <w:rFonts w:ascii="Times New Roman" w:hAnsi="Times New Roman"/>
          <w:sz w:val="26"/>
          <w:szCs w:val="26"/>
        </w:rPr>
        <w:t xml:space="preserve"> ieņēmumiem</w:t>
      </w:r>
      <w:r w:rsidR="004100FD" w:rsidRPr="00AE6A17">
        <w:rPr>
          <w:rFonts w:ascii="Times New Roman" w:hAnsi="Times New Roman"/>
          <w:sz w:val="26"/>
          <w:szCs w:val="26"/>
        </w:rPr>
        <w:t>.</w:t>
      </w:r>
    </w:p>
    <w:p w14:paraId="568384B5" w14:textId="2F318849" w:rsidR="005D3888" w:rsidRPr="00637D3C" w:rsidRDefault="00D27276" w:rsidP="005D3888">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eastAsia="Calibri" w:hAnsi="Times New Roman"/>
          <w:sz w:val="26"/>
          <w:szCs w:val="26"/>
          <w:lang w:eastAsia="lv-LV"/>
        </w:rPr>
        <w:t xml:space="preserve">Pirmreizēju un atkārtotu </w:t>
      </w:r>
      <w:r w:rsidR="00A95EB9" w:rsidRPr="00637D3C">
        <w:rPr>
          <w:rFonts w:ascii="Times New Roman" w:eastAsia="Calibri" w:hAnsi="Times New Roman"/>
          <w:sz w:val="26"/>
          <w:szCs w:val="26"/>
          <w:lang w:eastAsia="lv-LV"/>
        </w:rPr>
        <w:t xml:space="preserve">TUA saņemšanai </w:t>
      </w:r>
      <w:r w:rsidR="00E62D7D" w:rsidRPr="00637D3C">
        <w:rPr>
          <w:rFonts w:ascii="Times New Roman" w:eastAsia="Calibri" w:hAnsi="Times New Roman"/>
          <w:sz w:val="26"/>
          <w:szCs w:val="26"/>
          <w:lang w:eastAsia="lv-LV"/>
        </w:rPr>
        <w:t>valsts pamat</w:t>
      </w:r>
      <w:r w:rsidR="00A95EB9" w:rsidRPr="00637D3C">
        <w:rPr>
          <w:rFonts w:ascii="Times New Roman" w:eastAsia="Calibri" w:hAnsi="Times New Roman"/>
          <w:sz w:val="26"/>
          <w:szCs w:val="26"/>
          <w:lang w:eastAsia="lv-LV"/>
        </w:rPr>
        <w:t xml:space="preserve">budžeta programmā 33.00.00 “Ekonomikas attīstības programma” </w:t>
      </w:r>
      <w:r w:rsidR="00E62D7D" w:rsidRPr="00637D3C">
        <w:rPr>
          <w:rFonts w:ascii="Times New Roman" w:eastAsia="Calibri" w:hAnsi="Times New Roman"/>
          <w:sz w:val="26"/>
          <w:szCs w:val="26"/>
          <w:lang w:eastAsia="lv-LV"/>
        </w:rPr>
        <w:t xml:space="preserve">kopumā </w:t>
      </w:r>
      <w:r w:rsidR="007446A3" w:rsidRPr="00637D3C">
        <w:rPr>
          <w:rFonts w:ascii="Times New Roman" w:eastAsia="Calibri" w:hAnsi="Times New Roman"/>
          <w:sz w:val="26"/>
          <w:szCs w:val="26"/>
          <w:lang w:eastAsia="lv-LV"/>
        </w:rPr>
        <w:t>ārzemnieki</w:t>
      </w:r>
      <w:r w:rsidR="007A401D" w:rsidRPr="00637D3C">
        <w:rPr>
          <w:rFonts w:ascii="Times New Roman" w:eastAsia="Calibri" w:hAnsi="Times New Roman"/>
          <w:sz w:val="26"/>
          <w:szCs w:val="26"/>
          <w:lang w:eastAsia="lv-LV"/>
        </w:rPr>
        <w:t xml:space="preserve"> no programmas uzsākšanas brīža 2014.gada 1.septembrī līdz 202</w:t>
      </w:r>
      <w:r w:rsidRPr="00637D3C">
        <w:rPr>
          <w:rFonts w:ascii="Times New Roman" w:eastAsia="Calibri" w:hAnsi="Times New Roman"/>
          <w:sz w:val="26"/>
          <w:szCs w:val="26"/>
          <w:lang w:eastAsia="lv-LV"/>
        </w:rPr>
        <w:t>0</w:t>
      </w:r>
      <w:r w:rsidR="007A401D" w:rsidRPr="00637D3C">
        <w:rPr>
          <w:rFonts w:ascii="Times New Roman" w:eastAsia="Calibri" w:hAnsi="Times New Roman"/>
          <w:sz w:val="26"/>
          <w:szCs w:val="26"/>
          <w:lang w:eastAsia="lv-LV"/>
        </w:rPr>
        <w:t xml:space="preserve">.gada </w:t>
      </w:r>
      <w:r w:rsidRPr="00637D3C">
        <w:rPr>
          <w:rFonts w:ascii="Times New Roman" w:eastAsia="Calibri" w:hAnsi="Times New Roman"/>
          <w:sz w:val="26"/>
          <w:szCs w:val="26"/>
          <w:lang w:eastAsia="lv-LV"/>
        </w:rPr>
        <w:t>3</w:t>
      </w:r>
      <w:r w:rsidR="007A401D" w:rsidRPr="00637D3C">
        <w:rPr>
          <w:rFonts w:ascii="Times New Roman" w:eastAsia="Calibri" w:hAnsi="Times New Roman"/>
          <w:sz w:val="26"/>
          <w:szCs w:val="26"/>
          <w:lang w:eastAsia="lv-LV"/>
        </w:rPr>
        <w:t>1.</w:t>
      </w:r>
      <w:r w:rsidRPr="00637D3C">
        <w:rPr>
          <w:rFonts w:ascii="Times New Roman" w:eastAsia="Calibri" w:hAnsi="Times New Roman"/>
          <w:sz w:val="26"/>
          <w:szCs w:val="26"/>
          <w:lang w:eastAsia="lv-LV"/>
        </w:rPr>
        <w:t>decem</w:t>
      </w:r>
      <w:r w:rsidR="007A401D" w:rsidRPr="00637D3C">
        <w:rPr>
          <w:rFonts w:ascii="Times New Roman" w:eastAsia="Calibri" w:hAnsi="Times New Roman"/>
          <w:sz w:val="26"/>
          <w:szCs w:val="26"/>
          <w:lang w:eastAsia="lv-LV"/>
        </w:rPr>
        <w:t>brim</w:t>
      </w:r>
      <w:r w:rsidR="00E978DD" w:rsidRPr="00637D3C">
        <w:rPr>
          <w:rFonts w:ascii="Times New Roman" w:eastAsia="Calibri" w:hAnsi="Times New Roman"/>
          <w:sz w:val="26"/>
          <w:szCs w:val="26"/>
          <w:lang w:eastAsia="lv-LV"/>
        </w:rPr>
        <w:t xml:space="preserve"> </w:t>
      </w:r>
      <w:r w:rsidR="007446A3" w:rsidRPr="00637D3C">
        <w:rPr>
          <w:rFonts w:ascii="Times New Roman" w:eastAsia="Calibri" w:hAnsi="Times New Roman"/>
          <w:sz w:val="26"/>
          <w:szCs w:val="26"/>
          <w:lang w:eastAsia="lv-LV"/>
        </w:rPr>
        <w:t xml:space="preserve">ir veikuši </w:t>
      </w:r>
      <w:r w:rsidRPr="00637D3C">
        <w:rPr>
          <w:rFonts w:ascii="Times New Roman" w:eastAsia="Calibri" w:hAnsi="Times New Roman"/>
          <w:sz w:val="26"/>
          <w:szCs w:val="26"/>
          <w:lang w:eastAsia="lv-LV"/>
        </w:rPr>
        <w:t xml:space="preserve">4 780 </w:t>
      </w:r>
      <w:r w:rsidR="00A95EB9" w:rsidRPr="00637D3C">
        <w:rPr>
          <w:rFonts w:ascii="Times New Roman" w:eastAsia="Calibri" w:hAnsi="Times New Roman"/>
          <w:sz w:val="26"/>
          <w:szCs w:val="26"/>
          <w:lang w:eastAsia="lv-LV"/>
        </w:rPr>
        <w:t xml:space="preserve">iemaksas </w:t>
      </w:r>
      <w:r w:rsidR="007A401D" w:rsidRPr="00637D3C">
        <w:rPr>
          <w:rFonts w:ascii="Times New Roman" w:eastAsia="Calibri" w:hAnsi="Times New Roman"/>
          <w:sz w:val="26"/>
          <w:szCs w:val="26"/>
          <w:lang w:eastAsia="lv-LV"/>
        </w:rPr>
        <w:t>1</w:t>
      </w:r>
      <w:r w:rsidRPr="00637D3C">
        <w:rPr>
          <w:rFonts w:ascii="Times New Roman" w:eastAsia="Calibri" w:hAnsi="Times New Roman"/>
          <w:sz w:val="26"/>
          <w:szCs w:val="26"/>
          <w:lang w:eastAsia="lv-LV"/>
        </w:rPr>
        <w:t>9,38</w:t>
      </w:r>
      <w:r w:rsidR="00EE4B3C" w:rsidRPr="00637D3C">
        <w:rPr>
          <w:rFonts w:ascii="Times New Roman" w:eastAsia="Calibri" w:hAnsi="Times New Roman"/>
          <w:sz w:val="26"/>
          <w:szCs w:val="26"/>
          <w:lang w:eastAsia="lv-LV"/>
        </w:rPr>
        <w:t xml:space="preserve"> </w:t>
      </w:r>
      <w:r w:rsidR="00A95EB9" w:rsidRPr="00637D3C">
        <w:rPr>
          <w:rFonts w:ascii="Times New Roman" w:eastAsia="Calibri" w:hAnsi="Times New Roman"/>
          <w:sz w:val="26"/>
          <w:szCs w:val="26"/>
          <w:lang w:eastAsia="lv-LV"/>
        </w:rPr>
        <w:t xml:space="preserve">milj. </w:t>
      </w:r>
      <w:r w:rsidR="00A95EB9" w:rsidRPr="00637D3C">
        <w:rPr>
          <w:rFonts w:ascii="Times New Roman" w:eastAsia="Calibri" w:hAnsi="Times New Roman"/>
          <w:i/>
          <w:sz w:val="26"/>
          <w:szCs w:val="26"/>
          <w:lang w:eastAsia="lv-LV"/>
        </w:rPr>
        <w:t>euro</w:t>
      </w:r>
      <w:r w:rsidR="00A95EB9" w:rsidRPr="00637D3C">
        <w:rPr>
          <w:rFonts w:ascii="Times New Roman" w:eastAsia="Calibri" w:hAnsi="Times New Roman"/>
          <w:sz w:val="26"/>
          <w:szCs w:val="26"/>
          <w:lang w:eastAsia="lv-LV"/>
        </w:rPr>
        <w:t xml:space="preserve"> apmērā</w:t>
      </w:r>
      <w:r w:rsidR="007A401D" w:rsidRPr="00637D3C">
        <w:rPr>
          <w:rFonts w:ascii="Times New Roman" w:eastAsia="Calibri" w:hAnsi="Times New Roman"/>
          <w:sz w:val="26"/>
          <w:szCs w:val="26"/>
          <w:lang w:eastAsia="lv-LV"/>
        </w:rPr>
        <w:t>.</w:t>
      </w:r>
    </w:p>
    <w:p w14:paraId="0E623B62" w14:textId="2A028634" w:rsidR="0082354F" w:rsidRPr="00D27276" w:rsidRDefault="00B20694" w:rsidP="0082354F">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eastAsia="Calibri" w:hAnsi="Times New Roman"/>
          <w:sz w:val="26"/>
          <w:szCs w:val="26"/>
          <w:lang w:eastAsia="lv-LV"/>
        </w:rPr>
        <w:t>Ā</w:t>
      </w:r>
      <w:r w:rsidR="00D07302" w:rsidRPr="00637D3C">
        <w:rPr>
          <w:rFonts w:ascii="Times New Roman" w:eastAsia="Calibri" w:hAnsi="Times New Roman"/>
          <w:sz w:val="26"/>
          <w:szCs w:val="26"/>
          <w:lang w:eastAsia="lv-LV"/>
        </w:rPr>
        <w:t>rzemnieku veiktie maksājumi</w:t>
      </w:r>
      <w:r w:rsidR="00D07302" w:rsidRPr="00D27276">
        <w:rPr>
          <w:rFonts w:ascii="Times New Roman" w:eastAsia="Calibri" w:hAnsi="Times New Roman"/>
          <w:sz w:val="26"/>
          <w:szCs w:val="26"/>
          <w:lang w:eastAsia="lv-LV"/>
        </w:rPr>
        <w:t xml:space="preserve"> pirms TUA</w:t>
      </w:r>
      <w:r w:rsidR="00093BBA" w:rsidRPr="00D27276">
        <w:rPr>
          <w:rFonts w:ascii="Times New Roman" w:eastAsia="Calibri" w:hAnsi="Times New Roman"/>
          <w:sz w:val="26"/>
          <w:szCs w:val="26"/>
          <w:lang w:eastAsia="lv-LV"/>
        </w:rPr>
        <w:t xml:space="preserve"> (pirmreizējas vai atkārtotas)</w:t>
      </w:r>
      <w:r w:rsidR="00D07302" w:rsidRPr="00D27276">
        <w:rPr>
          <w:rFonts w:ascii="Times New Roman" w:eastAsia="Calibri" w:hAnsi="Times New Roman"/>
          <w:sz w:val="26"/>
          <w:szCs w:val="26"/>
          <w:lang w:eastAsia="lv-LV"/>
        </w:rPr>
        <w:t xml:space="preserve"> saņemšanas budžeta programmā 33.00.00 “Ekonomikas attīstības programma”</w:t>
      </w:r>
      <w:r w:rsidR="005E66B6" w:rsidRPr="00D27276">
        <w:rPr>
          <w:rFonts w:ascii="Times New Roman" w:eastAsia="Calibri" w:hAnsi="Times New Roman"/>
          <w:sz w:val="26"/>
          <w:szCs w:val="26"/>
          <w:lang w:eastAsia="lv-LV"/>
        </w:rPr>
        <w:t xml:space="preserve"> bijis būtisks finanšu avots </w:t>
      </w:r>
      <w:r w:rsidR="005E66B6" w:rsidRPr="00D27276">
        <w:rPr>
          <w:rFonts w:ascii="Times New Roman" w:hAnsi="Times New Roman"/>
          <w:sz w:val="26"/>
          <w:szCs w:val="26"/>
          <w:lang w:eastAsia="lv-LV"/>
        </w:rPr>
        <w:t>ALTUM</w:t>
      </w:r>
      <w:r w:rsidR="005E66B6" w:rsidRPr="00D27276">
        <w:rPr>
          <w:rFonts w:ascii="Times New Roman" w:eastAsia="Calibri" w:hAnsi="Times New Roman"/>
          <w:sz w:val="26"/>
          <w:szCs w:val="26"/>
          <w:lang w:eastAsia="lv-LV"/>
        </w:rPr>
        <w:t xml:space="preserve"> īstenotajai mājokļu galvojumu programmai –</w:t>
      </w:r>
      <w:r w:rsidR="005E66B6" w:rsidRPr="00D27276">
        <w:rPr>
          <w:rFonts w:ascii="Times New Roman" w:hAnsi="Times New Roman"/>
          <w:sz w:val="26"/>
          <w:szCs w:val="26"/>
        </w:rPr>
        <w:t xml:space="preserve"> </w:t>
      </w:r>
      <w:r w:rsidR="005E66B6" w:rsidRPr="00D27276">
        <w:rPr>
          <w:rFonts w:ascii="Times New Roman" w:eastAsia="Calibri" w:hAnsi="Times New Roman"/>
          <w:sz w:val="26"/>
          <w:szCs w:val="26"/>
          <w:lang w:eastAsia="lv-LV"/>
        </w:rPr>
        <w:t>valsts galvojumiem bankas aizdevumiem mājokļu iegādei vai būvniecībai</w:t>
      </w:r>
      <w:r w:rsidR="005B67E1" w:rsidRPr="00D27276">
        <w:rPr>
          <w:rFonts w:ascii="Times New Roman" w:eastAsia="Calibri" w:hAnsi="Times New Roman"/>
          <w:sz w:val="26"/>
          <w:szCs w:val="26"/>
          <w:lang w:eastAsia="lv-LV"/>
        </w:rPr>
        <w:t xml:space="preserve"> </w:t>
      </w:r>
      <w:r w:rsidR="005D7DB8" w:rsidRPr="00D27276">
        <w:rPr>
          <w:rFonts w:ascii="Times New Roman" w:eastAsia="Calibri" w:hAnsi="Times New Roman"/>
          <w:sz w:val="26"/>
          <w:szCs w:val="26"/>
          <w:lang w:eastAsia="lv-LV"/>
        </w:rPr>
        <w:t xml:space="preserve">no programmas darbības sākuma </w:t>
      </w:r>
      <w:r w:rsidR="005B67E1" w:rsidRPr="00D27276">
        <w:rPr>
          <w:rFonts w:ascii="Times New Roman" w:eastAsia="Calibri" w:hAnsi="Times New Roman"/>
          <w:sz w:val="26"/>
          <w:szCs w:val="26"/>
          <w:lang w:eastAsia="lv-LV"/>
        </w:rPr>
        <w:t xml:space="preserve">kopumā novirzīti </w:t>
      </w:r>
      <w:r w:rsidR="00093BBA" w:rsidRPr="00D27276">
        <w:rPr>
          <w:rFonts w:ascii="Times New Roman" w:eastAsia="Calibri" w:hAnsi="Times New Roman"/>
          <w:sz w:val="26"/>
          <w:szCs w:val="26"/>
          <w:lang w:eastAsia="lv-LV"/>
        </w:rPr>
        <w:t>8,5</w:t>
      </w:r>
      <w:r w:rsidR="005B67E1" w:rsidRPr="00D27276">
        <w:rPr>
          <w:rFonts w:ascii="Times New Roman" w:eastAsia="Calibri" w:hAnsi="Times New Roman"/>
          <w:sz w:val="26"/>
          <w:szCs w:val="26"/>
          <w:lang w:eastAsia="lv-LV"/>
        </w:rPr>
        <w:t xml:space="preserve"> milj. </w:t>
      </w:r>
      <w:r w:rsidR="005B67E1" w:rsidRPr="00D27276">
        <w:rPr>
          <w:rFonts w:ascii="Times New Roman" w:eastAsia="Calibri" w:hAnsi="Times New Roman"/>
          <w:i/>
          <w:sz w:val="26"/>
          <w:szCs w:val="26"/>
          <w:lang w:eastAsia="lv-LV"/>
        </w:rPr>
        <w:t>euro</w:t>
      </w:r>
      <w:r w:rsidR="005B67E1" w:rsidRPr="00D27276">
        <w:rPr>
          <w:rFonts w:ascii="Times New Roman" w:eastAsia="Calibri" w:hAnsi="Times New Roman"/>
          <w:sz w:val="26"/>
          <w:szCs w:val="26"/>
          <w:lang w:eastAsia="lv-LV"/>
        </w:rPr>
        <w:t>.</w:t>
      </w:r>
    </w:p>
    <w:p w14:paraId="595A301C" w14:textId="00907311" w:rsidR="005D3888" w:rsidRPr="0082354F" w:rsidRDefault="00AA6555" w:rsidP="0082354F">
      <w:pPr>
        <w:pStyle w:val="ListParagraph"/>
        <w:numPr>
          <w:ilvl w:val="0"/>
          <w:numId w:val="22"/>
        </w:numPr>
        <w:spacing w:after="120"/>
        <w:ind w:left="0" w:firstLine="357"/>
        <w:contextualSpacing w:val="0"/>
        <w:jc w:val="both"/>
        <w:rPr>
          <w:rFonts w:ascii="Times New Roman" w:hAnsi="Times New Roman"/>
          <w:sz w:val="26"/>
          <w:szCs w:val="26"/>
        </w:rPr>
      </w:pPr>
      <w:r w:rsidRPr="0082354F">
        <w:rPr>
          <w:rFonts w:ascii="Times New Roman" w:hAnsi="Times New Roman"/>
          <w:sz w:val="26"/>
          <w:szCs w:val="26"/>
        </w:rPr>
        <w:t xml:space="preserve">Saistībā ar attiecīgajām Imigrācijas likuma normām valsts budžets tiešā veidā no nodevām </w:t>
      </w:r>
      <w:r w:rsidR="00A41BAA" w:rsidRPr="0082354F">
        <w:rPr>
          <w:rFonts w:ascii="Times New Roman" w:hAnsi="Times New Roman"/>
          <w:sz w:val="26"/>
          <w:szCs w:val="26"/>
        </w:rPr>
        <w:t xml:space="preserve">par termiņuzturēšanās atļaujas pieprasīšanai vai reģistrēšanai iesniegto dokumentu izskatīšanu un valsts nodevas par īpašuma reģistrēšanu zemesgrāmatā </w:t>
      </w:r>
      <w:r w:rsidRPr="0082354F">
        <w:rPr>
          <w:rFonts w:ascii="Times New Roman" w:hAnsi="Times New Roman"/>
          <w:sz w:val="26"/>
          <w:szCs w:val="26"/>
        </w:rPr>
        <w:t>laika periodā no 2010.gada 1.jūlija līdz 20</w:t>
      </w:r>
      <w:r w:rsidR="0082354F" w:rsidRPr="0082354F">
        <w:rPr>
          <w:rFonts w:ascii="Times New Roman" w:hAnsi="Times New Roman"/>
          <w:sz w:val="26"/>
          <w:szCs w:val="26"/>
        </w:rPr>
        <w:t>20</w:t>
      </w:r>
      <w:r w:rsidRPr="0082354F">
        <w:rPr>
          <w:rFonts w:ascii="Times New Roman" w:hAnsi="Times New Roman"/>
          <w:sz w:val="26"/>
          <w:szCs w:val="26"/>
        </w:rPr>
        <w:t>.gada 3</w:t>
      </w:r>
      <w:r w:rsidR="0082354F" w:rsidRPr="0082354F">
        <w:rPr>
          <w:rFonts w:ascii="Times New Roman" w:hAnsi="Times New Roman"/>
          <w:sz w:val="26"/>
          <w:szCs w:val="26"/>
        </w:rPr>
        <w:t>1</w:t>
      </w:r>
      <w:r w:rsidRPr="0082354F">
        <w:rPr>
          <w:rFonts w:ascii="Times New Roman" w:hAnsi="Times New Roman"/>
          <w:sz w:val="26"/>
          <w:szCs w:val="26"/>
        </w:rPr>
        <w:t>.</w:t>
      </w:r>
      <w:r w:rsidR="0082354F" w:rsidRPr="0082354F">
        <w:rPr>
          <w:rFonts w:ascii="Times New Roman" w:hAnsi="Times New Roman"/>
          <w:sz w:val="26"/>
          <w:szCs w:val="26"/>
        </w:rPr>
        <w:t>decembrim</w:t>
      </w:r>
      <w:r w:rsidRPr="0082354F">
        <w:rPr>
          <w:rFonts w:ascii="Times New Roman" w:hAnsi="Times New Roman"/>
          <w:sz w:val="26"/>
          <w:szCs w:val="26"/>
        </w:rPr>
        <w:t xml:space="preserve"> ir ieguvis ap </w:t>
      </w:r>
      <w:r w:rsidR="0082354F" w:rsidRPr="0082354F">
        <w:rPr>
          <w:rFonts w:ascii="Times New Roman" w:hAnsi="Times New Roman"/>
          <w:sz w:val="26"/>
          <w:szCs w:val="26"/>
        </w:rPr>
        <w:t>33,7</w:t>
      </w:r>
      <w:r w:rsidRPr="0082354F">
        <w:rPr>
          <w:rFonts w:ascii="Times New Roman" w:hAnsi="Times New Roman"/>
          <w:sz w:val="26"/>
          <w:szCs w:val="26"/>
        </w:rPr>
        <w:t xml:space="preserve"> milj. </w:t>
      </w:r>
      <w:r w:rsidRPr="0082354F">
        <w:rPr>
          <w:rFonts w:ascii="Times New Roman" w:hAnsi="Times New Roman"/>
          <w:i/>
          <w:sz w:val="26"/>
          <w:szCs w:val="26"/>
        </w:rPr>
        <w:t>euro</w:t>
      </w:r>
      <w:r w:rsidRPr="0082354F">
        <w:rPr>
          <w:rFonts w:ascii="Times New Roman" w:hAnsi="Times New Roman"/>
          <w:sz w:val="26"/>
          <w:szCs w:val="26"/>
        </w:rPr>
        <w:t>.</w:t>
      </w:r>
    </w:p>
    <w:p w14:paraId="283209CE" w14:textId="77777777" w:rsidR="005D3888" w:rsidRPr="0082354F" w:rsidRDefault="00AA6555" w:rsidP="005D3888">
      <w:pPr>
        <w:pStyle w:val="ListParagraph"/>
        <w:numPr>
          <w:ilvl w:val="0"/>
          <w:numId w:val="22"/>
        </w:numPr>
        <w:spacing w:after="120"/>
        <w:ind w:left="0" w:firstLine="357"/>
        <w:contextualSpacing w:val="0"/>
        <w:jc w:val="both"/>
        <w:rPr>
          <w:rFonts w:ascii="Times New Roman" w:hAnsi="Times New Roman"/>
          <w:sz w:val="26"/>
          <w:szCs w:val="26"/>
        </w:rPr>
      </w:pPr>
      <w:r w:rsidRPr="0082354F">
        <w:rPr>
          <w:rFonts w:ascii="Times New Roman" w:hAnsi="Times New Roman"/>
          <w:sz w:val="26"/>
          <w:szCs w:val="26"/>
        </w:rPr>
        <w:t>Uzņēmumi, kuru darbība ir bijusi saistīta ar TUA saņēmējiem 201</w:t>
      </w:r>
      <w:r w:rsidR="00671283" w:rsidRPr="0082354F">
        <w:rPr>
          <w:rFonts w:ascii="Times New Roman" w:hAnsi="Times New Roman"/>
          <w:sz w:val="26"/>
          <w:szCs w:val="26"/>
        </w:rPr>
        <w:t>9</w:t>
      </w:r>
      <w:r w:rsidRPr="0082354F">
        <w:rPr>
          <w:rFonts w:ascii="Times New Roman" w:hAnsi="Times New Roman"/>
          <w:sz w:val="26"/>
          <w:szCs w:val="26"/>
        </w:rPr>
        <w:t xml:space="preserve">.gada laikā valsts budžetā ir iemaksājuši nodokļus (atskaitot no valsts budžeta atmaksātos nodokļus) </w:t>
      </w:r>
      <w:r w:rsidR="00671283" w:rsidRPr="0082354F">
        <w:rPr>
          <w:rFonts w:ascii="Times New Roman" w:hAnsi="Times New Roman"/>
          <w:sz w:val="26"/>
          <w:szCs w:val="26"/>
        </w:rPr>
        <w:t>4</w:t>
      </w:r>
      <w:r w:rsidRPr="0082354F">
        <w:rPr>
          <w:rFonts w:ascii="Times New Roman" w:hAnsi="Times New Roman"/>
          <w:sz w:val="26"/>
          <w:szCs w:val="26"/>
        </w:rPr>
        <w:t>6,</w:t>
      </w:r>
      <w:r w:rsidR="00671283" w:rsidRPr="0082354F">
        <w:rPr>
          <w:rFonts w:ascii="Times New Roman" w:hAnsi="Times New Roman"/>
          <w:sz w:val="26"/>
          <w:szCs w:val="26"/>
        </w:rPr>
        <w:t>9</w:t>
      </w:r>
      <w:r w:rsidRPr="0082354F">
        <w:rPr>
          <w:rFonts w:ascii="Times New Roman" w:hAnsi="Times New Roman"/>
          <w:sz w:val="26"/>
          <w:szCs w:val="26"/>
        </w:rPr>
        <w:t xml:space="preserve"> milj. </w:t>
      </w:r>
      <w:r w:rsidRPr="0082354F">
        <w:rPr>
          <w:rFonts w:ascii="Times New Roman" w:hAnsi="Times New Roman"/>
          <w:i/>
          <w:sz w:val="26"/>
          <w:szCs w:val="26"/>
        </w:rPr>
        <w:t>euro</w:t>
      </w:r>
      <w:r w:rsidRPr="0082354F">
        <w:rPr>
          <w:rFonts w:ascii="Times New Roman" w:hAnsi="Times New Roman"/>
          <w:sz w:val="26"/>
          <w:szCs w:val="26"/>
        </w:rPr>
        <w:t xml:space="preserve"> apmērā, kas veidoja 0,</w:t>
      </w:r>
      <w:r w:rsidR="00671283" w:rsidRPr="0082354F">
        <w:rPr>
          <w:rFonts w:ascii="Times New Roman" w:hAnsi="Times New Roman"/>
          <w:sz w:val="26"/>
          <w:szCs w:val="26"/>
        </w:rPr>
        <w:t>5</w:t>
      </w:r>
      <w:r w:rsidRPr="0082354F">
        <w:rPr>
          <w:rFonts w:ascii="Times New Roman" w:hAnsi="Times New Roman"/>
          <w:sz w:val="26"/>
          <w:szCs w:val="26"/>
        </w:rPr>
        <w:t>% no</w:t>
      </w:r>
      <w:r w:rsidRPr="0082354F">
        <w:t xml:space="preserve"> </w:t>
      </w:r>
      <w:r w:rsidRPr="0082354F">
        <w:rPr>
          <w:rFonts w:ascii="Times New Roman" w:hAnsi="Times New Roman"/>
          <w:sz w:val="26"/>
          <w:szCs w:val="26"/>
        </w:rPr>
        <w:t>VID administrētajiem kopbudžeta ieņēmumiem.</w:t>
      </w:r>
    </w:p>
    <w:p w14:paraId="4D6BB84A" w14:textId="48D61DF6" w:rsidR="00EF309E" w:rsidRPr="00637D3C" w:rsidRDefault="00FD54F3" w:rsidP="00EF309E">
      <w:pPr>
        <w:pStyle w:val="ListParagraph"/>
        <w:numPr>
          <w:ilvl w:val="0"/>
          <w:numId w:val="22"/>
        </w:numPr>
        <w:spacing w:after="120"/>
        <w:ind w:left="0" w:firstLine="357"/>
        <w:contextualSpacing w:val="0"/>
        <w:jc w:val="both"/>
        <w:rPr>
          <w:rFonts w:ascii="Times New Roman" w:hAnsi="Times New Roman"/>
          <w:sz w:val="26"/>
          <w:szCs w:val="26"/>
        </w:rPr>
      </w:pPr>
      <w:r w:rsidRPr="00637D3C">
        <w:rPr>
          <w:rFonts w:ascii="Times New Roman" w:hAnsi="Times New Roman"/>
          <w:sz w:val="26"/>
          <w:szCs w:val="26"/>
          <w:lang w:eastAsia="lv-LV"/>
        </w:rPr>
        <w:t xml:space="preserve">Investīciju </w:t>
      </w:r>
      <w:r w:rsidR="00EF309E" w:rsidRPr="00637D3C">
        <w:rPr>
          <w:rFonts w:ascii="Times New Roman" w:hAnsi="Times New Roman"/>
          <w:sz w:val="26"/>
          <w:szCs w:val="26"/>
          <w:lang w:eastAsia="lv-LV"/>
        </w:rPr>
        <w:t xml:space="preserve">piesaistes  programmai, piedāvājot nerezidentiem iespēju saņemt TUA, ieviešanas pirmajos gados (2010.-2014.gadam) bija vērojams pozitīvs efekts. Globālās finanšu krīzes ietekmē Latvijā kopš 2008.gada būtiski samazinājās ārvalstu </w:t>
      </w:r>
      <w:r w:rsidR="00637D3C">
        <w:rPr>
          <w:rFonts w:ascii="Times New Roman" w:hAnsi="Times New Roman"/>
          <w:sz w:val="26"/>
          <w:szCs w:val="26"/>
          <w:lang w:eastAsia="lv-LV"/>
        </w:rPr>
        <w:t>kapitāla ieplūde, bet p</w:t>
      </w:r>
      <w:r w:rsidR="00EF309E" w:rsidRPr="00637D3C">
        <w:rPr>
          <w:rFonts w:ascii="Times New Roman" w:hAnsi="Times New Roman"/>
          <w:sz w:val="26"/>
          <w:szCs w:val="26"/>
          <w:lang w:eastAsia="lv-LV"/>
        </w:rPr>
        <w:t xml:space="preserve">rogrammas īstenošana veicināja ārvalstu kapitāla ieplūdes palielināšanos, sekmējot ekonomikas atgūšanos pēc globālās finanšu krīzes. </w:t>
      </w:r>
    </w:p>
    <w:p w14:paraId="46543B6A" w14:textId="77777777" w:rsidR="00EF309E" w:rsidRPr="00637D3C" w:rsidRDefault="00EF309E" w:rsidP="00DF368D">
      <w:pPr>
        <w:pStyle w:val="ListParagraph"/>
        <w:numPr>
          <w:ilvl w:val="0"/>
          <w:numId w:val="22"/>
        </w:numPr>
        <w:spacing w:after="240"/>
        <w:ind w:left="0" w:firstLine="357"/>
        <w:contextualSpacing w:val="0"/>
        <w:jc w:val="both"/>
        <w:rPr>
          <w:rFonts w:ascii="Times New Roman" w:hAnsi="Times New Roman"/>
          <w:sz w:val="26"/>
          <w:szCs w:val="26"/>
        </w:rPr>
      </w:pPr>
      <w:r w:rsidRPr="00637D3C">
        <w:rPr>
          <w:rFonts w:ascii="Times New Roman" w:hAnsi="Times New Roman"/>
          <w:sz w:val="26"/>
          <w:szCs w:val="26"/>
          <w:lang w:eastAsia="lv-LV"/>
        </w:rPr>
        <w:t xml:space="preserve">Latvijas ekonomiskajai situācijai uzlabojoties, kā arī programmas nosacījumiem kļūstot stingrākiem, TUA instrumenta nozīme ārvalstu kapitāla piesaistē kopš 2014.gada ir mazinājusies, par ko liecina arī ar TUA saņemšanas iespēju saistīto nerezidentu ieguldījumu devuma samazinājums kopējā ārvalstu kapitāla ieplūdē Latvijā. Tas norāda, ka kopumā TUA šobrīd nav motivējošs instruments un </w:t>
      </w:r>
      <w:r w:rsidRPr="00637D3C">
        <w:rPr>
          <w:rFonts w:ascii="Times New Roman" w:hAnsi="Times New Roman"/>
          <w:sz w:val="26"/>
          <w:szCs w:val="26"/>
        </w:rPr>
        <w:t>nepieciešams turpināt attīstīt tos investīciju piesaistes veidus, kas tieši saistīti ar kapitālsabiedrību piekļuvi brīviem naudas līdzekļiem.</w:t>
      </w:r>
    </w:p>
    <w:p w14:paraId="27F0E43A" w14:textId="394A3513" w:rsidR="001A1983" w:rsidRPr="00E72462" w:rsidRDefault="001A1983" w:rsidP="00DF368D">
      <w:pPr>
        <w:tabs>
          <w:tab w:val="left" w:pos="5123"/>
          <w:tab w:val="left" w:pos="6431"/>
        </w:tabs>
        <w:spacing w:after="240"/>
        <w:rPr>
          <w:rFonts w:ascii="Times New Roman" w:hAnsi="Times New Roman"/>
          <w:sz w:val="26"/>
          <w:szCs w:val="26"/>
        </w:rPr>
      </w:pPr>
      <w:bookmarkStart w:id="18" w:name="_GoBack"/>
      <w:bookmarkEnd w:id="18"/>
      <w:r w:rsidRPr="00E72462">
        <w:rPr>
          <w:rFonts w:ascii="Times New Roman" w:hAnsi="Times New Roman"/>
          <w:sz w:val="26"/>
          <w:szCs w:val="26"/>
        </w:rPr>
        <w:t>Ministru prezidents</w:t>
      </w:r>
      <w:r w:rsidRPr="00E72462">
        <w:rPr>
          <w:rFonts w:ascii="Times New Roman" w:hAnsi="Times New Roman"/>
          <w:sz w:val="26"/>
          <w:szCs w:val="26"/>
        </w:rPr>
        <w:tab/>
      </w:r>
      <w:r w:rsidRPr="00E72462">
        <w:rPr>
          <w:rFonts w:ascii="Times New Roman" w:hAnsi="Times New Roman"/>
          <w:sz w:val="26"/>
          <w:szCs w:val="26"/>
        </w:rPr>
        <w:tab/>
      </w:r>
      <w:r w:rsidR="00E72462" w:rsidRPr="00E72462">
        <w:rPr>
          <w:rFonts w:ascii="Times New Roman" w:hAnsi="Times New Roman"/>
          <w:sz w:val="26"/>
          <w:szCs w:val="26"/>
        </w:rPr>
        <w:t>A. K. Kariņš</w:t>
      </w:r>
    </w:p>
    <w:p w14:paraId="739CF1D5" w14:textId="77777777" w:rsidR="001A1983" w:rsidRPr="00E72462" w:rsidRDefault="001A1983" w:rsidP="00686BDB">
      <w:pPr>
        <w:tabs>
          <w:tab w:val="left" w:pos="6758"/>
        </w:tabs>
        <w:rPr>
          <w:rFonts w:ascii="Times New Roman" w:hAnsi="Times New Roman"/>
          <w:sz w:val="26"/>
          <w:szCs w:val="26"/>
        </w:rPr>
      </w:pPr>
      <w:r w:rsidRPr="00E72462">
        <w:rPr>
          <w:rFonts w:ascii="Times New Roman" w:hAnsi="Times New Roman"/>
          <w:sz w:val="26"/>
          <w:szCs w:val="26"/>
        </w:rPr>
        <w:t>Iesniedzējs:</w:t>
      </w:r>
    </w:p>
    <w:p w14:paraId="66F673EF" w14:textId="1609CDE9" w:rsidR="001A1983" w:rsidRPr="00E72462" w:rsidRDefault="001A1983" w:rsidP="00686BDB">
      <w:pPr>
        <w:tabs>
          <w:tab w:val="left" w:pos="6431"/>
          <w:tab w:val="left" w:pos="6758"/>
        </w:tabs>
        <w:rPr>
          <w:rFonts w:ascii="Times New Roman" w:hAnsi="Times New Roman"/>
          <w:sz w:val="26"/>
          <w:szCs w:val="26"/>
        </w:rPr>
      </w:pPr>
      <w:r w:rsidRPr="00E72462">
        <w:rPr>
          <w:rFonts w:ascii="Times New Roman" w:hAnsi="Times New Roman"/>
          <w:sz w:val="26"/>
          <w:szCs w:val="26"/>
        </w:rPr>
        <w:t xml:space="preserve">Iekšlietu ministrs </w:t>
      </w:r>
      <w:r w:rsidRPr="00E72462">
        <w:rPr>
          <w:rFonts w:ascii="Times New Roman" w:hAnsi="Times New Roman"/>
          <w:sz w:val="26"/>
          <w:szCs w:val="26"/>
        </w:rPr>
        <w:tab/>
      </w:r>
      <w:r w:rsidR="00E72462" w:rsidRPr="00E72462">
        <w:rPr>
          <w:rFonts w:ascii="Times New Roman" w:hAnsi="Times New Roman"/>
          <w:sz w:val="26"/>
          <w:szCs w:val="26"/>
        </w:rPr>
        <w:t>S. Ģirģens</w:t>
      </w:r>
    </w:p>
    <w:p w14:paraId="6EA8386E" w14:textId="77777777" w:rsidR="00A84F44" w:rsidRDefault="00A84F44" w:rsidP="00686BDB">
      <w:pPr>
        <w:ind w:left="720" w:hanging="720"/>
        <w:rPr>
          <w:rFonts w:ascii="Times New Roman" w:hAnsi="Times New Roman"/>
          <w:sz w:val="26"/>
          <w:szCs w:val="26"/>
        </w:rPr>
      </w:pPr>
    </w:p>
    <w:p w14:paraId="4F7F7583" w14:textId="77777777" w:rsidR="001A1983" w:rsidRPr="00E72462" w:rsidRDefault="001A1983" w:rsidP="00686BDB">
      <w:pPr>
        <w:ind w:left="720" w:hanging="720"/>
        <w:rPr>
          <w:rFonts w:ascii="Times New Roman" w:hAnsi="Times New Roman"/>
          <w:sz w:val="26"/>
          <w:szCs w:val="26"/>
        </w:rPr>
      </w:pPr>
      <w:r w:rsidRPr="00E72462">
        <w:rPr>
          <w:rFonts w:ascii="Times New Roman" w:hAnsi="Times New Roman"/>
          <w:sz w:val="26"/>
          <w:szCs w:val="26"/>
        </w:rPr>
        <w:t>Vīza:</w:t>
      </w:r>
    </w:p>
    <w:p w14:paraId="67CBFBD4" w14:textId="77777777" w:rsidR="001A1983" w:rsidRPr="00E72462" w:rsidRDefault="00F152C6" w:rsidP="00686BDB">
      <w:pPr>
        <w:tabs>
          <w:tab w:val="left" w:pos="6431"/>
        </w:tabs>
        <w:ind w:left="720" w:hanging="720"/>
        <w:rPr>
          <w:rFonts w:ascii="Times New Roman" w:hAnsi="Times New Roman"/>
          <w:sz w:val="26"/>
          <w:szCs w:val="26"/>
        </w:rPr>
      </w:pPr>
      <w:r w:rsidRPr="00E72462">
        <w:rPr>
          <w:rFonts w:ascii="Times New Roman" w:hAnsi="Times New Roman"/>
          <w:sz w:val="26"/>
          <w:szCs w:val="26"/>
        </w:rPr>
        <w:t>Valsts sekretārs</w:t>
      </w:r>
      <w:r w:rsidR="001A1983" w:rsidRPr="00E72462">
        <w:rPr>
          <w:rFonts w:ascii="Times New Roman" w:hAnsi="Times New Roman"/>
          <w:sz w:val="26"/>
          <w:szCs w:val="26"/>
        </w:rPr>
        <w:tab/>
      </w:r>
      <w:r w:rsidR="001A1983" w:rsidRPr="00E72462">
        <w:rPr>
          <w:rFonts w:ascii="Times New Roman" w:hAnsi="Times New Roman"/>
          <w:sz w:val="26"/>
          <w:szCs w:val="26"/>
        </w:rPr>
        <w:tab/>
      </w:r>
      <w:r w:rsidRPr="00E72462">
        <w:rPr>
          <w:rFonts w:ascii="Times New Roman" w:hAnsi="Times New Roman"/>
          <w:sz w:val="26"/>
          <w:szCs w:val="26"/>
        </w:rPr>
        <w:t>D. Trofimovs</w:t>
      </w:r>
    </w:p>
    <w:p w14:paraId="4689C255" w14:textId="77777777" w:rsidR="00A84F44" w:rsidRDefault="00A84F44" w:rsidP="00F152C6">
      <w:pPr>
        <w:ind w:right="-329"/>
        <w:rPr>
          <w:rFonts w:ascii="Times New Roman" w:hAnsi="Times New Roman"/>
          <w:sz w:val="20"/>
          <w:szCs w:val="20"/>
        </w:rPr>
      </w:pPr>
    </w:p>
    <w:p w14:paraId="1F41A013" w14:textId="64C2C827" w:rsidR="00DF368D" w:rsidRDefault="00DF368D" w:rsidP="00F152C6">
      <w:pPr>
        <w:ind w:right="-329"/>
        <w:rPr>
          <w:rFonts w:ascii="Times New Roman" w:hAnsi="Times New Roman"/>
          <w:sz w:val="20"/>
          <w:szCs w:val="20"/>
        </w:rPr>
      </w:pPr>
      <w:r>
        <w:rPr>
          <w:rFonts w:ascii="Times New Roman" w:hAnsi="Times New Roman"/>
          <w:sz w:val="20"/>
          <w:szCs w:val="20"/>
        </w:rPr>
        <w:t>I</w:t>
      </w:r>
      <w:r w:rsidR="001A1983" w:rsidRPr="00E72462">
        <w:rPr>
          <w:rFonts w:ascii="Times New Roman" w:hAnsi="Times New Roman"/>
          <w:sz w:val="20"/>
          <w:szCs w:val="20"/>
        </w:rPr>
        <w:t>. Briede, 67219546</w:t>
      </w:r>
    </w:p>
    <w:p w14:paraId="7839A61D" w14:textId="77777777" w:rsidR="00003174" w:rsidRPr="002B4D22" w:rsidRDefault="00FF3EE3" w:rsidP="00F152C6">
      <w:pPr>
        <w:ind w:right="-329"/>
        <w:rPr>
          <w:rFonts w:ascii="Times New Roman" w:hAnsi="Times New Roman"/>
          <w:color w:val="000000"/>
          <w:sz w:val="24"/>
          <w:szCs w:val="24"/>
        </w:rPr>
      </w:pPr>
      <w:hyperlink r:id="rId13" w:history="1">
        <w:r w:rsidR="001A1983" w:rsidRPr="00E72462">
          <w:rPr>
            <w:rFonts w:ascii="Times New Roman" w:hAnsi="Times New Roman"/>
            <w:sz w:val="20"/>
            <w:szCs w:val="20"/>
          </w:rPr>
          <w:t>ilze.briede@pmlp.gov.lv</w:t>
        </w:r>
      </w:hyperlink>
    </w:p>
    <w:sectPr w:rsidR="00003174" w:rsidRPr="002B4D22" w:rsidSect="00DF368D">
      <w:headerReference w:type="even" r:id="rId14"/>
      <w:headerReference w:type="default" r:id="rId15"/>
      <w:footerReference w:type="default" r:id="rId16"/>
      <w:pgSz w:w="11906" w:h="16838"/>
      <w:pgMar w:top="1440" w:right="851" w:bottom="340" w:left="1797" w:header="709" w:footer="35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93498" w16cid:durableId="23B185A1"/>
  <w16cid:commentId w16cid:paraId="2D918494" w16cid:durableId="23B1860C"/>
  <w16cid:commentId w16cid:paraId="48ACF9FA" w16cid:durableId="23B1994D"/>
  <w16cid:commentId w16cid:paraId="71BC53E1" w16cid:durableId="23B02206"/>
  <w16cid:commentId w16cid:paraId="1EE1B930" w16cid:durableId="23B18876"/>
  <w16cid:commentId w16cid:paraId="70B3A232" w16cid:durableId="23B0236F"/>
  <w16cid:commentId w16cid:paraId="7DD14607" w16cid:durableId="23B18AE8"/>
  <w16cid:commentId w16cid:paraId="13D5E70F" w16cid:durableId="23B18B44"/>
  <w16cid:commentId w16cid:paraId="6CD5044D" w16cid:durableId="23B02C5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7E5FA" w14:textId="77777777" w:rsidR="00FF3EE3" w:rsidRDefault="00FF3EE3" w:rsidP="006F61F5">
      <w:r>
        <w:separator/>
      </w:r>
    </w:p>
  </w:endnote>
  <w:endnote w:type="continuationSeparator" w:id="0">
    <w:p w14:paraId="651DE808" w14:textId="77777777" w:rsidR="00FF3EE3" w:rsidRDefault="00FF3EE3" w:rsidP="006F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Pro Cond Light">
    <w:panose1 w:val="020B0306030504040204"/>
    <w:charset w:val="00"/>
    <w:family w:val="swiss"/>
    <w:pitch w:val="variable"/>
    <w:sig w:usb0="80000287" w:usb1="00000043"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E2F71" w14:textId="77777777" w:rsidR="00D37DAB" w:rsidRDefault="00D37DAB" w:rsidP="00801226">
    <w:pPr>
      <w:jc w:val="both"/>
      <w:rPr>
        <w:rFonts w:ascii="Times New Roman" w:hAnsi="Times New Roman"/>
        <w:sz w:val="20"/>
        <w:szCs w:val="20"/>
      </w:rPr>
    </w:pPr>
  </w:p>
  <w:p w14:paraId="239EE64F" w14:textId="5E7E9912" w:rsidR="00D37DAB" w:rsidRPr="00801226" w:rsidRDefault="00D37DAB" w:rsidP="00801226">
    <w:pPr>
      <w:jc w:val="both"/>
      <w:rPr>
        <w:rFonts w:ascii="Times New Roman" w:hAnsi="Times New Roman"/>
        <w:sz w:val="20"/>
        <w:szCs w:val="20"/>
      </w:rPr>
    </w:pPr>
    <w:r w:rsidRPr="00C83B49">
      <w:rPr>
        <w:rFonts w:ascii="Times New Roman" w:hAnsi="Times New Roman"/>
        <w:sz w:val="20"/>
        <w:szCs w:val="20"/>
      </w:rPr>
      <w:t>IEMZino_</w:t>
    </w:r>
    <w:r w:rsidR="00E00288">
      <w:rPr>
        <w:rFonts w:ascii="Times New Roman" w:hAnsi="Times New Roman"/>
        <w:sz w:val="20"/>
        <w:szCs w:val="20"/>
      </w:rPr>
      <w:t>2</w:t>
    </w:r>
    <w:r w:rsidR="00E00288">
      <w:rPr>
        <w:rFonts w:ascii="Times New Roman" w:hAnsi="Times New Roman"/>
        <w:sz w:val="20"/>
        <w:szCs w:val="20"/>
      </w:rPr>
      <w:t>6</w:t>
    </w:r>
    <w:r w:rsidR="00E00288">
      <w:rPr>
        <w:rFonts w:ascii="Times New Roman" w:hAnsi="Times New Roman"/>
        <w:sz w:val="20"/>
        <w:szCs w:val="20"/>
      </w:rPr>
      <w:t>0121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E1D23" w14:textId="77777777" w:rsidR="00FF3EE3" w:rsidRDefault="00FF3EE3" w:rsidP="006F61F5">
      <w:r>
        <w:separator/>
      </w:r>
    </w:p>
  </w:footnote>
  <w:footnote w:type="continuationSeparator" w:id="0">
    <w:p w14:paraId="7491C902" w14:textId="77777777" w:rsidR="00FF3EE3" w:rsidRDefault="00FF3EE3" w:rsidP="006F61F5">
      <w:r>
        <w:continuationSeparator/>
      </w:r>
    </w:p>
  </w:footnote>
  <w:footnote w:id="1">
    <w:p w14:paraId="16F0FC5F" w14:textId="77777777" w:rsidR="00D37DAB" w:rsidRPr="008B011E" w:rsidRDefault="00D37DAB" w:rsidP="00B80FFC">
      <w:pPr>
        <w:pStyle w:val="FootnoteText"/>
        <w:jc w:val="both"/>
        <w:rPr>
          <w:rFonts w:ascii="Times New Roman" w:hAnsi="Times New Roman"/>
        </w:rPr>
      </w:pPr>
      <w:r w:rsidRPr="008B011E">
        <w:rPr>
          <w:rStyle w:val="FootnoteReference"/>
          <w:rFonts w:ascii="Times New Roman" w:hAnsi="Times New Roman"/>
        </w:rPr>
        <w:footnoteRef/>
      </w:r>
      <w:r w:rsidRPr="008B011E">
        <w:rPr>
          <w:rFonts w:ascii="Times New Roman" w:hAnsi="Times New Roman"/>
        </w:rPr>
        <w:t xml:space="preserve"> 2017.</w:t>
      </w:r>
      <w:r>
        <w:rPr>
          <w:rFonts w:ascii="Times New Roman" w:hAnsi="Times New Roman"/>
        </w:rPr>
        <w:t xml:space="preserve"> </w:t>
      </w:r>
      <w:r w:rsidRPr="008B011E">
        <w:rPr>
          <w:rFonts w:ascii="Times New Roman" w:hAnsi="Times New Roman"/>
        </w:rPr>
        <w:t>gada Informatīvais ziņojums par Imigrācijas likuma 23.panta pirmās daļas 3., 28., 29., 30. un 31.punktā paredzēto noteikumu īstenošanas gaitu un rezultātiem.</w:t>
      </w:r>
    </w:p>
  </w:footnote>
  <w:footnote w:id="2">
    <w:p w14:paraId="74854FBC" w14:textId="5443B8D5" w:rsidR="00D37DAB" w:rsidRDefault="00D37DAB">
      <w:pPr>
        <w:pStyle w:val="FootnoteText"/>
      </w:pPr>
      <w:r>
        <w:rPr>
          <w:rStyle w:val="FootnoteReference"/>
        </w:rPr>
        <w:footnoteRef/>
      </w:r>
      <w:r>
        <w:t xml:space="preserve"> </w:t>
      </w:r>
      <w:r>
        <w:rPr>
          <w:rFonts w:ascii="Times New Roman" w:hAnsi="Times New Roman"/>
        </w:rPr>
        <w:t>Apkopota informācija</w:t>
      </w:r>
      <w:r w:rsidRPr="00A86D71">
        <w:rPr>
          <w:rFonts w:ascii="Times New Roman" w:hAnsi="Times New Roman"/>
        </w:rPr>
        <w:t xml:space="preserve"> uz 12.11.2020.</w:t>
      </w:r>
    </w:p>
  </w:footnote>
  <w:footnote w:id="3">
    <w:p w14:paraId="06A2C7A0" w14:textId="6B2E45B1" w:rsidR="00D37DAB" w:rsidRPr="00851B7F" w:rsidRDefault="00D37DAB">
      <w:pPr>
        <w:pStyle w:val="FootnoteText"/>
        <w:rPr>
          <w:rFonts w:ascii="Times New Roman" w:hAnsi="Times New Roman"/>
        </w:rPr>
      </w:pPr>
      <w:r w:rsidRPr="00851B7F">
        <w:rPr>
          <w:rStyle w:val="FootnoteReference"/>
          <w:rFonts w:ascii="Times New Roman" w:hAnsi="Times New Roman"/>
        </w:rPr>
        <w:footnoteRef/>
      </w:r>
      <w:r w:rsidRPr="00851B7F">
        <w:rPr>
          <w:rFonts w:ascii="Times New Roman" w:hAnsi="Times New Roman"/>
        </w:rPr>
        <w:t xml:space="preserve"> </w:t>
      </w:r>
      <w:r>
        <w:rPr>
          <w:rFonts w:ascii="Times New Roman" w:hAnsi="Times New Roman"/>
        </w:rPr>
        <w:t>U</w:t>
      </w:r>
      <w:r w:rsidRPr="00851B7F">
        <w:rPr>
          <w:rFonts w:ascii="Times New Roman" w:hAnsi="Times New Roman"/>
        </w:rPr>
        <w:t xml:space="preserve">zņēmumi, kuros TUA </w:t>
      </w:r>
      <w:r>
        <w:rPr>
          <w:rFonts w:ascii="Times New Roman" w:hAnsi="Times New Roman"/>
        </w:rPr>
        <w:t>pieteicējiem</w:t>
      </w:r>
      <w:r w:rsidRPr="00851B7F">
        <w:rPr>
          <w:rFonts w:ascii="Times New Roman" w:hAnsi="Times New Roman"/>
        </w:rPr>
        <w:t xml:space="preserve"> (derīgas TUA) pieder īpašumtiesību daļas.</w:t>
      </w:r>
      <w:r>
        <w:rPr>
          <w:rFonts w:ascii="Times New Roman" w:hAnsi="Times New Roman"/>
        </w:rPr>
        <w:t xml:space="preserve"> SIA “CREFO Rating” dati.</w:t>
      </w:r>
    </w:p>
  </w:footnote>
  <w:footnote w:id="4">
    <w:p w14:paraId="2DD10C15" w14:textId="77777777" w:rsidR="00D37DAB" w:rsidRPr="00ED1D1B" w:rsidRDefault="00D37DAB" w:rsidP="00034C68">
      <w:pPr>
        <w:pStyle w:val="FootnoteText"/>
        <w:rPr>
          <w:rFonts w:ascii="Times New Roman" w:hAnsi="Times New Roman"/>
        </w:rPr>
      </w:pPr>
      <w:r w:rsidRPr="00ED1D1B">
        <w:rPr>
          <w:rStyle w:val="FootnoteReference"/>
          <w:rFonts w:ascii="Times New Roman" w:hAnsi="Times New Roman"/>
        </w:rPr>
        <w:footnoteRef/>
      </w:r>
      <w:r w:rsidRPr="00ED1D1B">
        <w:rPr>
          <w:rFonts w:ascii="Times New Roman" w:hAnsi="Times New Roman"/>
        </w:rPr>
        <w:t xml:space="preserve"> </w:t>
      </w:r>
      <w:r w:rsidRPr="00ED1D1B">
        <w:rPr>
          <w:rFonts w:ascii="Times New Roman" w:hAnsi="Times New Roman"/>
        </w:rPr>
        <w:t xml:space="preserve">PMLP dati </w:t>
      </w:r>
    </w:p>
  </w:footnote>
  <w:footnote w:id="5">
    <w:p w14:paraId="73333E5A" w14:textId="248A9ADB" w:rsidR="00D37DAB" w:rsidRDefault="00D37DAB" w:rsidP="00992DD7">
      <w:pPr>
        <w:pStyle w:val="FootnoteText"/>
        <w:ind w:left="142" w:hanging="142"/>
        <w:rPr>
          <w:rFonts w:ascii="Times New Roman" w:eastAsiaTheme="minorHAnsi" w:hAnsi="Times New Roman"/>
          <w:sz w:val="12"/>
          <w:szCs w:val="12"/>
          <w:lang w:eastAsia="en-US"/>
        </w:rPr>
      </w:pPr>
      <w:r>
        <w:rPr>
          <w:rStyle w:val="FootnoteReference"/>
        </w:rPr>
        <w:footnoteRef/>
      </w:r>
      <w:hyperlink r:id="rId1" w:history="1">
        <w:r w:rsidRPr="00F53A80">
          <w:rPr>
            <w:rStyle w:val="Hyperlink"/>
            <w:sz w:val="12"/>
            <w:szCs w:val="12"/>
          </w:rPr>
          <w:t>World Investment Report 2020</w:t>
        </w:r>
      </w:hyperlink>
      <w:r>
        <w:rPr>
          <w:sz w:val="12"/>
          <w:szCs w:val="12"/>
        </w:rPr>
        <w:t xml:space="preserve">. United Nations Publications, New York 2020 </w:t>
      </w:r>
      <w:r>
        <w:rPr>
          <w:rStyle w:val="Hyperlink"/>
          <w:sz w:val="12"/>
          <w:szCs w:val="12"/>
        </w:rPr>
        <w:t>https://unctad.org/system/files/official-document/wir2020_en.pdf</w:t>
      </w:r>
    </w:p>
    <w:p w14:paraId="0FEBF617" w14:textId="77777777" w:rsidR="00D37DAB" w:rsidRDefault="00D37DAB" w:rsidP="00992DD7">
      <w:pPr>
        <w:pStyle w:val="FootnoteText"/>
        <w:rPr>
          <w:rFonts w:eastAsia="Times New Roman"/>
        </w:rPr>
      </w:pPr>
    </w:p>
  </w:footnote>
  <w:footnote w:id="6">
    <w:p w14:paraId="0F7F0319" w14:textId="004C55EF" w:rsidR="00D37DAB" w:rsidRPr="00D47B47" w:rsidRDefault="00D37DAB">
      <w:pPr>
        <w:pStyle w:val="FootnoteText"/>
        <w:rPr>
          <w:rFonts w:ascii="Times New Roman" w:hAnsi="Times New Roman"/>
        </w:rPr>
      </w:pPr>
      <w:r w:rsidRPr="00D47B47">
        <w:rPr>
          <w:rStyle w:val="FootnoteReference"/>
          <w:rFonts w:ascii="Times New Roman" w:hAnsi="Times New Roman"/>
        </w:rPr>
        <w:footnoteRef/>
      </w:r>
      <w:r w:rsidRPr="00D47B47">
        <w:rPr>
          <w:rFonts w:ascii="Times New Roman" w:hAnsi="Times New Roman"/>
        </w:rPr>
        <w:t xml:space="preserve"> </w:t>
      </w:r>
      <w:r w:rsidRPr="00D47B47">
        <w:rPr>
          <w:rFonts w:ascii="Times New Roman" w:hAnsi="Times New Roman"/>
        </w:rPr>
        <w:t>Operatīvie dati uz 18.01.2021.</w:t>
      </w:r>
    </w:p>
  </w:footnote>
  <w:footnote w:id="7">
    <w:p w14:paraId="204AB555" w14:textId="77777777" w:rsidR="00D37DAB" w:rsidRPr="009B132A" w:rsidRDefault="00D37DAB" w:rsidP="00074494">
      <w:pPr>
        <w:pStyle w:val="FootnoteText"/>
        <w:rPr>
          <w:rFonts w:ascii="Times New Roman" w:hAnsi="Times New Roman"/>
        </w:rPr>
      </w:pPr>
      <w:r w:rsidRPr="009B132A">
        <w:rPr>
          <w:rStyle w:val="FootnoteReference"/>
          <w:rFonts w:ascii="Times New Roman" w:hAnsi="Times New Roman"/>
        </w:rPr>
        <w:footnoteRef/>
      </w:r>
      <w:r w:rsidRPr="009B132A">
        <w:rPr>
          <w:rFonts w:ascii="Times New Roman" w:hAnsi="Times New Roman"/>
        </w:rPr>
        <w:t xml:space="preserve"> </w:t>
      </w:r>
      <w:r>
        <w:rPr>
          <w:rFonts w:ascii="Times New Roman" w:hAnsi="Times New Roman"/>
        </w:rPr>
        <w:t>Skatīt likumprojekta “Grozījumi Imigrācijas likumā”</w:t>
      </w:r>
      <w:r w:rsidRPr="009B132A">
        <w:rPr>
          <w:rFonts w:ascii="Times New Roman" w:hAnsi="Times New Roman"/>
        </w:rPr>
        <w:t xml:space="preserve"> </w:t>
      </w:r>
      <w:r>
        <w:rPr>
          <w:rFonts w:ascii="Times New Roman" w:hAnsi="Times New Roman"/>
        </w:rPr>
        <w:t xml:space="preserve">anotāciju: </w:t>
      </w:r>
      <w:hyperlink r:id="rId2" w:history="1">
        <w:r w:rsidRPr="00A458D5">
          <w:rPr>
            <w:rStyle w:val="Hyperlink"/>
            <w:rFonts w:ascii="Times New Roman" w:hAnsi="Times New Roman"/>
          </w:rPr>
          <w:t>http://titania.saeima.lv/LIVS12/saeimalivs12.nsf/0/01A496FFF8571C03C22581B600277FCD?OpenDocument</w:t>
        </w:r>
      </w:hyperlink>
      <w:r>
        <w:rPr>
          <w:rFonts w:ascii="Times New Roman" w:hAnsi="Times New Roman"/>
        </w:rPr>
        <w:t xml:space="preserve"> </w:t>
      </w:r>
    </w:p>
  </w:footnote>
  <w:footnote w:id="8">
    <w:p w14:paraId="6D1B43A2" w14:textId="77777777" w:rsidR="00D37DAB" w:rsidRPr="00570691" w:rsidRDefault="00D37DAB" w:rsidP="00074494">
      <w:pPr>
        <w:rPr>
          <w:rFonts w:ascii="Times New Roman" w:hAnsi="Times New Roman"/>
          <w:sz w:val="20"/>
          <w:szCs w:val="20"/>
        </w:rPr>
      </w:pPr>
      <w:r w:rsidRPr="00570691">
        <w:rPr>
          <w:rStyle w:val="FootnoteReference"/>
          <w:rFonts w:ascii="Times New Roman" w:hAnsi="Times New Roman"/>
          <w:sz w:val="20"/>
          <w:szCs w:val="20"/>
        </w:rPr>
        <w:footnoteRef/>
      </w:r>
      <w:r w:rsidRPr="00570691">
        <w:rPr>
          <w:rFonts w:ascii="Times New Roman" w:hAnsi="Times New Roman"/>
          <w:sz w:val="20"/>
          <w:szCs w:val="20"/>
        </w:rPr>
        <w:t xml:space="preserve"> </w:t>
      </w:r>
      <w:r w:rsidRPr="00570691">
        <w:rPr>
          <w:rFonts w:ascii="Times New Roman" w:hAnsi="Times New Roman"/>
          <w:sz w:val="20"/>
          <w:szCs w:val="20"/>
        </w:rPr>
        <w:t>A variant</w:t>
      </w:r>
      <w:r>
        <w:rPr>
          <w:rFonts w:ascii="Times New Roman" w:hAnsi="Times New Roman"/>
          <w:sz w:val="20"/>
          <w:szCs w:val="20"/>
        </w:rPr>
        <w:t xml:space="preserve">s - </w:t>
      </w:r>
      <w:r w:rsidRPr="00570691">
        <w:rPr>
          <w:rFonts w:ascii="Times New Roman" w:hAnsi="Times New Roman"/>
          <w:sz w:val="20"/>
          <w:szCs w:val="20"/>
        </w:rPr>
        <w:t xml:space="preserve">atkārtotu TUA pieprasa ~70% no ārzemniekiem, </w:t>
      </w:r>
      <w:r>
        <w:rPr>
          <w:rFonts w:ascii="Times New Roman" w:hAnsi="Times New Roman"/>
          <w:sz w:val="20"/>
          <w:szCs w:val="20"/>
        </w:rPr>
        <w:t>kuriem ir beidzies TUA termiņš</w:t>
      </w:r>
    </w:p>
  </w:footnote>
  <w:footnote w:id="9">
    <w:p w14:paraId="49FEA22D" w14:textId="77777777" w:rsidR="00D37DAB" w:rsidRPr="00570691" w:rsidRDefault="00D37DAB" w:rsidP="00074494">
      <w:pPr>
        <w:pStyle w:val="FootnoteText"/>
        <w:rPr>
          <w:rFonts w:ascii="Times New Roman" w:hAnsi="Times New Roman"/>
        </w:rPr>
      </w:pPr>
      <w:r w:rsidRPr="00570691">
        <w:rPr>
          <w:rStyle w:val="FootnoteReference"/>
          <w:rFonts w:ascii="Times New Roman" w:hAnsi="Times New Roman"/>
        </w:rPr>
        <w:footnoteRef/>
      </w:r>
      <w:r w:rsidRPr="00570691">
        <w:rPr>
          <w:rFonts w:ascii="Times New Roman" w:hAnsi="Times New Roman"/>
        </w:rPr>
        <w:t xml:space="preserve"> </w:t>
      </w:r>
      <w:r w:rsidRPr="00570691">
        <w:rPr>
          <w:rFonts w:ascii="Times New Roman" w:hAnsi="Times New Roman"/>
        </w:rPr>
        <w:t>B variant</w:t>
      </w:r>
      <w:r>
        <w:rPr>
          <w:rFonts w:ascii="Times New Roman" w:hAnsi="Times New Roman"/>
        </w:rPr>
        <w:t xml:space="preserve">s - </w:t>
      </w:r>
      <w:r w:rsidRPr="00570691">
        <w:rPr>
          <w:rFonts w:ascii="Times New Roman" w:hAnsi="Times New Roman"/>
        </w:rPr>
        <w:t xml:space="preserve">atkārtotu TUA pieprasa ~50% no ārzemniekiem, kuriem ir beidzies </w:t>
      </w:r>
      <w:r>
        <w:rPr>
          <w:rFonts w:ascii="Times New Roman" w:hAnsi="Times New Roman"/>
        </w:rPr>
        <w:t>TUA termiņš</w:t>
      </w:r>
    </w:p>
  </w:footnote>
  <w:footnote w:id="10">
    <w:p w14:paraId="48A069CB" w14:textId="77777777" w:rsidR="00D37DAB" w:rsidRPr="0040171B" w:rsidRDefault="00D37DAB" w:rsidP="00074494">
      <w:pPr>
        <w:pStyle w:val="FootnoteText"/>
        <w:rPr>
          <w:rFonts w:ascii="Times New Roman" w:hAnsi="Times New Roman"/>
        </w:rPr>
      </w:pPr>
      <w:r w:rsidRPr="0040171B">
        <w:rPr>
          <w:rStyle w:val="FootnoteReference"/>
          <w:rFonts w:ascii="Times New Roman" w:hAnsi="Times New Roman"/>
        </w:rPr>
        <w:footnoteRef/>
      </w:r>
      <w:r w:rsidRPr="0040171B">
        <w:rPr>
          <w:rFonts w:ascii="Times New Roman" w:hAnsi="Times New Roman"/>
        </w:rPr>
        <w:t xml:space="preserve"> </w:t>
      </w:r>
      <w:hyperlink r:id="rId3" w:history="1">
        <w:r w:rsidRPr="0040171B">
          <w:rPr>
            <w:rStyle w:val="Hyperlink"/>
            <w:rFonts w:ascii="Times New Roman" w:hAnsi="Times New Roman"/>
          </w:rPr>
          <w:t>https://likumi.lv/ta/id/310965-par-valsts-budzetu-2020-gadam</w:t>
        </w:r>
      </w:hyperlink>
      <w:r w:rsidRPr="0040171B">
        <w:rPr>
          <w:rFonts w:ascii="Times New Roman" w:hAnsi="Times New Roman"/>
        </w:rPr>
        <w:t xml:space="preserve"> </w:t>
      </w:r>
    </w:p>
  </w:footnote>
  <w:footnote w:id="11">
    <w:p w14:paraId="515ECF97" w14:textId="6C7ABDD7" w:rsidR="00D37DAB" w:rsidRPr="000F30A2" w:rsidRDefault="00D37DAB">
      <w:pPr>
        <w:pStyle w:val="FootnoteText"/>
        <w:rPr>
          <w:rFonts w:ascii="Times New Roman" w:hAnsi="Times New Roman"/>
        </w:rPr>
      </w:pPr>
      <w:r w:rsidRPr="000F30A2">
        <w:rPr>
          <w:rStyle w:val="FootnoteReference"/>
          <w:rFonts w:ascii="Times New Roman" w:hAnsi="Times New Roman"/>
        </w:rPr>
        <w:footnoteRef/>
      </w:r>
      <w:r w:rsidRPr="000F30A2">
        <w:rPr>
          <w:rFonts w:ascii="Times New Roman" w:hAnsi="Times New Roman"/>
        </w:rPr>
        <w:t xml:space="preserve"> </w:t>
      </w:r>
      <w:hyperlink r:id="rId4" w:history="1">
        <w:r w:rsidRPr="000F30A2">
          <w:rPr>
            <w:rStyle w:val="Hyperlink"/>
            <w:rFonts w:ascii="Times New Roman" w:hAnsi="Times New Roman"/>
          </w:rPr>
          <w:t>https://likumi.lv/ta/id/319405-par-valsts-budzetu-2021gadam</w:t>
        </w:r>
      </w:hyperlink>
      <w:r w:rsidRPr="000F30A2">
        <w:rPr>
          <w:rFonts w:ascii="Times New Roman" w:hAnsi="Times New Roman"/>
        </w:rPr>
        <w:t xml:space="preserve"> </w:t>
      </w:r>
    </w:p>
  </w:footnote>
  <w:footnote w:id="12">
    <w:p w14:paraId="4D077B98" w14:textId="77777777" w:rsidR="00D37DAB" w:rsidRPr="00482DA5" w:rsidRDefault="00D37DAB" w:rsidP="00074494">
      <w:pPr>
        <w:pStyle w:val="FootnoteText"/>
        <w:rPr>
          <w:rFonts w:ascii="Times New Roman" w:hAnsi="Times New Roman"/>
        </w:rPr>
      </w:pPr>
      <w:r w:rsidRPr="00482DA5">
        <w:rPr>
          <w:rStyle w:val="FootnoteReference"/>
          <w:rFonts w:ascii="Times New Roman" w:hAnsi="Times New Roman"/>
        </w:rPr>
        <w:footnoteRef/>
      </w:r>
      <w:r w:rsidRPr="00482DA5">
        <w:rPr>
          <w:rFonts w:ascii="Times New Roman" w:hAnsi="Times New Roman"/>
        </w:rPr>
        <w:t xml:space="preserve"> </w:t>
      </w:r>
      <w:hyperlink r:id="rId5" w:history="1">
        <w:r w:rsidRPr="00482DA5">
          <w:rPr>
            <w:rStyle w:val="Hyperlink"/>
            <w:rFonts w:ascii="Times New Roman" w:hAnsi="Times New Roman"/>
          </w:rPr>
          <w:t>https://likumi.lv/ta/id/304868-par-pamatbudzeta-programmas-ekonomikas-attistibas-programma-finansu-lidzeklu-izmantosanu</w:t>
        </w:r>
      </w:hyperlink>
      <w:r w:rsidRPr="00482DA5">
        <w:rPr>
          <w:rFonts w:ascii="Times New Roman" w:hAnsi="Times New Roman"/>
        </w:rPr>
        <w:t xml:space="preserve"> </w:t>
      </w:r>
    </w:p>
  </w:footnote>
  <w:footnote w:id="13">
    <w:p w14:paraId="331D50CF" w14:textId="77777777" w:rsidR="00D37DAB" w:rsidRPr="00037A47" w:rsidRDefault="00D37DAB" w:rsidP="00074494">
      <w:pPr>
        <w:pStyle w:val="FootnoteText"/>
        <w:rPr>
          <w:rFonts w:ascii="Times New Roman" w:hAnsi="Times New Roman"/>
        </w:rPr>
      </w:pPr>
      <w:r w:rsidRPr="00037A47">
        <w:rPr>
          <w:rStyle w:val="FootnoteReference"/>
          <w:rFonts w:ascii="Times New Roman" w:hAnsi="Times New Roman"/>
        </w:rPr>
        <w:footnoteRef/>
      </w:r>
      <w:r w:rsidRPr="00037A47">
        <w:rPr>
          <w:rFonts w:ascii="Times New Roman" w:hAnsi="Times New Roman"/>
        </w:rPr>
        <w:t xml:space="preserve"> </w:t>
      </w:r>
      <w:hyperlink r:id="rId6" w:history="1">
        <w:r w:rsidRPr="00037A47">
          <w:rPr>
            <w:rStyle w:val="Hyperlink"/>
            <w:rFonts w:ascii="Times New Roman" w:hAnsi="Times New Roman"/>
          </w:rPr>
          <w:t>https://likumi.lv/ta/id/308309-par-pamatbudzeta-programmas-ekonomikas-attistibas-programma-finansu-lidzeklu-izmantosanu</w:t>
        </w:r>
      </w:hyperlink>
      <w:r w:rsidRPr="00037A47">
        <w:rPr>
          <w:rFonts w:ascii="Times New Roman" w:hAnsi="Times New Roman"/>
        </w:rPr>
        <w:t xml:space="preserve"> </w:t>
      </w:r>
    </w:p>
  </w:footnote>
  <w:footnote w:id="14">
    <w:p w14:paraId="06B1DFD5" w14:textId="77777777" w:rsidR="00D37DAB" w:rsidRPr="00583917" w:rsidRDefault="00D37DAB" w:rsidP="00074494">
      <w:pPr>
        <w:pStyle w:val="FootnoteText"/>
        <w:rPr>
          <w:rFonts w:ascii="Times New Roman" w:hAnsi="Times New Roman"/>
        </w:rPr>
      </w:pPr>
      <w:r w:rsidRPr="00583917">
        <w:rPr>
          <w:rStyle w:val="FootnoteReference"/>
          <w:rFonts w:ascii="Times New Roman" w:hAnsi="Times New Roman"/>
        </w:rPr>
        <w:footnoteRef/>
      </w:r>
      <w:r w:rsidRPr="00583917">
        <w:rPr>
          <w:rFonts w:ascii="Times New Roman" w:hAnsi="Times New Roman"/>
        </w:rPr>
        <w:t xml:space="preserve"> </w:t>
      </w:r>
      <w:hyperlink r:id="rId7" w:history="1">
        <w:r w:rsidRPr="00583917">
          <w:rPr>
            <w:rStyle w:val="Hyperlink"/>
            <w:rFonts w:ascii="Times New Roman" w:hAnsi="Times New Roman"/>
          </w:rPr>
          <w:t>https://likumi.lv/ta/id/313145-par-pamatbudzeta-programmas-ekonomikas-attistibas-programma-finansu-lidzeklu-izmantosanu</w:t>
        </w:r>
      </w:hyperlink>
      <w:r w:rsidRPr="00583917">
        <w:rPr>
          <w:rFonts w:ascii="Times New Roman" w:hAnsi="Times New Roman"/>
        </w:rPr>
        <w:t xml:space="preserve"> </w:t>
      </w:r>
    </w:p>
  </w:footnote>
  <w:footnote w:id="15">
    <w:p w14:paraId="70E49E8E" w14:textId="77777777" w:rsidR="00D37DAB" w:rsidRDefault="00D37DAB" w:rsidP="00074494">
      <w:pPr>
        <w:pStyle w:val="FootnoteText"/>
      </w:pPr>
      <w:r>
        <w:rPr>
          <w:rStyle w:val="FootnoteReference"/>
        </w:rPr>
        <w:footnoteRef/>
      </w:r>
      <w:r>
        <w:t xml:space="preserve"> </w:t>
      </w:r>
      <w:hyperlink r:id="rId8" w:history="1">
        <w:r w:rsidRPr="002673B5">
          <w:rPr>
            <w:rStyle w:val="Hyperlink"/>
            <w:rFonts w:ascii="Times New Roman" w:hAnsi="Times New Roman"/>
          </w:rPr>
          <w:t>http://tap.mk.gov.lv/mk/mksedes/saraksts/protokols/?protokols=2017-08-16</w:t>
        </w:r>
      </w:hyperlink>
    </w:p>
  </w:footnote>
  <w:footnote w:id="16">
    <w:p w14:paraId="2767E784" w14:textId="77777777" w:rsidR="00D37DAB" w:rsidRPr="00A91B44" w:rsidRDefault="00D37DAB" w:rsidP="00A91B44">
      <w:pPr>
        <w:pStyle w:val="FootnoteText"/>
        <w:rPr>
          <w:rFonts w:ascii="Times New Roman" w:hAnsi="Times New Roman"/>
        </w:rPr>
      </w:pPr>
      <w:r w:rsidRPr="00A91B44">
        <w:rPr>
          <w:rStyle w:val="FootnoteReference"/>
          <w:rFonts w:ascii="Times New Roman" w:hAnsi="Times New Roman"/>
        </w:rPr>
        <w:footnoteRef/>
      </w:r>
      <w:r w:rsidRPr="00A91B44">
        <w:rPr>
          <w:rFonts w:ascii="Times New Roman" w:hAnsi="Times New Roman"/>
        </w:rPr>
        <w:t xml:space="preserve"> </w:t>
      </w:r>
      <w:hyperlink r:id="rId9" w:history="1">
        <w:r w:rsidRPr="00A91B44">
          <w:rPr>
            <w:rStyle w:val="Hyperlink"/>
            <w:rFonts w:ascii="Times New Roman" w:hAnsi="Times New Roman"/>
          </w:rPr>
          <w:t>http://tap.mk.gov.lv/mk/mksedes/saraksts/protokols/?protokols=2020-03-10</w:t>
        </w:r>
      </w:hyperlink>
      <w:r w:rsidRPr="00A91B44">
        <w:rPr>
          <w:rFonts w:ascii="Times New Roman" w:hAnsi="Times New Roman"/>
        </w:rPr>
        <w:t xml:space="preserve"> </w:t>
      </w:r>
    </w:p>
  </w:footnote>
  <w:footnote w:id="17">
    <w:p w14:paraId="368265B1" w14:textId="0432531E" w:rsidR="00D37DAB" w:rsidRPr="00C7200F" w:rsidRDefault="00D37DAB">
      <w:pPr>
        <w:pStyle w:val="FootnoteText"/>
        <w:rPr>
          <w:rFonts w:ascii="Times New Roman" w:hAnsi="Times New Roman"/>
        </w:rPr>
      </w:pPr>
      <w:r w:rsidRPr="00C7200F">
        <w:rPr>
          <w:rStyle w:val="FootnoteReference"/>
          <w:rFonts w:ascii="Times New Roman" w:hAnsi="Times New Roman"/>
        </w:rPr>
        <w:footnoteRef/>
      </w:r>
      <w:r w:rsidRPr="00C7200F">
        <w:rPr>
          <w:rFonts w:ascii="Times New Roman" w:hAnsi="Times New Roman"/>
        </w:rPr>
        <w:t xml:space="preserve"> </w:t>
      </w:r>
      <w:hyperlink r:id="rId10" w:history="1">
        <w:r w:rsidRPr="00C7200F">
          <w:rPr>
            <w:rStyle w:val="Hyperlink"/>
            <w:rFonts w:ascii="Times New Roman" w:hAnsi="Times New Roman"/>
          </w:rPr>
          <w:t>http://tap.mk.gov.lv/mk/tap/?pid=40490100</w:t>
        </w:r>
      </w:hyperlink>
      <w:r w:rsidRPr="00C7200F">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0DC7F" w14:textId="77777777" w:rsidR="00D37DAB" w:rsidRDefault="00D37DAB" w:rsidP="00875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7BEC4" w14:textId="77777777" w:rsidR="00D37DAB" w:rsidRDefault="00D37D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996899"/>
      <w:docPartObj>
        <w:docPartGallery w:val="Page Numbers (Top of Page)"/>
        <w:docPartUnique/>
      </w:docPartObj>
    </w:sdtPr>
    <w:sdtEndPr>
      <w:rPr>
        <w:rFonts w:ascii="Times New Roman" w:eastAsia="PMingLiU-ExtB" w:hAnsi="Times New Roman"/>
        <w:noProof/>
        <w:sz w:val="24"/>
      </w:rPr>
    </w:sdtEndPr>
    <w:sdtContent>
      <w:p w14:paraId="26F6E05C" w14:textId="7567B3B4" w:rsidR="00D37DAB" w:rsidRPr="002C5E69" w:rsidRDefault="00D37DAB">
        <w:pPr>
          <w:pStyle w:val="Header"/>
          <w:jc w:val="center"/>
          <w:rPr>
            <w:rFonts w:ascii="Times New Roman" w:eastAsia="PMingLiU-ExtB" w:hAnsi="Times New Roman"/>
            <w:sz w:val="24"/>
          </w:rPr>
        </w:pPr>
        <w:r w:rsidRPr="002C5E69">
          <w:rPr>
            <w:rFonts w:ascii="Times New Roman" w:eastAsia="PMingLiU-ExtB" w:hAnsi="Times New Roman"/>
            <w:sz w:val="24"/>
          </w:rPr>
          <w:fldChar w:fldCharType="begin"/>
        </w:r>
        <w:r w:rsidRPr="002C5E69">
          <w:rPr>
            <w:rFonts w:ascii="Times New Roman" w:eastAsia="PMingLiU-ExtB" w:hAnsi="Times New Roman"/>
            <w:sz w:val="24"/>
          </w:rPr>
          <w:instrText xml:space="preserve"> PAGE   \* MERGEFORMAT </w:instrText>
        </w:r>
        <w:r w:rsidRPr="002C5E69">
          <w:rPr>
            <w:rFonts w:ascii="Times New Roman" w:eastAsia="PMingLiU-ExtB" w:hAnsi="Times New Roman"/>
            <w:sz w:val="24"/>
          </w:rPr>
          <w:fldChar w:fldCharType="separate"/>
        </w:r>
        <w:r w:rsidR="00DF368D">
          <w:rPr>
            <w:rFonts w:ascii="Times New Roman" w:eastAsia="PMingLiU-ExtB" w:hAnsi="Times New Roman"/>
            <w:noProof/>
            <w:sz w:val="24"/>
          </w:rPr>
          <w:t>24</w:t>
        </w:r>
        <w:r w:rsidRPr="002C5E69">
          <w:rPr>
            <w:rFonts w:ascii="Times New Roman" w:eastAsia="PMingLiU-ExtB" w:hAnsi="Times New Roman"/>
            <w:noProof/>
            <w:sz w:val="24"/>
          </w:rPr>
          <w:fldChar w:fldCharType="end"/>
        </w:r>
      </w:p>
    </w:sdtContent>
  </w:sdt>
  <w:p w14:paraId="6809F852" w14:textId="77777777" w:rsidR="00D37DAB" w:rsidRDefault="00D37DAB" w:rsidP="002C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E7E6E"/>
    <w:multiLevelType w:val="hybridMultilevel"/>
    <w:tmpl w:val="2D6E23E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434033"/>
    <w:multiLevelType w:val="hybridMultilevel"/>
    <w:tmpl w:val="47EA5BF4"/>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D9064A"/>
    <w:multiLevelType w:val="hybridMultilevel"/>
    <w:tmpl w:val="C57CAABE"/>
    <w:lvl w:ilvl="0" w:tplc="0426000F">
      <w:start w:val="1"/>
      <w:numFmt w:val="decimal"/>
      <w:lvlText w:val="%1."/>
      <w:lvlJc w:val="left"/>
      <w:pPr>
        <w:ind w:left="1515" w:hanging="360"/>
      </w:pPr>
    </w:lvl>
    <w:lvl w:ilvl="1" w:tplc="04260019" w:tentative="1">
      <w:start w:val="1"/>
      <w:numFmt w:val="lowerLetter"/>
      <w:lvlText w:val="%2."/>
      <w:lvlJc w:val="left"/>
      <w:pPr>
        <w:ind w:left="2235" w:hanging="360"/>
      </w:pPr>
    </w:lvl>
    <w:lvl w:ilvl="2" w:tplc="0426001B" w:tentative="1">
      <w:start w:val="1"/>
      <w:numFmt w:val="lowerRoman"/>
      <w:lvlText w:val="%3."/>
      <w:lvlJc w:val="right"/>
      <w:pPr>
        <w:ind w:left="2955" w:hanging="180"/>
      </w:pPr>
    </w:lvl>
    <w:lvl w:ilvl="3" w:tplc="0426000F" w:tentative="1">
      <w:start w:val="1"/>
      <w:numFmt w:val="decimal"/>
      <w:lvlText w:val="%4."/>
      <w:lvlJc w:val="left"/>
      <w:pPr>
        <w:ind w:left="3675" w:hanging="360"/>
      </w:pPr>
    </w:lvl>
    <w:lvl w:ilvl="4" w:tplc="04260019" w:tentative="1">
      <w:start w:val="1"/>
      <w:numFmt w:val="lowerLetter"/>
      <w:lvlText w:val="%5."/>
      <w:lvlJc w:val="left"/>
      <w:pPr>
        <w:ind w:left="4395" w:hanging="360"/>
      </w:pPr>
    </w:lvl>
    <w:lvl w:ilvl="5" w:tplc="0426001B" w:tentative="1">
      <w:start w:val="1"/>
      <w:numFmt w:val="lowerRoman"/>
      <w:lvlText w:val="%6."/>
      <w:lvlJc w:val="right"/>
      <w:pPr>
        <w:ind w:left="5115" w:hanging="180"/>
      </w:pPr>
    </w:lvl>
    <w:lvl w:ilvl="6" w:tplc="0426000F" w:tentative="1">
      <w:start w:val="1"/>
      <w:numFmt w:val="decimal"/>
      <w:lvlText w:val="%7."/>
      <w:lvlJc w:val="left"/>
      <w:pPr>
        <w:ind w:left="5835" w:hanging="360"/>
      </w:pPr>
    </w:lvl>
    <w:lvl w:ilvl="7" w:tplc="04260019" w:tentative="1">
      <w:start w:val="1"/>
      <w:numFmt w:val="lowerLetter"/>
      <w:lvlText w:val="%8."/>
      <w:lvlJc w:val="left"/>
      <w:pPr>
        <w:ind w:left="6555" w:hanging="360"/>
      </w:pPr>
    </w:lvl>
    <w:lvl w:ilvl="8" w:tplc="0426001B" w:tentative="1">
      <w:start w:val="1"/>
      <w:numFmt w:val="lowerRoman"/>
      <w:lvlText w:val="%9."/>
      <w:lvlJc w:val="right"/>
      <w:pPr>
        <w:ind w:left="7275" w:hanging="180"/>
      </w:pPr>
    </w:lvl>
  </w:abstractNum>
  <w:abstractNum w:abstractNumId="3" w15:restartNumberingAfterBreak="0">
    <w:nsid w:val="12852481"/>
    <w:multiLevelType w:val="hybridMultilevel"/>
    <w:tmpl w:val="9A44A932"/>
    <w:lvl w:ilvl="0" w:tplc="5D32AAC0">
      <w:start w:val="1"/>
      <w:numFmt w:val="decimal"/>
      <w:lvlText w:val="%1."/>
      <w:lvlJc w:val="left"/>
      <w:pPr>
        <w:ind w:left="900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7D64"/>
    <w:multiLevelType w:val="hybridMultilevel"/>
    <w:tmpl w:val="4FD4DDF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9F760BF"/>
    <w:multiLevelType w:val="hybridMultilevel"/>
    <w:tmpl w:val="7C60D0E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15:restartNumberingAfterBreak="0">
    <w:nsid w:val="1B6C42C4"/>
    <w:multiLevelType w:val="hybridMultilevel"/>
    <w:tmpl w:val="B40E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C1642"/>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4C31275"/>
    <w:multiLevelType w:val="hybridMultilevel"/>
    <w:tmpl w:val="6BC26FDE"/>
    <w:lvl w:ilvl="0" w:tplc="04260009">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F468BF"/>
    <w:multiLevelType w:val="hybridMultilevel"/>
    <w:tmpl w:val="50509C5E"/>
    <w:lvl w:ilvl="0" w:tplc="8FAA116E">
      <w:start w:val="1"/>
      <w:numFmt w:val="decimal"/>
      <w:lvlText w:val="%1."/>
      <w:lvlJc w:val="left"/>
      <w:pPr>
        <w:ind w:left="9575" w:hanging="360"/>
      </w:pPr>
      <w:rPr>
        <w:rFonts w:ascii="Times New Roman" w:eastAsia="Times New Roman" w:hAnsi="Times New Roman" w:cs="Times New Roman"/>
      </w:rPr>
    </w:lvl>
    <w:lvl w:ilvl="1" w:tplc="04090003">
      <w:start w:val="1"/>
      <w:numFmt w:val="bullet"/>
      <w:lvlText w:val="o"/>
      <w:lvlJc w:val="left"/>
      <w:pPr>
        <w:ind w:left="1582" w:hanging="360"/>
      </w:pPr>
      <w:rPr>
        <w:rFonts w:ascii="Courier New" w:hAnsi="Courier New" w:hint="default"/>
      </w:rPr>
    </w:lvl>
    <w:lvl w:ilvl="2" w:tplc="04090005">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15:restartNumberingAfterBreak="0">
    <w:nsid w:val="3CBC3FE3"/>
    <w:multiLevelType w:val="hybridMultilevel"/>
    <w:tmpl w:val="D10C58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08A1E28"/>
    <w:multiLevelType w:val="hybridMultilevel"/>
    <w:tmpl w:val="3310757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1A52281"/>
    <w:multiLevelType w:val="hybridMultilevel"/>
    <w:tmpl w:val="BB068F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4" w15:restartNumberingAfterBreak="0">
    <w:nsid w:val="43402CB4"/>
    <w:multiLevelType w:val="hybridMultilevel"/>
    <w:tmpl w:val="17CEA3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98776C2"/>
    <w:multiLevelType w:val="hybridMultilevel"/>
    <w:tmpl w:val="54B62D9E"/>
    <w:lvl w:ilvl="0" w:tplc="A2F2C4FA">
      <w:start w:val="1"/>
      <w:numFmt w:val="decimal"/>
      <w:lvlText w:val="%1)"/>
      <w:lvlJc w:val="left"/>
      <w:pPr>
        <w:ind w:left="352" w:hanging="1050"/>
      </w:pPr>
      <w:rPr>
        <w:rFonts w:hint="default"/>
      </w:rPr>
    </w:lvl>
    <w:lvl w:ilvl="1" w:tplc="04260019" w:tentative="1">
      <w:start w:val="1"/>
      <w:numFmt w:val="lowerLetter"/>
      <w:lvlText w:val="%2."/>
      <w:lvlJc w:val="left"/>
      <w:pPr>
        <w:ind w:left="382" w:hanging="360"/>
      </w:pPr>
    </w:lvl>
    <w:lvl w:ilvl="2" w:tplc="0426001B" w:tentative="1">
      <w:start w:val="1"/>
      <w:numFmt w:val="lowerRoman"/>
      <w:lvlText w:val="%3."/>
      <w:lvlJc w:val="right"/>
      <w:pPr>
        <w:ind w:left="1102" w:hanging="180"/>
      </w:pPr>
    </w:lvl>
    <w:lvl w:ilvl="3" w:tplc="0426000F" w:tentative="1">
      <w:start w:val="1"/>
      <w:numFmt w:val="decimal"/>
      <w:lvlText w:val="%4."/>
      <w:lvlJc w:val="left"/>
      <w:pPr>
        <w:ind w:left="1822" w:hanging="360"/>
      </w:pPr>
    </w:lvl>
    <w:lvl w:ilvl="4" w:tplc="04260019" w:tentative="1">
      <w:start w:val="1"/>
      <w:numFmt w:val="lowerLetter"/>
      <w:lvlText w:val="%5."/>
      <w:lvlJc w:val="left"/>
      <w:pPr>
        <w:ind w:left="2542" w:hanging="360"/>
      </w:pPr>
    </w:lvl>
    <w:lvl w:ilvl="5" w:tplc="0426001B" w:tentative="1">
      <w:start w:val="1"/>
      <w:numFmt w:val="lowerRoman"/>
      <w:lvlText w:val="%6."/>
      <w:lvlJc w:val="right"/>
      <w:pPr>
        <w:ind w:left="3262" w:hanging="180"/>
      </w:pPr>
    </w:lvl>
    <w:lvl w:ilvl="6" w:tplc="0426000F" w:tentative="1">
      <w:start w:val="1"/>
      <w:numFmt w:val="decimal"/>
      <w:lvlText w:val="%7."/>
      <w:lvlJc w:val="left"/>
      <w:pPr>
        <w:ind w:left="3982" w:hanging="360"/>
      </w:pPr>
    </w:lvl>
    <w:lvl w:ilvl="7" w:tplc="04260019" w:tentative="1">
      <w:start w:val="1"/>
      <w:numFmt w:val="lowerLetter"/>
      <w:lvlText w:val="%8."/>
      <w:lvlJc w:val="left"/>
      <w:pPr>
        <w:ind w:left="4702" w:hanging="360"/>
      </w:pPr>
    </w:lvl>
    <w:lvl w:ilvl="8" w:tplc="0426001B" w:tentative="1">
      <w:start w:val="1"/>
      <w:numFmt w:val="lowerRoman"/>
      <w:lvlText w:val="%9."/>
      <w:lvlJc w:val="right"/>
      <w:pPr>
        <w:ind w:left="5422" w:hanging="180"/>
      </w:pPr>
    </w:lvl>
  </w:abstractNum>
  <w:abstractNum w:abstractNumId="16" w15:restartNumberingAfterBreak="0">
    <w:nsid w:val="4F314C80"/>
    <w:multiLevelType w:val="hybridMultilevel"/>
    <w:tmpl w:val="1DD48E06"/>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F9C5002"/>
    <w:multiLevelType w:val="hybridMultilevel"/>
    <w:tmpl w:val="4A087AAE"/>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72737F6"/>
    <w:multiLevelType w:val="hybridMultilevel"/>
    <w:tmpl w:val="A3ECFDA6"/>
    <w:lvl w:ilvl="0" w:tplc="B3F411D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A1053B0"/>
    <w:multiLevelType w:val="hybridMultilevel"/>
    <w:tmpl w:val="A6C68D1A"/>
    <w:lvl w:ilvl="0" w:tplc="50FAD68E">
      <w:start w:val="4"/>
      <w:numFmt w:val="decimal"/>
      <w:lvlText w:val="%1."/>
      <w:lvlJc w:val="left"/>
      <w:pPr>
        <w:ind w:left="927" w:hanging="360"/>
      </w:pPr>
      <w:rPr>
        <w:rFonts w:hint="default"/>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5BB85D6E"/>
    <w:multiLevelType w:val="hybridMultilevel"/>
    <w:tmpl w:val="38EAC1E2"/>
    <w:lvl w:ilvl="0" w:tplc="43884C7C">
      <w:start w:val="1"/>
      <w:numFmt w:val="bullet"/>
      <w:lvlText w:val="–"/>
      <w:lvlJc w:val="left"/>
      <w:pPr>
        <w:ind w:left="720" w:hanging="360"/>
      </w:pPr>
      <w:rPr>
        <w:rFonts w:ascii="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1024213"/>
    <w:multiLevelType w:val="hybridMultilevel"/>
    <w:tmpl w:val="B64C2100"/>
    <w:lvl w:ilvl="0" w:tplc="E4A652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720F7A79"/>
    <w:multiLevelType w:val="hybridMultilevel"/>
    <w:tmpl w:val="9A44A932"/>
    <w:lvl w:ilvl="0" w:tplc="5D32AAC0">
      <w:start w:val="1"/>
      <w:numFmt w:val="decimal"/>
      <w:lvlText w:val="%1."/>
      <w:lvlJc w:val="left"/>
      <w:pPr>
        <w:ind w:left="4188"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68331A"/>
    <w:multiLevelType w:val="hybridMultilevel"/>
    <w:tmpl w:val="30B028D4"/>
    <w:lvl w:ilvl="0" w:tplc="572A6046">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904518A"/>
    <w:multiLevelType w:val="hybridMultilevel"/>
    <w:tmpl w:val="265C22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0"/>
  </w:num>
  <w:num w:numId="3">
    <w:abstractNumId w:val="10"/>
  </w:num>
  <w:num w:numId="4">
    <w:abstractNumId w:val="17"/>
  </w:num>
  <w:num w:numId="5">
    <w:abstractNumId w:val="12"/>
  </w:num>
  <w:num w:numId="6">
    <w:abstractNumId w:val="4"/>
  </w:num>
  <w:num w:numId="7">
    <w:abstractNumId w:val="16"/>
  </w:num>
  <w:num w:numId="8">
    <w:abstractNumId w:val="23"/>
  </w:num>
  <w:num w:numId="9">
    <w:abstractNumId w:val="8"/>
  </w:num>
  <w:num w:numId="10">
    <w:abstractNumId w:val="24"/>
  </w:num>
  <w:num w:numId="11">
    <w:abstractNumId w:val="2"/>
  </w:num>
  <w:num w:numId="12">
    <w:abstractNumId w:val="0"/>
  </w:num>
  <w:num w:numId="13">
    <w:abstractNumId w:val="5"/>
  </w:num>
  <w:num w:numId="14">
    <w:abstractNumId w:val="21"/>
  </w:num>
  <w:num w:numId="15">
    <w:abstractNumId w:val="13"/>
  </w:num>
  <w:num w:numId="16">
    <w:abstractNumId w:val="11"/>
  </w:num>
  <w:num w:numId="17">
    <w:abstractNumId w:val="15"/>
  </w:num>
  <w:num w:numId="18">
    <w:abstractNumId w:val="7"/>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2"/>
  </w:num>
  <w:num w:numId="23">
    <w:abstractNumId w:val="18"/>
  </w:num>
  <w:num w:numId="24">
    <w:abstractNumId w:val="3"/>
  </w:num>
  <w:num w:numId="2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F2"/>
    <w:rsid w:val="0000079B"/>
    <w:rsid w:val="00000E33"/>
    <w:rsid w:val="00002387"/>
    <w:rsid w:val="00002B8D"/>
    <w:rsid w:val="00003174"/>
    <w:rsid w:val="000043AC"/>
    <w:rsid w:val="00005622"/>
    <w:rsid w:val="000057C9"/>
    <w:rsid w:val="00005CF6"/>
    <w:rsid w:val="00006145"/>
    <w:rsid w:val="00006761"/>
    <w:rsid w:val="00007BF1"/>
    <w:rsid w:val="00010486"/>
    <w:rsid w:val="00010B65"/>
    <w:rsid w:val="0001130B"/>
    <w:rsid w:val="000126F5"/>
    <w:rsid w:val="0001494A"/>
    <w:rsid w:val="00015D45"/>
    <w:rsid w:val="000160BC"/>
    <w:rsid w:val="0001682D"/>
    <w:rsid w:val="00016BCD"/>
    <w:rsid w:val="000176AE"/>
    <w:rsid w:val="0002039E"/>
    <w:rsid w:val="0002055B"/>
    <w:rsid w:val="000215AD"/>
    <w:rsid w:val="00021AC3"/>
    <w:rsid w:val="00022C4C"/>
    <w:rsid w:val="00023229"/>
    <w:rsid w:val="00025418"/>
    <w:rsid w:val="00026279"/>
    <w:rsid w:val="000277D1"/>
    <w:rsid w:val="000322BB"/>
    <w:rsid w:val="00032F75"/>
    <w:rsid w:val="00034C68"/>
    <w:rsid w:val="00034EBC"/>
    <w:rsid w:val="00036331"/>
    <w:rsid w:val="00037578"/>
    <w:rsid w:val="00037B97"/>
    <w:rsid w:val="00040ADE"/>
    <w:rsid w:val="00040F6D"/>
    <w:rsid w:val="00042EAD"/>
    <w:rsid w:val="000438CA"/>
    <w:rsid w:val="00043CFD"/>
    <w:rsid w:val="0004402A"/>
    <w:rsid w:val="000457DF"/>
    <w:rsid w:val="00045F6D"/>
    <w:rsid w:val="000468B6"/>
    <w:rsid w:val="00046A9F"/>
    <w:rsid w:val="00046EA3"/>
    <w:rsid w:val="00046FFB"/>
    <w:rsid w:val="0004717D"/>
    <w:rsid w:val="00047D0D"/>
    <w:rsid w:val="000507AA"/>
    <w:rsid w:val="0005303B"/>
    <w:rsid w:val="000536BF"/>
    <w:rsid w:val="00053869"/>
    <w:rsid w:val="000540DE"/>
    <w:rsid w:val="000555CD"/>
    <w:rsid w:val="000557D8"/>
    <w:rsid w:val="00055839"/>
    <w:rsid w:val="00055B73"/>
    <w:rsid w:val="00061B22"/>
    <w:rsid w:val="00061C01"/>
    <w:rsid w:val="00061EC9"/>
    <w:rsid w:val="0006249E"/>
    <w:rsid w:val="0006275D"/>
    <w:rsid w:val="0006339E"/>
    <w:rsid w:val="000639BC"/>
    <w:rsid w:val="00063AD6"/>
    <w:rsid w:val="00063D42"/>
    <w:rsid w:val="00064451"/>
    <w:rsid w:val="0006503C"/>
    <w:rsid w:val="000656B6"/>
    <w:rsid w:val="000658D5"/>
    <w:rsid w:val="00065C22"/>
    <w:rsid w:val="0006683A"/>
    <w:rsid w:val="00066E99"/>
    <w:rsid w:val="00066EE5"/>
    <w:rsid w:val="00067AB7"/>
    <w:rsid w:val="00067EB8"/>
    <w:rsid w:val="00067FCA"/>
    <w:rsid w:val="00070243"/>
    <w:rsid w:val="00071654"/>
    <w:rsid w:val="0007206A"/>
    <w:rsid w:val="0007220D"/>
    <w:rsid w:val="00072DC8"/>
    <w:rsid w:val="00074494"/>
    <w:rsid w:val="00074EFD"/>
    <w:rsid w:val="000751FD"/>
    <w:rsid w:val="00075B75"/>
    <w:rsid w:val="000779DD"/>
    <w:rsid w:val="0008072C"/>
    <w:rsid w:val="00081271"/>
    <w:rsid w:val="00081C89"/>
    <w:rsid w:val="00083569"/>
    <w:rsid w:val="00084DA1"/>
    <w:rsid w:val="000855F8"/>
    <w:rsid w:val="00086DC5"/>
    <w:rsid w:val="00087B1A"/>
    <w:rsid w:val="000907E4"/>
    <w:rsid w:val="0009111B"/>
    <w:rsid w:val="00092F34"/>
    <w:rsid w:val="00092FB9"/>
    <w:rsid w:val="00093BBA"/>
    <w:rsid w:val="00093DDE"/>
    <w:rsid w:val="00094378"/>
    <w:rsid w:val="000945E8"/>
    <w:rsid w:val="00094A40"/>
    <w:rsid w:val="0009525D"/>
    <w:rsid w:val="00097C34"/>
    <w:rsid w:val="000A2105"/>
    <w:rsid w:val="000A21BC"/>
    <w:rsid w:val="000A2295"/>
    <w:rsid w:val="000A22EE"/>
    <w:rsid w:val="000A23E0"/>
    <w:rsid w:val="000A2C12"/>
    <w:rsid w:val="000A2C52"/>
    <w:rsid w:val="000A3241"/>
    <w:rsid w:val="000A56AE"/>
    <w:rsid w:val="000A64FF"/>
    <w:rsid w:val="000B34C1"/>
    <w:rsid w:val="000B39A7"/>
    <w:rsid w:val="000B3C87"/>
    <w:rsid w:val="000B44C9"/>
    <w:rsid w:val="000B4756"/>
    <w:rsid w:val="000B5187"/>
    <w:rsid w:val="000B5F1D"/>
    <w:rsid w:val="000B6094"/>
    <w:rsid w:val="000B6533"/>
    <w:rsid w:val="000B6863"/>
    <w:rsid w:val="000B6A25"/>
    <w:rsid w:val="000B7A63"/>
    <w:rsid w:val="000B7DF2"/>
    <w:rsid w:val="000C1447"/>
    <w:rsid w:val="000C2A4F"/>
    <w:rsid w:val="000C3627"/>
    <w:rsid w:val="000C37CB"/>
    <w:rsid w:val="000C4C55"/>
    <w:rsid w:val="000C6175"/>
    <w:rsid w:val="000C65C5"/>
    <w:rsid w:val="000C67A3"/>
    <w:rsid w:val="000C6CE5"/>
    <w:rsid w:val="000C6DF8"/>
    <w:rsid w:val="000C7631"/>
    <w:rsid w:val="000C7FE2"/>
    <w:rsid w:val="000D07AE"/>
    <w:rsid w:val="000D0903"/>
    <w:rsid w:val="000D10AA"/>
    <w:rsid w:val="000D3B4B"/>
    <w:rsid w:val="000D3FAE"/>
    <w:rsid w:val="000D47B0"/>
    <w:rsid w:val="000D5204"/>
    <w:rsid w:val="000D52B8"/>
    <w:rsid w:val="000D53C8"/>
    <w:rsid w:val="000D6924"/>
    <w:rsid w:val="000D6C26"/>
    <w:rsid w:val="000D7B75"/>
    <w:rsid w:val="000E050B"/>
    <w:rsid w:val="000E0613"/>
    <w:rsid w:val="000E063C"/>
    <w:rsid w:val="000E156A"/>
    <w:rsid w:val="000E25DB"/>
    <w:rsid w:val="000E27D0"/>
    <w:rsid w:val="000E2E64"/>
    <w:rsid w:val="000E3867"/>
    <w:rsid w:val="000E3A08"/>
    <w:rsid w:val="000E3AB7"/>
    <w:rsid w:val="000E4D26"/>
    <w:rsid w:val="000E5618"/>
    <w:rsid w:val="000E567E"/>
    <w:rsid w:val="000F0C1E"/>
    <w:rsid w:val="000F149C"/>
    <w:rsid w:val="000F1AC4"/>
    <w:rsid w:val="000F30A2"/>
    <w:rsid w:val="000F38A9"/>
    <w:rsid w:val="000F6040"/>
    <w:rsid w:val="000F61C2"/>
    <w:rsid w:val="000F63A2"/>
    <w:rsid w:val="000F68ED"/>
    <w:rsid w:val="000F7A6B"/>
    <w:rsid w:val="0010084B"/>
    <w:rsid w:val="00102C71"/>
    <w:rsid w:val="00103122"/>
    <w:rsid w:val="001037A1"/>
    <w:rsid w:val="00103F08"/>
    <w:rsid w:val="0010475F"/>
    <w:rsid w:val="00104DC0"/>
    <w:rsid w:val="0010537E"/>
    <w:rsid w:val="00105D88"/>
    <w:rsid w:val="0010657D"/>
    <w:rsid w:val="00106A1F"/>
    <w:rsid w:val="00106E98"/>
    <w:rsid w:val="0010742B"/>
    <w:rsid w:val="001075BE"/>
    <w:rsid w:val="00111341"/>
    <w:rsid w:val="00111B8B"/>
    <w:rsid w:val="00112684"/>
    <w:rsid w:val="00112A22"/>
    <w:rsid w:val="00114A96"/>
    <w:rsid w:val="001152FA"/>
    <w:rsid w:val="001156CD"/>
    <w:rsid w:val="00115BDA"/>
    <w:rsid w:val="0011630A"/>
    <w:rsid w:val="00117B5B"/>
    <w:rsid w:val="00120E5F"/>
    <w:rsid w:val="00122476"/>
    <w:rsid w:val="00122998"/>
    <w:rsid w:val="001229A9"/>
    <w:rsid w:val="001232E6"/>
    <w:rsid w:val="00123D5E"/>
    <w:rsid w:val="00125522"/>
    <w:rsid w:val="00126CCC"/>
    <w:rsid w:val="001277D6"/>
    <w:rsid w:val="001279BF"/>
    <w:rsid w:val="00127F35"/>
    <w:rsid w:val="00131D05"/>
    <w:rsid w:val="00131DE9"/>
    <w:rsid w:val="00132614"/>
    <w:rsid w:val="00132739"/>
    <w:rsid w:val="00132A86"/>
    <w:rsid w:val="00135282"/>
    <w:rsid w:val="0013534C"/>
    <w:rsid w:val="001363BA"/>
    <w:rsid w:val="001368D1"/>
    <w:rsid w:val="0013703D"/>
    <w:rsid w:val="00140144"/>
    <w:rsid w:val="00141432"/>
    <w:rsid w:val="0014255E"/>
    <w:rsid w:val="0014314D"/>
    <w:rsid w:val="00143D38"/>
    <w:rsid w:val="00143F35"/>
    <w:rsid w:val="00144D18"/>
    <w:rsid w:val="00145A62"/>
    <w:rsid w:val="00145C57"/>
    <w:rsid w:val="001469B9"/>
    <w:rsid w:val="00146AAA"/>
    <w:rsid w:val="00150435"/>
    <w:rsid w:val="001509DD"/>
    <w:rsid w:val="00150F7D"/>
    <w:rsid w:val="0015127C"/>
    <w:rsid w:val="001515DE"/>
    <w:rsid w:val="0015191B"/>
    <w:rsid w:val="001523EF"/>
    <w:rsid w:val="00152AC4"/>
    <w:rsid w:val="00152DA6"/>
    <w:rsid w:val="001530E7"/>
    <w:rsid w:val="001537CF"/>
    <w:rsid w:val="00153A2E"/>
    <w:rsid w:val="00154F1A"/>
    <w:rsid w:val="00156194"/>
    <w:rsid w:val="00156BC2"/>
    <w:rsid w:val="001573E8"/>
    <w:rsid w:val="00160BA2"/>
    <w:rsid w:val="00160DDB"/>
    <w:rsid w:val="00162605"/>
    <w:rsid w:val="0016277F"/>
    <w:rsid w:val="00162886"/>
    <w:rsid w:val="00164178"/>
    <w:rsid w:val="001646E1"/>
    <w:rsid w:val="00164DB5"/>
    <w:rsid w:val="00164F28"/>
    <w:rsid w:val="001657B6"/>
    <w:rsid w:val="00165D5F"/>
    <w:rsid w:val="0016601E"/>
    <w:rsid w:val="0016622D"/>
    <w:rsid w:val="001663BE"/>
    <w:rsid w:val="00166E78"/>
    <w:rsid w:val="0016704B"/>
    <w:rsid w:val="001670DD"/>
    <w:rsid w:val="00167262"/>
    <w:rsid w:val="0016775F"/>
    <w:rsid w:val="001701A5"/>
    <w:rsid w:val="00170C4C"/>
    <w:rsid w:val="00170DD6"/>
    <w:rsid w:val="00170E8E"/>
    <w:rsid w:val="00173DFF"/>
    <w:rsid w:val="00174F1D"/>
    <w:rsid w:val="001755DB"/>
    <w:rsid w:val="001769D5"/>
    <w:rsid w:val="00177B4E"/>
    <w:rsid w:val="00180321"/>
    <w:rsid w:val="001825DC"/>
    <w:rsid w:val="0018291D"/>
    <w:rsid w:val="00182965"/>
    <w:rsid w:val="00183420"/>
    <w:rsid w:val="00184726"/>
    <w:rsid w:val="0018567E"/>
    <w:rsid w:val="00185D50"/>
    <w:rsid w:val="001865A6"/>
    <w:rsid w:val="00190374"/>
    <w:rsid w:val="00190820"/>
    <w:rsid w:val="00190A3C"/>
    <w:rsid w:val="00191005"/>
    <w:rsid w:val="0019210D"/>
    <w:rsid w:val="00193D3D"/>
    <w:rsid w:val="00194322"/>
    <w:rsid w:val="001943B5"/>
    <w:rsid w:val="001948C3"/>
    <w:rsid w:val="00197A62"/>
    <w:rsid w:val="001A194B"/>
    <w:rsid w:val="001A1983"/>
    <w:rsid w:val="001A2EEF"/>
    <w:rsid w:val="001A30DC"/>
    <w:rsid w:val="001A36A6"/>
    <w:rsid w:val="001A4079"/>
    <w:rsid w:val="001A4442"/>
    <w:rsid w:val="001A487F"/>
    <w:rsid w:val="001A4DFA"/>
    <w:rsid w:val="001A51AE"/>
    <w:rsid w:val="001A5AE4"/>
    <w:rsid w:val="001A5E7E"/>
    <w:rsid w:val="001A6593"/>
    <w:rsid w:val="001A6832"/>
    <w:rsid w:val="001A730E"/>
    <w:rsid w:val="001A7A4A"/>
    <w:rsid w:val="001B02A8"/>
    <w:rsid w:val="001B04D3"/>
    <w:rsid w:val="001B0886"/>
    <w:rsid w:val="001B2188"/>
    <w:rsid w:val="001B272C"/>
    <w:rsid w:val="001B2C24"/>
    <w:rsid w:val="001B5096"/>
    <w:rsid w:val="001B699C"/>
    <w:rsid w:val="001B7600"/>
    <w:rsid w:val="001C074B"/>
    <w:rsid w:val="001C1C38"/>
    <w:rsid w:val="001C3956"/>
    <w:rsid w:val="001C5389"/>
    <w:rsid w:val="001C55AA"/>
    <w:rsid w:val="001C57F3"/>
    <w:rsid w:val="001C75C3"/>
    <w:rsid w:val="001C7688"/>
    <w:rsid w:val="001D1060"/>
    <w:rsid w:val="001D13FC"/>
    <w:rsid w:val="001D2045"/>
    <w:rsid w:val="001D2380"/>
    <w:rsid w:val="001D26F1"/>
    <w:rsid w:val="001D3C44"/>
    <w:rsid w:val="001D52F0"/>
    <w:rsid w:val="001D5BF5"/>
    <w:rsid w:val="001D5F65"/>
    <w:rsid w:val="001D6BA7"/>
    <w:rsid w:val="001D6FCA"/>
    <w:rsid w:val="001D73CE"/>
    <w:rsid w:val="001E091D"/>
    <w:rsid w:val="001E1179"/>
    <w:rsid w:val="001E24AB"/>
    <w:rsid w:val="001E26CB"/>
    <w:rsid w:val="001E35C7"/>
    <w:rsid w:val="001E3970"/>
    <w:rsid w:val="001E4859"/>
    <w:rsid w:val="001E4B85"/>
    <w:rsid w:val="001E5D39"/>
    <w:rsid w:val="001E6A54"/>
    <w:rsid w:val="001E711D"/>
    <w:rsid w:val="001E7338"/>
    <w:rsid w:val="001E76DB"/>
    <w:rsid w:val="001E7FEC"/>
    <w:rsid w:val="001F0336"/>
    <w:rsid w:val="001F04BC"/>
    <w:rsid w:val="001F05BE"/>
    <w:rsid w:val="001F0C6D"/>
    <w:rsid w:val="001F24A8"/>
    <w:rsid w:val="001F40CF"/>
    <w:rsid w:val="001F46A9"/>
    <w:rsid w:val="001F5D1A"/>
    <w:rsid w:val="001F63BE"/>
    <w:rsid w:val="001F64EC"/>
    <w:rsid w:val="002000A3"/>
    <w:rsid w:val="00201367"/>
    <w:rsid w:val="002027EF"/>
    <w:rsid w:val="00202E75"/>
    <w:rsid w:val="00204F06"/>
    <w:rsid w:val="00205DC5"/>
    <w:rsid w:val="002069CB"/>
    <w:rsid w:val="00207A55"/>
    <w:rsid w:val="00207F24"/>
    <w:rsid w:val="002109DC"/>
    <w:rsid w:val="00210F5A"/>
    <w:rsid w:val="0021121A"/>
    <w:rsid w:val="002117E7"/>
    <w:rsid w:val="002121E5"/>
    <w:rsid w:val="002129FB"/>
    <w:rsid w:val="00212C08"/>
    <w:rsid w:val="00212E18"/>
    <w:rsid w:val="00213E1F"/>
    <w:rsid w:val="00214350"/>
    <w:rsid w:val="002144AF"/>
    <w:rsid w:val="00215185"/>
    <w:rsid w:val="002156AD"/>
    <w:rsid w:val="002158E9"/>
    <w:rsid w:val="002161AE"/>
    <w:rsid w:val="002167E8"/>
    <w:rsid w:val="00221009"/>
    <w:rsid w:val="002214D4"/>
    <w:rsid w:val="0022212B"/>
    <w:rsid w:val="002234F9"/>
    <w:rsid w:val="0022398A"/>
    <w:rsid w:val="0022438D"/>
    <w:rsid w:val="00224868"/>
    <w:rsid w:val="00224ECB"/>
    <w:rsid w:val="002251D7"/>
    <w:rsid w:val="00225B92"/>
    <w:rsid w:val="00225EFA"/>
    <w:rsid w:val="00226104"/>
    <w:rsid w:val="00226D9D"/>
    <w:rsid w:val="00227F6D"/>
    <w:rsid w:val="00231210"/>
    <w:rsid w:val="00231A6F"/>
    <w:rsid w:val="00232E64"/>
    <w:rsid w:val="0023311C"/>
    <w:rsid w:val="0023373A"/>
    <w:rsid w:val="002337F7"/>
    <w:rsid w:val="00235BA8"/>
    <w:rsid w:val="00235FE4"/>
    <w:rsid w:val="0023602C"/>
    <w:rsid w:val="00236A00"/>
    <w:rsid w:val="00236A61"/>
    <w:rsid w:val="00240718"/>
    <w:rsid w:val="0024097D"/>
    <w:rsid w:val="0024254B"/>
    <w:rsid w:val="002426E6"/>
    <w:rsid w:val="00242B7C"/>
    <w:rsid w:val="002433AF"/>
    <w:rsid w:val="002433EB"/>
    <w:rsid w:val="00243A51"/>
    <w:rsid w:val="00244376"/>
    <w:rsid w:val="00244D18"/>
    <w:rsid w:val="0024540F"/>
    <w:rsid w:val="00245E1C"/>
    <w:rsid w:val="00245F10"/>
    <w:rsid w:val="002461A0"/>
    <w:rsid w:val="00250544"/>
    <w:rsid w:val="00251885"/>
    <w:rsid w:val="00251F64"/>
    <w:rsid w:val="00253029"/>
    <w:rsid w:val="00253943"/>
    <w:rsid w:val="00254452"/>
    <w:rsid w:val="00254A0E"/>
    <w:rsid w:val="00254B4B"/>
    <w:rsid w:val="002551D2"/>
    <w:rsid w:val="0025598A"/>
    <w:rsid w:val="00260244"/>
    <w:rsid w:val="002609C3"/>
    <w:rsid w:val="00260D14"/>
    <w:rsid w:val="00260E52"/>
    <w:rsid w:val="002626AB"/>
    <w:rsid w:val="002636E9"/>
    <w:rsid w:val="002643BF"/>
    <w:rsid w:val="002649A3"/>
    <w:rsid w:val="00265C99"/>
    <w:rsid w:val="002664EE"/>
    <w:rsid w:val="00267B03"/>
    <w:rsid w:val="00267B4E"/>
    <w:rsid w:val="0027095F"/>
    <w:rsid w:val="0027159C"/>
    <w:rsid w:val="002728DF"/>
    <w:rsid w:val="002733DD"/>
    <w:rsid w:val="0027393E"/>
    <w:rsid w:val="00273B40"/>
    <w:rsid w:val="00276F60"/>
    <w:rsid w:val="00277C77"/>
    <w:rsid w:val="002808E5"/>
    <w:rsid w:val="00280E53"/>
    <w:rsid w:val="00282BC6"/>
    <w:rsid w:val="002855B2"/>
    <w:rsid w:val="002859E4"/>
    <w:rsid w:val="00285B28"/>
    <w:rsid w:val="002868F7"/>
    <w:rsid w:val="002874E0"/>
    <w:rsid w:val="002876B5"/>
    <w:rsid w:val="00287D48"/>
    <w:rsid w:val="00290209"/>
    <w:rsid w:val="00290873"/>
    <w:rsid w:val="00290CBC"/>
    <w:rsid w:val="002912DF"/>
    <w:rsid w:val="0029156E"/>
    <w:rsid w:val="00291DE6"/>
    <w:rsid w:val="00292598"/>
    <w:rsid w:val="002925AF"/>
    <w:rsid w:val="00294394"/>
    <w:rsid w:val="00295033"/>
    <w:rsid w:val="002976CC"/>
    <w:rsid w:val="00297CC0"/>
    <w:rsid w:val="002A0B6B"/>
    <w:rsid w:val="002A1A50"/>
    <w:rsid w:val="002A69E3"/>
    <w:rsid w:val="002A6BFA"/>
    <w:rsid w:val="002A7570"/>
    <w:rsid w:val="002B02E9"/>
    <w:rsid w:val="002B224D"/>
    <w:rsid w:val="002B4D22"/>
    <w:rsid w:val="002B5630"/>
    <w:rsid w:val="002B5A9B"/>
    <w:rsid w:val="002B5AA7"/>
    <w:rsid w:val="002B6074"/>
    <w:rsid w:val="002B7570"/>
    <w:rsid w:val="002C0ACE"/>
    <w:rsid w:val="002C1C1E"/>
    <w:rsid w:val="002C26C7"/>
    <w:rsid w:val="002C3176"/>
    <w:rsid w:val="002C4A2E"/>
    <w:rsid w:val="002C57A6"/>
    <w:rsid w:val="002C5929"/>
    <w:rsid w:val="002C5E69"/>
    <w:rsid w:val="002C617B"/>
    <w:rsid w:val="002C65AA"/>
    <w:rsid w:val="002C6D92"/>
    <w:rsid w:val="002D08D3"/>
    <w:rsid w:val="002D30FA"/>
    <w:rsid w:val="002D34F4"/>
    <w:rsid w:val="002D4241"/>
    <w:rsid w:val="002D4DF8"/>
    <w:rsid w:val="002D5EE0"/>
    <w:rsid w:val="002D7C13"/>
    <w:rsid w:val="002D7CC4"/>
    <w:rsid w:val="002D7CE6"/>
    <w:rsid w:val="002E0B50"/>
    <w:rsid w:val="002E0F20"/>
    <w:rsid w:val="002E14A1"/>
    <w:rsid w:val="002E1DB8"/>
    <w:rsid w:val="002E255E"/>
    <w:rsid w:val="002E2EF1"/>
    <w:rsid w:val="002E398E"/>
    <w:rsid w:val="002E3B53"/>
    <w:rsid w:val="002E4200"/>
    <w:rsid w:val="002E55D0"/>
    <w:rsid w:val="002E5654"/>
    <w:rsid w:val="002E5A13"/>
    <w:rsid w:val="002E6BC5"/>
    <w:rsid w:val="002F0AE3"/>
    <w:rsid w:val="002F0CAA"/>
    <w:rsid w:val="002F0DC4"/>
    <w:rsid w:val="002F10BD"/>
    <w:rsid w:val="002F1749"/>
    <w:rsid w:val="002F210E"/>
    <w:rsid w:val="002F32AD"/>
    <w:rsid w:val="002F4452"/>
    <w:rsid w:val="002F4636"/>
    <w:rsid w:val="002F6237"/>
    <w:rsid w:val="002F7A6F"/>
    <w:rsid w:val="0030055A"/>
    <w:rsid w:val="00300FDD"/>
    <w:rsid w:val="003014A1"/>
    <w:rsid w:val="00301AD4"/>
    <w:rsid w:val="00301BE7"/>
    <w:rsid w:val="00302B0F"/>
    <w:rsid w:val="00302DBF"/>
    <w:rsid w:val="003045D4"/>
    <w:rsid w:val="00304B34"/>
    <w:rsid w:val="00304CF1"/>
    <w:rsid w:val="00304E31"/>
    <w:rsid w:val="003058FB"/>
    <w:rsid w:val="003064F6"/>
    <w:rsid w:val="003073CA"/>
    <w:rsid w:val="00307697"/>
    <w:rsid w:val="00311400"/>
    <w:rsid w:val="0031215F"/>
    <w:rsid w:val="00313DFC"/>
    <w:rsid w:val="00314098"/>
    <w:rsid w:val="003146F9"/>
    <w:rsid w:val="003154A8"/>
    <w:rsid w:val="00315D3B"/>
    <w:rsid w:val="003163A4"/>
    <w:rsid w:val="00317F1D"/>
    <w:rsid w:val="00321A34"/>
    <w:rsid w:val="003241AD"/>
    <w:rsid w:val="00325263"/>
    <w:rsid w:val="003257E0"/>
    <w:rsid w:val="00325F07"/>
    <w:rsid w:val="003264E8"/>
    <w:rsid w:val="003276D9"/>
    <w:rsid w:val="003277E0"/>
    <w:rsid w:val="003279F5"/>
    <w:rsid w:val="00327CF1"/>
    <w:rsid w:val="00327E3D"/>
    <w:rsid w:val="00330DAD"/>
    <w:rsid w:val="003319C2"/>
    <w:rsid w:val="00333018"/>
    <w:rsid w:val="00334359"/>
    <w:rsid w:val="00334499"/>
    <w:rsid w:val="0033469E"/>
    <w:rsid w:val="00334A0A"/>
    <w:rsid w:val="00335F88"/>
    <w:rsid w:val="00336222"/>
    <w:rsid w:val="0033679B"/>
    <w:rsid w:val="00336B6D"/>
    <w:rsid w:val="0033719A"/>
    <w:rsid w:val="00337275"/>
    <w:rsid w:val="003403FD"/>
    <w:rsid w:val="003406DE"/>
    <w:rsid w:val="00340CC3"/>
    <w:rsid w:val="00341965"/>
    <w:rsid w:val="00341B03"/>
    <w:rsid w:val="00342716"/>
    <w:rsid w:val="00342E92"/>
    <w:rsid w:val="00342EAA"/>
    <w:rsid w:val="00343D78"/>
    <w:rsid w:val="00343F7B"/>
    <w:rsid w:val="0034404C"/>
    <w:rsid w:val="003452FB"/>
    <w:rsid w:val="003465EF"/>
    <w:rsid w:val="003472BA"/>
    <w:rsid w:val="00347B59"/>
    <w:rsid w:val="00350152"/>
    <w:rsid w:val="0035087D"/>
    <w:rsid w:val="00350F35"/>
    <w:rsid w:val="003515AD"/>
    <w:rsid w:val="0035183B"/>
    <w:rsid w:val="00352B37"/>
    <w:rsid w:val="00352B6F"/>
    <w:rsid w:val="00353B30"/>
    <w:rsid w:val="00353DBB"/>
    <w:rsid w:val="00355093"/>
    <w:rsid w:val="00355685"/>
    <w:rsid w:val="0035609A"/>
    <w:rsid w:val="0035699B"/>
    <w:rsid w:val="00356F76"/>
    <w:rsid w:val="003570FE"/>
    <w:rsid w:val="00360700"/>
    <w:rsid w:val="003608A7"/>
    <w:rsid w:val="00360CEF"/>
    <w:rsid w:val="003632AF"/>
    <w:rsid w:val="003637F5"/>
    <w:rsid w:val="00363AB6"/>
    <w:rsid w:val="0036493D"/>
    <w:rsid w:val="00367189"/>
    <w:rsid w:val="00370620"/>
    <w:rsid w:val="00371988"/>
    <w:rsid w:val="00371DFA"/>
    <w:rsid w:val="00371FC0"/>
    <w:rsid w:val="003726F1"/>
    <w:rsid w:val="00373074"/>
    <w:rsid w:val="00374963"/>
    <w:rsid w:val="00374E9D"/>
    <w:rsid w:val="00375539"/>
    <w:rsid w:val="0037556B"/>
    <w:rsid w:val="00375832"/>
    <w:rsid w:val="003766E4"/>
    <w:rsid w:val="003769C2"/>
    <w:rsid w:val="00376BDE"/>
    <w:rsid w:val="00377128"/>
    <w:rsid w:val="003773CB"/>
    <w:rsid w:val="003777A4"/>
    <w:rsid w:val="00380F71"/>
    <w:rsid w:val="003814C8"/>
    <w:rsid w:val="00383758"/>
    <w:rsid w:val="00383770"/>
    <w:rsid w:val="00384662"/>
    <w:rsid w:val="00384C5A"/>
    <w:rsid w:val="00386C98"/>
    <w:rsid w:val="003871A9"/>
    <w:rsid w:val="003903A2"/>
    <w:rsid w:val="003904CA"/>
    <w:rsid w:val="00390EE5"/>
    <w:rsid w:val="003922EA"/>
    <w:rsid w:val="00392448"/>
    <w:rsid w:val="00392F04"/>
    <w:rsid w:val="00393FDE"/>
    <w:rsid w:val="00394CBA"/>
    <w:rsid w:val="00395305"/>
    <w:rsid w:val="003955F4"/>
    <w:rsid w:val="00396370"/>
    <w:rsid w:val="00397852"/>
    <w:rsid w:val="003A17E3"/>
    <w:rsid w:val="003A2054"/>
    <w:rsid w:val="003A38E9"/>
    <w:rsid w:val="003A41DF"/>
    <w:rsid w:val="003A492F"/>
    <w:rsid w:val="003A4F67"/>
    <w:rsid w:val="003A564D"/>
    <w:rsid w:val="003A628F"/>
    <w:rsid w:val="003A6B4B"/>
    <w:rsid w:val="003B0B29"/>
    <w:rsid w:val="003B33A4"/>
    <w:rsid w:val="003B548D"/>
    <w:rsid w:val="003B5CE6"/>
    <w:rsid w:val="003B5E94"/>
    <w:rsid w:val="003B6B6D"/>
    <w:rsid w:val="003B7081"/>
    <w:rsid w:val="003B799C"/>
    <w:rsid w:val="003C065A"/>
    <w:rsid w:val="003C0D8D"/>
    <w:rsid w:val="003C1626"/>
    <w:rsid w:val="003C1CD8"/>
    <w:rsid w:val="003C2150"/>
    <w:rsid w:val="003C218E"/>
    <w:rsid w:val="003C488F"/>
    <w:rsid w:val="003C63B4"/>
    <w:rsid w:val="003C6821"/>
    <w:rsid w:val="003C6A73"/>
    <w:rsid w:val="003C6FA7"/>
    <w:rsid w:val="003C72E6"/>
    <w:rsid w:val="003C79ED"/>
    <w:rsid w:val="003C7D40"/>
    <w:rsid w:val="003D08DB"/>
    <w:rsid w:val="003D0902"/>
    <w:rsid w:val="003D0F75"/>
    <w:rsid w:val="003D125C"/>
    <w:rsid w:val="003D2CB3"/>
    <w:rsid w:val="003D2D36"/>
    <w:rsid w:val="003D306E"/>
    <w:rsid w:val="003D3988"/>
    <w:rsid w:val="003D3DA1"/>
    <w:rsid w:val="003D3F2D"/>
    <w:rsid w:val="003D4405"/>
    <w:rsid w:val="003D4D16"/>
    <w:rsid w:val="003D552B"/>
    <w:rsid w:val="003D66DB"/>
    <w:rsid w:val="003D6945"/>
    <w:rsid w:val="003D72EE"/>
    <w:rsid w:val="003D75D5"/>
    <w:rsid w:val="003D76C5"/>
    <w:rsid w:val="003E06A7"/>
    <w:rsid w:val="003E2003"/>
    <w:rsid w:val="003E2466"/>
    <w:rsid w:val="003E34F5"/>
    <w:rsid w:val="003E435B"/>
    <w:rsid w:val="003E7BF3"/>
    <w:rsid w:val="003E7CDB"/>
    <w:rsid w:val="003F1514"/>
    <w:rsid w:val="003F1F18"/>
    <w:rsid w:val="003F25F9"/>
    <w:rsid w:val="003F2DC4"/>
    <w:rsid w:val="003F31E6"/>
    <w:rsid w:val="003F338F"/>
    <w:rsid w:val="003F34EE"/>
    <w:rsid w:val="003F3F53"/>
    <w:rsid w:val="003F4265"/>
    <w:rsid w:val="003F5AEC"/>
    <w:rsid w:val="00401F10"/>
    <w:rsid w:val="0040449E"/>
    <w:rsid w:val="00404D36"/>
    <w:rsid w:val="00404FBE"/>
    <w:rsid w:val="00405298"/>
    <w:rsid w:val="0040614D"/>
    <w:rsid w:val="00407A16"/>
    <w:rsid w:val="00407B4A"/>
    <w:rsid w:val="00407C19"/>
    <w:rsid w:val="004100FD"/>
    <w:rsid w:val="00410265"/>
    <w:rsid w:val="00410EFB"/>
    <w:rsid w:val="00411519"/>
    <w:rsid w:val="004123C6"/>
    <w:rsid w:val="004128CD"/>
    <w:rsid w:val="00414D88"/>
    <w:rsid w:val="00415693"/>
    <w:rsid w:val="00415C11"/>
    <w:rsid w:val="00417C09"/>
    <w:rsid w:val="00417D0B"/>
    <w:rsid w:val="00417EF2"/>
    <w:rsid w:val="00423F17"/>
    <w:rsid w:val="00424678"/>
    <w:rsid w:val="00424872"/>
    <w:rsid w:val="0042660A"/>
    <w:rsid w:val="00426B3A"/>
    <w:rsid w:val="00426E0A"/>
    <w:rsid w:val="00426E9D"/>
    <w:rsid w:val="00426FF6"/>
    <w:rsid w:val="004273C3"/>
    <w:rsid w:val="00430442"/>
    <w:rsid w:val="00430453"/>
    <w:rsid w:val="004309B1"/>
    <w:rsid w:val="004313D4"/>
    <w:rsid w:val="004313EA"/>
    <w:rsid w:val="00431B7C"/>
    <w:rsid w:val="004321A4"/>
    <w:rsid w:val="004322BE"/>
    <w:rsid w:val="0043250F"/>
    <w:rsid w:val="004356DB"/>
    <w:rsid w:val="004358C6"/>
    <w:rsid w:val="00435C40"/>
    <w:rsid w:val="0043710C"/>
    <w:rsid w:val="0043739D"/>
    <w:rsid w:val="00437A59"/>
    <w:rsid w:val="004405FA"/>
    <w:rsid w:val="004433A8"/>
    <w:rsid w:val="0044399A"/>
    <w:rsid w:val="004449B2"/>
    <w:rsid w:val="00444EEC"/>
    <w:rsid w:val="00445BA6"/>
    <w:rsid w:val="00446E3A"/>
    <w:rsid w:val="004470FD"/>
    <w:rsid w:val="00447204"/>
    <w:rsid w:val="00447662"/>
    <w:rsid w:val="0044776D"/>
    <w:rsid w:val="00450522"/>
    <w:rsid w:val="00450767"/>
    <w:rsid w:val="004548C1"/>
    <w:rsid w:val="004550E4"/>
    <w:rsid w:val="004559A3"/>
    <w:rsid w:val="00455A51"/>
    <w:rsid w:val="0045763C"/>
    <w:rsid w:val="00457DBB"/>
    <w:rsid w:val="00457F17"/>
    <w:rsid w:val="004600D8"/>
    <w:rsid w:val="004627DC"/>
    <w:rsid w:val="0046313C"/>
    <w:rsid w:val="0046344D"/>
    <w:rsid w:val="004635DA"/>
    <w:rsid w:val="00464386"/>
    <w:rsid w:val="004648C7"/>
    <w:rsid w:val="00464920"/>
    <w:rsid w:val="00464DF0"/>
    <w:rsid w:val="00465C02"/>
    <w:rsid w:val="004678B3"/>
    <w:rsid w:val="00467B8D"/>
    <w:rsid w:val="00471187"/>
    <w:rsid w:val="00471199"/>
    <w:rsid w:val="0047124B"/>
    <w:rsid w:val="00471536"/>
    <w:rsid w:val="0047185A"/>
    <w:rsid w:val="0047227B"/>
    <w:rsid w:val="00472515"/>
    <w:rsid w:val="00472F2E"/>
    <w:rsid w:val="0047363D"/>
    <w:rsid w:val="00473837"/>
    <w:rsid w:val="0047401D"/>
    <w:rsid w:val="0047427A"/>
    <w:rsid w:val="00474660"/>
    <w:rsid w:val="0047512C"/>
    <w:rsid w:val="00476F2D"/>
    <w:rsid w:val="004801A0"/>
    <w:rsid w:val="0048028A"/>
    <w:rsid w:val="00480696"/>
    <w:rsid w:val="00481DA6"/>
    <w:rsid w:val="00481DEF"/>
    <w:rsid w:val="00481E37"/>
    <w:rsid w:val="00482688"/>
    <w:rsid w:val="00482B21"/>
    <w:rsid w:val="0048354C"/>
    <w:rsid w:val="00486810"/>
    <w:rsid w:val="004872A5"/>
    <w:rsid w:val="0049015F"/>
    <w:rsid w:val="00490376"/>
    <w:rsid w:val="00490FA8"/>
    <w:rsid w:val="00491B71"/>
    <w:rsid w:val="004924F5"/>
    <w:rsid w:val="0049336E"/>
    <w:rsid w:val="00493788"/>
    <w:rsid w:val="004943BC"/>
    <w:rsid w:val="0049467B"/>
    <w:rsid w:val="00494D83"/>
    <w:rsid w:val="004955ED"/>
    <w:rsid w:val="00495A7E"/>
    <w:rsid w:val="00495B3B"/>
    <w:rsid w:val="004964A1"/>
    <w:rsid w:val="0049715D"/>
    <w:rsid w:val="0049719E"/>
    <w:rsid w:val="00497482"/>
    <w:rsid w:val="004979E8"/>
    <w:rsid w:val="00497AE2"/>
    <w:rsid w:val="00497B78"/>
    <w:rsid w:val="00497FF0"/>
    <w:rsid w:val="004A0A8D"/>
    <w:rsid w:val="004A353A"/>
    <w:rsid w:val="004A35F1"/>
    <w:rsid w:val="004A3E92"/>
    <w:rsid w:val="004A4736"/>
    <w:rsid w:val="004A4EFD"/>
    <w:rsid w:val="004A523D"/>
    <w:rsid w:val="004A5C5D"/>
    <w:rsid w:val="004A67A9"/>
    <w:rsid w:val="004A74D2"/>
    <w:rsid w:val="004B117D"/>
    <w:rsid w:val="004B2C24"/>
    <w:rsid w:val="004B3774"/>
    <w:rsid w:val="004B414D"/>
    <w:rsid w:val="004B459A"/>
    <w:rsid w:val="004B4BB0"/>
    <w:rsid w:val="004B4F62"/>
    <w:rsid w:val="004B5A9B"/>
    <w:rsid w:val="004B6014"/>
    <w:rsid w:val="004B7376"/>
    <w:rsid w:val="004C11C6"/>
    <w:rsid w:val="004C1663"/>
    <w:rsid w:val="004C170B"/>
    <w:rsid w:val="004C1A45"/>
    <w:rsid w:val="004C1FF1"/>
    <w:rsid w:val="004C2D65"/>
    <w:rsid w:val="004C4C5D"/>
    <w:rsid w:val="004C61E1"/>
    <w:rsid w:val="004C650E"/>
    <w:rsid w:val="004D0062"/>
    <w:rsid w:val="004D0520"/>
    <w:rsid w:val="004D1196"/>
    <w:rsid w:val="004D1303"/>
    <w:rsid w:val="004D187E"/>
    <w:rsid w:val="004D30FB"/>
    <w:rsid w:val="004D4660"/>
    <w:rsid w:val="004D499B"/>
    <w:rsid w:val="004D4D6F"/>
    <w:rsid w:val="004D56A9"/>
    <w:rsid w:val="004D6416"/>
    <w:rsid w:val="004D72E4"/>
    <w:rsid w:val="004E0433"/>
    <w:rsid w:val="004E1B14"/>
    <w:rsid w:val="004E2A07"/>
    <w:rsid w:val="004E35C7"/>
    <w:rsid w:val="004E45FA"/>
    <w:rsid w:val="004E4D88"/>
    <w:rsid w:val="004E559B"/>
    <w:rsid w:val="004E6C9A"/>
    <w:rsid w:val="004E7D59"/>
    <w:rsid w:val="004F00F1"/>
    <w:rsid w:val="004F0441"/>
    <w:rsid w:val="004F0A59"/>
    <w:rsid w:val="004F1256"/>
    <w:rsid w:val="004F27E1"/>
    <w:rsid w:val="004F4BDE"/>
    <w:rsid w:val="004F6202"/>
    <w:rsid w:val="004F6723"/>
    <w:rsid w:val="004F710F"/>
    <w:rsid w:val="004F7128"/>
    <w:rsid w:val="004F7EAE"/>
    <w:rsid w:val="004F7EFC"/>
    <w:rsid w:val="00501479"/>
    <w:rsid w:val="00502EE9"/>
    <w:rsid w:val="005039E7"/>
    <w:rsid w:val="00503CBA"/>
    <w:rsid w:val="00504FD7"/>
    <w:rsid w:val="00505830"/>
    <w:rsid w:val="00505E9C"/>
    <w:rsid w:val="00506C49"/>
    <w:rsid w:val="00506E7B"/>
    <w:rsid w:val="00507F6B"/>
    <w:rsid w:val="00510145"/>
    <w:rsid w:val="00510275"/>
    <w:rsid w:val="005145E3"/>
    <w:rsid w:val="00515448"/>
    <w:rsid w:val="00515B75"/>
    <w:rsid w:val="0051645C"/>
    <w:rsid w:val="005167F3"/>
    <w:rsid w:val="00516C0B"/>
    <w:rsid w:val="00517BB2"/>
    <w:rsid w:val="00520645"/>
    <w:rsid w:val="00520880"/>
    <w:rsid w:val="0052100E"/>
    <w:rsid w:val="00521406"/>
    <w:rsid w:val="0052162E"/>
    <w:rsid w:val="00521D0D"/>
    <w:rsid w:val="005221A1"/>
    <w:rsid w:val="005223B7"/>
    <w:rsid w:val="0052492A"/>
    <w:rsid w:val="0052634C"/>
    <w:rsid w:val="005263FF"/>
    <w:rsid w:val="0052678B"/>
    <w:rsid w:val="00527891"/>
    <w:rsid w:val="0052794E"/>
    <w:rsid w:val="00527B78"/>
    <w:rsid w:val="005314C1"/>
    <w:rsid w:val="0053192B"/>
    <w:rsid w:val="00531B66"/>
    <w:rsid w:val="00531D15"/>
    <w:rsid w:val="00531EB7"/>
    <w:rsid w:val="00531F01"/>
    <w:rsid w:val="005324F5"/>
    <w:rsid w:val="00532544"/>
    <w:rsid w:val="00532782"/>
    <w:rsid w:val="0053325B"/>
    <w:rsid w:val="005343D2"/>
    <w:rsid w:val="00534DFC"/>
    <w:rsid w:val="0053544D"/>
    <w:rsid w:val="005355FA"/>
    <w:rsid w:val="005356D8"/>
    <w:rsid w:val="005359E8"/>
    <w:rsid w:val="00536DDD"/>
    <w:rsid w:val="00537145"/>
    <w:rsid w:val="0054015A"/>
    <w:rsid w:val="00541B7E"/>
    <w:rsid w:val="005428A5"/>
    <w:rsid w:val="0054293E"/>
    <w:rsid w:val="0054310E"/>
    <w:rsid w:val="005432DE"/>
    <w:rsid w:val="005436B6"/>
    <w:rsid w:val="00544584"/>
    <w:rsid w:val="005445FD"/>
    <w:rsid w:val="00544E84"/>
    <w:rsid w:val="00546060"/>
    <w:rsid w:val="00546117"/>
    <w:rsid w:val="005467DF"/>
    <w:rsid w:val="005477F7"/>
    <w:rsid w:val="00547B7A"/>
    <w:rsid w:val="0055003F"/>
    <w:rsid w:val="00551473"/>
    <w:rsid w:val="005518D4"/>
    <w:rsid w:val="00552DD1"/>
    <w:rsid w:val="00553572"/>
    <w:rsid w:val="00554929"/>
    <w:rsid w:val="00555ABD"/>
    <w:rsid w:val="00555CEB"/>
    <w:rsid w:val="00555FA3"/>
    <w:rsid w:val="00556C1A"/>
    <w:rsid w:val="00556C21"/>
    <w:rsid w:val="005602D5"/>
    <w:rsid w:val="00560818"/>
    <w:rsid w:val="00560D45"/>
    <w:rsid w:val="005617D1"/>
    <w:rsid w:val="00561943"/>
    <w:rsid w:val="00561FE9"/>
    <w:rsid w:val="00562A11"/>
    <w:rsid w:val="00563671"/>
    <w:rsid w:val="0056396C"/>
    <w:rsid w:val="0056406D"/>
    <w:rsid w:val="00564748"/>
    <w:rsid w:val="00564857"/>
    <w:rsid w:val="00566F2E"/>
    <w:rsid w:val="0056705D"/>
    <w:rsid w:val="005702CA"/>
    <w:rsid w:val="00570770"/>
    <w:rsid w:val="00570DCE"/>
    <w:rsid w:val="00571C8B"/>
    <w:rsid w:val="00571E96"/>
    <w:rsid w:val="00572B43"/>
    <w:rsid w:val="00572B4F"/>
    <w:rsid w:val="0057383F"/>
    <w:rsid w:val="00573D96"/>
    <w:rsid w:val="005746F2"/>
    <w:rsid w:val="00574EA4"/>
    <w:rsid w:val="005750A8"/>
    <w:rsid w:val="00575753"/>
    <w:rsid w:val="00575DEB"/>
    <w:rsid w:val="005762B4"/>
    <w:rsid w:val="00577AF1"/>
    <w:rsid w:val="0058000D"/>
    <w:rsid w:val="005802BA"/>
    <w:rsid w:val="00582DA1"/>
    <w:rsid w:val="00584AB7"/>
    <w:rsid w:val="0058509A"/>
    <w:rsid w:val="00585702"/>
    <w:rsid w:val="00586D66"/>
    <w:rsid w:val="005875E1"/>
    <w:rsid w:val="00590680"/>
    <w:rsid w:val="00590DB8"/>
    <w:rsid w:val="005913E2"/>
    <w:rsid w:val="005926E6"/>
    <w:rsid w:val="00592C2D"/>
    <w:rsid w:val="00592E86"/>
    <w:rsid w:val="00593E47"/>
    <w:rsid w:val="00593F91"/>
    <w:rsid w:val="0059422D"/>
    <w:rsid w:val="00594BAA"/>
    <w:rsid w:val="005958E0"/>
    <w:rsid w:val="00595C5C"/>
    <w:rsid w:val="00596CF4"/>
    <w:rsid w:val="00596DA2"/>
    <w:rsid w:val="005971B6"/>
    <w:rsid w:val="00597F55"/>
    <w:rsid w:val="005A1F62"/>
    <w:rsid w:val="005A23BE"/>
    <w:rsid w:val="005A24E0"/>
    <w:rsid w:val="005A359D"/>
    <w:rsid w:val="005A3D5D"/>
    <w:rsid w:val="005A4033"/>
    <w:rsid w:val="005A4828"/>
    <w:rsid w:val="005A6EA9"/>
    <w:rsid w:val="005A7117"/>
    <w:rsid w:val="005A7B5A"/>
    <w:rsid w:val="005B0EA7"/>
    <w:rsid w:val="005B0F47"/>
    <w:rsid w:val="005B14E0"/>
    <w:rsid w:val="005B1594"/>
    <w:rsid w:val="005B26F2"/>
    <w:rsid w:val="005B3CC6"/>
    <w:rsid w:val="005B4E20"/>
    <w:rsid w:val="005B67E1"/>
    <w:rsid w:val="005B6991"/>
    <w:rsid w:val="005B79DC"/>
    <w:rsid w:val="005C044F"/>
    <w:rsid w:val="005C22CB"/>
    <w:rsid w:val="005C2FC5"/>
    <w:rsid w:val="005C4289"/>
    <w:rsid w:val="005C6985"/>
    <w:rsid w:val="005C7155"/>
    <w:rsid w:val="005D0487"/>
    <w:rsid w:val="005D2301"/>
    <w:rsid w:val="005D2E9C"/>
    <w:rsid w:val="005D3379"/>
    <w:rsid w:val="005D3888"/>
    <w:rsid w:val="005D39EA"/>
    <w:rsid w:val="005D4A94"/>
    <w:rsid w:val="005D4E28"/>
    <w:rsid w:val="005D4FB7"/>
    <w:rsid w:val="005D584E"/>
    <w:rsid w:val="005D5CF2"/>
    <w:rsid w:val="005D6637"/>
    <w:rsid w:val="005D7266"/>
    <w:rsid w:val="005D77F1"/>
    <w:rsid w:val="005D79C4"/>
    <w:rsid w:val="005D7B39"/>
    <w:rsid w:val="005D7DB8"/>
    <w:rsid w:val="005E009F"/>
    <w:rsid w:val="005E0398"/>
    <w:rsid w:val="005E0663"/>
    <w:rsid w:val="005E0682"/>
    <w:rsid w:val="005E0E9F"/>
    <w:rsid w:val="005E11DE"/>
    <w:rsid w:val="005E157A"/>
    <w:rsid w:val="005E21C9"/>
    <w:rsid w:val="005E2FA3"/>
    <w:rsid w:val="005E35BE"/>
    <w:rsid w:val="005E5103"/>
    <w:rsid w:val="005E5C63"/>
    <w:rsid w:val="005E5D5A"/>
    <w:rsid w:val="005E60B0"/>
    <w:rsid w:val="005E6269"/>
    <w:rsid w:val="005E66B6"/>
    <w:rsid w:val="005E72C1"/>
    <w:rsid w:val="005E7345"/>
    <w:rsid w:val="005E7487"/>
    <w:rsid w:val="005E7562"/>
    <w:rsid w:val="005E7853"/>
    <w:rsid w:val="005E7BC4"/>
    <w:rsid w:val="005F0417"/>
    <w:rsid w:val="005F0433"/>
    <w:rsid w:val="005F0B26"/>
    <w:rsid w:val="005F0DF1"/>
    <w:rsid w:val="005F177C"/>
    <w:rsid w:val="005F24F0"/>
    <w:rsid w:val="005F265A"/>
    <w:rsid w:val="005F47D7"/>
    <w:rsid w:val="005F4F1E"/>
    <w:rsid w:val="005F6DB0"/>
    <w:rsid w:val="006003EB"/>
    <w:rsid w:val="00600619"/>
    <w:rsid w:val="006023C0"/>
    <w:rsid w:val="00602F19"/>
    <w:rsid w:val="0060393B"/>
    <w:rsid w:val="0060508A"/>
    <w:rsid w:val="0060546D"/>
    <w:rsid w:val="00605BCA"/>
    <w:rsid w:val="0060627A"/>
    <w:rsid w:val="00607B4E"/>
    <w:rsid w:val="006108D8"/>
    <w:rsid w:val="00610A1B"/>
    <w:rsid w:val="00611371"/>
    <w:rsid w:val="0061183C"/>
    <w:rsid w:val="00612092"/>
    <w:rsid w:val="00612134"/>
    <w:rsid w:val="00612335"/>
    <w:rsid w:val="006124AD"/>
    <w:rsid w:val="00616D53"/>
    <w:rsid w:val="006175EB"/>
    <w:rsid w:val="00617A3F"/>
    <w:rsid w:val="006200AC"/>
    <w:rsid w:val="006206ED"/>
    <w:rsid w:val="006233B2"/>
    <w:rsid w:val="006235B4"/>
    <w:rsid w:val="00626285"/>
    <w:rsid w:val="00626448"/>
    <w:rsid w:val="00626509"/>
    <w:rsid w:val="0062692D"/>
    <w:rsid w:val="00626B99"/>
    <w:rsid w:val="0063045B"/>
    <w:rsid w:val="006306E0"/>
    <w:rsid w:val="00630CDA"/>
    <w:rsid w:val="0063183F"/>
    <w:rsid w:val="00632183"/>
    <w:rsid w:val="00632489"/>
    <w:rsid w:val="0063254D"/>
    <w:rsid w:val="00632B77"/>
    <w:rsid w:val="00632C01"/>
    <w:rsid w:val="00632C9D"/>
    <w:rsid w:val="00633178"/>
    <w:rsid w:val="006336A6"/>
    <w:rsid w:val="00633B2C"/>
    <w:rsid w:val="00633BAF"/>
    <w:rsid w:val="0063437C"/>
    <w:rsid w:val="00635E63"/>
    <w:rsid w:val="00636824"/>
    <w:rsid w:val="00636F64"/>
    <w:rsid w:val="00637318"/>
    <w:rsid w:val="00637891"/>
    <w:rsid w:val="00637BA8"/>
    <w:rsid w:val="00637D3C"/>
    <w:rsid w:val="00637F4C"/>
    <w:rsid w:val="006400EF"/>
    <w:rsid w:val="00640149"/>
    <w:rsid w:val="00641A38"/>
    <w:rsid w:val="00641C43"/>
    <w:rsid w:val="00644C96"/>
    <w:rsid w:val="00645311"/>
    <w:rsid w:val="00647F0E"/>
    <w:rsid w:val="0065037C"/>
    <w:rsid w:val="0065161F"/>
    <w:rsid w:val="00651CDE"/>
    <w:rsid w:val="006520DF"/>
    <w:rsid w:val="006523DC"/>
    <w:rsid w:val="00652890"/>
    <w:rsid w:val="00653252"/>
    <w:rsid w:val="006535D4"/>
    <w:rsid w:val="0065414D"/>
    <w:rsid w:val="00654CFB"/>
    <w:rsid w:val="00656D8B"/>
    <w:rsid w:val="006574A6"/>
    <w:rsid w:val="00660830"/>
    <w:rsid w:val="00661329"/>
    <w:rsid w:val="0066381F"/>
    <w:rsid w:val="00663950"/>
    <w:rsid w:val="00663B2E"/>
    <w:rsid w:val="00663E3C"/>
    <w:rsid w:val="0066452F"/>
    <w:rsid w:val="0066490C"/>
    <w:rsid w:val="0066603B"/>
    <w:rsid w:val="00671010"/>
    <w:rsid w:val="00671283"/>
    <w:rsid w:val="00671E03"/>
    <w:rsid w:val="00671EBC"/>
    <w:rsid w:val="006720EE"/>
    <w:rsid w:val="006723DC"/>
    <w:rsid w:val="006725E9"/>
    <w:rsid w:val="00672795"/>
    <w:rsid w:val="00672DC2"/>
    <w:rsid w:val="00673806"/>
    <w:rsid w:val="00674CC6"/>
    <w:rsid w:val="00674EA8"/>
    <w:rsid w:val="006755D1"/>
    <w:rsid w:val="00675976"/>
    <w:rsid w:val="00675BEA"/>
    <w:rsid w:val="0067703E"/>
    <w:rsid w:val="0067720D"/>
    <w:rsid w:val="00677C7E"/>
    <w:rsid w:val="00677D6C"/>
    <w:rsid w:val="00680B6F"/>
    <w:rsid w:val="006823DD"/>
    <w:rsid w:val="00683E40"/>
    <w:rsid w:val="0068555D"/>
    <w:rsid w:val="00686290"/>
    <w:rsid w:val="006863C8"/>
    <w:rsid w:val="006868D3"/>
    <w:rsid w:val="00686BDB"/>
    <w:rsid w:val="00687EBD"/>
    <w:rsid w:val="00690284"/>
    <w:rsid w:val="0069064B"/>
    <w:rsid w:val="0069122B"/>
    <w:rsid w:val="0069278F"/>
    <w:rsid w:val="00692856"/>
    <w:rsid w:val="00692B85"/>
    <w:rsid w:val="00693118"/>
    <w:rsid w:val="006938DD"/>
    <w:rsid w:val="006938FC"/>
    <w:rsid w:val="0069397C"/>
    <w:rsid w:val="00693DFC"/>
    <w:rsid w:val="0069543A"/>
    <w:rsid w:val="00695FB3"/>
    <w:rsid w:val="006A16C9"/>
    <w:rsid w:val="006A1A7D"/>
    <w:rsid w:val="006A1B76"/>
    <w:rsid w:val="006A1D3B"/>
    <w:rsid w:val="006A237E"/>
    <w:rsid w:val="006A2E73"/>
    <w:rsid w:val="006A3699"/>
    <w:rsid w:val="006A3784"/>
    <w:rsid w:val="006A3802"/>
    <w:rsid w:val="006A404C"/>
    <w:rsid w:val="006A4556"/>
    <w:rsid w:val="006A4994"/>
    <w:rsid w:val="006A5175"/>
    <w:rsid w:val="006A5846"/>
    <w:rsid w:val="006A5FD3"/>
    <w:rsid w:val="006A67A3"/>
    <w:rsid w:val="006B1D84"/>
    <w:rsid w:val="006B26C1"/>
    <w:rsid w:val="006B3E24"/>
    <w:rsid w:val="006B4588"/>
    <w:rsid w:val="006B5AC4"/>
    <w:rsid w:val="006B5DFF"/>
    <w:rsid w:val="006B6031"/>
    <w:rsid w:val="006B62D6"/>
    <w:rsid w:val="006B6A8E"/>
    <w:rsid w:val="006C1135"/>
    <w:rsid w:val="006C19BD"/>
    <w:rsid w:val="006C2112"/>
    <w:rsid w:val="006C24D4"/>
    <w:rsid w:val="006C3362"/>
    <w:rsid w:val="006C36AA"/>
    <w:rsid w:val="006C3752"/>
    <w:rsid w:val="006C39DA"/>
    <w:rsid w:val="006C3DE4"/>
    <w:rsid w:val="006C46CA"/>
    <w:rsid w:val="006C4ED0"/>
    <w:rsid w:val="006C5289"/>
    <w:rsid w:val="006C542E"/>
    <w:rsid w:val="006C570C"/>
    <w:rsid w:val="006C5B10"/>
    <w:rsid w:val="006C67C2"/>
    <w:rsid w:val="006C7021"/>
    <w:rsid w:val="006D0371"/>
    <w:rsid w:val="006D05CD"/>
    <w:rsid w:val="006D06BF"/>
    <w:rsid w:val="006D1337"/>
    <w:rsid w:val="006D1997"/>
    <w:rsid w:val="006D264A"/>
    <w:rsid w:val="006D2CC7"/>
    <w:rsid w:val="006D3319"/>
    <w:rsid w:val="006D38AB"/>
    <w:rsid w:val="006D3F2D"/>
    <w:rsid w:val="006D4980"/>
    <w:rsid w:val="006D4BDE"/>
    <w:rsid w:val="006D5173"/>
    <w:rsid w:val="006D51E5"/>
    <w:rsid w:val="006D57C1"/>
    <w:rsid w:val="006D5ABC"/>
    <w:rsid w:val="006D5BD0"/>
    <w:rsid w:val="006D6066"/>
    <w:rsid w:val="006D77D7"/>
    <w:rsid w:val="006D79A4"/>
    <w:rsid w:val="006D7E1C"/>
    <w:rsid w:val="006E059E"/>
    <w:rsid w:val="006E0A3C"/>
    <w:rsid w:val="006E0C06"/>
    <w:rsid w:val="006E0F42"/>
    <w:rsid w:val="006E4446"/>
    <w:rsid w:val="006E46C5"/>
    <w:rsid w:val="006E4B30"/>
    <w:rsid w:val="006E52A7"/>
    <w:rsid w:val="006E57F3"/>
    <w:rsid w:val="006E6846"/>
    <w:rsid w:val="006E7306"/>
    <w:rsid w:val="006F0A1C"/>
    <w:rsid w:val="006F0EF4"/>
    <w:rsid w:val="006F1BF9"/>
    <w:rsid w:val="006F21AA"/>
    <w:rsid w:val="006F22E6"/>
    <w:rsid w:val="006F234D"/>
    <w:rsid w:val="006F274B"/>
    <w:rsid w:val="006F5034"/>
    <w:rsid w:val="006F5926"/>
    <w:rsid w:val="006F5F2C"/>
    <w:rsid w:val="006F61F5"/>
    <w:rsid w:val="006F6671"/>
    <w:rsid w:val="006F702D"/>
    <w:rsid w:val="00700E64"/>
    <w:rsid w:val="00701009"/>
    <w:rsid w:val="007034B4"/>
    <w:rsid w:val="00703782"/>
    <w:rsid w:val="00704B2A"/>
    <w:rsid w:val="0070523A"/>
    <w:rsid w:val="007065F9"/>
    <w:rsid w:val="00706E9D"/>
    <w:rsid w:val="00707563"/>
    <w:rsid w:val="007106C6"/>
    <w:rsid w:val="00710AC7"/>
    <w:rsid w:val="007114EF"/>
    <w:rsid w:val="00711BDE"/>
    <w:rsid w:val="00712294"/>
    <w:rsid w:val="00712452"/>
    <w:rsid w:val="00712A2D"/>
    <w:rsid w:val="00713DAF"/>
    <w:rsid w:val="00714070"/>
    <w:rsid w:val="00716317"/>
    <w:rsid w:val="007168AA"/>
    <w:rsid w:val="00717B89"/>
    <w:rsid w:val="00720AE9"/>
    <w:rsid w:val="00721BD1"/>
    <w:rsid w:val="00722B8C"/>
    <w:rsid w:val="00723005"/>
    <w:rsid w:val="0072332C"/>
    <w:rsid w:val="00725254"/>
    <w:rsid w:val="00725331"/>
    <w:rsid w:val="00726C45"/>
    <w:rsid w:val="00727306"/>
    <w:rsid w:val="00727980"/>
    <w:rsid w:val="00730350"/>
    <w:rsid w:val="00731D62"/>
    <w:rsid w:val="0073227B"/>
    <w:rsid w:val="0073230E"/>
    <w:rsid w:val="00735C40"/>
    <w:rsid w:val="00736ECB"/>
    <w:rsid w:val="007400D8"/>
    <w:rsid w:val="007407B4"/>
    <w:rsid w:val="00740A51"/>
    <w:rsid w:val="00740ACF"/>
    <w:rsid w:val="00741768"/>
    <w:rsid w:val="007428B3"/>
    <w:rsid w:val="00742F78"/>
    <w:rsid w:val="007446A3"/>
    <w:rsid w:val="007460D7"/>
    <w:rsid w:val="00746EEA"/>
    <w:rsid w:val="00747AEC"/>
    <w:rsid w:val="007503F7"/>
    <w:rsid w:val="00753BC3"/>
    <w:rsid w:val="00754275"/>
    <w:rsid w:val="00754554"/>
    <w:rsid w:val="00754B9F"/>
    <w:rsid w:val="007557E8"/>
    <w:rsid w:val="00756186"/>
    <w:rsid w:val="00756AFA"/>
    <w:rsid w:val="00757025"/>
    <w:rsid w:val="007607B1"/>
    <w:rsid w:val="007619B5"/>
    <w:rsid w:val="00761AC0"/>
    <w:rsid w:val="00761BE2"/>
    <w:rsid w:val="00761D99"/>
    <w:rsid w:val="007623FF"/>
    <w:rsid w:val="0076243A"/>
    <w:rsid w:val="007627FF"/>
    <w:rsid w:val="00762BD8"/>
    <w:rsid w:val="007630A4"/>
    <w:rsid w:val="00763557"/>
    <w:rsid w:val="00763636"/>
    <w:rsid w:val="007644D1"/>
    <w:rsid w:val="00764875"/>
    <w:rsid w:val="00765CEE"/>
    <w:rsid w:val="00766F66"/>
    <w:rsid w:val="00767494"/>
    <w:rsid w:val="0077232F"/>
    <w:rsid w:val="00773002"/>
    <w:rsid w:val="00773CFE"/>
    <w:rsid w:val="007740AB"/>
    <w:rsid w:val="007764AC"/>
    <w:rsid w:val="00776802"/>
    <w:rsid w:val="0077681A"/>
    <w:rsid w:val="00776FB6"/>
    <w:rsid w:val="007808DD"/>
    <w:rsid w:val="00781782"/>
    <w:rsid w:val="00781D76"/>
    <w:rsid w:val="007833C9"/>
    <w:rsid w:val="00784C8C"/>
    <w:rsid w:val="007856F7"/>
    <w:rsid w:val="00785B37"/>
    <w:rsid w:val="00786CC8"/>
    <w:rsid w:val="00786D76"/>
    <w:rsid w:val="00787D95"/>
    <w:rsid w:val="007917D8"/>
    <w:rsid w:val="0079208C"/>
    <w:rsid w:val="00792887"/>
    <w:rsid w:val="0079434E"/>
    <w:rsid w:val="00794A72"/>
    <w:rsid w:val="00794BCF"/>
    <w:rsid w:val="0079559C"/>
    <w:rsid w:val="0079664F"/>
    <w:rsid w:val="00796F7B"/>
    <w:rsid w:val="00797095"/>
    <w:rsid w:val="00797372"/>
    <w:rsid w:val="00797435"/>
    <w:rsid w:val="00797442"/>
    <w:rsid w:val="007974C0"/>
    <w:rsid w:val="007A05D3"/>
    <w:rsid w:val="007A13E7"/>
    <w:rsid w:val="007A1478"/>
    <w:rsid w:val="007A1E2F"/>
    <w:rsid w:val="007A20C9"/>
    <w:rsid w:val="007A2844"/>
    <w:rsid w:val="007A3DAC"/>
    <w:rsid w:val="007A401D"/>
    <w:rsid w:val="007A4C41"/>
    <w:rsid w:val="007A4DA0"/>
    <w:rsid w:val="007A4F75"/>
    <w:rsid w:val="007A5932"/>
    <w:rsid w:val="007A6E15"/>
    <w:rsid w:val="007A6EC0"/>
    <w:rsid w:val="007B1847"/>
    <w:rsid w:val="007B1B41"/>
    <w:rsid w:val="007B27E5"/>
    <w:rsid w:val="007B3651"/>
    <w:rsid w:val="007B3B04"/>
    <w:rsid w:val="007B40E0"/>
    <w:rsid w:val="007B4F15"/>
    <w:rsid w:val="007B51C5"/>
    <w:rsid w:val="007B545F"/>
    <w:rsid w:val="007B5CC6"/>
    <w:rsid w:val="007B61EF"/>
    <w:rsid w:val="007B6529"/>
    <w:rsid w:val="007B6A9F"/>
    <w:rsid w:val="007C1771"/>
    <w:rsid w:val="007C20CA"/>
    <w:rsid w:val="007C2606"/>
    <w:rsid w:val="007C2DA7"/>
    <w:rsid w:val="007C3734"/>
    <w:rsid w:val="007C5242"/>
    <w:rsid w:val="007C5CAF"/>
    <w:rsid w:val="007C6446"/>
    <w:rsid w:val="007C6D50"/>
    <w:rsid w:val="007C7278"/>
    <w:rsid w:val="007C7649"/>
    <w:rsid w:val="007C794C"/>
    <w:rsid w:val="007D3321"/>
    <w:rsid w:val="007D3635"/>
    <w:rsid w:val="007D423B"/>
    <w:rsid w:val="007D4E39"/>
    <w:rsid w:val="007D4E47"/>
    <w:rsid w:val="007D58E3"/>
    <w:rsid w:val="007D5AFA"/>
    <w:rsid w:val="007D6A0D"/>
    <w:rsid w:val="007D6DDF"/>
    <w:rsid w:val="007E0CC9"/>
    <w:rsid w:val="007E4756"/>
    <w:rsid w:val="007E51FA"/>
    <w:rsid w:val="007E526E"/>
    <w:rsid w:val="007E5D1A"/>
    <w:rsid w:val="007E6F03"/>
    <w:rsid w:val="007F0448"/>
    <w:rsid w:val="007F0649"/>
    <w:rsid w:val="007F100C"/>
    <w:rsid w:val="007F287A"/>
    <w:rsid w:val="007F4165"/>
    <w:rsid w:val="007F4D29"/>
    <w:rsid w:val="007F4F62"/>
    <w:rsid w:val="007F5337"/>
    <w:rsid w:val="007F55E0"/>
    <w:rsid w:val="007F61A7"/>
    <w:rsid w:val="007F6468"/>
    <w:rsid w:val="007F6611"/>
    <w:rsid w:val="00800988"/>
    <w:rsid w:val="00801226"/>
    <w:rsid w:val="00803DAE"/>
    <w:rsid w:val="00805BF4"/>
    <w:rsid w:val="008060C6"/>
    <w:rsid w:val="008065DA"/>
    <w:rsid w:val="00806758"/>
    <w:rsid w:val="00806ECC"/>
    <w:rsid w:val="008074C9"/>
    <w:rsid w:val="0080763B"/>
    <w:rsid w:val="00807C1C"/>
    <w:rsid w:val="00810124"/>
    <w:rsid w:val="00810A85"/>
    <w:rsid w:val="00810E7B"/>
    <w:rsid w:val="00811D0F"/>
    <w:rsid w:val="00811E11"/>
    <w:rsid w:val="008122A2"/>
    <w:rsid w:val="00812314"/>
    <w:rsid w:val="00814B1E"/>
    <w:rsid w:val="0081758B"/>
    <w:rsid w:val="008210D2"/>
    <w:rsid w:val="00822168"/>
    <w:rsid w:val="00822D87"/>
    <w:rsid w:val="0082306F"/>
    <w:rsid w:val="0082354F"/>
    <w:rsid w:val="0082447D"/>
    <w:rsid w:val="00824696"/>
    <w:rsid w:val="00824749"/>
    <w:rsid w:val="00826174"/>
    <w:rsid w:val="00830847"/>
    <w:rsid w:val="0083107C"/>
    <w:rsid w:val="00831601"/>
    <w:rsid w:val="00832C38"/>
    <w:rsid w:val="00832DB0"/>
    <w:rsid w:val="00833283"/>
    <w:rsid w:val="00833986"/>
    <w:rsid w:val="0083545E"/>
    <w:rsid w:val="00835F19"/>
    <w:rsid w:val="008369F4"/>
    <w:rsid w:val="00836F59"/>
    <w:rsid w:val="008370A1"/>
    <w:rsid w:val="00840A99"/>
    <w:rsid w:val="00841169"/>
    <w:rsid w:val="00841596"/>
    <w:rsid w:val="0084269C"/>
    <w:rsid w:val="00842FD6"/>
    <w:rsid w:val="0084366C"/>
    <w:rsid w:val="008438C2"/>
    <w:rsid w:val="0084486F"/>
    <w:rsid w:val="00845483"/>
    <w:rsid w:val="00845CA0"/>
    <w:rsid w:val="008468F4"/>
    <w:rsid w:val="00846D5E"/>
    <w:rsid w:val="00846FB5"/>
    <w:rsid w:val="0085150C"/>
    <w:rsid w:val="00851B7F"/>
    <w:rsid w:val="00852E19"/>
    <w:rsid w:val="00853880"/>
    <w:rsid w:val="00855C71"/>
    <w:rsid w:val="00855D26"/>
    <w:rsid w:val="008560DC"/>
    <w:rsid w:val="0085717C"/>
    <w:rsid w:val="008573FF"/>
    <w:rsid w:val="00857D63"/>
    <w:rsid w:val="00857D67"/>
    <w:rsid w:val="0086121F"/>
    <w:rsid w:val="00861ABE"/>
    <w:rsid w:val="008624D3"/>
    <w:rsid w:val="00862894"/>
    <w:rsid w:val="0086329B"/>
    <w:rsid w:val="00865005"/>
    <w:rsid w:val="00865BB6"/>
    <w:rsid w:val="008662F1"/>
    <w:rsid w:val="0086681F"/>
    <w:rsid w:val="00866BA2"/>
    <w:rsid w:val="0086727D"/>
    <w:rsid w:val="00867FAF"/>
    <w:rsid w:val="00872150"/>
    <w:rsid w:val="008726D2"/>
    <w:rsid w:val="00873031"/>
    <w:rsid w:val="00873437"/>
    <w:rsid w:val="00874066"/>
    <w:rsid w:val="00874DED"/>
    <w:rsid w:val="008757FB"/>
    <w:rsid w:val="00875A2C"/>
    <w:rsid w:val="00875B13"/>
    <w:rsid w:val="008765B5"/>
    <w:rsid w:val="008767BD"/>
    <w:rsid w:val="00876D81"/>
    <w:rsid w:val="0087769C"/>
    <w:rsid w:val="00881D14"/>
    <w:rsid w:val="008826E3"/>
    <w:rsid w:val="0088300F"/>
    <w:rsid w:val="00884B34"/>
    <w:rsid w:val="00884DF3"/>
    <w:rsid w:val="008853D7"/>
    <w:rsid w:val="008857C3"/>
    <w:rsid w:val="00885959"/>
    <w:rsid w:val="00885A80"/>
    <w:rsid w:val="00886C27"/>
    <w:rsid w:val="00887219"/>
    <w:rsid w:val="008877A2"/>
    <w:rsid w:val="00887915"/>
    <w:rsid w:val="00887C8B"/>
    <w:rsid w:val="00890262"/>
    <w:rsid w:val="00890FB5"/>
    <w:rsid w:val="00892AC2"/>
    <w:rsid w:val="00892BAF"/>
    <w:rsid w:val="00892FC2"/>
    <w:rsid w:val="00893736"/>
    <w:rsid w:val="00894233"/>
    <w:rsid w:val="008944C3"/>
    <w:rsid w:val="00895C4E"/>
    <w:rsid w:val="00896331"/>
    <w:rsid w:val="00896E81"/>
    <w:rsid w:val="0089775D"/>
    <w:rsid w:val="008977E1"/>
    <w:rsid w:val="00897E68"/>
    <w:rsid w:val="00897FD8"/>
    <w:rsid w:val="008A05E3"/>
    <w:rsid w:val="008A1B91"/>
    <w:rsid w:val="008A1D7F"/>
    <w:rsid w:val="008A211B"/>
    <w:rsid w:val="008A2CBD"/>
    <w:rsid w:val="008A38D7"/>
    <w:rsid w:val="008A3A97"/>
    <w:rsid w:val="008A43D7"/>
    <w:rsid w:val="008A4B96"/>
    <w:rsid w:val="008A4F3E"/>
    <w:rsid w:val="008A563B"/>
    <w:rsid w:val="008A6FA5"/>
    <w:rsid w:val="008A7075"/>
    <w:rsid w:val="008B07A2"/>
    <w:rsid w:val="008B1059"/>
    <w:rsid w:val="008B1302"/>
    <w:rsid w:val="008B3633"/>
    <w:rsid w:val="008B40C9"/>
    <w:rsid w:val="008B41D7"/>
    <w:rsid w:val="008B47C3"/>
    <w:rsid w:val="008B5629"/>
    <w:rsid w:val="008B5698"/>
    <w:rsid w:val="008B69BB"/>
    <w:rsid w:val="008B750D"/>
    <w:rsid w:val="008B7705"/>
    <w:rsid w:val="008B78AB"/>
    <w:rsid w:val="008B7CB8"/>
    <w:rsid w:val="008C0ACA"/>
    <w:rsid w:val="008C3856"/>
    <w:rsid w:val="008C4A16"/>
    <w:rsid w:val="008C4F1A"/>
    <w:rsid w:val="008C5545"/>
    <w:rsid w:val="008C5790"/>
    <w:rsid w:val="008C5AFC"/>
    <w:rsid w:val="008C66B3"/>
    <w:rsid w:val="008C7B88"/>
    <w:rsid w:val="008C7B8A"/>
    <w:rsid w:val="008C7CCE"/>
    <w:rsid w:val="008C7FA6"/>
    <w:rsid w:val="008D040A"/>
    <w:rsid w:val="008D0948"/>
    <w:rsid w:val="008D0A06"/>
    <w:rsid w:val="008D14A6"/>
    <w:rsid w:val="008D262C"/>
    <w:rsid w:val="008D26B7"/>
    <w:rsid w:val="008D2A14"/>
    <w:rsid w:val="008D2C07"/>
    <w:rsid w:val="008D2F21"/>
    <w:rsid w:val="008D3080"/>
    <w:rsid w:val="008D324F"/>
    <w:rsid w:val="008D4DC9"/>
    <w:rsid w:val="008D5167"/>
    <w:rsid w:val="008D5F0E"/>
    <w:rsid w:val="008D6909"/>
    <w:rsid w:val="008D7297"/>
    <w:rsid w:val="008D7C34"/>
    <w:rsid w:val="008E0DC2"/>
    <w:rsid w:val="008E10B8"/>
    <w:rsid w:val="008E155E"/>
    <w:rsid w:val="008E2032"/>
    <w:rsid w:val="008E2E32"/>
    <w:rsid w:val="008E5339"/>
    <w:rsid w:val="008E6545"/>
    <w:rsid w:val="008E6967"/>
    <w:rsid w:val="008E77F1"/>
    <w:rsid w:val="008E7A45"/>
    <w:rsid w:val="008F0AF8"/>
    <w:rsid w:val="008F13C1"/>
    <w:rsid w:val="008F15A3"/>
    <w:rsid w:val="008F16B0"/>
    <w:rsid w:val="008F194B"/>
    <w:rsid w:val="008F1A4F"/>
    <w:rsid w:val="008F1B1E"/>
    <w:rsid w:val="008F2F54"/>
    <w:rsid w:val="008F3B96"/>
    <w:rsid w:val="008F3C30"/>
    <w:rsid w:val="008F4FE4"/>
    <w:rsid w:val="008F53F2"/>
    <w:rsid w:val="008F6423"/>
    <w:rsid w:val="008F79C9"/>
    <w:rsid w:val="008F7CA1"/>
    <w:rsid w:val="009000AE"/>
    <w:rsid w:val="00900627"/>
    <w:rsid w:val="00901F02"/>
    <w:rsid w:val="00903D52"/>
    <w:rsid w:val="00903F7D"/>
    <w:rsid w:val="00904D33"/>
    <w:rsid w:val="00905023"/>
    <w:rsid w:val="00905215"/>
    <w:rsid w:val="009063DE"/>
    <w:rsid w:val="00906871"/>
    <w:rsid w:val="009116B6"/>
    <w:rsid w:val="00913A00"/>
    <w:rsid w:val="00914388"/>
    <w:rsid w:val="009157D0"/>
    <w:rsid w:val="00915BA1"/>
    <w:rsid w:val="009201BC"/>
    <w:rsid w:val="0092150B"/>
    <w:rsid w:val="00922843"/>
    <w:rsid w:val="00923D72"/>
    <w:rsid w:val="00924937"/>
    <w:rsid w:val="00924AA5"/>
    <w:rsid w:val="00925AEF"/>
    <w:rsid w:val="00925FC4"/>
    <w:rsid w:val="00927719"/>
    <w:rsid w:val="009307B4"/>
    <w:rsid w:val="009307B6"/>
    <w:rsid w:val="0093149F"/>
    <w:rsid w:val="00931EB4"/>
    <w:rsid w:val="00932428"/>
    <w:rsid w:val="00933007"/>
    <w:rsid w:val="00933B29"/>
    <w:rsid w:val="00934161"/>
    <w:rsid w:val="00935DF3"/>
    <w:rsid w:val="009365FD"/>
    <w:rsid w:val="009378E2"/>
    <w:rsid w:val="00940293"/>
    <w:rsid w:val="00940A0B"/>
    <w:rsid w:val="009412CC"/>
    <w:rsid w:val="00941E60"/>
    <w:rsid w:val="00941EAC"/>
    <w:rsid w:val="00942504"/>
    <w:rsid w:val="0094269F"/>
    <w:rsid w:val="0094292B"/>
    <w:rsid w:val="00942B81"/>
    <w:rsid w:val="00942EB2"/>
    <w:rsid w:val="00944282"/>
    <w:rsid w:val="00944886"/>
    <w:rsid w:val="00944F2C"/>
    <w:rsid w:val="0095025F"/>
    <w:rsid w:val="00951161"/>
    <w:rsid w:val="00951473"/>
    <w:rsid w:val="00951721"/>
    <w:rsid w:val="00952EBD"/>
    <w:rsid w:val="00952EFD"/>
    <w:rsid w:val="0095334E"/>
    <w:rsid w:val="009533E2"/>
    <w:rsid w:val="00953572"/>
    <w:rsid w:val="00954049"/>
    <w:rsid w:val="00954449"/>
    <w:rsid w:val="00954C11"/>
    <w:rsid w:val="00955563"/>
    <w:rsid w:val="00955DA8"/>
    <w:rsid w:val="00955E2C"/>
    <w:rsid w:val="00955EF5"/>
    <w:rsid w:val="00956EC7"/>
    <w:rsid w:val="00957399"/>
    <w:rsid w:val="00957951"/>
    <w:rsid w:val="00957C7E"/>
    <w:rsid w:val="0096019D"/>
    <w:rsid w:val="00960C5D"/>
    <w:rsid w:val="0096147F"/>
    <w:rsid w:val="0096237D"/>
    <w:rsid w:val="00962663"/>
    <w:rsid w:val="00963AE1"/>
    <w:rsid w:val="009643D6"/>
    <w:rsid w:val="0096550D"/>
    <w:rsid w:val="00966055"/>
    <w:rsid w:val="00966406"/>
    <w:rsid w:val="00966703"/>
    <w:rsid w:val="0096704F"/>
    <w:rsid w:val="00970896"/>
    <w:rsid w:val="009711F2"/>
    <w:rsid w:val="00973862"/>
    <w:rsid w:val="00974418"/>
    <w:rsid w:val="009751A7"/>
    <w:rsid w:val="00976247"/>
    <w:rsid w:val="00980051"/>
    <w:rsid w:val="009807D3"/>
    <w:rsid w:val="00981AA8"/>
    <w:rsid w:val="00981BEB"/>
    <w:rsid w:val="00981D31"/>
    <w:rsid w:val="0098210B"/>
    <w:rsid w:val="00982E5A"/>
    <w:rsid w:val="009836D7"/>
    <w:rsid w:val="0098465F"/>
    <w:rsid w:val="009847BA"/>
    <w:rsid w:val="00990183"/>
    <w:rsid w:val="0099042C"/>
    <w:rsid w:val="00990693"/>
    <w:rsid w:val="00990B1B"/>
    <w:rsid w:val="009921F8"/>
    <w:rsid w:val="009929AE"/>
    <w:rsid w:val="00992CCE"/>
    <w:rsid w:val="00992DD7"/>
    <w:rsid w:val="0099328F"/>
    <w:rsid w:val="00993758"/>
    <w:rsid w:val="00993ABE"/>
    <w:rsid w:val="00995C22"/>
    <w:rsid w:val="009961D3"/>
    <w:rsid w:val="0099638C"/>
    <w:rsid w:val="009970BE"/>
    <w:rsid w:val="009974B7"/>
    <w:rsid w:val="00997F23"/>
    <w:rsid w:val="009A09A2"/>
    <w:rsid w:val="009A0ADA"/>
    <w:rsid w:val="009A1A6F"/>
    <w:rsid w:val="009A3A8A"/>
    <w:rsid w:val="009A4531"/>
    <w:rsid w:val="009A4F54"/>
    <w:rsid w:val="009A5401"/>
    <w:rsid w:val="009A727C"/>
    <w:rsid w:val="009A73D8"/>
    <w:rsid w:val="009A7D5E"/>
    <w:rsid w:val="009B0428"/>
    <w:rsid w:val="009B0949"/>
    <w:rsid w:val="009B1072"/>
    <w:rsid w:val="009B10A4"/>
    <w:rsid w:val="009B3ED9"/>
    <w:rsid w:val="009B5278"/>
    <w:rsid w:val="009B5D84"/>
    <w:rsid w:val="009B68B7"/>
    <w:rsid w:val="009B722A"/>
    <w:rsid w:val="009C030B"/>
    <w:rsid w:val="009C06CA"/>
    <w:rsid w:val="009C13D3"/>
    <w:rsid w:val="009C2853"/>
    <w:rsid w:val="009C2888"/>
    <w:rsid w:val="009C29A4"/>
    <w:rsid w:val="009C2A27"/>
    <w:rsid w:val="009C2D0C"/>
    <w:rsid w:val="009C3257"/>
    <w:rsid w:val="009C59F2"/>
    <w:rsid w:val="009C6019"/>
    <w:rsid w:val="009C64BF"/>
    <w:rsid w:val="009C695E"/>
    <w:rsid w:val="009C698A"/>
    <w:rsid w:val="009C7226"/>
    <w:rsid w:val="009C7476"/>
    <w:rsid w:val="009D0104"/>
    <w:rsid w:val="009D11D1"/>
    <w:rsid w:val="009D1769"/>
    <w:rsid w:val="009D1D88"/>
    <w:rsid w:val="009D29E6"/>
    <w:rsid w:val="009D2AA2"/>
    <w:rsid w:val="009D37DC"/>
    <w:rsid w:val="009D434E"/>
    <w:rsid w:val="009D61C4"/>
    <w:rsid w:val="009D66D0"/>
    <w:rsid w:val="009D6EB6"/>
    <w:rsid w:val="009D6EB8"/>
    <w:rsid w:val="009D7922"/>
    <w:rsid w:val="009D7A57"/>
    <w:rsid w:val="009D7C41"/>
    <w:rsid w:val="009E1064"/>
    <w:rsid w:val="009E16EB"/>
    <w:rsid w:val="009E2B27"/>
    <w:rsid w:val="009E35F2"/>
    <w:rsid w:val="009E3632"/>
    <w:rsid w:val="009E3652"/>
    <w:rsid w:val="009E4415"/>
    <w:rsid w:val="009E4566"/>
    <w:rsid w:val="009E5320"/>
    <w:rsid w:val="009E73E0"/>
    <w:rsid w:val="009E7611"/>
    <w:rsid w:val="009E7EBF"/>
    <w:rsid w:val="009E7EF9"/>
    <w:rsid w:val="009F07A5"/>
    <w:rsid w:val="009F07CA"/>
    <w:rsid w:val="009F1966"/>
    <w:rsid w:val="009F2697"/>
    <w:rsid w:val="009F2AD5"/>
    <w:rsid w:val="009F2DE1"/>
    <w:rsid w:val="009F30A3"/>
    <w:rsid w:val="009F356A"/>
    <w:rsid w:val="009F3652"/>
    <w:rsid w:val="009F4AF7"/>
    <w:rsid w:val="009F4C01"/>
    <w:rsid w:val="009F69C8"/>
    <w:rsid w:val="009F6E47"/>
    <w:rsid w:val="009F6E85"/>
    <w:rsid w:val="009F711D"/>
    <w:rsid w:val="009F778A"/>
    <w:rsid w:val="009F7D3B"/>
    <w:rsid w:val="00A003DB"/>
    <w:rsid w:val="00A00413"/>
    <w:rsid w:val="00A048FF"/>
    <w:rsid w:val="00A04D3E"/>
    <w:rsid w:val="00A05141"/>
    <w:rsid w:val="00A076D0"/>
    <w:rsid w:val="00A07911"/>
    <w:rsid w:val="00A1081F"/>
    <w:rsid w:val="00A11451"/>
    <w:rsid w:val="00A119B2"/>
    <w:rsid w:val="00A1282E"/>
    <w:rsid w:val="00A132D6"/>
    <w:rsid w:val="00A13FCE"/>
    <w:rsid w:val="00A14738"/>
    <w:rsid w:val="00A14DF8"/>
    <w:rsid w:val="00A14FE7"/>
    <w:rsid w:val="00A15623"/>
    <w:rsid w:val="00A16774"/>
    <w:rsid w:val="00A1706D"/>
    <w:rsid w:val="00A172B9"/>
    <w:rsid w:val="00A174E2"/>
    <w:rsid w:val="00A179B0"/>
    <w:rsid w:val="00A17DD1"/>
    <w:rsid w:val="00A201BB"/>
    <w:rsid w:val="00A2080E"/>
    <w:rsid w:val="00A20870"/>
    <w:rsid w:val="00A20C54"/>
    <w:rsid w:val="00A21DCD"/>
    <w:rsid w:val="00A22190"/>
    <w:rsid w:val="00A225E1"/>
    <w:rsid w:val="00A23337"/>
    <w:rsid w:val="00A23FDB"/>
    <w:rsid w:val="00A259AE"/>
    <w:rsid w:val="00A26929"/>
    <w:rsid w:val="00A27245"/>
    <w:rsid w:val="00A27F81"/>
    <w:rsid w:val="00A31797"/>
    <w:rsid w:val="00A31D42"/>
    <w:rsid w:val="00A33526"/>
    <w:rsid w:val="00A33A5F"/>
    <w:rsid w:val="00A33DBD"/>
    <w:rsid w:val="00A34044"/>
    <w:rsid w:val="00A340BC"/>
    <w:rsid w:val="00A34265"/>
    <w:rsid w:val="00A346C8"/>
    <w:rsid w:val="00A34C0A"/>
    <w:rsid w:val="00A3526A"/>
    <w:rsid w:val="00A35456"/>
    <w:rsid w:val="00A35FFA"/>
    <w:rsid w:val="00A36577"/>
    <w:rsid w:val="00A37216"/>
    <w:rsid w:val="00A37870"/>
    <w:rsid w:val="00A37DFD"/>
    <w:rsid w:val="00A40375"/>
    <w:rsid w:val="00A4072D"/>
    <w:rsid w:val="00A411C7"/>
    <w:rsid w:val="00A414CC"/>
    <w:rsid w:val="00A41935"/>
    <w:rsid w:val="00A419D2"/>
    <w:rsid w:val="00A41BAA"/>
    <w:rsid w:val="00A41D8E"/>
    <w:rsid w:val="00A41DEC"/>
    <w:rsid w:val="00A41FA5"/>
    <w:rsid w:val="00A425F7"/>
    <w:rsid w:val="00A42AEB"/>
    <w:rsid w:val="00A43091"/>
    <w:rsid w:val="00A4425A"/>
    <w:rsid w:val="00A44CD6"/>
    <w:rsid w:val="00A47846"/>
    <w:rsid w:val="00A5045A"/>
    <w:rsid w:val="00A5099F"/>
    <w:rsid w:val="00A511ED"/>
    <w:rsid w:val="00A5187E"/>
    <w:rsid w:val="00A51E8B"/>
    <w:rsid w:val="00A52ABB"/>
    <w:rsid w:val="00A52D18"/>
    <w:rsid w:val="00A535AF"/>
    <w:rsid w:val="00A54144"/>
    <w:rsid w:val="00A573AC"/>
    <w:rsid w:val="00A57400"/>
    <w:rsid w:val="00A57C46"/>
    <w:rsid w:val="00A60168"/>
    <w:rsid w:val="00A6151D"/>
    <w:rsid w:val="00A618DD"/>
    <w:rsid w:val="00A61AC1"/>
    <w:rsid w:val="00A63448"/>
    <w:rsid w:val="00A63ABC"/>
    <w:rsid w:val="00A64CA0"/>
    <w:rsid w:val="00A64E91"/>
    <w:rsid w:val="00A6515A"/>
    <w:rsid w:val="00A657A3"/>
    <w:rsid w:val="00A66730"/>
    <w:rsid w:val="00A66D8F"/>
    <w:rsid w:val="00A67154"/>
    <w:rsid w:val="00A672D3"/>
    <w:rsid w:val="00A67CA7"/>
    <w:rsid w:val="00A71448"/>
    <w:rsid w:val="00A72ADD"/>
    <w:rsid w:val="00A72F29"/>
    <w:rsid w:val="00A72FD9"/>
    <w:rsid w:val="00A7390B"/>
    <w:rsid w:val="00A74145"/>
    <w:rsid w:val="00A750EC"/>
    <w:rsid w:val="00A76AB0"/>
    <w:rsid w:val="00A76E0C"/>
    <w:rsid w:val="00A77572"/>
    <w:rsid w:val="00A81880"/>
    <w:rsid w:val="00A81CF4"/>
    <w:rsid w:val="00A81D07"/>
    <w:rsid w:val="00A82772"/>
    <w:rsid w:val="00A835C0"/>
    <w:rsid w:val="00A840F5"/>
    <w:rsid w:val="00A841EC"/>
    <w:rsid w:val="00A8433E"/>
    <w:rsid w:val="00A8486E"/>
    <w:rsid w:val="00A84F44"/>
    <w:rsid w:val="00A86D71"/>
    <w:rsid w:val="00A87939"/>
    <w:rsid w:val="00A90929"/>
    <w:rsid w:val="00A913B2"/>
    <w:rsid w:val="00A91A72"/>
    <w:rsid w:val="00A91B44"/>
    <w:rsid w:val="00A91D43"/>
    <w:rsid w:val="00A942C1"/>
    <w:rsid w:val="00A94D8B"/>
    <w:rsid w:val="00A9529A"/>
    <w:rsid w:val="00A95763"/>
    <w:rsid w:val="00A95EB9"/>
    <w:rsid w:val="00A971E2"/>
    <w:rsid w:val="00A97EC7"/>
    <w:rsid w:val="00AA13FA"/>
    <w:rsid w:val="00AA1A3E"/>
    <w:rsid w:val="00AA1AD7"/>
    <w:rsid w:val="00AA1C9F"/>
    <w:rsid w:val="00AA2075"/>
    <w:rsid w:val="00AA2134"/>
    <w:rsid w:val="00AA2F7D"/>
    <w:rsid w:val="00AA34E5"/>
    <w:rsid w:val="00AA368F"/>
    <w:rsid w:val="00AA3BA2"/>
    <w:rsid w:val="00AA4813"/>
    <w:rsid w:val="00AA4947"/>
    <w:rsid w:val="00AA508F"/>
    <w:rsid w:val="00AA5A01"/>
    <w:rsid w:val="00AA5B6B"/>
    <w:rsid w:val="00AA64DE"/>
    <w:rsid w:val="00AA6555"/>
    <w:rsid w:val="00AA6D9A"/>
    <w:rsid w:val="00AA72B9"/>
    <w:rsid w:val="00AA7FA4"/>
    <w:rsid w:val="00AB1177"/>
    <w:rsid w:val="00AB15B2"/>
    <w:rsid w:val="00AB15FB"/>
    <w:rsid w:val="00AB1658"/>
    <w:rsid w:val="00AB19C8"/>
    <w:rsid w:val="00AB1CC3"/>
    <w:rsid w:val="00AB3345"/>
    <w:rsid w:val="00AB3AEF"/>
    <w:rsid w:val="00AB3B49"/>
    <w:rsid w:val="00AB4382"/>
    <w:rsid w:val="00AB5457"/>
    <w:rsid w:val="00AB610F"/>
    <w:rsid w:val="00AB61F9"/>
    <w:rsid w:val="00AB66A9"/>
    <w:rsid w:val="00AB7356"/>
    <w:rsid w:val="00AB768D"/>
    <w:rsid w:val="00AB7FE4"/>
    <w:rsid w:val="00AC1389"/>
    <w:rsid w:val="00AC1CD9"/>
    <w:rsid w:val="00AC240B"/>
    <w:rsid w:val="00AC2E00"/>
    <w:rsid w:val="00AC38FD"/>
    <w:rsid w:val="00AC4307"/>
    <w:rsid w:val="00AC494B"/>
    <w:rsid w:val="00AC4CC1"/>
    <w:rsid w:val="00AC58BD"/>
    <w:rsid w:val="00AC5F7C"/>
    <w:rsid w:val="00AC6CC5"/>
    <w:rsid w:val="00AC75EC"/>
    <w:rsid w:val="00AC796D"/>
    <w:rsid w:val="00AC7B6F"/>
    <w:rsid w:val="00AC7C1D"/>
    <w:rsid w:val="00AD06F9"/>
    <w:rsid w:val="00AD0DD0"/>
    <w:rsid w:val="00AD111B"/>
    <w:rsid w:val="00AD18AA"/>
    <w:rsid w:val="00AD1EC4"/>
    <w:rsid w:val="00AD246B"/>
    <w:rsid w:val="00AD27D1"/>
    <w:rsid w:val="00AD2B50"/>
    <w:rsid w:val="00AD383B"/>
    <w:rsid w:val="00AD39EE"/>
    <w:rsid w:val="00AD3A5B"/>
    <w:rsid w:val="00AD3D9A"/>
    <w:rsid w:val="00AD500A"/>
    <w:rsid w:val="00AD5495"/>
    <w:rsid w:val="00AD56CC"/>
    <w:rsid w:val="00AD630F"/>
    <w:rsid w:val="00AD6FC6"/>
    <w:rsid w:val="00AD705E"/>
    <w:rsid w:val="00AD7870"/>
    <w:rsid w:val="00AD7C0F"/>
    <w:rsid w:val="00AE0559"/>
    <w:rsid w:val="00AE1358"/>
    <w:rsid w:val="00AE1ADE"/>
    <w:rsid w:val="00AE1EC1"/>
    <w:rsid w:val="00AE2ECC"/>
    <w:rsid w:val="00AE37CD"/>
    <w:rsid w:val="00AE3B5E"/>
    <w:rsid w:val="00AE54BD"/>
    <w:rsid w:val="00AE57A8"/>
    <w:rsid w:val="00AE6190"/>
    <w:rsid w:val="00AE694B"/>
    <w:rsid w:val="00AE6A17"/>
    <w:rsid w:val="00AE727D"/>
    <w:rsid w:val="00AE7F31"/>
    <w:rsid w:val="00AF007D"/>
    <w:rsid w:val="00AF1BAE"/>
    <w:rsid w:val="00AF2187"/>
    <w:rsid w:val="00AF2C2F"/>
    <w:rsid w:val="00AF2EBE"/>
    <w:rsid w:val="00AF3297"/>
    <w:rsid w:val="00AF44FA"/>
    <w:rsid w:val="00AF4610"/>
    <w:rsid w:val="00AF5729"/>
    <w:rsid w:val="00AF619C"/>
    <w:rsid w:val="00AF633A"/>
    <w:rsid w:val="00AF658B"/>
    <w:rsid w:val="00AF65F0"/>
    <w:rsid w:val="00AF6A9F"/>
    <w:rsid w:val="00B00D18"/>
    <w:rsid w:val="00B01584"/>
    <w:rsid w:val="00B01BB8"/>
    <w:rsid w:val="00B026AA"/>
    <w:rsid w:val="00B03A2F"/>
    <w:rsid w:val="00B056A8"/>
    <w:rsid w:val="00B0662F"/>
    <w:rsid w:val="00B07381"/>
    <w:rsid w:val="00B10DFB"/>
    <w:rsid w:val="00B11385"/>
    <w:rsid w:val="00B118B7"/>
    <w:rsid w:val="00B12148"/>
    <w:rsid w:val="00B13CEE"/>
    <w:rsid w:val="00B13F53"/>
    <w:rsid w:val="00B14F39"/>
    <w:rsid w:val="00B1556C"/>
    <w:rsid w:val="00B158F7"/>
    <w:rsid w:val="00B15C05"/>
    <w:rsid w:val="00B172B1"/>
    <w:rsid w:val="00B178E7"/>
    <w:rsid w:val="00B17DD8"/>
    <w:rsid w:val="00B2026D"/>
    <w:rsid w:val="00B20694"/>
    <w:rsid w:val="00B20957"/>
    <w:rsid w:val="00B22EC3"/>
    <w:rsid w:val="00B23240"/>
    <w:rsid w:val="00B239EA"/>
    <w:rsid w:val="00B24667"/>
    <w:rsid w:val="00B2503F"/>
    <w:rsid w:val="00B25B66"/>
    <w:rsid w:val="00B265E4"/>
    <w:rsid w:val="00B273B1"/>
    <w:rsid w:val="00B277F7"/>
    <w:rsid w:val="00B27ABB"/>
    <w:rsid w:val="00B30425"/>
    <w:rsid w:val="00B305FD"/>
    <w:rsid w:val="00B30A7B"/>
    <w:rsid w:val="00B310C1"/>
    <w:rsid w:val="00B31BE8"/>
    <w:rsid w:val="00B31D00"/>
    <w:rsid w:val="00B32576"/>
    <w:rsid w:val="00B32678"/>
    <w:rsid w:val="00B32DBD"/>
    <w:rsid w:val="00B3374C"/>
    <w:rsid w:val="00B3392B"/>
    <w:rsid w:val="00B35908"/>
    <w:rsid w:val="00B36E9B"/>
    <w:rsid w:val="00B378B5"/>
    <w:rsid w:val="00B4005A"/>
    <w:rsid w:val="00B40419"/>
    <w:rsid w:val="00B415A1"/>
    <w:rsid w:val="00B41800"/>
    <w:rsid w:val="00B41DF5"/>
    <w:rsid w:val="00B425F0"/>
    <w:rsid w:val="00B43B2D"/>
    <w:rsid w:val="00B464B5"/>
    <w:rsid w:val="00B472EF"/>
    <w:rsid w:val="00B477F7"/>
    <w:rsid w:val="00B47F1D"/>
    <w:rsid w:val="00B503A6"/>
    <w:rsid w:val="00B50428"/>
    <w:rsid w:val="00B506D0"/>
    <w:rsid w:val="00B52542"/>
    <w:rsid w:val="00B52E10"/>
    <w:rsid w:val="00B52E7E"/>
    <w:rsid w:val="00B54C01"/>
    <w:rsid w:val="00B55013"/>
    <w:rsid w:val="00B55CA2"/>
    <w:rsid w:val="00B56904"/>
    <w:rsid w:val="00B60961"/>
    <w:rsid w:val="00B60BEF"/>
    <w:rsid w:val="00B610A5"/>
    <w:rsid w:val="00B611F7"/>
    <w:rsid w:val="00B61E44"/>
    <w:rsid w:val="00B62520"/>
    <w:rsid w:val="00B632A7"/>
    <w:rsid w:val="00B63404"/>
    <w:rsid w:val="00B63741"/>
    <w:rsid w:val="00B63E16"/>
    <w:rsid w:val="00B63F35"/>
    <w:rsid w:val="00B642EB"/>
    <w:rsid w:val="00B65637"/>
    <w:rsid w:val="00B66252"/>
    <w:rsid w:val="00B6641A"/>
    <w:rsid w:val="00B666A5"/>
    <w:rsid w:val="00B67552"/>
    <w:rsid w:val="00B67655"/>
    <w:rsid w:val="00B676EF"/>
    <w:rsid w:val="00B72A1A"/>
    <w:rsid w:val="00B72C29"/>
    <w:rsid w:val="00B7346C"/>
    <w:rsid w:val="00B73602"/>
    <w:rsid w:val="00B7425E"/>
    <w:rsid w:val="00B80442"/>
    <w:rsid w:val="00B808D9"/>
    <w:rsid w:val="00B80FFC"/>
    <w:rsid w:val="00B81779"/>
    <w:rsid w:val="00B82ACB"/>
    <w:rsid w:val="00B832F1"/>
    <w:rsid w:val="00B8367F"/>
    <w:rsid w:val="00B838F6"/>
    <w:rsid w:val="00B841C5"/>
    <w:rsid w:val="00B84B81"/>
    <w:rsid w:val="00B84C7A"/>
    <w:rsid w:val="00B84DF5"/>
    <w:rsid w:val="00B84E3F"/>
    <w:rsid w:val="00B84FEA"/>
    <w:rsid w:val="00B86086"/>
    <w:rsid w:val="00B863D2"/>
    <w:rsid w:val="00B879BD"/>
    <w:rsid w:val="00B87D1F"/>
    <w:rsid w:val="00B87F12"/>
    <w:rsid w:val="00B90830"/>
    <w:rsid w:val="00B91739"/>
    <w:rsid w:val="00B91DCE"/>
    <w:rsid w:val="00B921B9"/>
    <w:rsid w:val="00B93913"/>
    <w:rsid w:val="00B93CBE"/>
    <w:rsid w:val="00B94235"/>
    <w:rsid w:val="00B94BD0"/>
    <w:rsid w:val="00B9506A"/>
    <w:rsid w:val="00B95537"/>
    <w:rsid w:val="00B95FF1"/>
    <w:rsid w:val="00B96793"/>
    <w:rsid w:val="00B96874"/>
    <w:rsid w:val="00B96C18"/>
    <w:rsid w:val="00B97212"/>
    <w:rsid w:val="00BA0960"/>
    <w:rsid w:val="00BA0B6A"/>
    <w:rsid w:val="00BA1211"/>
    <w:rsid w:val="00BA1311"/>
    <w:rsid w:val="00BA1CDF"/>
    <w:rsid w:val="00BA30AC"/>
    <w:rsid w:val="00BA329D"/>
    <w:rsid w:val="00BA336E"/>
    <w:rsid w:val="00BA3DBF"/>
    <w:rsid w:val="00BA3F28"/>
    <w:rsid w:val="00BA42BE"/>
    <w:rsid w:val="00BA48F5"/>
    <w:rsid w:val="00BA48FE"/>
    <w:rsid w:val="00BA4961"/>
    <w:rsid w:val="00BA4A9B"/>
    <w:rsid w:val="00BA6166"/>
    <w:rsid w:val="00BA6267"/>
    <w:rsid w:val="00BA76E5"/>
    <w:rsid w:val="00BB0B7D"/>
    <w:rsid w:val="00BB398C"/>
    <w:rsid w:val="00BB42CD"/>
    <w:rsid w:val="00BB4FA1"/>
    <w:rsid w:val="00BB583E"/>
    <w:rsid w:val="00BB7129"/>
    <w:rsid w:val="00BB7AB4"/>
    <w:rsid w:val="00BC149E"/>
    <w:rsid w:val="00BC2821"/>
    <w:rsid w:val="00BC4261"/>
    <w:rsid w:val="00BC5E82"/>
    <w:rsid w:val="00BC6E31"/>
    <w:rsid w:val="00BC7FE4"/>
    <w:rsid w:val="00BD01D5"/>
    <w:rsid w:val="00BD02EE"/>
    <w:rsid w:val="00BD0791"/>
    <w:rsid w:val="00BD185E"/>
    <w:rsid w:val="00BD1A9D"/>
    <w:rsid w:val="00BD1C85"/>
    <w:rsid w:val="00BD2D4B"/>
    <w:rsid w:val="00BD31D5"/>
    <w:rsid w:val="00BD42CB"/>
    <w:rsid w:val="00BD48B8"/>
    <w:rsid w:val="00BD57AE"/>
    <w:rsid w:val="00BD5A10"/>
    <w:rsid w:val="00BD5FD4"/>
    <w:rsid w:val="00BD6955"/>
    <w:rsid w:val="00BD6CDC"/>
    <w:rsid w:val="00BD6F33"/>
    <w:rsid w:val="00BD70BC"/>
    <w:rsid w:val="00BD7816"/>
    <w:rsid w:val="00BD7DC8"/>
    <w:rsid w:val="00BE05DC"/>
    <w:rsid w:val="00BE10BD"/>
    <w:rsid w:val="00BE23D1"/>
    <w:rsid w:val="00BE3043"/>
    <w:rsid w:val="00BE3FE5"/>
    <w:rsid w:val="00BE43A4"/>
    <w:rsid w:val="00BE4FE6"/>
    <w:rsid w:val="00BE566D"/>
    <w:rsid w:val="00BE5948"/>
    <w:rsid w:val="00BE5BFA"/>
    <w:rsid w:val="00BE664E"/>
    <w:rsid w:val="00BE68AA"/>
    <w:rsid w:val="00BE74AC"/>
    <w:rsid w:val="00BE7C30"/>
    <w:rsid w:val="00BF1791"/>
    <w:rsid w:val="00BF1B2D"/>
    <w:rsid w:val="00BF1FB7"/>
    <w:rsid w:val="00BF36A5"/>
    <w:rsid w:val="00BF455A"/>
    <w:rsid w:val="00BF45B5"/>
    <w:rsid w:val="00BF58EC"/>
    <w:rsid w:val="00C02616"/>
    <w:rsid w:val="00C02A2A"/>
    <w:rsid w:val="00C02E6B"/>
    <w:rsid w:val="00C034CC"/>
    <w:rsid w:val="00C03B2F"/>
    <w:rsid w:val="00C03D39"/>
    <w:rsid w:val="00C0414F"/>
    <w:rsid w:val="00C05FBB"/>
    <w:rsid w:val="00C061A0"/>
    <w:rsid w:val="00C06F2C"/>
    <w:rsid w:val="00C07783"/>
    <w:rsid w:val="00C07818"/>
    <w:rsid w:val="00C1046E"/>
    <w:rsid w:val="00C107E2"/>
    <w:rsid w:val="00C11555"/>
    <w:rsid w:val="00C11B29"/>
    <w:rsid w:val="00C130FF"/>
    <w:rsid w:val="00C13FED"/>
    <w:rsid w:val="00C14A03"/>
    <w:rsid w:val="00C16384"/>
    <w:rsid w:val="00C16720"/>
    <w:rsid w:val="00C16780"/>
    <w:rsid w:val="00C17734"/>
    <w:rsid w:val="00C20D9F"/>
    <w:rsid w:val="00C21007"/>
    <w:rsid w:val="00C2195A"/>
    <w:rsid w:val="00C21A43"/>
    <w:rsid w:val="00C21A7D"/>
    <w:rsid w:val="00C232F4"/>
    <w:rsid w:val="00C235E0"/>
    <w:rsid w:val="00C24118"/>
    <w:rsid w:val="00C247D5"/>
    <w:rsid w:val="00C26742"/>
    <w:rsid w:val="00C2751F"/>
    <w:rsid w:val="00C279AD"/>
    <w:rsid w:val="00C27A34"/>
    <w:rsid w:val="00C27AEB"/>
    <w:rsid w:val="00C305D9"/>
    <w:rsid w:val="00C307BF"/>
    <w:rsid w:val="00C30D5F"/>
    <w:rsid w:val="00C30E7C"/>
    <w:rsid w:val="00C311E9"/>
    <w:rsid w:val="00C31D1C"/>
    <w:rsid w:val="00C320FB"/>
    <w:rsid w:val="00C32491"/>
    <w:rsid w:val="00C34187"/>
    <w:rsid w:val="00C345B1"/>
    <w:rsid w:val="00C36C12"/>
    <w:rsid w:val="00C3742D"/>
    <w:rsid w:val="00C41653"/>
    <w:rsid w:val="00C41841"/>
    <w:rsid w:val="00C4202E"/>
    <w:rsid w:val="00C43021"/>
    <w:rsid w:val="00C43165"/>
    <w:rsid w:val="00C4352B"/>
    <w:rsid w:val="00C439C6"/>
    <w:rsid w:val="00C44A56"/>
    <w:rsid w:val="00C4589C"/>
    <w:rsid w:val="00C45F38"/>
    <w:rsid w:val="00C464B0"/>
    <w:rsid w:val="00C4652F"/>
    <w:rsid w:val="00C4676E"/>
    <w:rsid w:val="00C4748F"/>
    <w:rsid w:val="00C47653"/>
    <w:rsid w:val="00C47BDF"/>
    <w:rsid w:val="00C51735"/>
    <w:rsid w:val="00C5203B"/>
    <w:rsid w:val="00C52717"/>
    <w:rsid w:val="00C52C63"/>
    <w:rsid w:val="00C535B6"/>
    <w:rsid w:val="00C53778"/>
    <w:rsid w:val="00C54A7A"/>
    <w:rsid w:val="00C54A82"/>
    <w:rsid w:val="00C55003"/>
    <w:rsid w:val="00C55F58"/>
    <w:rsid w:val="00C571A4"/>
    <w:rsid w:val="00C571BB"/>
    <w:rsid w:val="00C579B3"/>
    <w:rsid w:val="00C6033E"/>
    <w:rsid w:val="00C61413"/>
    <w:rsid w:val="00C61797"/>
    <w:rsid w:val="00C63526"/>
    <w:rsid w:val="00C63C0D"/>
    <w:rsid w:val="00C63DC8"/>
    <w:rsid w:val="00C63F34"/>
    <w:rsid w:val="00C64396"/>
    <w:rsid w:val="00C64780"/>
    <w:rsid w:val="00C654DA"/>
    <w:rsid w:val="00C65DE7"/>
    <w:rsid w:val="00C66552"/>
    <w:rsid w:val="00C66AC2"/>
    <w:rsid w:val="00C6746F"/>
    <w:rsid w:val="00C6765B"/>
    <w:rsid w:val="00C70B1C"/>
    <w:rsid w:val="00C71B91"/>
    <w:rsid w:val="00C7200F"/>
    <w:rsid w:val="00C72BF8"/>
    <w:rsid w:val="00C7329C"/>
    <w:rsid w:val="00C73C0A"/>
    <w:rsid w:val="00C73E53"/>
    <w:rsid w:val="00C7436A"/>
    <w:rsid w:val="00C74825"/>
    <w:rsid w:val="00C7497E"/>
    <w:rsid w:val="00C752FF"/>
    <w:rsid w:val="00C75FB8"/>
    <w:rsid w:val="00C76115"/>
    <w:rsid w:val="00C77007"/>
    <w:rsid w:val="00C8328E"/>
    <w:rsid w:val="00C83B49"/>
    <w:rsid w:val="00C83C13"/>
    <w:rsid w:val="00C83CA2"/>
    <w:rsid w:val="00C84BF1"/>
    <w:rsid w:val="00C84CA0"/>
    <w:rsid w:val="00C856EF"/>
    <w:rsid w:val="00C8715C"/>
    <w:rsid w:val="00C87558"/>
    <w:rsid w:val="00C878DD"/>
    <w:rsid w:val="00C879B9"/>
    <w:rsid w:val="00C87B51"/>
    <w:rsid w:val="00C90073"/>
    <w:rsid w:val="00C91E33"/>
    <w:rsid w:val="00C930F2"/>
    <w:rsid w:val="00C93291"/>
    <w:rsid w:val="00C9363E"/>
    <w:rsid w:val="00C93BE1"/>
    <w:rsid w:val="00C94322"/>
    <w:rsid w:val="00C94844"/>
    <w:rsid w:val="00C9515D"/>
    <w:rsid w:val="00C954F3"/>
    <w:rsid w:val="00C9565B"/>
    <w:rsid w:val="00C95996"/>
    <w:rsid w:val="00C95C93"/>
    <w:rsid w:val="00C95D05"/>
    <w:rsid w:val="00C9615A"/>
    <w:rsid w:val="00C96C17"/>
    <w:rsid w:val="00C979C1"/>
    <w:rsid w:val="00C97ACE"/>
    <w:rsid w:val="00C97CFE"/>
    <w:rsid w:val="00CA0EB2"/>
    <w:rsid w:val="00CA0FDF"/>
    <w:rsid w:val="00CA1A81"/>
    <w:rsid w:val="00CA1C25"/>
    <w:rsid w:val="00CA24B6"/>
    <w:rsid w:val="00CA5CDB"/>
    <w:rsid w:val="00CA638D"/>
    <w:rsid w:val="00CA6460"/>
    <w:rsid w:val="00CA7064"/>
    <w:rsid w:val="00CA7264"/>
    <w:rsid w:val="00CA7AEF"/>
    <w:rsid w:val="00CB128E"/>
    <w:rsid w:val="00CB13D5"/>
    <w:rsid w:val="00CB1D35"/>
    <w:rsid w:val="00CB27B4"/>
    <w:rsid w:val="00CB287D"/>
    <w:rsid w:val="00CB2A3D"/>
    <w:rsid w:val="00CB3ADA"/>
    <w:rsid w:val="00CB47D2"/>
    <w:rsid w:val="00CB651C"/>
    <w:rsid w:val="00CB68C3"/>
    <w:rsid w:val="00CB73CB"/>
    <w:rsid w:val="00CC0456"/>
    <w:rsid w:val="00CC09BA"/>
    <w:rsid w:val="00CC1B95"/>
    <w:rsid w:val="00CC2849"/>
    <w:rsid w:val="00CC29A4"/>
    <w:rsid w:val="00CC340E"/>
    <w:rsid w:val="00CC533C"/>
    <w:rsid w:val="00CC586B"/>
    <w:rsid w:val="00CC6C23"/>
    <w:rsid w:val="00CC7FD9"/>
    <w:rsid w:val="00CD05F9"/>
    <w:rsid w:val="00CD0830"/>
    <w:rsid w:val="00CD1447"/>
    <w:rsid w:val="00CD1C26"/>
    <w:rsid w:val="00CD1DC4"/>
    <w:rsid w:val="00CD2727"/>
    <w:rsid w:val="00CD3FFF"/>
    <w:rsid w:val="00CD584B"/>
    <w:rsid w:val="00CD679A"/>
    <w:rsid w:val="00CD6C08"/>
    <w:rsid w:val="00CD7040"/>
    <w:rsid w:val="00CE0762"/>
    <w:rsid w:val="00CE0C4F"/>
    <w:rsid w:val="00CE387A"/>
    <w:rsid w:val="00CE3F40"/>
    <w:rsid w:val="00CE4038"/>
    <w:rsid w:val="00CE422A"/>
    <w:rsid w:val="00CE47F1"/>
    <w:rsid w:val="00CE4A5E"/>
    <w:rsid w:val="00CE4BF1"/>
    <w:rsid w:val="00CE4E1C"/>
    <w:rsid w:val="00CE5737"/>
    <w:rsid w:val="00CE62B8"/>
    <w:rsid w:val="00CE7AB8"/>
    <w:rsid w:val="00CE7E86"/>
    <w:rsid w:val="00CF04EB"/>
    <w:rsid w:val="00CF20B8"/>
    <w:rsid w:val="00CF305B"/>
    <w:rsid w:val="00CF37B9"/>
    <w:rsid w:val="00CF39FB"/>
    <w:rsid w:val="00CF3CED"/>
    <w:rsid w:val="00CF406E"/>
    <w:rsid w:val="00CF415D"/>
    <w:rsid w:val="00CF47DD"/>
    <w:rsid w:val="00CF48AC"/>
    <w:rsid w:val="00CF4A4E"/>
    <w:rsid w:val="00CF4CFD"/>
    <w:rsid w:val="00CF5838"/>
    <w:rsid w:val="00CF5A9E"/>
    <w:rsid w:val="00CF66FD"/>
    <w:rsid w:val="00CF7BA2"/>
    <w:rsid w:val="00CF7E96"/>
    <w:rsid w:val="00D00940"/>
    <w:rsid w:val="00D00D3E"/>
    <w:rsid w:val="00D01EAE"/>
    <w:rsid w:val="00D02744"/>
    <w:rsid w:val="00D036CD"/>
    <w:rsid w:val="00D0393D"/>
    <w:rsid w:val="00D03B0E"/>
    <w:rsid w:val="00D04183"/>
    <w:rsid w:val="00D04262"/>
    <w:rsid w:val="00D04929"/>
    <w:rsid w:val="00D04A5B"/>
    <w:rsid w:val="00D04A6B"/>
    <w:rsid w:val="00D04C29"/>
    <w:rsid w:val="00D051D7"/>
    <w:rsid w:val="00D05BAD"/>
    <w:rsid w:val="00D05BC4"/>
    <w:rsid w:val="00D05BFF"/>
    <w:rsid w:val="00D0664B"/>
    <w:rsid w:val="00D06892"/>
    <w:rsid w:val="00D07302"/>
    <w:rsid w:val="00D07357"/>
    <w:rsid w:val="00D077FC"/>
    <w:rsid w:val="00D104F1"/>
    <w:rsid w:val="00D10D03"/>
    <w:rsid w:val="00D10E02"/>
    <w:rsid w:val="00D10FAD"/>
    <w:rsid w:val="00D11C74"/>
    <w:rsid w:val="00D1367A"/>
    <w:rsid w:val="00D142F7"/>
    <w:rsid w:val="00D147B7"/>
    <w:rsid w:val="00D1667A"/>
    <w:rsid w:val="00D16C93"/>
    <w:rsid w:val="00D176D9"/>
    <w:rsid w:val="00D207EB"/>
    <w:rsid w:val="00D20BE8"/>
    <w:rsid w:val="00D2130A"/>
    <w:rsid w:val="00D213EC"/>
    <w:rsid w:val="00D21F09"/>
    <w:rsid w:val="00D221D0"/>
    <w:rsid w:val="00D22457"/>
    <w:rsid w:val="00D22862"/>
    <w:rsid w:val="00D22CD2"/>
    <w:rsid w:val="00D239A3"/>
    <w:rsid w:val="00D252E6"/>
    <w:rsid w:val="00D2561B"/>
    <w:rsid w:val="00D2565F"/>
    <w:rsid w:val="00D268B1"/>
    <w:rsid w:val="00D26BB2"/>
    <w:rsid w:val="00D27276"/>
    <w:rsid w:val="00D27540"/>
    <w:rsid w:val="00D316F6"/>
    <w:rsid w:val="00D3207D"/>
    <w:rsid w:val="00D32CA6"/>
    <w:rsid w:val="00D33358"/>
    <w:rsid w:val="00D333F2"/>
    <w:rsid w:val="00D33630"/>
    <w:rsid w:val="00D340D9"/>
    <w:rsid w:val="00D3551F"/>
    <w:rsid w:val="00D35880"/>
    <w:rsid w:val="00D359B5"/>
    <w:rsid w:val="00D35EB8"/>
    <w:rsid w:val="00D36975"/>
    <w:rsid w:val="00D37777"/>
    <w:rsid w:val="00D3787B"/>
    <w:rsid w:val="00D37A81"/>
    <w:rsid w:val="00D37DAB"/>
    <w:rsid w:val="00D40102"/>
    <w:rsid w:val="00D40945"/>
    <w:rsid w:val="00D40C50"/>
    <w:rsid w:val="00D41471"/>
    <w:rsid w:val="00D416F5"/>
    <w:rsid w:val="00D4229C"/>
    <w:rsid w:val="00D42D97"/>
    <w:rsid w:val="00D44B4C"/>
    <w:rsid w:val="00D45A34"/>
    <w:rsid w:val="00D45BB9"/>
    <w:rsid w:val="00D47B47"/>
    <w:rsid w:val="00D47C5A"/>
    <w:rsid w:val="00D50EA1"/>
    <w:rsid w:val="00D50F8F"/>
    <w:rsid w:val="00D5130C"/>
    <w:rsid w:val="00D52603"/>
    <w:rsid w:val="00D52E97"/>
    <w:rsid w:val="00D5342A"/>
    <w:rsid w:val="00D54A02"/>
    <w:rsid w:val="00D55B6A"/>
    <w:rsid w:val="00D55BF5"/>
    <w:rsid w:val="00D56709"/>
    <w:rsid w:val="00D576C1"/>
    <w:rsid w:val="00D606BD"/>
    <w:rsid w:val="00D60BD9"/>
    <w:rsid w:val="00D62217"/>
    <w:rsid w:val="00D6271F"/>
    <w:rsid w:val="00D63C1B"/>
    <w:rsid w:val="00D64832"/>
    <w:rsid w:val="00D64C3A"/>
    <w:rsid w:val="00D6528B"/>
    <w:rsid w:val="00D65689"/>
    <w:rsid w:val="00D65F81"/>
    <w:rsid w:val="00D65FEB"/>
    <w:rsid w:val="00D66144"/>
    <w:rsid w:val="00D67DBE"/>
    <w:rsid w:val="00D7009A"/>
    <w:rsid w:val="00D706A0"/>
    <w:rsid w:val="00D71367"/>
    <w:rsid w:val="00D71831"/>
    <w:rsid w:val="00D71A81"/>
    <w:rsid w:val="00D735D1"/>
    <w:rsid w:val="00D73C9B"/>
    <w:rsid w:val="00D74174"/>
    <w:rsid w:val="00D741B6"/>
    <w:rsid w:val="00D74299"/>
    <w:rsid w:val="00D746CA"/>
    <w:rsid w:val="00D74C0C"/>
    <w:rsid w:val="00D74C91"/>
    <w:rsid w:val="00D74C92"/>
    <w:rsid w:val="00D755B6"/>
    <w:rsid w:val="00D768F0"/>
    <w:rsid w:val="00D7722B"/>
    <w:rsid w:val="00D775F3"/>
    <w:rsid w:val="00D8037A"/>
    <w:rsid w:val="00D80BB6"/>
    <w:rsid w:val="00D80C77"/>
    <w:rsid w:val="00D81291"/>
    <w:rsid w:val="00D82946"/>
    <w:rsid w:val="00D8347A"/>
    <w:rsid w:val="00D83770"/>
    <w:rsid w:val="00D84FCA"/>
    <w:rsid w:val="00D8540A"/>
    <w:rsid w:val="00D8597B"/>
    <w:rsid w:val="00D859A4"/>
    <w:rsid w:val="00D85B57"/>
    <w:rsid w:val="00D85B80"/>
    <w:rsid w:val="00D860AB"/>
    <w:rsid w:val="00D86764"/>
    <w:rsid w:val="00D908E4"/>
    <w:rsid w:val="00D916C6"/>
    <w:rsid w:val="00D9172E"/>
    <w:rsid w:val="00D91840"/>
    <w:rsid w:val="00D91D1B"/>
    <w:rsid w:val="00D91D92"/>
    <w:rsid w:val="00D92FF3"/>
    <w:rsid w:val="00D93198"/>
    <w:rsid w:val="00D93225"/>
    <w:rsid w:val="00D93FB8"/>
    <w:rsid w:val="00D94495"/>
    <w:rsid w:val="00D94F1F"/>
    <w:rsid w:val="00D9501E"/>
    <w:rsid w:val="00D95CC7"/>
    <w:rsid w:val="00D95D82"/>
    <w:rsid w:val="00D976AE"/>
    <w:rsid w:val="00DA0001"/>
    <w:rsid w:val="00DA090B"/>
    <w:rsid w:val="00DA1E4A"/>
    <w:rsid w:val="00DA1EEC"/>
    <w:rsid w:val="00DA3D09"/>
    <w:rsid w:val="00DA5907"/>
    <w:rsid w:val="00DA672C"/>
    <w:rsid w:val="00DA6EA6"/>
    <w:rsid w:val="00DA78F0"/>
    <w:rsid w:val="00DA7A23"/>
    <w:rsid w:val="00DA7A72"/>
    <w:rsid w:val="00DB0B33"/>
    <w:rsid w:val="00DB10F4"/>
    <w:rsid w:val="00DB1439"/>
    <w:rsid w:val="00DB2527"/>
    <w:rsid w:val="00DB26A3"/>
    <w:rsid w:val="00DB2869"/>
    <w:rsid w:val="00DB2CCE"/>
    <w:rsid w:val="00DB36BC"/>
    <w:rsid w:val="00DB3B60"/>
    <w:rsid w:val="00DB3ECE"/>
    <w:rsid w:val="00DB4113"/>
    <w:rsid w:val="00DB43C0"/>
    <w:rsid w:val="00DB4925"/>
    <w:rsid w:val="00DB4F91"/>
    <w:rsid w:val="00DB5C93"/>
    <w:rsid w:val="00DB6DBD"/>
    <w:rsid w:val="00DB6E68"/>
    <w:rsid w:val="00DB6E78"/>
    <w:rsid w:val="00DB7CF3"/>
    <w:rsid w:val="00DB7F2F"/>
    <w:rsid w:val="00DC1241"/>
    <w:rsid w:val="00DC1D77"/>
    <w:rsid w:val="00DC207E"/>
    <w:rsid w:val="00DC2DA1"/>
    <w:rsid w:val="00DC32F4"/>
    <w:rsid w:val="00DC3ABD"/>
    <w:rsid w:val="00DC3FAD"/>
    <w:rsid w:val="00DC43DD"/>
    <w:rsid w:val="00DC493B"/>
    <w:rsid w:val="00DC5172"/>
    <w:rsid w:val="00DC5306"/>
    <w:rsid w:val="00DC53F0"/>
    <w:rsid w:val="00DC5667"/>
    <w:rsid w:val="00DC60FA"/>
    <w:rsid w:val="00DC62AB"/>
    <w:rsid w:val="00DD045A"/>
    <w:rsid w:val="00DD180A"/>
    <w:rsid w:val="00DD3DC1"/>
    <w:rsid w:val="00DD3E6B"/>
    <w:rsid w:val="00DD462A"/>
    <w:rsid w:val="00DD57CC"/>
    <w:rsid w:val="00DD5A3D"/>
    <w:rsid w:val="00DD6214"/>
    <w:rsid w:val="00DD658B"/>
    <w:rsid w:val="00DD6D9C"/>
    <w:rsid w:val="00DD7460"/>
    <w:rsid w:val="00DD79F9"/>
    <w:rsid w:val="00DE0797"/>
    <w:rsid w:val="00DE1CF8"/>
    <w:rsid w:val="00DE1ED9"/>
    <w:rsid w:val="00DE1FC5"/>
    <w:rsid w:val="00DE243C"/>
    <w:rsid w:val="00DE29CA"/>
    <w:rsid w:val="00DE3ED6"/>
    <w:rsid w:val="00DE5052"/>
    <w:rsid w:val="00DE6867"/>
    <w:rsid w:val="00DE744A"/>
    <w:rsid w:val="00DE7B39"/>
    <w:rsid w:val="00DF1581"/>
    <w:rsid w:val="00DF2745"/>
    <w:rsid w:val="00DF368D"/>
    <w:rsid w:val="00DF4EDA"/>
    <w:rsid w:val="00DF53A6"/>
    <w:rsid w:val="00DF6172"/>
    <w:rsid w:val="00DF61DA"/>
    <w:rsid w:val="00DF7151"/>
    <w:rsid w:val="00DF7931"/>
    <w:rsid w:val="00DF7C20"/>
    <w:rsid w:val="00E00288"/>
    <w:rsid w:val="00E00A37"/>
    <w:rsid w:val="00E036FA"/>
    <w:rsid w:val="00E03D2F"/>
    <w:rsid w:val="00E05460"/>
    <w:rsid w:val="00E055B5"/>
    <w:rsid w:val="00E06E5B"/>
    <w:rsid w:val="00E06F0D"/>
    <w:rsid w:val="00E079A5"/>
    <w:rsid w:val="00E07AF7"/>
    <w:rsid w:val="00E10E45"/>
    <w:rsid w:val="00E11281"/>
    <w:rsid w:val="00E1201C"/>
    <w:rsid w:val="00E12086"/>
    <w:rsid w:val="00E12105"/>
    <w:rsid w:val="00E133F4"/>
    <w:rsid w:val="00E1482E"/>
    <w:rsid w:val="00E148C3"/>
    <w:rsid w:val="00E151A2"/>
    <w:rsid w:val="00E1666A"/>
    <w:rsid w:val="00E1720C"/>
    <w:rsid w:val="00E17D04"/>
    <w:rsid w:val="00E17F29"/>
    <w:rsid w:val="00E200D4"/>
    <w:rsid w:val="00E20127"/>
    <w:rsid w:val="00E20875"/>
    <w:rsid w:val="00E22DF6"/>
    <w:rsid w:val="00E23105"/>
    <w:rsid w:val="00E23F4C"/>
    <w:rsid w:val="00E25D38"/>
    <w:rsid w:val="00E25E7D"/>
    <w:rsid w:val="00E25E84"/>
    <w:rsid w:val="00E261A6"/>
    <w:rsid w:val="00E27280"/>
    <w:rsid w:val="00E27329"/>
    <w:rsid w:val="00E2783C"/>
    <w:rsid w:val="00E278FB"/>
    <w:rsid w:val="00E3075C"/>
    <w:rsid w:val="00E31AE1"/>
    <w:rsid w:val="00E31B6F"/>
    <w:rsid w:val="00E31EE4"/>
    <w:rsid w:val="00E32651"/>
    <w:rsid w:val="00E3277E"/>
    <w:rsid w:val="00E343F6"/>
    <w:rsid w:val="00E3449A"/>
    <w:rsid w:val="00E35F28"/>
    <w:rsid w:val="00E360CE"/>
    <w:rsid w:val="00E36D19"/>
    <w:rsid w:val="00E371A8"/>
    <w:rsid w:val="00E40B1C"/>
    <w:rsid w:val="00E42542"/>
    <w:rsid w:val="00E42B2D"/>
    <w:rsid w:val="00E4308A"/>
    <w:rsid w:val="00E43E31"/>
    <w:rsid w:val="00E43E62"/>
    <w:rsid w:val="00E441A3"/>
    <w:rsid w:val="00E45055"/>
    <w:rsid w:val="00E45D58"/>
    <w:rsid w:val="00E45FC7"/>
    <w:rsid w:val="00E45FEB"/>
    <w:rsid w:val="00E46001"/>
    <w:rsid w:val="00E461D7"/>
    <w:rsid w:val="00E47DCF"/>
    <w:rsid w:val="00E50A1E"/>
    <w:rsid w:val="00E50C87"/>
    <w:rsid w:val="00E5150C"/>
    <w:rsid w:val="00E51806"/>
    <w:rsid w:val="00E52D5F"/>
    <w:rsid w:val="00E52D70"/>
    <w:rsid w:val="00E54331"/>
    <w:rsid w:val="00E552CF"/>
    <w:rsid w:val="00E55C09"/>
    <w:rsid w:val="00E56A28"/>
    <w:rsid w:val="00E56F26"/>
    <w:rsid w:val="00E56FAA"/>
    <w:rsid w:val="00E57A1C"/>
    <w:rsid w:val="00E57CB4"/>
    <w:rsid w:val="00E61813"/>
    <w:rsid w:val="00E6186B"/>
    <w:rsid w:val="00E61A9C"/>
    <w:rsid w:val="00E61C58"/>
    <w:rsid w:val="00E62259"/>
    <w:rsid w:val="00E6276E"/>
    <w:rsid w:val="00E62D7D"/>
    <w:rsid w:val="00E632DE"/>
    <w:rsid w:val="00E64AA4"/>
    <w:rsid w:val="00E65D34"/>
    <w:rsid w:val="00E666D8"/>
    <w:rsid w:val="00E67AE8"/>
    <w:rsid w:val="00E70F36"/>
    <w:rsid w:val="00E71E8C"/>
    <w:rsid w:val="00E723E9"/>
    <w:rsid w:val="00E72462"/>
    <w:rsid w:val="00E72486"/>
    <w:rsid w:val="00E73624"/>
    <w:rsid w:val="00E73730"/>
    <w:rsid w:val="00E73CEE"/>
    <w:rsid w:val="00E73DB6"/>
    <w:rsid w:val="00E7477E"/>
    <w:rsid w:val="00E76245"/>
    <w:rsid w:val="00E769A6"/>
    <w:rsid w:val="00E77253"/>
    <w:rsid w:val="00E77F56"/>
    <w:rsid w:val="00E80E82"/>
    <w:rsid w:val="00E822D2"/>
    <w:rsid w:val="00E823B6"/>
    <w:rsid w:val="00E82BD7"/>
    <w:rsid w:val="00E85ECE"/>
    <w:rsid w:val="00E86520"/>
    <w:rsid w:val="00E879B7"/>
    <w:rsid w:val="00E909AF"/>
    <w:rsid w:val="00E909F7"/>
    <w:rsid w:val="00E91250"/>
    <w:rsid w:val="00E914C6"/>
    <w:rsid w:val="00E91727"/>
    <w:rsid w:val="00E924B8"/>
    <w:rsid w:val="00E92EB1"/>
    <w:rsid w:val="00E93391"/>
    <w:rsid w:val="00E9345A"/>
    <w:rsid w:val="00E93824"/>
    <w:rsid w:val="00E94FB6"/>
    <w:rsid w:val="00E95035"/>
    <w:rsid w:val="00E978DD"/>
    <w:rsid w:val="00EA025A"/>
    <w:rsid w:val="00EA0C7A"/>
    <w:rsid w:val="00EA1580"/>
    <w:rsid w:val="00EA1687"/>
    <w:rsid w:val="00EA1995"/>
    <w:rsid w:val="00EA21FF"/>
    <w:rsid w:val="00EA259F"/>
    <w:rsid w:val="00EA29EC"/>
    <w:rsid w:val="00EA4203"/>
    <w:rsid w:val="00EA468D"/>
    <w:rsid w:val="00EA4755"/>
    <w:rsid w:val="00EA49D6"/>
    <w:rsid w:val="00EA6C42"/>
    <w:rsid w:val="00EA6C75"/>
    <w:rsid w:val="00EA746B"/>
    <w:rsid w:val="00EA75E2"/>
    <w:rsid w:val="00EB1986"/>
    <w:rsid w:val="00EB2AFB"/>
    <w:rsid w:val="00EB3162"/>
    <w:rsid w:val="00EB3317"/>
    <w:rsid w:val="00EB41F1"/>
    <w:rsid w:val="00EB44F3"/>
    <w:rsid w:val="00EB4721"/>
    <w:rsid w:val="00EB4ED4"/>
    <w:rsid w:val="00EB5198"/>
    <w:rsid w:val="00EB5525"/>
    <w:rsid w:val="00EB5F85"/>
    <w:rsid w:val="00EB673E"/>
    <w:rsid w:val="00EC05BD"/>
    <w:rsid w:val="00EC0705"/>
    <w:rsid w:val="00EC175F"/>
    <w:rsid w:val="00EC2950"/>
    <w:rsid w:val="00EC2A99"/>
    <w:rsid w:val="00EC2D3F"/>
    <w:rsid w:val="00EC2D4C"/>
    <w:rsid w:val="00EC2FD7"/>
    <w:rsid w:val="00EC41D2"/>
    <w:rsid w:val="00EC4C1D"/>
    <w:rsid w:val="00EC511A"/>
    <w:rsid w:val="00EC6014"/>
    <w:rsid w:val="00EC6451"/>
    <w:rsid w:val="00EC77FE"/>
    <w:rsid w:val="00ED06D9"/>
    <w:rsid w:val="00ED0CFD"/>
    <w:rsid w:val="00ED1D1B"/>
    <w:rsid w:val="00ED230D"/>
    <w:rsid w:val="00ED2338"/>
    <w:rsid w:val="00ED3FFD"/>
    <w:rsid w:val="00ED4AD9"/>
    <w:rsid w:val="00ED4CAE"/>
    <w:rsid w:val="00ED5400"/>
    <w:rsid w:val="00ED7041"/>
    <w:rsid w:val="00ED738E"/>
    <w:rsid w:val="00ED7BC0"/>
    <w:rsid w:val="00ED7C18"/>
    <w:rsid w:val="00EE194F"/>
    <w:rsid w:val="00EE1C7C"/>
    <w:rsid w:val="00EE2508"/>
    <w:rsid w:val="00EE2BA9"/>
    <w:rsid w:val="00EE3399"/>
    <w:rsid w:val="00EE3D68"/>
    <w:rsid w:val="00EE3E85"/>
    <w:rsid w:val="00EE4199"/>
    <w:rsid w:val="00EE4B3C"/>
    <w:rsid w:val="00EE55F1"/>
    <w:rsid w:val="00EE6498"/>
    <w:rsid w:val="00EE6EF3"/>
    <w:rsid w:val="00EF050B"/>
    <w:rsid w:val="00EF074B"/>
    <w:rsid w:val="00EF113C"/>
    <w:rsid w:val="00EF1F29"/>
    <w:rsid w:val="00EF28B4"/>
    <w:rsid w:val="00EF2D16"/>
    <w:rsid w:val="00EF309E"/>
    <w:rsid w:val="00EF51CA"/>
    <w:rsid w:val="00EF5490"/>
    <w:rsid w:val="00EF5782"/>
    <w:rsid w:val="00EF5785"/>
    <w:rsid w:val="00EF5DAC"/>
    <w:rsid w:val="00EF5E92"/>
    <w:rsid w:val="00EF5E94"/>
    <w:rsid w:val="00EF63A9"/>
    <w:rsid w:val="00EF6AE2"/>
    <w:rsid w:val="00EF7287"/>
    <w:rsid w:val="00F003ED"/>
    <w:rsid w:val="00F022C4"/>
    <w:rsid w:val="00F02D60"/>
    <w:rsid w:val="00F03D17"/>
    <w:rsid w:val="00F0571F"/>
    <w:rsid w:val="00F06AFF"/>
    <w:rsid w:val="00F07561"/>
    <w:rsid w:val="00F075B0"/>
    <w:rsid w:val="00F07940"/>
    <w:rsid w:val="00F07A7E"/>
    <w:rsid w:val="00F07C41"/>
    <w:rsid w:val="00F10387"/>
    <w:rsid w:val="00F10F21"/>
    <w:rsid w:val="00F12281"/>
    <w:rsid w:val="00F122B1"/>
    <w:rsid w:val="00F1318C"/>
    <w:rsid w:val="00F1376A"/>
    <w:rsid w:val="00F13EC2"/>
    <w:rsid w:val="00F152C6"/>
    <w:rsid w:val="00F15494"/>
    <w:rsid w:val="00F15B82"/>
    <w:rsid w:val="00F15F90"/>
    <w:rsid w:val="00F16660"/>
    <w:rsid w:val="00F1684F"/>
    <w:rsid w:val="00F16FC3"/>
    <w:rsid w:val="00F1779F"/>
    <w:rsid w:val="00F2094C"/>
    <w:rsid w:val="00F210D2"/>
    <w:rsid w:val="00F21E70"/>
    <w:rsid w:val="00F21EDC"/>
    <w:rsid w:val="00F21F22"/>
    <w:rsid w:val="00F2225C"/>
    <w:rsid w:val="00F22F31"/>
    <w:rsid w:val="00F2380D"/>
    <w:rsid w:val="00F23CEE"/>
    <w:rsid w:val="00F25F79"/>
    <w:rsid w:val="00F264A7"/>
    <w:rsid w:val="00F266AD"/>
    <w:rsid w:val="00F3289D"/>
    <w:rsid w:val="00F33B6D"/>
    <w:rsid w:val="00F3407D"/>
    <w:rsid w:val="00F35C04"/>
    <w:rsid w:val="00F35D20"/>
    <w:rsid w:val="00F372E2"/>
    <w:rsid w:val="00F373AA"/>
    <w:rsid w:val="00F37510"/>
    <w:rsid w:val="00F37FDA"/>
    <w:rsid w:val="00F406C4"/>
    <w:rsid w:val="00F4138E"/>
    <w:rsid w:val="00F41F8C"/>
    <w:rsid w:val="00F43147"/>
    <w:rsid w:val="00F43319"/>
    <w:rsid w:val="00F443DB"/>
    <w:rsid w:val="00F44A2C"/>
    <w:rsid w:val="00F45E49"/>
    <w:rsid w:val="00F45FB1"/>
    <w:rsid w:val="00F46321"/>
    <w:rsid w:val="00F46F80"/>
    <w:rsid w:val="00F479D2"/>
    <w:rsid w:val="00F50B43"/>
    <w:rsid w:val="00F50EFE"/>
    <w:rsid w:val="00F50F66"/>
    <w:rsid w:val="00F51217"/>
    <w:rsid w:val="00F512AA"/>
    <w:rsid w:val="00F52AD3"/>
    <w:rsid w:val="00F54A53"/>
    <w:rsid w:val="00F55215"/>
    <w:rsid w:val="00F5653E"/>
    <w:rsid w:val="00F617AE"/>
    <w:rsid w:val="00F62420"/>
    <w:rsid w:val="00F6282E"/>
    <w:rsid w:val="00F6340C"/>
    <w:rsid w:val="00F63E80"/>
    <w:rsid w:val="00F6408D"/>
    <w:rsid w:val="00F6472E"/>
    <w:rsid w:val="00F64947"/>
    <w:rsid w:val="00F6498D"/>
    <w:rsid w:val="00F65278"/>
    <w:rsid w:val="00F65283"/>
    <w:rsid w:val="00F65562"/>
    <w:rsid w:val="00F66A3F"/>
    <w:rsid w:val="00F676A0"/>
    <w:rsid w:val="00F70039"/>
    <w:rsid w:val="00F70409"/>
    <w:rsid w:val="00F70433"/>
    <w:rsid w:val="00F71607"/>
    <w:rsid w:val="00F73273"/>
    <w:rsid w:val="00F742A7"/>
    <w:rsid w:val="00F74A3D"/>
    <w:rsid w:val="00F75099"/>
    <w:rsid w:val="00F75631"/>
    <w:rsid w:val="00F758FC"/>
    <w:rsid w:val="00F75DA8"/>
    <w:rsid w:val="00F76119"/>
    <w:rsid w:val="00F763A6"/>
    <w:rsid w:val="00F77AF2"/>
    <w:rsid w:val="00F80459"/>
    <w:rsid w:val="00F81014"/>
    <w:rsid w:val="00F81097"/>
    <w:rsid w:val="00F81C61"/>
    <w:rsid w:val="00F8238D"/>
    <w:rsid w:val="00F82C24"/>
    <w:rsid w:val="00F82FF9"/>
    <w:rsid w:val="00F849F8"/>
    <w:rsid w:val="00F85D59"/>
    <w:rsid w:val="00F864BA"/>
    <w:rsid w:val="00F86DFD"/>
    <w:rsid w:val="00F90940"/>
    <w:rsid w:val="00F90B90"/>
    <w:rsid w:val="00F90BBB"/>
    <w:rsid w:val="00F90C59"/>
    <w:rsid w:val="00F90F91"/>
    <w:rsid w:val="00F91D3A"/>
    <w:rsid w:val="00F91E37"/>
    <w:rsid w:val="00F94B10"/>
    <w:rsid w:val="00F94FF6"/>
    <w:rsid w:val="00F95062"/>
    <w:rsid w:val="00F95B44"/>
    <w:rsid w:val="00F9706F"/>
    <w:rsid w:val="00F973B0"/>
    <w:rsid w:val="00FA0791"/>
    <w:rsid w:val="00FA1028"/>
    <w:rsid w:val="00FA1863"/>
    <w:rsid w:val="00FA1AB3"/>
    <w:rsid w:val="00FA2365"/>
    <w:rsid w:val="00FA38DC"/>
    <w:rsid w:val="00FA3A70"/>
    <w:rsid w:val="00FA4BE8"/>
    <w:rsid w:val="00FA59CF"/>
    <w:rsid w:val="00FA5E18"/>
    <w:rsid w:val="00FA5E70"/>
    <w:rsid w:val="00FA698D"/>
    <w:rsid w:val="00FA6BF9"/>
    <w:rsid w:val="00FA74FC"/>
    <w:rsid w:val="00FB052F"/>
    <w:rsid w:val="00FB0A81"/>
    <w:rsid w:val="00FB19C8"/>
    <w:rsid w:val="00FB3BDD"/>
    <w:rsid w:val="00FB434E"/>
    <w:rsid w:val="00FB46B2"/>
    <w:rsid w:val="00FB4946"/>
    <w:rsid w:val="00FB5DB6"/>
    <w:rsid w:val="00FB666C"/>
    <w:rsid w:val="00FB784F"/>
    <w:rsid w:val="00FC0AEF"/>
    <w:rsid w:val="00FC25E8"/>
    <w:rsid w:val="00FC3F51"/>
    <w:rsid w:val="00FC3FED"/>
    <w:rsid w:val="00FC42C8"/>
    <w:rsid w:val="00FC55C8"/>
    <w:rsid w:val="00FC626A"/>
    <w:rsid w:val="00FC692C"/>
    <w:rsid w:val="00FD0120"/>
    <w:rsid w:val="00FD08D8"/>
    <w:rsid w:val="00FD260E"/>
    <w:rsid w:val="00FD32E5"/>
    <w:rsid w:val="00FD366D"/>
    <w:rsid w:val="00FD54F3"/>
    <w:rsid w:val="00FD5B9E"/>
    <w:rsid w:val="00FD6553"/>
    <w:rsid w:val="00FD6D86"/>
    <w:rsid w:val="00FD7242"/>
    <w:rsid w:val="00FD7683"/>
    <w:rsid w:val="00FE0699"/>
    <w:rsid w:val="00FE0C1E"/>
    <w:rsid w:val="00FE0C83"/>
    <w:rsid w:val="00FE14EA"/>
    <w:rsid w:val="00FE1CB5"/>
    <w:rsid w:val="00FE28C5"/>
    <w:rsid w:val="00FE3C59"/>
    <w:rsid w:val="00FE4D6C"/>
    <w:rsid w:val="00FE535D"/>
    <w:rsid w:val="00FE5E10"/>
    <w:rsid w:val="00FE6343"/>
    <w:rsid w:val="00FE6396"/>
    <w:rsid w:val="00FE791B"/>
    <w:rsid w:val="00FE7F14"/>
    <w:rsid w:val="00FF012D"/>
    <w:rsid w:val="00FF0871"/>
    <w:rsid w:val="00FF195E"/>
    <w:rsid w:val="00FF2C21"/>
    <w:rsid w:val="00FF36E5"/>
    <w:rsid w:val="00FF3EE3"/>
    <w:rsid w:val="00FF3FC0"/>
    <w:rsid w:val="00FF58A0"/>
    <w:rsid w:val="00FF5953"/>
    <w:rsid w:val="00FF5E86"/>
    <w:rsid w:val="00FF6039"/>
    <w:rsid w:val="00FF6626"/>
    <w:rsid w:val="00FF664C"/>
    <w:rsid w:val="00FF6D9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AEEB3"/>
  <w15:docId w15:val="{010BCA66-10B1-48A0-BA51-59A89BC2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locked="1"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85A"/>
    <w:rPr>
      <w:rFonts w:eastAsia="Times New Roman"/>
      <w:lang w:eastAsia="en-US"/>
    </w:rPr>
  </w:style>
  <w:style w:type="paragraph" w:styleId="Heading1">
    <w:name w:val="heading 1"/>
    <w:basedOn w:val="Normal"/>
    <w:next w:val="Normal"/>
    <w:link w:val="Heading1Char"/>
    <w:uiPriority w:val="99"/>
    <w:qFormat/>
    <w:rsid w:val="006F61F5"/>
    <w:pPr>
      <w:keepNext/>
      <w:keepLines/>
      <w:spacing w:before="480"/>
      <w:outlineLvl w:val="0"/>
    </w:pPr>
    <w:rPr>
      <w:rFonts w:ascii="Cambria" w:eastAsia="SimSu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61F5"/>
    <w:rPr>
      <w:rFonts w:ascii="Cambria" w:eastAsia="SimSun" w:hAnsi="Cambria" w:cs="Times New Roman"/>
      <w:b/>
      <w:color w:val="365F91"/>
      <w:sz w:val="28"/>
    </w:rPr>
  </w:style>
  <w:style w:type="paragraph" w:styleId="BalloonText">
    <w:name w:val="Balloon Text"/>
    <w:basedOn w:val="Normal"/>
    <w:link w:val="BalloonTextChar"/>
    <w:uiPriority w:val="99"/>
    <w:semiHidden/>
    <w:rsid w:val="00577AF1"/>
    <w:rPr>
      <w:rFonts w:ascii="Tahoma" w:eastAsia="Calibri" w:hAnsi="Tahoma"/>
      <w:sz w:val="16"/>
      <w:szCs w:val="16"/>
      <w:lang w:eastAsia="lv-LV"/>
    </w:rPr>
  </w:style>
  <w:style w:type="character" w:customStyle="1" w:styleId="BalloonTextChar">
    <w:name w:val="Balloon Text Char"/>
    <w:basedOn w:val="DefaultParagraphFont"/>
    <w:link w:val="BalloonText"/>
    <w:uiPriority w:val="99"/>
    <w:semiHidden/>
    <w:locked/>
    <w:rsid w:val="00577AF1"/>
    <w:rPr>
      <w:rFonts w:ascii="Tahoma" w:hAnsi="Tahoma" w:cs="Times New Roman"/>
      <w:sz w:val="16"/>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556C21"/>
    <w:pPr>
      <w:ind w:left="720"/>
      <w:contextualSpacing/>
    </w:pPr>
    <w:rPr>
      <w:szCs w:val="20"/>
    </w:rPr>
  </w:style>
  <w:style w:type="paragraph" w:styleId="TOC1">
    <w:name w:val="toc 1"/>
    <w:basedOn w:val="Normal"/>
    <w:next w:val="Normal"/>
    <w:autoRedefine/>
    <w:uiPriority w:val="39"/>
    <w:rsid w:val="006F61F5"/>
    <w:pPr>
      <w:tabs>
        <w:tab w:val="right" w:leader="dot" w:pos="9639"/>
      </w:tabs>
      <w:spacing w:before="60" w:after="40"/>
    </w:pPr>
    <w:rPr>
      <w:rFonts w:ascii="Times New Roman" w:hAnsi="Times New Roman"/>
      <w:b/>
      <w:noProof/>
      <w:szCs w:val="28"/>
    </w:rPr>
  </w:style>
  <w:style w:type="character" w:styleId="Hyperlink">
    <w:name w:val="Hyperlink"/>
    <w:basedOn w:val="DefaultParagraphFont"/>
    <w:uiPriority w:val="99"/>
    <w:rsid w:val="006F61F5"/>
    <w:rPr>
      <w:rFonts w:cs="Times New Roman"/>
      <w:color w:val="0000FF"/>
      <w:u w:val="single"/>
    </w:rPr>
  </w:style>
  <w:style w:type="paragraph" w:styleId="Header">
    <w:name w:val="header"/>
    <w:basedOn w:val="Normal"/>
    <w:link w:val="HeaderChar"/>
    <w:uiPriority w:val="99"/>
    <w:rsid w:val="006F61F5"/>
    <w:pPr>
      <w:tabs>
        <w:tab w:val="center" w:pos="4153"/>
        <w:tab w:val="right" w:pos="8306"/>
      </w:tabs>
    </w:pPr>
    <w:rPr>
      <w:rFonts w:eastAsia="Calibri"/>
      <w:sz w:val="20"/>
      <w:szCs w:val="20"/>
      <w:lang w:eastAsia="lv-LV"/>
    </w:rPr>
  </w:style>
  <w:style w:type="character" w:customStyle="1" w:styleId="HeaderChar">
    <w:name w:val="Header Char"/>
    <w:basedOn w:val="DefaultParagraphFont"/>
    <w:link w:val="Header"/>
    <w:uiPriority w:val="99"/>
    <w:locked/>
    <w:rsid w:val="006F61F5"/>
    <w:rPr>
      <w:rFonts w:cs="Times New Roman"/>
    </w:rPr>
  </w:style>
  <w:style w:type="paragraph" w:styleId="Footer">
    <w:name w:val="footer"/>
    <w:basedOn w:val="Normal"/>
    <w:link w:val="FooterChar"/>
    <w:uiPriority w:val="99"/>
    <w:rsid w:val="006F61F5"/>
    <w:pPr>
      <w:tabs>
        <w:tab w:val="center" w:pos="4153"/>
        <w:tab w:val="right" w:pos="8306"/>
      </w:tabs>
    </w:pPr>
    <w:rPr>
      <w:rFonts w:eastAsia="Calibri"/>
      <w:sz w:val="20"/>
      <w:szCs w:val="20"/>
      <w:lang w:eastAsia="lv-LV"/>
    </w:rPr>
  </w:style>
  <w:style w:type="character" w:customStyle="1" w:styleId="FooterChar">
    <w:name w:val="Footer Char"/>
    <w:basedOn w:val="DefaultParagraphFont"/>
    <w:link w:val="Footer"/>
    <w:uiPriority w:val="99"/>
    <w:locked/>
    <w:rsid w:val="006F61F5"/>
    <w:rPr>
      <w:rFonts w:cs="Times New Roman"/>
    </w:rPr>
  </w:style>
  <w:style w:type="paragraph" w:styleId="Subtitle">
    <w:name w:val="Subtitle"/>
    <w:basedOn w:val="Normal"/>
    <w:next w:val="Normal"/>
    <w:link w:val="SubtitleChar"/>
    <w:uiPriority w:val="99"/>
    <w:qFormat/>
    <w:rsid w:val="008E0DC2"/>
    <w:pPr>
      <w:keepNext/>
      <w:keepLines/>
      <w:widowControl w:val="0"/>
      <w:suppressAutoHyphens/>
      <w:spacing w:before="600" w:after="600"/>
      <w:ind w:right="4820"/>
    </w:pPr>
    <w:rPr>
      <w:rFonts w:ascii="Times New Roman" w:eastAsia="Calibri" w:hAnsi="Times New Roman"/>
      <w:b/>
      <w:sz w:val="20"/>
      <w:szCs w:val="20"/>
      <w:lang w:val="en-AU" w:eastAsia="lv-LV"/>
    </w:rPr>
  </w:style>
  <w:style w:type="character" w:customStyle="1" w:styleId="SubtitleChar">
    <w:name w:val="Subtitle Char"/>
    <w:basedOn w:val="DefaultParagraphFont"/>
    <w:link w:val="Subtitle"/>
    <w:uiPriority w:val="99"/>
    <w:locked/>
    <w:rsid w:val="008E0DC2"/>
    <w:rPr>
      <w:rFonts w:ascii="Times New Roman" w:hAnsi="Times New Roman" w:cs="Times New Roman"/>
      <w:b/>
      <w:sz w:val="20"/>
      <w:lang w:val="en-AU"/>
    </w:rPr>
  </w:style>
  <w:style w:type="paragraph" w:styleId="PlainText">
    <w:name w:val="Plain Text"/>
    <w:basedOn w:val="Normal"/>
    <w:link w:val="PlainTextChar"/>
    <w:uiPriority w:val="99"/>
    <w:rsid w:val="000F61C2"/>
    <w:rPr>
      <w:rFonts w:eastAsia="Calibri"/>
      <w:sz w:val="20"/>
      <w:szCs w:val="20"/>
      <w:lang w:eastAsia="lv-LV"/>
    </w:rPr>
  </w:style>
  <w:style w:type="character" w:customStyle="1" w:styleId="PlainTextChar">
    <w:name w:val="Plain Text Char"/>
    <w:basedOn w:val="DefaultParagraphFont"/>
    <w:link w:val="PlainText"/>
    <w:uiPriority w:val="99"/>
    <w:locked/>
    <w:rsid w:val="000F61C2"/>
    <w:rPr>
      <w:rFonts w:ascii="Calibri" w:hAnsi="Calibri" w:cs="Times New Roman"/>
    </w:rPr>
  </w:style>
  <w:style w:type="paragraph" w:customStyle="1" w:styleId="Vstulesdatumsunnumurs">
    <w:name w:val="Vçstules datums un numurs"/>
    <w:basedOn w:val="Normal"/>
    <w:next w:val="EnvelopeAddress"/>
    <w:uiPriority w:val="99"/>
    <w:rsid w:val="00AF633A"/>
    <w:pPr>
      <w:keepNext/>
      <w:keepLines/>
      <w:widowControl w:val="0"/>
      <w:suppressAutoHyphens/>
      <w:spacing w:before="60" w:after="60"/>
      <w:ind w:left="4820"/>
    </w:pPr>
    <w:rPr>
      <w:rFonts w:ascii="Times New Roman" w:eastAsia="Calibri" w:hAnsi="Times New Roman"/>
      <w:sz w:val="24"/>
      <w:szCs w:val="20"/>
    </w:rPr>
  </w:style>
  <w:style w:type="paragraph" w:styleId="EnvelopeAddress">
    <w:name w:val="envelope address"/>
    <w:basedOn w:val="Normal"/>
    <w:uiPriority w:val="99"/>
    <w:semiHidden/>
    <w:rsid w:val="00AF633A"/>
    <w:pPr>
      <w:framePr w:w="7920" w:h="1980" w:hRule="exact" w:hSpace="180" w:wrap="auto" w:hAnchor="page" w:xAlign="center" w:yAlign="bottom"/>
      <w:ind w:left="2880"/>
    </w:pPr>
    <w:rPr>
      <w:rFonts w:ascii="Cambria" w:eastAsia="SimSun" w:hAnsi="Cambria"/>
      <w:sz w:val="24"/>
      <w:szCs w:val="24"/>
    </w:rPr>
  </w:style>
  <w:style w:type="table" w:styleId="TableClassic4">
    <w:name w:val="Table Classic 4"/>
    <w:basedOn w:val="TableNormal"/>
    <w:uiPriority w:val="99"/>
    <w:rsid w:val="0047124B"/>
    <w:rPr>
      <w:rFonts w:ascii="Times New Roman" w:hAnsi="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Grid">
    <w:name w:val="Table Grid"/>
    <w:basedOn w:val="TableNormal"/>
    <w:uiPriority w:val="39"/>
    <w:rsid w:val="0047124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763636"/>
    <w:rPr>
      <w:rFonts w:cs="Times New Roman"/>
      <w:color w:val="800080"/>
      <w:u w:val="single"/>
    </w:rPr>
  </w:style>
  <w:style w:type="paragraph" w:styleId="FootnoteText">
    <w:name w:val="footnote text"/>
    <w:aliases w:val="Footnote,Fußnote,fn,single space,FOOTNOTES,Text poznámky pod ciarou 007 Char,Text poznámky pod ciarou 007,_Poznámka pod ciarou,Text poznámky pod čiarou 007 Char,Text poznįmky pod čiarou 007,_Poznįmka pod čiarou Char,Char Char Car,ft,o,Fußn"/>
    <w:basedOn w:val="Normal"/>
    <w:link w:val="FootnoteTextChar"/>
    <w:uiPriority w:val="99"/>
    <w:rsid w:val="00563671"/>
    <w:rPr>
      <w:rFonts w:eastAsia="Calibri"/>
      <w:sz w:val="20"/>
      <w:szCs w:val="20"/>
      <w:lang w:eastAsia="lv-LV"/>
    </w:rPr>
  </w:style>
  <w:style w:type="character" w:customStyle="1" w:styleId="FootnoteTextChar">
    <w:name w:val="Footnote Text Char"/>
    <w:aliases w:val="Footnote Char,Fußnote Char,fn Char,single space Char,FOOTNOTES Char,Text poznámky pod ciarou 007 Char Char,Text poznámky pod ciarou 007 Char1,_Poznámka pod ciarou Char,Text poznámky pod čiarou 007 Char Char,Char Char Car Char,ft Char"/>
    <w:basedOn w:val="DefaultParagraphFont"/>
    <w:link w:val="FootnoteText"/>
    <w:uiPriority w:val="99"/>
    <w:locked/>
    <w:rsid w:val="00563671"/>
    <w:rPr>
      <w:rFonts w:cs="Times New Roman"/>
      <w:sz w:val="20"/>
    </w:rPr>
  </w:style>
  <w:style w:type="character" w:styleId="FootnoteReference">
    <w:name w:val="footnote reference"/>
    <w:aliases w:val="Footnote Reference Number Char,Footnote symbol Char,Char Char Char Char Char Char,Char2 Char Char Char Char"/>
    <w:basedOn w:val="DefaultParagraphFont"/>
    <w:link w:val="FootnoteReferenceNumber"/>
    <w:uiPriority w:val="99"/>
    <w:rsid w:val="00563671"/>
    <w:rPr>
      <w:rFonts w:cs="Times New Roman"/>
      <w:vertAlign w:val="superscript"/>
    </w:rPr>
  </w:style>
  <w:style w:type="paragraph" w:styleId="NormalWeb">
    <w:name w:val="Normal (Web)"/>
    <w:basedOn w:val="Normal"/>
    <w:uiPriority w:val="99"/>
    <w:rsid w:val="001229A9"/>
    <w:pPr>
      <w:spacing w:before="100" w:beforeAutospacing="1" w:after="100" w:afterAutospacing="1"/>
    </w:pPr>
    <w:rPr>
      <w:rFonts w:ascii="Times New Roman" w:eastAsia="Calibri" w:hAnsi="Times New Roman"/>
      <w:sz w:val="24"/>
      <w:szCs w:val="24"/>
      <w:lang w:eastAsia="lv-LV"/>
    </w:rPr>
  </w:style>
  <w:style w:type="character" w:styleId="CommentReference">
    <w:name w:val="annotation reference"/>
    <w:basedOn w:val="DefaultParagraphFont"/>
    <w:rsid w:val="00E45FEB"/>
    <w:rPr>
      <w:rFonts w:cs="Times New Roman"/>
      <w:sz w:val="16"/>
    </w:rPr>
  </w:style>
  <w:style w:type="paragraph" w:styleId="CommentText">
    <w:name w:val="annotation text"/>
    <w:basedOn w:val="Normal"/>
    <w:link w:val="CommentTextChar"/>
    <w:rsid w:val="00E45FEB"/>
    <w:rPr>
      <w:rFonts w:eastAsia="Calibri"/>
      <w:sz w:val="20"/>
      <w:szCs w:val="20"/>
      <w:lang w:eastAsia="lv-LV"/>
    </w:rPr>
  </w:style>
  <w:style w:type="character" w:customStyle="1" w:styleId="CommentTextChar">
    <w:name w:val="Comment Text Char"/>
    <w:basedOn w:val="DefaultParagraphFont"/>
    <w:link w:val="CommentText"/>
    <w:locked/>
    <w:rsid w:val="00E45FEB"/>
    <w:rPr>
      <w:rFonts w:cs="Times New Roman"/>
      <w:sz w:val="20"/>
    </w:rPr>
  </w:style>
  <w:style w:type="paragraph" w:styleId="CommentSubject">
    <w:name w:val="annotation subject"/>
    <w:basedOn w:val="CommentText"/>
    <w:next w:val="CommentText"/>
    <w:link w:val="CommentSubjectChar"/>
    <w:uiPriority w:val="99"/>
    <w:semiHidden/>
    <w:rsid w:val="00E45FEB"/>
    <w:rPr>
      <w:b/>
      <w:bCs/>
    </w:rPr>
  </w:style>
  <w:style w:type="character" w:customStyle="1" w:styleId="CommentSubjectChar">
    <w:name w:val="Comment Subject Char"/>
    <w:basedOn w:val="CommentTextChar"/>
    <w:link w:val="CommentSubject"/>
    <w:uiPriority w:val="99"/>
    <w:semiHidden/>
    <w:locked/>
    <w:rsid w:val="00E45FEB"/>
    <w:rPr>
      <w:rFonts w:cs="Times New Roman"/>
      <w:b/>
      <w:sz w:val="20"/>
    </w:rPr>
  </w:style>
  <w:style w:type="character" w:customStyle="1" w:styleId="st1">
    <w:name w:val="st1"/>
    <w:basedOn w:val="DefaultParagraphFont"/>
    <w:uiPriority w:val="99"/>
    <w:rsid w:val="001D6BA7"/>
    <w:rPr>
      <w:rFonts w:cs="Times New Roman"/>
    </w:rPr>
  </w:style>
  <w:style w:type="character" w:styleId="Emphasis">
    <w:name w:val="Emphasis"/>
    <w:basedOn w:val="DefaultParagraphFont"/>
    <w:uiPriority w:val="99"/>
    <w:qFormat/>
    <w:locked/>
    <w:rsid w:val="000C3627"/>
    <w:rPr>
      <w:rFonts w:cs="Times New Roman"/>
      <w:b/>
      <w:bC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47512C"/>
    <w:rPr>
      <w:rFonts w:eastAsia="Times New Roman"/>
      <w:sz w:val="22"/>
      <w:lang w:eastAsia="en-US"/>
    </w:rPr>
  </w:style>
  <w:style w:type="paragraph" w:customStyle="1" w:styleId="Default">
    <w:name w:val="Default"/>
    <w:rsid w:val="00F07561"/>
    <w:pPr>
      <w:autoSpaceDE w:val="0"/>
      <w:autoSpaceDN w:val="0"/>
      <w:adjustRightInd w:val="0"/>
    </w:pPr>
    <w:rPr>
      <w:rFonts w:ascii="Times New Roman" w:hAnsi="Times New Roman"/>
      <w:color w:val="000000"/>
      <w:sz w:val="24"/>
      <w:szCs w:val="24"/>
      <w:lang w:eastAsia="zh-CN"/>
    </w:rPr>
  </w:style>
  <w:style w:type="paragraph" w:customStyle="1" w:styleId="Char">
    <w:name w:val="Char"/>
    <w:basedOn w:val="Normal"/>
    <w:uiPriority w:val="99"/>
    <w:rsid w:val="00156194"/>
    <w:pPr>
      <w:spacing w:before="40"/>
    </w:pPr>
    <w:rPr>
      <w:rFonts w:ascii="Arial" w:hAnsi="Arial"/>
      <w:sz w:val="24"/>
      <w:szCs w:val="24"/>
      <w:lang w:val="pl-PL" w:eastAsia="pl-PL"/>
    </w:rPr>
  </w:style>
  <w:style w:type="character" w:styleId="PageNumber">
    <w:name w:val="page number"/>
    <w:basedOn w:val="DefaultParagraphFont"/>
    <w:uiPriority w:val="99"/>
    <w:rsid w:val="0006249E"/>
    <w:rPr>
      <w:rFonts w:cs="Times New Roman"/>
    </w:rPr>
  </w:style>
  <w:style w:type="table" w:styleId="LightShading-Accent3">
    <w:name w:val="Light Shading Accent 3"/>
    <w:basedOn w:val="TableNormal"/>
    <w:uiPriority w:val="60"/>
    <w:rsid w:val="00B676E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B676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v213">
    <w:name w:val="tv213"/>
    <w:basedOn w:val="Normal"/>
    <w:rsid w:val="00EF074B"/>
    <w:pPr>
      <w:spacing w:before="100" w:beforeAutospacing="1" w:after="100" w:afterAutospacing="1"/>
    </w:pPr>
    <w:rPr>
      <w:rFonts w:ascii="Times New Roman" w:hAnsi="Times New Roman"/>
      <w:sz w:val="24"/>
      <w:szCs w:val="24"/>
      <w:lang w:eastAsia="lv-LV"/>
    </w:rPr>
  </w:style>
  <w:style w:type="character" w:customStyle="1" w:styleId="apple-converted-space">
    <w:name w:val="apple-converted-space"/>
    <w:basedOn w:val="DefaultParagraphFont"/>
    <w:rsid w:val="005D2301"/>
  </w:style>
  <w:style w:type="paragraph" w:customStyle="1" w:styleId="Style1">
    <w:name w:val="Style1"/>
    <w:basedOn w:val="FootnoteText"/>
    <w:link w:val="Style1Char"/>
    <w:qFormat/>
    <w:rsid w:val="00EA468D"/>
    <w:rPr>
      <w:rFonts w:ascii="Times New Roman" w:hAnsi="Times New Roman"/>
    </w:rPr>
  </w:style>
  <w:style w:type="character" w:customStyle="1" w:styleId="Style1Char">
    <w:name w:val="Style1 Char"/>
    <w:basedOn w:val="FootnoteTextChar"/>
    <w:link w:val="Style1"/>
    <w:rsid w:val="00EA468D"/>
    <w:rPr>
      <w:rFonts w:ascii="Times New Roman" w:hAnsi="Times New Roman" w:cs="Times New Roman"/>
      <w:sz w:val="20"/>
      <w:szCs w:val="20"/>
    </w:rPr>
  </w:style>
  <w:style w:type="paragraph" w:styleId="Revision">
    <w:name w:val="Revision"/>
    <w:hidden/>
    <w:uiPriority w:val="99"/>
    <w:semiHidden/>
    <w:rsid w:val="00BB583E"/>
    <w:rPr>
      <w:rFonts w:eastAsia="Times New Roman"/>
      <w:lang w:eastAsia="en-US"/>
    </w:rPr>
  </w:style>
  <w:style w:type="paragraph" w:styleId="HTMLPreformatted">
    <w:name w:val="HTML Preformatted"/>
    <w:basedOn w:val="Normal"/>
    <w:link w:val="HTMLPreformattedChar"/>
    <w:uiPriority w:val="99"/>
    <w:semiHidden/>
    <w:unhideWhenUsed/>
    <w:rsid w:val="00D40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D40945"/>
    <w:rPr>
      <w:rFonts w:ascii="Courier New" w:eastAsia="Times New Roman" w:hAnsi="Courier New" w:cs="Courier New"/>
      <w:sz w:val="20"/>
      <w:szCs w:val="20"/>
    </w:rPr>
  </w:style>
  <w:style w:type="paragraph" w:customStyle="1" w:styleId="FootnoteReferenceNumber">
    <w:name w:val="Footnote Reference Number"/>
    <w:aliases w:val="Footnote symbol,Char Char Char Char Char,Char2 Char Char"/>
    <w:basedOn w:val="Normal"/>
    <w:next w:val="Normal"/>
    <w:link w:val="FootnoteReference"/>
    <w:uiPriority w:val="99"/>
    <w:rsid w:val="00EF050B"/>
    <w:pPr>
      <w:spacing w:after="160" w:line="240" w:lineRule="exact"/>
      <w:jc w:val="both"/>
      <w:textAlignment w:val="baseline"/>
    </w:pPr>
    <w:rPr>
      <w:rFonts w:eastAsia="Calibri"/>
      <w:vertAlign w:val="superscript"/>
      <w:lang w:eastAsia="lv-LV"/>
    </w:rPr>
  </w:style>
  <w:style w:type="paragraph" w:customStyle="1" w:styleId="naislab">
    <w:name w:val="naislab"/>
    <w:basedOn w:val="Normal"/>
    <w:rsid w:val="00915BA1"/>
    <w:pPr>
      <w:spacing w:before="75" w:after="75"/>
      <w:jc w:val="right"/>
    </w:pPr>
    <w:rPr>
      <w:rFonts w:ascii="Times New Roman" w:hAnsi="Times New Roman"/>
      <w:sz w:val="24"/>
      <w:szCs w:val="24"/>
      <w:lang w:eastAsia="lv-LV"/>
    </w:rPr>
  </w:style>
  <w:style w:type="table" w:styleId="LightShading-Accent1">
    <w:name w:val="Light Shading Accent 1"/>
    <w:basedOn w:val="TableNormal"/>
    <w:uiPriority w:val="60"/>
    <w:rsid w:val="00BF58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992DD7"/>
    <w:rPr>
      <w:color w:val="605E5C"/>
      <w:shd w:val="clear" w:color="auto" w:fill="E1DFDD"/>
    </w:rPr>
  </w:style>
  <w:style w:type="character" w:customStyle="1" w:styleId="UnresolvedMention">
    <w:name w:val="Unresolved Mention"/>
    <w:basedOn w:val="DefaultParagraphFont"/>
    <w:uiPriority w:val="99"/>
    <w:semiHidden/>
    <w:unhideWhenUsed/>
    <w:rsid w:val="000F3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9190">
      <w:bodyDiv w:val="1"/>
      <w:marLeft w:val="0"/>
      <w:marRight w:val="0"/>
      <w:marTop w:val="0"/>
      <w:marBottom w:val="0"/>
      <w:divBdr>
        <w:top w:val="none" w:sz="0" w:space="0" w:color="auto"/>
        <w:left w:val="none" w:sz="0" w:space="0" w:color="auto"/>
        <w:bottom w:val="none" w:sz="0" w:space="0" w:color="auto"/>
        <w:right w:val="none" w:sz="0" w:space="0" w:color="auto"/>
      </w:divBdr>
    </w:div>
    <w:div w:id="9452394">
      <w:bodyDiv w:val="1"/>
      <w:marLeft w:val="0"/>
      <w:marRight w:val="0"/>
      <w:marTop w:val="0"/>
      <w:marBottom w:val="0"/>
      <w:divBdr>
        <w:top w:val="none" w:sz="0" w:space="0" w:color="auto"/>
        <w:left w:val="none" w:sz="0" w:space="0" w:color="auto"/>
        <w:bottom w:val="none" w:sz="0" w:space="0" w:color="auto"/>
        <w:right w:val="none" w:sz="0" w:space="0" w:color="auto"/>
      </w:divBdr>
    </w:div>
    <w:div w:id="42413993">
      <w:bodyDiv w:val="1"/>
      <w:marLeft w:val="0"/>
      <w:marRight w:val="0"/>
      <w:marTop w:val="0"/>
      <w:marBottom w:val="0"/>
      <w:divBdr>
        <w:top w:val="none" w:sz="0" w:space="0" w:color="auto"/>
        <w:left w:val="none" w:sz="0" w:space="0" w:color="auto"/>
        <w:bottom w:val="none" w:sz="0" w:space="0" w:color="auto"/>
        <w:right w:val="none" w:sz="0" w:space="0" w:color="auto"/>
      </w:divBdr>
    </w:div>
    <w:div w:id="49040357">
      <w:bodyDiv w:val="1"/>
      <w:marLeft w:val="0"/>
      <w:marRight w:val="0"/>
      <w:marTop w:val="0"/>
      <w:marBottom w:val="0"/>
      <w:divBdr>
        <w:top w:val="none" w:sz="0" w:space="0" w:color="auto"/>
        <w:left w:val="none" w:sz="0" w:space="0" w:color="auto"/>
        <w:bottom w:val="none" w:sz="0" w:space="0" w:color="auto"/>
        <w:right w:val="none" w:sz="0" w:space="0" w:color="auto"/>
      </w:divBdr>
    </w:div>
    <w:div w:id="54354645">
      <w:bodyDiv w:val="1"/>
      <w:marLeft w:val="0"/>
      <w:marRight w:val="0"/>
      <w:marTop w:val="0"/>
      <w:marBottom w:val="0"/>
      <w:divBdr>
        <w:top w:val="none" w:sz="0" w:space="0" w:color="auto"/>
        <w:left w:val="none" w:sz="0" w:space="0" w:color="auto"/>
        <w:bottom w:val="none" w:sz="0" w:space="0" w:color="auto"/>
        <w:right w:val="none" w:sz="0" w:space="0" w:color="auto"/>
      </w:divBdr>
    </w:div>
    <w:div w:id="65035647">
      <w:bodyDiv w:val="1"/>
      <w:marLeft w:val="0"/>
      <w:marRight w:val="0"/>
      <w:marTop w:val="0"/>
      <w:marBottom w:val="0"/>
      <w:divBdr>
        <w:top w:val="none" w:sz="0" w:space="0" w:color="auto"/>
        <w:left w:val="none" w:sz="0" w:space="0" w:color="auto"/>
        <w:bottom w:val="none" w:sz="0" w:space="0" w:color="auto"/>
        <w:right w:val="none" w:sz="0" w:space="0" w:color="auto"/>
      </w:divBdr>
    </w:div>
    <w:div w:id="102462769">
      <w:bodyDiv w:val="1"/>
      <w:marLeft w:val="0"/>
      <w:marRight w:val="0"/>
      <w:marTop w:val="0"/>
      <w:marBottom w:val="0"/>
      <w:divBdr>
        <w:top w:val="none" w:sz="0" w:space="0" w:color="auto"/>
        <w:left w:val="none" w:sz="0" w:space="0" w:color="auto"/>
        <w:bottom w:val="none" w:sz="0" w:space="0" w:color="auto"/>
        <w:right w:val="none" w:sz="0" w:space="0" w:color="auto"/>
      </w:divBdr>
    </w:div>
    <w:div w:id="121267633">
      <w:bodyDiv w:val="1"/>
      <w:marLeft w:val="0"/>
      <w:marRight w:val="0"/>
      <w:marTop w:val="0"/>
      <w:marBottom w:val="0"/>
      <w:divBdr>
        <w:top w:val="none" w:sz="0" w:space="0" w:color="auto"/>
        <w:left w:val="none" w:sz="0" w:space="0" w:color="auto"/>
        <w:bottom w:val="none" w:sz="0" w:space="0" w:color="auto"/>
        <w:right w:val="none" w:sz="0" w:space="0" w:color="auto"/>
      </w:divBdr>
    </w:div>
    <w:div w:id="129053459">
      <w:bodyDiv w:val="1"/>
      <w:marLeft w:val="0"/>
      <w:marRight w:val="0"/>
      <w:marTop w:val="0"/>
      <w:marBottom w:val="0"/>
      <w:divBdr>
        <w:top w:val="none" w:sz="0" w:space="0" w:color="auto"/>
        <w:left w:val="none" w:sz="0" w:space="0" w:color="auto"/>
        <w:bottom w:val="none" w:sz="0" w:space="0" w:color="auto"/>
        <w:right w:val="none" w:sz="0" w:space="0" w:color="auto"/>
      </w:divBdr>
    </w:div>
    <w:div w:id="130559557">
      <w:bodyDiv w:val="1"/>
      <w:marLeft w:val="0"/>
      <w:marRight w:val="0"/>
      <w:marTop w:val="0"/>
      <w:marBottom w:val="0"/>
      <w:divBdr>
        <w:top w:val="none" w:sz="0" w:space="0" w:color="auto"/>
        <w:left w:val="none" w:sz="0" w:space="0" w:color="auto"/>
        <w:bottom w:val="none" w:sz="0" w:space="0" w:color="auto"/>
        <w:right w:val="none" w:sz="0" w:space="0" w:color="auto"/>
      </w:divBdr>
    </w:div>
    <w:div w:id="139157594">
      <w:bodyDiv w:val="1"/>
      <w:marLeft w:val="0"/>
      <w:marRight w:val="0"/>
      <w:marTop w:val="0"/>
      <w:marBottom w:val="0"/>
      <w:divBdr>
        <w:top w:val="none" w:sz="0" w:space="0" w:color="auto"/>
        <w:left w:val="none" w:sz="0" w:space="0" w:color="auto"/>
        <w:bottom w:val="none" w:sz="0" w:space="0" w:color="auto"/>
        <w:right w:val="none" w:sz="0" w:space="0" w:color="auto"/>
      </w:divBdr>
    </w:div>
    <w:div w:id="174539505">
      <w:bodyDiv w:val="1"/>
      <w:marLeft w:val="0"/>
      <w:marRight w:val="0"/>
      <w:marTop w:val="0"/>
      <w:marBottom w:val="0"/>
      <w:divBdr>
        <w:top w:val="none" w:sz="0" w:space="0" w:color="auto"/>
        <w:left w:val="none" w:sz="0" w:space="0" w:color="auto"/>
        <w:bottom w:val="none" w:sz="0" w:space="0" w:color="auto"/>
        <w:right w:val="none" w:sz="0" w:space="0" w:color="auto"/>
      </w:divBdr>
    </w:div>
    <w:div w:id="177503906">
      <w:bodyDiv w:val="1"/>
      <w:marLeft w:val="0"/>
      <w:marRight w:val="0"/>
      <w:marTop w:val="0"/>
      <w:marBottom w:val="0"/>
      <w:divBdr>
        <w:top w:val="none" w:sz="0" w:space="0" w:color="auto"/>
        <w:left w:val="none" w:sz="0" w:space="0" w:color="auto"/>
        <w:bottom w:val="none" w:sz="0" w:space="0" w:color="auto"/>
        <w:right w:val="none" w:sz="0" w:space="0" w:color="auto"/>
      </w:divBdr>
    </w:div>
    <w:div w:id="194731797">
      <w:bodyDiv w:val="1"/>
      <w:marLeft w:val="0"/>
      <w:marRight w:val="0"/>
      <w:marTop w:val="0"/>
      <w:marBottom w:val="0"/>
      <w:divBdr>
        <w:top w:val="none" w:sz="0" w:space="0" w:color="auto"/>
        <w:left w:val="none" w:sz="0" w:space="0" w:color="auto"/>
        <w:bottom w:val="none" w:sz="0" w:space="0" w:color="auto"/>
        <w:right w:val="none" w:sz="0" w:space="0" w:color="auto"/>
      </w:divBdr>
    </w:div>
    <w:div w:id="236520241">
      <w:bodyDiv w:val="1"/>
      <w:marLeft w:val="0"/>
      <w:marRight w:val="0"/>
      <w:marTop w:val="0"/>
      <w:marBottom w:val="0"/>
      <w:divBdr>
        <w:top w:val="none" w:sz="0" w:space="0" w:color="auto"/>
        <w:left w:val="none" w:sz="0" w:space="0" w:color="auto"/>
        <w:bottom w:val="none" w:sz="0" w:space="0" w:color="auto"/>
        <w:right w:val="none" w:sz="0" w:space="0" w:color="auto"/>
      </w:divBdr>
    </w:div>
    <w:div w:id="307368321">
      <w:bodyDiv w:val="1"/>
      <w:marLeft w:val="0"/>
      <w:marRight w:val="0"/>
      <w:marTop w:val="0"/>
      <w:marBottom w:val="0"/>
      <w:divBdr>
        <w:top w:val="none" w:sz="0" w:space="0" w:color="auto"/>
        <w:left w:val="none" w:sz="0" w:space="0" w:color="auto"/>
        <w:bottom w:val="none" w:sz="0" w:space="0" w:color="auto"/>
        <w:right w:val="none" w:sz="0" w:space="0" w:color="auto"/>
      </w:divBdr>
    </w:div>
    <w:div w:id="428238357">
      <w:bodyDiv w:val="1"/>
      <w:marLeft w:val="0"/>
      <w:marRight w:val="0"/>
      <w:marTop w:val="0"/>
      <w:marBottom w:val="0"/>
      <w:divBdr>
        <w:top w:val="none" w:sz="0" w:space="0" w:color="auto"/>
        <w:left w:val="none" w:sz="0" w:space="0" w:color="auto"/>
        <w:bottom w:val="none" w:sz="0" w:space="0" w:color="auto"/>
        <w:right w:val="none" w:sz="0" w:space="0" w:color="auto"/>
      </w:divBdr>
    </w:div>
    <w:div w:id="433287467">
      <w:bodyDiv w:val="1"/>
      <w:marLeft w:val="0"/>
      <w:marRight w:val="0"/>
      <w:marTop w:val="0"/>
      <w:marBottom w:val="0"/>
      <w:divBdr>
        <w:top w:val="none" w:sz="0" w:space="0" w:color="auto"/>
        <w:left w:val="none" w:sz="0" w:space="0" w:color="auto"/>
        <w:bottom w:val="none" w:sz="0" w:space="0" w:color="auto"/>
        <w:right w:val="none" w:sz="0" w:space="0" w:color="auto"/>
      </w:divBdr>
    </w:div>
    <w:div w:id="436096481">
      <w:bodyDiv w:val="1"/>
      <w:marLeft w:val="0"/>
      <w:marRight w:val="0"/>
      <w:marTop w:val="0"/>
      <w:marBottom w:val="0"/>
      <w:divBdr>
        <w:top w:val="none" w:sz="0" w:space="0" w:color="auto"/>
        <w:left w:val="none" w:sz="0" w:space="0" w:color="auto"/>
        <w:bottom w:val="none" w:sz="0" w:space="0" w:color="auto"/>
        <w:right w:val="none" w:sz="0" w:space="0" w:color="auto"/>
      </w:divBdr>
    </w:div>
    <w:div w:id="438261542">
      <w:bodyDiv w:val="1"/>
      <w:marLeft w:val="0"/>
      <w:marRight w:val="0"/>
      <w:marTop w:val="0"/>
      <w:marBottom w:val="0"/>
      <w:divBdr>
        <w:top w:val="none" w:sz="0" w:space="0" w:color="auto"/>
        <w:left w:val="none" w:sz="0" w:space="0" w:color="auto"/>
        <w:bottom w:val="none" w:sz="0" w:space="0" w:color="auto"/>
        <w:right w:val="none" w:sz="0" w:space="0" w:color="auto"/>
      </w:divBdr>
    </w:div>
    <w:div w:id="467162363">
      <w:bodyDiv w:val="1"/>
      <w:marLeft w:val="0"/>
      <w:marRight w:val="0"/>
      <w:marTop w:val="0"/>
      <w:marBottom w:val="0"/>
      <w:divBdr>
        <w:top w:val="none" w:sz="0" w:space="0" w:color="auto"/>
        <w:left w:val="none" w:sz="0" w:space="0" w:color="auto"/>
        <w:bottom w:val="none" w:sz="0" w:space="0" w:color="auto"/>
        <w:right w:val="none" w:sz="0" w:space="0" w:color="auto"/>
      </w:divBdr>
    </w:div>
    <w:div w:id="472528538">
      <w:bodyDiv w:val="1"/>
      <w:marLeft w:val="0"/>
      <w:marRight w:val="0"/>
      <w:marTop w:val="0"/>
      <w:marBottom w:val="0"/>
      <w:divBdr>
        <w:top w:val="none" w:sz="0" w:space="0" w:color="auto"/>
        <w:left w:val="none" w:sz="0" w:space="0" w:color="auto"/>
        <w:bottom w:val="none" w:sz="0" w:space="0" w:color="auto"/>
        <w:right w:val="none" w:sz="0" w:space="0" w:color="auto"/>
      </w:divBdr>
    </w:div>
    <w:div w:id="563681289">
      <w:bodyDiv w:val="1"/>
      <w:marLeft w:val="0"/>
      <w:marRight w:val="0"/>
      <w:marTop w:val="0"/>
      <w:marBottom w:val="0"/>
      <w:divBdr>
        <w:top w:val="none" w:sz="0" w:space="0" w:color="auto"/>
        <w:left w:val="none" w:sz="0" w:space="0" w:color="auto"/>
        <w:bottom w:val="none" w:sz="0" w:space="0" w:color="auto"/>
        <w:right w:val="none" w:sz="0" w:space="0" w:color="auto"/>
      </w:divBdr>
    </w:div>
    <w:div w:id="595286529">
      <w:bodyDiv w:val="1"/>
      <w:marLeft w:val="0"/>
      <w:marRight w:val="0"/>
      <w:marTop w:val="0"/>
      <w:marBottom w:val="0"/>
      <w:divBdr>
        <w:top w:val="none" w:sz="0" w:space="0" w:color="auto"/>
        <w:left w:val="none" w:sz="0" w:space="0" w:color="auto"/>
        <w:bottom w:val="none" w:sz="0" w:space="0" w:color="auto"/>
        <w:right w:val="none" w:sz="0" w:space="0" w:color="auto"/>
      </w:divBdr>
    </w:div>
    <w:div w:id="659887546">
      <w:bodyDiv w:val="1"/>
      <w:marLeft w:val="0"/>
      <w:marRight w:val="0"/>
      <w:marTop w:val="0"/>
      <w:marBottom w:val="0"/>
      <w:divBdr>
        <w:top w:val="none" w:sz="0" w:space="0" w:color="auto"/>
        <w:left w:val="none" w:sz="0" w:space="0" w:color="auto"/>
        <w:bottom w:val="none" w:sz="0" w:space="0" w:color="auto"/>
        <w:right w:val="none" w:sz="0" w:space="0" w:color="auto"/>
      </w:divBdr>
    </w:div>
    <w:div w:id="684358716">
      <w:bodyDiv w:val="1"/>
      <w:marLeft w:val="0"/>
      <w:marRight w:val="0"/>
      <w:marTop w:val="0"/>
      <w:marBottom w:val="0"/>
      <w:divBdr>
        <w:top w:val="none" w:sz="0" w:space="0" w:color="auto"/>
        <w:left w:val="none" w:sz="0" w:space="0" w:color="auto"/>
        <w:bottom w:val="none" w:sz="0" w:space="0" w:color="auto"/>
        <w:right w:val="none" w:sz="0" w:space="0" w:color="auto"/>
      </w:divBdr>
    </w:div>
    <w:div w:id="695813118">
      <w:bodyDiv w:val="1"/>
      <w:marLeft w:val="0"/>
      <w:marRight w:val="0"/>
      <w:marTop w:val="0"/>
      <w:marBottom w:val="0"/>
      <w:divBdr>
        <w:top w:val="none" w:sz="0" w:space="0" w:color="auto"/>
        <w:left w:val="none" w:sz="0" w:space="0" w:color="auto"/>
        <w:bottom w:val="none" w:sz="0" w:space="0" w:color="auto"/>
        <w:right w:val="none" w:sz="0" w:space="0" w:color="auto"/>
      </w:divBdr>
    </w:div>
    <w:div w:id="751899148">
      <w:bodyDiv w:val="1"/>
      <w:marLeft w:val="0"/>
      <w:marRight w:val="0"/>
      <w:marTop w:val="0"/>
      <w:marBottom w:val="0"/>
      <w:divBdr>
        <w:top w:val="none" w:sz="0" w:space="0" w:color="auto"/>
        <w:left w:val="none" w:sz="0" w:space="0" w:color="auto"/>
        <w:bottom w:val="none" w:sz="0" w:space="0" w:color="auto"/>
        <w:right w:val="none" w:sz="0" w:space="0" w:color="auto"/>
      </w:divBdr>
    </w:div>
    <w:div w:id="786240289">
      <w:bodyDiv w:val="1"/>
      <w:marLeft w:val="0"/>
      <w:marRight w:val="0"/>
      <w:marTop w:val="0"/>
      <w:marBottom w:val="0"/>
      <w:divBdr>
        <w:top w:val="none" w:sz="0" w:space="0" w:color="auto"/>
        <w:left w:val="none" w:sz="0" w:space="0" w:color="auto"/>
        <w:bottom w:val="none" w:sz="0" w:space="0" w:color="auto"/>
        <w:right w:val="none" w:sz="0" w:space="0" w:color="auto"/>
      </w:divBdr>
    </w:div>
    <w:div w:id="884560126">
      <w:bodyDiv w:val="1"/>
      <w:marLeft w:val="0"/>
      <w:marRight w:val="0"/>
      <w:marTop w:val="0"/>
      <w:marBottom w:val="0"/>
      <w:divBdr>
        <w:top w:val="none" w:sz="0" w:space="0" w:color="auto"/>
        <w:left w:val="none" w:sz="0" w:space="0" w:color="auto"/>
        <w:bottom w:val="none" w:sz="0" w:space="0" w:color="auto"/>
        <w:right w:val="none" w:sz="0" w:space="0" w:color="auto"/>
      </w:divBdr>
    </w:div>
    <w:div w:id="997540166">
      <w:bodyDiv w:val="1"/>
      <w:marLeft w:val="0"/>
      <w:marRight w:val="0"/>
      <w:marTop w:val="0"/>
      <w:marBottom w:val="0"/>
      <w:divBdr>
        <w:top w:val="none" w:sz="0" w:space="0" w:color="auto"/>
        <w:left w:val="none" w:sz="0" w:space="0" w:color="auto"/>
        <w:bottom w:val="none" w:sz="0" w:space="0" w:color="auto"/>
        <w:right w:val="none" w:sz="0" w:space="0" w:color="auto"/>
      </w:divBdr>
    </w:div>
    <w:div w:id="1066105270">
      <w:bodyDiv w:val="1"/>
      <w:marLeft w:val="0"/>
      <w:marRight w:val="0"/>
      <w:marTop w:val="0"/>
      <w:marBottom w:val="0"/>
      <w:divBdr>
        <w:top w:val="none" w:sz="0" w:space="0" w:color="auto"/>
        <w:left w:val="none" w:sz="0" w:space="0" w:color="auto"/>
        <w:bottom w:val="none" w:sz="0" w:space="0" w:color="auto"/>
        <w:right w:val="none" w:sz="0" w:space="0" w:color="auto"/>
      </w:divBdr>
    </w:div>
    <w:div w:id="1129935006">
      <w:bodyDiv w:val="1"/>
      <w:marLeft w:val="0"/>
      <w:marRight w:val="0"/>
      <w:marTop w:val="0"/>
      <w:marBottom w:val="0"/>
      <w:divBdr>
        <w:top w:val="none" w:sz="0" w:space="0" w:color="auto"/>
        <w:left w:val="none" w:sz="0" w:space="0" w:color="auto"/>
        <w:bottom w:val="none" w:sz="0" w:space="0" w:color="auto"/>
        <w:right w:val="none" w:sz="0" w:space="0" w:color="auto"/>
      </w:divBdr>
    </w:div>
    <w:div w:id="1155562066">
      <w:bodyDiv w:val="1"/>
      <w:marLeft w:val="0"/>
      <w:marRight w:val="0"/>
      <w:marTop w:val="0"/>
      <w:marBottom w:val="0"/>
      <w:divBdr>
        <w:top w:val="none" w:sz="0" w:space="0" w:color="auto"/>
        <w:left w:val="none" w:sz="0" w:space="0" w:color="auto"/>
        <w:bottom w:val="none" w:sz="0" w:space="0" w:color="auto"/>
        <w:right w:val="none" w:sz="0" w:space="0" w:color="auto"/>
      </w:divBdr>
    </w:div>
    <w:div w:id="1183520297">
      <w:bodyDiv w:val="1"/>
      <w:marLeft w:val="0"/>
      <w:marRight w:val="0"/>
      <w:marTop w:val="0"/>
      <w:marBottom w:val="0"/>
      <w:divBdr>
        <w:top w:val="none" w:sz="0" w:space="0" w:color="auto"/>
        <w:left w:val="none" w:sz="0" w:space="0" w:color="auto"/>
        <w:bottom w:val="none" w:sz="0" w:space="0" w:color="auto"/>
        <w:right w:val="none" w:sz="0" w:space="0" w:color="auto"/>
      </w:divBdr>
    </w:div>
    <w:div w:id="1199011532">
      <w:bodyDiv w:val="1"/>
      <w:marLeft w:val="0"/>
      <w:marRight w:val="0"/>
      <w:marTop w:val="0"/>
      <w:marBottom w:val="0"/>
      <w:divBdr>
        <w:top w:val="none" w:sz="0" w:space="0" w:color="auto"/>
        <w:left w:val="none" w:sz="0" w:space="0" w:color="auto"/>
        <w:bottom w:val="none" w:sz="0" w:space="0" w:color="auto"/>
        <w:right w:val="none" w:sz="0" w:space="0" w:color="auto"/>
      </w:divBdr>
    </w:div>
    <w:div w:id="1316953895">
      <w:bodyDiv w:val="1"/>
      <w:marLeft w:val="0"/>
      <w:marRight w:val="0"/>
      <w:marTop w:val="0"/>
      <w:marBottom w:val="0"/>
      <w:divBdr>
        <w:top w:val="none" w:sz="0" w:space="0" w:color="auto"/>
        <w:left w:val="none" w:sz="0" w:space="0" w:color="auto"/>
        <w:bottom w:val="none" w:sz="0" w:space="0" w:color="auto"/>
        <w:right w:val="none" w:sz="0" w:space="0" w:color="auto"/>
      </w:divBdr>
    </w:div>
    <w:div w:id="1325166056">
      <w:bodyDiv w:val="1"/>
      <w:marLeft w:val="0"/>
      <w:marRight w:val="0"/>
      <w:marTop w:val="0"/>
      <w:marBottom w:val="0"/>
      <w:divBdr>
        <w:top w:val="none" w:sz="0" w:space="0" w:color="auto"/>
        <w:left w:val="none" w:sz="0" w:space="0" w:color="auto"/>
        <w:bottom w:val="none" w:sz="0" w:space="0" w:color="auto"/>
        <w:right w:val="none" w:sz="0" w:space="0" w:color="auto"/>
      </w:divBdr>
    </w:div>
    <w:div w:id="1398746245">
      <w:bodyDiv w:val="1"/>
      <w:marLeft w:val="0"/>
      <w:marRight w:val="0"/>
      <w:marTop w:val="0"/>
      <w:marBottom w:val="0"/>
      <w:divBdr>
        <w:top w:val="none" w:sz="0" w:space="0" w:color="auto"/>
        <w:left w:val="none" w:sz="0" w:space="0" w:color="auto"/>
        <w:bottom w:val="none" w:sz="0" w:space="0" w:color="auto"/>
        <w:right w:val="none" w:sz="0" w:space="0" w:color="auto"/>
      </w:divBdr>
    </w:div>
    <w:div w:id="1407460345">
      <w:bodyDiv w:val="1"/>
      <w:marLeft w:val="0"/>
      <w:marRight w:val="0"/>
      <w:marTop w:val="0"/>
      <w:marBottom w:val="0"/>
      <w:divBdr>
        <w:top w:val="none" w:sz="0" w:space="0" w:color="auto"/>
        <w:left w:val="none" w:sz="0" w:space="0" w:color="auto"/>
        <w:bottom w:val="none" w:sz="0" w:space="0" w:color="auto"/>
        <w:right w:val="none" w:sz="0" w:space="0" w:color="auto"/>
      </w:divBdr>
    </w:div>
    <w:div w:id="1425759349">
      <w:bodyDiv w:val="1"/>
      <w:marLeft w:val="0"/>
      <w:marRight w:val="0"/>
      <w:marTop w:val="0"/>
      <w:marBottom w:val="0"/>
      <w:divBdr>
        <w:top w:val="none" w:sz="0" w:space="0" w:color="auto"/>
        <w:left w:val="none" w:sz="0" w:space="0" w:color="auto"/>
        <w:bottom w:val="none" w:sz="0" w:space="0" w:color="auto"/>
        <w:right w:val="none" w:sz="0" w:space="0" w:color="auto"/>
      </w:divBdr>
    </w:div>
    <w:div w:id="1430203092">
      <w:bodyDiv w:val="1"/>
      <w:marLeft w:val="0"/>
      <w:marRight w:val="0"/>
      <w:marTop w:val="0"/>
      <w:marBottom w:val="0"/>
      <w:divBdr>
        <w:top w:val="none" w:sz="0" w:space="0" w:color="auto"/>
        <w:left w:val="none" w:sz="0" w:space="0" w:color="auto"/>
        <w:bottom w:val="none" w:sz="0" w:space="0" w:color="auto"/>
        <w:right w:val="none" w:sz="0" w:space="0" w:color="auto"/>
      </w:divBdr>
    </w:div>
    <w:div w:id="1440905387">
      <w:bodyDiv w:val="1"/>
      <w:marLeft w:val="0"/>
      <w:marRight w:val="0"/>
      <w:marTop w:val="0"/>
      <w:marBottom w:val="0"/>
      <w:divBdr>
        <w:top w:val="none" w:sz="0" w:space="0" w:color="auto"/>
        <w:left w:val="none" w:sz="0" w:space="0" w:color="auto"/>
        <w:bottom w:val="none" w:sz="0" w:space="0" w:color="auto"/>
        <w:right w:val="none" w:sz="0" w:space="0" w:color="auto"/>
      </w:divBdr>
    </w:div>
    <w:div w:id="1456371309">
      <w:bodyDiv w:val="1"/>
      <w:marLeft w:val="0"/>
      <w:marRight w:val="0"/>
      <w:marTop w:val="0"/>
      <w:marBottom w:val="0"/>
      <w:divBdr>
        <w:top w:val="none" w:sz="0" w:space="0" w:color="auto"/>
        <w:left w:val="none" w:sz="0" w:space="0" w:color="auto"/>
        <w:bottom w:val="none" w:sz="0" w:space="0" w:color="auto"/>
        <w:right w:val="none" w:sz="0" w:space="0" w:color="auto"/>
      </w:divBdr>
    </w:div>
    <w:div w:id="1482455182">
      <w:marLeft w:val="0"/>
      <w:marRight w:val="0"/>
      <w:marTop w:val="0"/>
      <w:marBottom w:val="0"/>
      <w:divBdr>
        <w:top w:val="none" w:sz="0" w:space="0" w:color="auto"/>
        <w:left w:val="none" w:sz="0" w:space="0" w:color="auto"/>
        <w:bottom w:val="none" w:sz="0" w:space="0" w:color="auto"/>
        <w:right w:val="none" w:sz="0" w:space="0" w:color="auto"/>
      </w:divBdr>
    </w:div>
    <w:div w:id="1482455183">
      <w:marLeft w:val="0"/>
      <w:marRight w:val="0"/>
      <w:marTop w:val="0"/>
      <w:marBottom w:val="0"/>
      <w:divBdr>
        <w:top w:val="none" w:sz="0" w:space="0" w:color="auto"/>
        <w:left w:val="none" w:sz="0" w:space="0" w:color="auto"/>
        <w:bottom w:val="none" w:sz="0" w:space="0" w:color="auto"/>
        <w:right w:val="none" w:sz="0" w:space="0" w:color="auto"/>
      </w:divBdr>
    </w:div>
    <w:div w:id="1482455184">
      <w:marLeft w:val="0"/>
      <w:marRight w:val="0"/>
      <w:marTop w:val="0"/>
      <w:marBottom w:val="0"/>
      <w:divBdr>
        <w:top w:val="none" w:sz="0" w:space="0" w:color="auto"/>
        <w:left w:val="none" w:sz="0" w:space="0" w:color="auto"/>
        <w:bottom w:val="none" w:sz="0" w:space="0" w:color="auto"/>
        <w:right w:val="none" w:sz="0" w:space="0" w:color="auto"/>
      </w:divBdr>
    </w:div>
    <w:div w:id="1482455185">
      <w:marLeft w:val="0"/>
      <w:marRight w:val="0"/>
      <w:marTop w:val="0"/>
      <w:marBottom w:val="0"/>
      <w:divBdr>
        <w:top w:val="none" w:sz="0" w:space="0" w:color="auto"/>
        <w:left w:val="none" w:sz="0" w:space="0" w:color="auto"/>
        <w:bottom w:val="none" w:sz="0" w:space="0" w:color="auto"/>
        <w:right w:val="none" w:sz="0" w:space="0" w:color="auto"/>
      </w:divBdr>
    </w:div>
    <w:div w:id="1482455186">
      <w:marLeft w:val="0"/>
      <w:marRight w:val="0"/>
      <w:marTop w:val="0"/>
      <w:marBottom w:val="0"/>
      <w:divBdr>
        <w:top w:val="none" w:sz="0" w:space="0" w:color="auto"/>
        <w:left w:val="none" w:sz="0" w:space="0" w:color="auto"/>
        <w:bottom w:val="none" w:sz="0" w:space="0" w:color="auto"/>
        <w:right w:val="none" w:sz="0" w:space="0" w:color="auto"/>
      </w:divBdr>
    </w:div>
    <w:div w:id="1482455187">
      <w:marLeft w:val="0"/>
      <w:marRight w:val="0"/>
      <w:marTop w:val="0"/>
      <w:marBottom w:val="0"/>
      <w:divBdr>
        <w:top w:val="none" w:sz="0" w:space="0" w:color="auto"/>
        <w:left w:val="none" w:sz="0" w:space="0" w:color="auto"/>
        <w:bottom w:val="none" w:sz="0" w:space="0" w:color="auto"/>
        <w:right w:val="none" w:sz="0" w:space="0" w:color="auto"/>
      </w:divBdr>
    </w:div>
    <w:div w:id="1482455188">
      <w:marLeft w:val="0"/>
      <w:marRight w:val="0"/>
      <w:marTop w:val="0"/>
      <w:marBottom w:val="0"/>
      <w:divBdr>
        <w:top w:val="none" w:sz="0" w:space="0" w:color="auto"/>
        <w:left w:val="none" w:sz="0" w:space="0" w:color="auto"/>
        <w:bottom w:val="none" w:sz="0" w:space="0" w:color="auto"/>
        <w:right w:val="none" w:sz="0" w:space="0" w:color="auto"/>
      </w:divBdr>
    </w:div>
    <w:div w:id="1482455189">
      <w:marLeft w:val="0"/>
      <w:marRight w:val="0"/>
      <w:marTop w:val="0"/>
      <w:marBottom w:val="0"/>
      <w:divBdr>
        <w:top w:val="none" w:sz="0" w:space="0" w:color="auto"/>
        <w:left w:val="none" w:sz="0" w:space="0" w:color="auto"/>
        <w:bottom w:val="none" w:sz="0" w:space="0" w:color="auto"/>
        <w:right w:val="none" w:sz="0" w:space="0" w:color="auto"/>
      </w:divBdr>
    </w:div>
    <w:div w:id="1482455190">
      <w:marLeft w:val="0"/>
      <w:marRight w:val="0"/>
      <w:marTop w:val="0"/>
      <w:marBottom w:val="0"/>
      <w:divBdr>
        <w:top w:val="none" w:sz="0" w:space="0" w:color="auto"/>
        <w:left w:val="none" w:sz="0" w:space="0" w:color="auto"/>
        <w:bottom w:val="none" w:sz="0" w:space="0" w:color="auto"/>
        <w:right w:val="none" w:sz="0" w:space="0" w:color="auto"/>
      </w:divBdr>
    </w:div>
    <w:div w:id="1482455191">
      <w:marLeft w:val="0"/>
      <w:marRight w:val="0"/>
      <w:marTop w:val="0"/>
      <w:marBottom w:val="0"/>
      <w:divBdr>
        <w:top w:val="none" w:sz="0" w:space="0" w:color="auto"/>
        <w:left w:val="none" w:sz="0" w:space="0" w:color="auto"/>
        <w:bottom w:val="none" w:sz="0" w:space="0" w:color="auto"/>
        <w:right w:val="none" w:sz="0" w:space="0" w:color="auto"/>
      </w:divBdr>
    </w:div>
    <w:div w:id="1482455192">
      <w:marLeft w:val="0"/>
      <w:marRight w:val="0"/>
      <w:marTop w:val="0"/>
      <w:marBottom w:val="0"/>
      <w:divBdr>
        <w:top w:val="none" w:sz="0" w:space="0" w:color="auto"/>
        <w:left w:val="none" w:sz="0" w:space="0" w:color="auto"/>
        <w:bottom w:val="none" w:sz="0" w:space="0" w:color="auto"/>
        <w:right w:val="none" w:sz="0" w:space="0" w:color="auto"/>
      </w:divBdr>
    </w:div>
    <w:div w:id="1482455193">
      <w:marLeft w:val="0"/>
      <w:marRight w:val="0"/>
      <w:marTop w:val="0"/>
      <w:marBottom w:val="0"/>
      <w:divBdr>
        <w:top w:val="none" w:sz="0" w:space="0" w:color="auto"/>
        <w:left w:val="none" w:sz="0" w:space="0" w:color="auto"/>
        <w:bottom w:val="none" w:sz="0" w:space="0" w:color="auto"/>
        <w:right w:val="none" w:sz="0" w:space="0" w:color="auto"/>
      </w:divBdr>
    </w:div>
    <w:div w:id="1482455194">
      <w:marLeft w:val="0"/>
      <w:marRight w:val="0"/>
      <w:marTop w:val="0"/>
      <w:marBottom w:val="0"/>
      <w:divBdr>
        <w:top w:val="none" w:sz="0" w:space="0" w:color="auto"/>
        <w:left w:val="none" w:sz="0" w:space="0" w:color="auto"/>
        <w:bottom w:val="none" w:sz="0" w:space="0" w:color="auto"/>
        <w:right w:val="none" w:sz="0" w:space="0" w:color="auto"/>
      </w:divBdr>
    </w:div>
    <w:div w:id="1482455195">
      <w:marLeft w:val="0"/>
      <w:marRight w:val="0"/>
      <w:marTop w:val="0"/>
      <w:marBottom w:val="0"/>
      <w:divBdr>
        <w:top w:val="none" w:sz="0" w:space="0" w:color="auto"/>
        <w:left w:val="none" w:sz="0" w:space="0" w:color="auto"/>
        <w:bottom w:val="none" w:sz="0" w:space="0" w:color="auto"/>
        <w:right w:val="none" w:sz="0" w:space="0" w:color="auto"/>
      </w:divBdr>
    </w:div>
    <w:div w:id="1482455196">
      <w:marLeft w:val="0"/>
      <w:marRight w:val="0"/>
      <w:marTop w:val="0"/>
      <w:marBottom w:val="0"/>
      <w:divBdr>
        <w:top w:val="none" w:sz="0" w:space="0" w:color="auto"/>
        <w:left w:val="none" w:sz="0" w:space="0" w:color="auto"/>
        <w:bottom w:val="none" w:sz="0" w:space="0" w:color="auto"/>
        <w:right w:val="none" w:sz="0" w:space="0" w:color="auto"/>
      </w:divBdr>
    </w:div>
    <w:div w:id="1482455197">
      <w:marLeft w:val="0"/>
      <w:marRight w:val="0"/>
      <w:marTop w:val="0"/>
      <w:marBottom w:val="0"/>
      <w:divBdr>
        <w:top w:val="none" w:sz="0" w:space="0" w:color="auto"/>
        <w:left w:val="none" w:sz="0" w:space="0" w:color="auto"/>
        <w:bottom w:val="none" w:sz="0" w:space="0" w:color="auto"/>
        <w:right w:val="none" w:sz="0" w:space="0" w:color="auto"/>
      </w:divBdr>
    </w:div>
    <w:div w:id="1482455198">
      <w:marLeft w:val="0"/>
      <w:marRight w:val="0"/>
      <w:marTop w:val="0"/>
      <w:marBottom w:val="0"/>
      <w:divBdr>
        <w:top w:val="none" w:sz="0" w:space="0" w:color="auto"/>
        <w:left w:val="none" w:sz="0" w:space="0" w:color="auto"/>
        <w:bottom w:val="none" w:sz="0" w:space="0" w:color="auto"/>
        <w:right w:val="none" w:sz="0" w:space="0" w:color="auto"/>
      </w:divBdr>
    </w:div>
    <w:div w:id="1482455199">
      <w:marLeft w:val="0"/>
      <w:marRight w:val="0"/>
      <w:marTop w:val="0"/>
      <w:marBottom w:val="0"/>
      <w:divBdr>
        <w:top w:val="none" w:sz="0" w:space="0" w:color="auto"/>
        <w:left w:val="none" w:sz="0" w:space="0" w:color="auto"/>
        <w:bottom w:val="none" w:sz="0" w:space="0" w:color="auto"/>
        <w:right w:val="none" w:sz="0" w:space="0" w:color="auto"/>
      </w:divBdr>
    </w:div>
    <w:div w:id="1482455200">
      <w:marLeft w:val="0"/>
      <w:marRight w:val="0"/>
      <w:marTop w:val="0"/>
      <w:marBottom w:val="0"/>
      <w:divBdr>
        <w:top w:val="none" w:sz="0" w:space="0" w:color="auto"/>
        <w:left w:val="none" w:sz="0" w:space="0" w:color="auto"/>
        <w:bottom w:val="none" w:sz="0" w:space="0" w:color="auto"/>
        <w:right w:val="none" w:sz="0" w:space="0" w:color="auto"/>
      </w:divBdr>
    </w:div>
    <w:div w:id="1482455201">
      <w:marLeft w:val="0"/>
      <w:marRight w:val="0"/>
      <w:marTop w:val="0"/>
      <w:marBottom w:val="0"/>
      <w:divBdr>
        <w:top w:val="none" w:sz="0" w:space="0" w:color="auto"/>
        <w:left w:val="none" w:sz="0" w:space="0" w:color="auto"/>
        <w:bottom w:val="none" w:sz="0" w:space="0" w:color="auto"/>
        <w:right w:val="none" w:sz="0" w:space="0" w:color="auto"/>
      </w:divBdr>
    </w:div>
    <w:div w:id="1482455202">
      <w:marLeft w:val="0"/>
      <w:marRight w:val="0"/>
      <w:marTop w:val="0"/>
      <w:marBottom w:val="0"/>
      <w:divBdr>
        <w:top w:val="none" w:sz="0" w:space="0" w:color="auto"/>
        <w:left w:val="none" w:sz="0" w:space="0" w:color="auto"/>
        <w:bottom w:val="none" w:sz="0" w:space="0" w:color="auto"/>
        <w:right w:val="none" w:sz="0" w:space="0" w:color="auto"/>
      </w:divBdr>
    </w:div>
    <w:div w:id="1482455203">
      <w:marLeft w:val="0"/>
      <w:marRight w:val="0"/>
      <w:marTop w:val="0"/>
      <w:marBottom w:val="0"/>
      <w:divBdr>
        <w:top w:val="none" w:sz="0" w:space="0" w:color="auto"/>
        <w:left w:val="none" w:sz="0" w:space="0" w:color="auto"/>
        <w:bottom w:val="none" w:sz="0" w:space="0" w:color="auto"/>
        <w:right w:val="none" w:sz="0" w:space="0" w:color="auto"/>
      </w:divBdr>
    </w:div>
    <w:div w:id="1500346280">
      <w:bodyDiv w:val="1"/>
      <w:marLeft w:val="0"/>
      <w:marRight w:val="0"/>
      <w:marTop w:val="0"/>
      <w:marBottom w:val="0"/>
      <w:divBdr>
        <w:top w:val="none" w:sz="0" w:space="0" w:color="auto"/>
        <w:left w:val="none" w:sz="0" w:space="0" w:color="auto"/>
        <w:bottom w:val="none" w:sz="0" w:space="0" w:color="auto"/>
        <w:right w:val="none" w:sz="0" w:space="0" w:color="auto"/>
      </w:divBdr>
    </w:div>
    <w:div w:id="1570533350">
      <w:bodyDiv w:val="1"/>
      <w:marLeft w:val="0"/>
      <w:marRight w:val="0"/>
      <w:marTop w:val="0"/>
      <w:marBottom w:val="0"/>
      <w:divBdr>
        <w:top w:val="none" w:sz="0" w:space="0" w:color="auto"/>
        <w:left w:val="none" w:sz="0" w:space="0" w:color="auto"/>
        <w:bottom w:val="none" w:sz="0" w:space="0" w:color="auto"/>
        <w:right w:val="none" w:sz="0" w:space="0" w:color="auto"/>
      </w:divBdr>
    </w:div>
    <w:div w:id="1579170379">
      <w:bodyDiv w:val="1"/>
      <w:marLeft w:val="0"/>
      <w:marRight w:val="0"/>
      <w:marTop w:val="0"/>
      <w:marBottom w:val="0"/>
      <w:divBdr>
        <w:top w:val="none" w:sz="0" w:space="0" w:color="auto"/>
        <w:left w:val="none" w:sz="0" w:space="0" w:color="auto"/>
        <w:bottom w:val="none" w:sz="0" w:space="0" w:color="auto"/>
        <w:right w:val="none" w:sz="0" w:space="0" w:color="auto"/>
      </w:divBdr>
    </w:div>
    <w:div w:id="1618177881">
      <w:bodyDiv w:val="1"/>
      <w:marLeft w:val="0"/>
      <w:marRight w:val="0"/>
      <w:marTop w:val="0"/>
      <w:marBottom w:val="0"/>
      <w:divBdr>
        <w:top w:val="none" w:sz="0" w:space="0" w:color="auto"/>
        <w:left w:val="none" w:sz="0" w:space="0" w:color="auto"/>
        <w:bottom w:val="none" w:sz="0" w:space="0" w:color="auto"/>
        <w:right w:val="none" w:sz="0" w:space="0" w:color="auto"/>
      </w:divBdr>
    </w:div>
    <w:div w:id="1649937169">
      <w:bodyDiv w:val="1"/>
      <w:marLeft w:val="0"/>
      <w:marRight w:val="0"/>
      <w:marTop w:val="0"/>
      <w:marBottom w:val="0"/>
      <w:divBdr>
        <w:top w:val="none" w:sz="0" w:space="0" w:color="auto"/>
        <w:left w:val="none" w:sz="0" w:space="0" w:color="auto"/>
        <w:bottom w:val="none" w:sz="0" w:space="0" w:color="auto"/>
        <w:right w:val="none" w:sz="0" w:space="0" w:color="auto"/>
      </w:divBdr>
    </w:div>
    <w:div w:id="1814445652">
      <w:bodyDiv w:val="1"/>
      <w:marLeft w:val="0"/>
      <w:marRight w:val="0"/>
      <w:marTop w:val="0"/>
      <w:marBottom w:val="0"/>
      <w:divBdr>
        <w:top w:val="none" w:sz="0" w:space="0" w:color="auto"/>
        <w:left w:val="none" w:sz="0" w:space="0" w:color="auto"/>
        <w:bottom w:val="none" w:sz="0" w:space="0" w:color="auto"/>
        <w:right w:val="none" w:sz="0" w:space="0" w:color="auto"/>
      </w:divBdr>
    </w:div>
    <w:div w:id="1816140789">
      <w:bodyDiv w:val="1"/>
      <w:marLeft w:val="0"/>
      <w:marRight w:val="0"/>
      <w:marTop w:val="0"/>
      <w:marBottom w:val="0"/>
      <w:divBdr>
        <w:top w:val="none" w:sz="0" w:space="0" w:color="auto"/>
        <w:left w:val="none" w:sz="0" w:space="0" w:color="auto"/>
        <w:bottom w:val="none" w:sz="0" w:space="0" w:color="auto"/>
        <w:right w:val="none" w:sz="0" w:space="0" w:color="auto"/>
      </w:divBdr>
    </w:div>
    <w:div w:id="1823083427">
      <w:bodyDiv w:val="1"/>
      <w:marLeft w:val="0"/>
      <w:marRight w:val="0"/>
      <w:marTop w:val="0"/>
      <w:marBottom w:val="0"/>
      <w:divBdr>
        <w:top w:val="none" w:sz="0" w:space="0" w:color="auto"/>
        <w:left w:val="none" w:sz="0" w:space="0" w:color="auto"/>
        <w:bottom w:val="none" w:sz="0" w:space="0" w:color="auto"/>
        <w:right w:val="none" w:sz="0" w:space="0" w:color="auto"/>
      </w:divBdr>
    </w:div>
    <w:div w:id="1850244636">
      <w:bodyDiv w:val="1"/>
      <w:marLeft w:val="0"/>
      <w:marRight w:val="0"/>
      <w:marTop w:val="0"/>
      <w:marBottom w:val="0"/>
      <w:divBdr>
        <w:top w:val="none" w:sz="0" w:space="0" w:color="auto"/>
        <w:left w:val="none" w:sz="0" w:space="0" w:color="auto"/>
        <w:bottom w:val="none" w:sz="0" w:space="0" w:color="auto"/>
        <w:right w:val="none" w:sz="0" w:space="0" w:color="auto"/>
      </w:divBdr>
    </w:div>
    <w:div w:id="1862544317">
      <w:bodyDiv w:val="1"/>
      <w:marLeft w:val="0"/>
      <w:marRight w:val="0"/>
      <w:marTop w:val="0"/>
      <w:marBottom w:val="0"/>
      <w:divBdr>
        <w:top w:val="none" w:sz="0" w:space="0" w:color="auto"/>
        <w:left w:val="none" w:sz="0" w:space="0" w:color="auto"/>
        <w:bottom w:val="none" w:sz="0" w:space="0" w:color="auto"/>
        <w:right w:val="none" w:sz="0" w:space="0" w:color="auto"/>
      </w:divBdr>
    </w:div>
    <w:div w:id="1963344865">
      <w:bodyDiv w:val="1"/>
      <w:marLeft w:val="0"/>
      <w:marRight w:val="0"/>
      <w:marTop w:val="0"/>
      <w:marBottom w:val="0"/>
      <w:divBdr>
        <w:top w:val="none" w:sz="0" w:space="0" w:color="auto"/>
        <w:left w:val="none" w:sz="0" w:space="0" w:color="auto"/>
        <w:bottom w:val="none" w:sz="0" w:space="0" w:color="auto"/>
        <w:right w:val="none" w:sz="0" w:space="0" w:color="auto"/>
      </w:divBdr>
    </w:div>
    <w:div w:id="1981575707">
      <w:bodyDiv w:val="1"/>
      <w:marLeft w:val="0"/>
      <w:marRight w:val="0"/>
      <w:marTop w:val="0"/>
      <w:marBottom w:val="0"/>
      <w:divBdr>
        <w:top w:val="none" w:sz="0" w:space="0" w:color="auto"/>
        <w:left w:val="none" w:sz="0" w:space="0" w:color="auto"/>
        <w:bottom w:val="none" w:sz="0" w:space="0" w:color="auto"/>
        <w:right w:val="none" w:sz="0" w:space="0" w:color="auto"/>
      </w:divBdr>
    </w:div>
    <w:div w:id="2014604429">
      <w:bodyDiv w:val="1"/>
      <w:marLeft w:val="0"/>
      <w:marRight w:val="0"/>
      <w:marTop w:val="0"/>
      <w:marBottom w:val="0"/>
      <w:divBdr>
        <w:top w:val="none" w:sz="0" w:space="0" w:color="auto"/>
        <w:left w:val="none" w:sz="0" w:space="0" w:color="auto"/>
        <w:bottom w:val="none" w:sz="0" w:space="0" w:color="auto"/>
        <w:right w:val="none" w:sz="0" w:space="0" w:color="auto"/>
      </w:divBdr>
    </w:div>
    <w:div w:id="20695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ilze.briede@pmlp.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tap.mk.gov.lv/mk/mksedes/saraksts/protokols/?protokols=2017-08-16" TargetMode="External"/><Relationship Id="rId3" Type="http://schemas.openxmlformats.org/officeDocument/2006/relationships/hyperlink" Target="https://likumi.lv/ta/id/310965-par-valsts-budzetu-2020-gadam" TargetMode="External"/><Relationship Id="rId7" Type="http://schemas.openxmlformats.org/officeDocument/2006/relationships/hyperlink" Target="https://likumi.lv/ta/id/313145-par-pamatbudzeta-programmas-ekonomikas-attistibas-programma-finansu-lidzeklu-izmantosanu" TargetMode="External"/><Relationship Id="rId2" Type="http://schemas.openxmlformats.org/officeDocument/2006/relationships/hyperlink" Target="http://titania.saeima.lv/LIVS12/saeimalivs12.nsf/0/01A496FFF8571C03C22581B600277FCD?OpenDocument" TargetMode="External"/><Relationship Id="rId1" Type="http://schemas.openxmlformats.org/officeDocument/2006/relationships/hyperlink" Target="file:///C:\Users\user\Downloads\World%20Investment%20Report%202020" TargetMode="External"/><Relationship Id="rId6" Type="http://schemas.openxmlformats.org/officeDocument/2006/relationships/hyperlink" Target="https://likumi.lv/ta/id/308309-par-pamatbudzeta-programmas-ekonomikas-attistibas-programma-finansu-lidzeklu-izmantosanu" TargetMode="External"/><Relationship Id="rId5" Type="http://schemas.openxmlformats.org/officeDocument/2006/relationships/hyperlink" Target="https://likumi.lv/ta/id/304868-par-pamatbudzeta-programmas-ekonomikas-attistibas-programma-finansu-lidzeklu-izmantosanu" TargetMode="External"/><Relationship Id="rId10" Type="http://schemas.openxmlformats.org/officeDocument/2006/relationships/hyperlink" Target="http://tap.mk.gov.lv/mk/tap/?pid=40490100" TargetMode="External"/><Relationship Id="rId4" Type="http://schemas.openxmlformats.org/officeDocument/2006/relationships/hyperlink" Target="https://likumi.lv/ta/id/319405-par-valsts-budzetu-2021gadam" TargetMode="External"/><Relationship Id="rId9" Type="http://schemas.openxmlformats.org/officeDocument/2006/relationships/hyperlink" Target="http://tap.mk.gov.lv/mk/mksedes/saraksts/protokols/?protokols=2020-03-10"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oleObject" Target="file:///C:\Users\VilnisJ\Desktop\BP%2033.00%20admin\statistika\EAP%20statistika%20120121%20grafikam.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9461759988334787E-2"/>
          <c:y val="2.1974128233970755E-2"/>
          <c:w val="0.89350120297462821"/>
          <c:h val="0.8287432820897388"/>
        </c:manualLayout>
      </c:layout>
      <c:barChart>
        <c:barDir val="col"/>
        <c:grouping val="stacked"/>
        <c:varyColors val="0"/>
        <c:ser>
          <c:idx val="0"/>
          <c:order val="0"/>
          <c:tx>
            <c:strRef>
              <c:f>Sheet1!$A$2</c:f>
              <c:strCache>
                <c:ptCount val="1"/>
                <c:pt idx="0">
                  <c:v>Nekustamais īpašums</c:v>
                </c:pt>
              </c:strCache>
            </c:strRef>
          </c:tx>
          <c:spPr>
            <a:solidFill>
              <a:srgbClr val="608DC4"/>
            </a:solidFill>
            <a:ln>
              <a:noFill/>
            </a:ln>
            <a:effectLst/>
          </c:spPr>
          <c:invertIfNegative val="0"/>
          <c:dPt>
            <c:idx val="4"/>
            <c:invertIfNegative val="0"/>
            <c:bubble3D val="0"/>
            <c:spPr>
              <a:solidFill>
                <a:srgbClr val="6D97C9"/>
              </a:solidFill>
              <a:ln>
                <a:noFill/>
              </a:ln>
              <a:effectLst/>
            </c:spPr>
            <c:extLst xmlns:c16r2="http://schemas.microsoft.com/office/drawing/2015/06/chart">
              <c:ext xmlns:c16="http://schemas.microsoft.com/office/drawing/2014/chart" uri="{C3380CC4-5D6E-409C-BE32-E72D297353CC}">
                <c16:uniqueId val="{00000001-7549-4789-9353-6A9D49ECDE3E}"/>
              </c:ext>
            </c:extLst>
          </c:dPt>
          <c:dLbls>
            <c:dLbl>
              <c:idx val="9"/>
              <c:layout>
                <c:manualLayout>
                  <c:x val="2.2560631697685881E-3"/>
                  <c:y val="-1.50943396226415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549-4789-9353-6A9D49ECDE3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Sheet1!$B$1:$L$1</c:f>
              <c:strCache>
                <c:ptCount val="11"/>
                <c:pt idx="0">
                  <c:v>2010 
II pusg.</c:v>
                </c:pt>
                <c:pt idx="1">
                  <c:v>2011</c:v>
                </c:pt>
                <c:pt idx="2">
                  <c:v>2012</c:v>
                </c:pt>
                <c:pt idx="3">
                  <c:v>2013</c:v>
                </c:pt>
                <c:pt idx="4">
                  <c:v>2014</c:v>
                </c:pt>
                <c:pt idx="5">
                  <c:v>2015</c:v>
                </c:pt>
                <c:pt idx="6">
                  <c:v>2016</c:v>
                </c:pt>
                <c:pt idx="7">
                  <c:v>2017</c:v>
                </c:pt>
                <c:pt idx="8">
                  <c:v>2018</c:v>
                </c:pt>
                <c:pt idx="9">
                  <c:v>2019</c:v>
                </c:pt>
                <c:pt idx="10">
                  <c:v>2020</c:v>
                </c:pt>
              </c:strCache>
            </c:strRef>
          </c:cat>
          <c:val>
            <c:numRef>
              <c:f>Sheet1!$B$2:$L$2</c:f>
              <c:numCache>
                <c:formatCode>#,##0</c:formatCode>
                <c:ptCount val="11"/>
                <c:pt idx="0">
                  <c:v>79</c:v>
                </c:pt>
                <c:pt idx="1">
                  <c:v>669</c:v>
                </c:pt>
                <c:pt idx="2">
                  <c:v>1013</c:v>
                </c:pt>
                <c:pt idx="3">
                  <c:v>1556</c:v>
                </c:pt>
                <c:pt idx="4">
                  <c:v>2250</c:v>
                </c:pt>
                <c:pt idx="5">
                  <c:v>272</c:v>
                </c:pt>
                <c:pt idx="6">
                  <c:v>178</c:v>
                </c:pt>
                <c:pt idx="7">
                  <c:v>100</c:v>
                </c:pt>
                <c:pt idx="8">
                  <c:v>99</c:v>
                </c:pt>
                <c:pt idx="9">
                  <c:v>100</c:v>
                </c:pt>
                <c:pt idx="10">
                  <c:v>69</c:v>
                </c:pt>
              </c:numCache>
            </c:numRef>
          </c:val>
          <c:extLst xmlns:c16r2="http://schemas.microsoft.com/office/drawing/2015/06/chart">
            <c:ext xmlns:c16="http://schemas.microsoft.com/office/drawing/2014/chart" uri="{C3380CC4-5D6E-409C-BE32-E72D297353CC}">
              <c16:uniqueId val="{00000003-7549-4789-9353-6A9D49ECDE3E}"/>
            </c:ext>
          </c:extLst>
        </c:ser>
        <c:ser>
          <c:idx val="1"/>
          <c:order val="1"/>
          <c:tx>
            <c:strRef>
              <c:f>Sheet1!$A$3</c:f>
              <c:strCache>
                <c:ptCount val="1"/>
                <c:pt idx="0">
                  <c:v>Kapitālsabiedrības</c:v>
                </c:pt>
              </c:strCache>
            </c:strRef>
          </c:tx>
          <c:spPr>
            <a:solidFill>
              <a:srgbClr val="B0413E"/>
            </a:solidFill>
            <a:ln>
              <a:noFill/>
            </a:ln>
            <a:effectLst/>
          </c:spPr>
          <c:invertIfNegative val="0"/>
          <c:cat>
            <c:strRef>
              <c:f>Sheet1!$B$1:$L$1</c:f>
              <c:strCache>
                <c:ptCount val="11"/>
                <c:pt idx="0">
                  <c:v>2010 
II pusg.</c:v>
                </c:pt>
                <c:pt idx="1">
                  <c:v>2011</c:v>
                </c:pt>
                <c:pt idx="2">
                  <c:v>2012</c:v>
                </c:pt>
                <c:pt idx="3">
                  <c:v>2013</c:v>
                </c:pt>
                <c:pt idx="4">
                  <c:v>2014</c:v>
                </c:pt>
                <c:pt idx="5">
                  <c:v>2015</c:v>
                </c:pt>
                <c:pt idx="6">
                  <c:v>2016</c:v>
                </c:pt>
                <c:pt idx="7">
                  <c:v>2017</c:v>
                </c:pt>
                <c:pt idx="8">
                  <c:v>2018</c:v>
                </c:pt>
                <c:pt idx="9">
                  <c:v>2019</c:v>
                </c:pt>
                <c:pt idx="10">
                  <c:v>2020</c:v>
                </c:pt>
              </c:strCache>
            </c:strRef>
          </c:cat>
          <c:val>
            <c:numRef>
              <c:f>Sheet1!$B$3:$L$3</c:f>
              <c:numCache>
                <c:formatCode>#,##0</c:formatCode>
                <c:ptCount val="11"/>
                <c:pt idx="0">
                  <c:v>8</c:v>
                </c:pt>
                <c:pt idx="1">
                  <c:v>55</c:v>
                </c:pt>
                <c:pt idx="2">
                  <c:v>127</c:v>
                </c:pt>
                <c:pt idx="3">
                  <c:v>272</c:v>
                </c:pt>
                <c:pt idx="4">
                  <c:v>178</c:v>
                </c:pt>
                <c:pt idx="5">
                  <c:v>82</c:v>
                </c:pt>
                <c:pt idx="6">
                  <c:v>55</c:v>
                </c:pt>
                <c:pt idx="7">
                  <c:v>40</c:v>
                </c:pt>
                <c:pt idx="8">
                  <c:v>83</c:v>
                </c:pt>
                <c:pt idx="9">
                  <c:v>44</c:v>
                </c:pt>
                <c:pt idx="10">
                  <c:v>25</c:v>
                </c:pt>
              </c:numCache>
            </c:numRef>
          </c:val>
          <c:extLst xmlns:c16r2="http://schemas.microsoft.com/office/drawing/2015/06/chart">
            <c:ext xmlns:c16="http://schemas.microsoft.com/office/drawing/2014/chart" uri="{C3380CC4-5D6E-409C-BE32-E72D297353CC}">
              <c16:uniqueId val="{00000004-7549-4789-9353-6A9D49ECDE3E}"/>
            </c:ext>
          </c:extLst>
        </c:ser>
        <c:ser>
          <c:idx val="2"/>
          <c:order val="2"/>
          <c:tx>
            <c:strRef>
              <c:f>Sheet1!$A$4</c:f>
              <c:strCache>
                <c:ptCount val="1"/>
                <c:pt idx="0">
                  <c:v>Kredītiestādes</c:v>
                </c:pt>
              </c:strCache>
            </c:strRef>
          </c:tx>
          <c:spPr>
            <a:solidFill>
              <a:schemeClr val="accent3"/>
            </a:solidFill>
            <a:ln>
              <a:noFill/>
            </a:ln>
            <a:effectLst/>
          </c:spPr>
          <c:invertIfNegative val="0"/>
          <c:cat>
            <c:strRef>
              <c:f>Sheet1!$B$1:$L$1</c:f>
              <c:strCache>
                <c:ptCount val="11"/>
                <c:pt idx="0">
                  <c:v>2010 
II pusg.</c:v>
                </c:pt>
                <c:pt idx="1">
                  <c:v>2011</c:v>
                </c:pt>
                <c:pt idx="2">
                  <c:v>2012</c:v>
                </c:pt>
                <c:pt idx="3">
                  <c:v>2013</c:v>
                </c:pt>
                <c:pt idx="4">
                  <c:v>2014</c:v>
                </c:pt>
                <c:pt idx="5">
                  <c:v>2015</c:v>
                </c:pt>
                <c:pt idx="6">
                  <c:v>2016</c:v>
                </c:pt>
                <c:pt idx="7">
                  <c:v>2017</c:v>
                </c:pt>
                <c:pt idx="8">
                  <c:v>2018</c:v>
                </c:pt>
                <c:pt idx="9">
                  <c:v>2019</c:v>
                </c:pt>
                <c:pt idx="10">
                  <c:v>2020</c:v>
                </c:pt>
              </c:strCache>
            </c:strRef>
          </c:cat>
          <c:val>
            <c:numRef>
              <c:f>Sheet1!$B$4:$L$4</c:f>
              <c:numCache>
                <c:formatCode>#,##0</c:formatCode>
                <c:ptCount val="11"/>
                <c:pt idx="0">
                  <c:v>40</c:v>
                </c:pt>
                <c:pt idx="1">
                  <c:v>112</c:v>
                </c:pt>
                <c:pt idx="2">
                  <c:v>86</c:v>
                </c:pt>
                <c:pt idx="3">
                  <c:v>94</c:v>
                </c:pt>
                <c:pt idx="4">
                  <c:v>104</c:v>
                </c:pt>
                <c:pt idx="5">
                  <c:v>30</c:v>
                </c:pt>
                <c:pt idx="6">
                  <c:v>13</c:v>
                </c:pt>
                <c:pt idx="7">
                  <c:v>12</c:v>
                </c:pt>
                <c:pt idx="8">
                  <c:v>2</c:v>
                </c:pt>
                <c:pt idx="9">
                  <c:v>0</c:v>
                </c:pt>
                <c:pt idx="10">
                  <c:v>0</c:v>
                </c:pt>
              </c:numCache>
            </c:numRef>
          </c:val>
          <c:extLst xmlns:c16r2="http://schemas.microsoft.com/office/drawing/2015/06/chart">
            <c:ext xmlns:c16="http://schemas.microsoft.com/office/drawing/2014/chart" uri="{C3380CC4-5D6E-409C-BE32-E72D297353CC}">
              <c16:uniqueId val="{00000005-7549-4789-9353-6A9D49ECDE3E}"/>
            </c:ext>
          </c:extLst>
        </c:ser>
        <c:ser>
          <c:idx val="3"/>
          <c:order val="3"/>
          <c:tx>
            <c:strRef>
              <c:f>Sheet1!$A$5</c:f>
              <c:strCache>
                <c:ptCount val="1"/>
                <c:pt idx="0">
                  <c:v>Valsts vērtspapīri</c:v>
                </c:pt>
              </c:strCache>
            </c:strRef>
          </c:tx>
          <c:spPr>
            <a:solidFill>
              <a:srgbClr val="002060"/>
            </a:solidFill>
            <a:ln>
              <a:noFill/>
            </a:ln>
            <a:effectLst/>
          </c:spPr>
          <c:invertIfNegative val="0"/>
          <c:cat>
            <c:strRef>
              <c:f>Sheet1!$B$1:$L$1</c:f>
              <c:strCache>
                <c:ptCount val="11"/>
                <c:pt idx="0">
                  <c:v>2010 
II pusg.</c:v>
                </c:pt>
                <c:pt idx="1">
                  <c:v>2011</c:v>
                </c:pt>
                <c:pt idx="2">
                  <c:v>2012</c:v>
                </c:pt>
                <c:pt idx="3">
                  <c:v>2013</c:v>
                </c:pt>
                <c:pt idx="4">
                  <c:v>2014</c:v>
                </c:pt>
                <c:pt idx="5">
                  <c:v>2015</c:v>
                </c:pt>
                <c:pt idx="6">
                  <c:v>2016</c:v>
                </c:pt>
                <c:pt idx="7">
                  <c:v>2017</c:v>
                </c:pt>
                <c:pt idx="8">
                  <c:v>2018</c:v>
                </c:pt>
                <c:pt idx="9">
                  <c:v>2019</c:v>
                </c:pt>
                <c:pt idx="10">
                  <c:v>2020</c:v>
                </c:pt>
              </c:strCache>
            </c:strRef>
          </c:cat>
          <c:val>
            <c:numRef>
              <c:f>Sheet1!$B$5:$L$5</c:f>
              <c:numCache>
                <c:formatCode>General</c:formatCode>
                <c:ptCount val="11"/>
                <c:pt idx="5" formatCode="#,##0">
                  <c:v>14</c:v>
                </c:pt>
                <c:pt idx="6" formatCode="#,##0">
                  <c:v>17</c:v>
                </c:pt>
                <c:pt idx="7" formatCode="#,##0">
                  <c:v>8</c:v>
                </c:pt>
                <c:pt idx="8" formatCode="#,##0">
                  <c:v>8</c:v>
                </c:pt>
                <c:pt idx="9" formatCode="#,##0">
                  <c:v>7</c:v>
                </c:pt>
                <c:pt idx="10" formatCode="#,##0">
                  <c:v>13</c:v>
                </c:pt>
              </c:numCache>
            </c:numRef>
          </c:val>
          <c:extLst xmlns:c16r2="http://schemas.microsoft.com/office/drawing/2015/06/chart">
            <c:ext xmlns:c16="http://schemas.microsoft.com/office/drawing/2014/chart" uri="{C3380CC4-5D6E-409C-BE32-E72D297353CC}">
              <c16:uniqueId val="{00000006-7549-4789-9353-6A9D49ECDE3E}"/>
            </c:ext>
          </c:extLst>
        </c:ser>
        <c:dLbls>
          <c:showLegendKey val="0"/>
          <c:showVal val="0"/>
          <c:showCatName val="0"/>
          <c:showSerName val="0"/>
          <c:showPercent val="0"/>
          <c:showBubbleSize val="0"/>
        </c:dLbls>
        <c:gapWidth val="69"/>
        <c:overlap val="100"/>
        <c:axId val="531285760"/>
        <c:axId val="337198592"/>
      </c:barChart>
      <c:catAx>
        <c:axId val="531285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7198592"/>
        <c:crosses val="autoZero"/>
        <c:auto val="1"/>
        <c:lblAlgn val="ctr"/>
        <c:lblOffset val="100"/>
        <c:noMultiLvlLbl val="0"/>
      </c:catAx>
      <c:valAx>
        <c:axId val="337198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solidFill>
              <a:srgbClr val="D9D9D9"/>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31285760"/>
        <c:crosses val="autoZero"/>
        <c:crossBetween val="between"/>
      </c:valAx>
      <c:spPr>
        <a:noFill/>
        <a:ln>
          <a:noFill/>
        </a:ln>
        <a:effectLst/>
      </c:spPr>
    </c:plotArea>
    <c:legend>
      <c:legendPos val="r"/>
      <c:layout>
        <c:manualLayout>
          <c:xMode val="edge"/>
          <c:yMode val="edge"/>
          <c:x val="0.67004170164008692"/>
          <c:y val="0.14171881345020551"/>
          <c:w val="0.24747101924759404"/>
          <c:h val="0.32879640044994374"/>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084125847905373E-2"/>
          <c:y val="5.146198830409357E-2"/>
          <c:w val="0.9001063503425708"/>
          <c:h val="0.73016604503384441"/>
        </c:manualLayout>
      </c:layout>
      <c:barChart>
        <c:barDir val="col"/>
        <c:grouping val="percentStacked"/>
        <c:varyColors val="0"/>
        <c:ser>
          <c:idx val="0"/>
          <c:order val="0"/>
          <c:tx>
            <c:strRef>
              <c:f>Sheet1!$B$1</c:f>
              <c:strCache>
                <c:ptCount val="1"/>
                <c:pt idx="0">
                  <c:v>Krievija</c:v>
                </c:pt>
              </c:strCache>
            </c:strRef>
          </c:tx>
          <c:spPr>
            <a:solidFill>
              <a:schemeClr val="accent1"/>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Sheet1!$B$2:$B$11</c:f>
              <c:numCache>
                <c:formatCode>General</c:formatCode>
                <c:ptCount val="10"/>
                <c:pt idx="0">
                  <c:v>3782</c:v>
                </c:pt>
                <c:pt idx="1">
                  <c:v>3107</c:v>
                </c:pt>
                <c:pt idx="2">
                  <c:v>3978</c:v>
                </c:pt>
                <c:pt idx="3">
                  <c:v>677</c:v>
                </c:pt>
                <c:pt idx="4">
                  <c:v>425</c:v>
                </c:pt>
                <c:pt idx="5">
                  <c:v>329</c:v>
                </c:pt>
                <c:pt idx="6">
                  <c:v>269</c:v>
                </c:pt>
                <c:pt idx="7">
                  <c:v>262</c:v>
                </c:pt>
                <c:pt idx="8">
                  <c:v>208</c:v>
                </c:pt>
                <c:pt idx="9">
                  <c:v>13037</c:v>
                </c:pt>
              </c:numCache>
            </c:numRef>
          </c:val>
          <c:extLst xmlns:c16r2="http://schemas.microsoft.com/office/drawing/2015/06/chart">
            <c:ext xmlns:c16="http://schemas.microsoft.com/office/drawing/2014/chart" uri="{C3380CC4-5D6E-409C-BE32-E72D297353CC}">
              <c16:uniqueId val="{00000000-B6B5-4791-91D5-FC85BA4570BC}"/>
            </c:ext>
          </c:extLst>
        </c:ser>
        <c:ser>
          <c:idx val="1"/>
          <c:order val="1"/>
          <c:tx>
            <c:strRef>
              <c:f>Sheet1!$C$1</c:f>
              <c:strCache>
                <c:ptCount val="1"/>
                <c:pt idx="0">
                  <c:v>Ķīna</c:v>
                </c:pt>
              </c:strCache>
            </c:strRef>
          </c:tx>
          <c:spPr>
            <a:solidFill>
              <a:schemeClr val="accent2"/>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Sheet1!$C$2:$C$11</c:f>
              <c:numCache>
                <c:formatCode>General</c:formatCode>
                <c:ptCount val="10"/>
                <c:pt idx="0">
                  <c:v>136</c:v>
                </c:pt>
                <c:pt idx="1">
                  <c:v>445</c:v>
                </c:pt>
                <c:pt idx="2">
                  <c:v>669</c:v>
                </c:pt>
                <c:pt idx="3">
                  <c:v>117</c:v>
                </c:pt>
                <c:pt idx="4">
                  <c:v>53</c:v>
                </c:pt>
                <c:pt idx="5">
                  <c:v>21</c:v>
                </c:pt>
                <c:pt idx="6">
                  <c:v>45</c:v>
                </c:pt>
                <c:pt idx="7">
                  <c:v>37</c:v>
                </c:pt>
                <c:pt idx="8">
                  <c:v>14</c:v>
                </c:pt>
                <c:pt idx="9">
                  <c:v>1537</c:v>
                </c:pt>
              </c:numCache>
            </c:numRef>
          </c:val>
          <c:extLst xmlns:c16r2="http://schemas.microsoft.com/office/drawing/2015/06/chart">
            <c:ext xmlns:c16="http://schemas.microsoft.com/office/drawing/2014/chart" uri="{C3380CC4-5D6E-409C-BE32-E72D297353CC}">
              <c16:uniqueId val="{00000001-B6B5-4791-91D5-FC85BA4570BC}"/>
            </c:ext>
          </c:extLst>
        </c:ser>
        <c:ser>
          <c:idx val="2"/>
          <c:order val="2"/>
          <c:tx>
            <c:strRef>
              <c:f>Sheet1!$D$1</c:f>
              <c:strCache>
                <c:ptCount val="1"/>
                <c:pt idx="0">
                  <c:v>Ukraina</c:v>
                </c:pt>
              </c:strCache>
            </c:strRef>
          </c:tx>
          <c:spPr>
            <a:solidFill>
              <a:schemeClr val="accent3"/>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Sheet1!$D$2:$D$11</c:f>
              <c:numCache>
                <c:formatCode>General</c:formatCode>
                <c:ptCount val="10"/>
                <c:pt idx="0">
                  <c:v>445</c:v>
                </c:pt>
                <c:pt idx="1">
                  <c:v>229</c:v>
                </c:pt>
                <c:pt idx="2">
                  <c:v>485</c:v>
                </c:pt>
                <c:pt idx="3">
                  <c:v>136</c:v>
                </c:pt>
                <c:pt idx="4">
                  <c:v>71</c:v>
                </c:pt>
                <c:pt idx="5">
                  <c:v>33</c:v>
                </c:pt>
                <c:pt idx="6">
                  <c:v>28</c:v>
                </c:pt>
                <c:pt idx="7">
                  <c:v>14</c:v>
                </c:pt>
                <c:pt idx="8">
                  <c:v>29</c:v>
                </c:pt>
                <c:pt idx="9">
                  <c:v>1470</c:v>
                </c:pt>
              </c:numCache>
            </c:numRef>
          </c:val>
          <c:extLst xmlns:c16r2="http://schemas.microsoft.com/office/drawing/2015/06/chart">
            <c:ext xmlns:c16="http://schemas.microsoft.com/office/drawing/2014/chart" uri="{C3380CC4-5D6E-409C-BE32-E72D297353CC}">
              <c16:uniqueId val="{00000002-B6B5-4791-91D5-FC85BA4570BC}"/>
            </c:ext>
          </c:extLst>
        </c:ser>
        <c:ser>
          <c:idx val="3"/>
          <c:order val="3"/>
          <c:tx>
            <c:strRef>
              <c:f>Sheet1!$E$1</c:f>
              <c:strCache>
                <c:ptCount val="1"/>
                <c:pt idx="0">
                  <c:v>Uzbekistāna</c:v>
                </c:pt>
              </c:strCache>
            </c:strRef>
          </c:tx>
          <c:spPr>
            <a:solidFill>
              <a:schemeClr val="accent4"/>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Sheet1!$E$2:$E$11</c:f>
              <c:numCache>
                <c:formatCode>General</c:formatCode>
                <c:ptCount val="10"/>
                <c:pt idx="0">
                  <c:v>172</c:v>
                </c:pt>
                <c:pt idx="1">
                  <c:v>251</c:v>
                </c:pt>
                <c:pt idx="2">
                  <c:v>223</c:v>
                </c:pt>
                <c:pt idx="3">
                  <c:v>45</c:v>
                </c:pt>
                <c:pt idx="4">
                  <c:v>20</c:v>
                </c:pt>
                <c:pt idx="5">
                  <c:v>25</c:v>
                </c:pt>
                <c:pt idx="6">
                  <c:v>18</c:v>
                </c:pt>
                <c:pt idx="7">
                  <c:v>6</c:v>
                </c:pt>
                <c:pt idx="8">
                  <c:v>0</c:v>
                </c:pt>
                <c:pt idx="9">
                  <c:v>760</c:v>
                </c:pt>
              </c:numCache>
            </c:numRef>
          </c:val>
          <c:extLst xmlns:c16r2="http://schemas.microsoft.com/office/drawing/2015/06/chart">
            <c:ext xmlns:c16="http://schemas.microsoft.com/office/drawing/2014/chart" uri="{C3380CC4-5D6E-409C-BE32-E72D297353CC}">
              <c16:uniqueId val="{00000003-B6B5-4791-91D5-FC85BA4570BC}"/>
            </c:ext>
          </c:extLst>
        </c:ser>
        <c:ser>
          <c:idx val="4"/>
          <c:order val="4"/>
          <c:tx>
            <c:strRef>
              <c:f>Sheet1!$F$1</c:f>
              <c:strCache>
                <c:ptCount val="1"/>
                <c:pt idx="0">
                  <c:v>Kazahstāna</c:v>
                </c:pt>
              </c:strCache>
            </c:strRef>
          </c:tx>
          <c:spPr>
            <a:solidFill>
              <a:schemeClr val="accent5"/>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Sheet1!$F$2:$F$11</c:f>
              <c:numCache>
                <c:formatCode>General</c:formatCode>
                <c:ptCount val="10"/>
                <c:pt idx="0">
                  <c:v>293</c:v>
                </c:pt>
                <c:pt idx="1">
                  <c:v>164</c:v>
                </c:pt>
                <c:pt idx="2">
                  <c:v>113</c:v>
                </c:pt>
                <c:pt idx="3">
                  <c:v>58</c:v>
                </c:pt>
                <c:pt idx="4">
                  <c:v>27</c:v>
                </c:pt>
                <c:pt idx="5">
                  <c:v>18</c:v>
                </c:pt>
                <c:pt idx="6">
                  <c:v>21</c:v>
                </c:pt>
                <c:pt idx="7">
                  <c:v>18</c:v>
                </c:pt>
                <c:pt idx="8">
                  <c:v>2</c:v>
                </c:pt>
                <c:pt idx="9">
                  <c:v>714</c:v>
                </c:pt>
              </c:numCache>
            </c:numRef>
          </c:val>
          <c:extLst xmlns:c16r2="http://schemas.microsoft.com/office/drawing/2015/06/chart">
            <c:ext xmlns:c16="http://schemas.microsoft.com/office/drawing/2014/chart" uri="{C3380CC4-5D6E-409C-BE32-E72D297353CC}">
              <c16:uniqueId val="{00000004-B6B5-4791-91D5-FC85BA4570BC}"/>
            </c:ext>
          </c:extLst>
        </c:ser>
        <c:ser>
          <c:idx val="5"/>
          <c:order val="5"/>
          <c:tx>
            <c:strRef>
              <c:f>Sheet1!$G$1</c:f>
              <c:strCache>
                <c:ptCount val="1"/>
                <c:pt idx="0">
                  <c:v>Baltkrievija</c:v>
                </c:pt>
              </c:strCache>
            </c:strRef>
          </c:tx>
          <c:spPr>
            <a:solidFill>
              <a:schemeClr val="accent6"/>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Sheet1!$G$2:$G$11</c:f>
              <c:numCache>
                <c:formatCode>General</c:formatCode>
                <c:ptCount val="10"/>
                <c:pt idx="0">
                  <c:v>129</c:v>
                </c:pt>
                <c:pt idx="1">
                  <c:v>100</c:v>
                </c:pt>
                <c:pt idx="2">
                  <c:v>93</c:v>
                </c:pt>
                <c:pt idx="3">
                  <c:v>20</c:v>
                </c:pt>
                <c:pt idx="4">
                  <c:v>28</c:v>
                </c:pt>
                <c:pt idx="5">
                  <c:v>10</c:v>
                </c:pt>
                <c:pt idx="6">
                  <c:v>13</c:v>
                </c:pt>
                <c:pt idx="7">
                  <c:v>14</c:v>
                </c:pt>
                <c:pt idx="8">
                  <c:v>8</c:v>
                </c:pt>
                <c:pt idx="9">
                  <c:v>415</c:v>
                </c:pt>
              </c:numCache>
            </c:numRef>
          </c:val>
          <c:extLst xmlns:c16r2="http://schemas.microsoft.com/office/drawing/2015/06/chart">
            <c:ext xmlns:c16="http://schemas.microsoft.com/office/drawing/2014/chart" uri="{C3380CC4-5D6E-409C-BE32-E72D297353CC}">
              <c16:uniqueId val="{00000005-B6B5-4791-91D5-FC85BA4570BC}"/>
            </c:ext>
          </c:extLst>
        </c:ser>
        <c:ser>
          <c:idx val="6"/>
          <c:order val="6"/>
          <c:tx>
            <c:strRef>
              <c:f>Sheet1!$H$1</c:f>
              <c:strCache>
                <c:ptCount val="1"/>
                <c:pt idx="0">
                  <c:v>Vjetnama</c:v>
                </c:pt>
              </c:strCache>
            </c:strRef>
          </c:tx>
          <c:spPr>
            <a:solidFill>
              <a:schemeClr val="accent1">
                <a:lumMod val="60000"/>
              </a:schemeClr>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Sheet1!$H$2:$H$11</c:f>
              <c:numCache>
                <c:formatCode>General</c:formatCode>
                <c:ptCount val="10"/>
                <c:pt idx="0">
                  <c:v>4</c:v>
                </c:pt>
                <c:pt idx="1">
                  <c:v>0</c:v>
                </c:pt>
                <c:pt idx="2">
                  <c:v>17</c:v>
                </c:pt>
                <c:pt idx="3">
                  <c:v>11</c:v>
                </c:pt>
                <c:pt idx="4">
                  <c:v>12</c:v>
                </c:pt>
                <c:pt idx="5">
                  <c:v>5</c:v>
                </c:pt>
                <c:pt idx="6">
                  <c:v>164</c:v>
                </c:pt>
                <c:pt idx="7">
                  <c:v>132</c:v>
                </c:pt>
                <c:pt idx="8">
                  <c:v>59</c:v>
                </c:pt>
                <c:pt idx="9">
                  <c:v>404</c:v>
                </c:pt>
              </c:numCache>
            </c:numRef>
          </c:val>
          <c:extLst xmlns:c16r2="http://schemas.microsoft.com/office/drawing/2015/06/chart">
            <c:ext xmlns:c16="http://schemas.microsoft.com/office/drawing/2014/chart" uri="{C3380CC4-5D6E-409C-BE32-E72D297353CC}">
              <c16:uniqueId val="{00000006-B6B5-4791-91D5-FC85BA4570BC}"/>
            </c:ext>
          </c:extLst>
        </c:ser>
        <c:ser>
          <c:idx val="7"/>
          <c:order val="7"/>
          <c:tx>
            <c:strRef>
              <c:f>Sheet1!$I$1</c:f>
              <c:strCache>
                <c:ptCount val="1"/>
                <c:pt idx="0">
                  <c:v>Azerbaidžāna</c:v>
                </c:pt>
              </c:strCache>
            </c:strRef>
          </c:tx>
          <c:spPr>
            <a:solidFill>
              <a:schemeClr val="accent2">
                <a:lumMod val="60000"/>
              </a:schemeClr>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Sheet1!$I$2:$I$11</c:f>
              <c:numCache>
                <c:formatCode>General</c:formatCode>
                <c:ptCount val="10"/>
                <c:pt idx="0">
                  <c:v>57</c:v>
                </c:pt>
                <c:pt idx="1">
                  <c:v>61</c:v>
                </c:pt>
                <c:pt idx="2">
                  <c:v>92</c:v>
                </c:pt>
                <c:pt idx="3">
                  <c:v>36</c:v>
                </c:pt>
                <c:pt idx="4">
                  <c:v>17</c:v>
                </c:pt>
                <c:pt idx="5">
                  <c:v>20</c:v>
                </c:pt>
                <c:pt idx="6">
                  <c:v>17</c:v>
                </c:pt>
                <c:pt idx="7">
                  <c:v>10</c:v>
                </c:pt>
                <c:pt idx="8">
                  <c:v>2</c:v>
                </c:pt>
                <c:pt idx="9">
                  <c:v>312</c:v>
                </c:pt>
              </c:numCache>
            </c:numRef>
          </c:val>
          <c:extLst xmlns:c16r2="http://schemas.microsoft.com/office/drawing/2015/06/chart">
            <c:ext xmlns:c16="http://schemas.microsoft.com/office/drawing/2014/chart" uri="{C3380CC4-5D6E-409C-BE32-E72D297353CC}">
              <c16:uniqueId val="{00000007-B6B5-4791-91D5-FC85BA4570BC}"/>
            </c:ext>
          </c:extLst>
        </c:ser>
        <c:ser>
          <c:idx val="8"/>
          <c:order val="8"/>
          <c:tx>
            <c:strRef>
              <c:f>Sheet1!$J$1</c:f>
              <c:strCache>
                <c:ptCount val="1"/>
                <c:pt idx="0">
                  <c:v>Cita valsts</c:v>
                </c:pt>
              </c:strCache>
            </c:strRef>
          </c:tx>
          <c:spPr>
            <a:solidFill>
              <a:schemeClr val="accent3">
                <a:lumMod val="60000"/>
              </a:schemeClr>
            </a:solidFill>
            <a:ln>
              <a:noFill/>
            </a:ln>
            <a:effectLst/>
          </c:spPr>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Sheet1!$J$2:$J$11</c:f>
              <c:numCache>
                <c:formatCode>General</c:formatCode>
                <c:ptCount val="10"/>
                <c:pt idx="0">
                  <c:v>166</c:v>
                </c:pt>
                <c:pt idx="1">
                  <c:v>151</c:v>
                </c:pt>
                <c:pt idx="2">
                  <c:v>274</c:v>
                </c:pt>
                <c:pt idx="3">
                  <c:v>109</c:v>
                </c:pt>
                <c:pt idx="4">
                  <c:v>110</c:v>
                </c:pt>
                <c:pt idx="5">
                  <c:v>110</c:v>
                </c:pt>
                <c:pt idx="6">
                  <c:v>86</c:v>
                </c:pt>
                <c:pt idx="7">
                  <c:v>63</c:v>
                </c:pt>
                <c:pt idx="8">
                  <c:v>25</c:v>
                </c:pt>
                <c:pt idx="9">
                  <c:v>1094</c:v>
                </c:pt>
              </c:numCache>
            </c:numRef>
          </c:val>
          <c:extLst xmlns:c16r2="http://schemas.microsoft.com/office/drawing/2015/06/chart">
            <c:ext xmlns:c16="http://schemas.microsoft.com/office/drawing/2014/chart" uri="{C3380CC4-5D6E-409C-BE32-E72D297353CC}">
              <c16:uniqueId val="{00000008-B6B5-4791-91D5-FC85BA4570BC}"/>
            </c:ext>
          </c:extLst>
        </c:ser>
        <c:ser>
          <c:idx val="9"/>
          <c:order val="9"/>
          <c:tx>
            <c:strRef>
              <c:f>Sheet1!$K$1</c:f>
              <c:strCache>
                <c:ptCount val="1"/>
                <c:pt idx="0">
                  <c:v>Citas valstis</c:v>
                </c:pt>
              </c:strCache>
            </c:strRef>
          </c:tx>
          <c:invertIfNegative val="0"/>
          <c:cat>
            <c:strRef>
              <c:f>Sheet1!$A$2:$A$11</c:f>
              <c:strCache>
                <c:ptCount val="10"/>
                <c:pt idx="0">
                  <c:v>2010.-2012.</c:v>
                </c:pt>
                <c:pt idx="1">
                  <c:v>2013.</c:v>
                </c:pt>
                <c:pt idx="2">
                  <c:v>2014.</c:v>
                </c:pt>
                <c:pt idx="3">
                  <c:v>2015.</c:v>
                </c:pt>
                <c:pt idx="4">
                  <c:v>2016.</c:v>
                </c:pt>
                <c:pt idx="5">
                  <c:v>2017.</c:v>
                </c:pt>
                <c:pt idx="6">
                  <c:v>2018.</c:v>
                </c:pt>
                <c:pt idx="7">
                  <c:v>2019.</c:v>
                </c:pt>
                <c:pt idx="8">
                  <c:v>2020.</c:v>
                </c:pt>
                <c:pt idx="9">
                  <c:v>Kopā</c:v>
                </c:pt>
              </c:strCache>
            </c:strRef>
          </c:cat>
          <c:val>
            <c:numRef>
              <c:f>Sheet1!$K$2:$K$11</c:f>
              <c:numCache>
                <c:formatCode>General</c:formatCode>
                <c:ptCount val="10"/>
                <c:pt idx="0">
                  <c:v>159</c:v>
                </c:pt>
                <c:pt idx="1">
                  <c:v>150</c:v>
                </c:pt>
                <c:pt idx="2">
                  <c:v>273</c:v>
                </c:pt>
                <c:pt idx="3">
                  <c:v>110</c:v>
                </c:pt>
                <c:pt idx="4">
                  <c:v>112</c:v>
                </c:pt>
                <c:pt idx="5">
                  <c:v>110</c:v>
                </c:pt>
                <c:pt idx="6">
                  <c:v>85</c:v>
                </c:pt>
                <c:pt idx="8">
                  <c:v>26</c:v>
                </c:pt>
                <c:pt idx="9">
                  <c:v>1022</c:v>
                </c:pt>
              </c:numCache>
            </c:numRef>
          </c:val>
          <c:extLst xmlns:c16r2="http://schemas.microsoft.com/office/drawing/2015/06/chart">
            <c:ext xmlns:c16="http://schemas.microsoft.com/office/drawing/2014/chart" uri="{C3380CC4-5D6E-409C-BE32-E72D297353CC}">
              <c16:uniqueId val="{00000000-9506-497A-8C78-B32A57935396}"/>
            </c:ext>
          </c:extLst>
        </c:ser>
        <c:dLbls>
          <c:showLegendKey val="0"/>
          <c:showVal val="0"/>
          <c:showCatName val="0"/>
          <c:showSerName val="0"/>
          <c:showPercent val="0"/>
          <c:showBubbleSize val="0"/>
        </c:dLbls>
        <c:gapWidth val="105"/>
        <c:overlap val="100"/>
        <c:axId val="337195848"/>
        <c:axId val="337196632"/>
      </c:barChart>
      <c:catAx>
        <c:axId val="337195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7196632"/>
        <c:crosses val="autoZero"/>
        <c:auto val="1"/>
        <c:lblAlgn val="ctr"/>
        <c:lblOffset val="100"/>
        <c:noMultiLvlLbl val="0"/>
      </c:catAx>
      <c:valAx>
        <c:axId val="337196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37195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44581988029448E-2"/>
          <c:y val="5.4374384304324154E-2"/>
          <c:w val="0.6920694663167104"/>
          <c:h val="0.92841510195840904"/>
        </c:manualLayout>
      </c:layout>
      <c:barChart>
        <c:barDir val="col"/>
        <c:grouping val="clustered"/>
        <c:varyColors val="0"/>
        <c:ser>
          <c:idx val="0"/>
          <c:order val="0"/>
          <c:tx>
            <c:strRef>
              <c:f>Sheet1!$Q$5</c:f>
              <c:strCache>
                <c:ptCount val="1"/>
                <c:pt idx="0">
                  <c:v>Nerezidentu tiešās investīcijas Latvijā
(ienākošās plūsmas)</c:v>
                </c:pt>
              </c:strCache>
            </c:strRef>
          </c:tx>
          <c:spPr>
            <a:solidFill>
              <a:srgbClr val="608DC4"/>
            </a:solidFill>
            <a:ln>
              <a:noFill/>
            </a:ln>
            <a:effectLst/>
          </c:spPr>
          <c:invertIfNegative val="0"/>
          <c:cat>
            <c:strRef>
              <c:f>Sheet1!$L$6:$L$15</c:f>
              <c:strCache>
                <c:ptCount val="10"/>
                <c:pt idx="0">
                  <c:v>2011</c:v>
                </c:pt>
                <c:pt idx="1">
                  <c:v>2012</c:v>
                </c:pt>
                <c:pt idx="2">
                  <c:v>2013</c:v>
                </c:pt>
                <c:pt idx="3">
                  <c:v>2014</c:v>
                </c:pt>
                <c:pt idx="4">
                  <c:v>2015</c:v>
                </c:pt>
                <c:pt idx="5">
                  <c:v>2016</c:v>
                </c:pt>
                <c:pt idx="6">
                  <c:v>2017</c:v>
                </c:pt>
                <c:pt idx="7">
                  <c:v>2018</c:v>
                </c:pt>
                <c:pt idx="8">
                  <c:v>2019</c:v>
                </c:pt>
                <c:pt idx="9">
                  <c:v>2020 
jan-sept</c:v>
                </c:pt>
              </c:strCache>
            </c:strRef>
          </c:cat>
          <c:val>
            <c:numRef>
              <c:f>Sheet1!$Q$6:$Q$15</c:f>
              <c:numCache>
                <c:formatCode>#,##0</c:formatCode>
                <c:ptCount val="10"/>
                <c:pt idx="0">
                  <c:v>4339</c:v>
                </c:pt>
                <c:pt idx="1">
                  <c:v>2948</c:v>
                </c:pt>
                <c:pt idx="2">
                  <c:v>3509</c:v>
                </c:pt>
                <c:pt idx="3">
                  <c:v>3962</c:v>
                </c:pt>
                <c:pt idx="4">
                  <c:v>4539</c:v>
                </c:pt>
                <c:pt idx="5">
                  <c:v>5320</c:v>
                </c:pt>
                <c:pt idx="6">
                  <c:v>6888</c:v>
                </c:pt>
                <c:pt idx="7">
                  <c:v>7207</c:v>
                </c:pt>
                <c:pt idx="8">
                  <c:v>6598</c:v>
                </c:pt>
                <c:pt idx="9">
                  <c:v>3569</c:v>
                </c:pt>
              </c:numCache>
            </c:numRef>
          </c:val>
          <c:extLst xmlns:c16r2="http://schemas.microsoft.com/office/drawing/2015/06/chart">
            <c:ext xmlns:c16="http://schemas.microsoft.com/office/drawing/2014/chart" uri="{C3380CC4-5D6E-409C-BE32-E72D297353CC}">
              <c16:uniqueId val="{00000000-ABD5-492F-A187-56DEB0E3C061}"/>
            </c:ext>
          </c:extLst>
        </c:ser>
        <c:ser>
          <c:idx val="2"/>
          <c:order val="1"/>
          <c:tx>
            <c:strRef>
              <c:f>Sheet1!$N$5</c:f>
              <c:strCache>
                <c:ptCount val="1"/>
                <c:pt idx="0">
                  <c:v>Saistībā ar TUA
attiecināmie ieguldījumi</c:v>
                </c:pt>
              </c:strCache>
            </c:strRef>
          </c:tx>
          <c:spPr>
            <a:solidFill>
              <a:srgbClr val="1F497D">
                <a:lumMod val="50000"/>
              </a:srgbClr>
            </a:solidFill>
            <a:ln>
              <a:noFill/>
            </a:ln>
            <a:effectLst/>
          </c:spPr>
          <c:invertIfNegative val="0"/>
          <c:dLbls>
            <c:dLbl>
              <c:idx val="1"/>
              <c:layout>
                <c:manualLayout>
                  <c:x val="-8.8888888888888889E-3"/>
                  <c:y val="5.599495593776966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BD5-492F-A187-56DEB0E3C061}"/>
                </c:ext>
                <c:ext xmlns:c15="http://schemas.microsoft.com/office/drawing/2012/chart" uri="{CE6537A1-D6FC-4f65-9D91-7224C49458BB}"/>
              </c:extLst>
            </c:dLbl>
            <c:dLbl>
              <c:idx val="2"/>
              <c:layout>
                <c:manualLayout>
                  <c:x val="-6.6666666666666671E-3"/>
                  <c:y val="9.32389037962433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BD5-492F-A187-56DEB0E3C061}"/>
                </c:ext>
                <c:ext xmlns:c15="http://schemas.microsoft.com/office/drawing/2012/chart" uri="{CE6537A1-D6FC-4f65-9D91-7224C49458BB}"/>
              </c:extLst>
            </c:dLbl>
            <c:dLbl>
              <c:idx val="3"/>
              <c:layout>
                <c:manualLayout>
                  <c:x val="-6.6666666666666263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BD5-492F-A187-56DEB0E3C061}"/>
                </c:ext>
                <c:ext xmlns:c15="http://schemas.microsoft.com/office/drawing/2012/chart" uri="{CE6537A1-D6FC-4f65-9D91-7224C49458BB}"/>
              </c:extLst>
            </c:dLbl>
            <c:dLbl>
              <c:idx val="4"/>
              <c:layout>
                <c:manualLayout>
                  <c:x val="-6.4307961504811899E-3"/>
                  <c:y val="-3.724394785847299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BD5-492F-A187-56DEB0E3C061}"/>
                </c:ext>
                <c:ext xmlns:c15="http://schemas.microsoft.com/office/drawing/2012/chart" uri="{CE6537A1-D6FC-4f65-9D91-7224C49458BB}"/>
              </c:extLst>
            </c:dLbl>
            <c:dLbl>
              <c:idx val="5"/>
              <c:layout>
                <c:manualLayout>
                  <c:x val="-8.5744531933508311E-3"/>
                  <c:y val="-6.1643132597245332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BD5-492F-A187-56DEB0E3C061}"/>
                </c:ext>
                <c:ext xmlns:c15="http://schemas.microsoft.com/office/drawing/2012/chart" uri="{CE6537A1-D6FC-4f65-9D91-7224C49458BB}"/>
              </c:extLst>
            </c:dLbl>
            <c:dLbl>
              <c:idx val="6"/>
              <c:layout>
                <c:manualLayout>
                  <c:x val="-6.4307961504811899E-3"/>
                  <c:y val="4.983357527236469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BD5-492F-A187-56DEB0E3C061}"/>
                </c:ext>
                <c:ext xmlns:c15="http://schemas.microsoft.com/office/drawing/2012/chart" uri="{CE6537A1-D6FC-4f65-9D91-7224C49458BB}"/>
              </c:extLst>
            </c:dLbl>
            <c:dLbl>
              <c:idx val="7"/>
              <c:layout>
                <c:manualLayout>
                  <c:x val="-6.4307961504812714E-3"/>
                  <c:y val="9.323890379624265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ABD5-492F-A187-56DEB0E3C061}"/>
                </c:ext>
                <c:ext xmlns:c15="http://schemas.microsoft.com/office/drawing/2012/chart" uri="{CE6537A1-D6FC-4f65-9D91-7224C49458BB}"/>
              </c:extLst>
            </c:dLbl>
            <c:dLbl>
              <c:idx val="8"/>
              <c:layout>
                <c:manualLayout>
                  <c:x val="-8.8888888888889704E-3"/>
                  <c:y val="7.448789571694599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ABD5-492F-A187-56DEB0E3C061}"/>
                </c:ext>
                <c:ext xmlns:c15="http://schemas.microsoft.com/office/drawing/2012/chart" uri="{CE6537A1-D6FC-4f65-9D91-7224C49458BB}"/>
              </c:extLst>
            </c:dLbl>
            <c:dLbl>
              <c:idx val="9"/>
              <c:layout>
                <c:manualLayout>
                  <c:x val="-6.4308681672026512E-3"/>
                  <c:y val="9.32400932400926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ABD5-492F-A187-56DEB0E3C06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2">
                        <a:lumMod val="50000"/>
                      </a:schemeClr>
                    </a:solidFill>
                    <a:latin typeface="Times New Roman" panose="02020603050405020304" pitchFamily="18"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Sheet1!$L$6:$L$15</c:f>
              <c:strCache>
                <c:ptCount val="10"/>
                <c:pt idx="0">
                  <c:v>2011</c:v>
                </c:pt>
                <c:pt idx="1">
                  <c:v>2012</c:v>
                </c:pt>
                <c:pt idx="2">
                  <c:v>2013</c:v>
                </c:pt>
                <c:pt idx="3">
                  <c:v>2014</c:v>
                </c:pt>
                <c:pt idx="4">
                  <c:v>2015</c:v>
                </c:pt>
                <c:pt idx="5">
                  <c:v>2016</c:v>
                </c:pt>
                <c:pt idx="6">
                  <c:v>2017</c:v>
                </c:pt>
                <c:pt idx="7">
                  <c:v>2018</c:v>
                </c:pt>
                <c:pt idx="8">
                  <c:v>2019</c:v>
                </c:pt>
                <c:pt idx="9">
                  <c:v>2020 
jan-sept</c:v>
                </c:pt>
              </c:strCache>
            </c:strRef>
          </c:cat>
          <c:val>
            <c:numRef>
              <c:f>Sheet1!$N$6:$N$15</c:f>
              <c:numCache>
                <c:formatCode>#,##0.0</c:formatCode>
                <c:ptCount val="10"/>
                <c:pt idx="0">
                  <c:v>176.84299999999999</c:v>
                </c:pt>
                <c:pt idx="1">
                  <c:v>249.459</c:v>
                </c:pt>
                <c:pt idx="2">
                  <c:v>359.98899999999998</c:v>
                </c:pt>
                <c:pt idx="3">
                  <c:v>447.46800000000002</c:v>
                </c:pt>
                <c:pt idx="4">
                  <c:v>90.489000000000004</c:v>
                </c:pt>
                <c:pt idx="5">
                  <c:v>62.524999999999999</c:v>
                </c:pt>
                <c:pt idx="6">
                  <c:v>39.609000000000002</c:v>
                </c:pt>
                <c:pt idx="7">
                  <c:v>37.652000000000001</c:v>
                </c:pt>
                <c:pt idx="8">
                  <c:v>33.1</c:v>
                </c:pt>
                <c:pt idx="9">
                  <c:v>14.7</c:v>
                </c:pt>
              </c:numCache>
            </c:numRef>
          </c:val>
          <c:extLst xmlns:c16r2="http://schemas.microsoft.com/office/drawing/2015/06/chart">
            <c:ext xmlns:c16="http://schemas.microsoft.com/office/drawing/2014/chart" uri="{C3380CC4-5D6E-409C-BE32-E72D297353CC}">
              <c16:uniqueId val="{0000000A-ABD5-492F-A187-56DEB0E3C061}"/>
            </c:ext>
          </c:extLst>
        </c:ser>
        <c:ser>
          <c:idx val="3"/>
          <c:order val="2"/>
          <c:tx>
            <c:strRef>
              <c:f>Sheet1!$P$5</c:f>
              <c:strCache>
                <c:ptCount val="1"/>
                <c:pt idx="0">
                  <c:v>Tiešo investīciju izejošās plūsmas</c:v>
                </c:pt>
              </c:strCache>
            </c:strRef>
          </c:tx>
          <c:spPr>
            <a:solidFill>
              <a:schemeClr val="tx2">
                <a:lumMod val="20000"/>
                <a:lumOff val="80000"/>
              </a:schemeClr>
            </a:solidFill>
            <a:ln>
              <a:noFill/>
            </a:ln>
            <a:effectLst/>
          </c:spPr>
          <c:invertIfNegative val="0"/>
          <c:cat>
            <c:strRef>
              <c:f>Sheet1!$L$6:$L$15</c:f>
              <c:strCache>
                <c:ptCount val="10"/>
                <c:pt idx="0">
                  <c:v>2011</c:v>
                </c:pt>
                <c:pt idx="1">
                  <c:v>2012</c:v>
                </c:pt>
                <c:pt idx="2">
                  <c:v>2013</c:v>
                </c:pt>
                <c:pt idx="3">
                  <c:v>2014</c:v>
                </c:pt>
                <c:pt idx="4">
                  <c:v>2015</c:v>
                </c:pt>
                <c:pt idx="5">
                  <c:v>2016</c:v>
                </c:pt>
                <c:pt idx="6">
                  <c:v>2017</c:v>
                </c:pt>
                <c:pt idx="7">
                  <c:v>2018</c:v>
                </c:pt>
                <c:pt idx="8">
                  <c:v>2019</c:v>
                </c:pt>
                <c:pt idx="9">
                  <c:v>2020 
jan-sept</c:v>
                </c:pt>
              </c:strCache>
            </c:strRef>
          </c:cat>
          <c:val>
            <c:numRef>
              <c:f>Sheet1!$P$6:$P$15</c:f>
              <c:numCache>
                <c:formatCode>0</c:formatCode>
                <c:ptCount val="10"/>
                <c:pt idx="0">
                  <c:v>-3283</c:v>
                </c:pt>
                <c:pt idx="1">
                  <c:v>-2083</c:v>
                </c:pt>
                <c:pt idx="2">
                  <c:v>-2830</c:v>
                </c:pt>
                <c:pt idx="3">
                  <c:v>-3287</c:v>
                </c:pt>
                <c:pt idx="4">
                  <c:v>-3873</c:v>
                </c:pt>
                <c:pt idx="5">
                  <c:v>-5090</c:v>
                </c:pt>
                <c:pt idx="6">
                  <c:v>-6261</c:v>
                </c:pt>
                <c:pt idx="7">
                  <c:v>-6388</c:v>
                </c:pt>
                <c:pt idx="8">
                  <c:v>-5817</c:v>
                </c:pt>
                <c:pt idx="9">
                  <c:v>-2977</c:v>
                </c:pt>
              </c:numCache>
            </c:numRef>
          </c:val>
          <c:extLst xmlns:c16r2="http://schemas.microsoft.com/office/drawing/2015/06/chart">
            <c:ext xmlns:c16="http://schemas.microsoft.com/office/drawing/2014/chart" uri="{C3380CC4-5D6E-409C-BE32-E72D297353CC}">
              <c16:uniqueId val="{0000000B-ABD5-492F-A187-56DEB0E3C061}"/>
            </c:ext>
          </c:extLst>
        </c:ser>
        <c:dLbls>
          <c:showLegendKey val="0"/>
          <c:showVal val="0"/>
          <c:showCatName val="0"/>
          <c:showSerName val="0"/>
          <c:showPercent val="0"/>
          <c:showBubbleSize val="0"/>
        </c:dLbls>
        <c:gapWidth val="20"/>
        <c:overlap val="85"/>
        <c:axId val="204283904"/>
        <c:axId val="333606824"/>
      </c:barChart>
      <c:catAx>
        <c:axId val="2042839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333606824"/>
        <c:crosses val="autoZero"/>
        <c:auto val="1"/>
        <c:lblAlgn val="ctr"/>
        <c:lblOffset val="100"/>
        <c:noMultiLvlLbl val="0"/>
      </c:catAx>
      <c:valAx>
        <c:axId val="333606824"/>
        <c:scaling>
          <c:orientation val="minMax"/>
          <c:max val="8000"/>
          <c:min val="-7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mn-cs"/>
              </a:defRPr>
            </a:pPr>
            <a:endParaRPr lang="en-US"/>
          </a:p>
        </c:txPr>
        <c:crossAx val="204283904"/>
        <c:crosses val="autoZero"/>
        <c:crossBetween val="between"/>
      </c:valAx>
      <c:spPr>
        <a:noFill/>
        <a:ln>
          <a:noFill/>
        </a:ln>
        <a:effectLst/>
      </c:spPr>
    </c:plotArea>
    <c:legend>
      <c:legendPos val="r"/>
      <c:layout>
        <c:manualLayout>
          <c:xMode val="edge"/>
          <c:yMode val="edge"/>
          <c:x val="0.77709168853893262"/>
          <c:y val="0.20197070338274756"/>
          <c:w val="0.22290813648293964"/>
          <c:h val="0.6550383436707283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bg1">
          <a:lumMod val="75000"/>
        </a:schemeClr>
      </a:solidFill>
      <a:round/>
    </a:ln>
    <a:effectLst/>
  </c:spPr>
  <c:txPr>
    <a:bodyPr/>
    <a:lstStyle/>
    <a:p>
      <a:pPr>
        <a:defRPr sz="1100" baseline="0">
          <a:solidFill>
            <a:sysClr val="windowText" lastClr="000000"/>
          </a:solidFill>
          <a:latin typeface="Times New Roman" panose="02020603050405020304" pitchFamily="18" charset="0"/>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7148873832631386E-2"/>
          <c:y val="2.5194055857840316E-2"/>
          <c:w val="0.93188149942795617"/>
          <c:h val="0.9101922572178478"/>
        </c:manualLayout>
      </c:layout>
      <c:barChart>
        <c:barDir val="col"/>
        <c:grouping val="stacked"/>
        <c:varyColors val="0"/>
        <c:ser>
          <c:idx val="2"/>
          <c:order val="2"/>
          <c:tx>
            <c:strRef>
              <c:f>'cet.'!$I$4</c:f>
              <c:strCache>
                <c:ptCount val="1"/>
                <c:pt idx="0">
                  <c:v>Iemaksātā summa pirmreizējo TUA saņemšanai (tūkst.euro) </c:v>
                </c:pt>
              </c:strCache>
            </c:strRef>
          </c:tx>
          <c:spPr>
            <a:solidFill>
              <a:srgbClr val="92D050"/>
            </a:solidFill>
            <a:ln>
              <a:noFill/>
            </a:ln>
            <a:effectLst/>
          </c:spPr>
          <c:invertIfNegative val="0"/>
          <c:dLbls>
            <c:dLbl>
              <c:idx val="17"/>
              <c:layout>
                <c:manualLayout>
                  <c:x val="4.3205875999134296E-3"/>
                  <c:y val="-5.682278334703473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C4-EC71-4E50-9CD8-55990878A23A}"/>
                </c:ext>
                <c:ext xmlns:c15="http://schemas.microsoft.com/office/drawing/2012/chart" uri="{CE6537A1-D6FC-4f65-9D91-7224C49458BB}"/>
              </c:extLst>
            </c:dLbl>
            <c:dLbl>
              <c:idx val="70"/>
              <c:layout>
                <c:manualLayout>
                  <c:x val="0"/>
                  <c:y val="5.0298407534738908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C71-4E50-9CD8-55990878A23A}"/>
                </c:ext>
                <c:ext xmlns:c15="http://schemas.microsoft.com/office/drawing/2012/chart" uri="{CE6537A1-D6FC-4f65-9D91-7224C49458BB}"/>
              </c:extLst>
            </c:dLbl>
            <c:dLbl>
              <c:idx val="91"/>
              <c:layout>
                <c:manualLayout>
                  <c:x val="2.7335352311730265E-3"/>
                  <c:y val="-5.037513503300365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C71-4E50-9CD8-55990878A23A}"/>
                </c:ext>
                <c:ext xmlns:c15="http://schemas.microsoft.com/office/drawing/2012/chart" uri="{CE6537A1-D6FC-4f65-9D91-7224C49458BB}"/>
              </c:extLst>
            </c:dLbl>
            <c:dLbl>
              <c:idx val="92"/>
              <c:layout>
                <c:manualLayout>
                  <c:x val="0"/>
                  <c:y val="-3.608774101279821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C71-4E50-9CD8-55990878A23A}"/>
                </c:ext>
                <c:ext xmlns:c15="http://schemas.microsoft.com/office/drawing/2012/chart" uri="{CE6537A1-D6FC-4f65-9D91-7224C49458BB}"/>
              </c:extLst>
            </c:dLbl>
            <c:dLbl>
              <c:idx val="94"/>
              <c:layout>
                <c:manualLayout>
                  <c:x val="4.1025641025641026E-3"/>
                  <c:y val="-3.16173154412036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C71-4E50-9CD8-55990878A23A}"/>
                </c:ext>
                <c:ext xmlns:c15="http://schemas.microsoft.com/office/drawing/2012/chart" uri="{CE6537A1-D6FC-4f65-9D91-7224C49458BB}"/>
              </c:extLst>
            </c:dLbl>
            <c:dLbl>
              <c:idx val="96"/>
              <c:layout>
                <c:manualLayout>
                  <c:x val="1.3679890560875513E-3"/>
                  <c:y val="-4.10224713560075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C71-4E50-9CD8-55990878A23A}"/>
                </c:ext>
                <c:ext xmlns:c15="http://schemas.microsoft.com/office/drawing/2012/chart" uri="{CE6537A1-D6FC-4f65-9D91-7224C49458BB}"/>
              </c:extLst>
            </c:dLbl>
            <c:dLbl>
              <c:idx val="97"/>
              <c:layout>
                <c:manualLayout>
                  <c:x val="-2.0063607712775693E-16"/>
                  <c:y val="-3.032334423750267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C71-4E50-9CD8-55990878A23A}"/>
                </c:ext>
                <c:ext xmlns:c15="http://schemas.microsoft.com/office/drawing/2012/chart" uri="{CE6537A1-D6FC-4f65-9D91-7224C49458BB}"/>
              </c:extLst>
            </c:dLbl>
            <c:dLbl>
              <c:idx val="99"/>
              <c:layout>
                <c:manualLayout>
                  <c:x val="-2.0056748359711497E-16"/>
                  <c:y val="-2.343129644005766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C71-4E50-9CD8-55990878A23A}"/>
                </c:ext>
                <c:ext xmlns:c15="http://schemas.microsoft.com/office/drawing/2012/chart" uri="{CE6537A1-D6FC-4f65-9D91-7224C49458BB}"/>
              </c:extLst>
            </c:dLbl>
            <c:dLbl>
              <c:idx val="100"/>
              <c:layout>
                <c:manualLayout>
                  <c:x val="1.3679890560875513E-3"/>
                  <c:y val="-2.326730557427712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C71-4E50-9CD8-55990878A23A}"/>
                </c:ext>
                <c:ext xmlns:c15="http://schemas.microsoft.com/office/drawing/2012/chart" uri="{CE6537A1-D6FC-4f65-9D91-7224C49458BB}"/>
              </c:extLst>
            </c:dLbl>
            <c:dLbl>
              <c:idx val="101"/>
              <c:layout>
                <c:manualLayout>
                  <c:x val="-2.0063607712775693E-16"/>
                  <c:y val="-1.893314483914980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C71-4E50-9CD8-55990878A23A}"/>
                </c:ext>
                <c:ext xmlns:c15="http://schemas.microsoft.com/office/drawing/2012/chart" uri="{CE6537A1-D6FC-4f65-9D91-7224C49458BB}"/>
              </c:extLst>
            </c:dLbl>
            <c:dLbl>
              <c:idx val="115"/>
              <c:layout>
                <c:manualLayout>
                  <c:x val="4.1043645248875181E-3"/>
                  <c:y val="-4.945814971374521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C71-4E50-9CD8-55990878A23A}"/>
                </c:ext>
                <c:ext xmlns:c15="http://schemas.microsoft.com/office/drawing/2012/chart" uri="{CE6537A1-D6FC-4f65-9D91-7224C49458BB}"/>
              </c:extLst>
            </c:dLbl>
            <c:dLbl>
              <c:idx val="116"/>
              <c:layout>
                <c:manualLayout>
                  <c:x val="0"/>
                  <c:y val="-4.624857775009919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C71-4E50-9CD8-55990878A23A}"/>
                </c:ext>
                <c:ext xmlns:c15="http://schemas.microsoft.com/office/drawing/2012/chart" uri="{CE6537A1-D6FC-4f65-9D91-7224C49458BB}"/>
              </c:extLst>
            </c:dLbl>
            <c:dLbl>
              <c:idx val="118"/>
              <c:layout>
                <c:manualLayout>
                  <c:x val="0"/>
                  <c:y val="-3.164943369552725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C71-4E50-9CD8-55990878A23A}"/>
                </c:ext>
                <c:ext xmlns:c15="http://schemas.microsoft.com/office/drawing/2012/chart" uri="{CE6537A1-D6FC-4f65-9D91-7224C49458BB}"/>
              </c:extLst>
            </c:dLbl>
            <c:dLbl>
              <c:idx val="120"/>
              <c:layout>
                <c:manualLayout>
                  <c:x val="8.2098064521965858E-3"/>
                  <c:y val="-3.374183290306087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EC71-4E50-9CD8-55990878A23A}"/>
                </c:ext>
                <c:ext xmlns:c15="http://schemas.microsoft.com/office/drawing/2012/chart" uri="{CE6537A1-D6FC-4f65-9D91-7224C49458BB}"/>
              </c:extLst>
            </c:dLbl>
            <c:dLbl>
              <c:idx val="123"/>
              <c:layout>
                <c:manualLayout>
                  <c:x val="1.3679890560875513E-2"/>
                  <c:y val="-3.349284105666332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EC71-4E50-9CD8-55990878A23A}"/>
                </c:ext>
                <c:ext xmlns:c15="http://schemas.microsoft.com/office/drawing/2012/chart" uri="{CE6537A1-D6FC-4f65-9D91-7224C49458BB}"/>
              </c:extLst>
            </c:dLbl>
            <c:dLbl>
              <c:idx val="124"/>
              <c:layout>
                <c:manualLayout>
                  <c:x val="1.2307692307692106E-2"/>
                  <c:y val="-4.809516181369347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EC71-4E50-9CD8-55990878A23A}"/>
                </c:ext>
                <c:ext xmlns:c15="http://schemas.microsoft.com/office/drawing/2012/chart" uri="{CE6537A1-D6FC-4f65-9D91-7224C49458BB}"/>
              </c:extLst>
            </c:dLbl>
            <c:dLbl>
              <c:idx val="125"/>
              <c:layout>
                <c:manualLayout>
                  <c:x val="2.4623803009575923E-2"/>
                  <c:y val="-3.97558890733647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EC71-4E50-9CD8-55990878A23A}"/>
                </c:ext>
                <c:ext xmlns:c15="http://schemas.microsoft.com/office/drawing/2012/chart" uri="{CE6537A1-D6FC-4f65-9D91-7224C49458BB}"/>
              </c:extLst>
            </c:dLbl>
            <c:dLbl>
              <c:idx val="127"/>
              <c:layout>
                <c:manualLayout>
                  <c:x val="2.8727770177838577E-2"/>
                  <c:y val="2.2333273059030462E-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EC71-4E50-9CD8-55990878A23A}"/>
                </c:ext>
                <c:ext xmlns:c15="http://schemas.microsoft.com/office/drawing/2012/chart" uri="{CE6537A1-D6FC-4f65-9D91-7224C49458BB}"/>
              </c:extLst>
            </c:dLbl>
            <c:dLbl>
              <c:idx val="146"/>
              <c:layout>
                <c:manualLayout>
                  <c:x val="0"/>
                  <c:y val="-0.1853640293919418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EC71-4E50-9CD8-55990878A23A}"/>
                </c:ext>
                <c:ext xmlns:c15="http://schemas.microsoft.com/office/drawing/2012/chart" uri="{CE6537A1-D6FC-4f65-9D91-7224C49458BB}"/>
              </c:extLst>
            </c:dLbl>
            <c:dLbl>
              <c:idx val="152"/>
              <c:layout>
                <c:manualLayout>
                  <c:x val="2.0519835841313068E-2"/>
                  <c:y val="-1.417405026876859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2-EC71-4E50-9CD8-55990878A23A}"/>
                </c:ext>
                <c:ext xmlns:c15="http://schemas.microsoft.com/office/drawing/2012/chart" uri="{CE6537A1-D6FC-4f65-9D91-7224C49458BB}"/>
              </c:extLst>
            </c:dLbl>
            <c:dLbl>
              <c:idx val="156"/>
              <c:layout>
                <c:manualLayout>
                  <c:x val="1.3679890560874509E-3"/>
                  <c:y val="-0.1452545493399965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EC71-4E50-9CD8-55990878A23A}"/>
                </c:ext>
                <c:ext xmlns:c15="http://schemas.microsoft.com/office/drawing/2012/chart" uri="{CE6537A1-D6FC-4f65-9D91-7224C49458BB}"/>
              </c:extLst>
            </c:dLbl>
            <c:dLbl>
              <c:idx val="157"/>
              <c:layout>
                <c:manualLayout>
                  <c:x val="2.0520051272660683E-2"/>
                  <c:y val="-2.784031693324346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4-EC71-4E50-9CD8-55990878A23A}"/>
                </c:ext>
                <c:ext xmlns:c15="http://schemas.microsoft.com/office/drawing/2012/chart" uri="{CE6537A1-D6FC-4f65-9D91-7224C49458BB}"/>
              </c:extLst>
            </c:dLbl>
            <c:dLbl>
              <c:idx val="158"/>
              <c:layout>
                <c:manualLayout>
                  <c:x val="2.8724646423300852E-2"/>
                  <c:y val="-1.864317064751054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EC71-4E50-9CD8-55990878A23A}"/>
                </c:ext>
                <c:ext xmlns:c15="http://schemas.microsoft.com/office/drawing/2012/chart" uri="{CE6537A1-D6FC-4f65-9D91-7224C49458BB}"/>
              </c:extLst>
            </c:dLbl>
            <c:dLbl>
              <c:idx val="159"/>
              <c:layout>
                <c:manualLayout>
                  <c:x val="2.1914107521785294E-2"/>
                  <c:y val="-4.2873604786875547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6-EC71-4E50-9CD8-55990878A23A}"/>
                </c:ext>
                <c:ext xmlns:c15="http://schemas.microsoft.com/office/drawing/2012/chart" uri="{CE6537A1-D6FC-4f65-9D91-7224C49458BB}">
                  <c15:layout>
                    <c:manualLayout>
                      <c:w val="4.1039671682626538E-2"/>
                      <c:h val="3.7160751565762005E-2"/>
                    </c:manualLayout>
                  </c15:layout>
                </c:ext>
              </c:extLst>
            </c:dLbl>
            <c:dLbl>
              <c:idx val="160"/>
              <c:layout>
                <c:manualLayout>
                  <c:x val="1.3665887523292512E-3"/>
                  <c:y val="-0.1856566337349794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7-EC71-4E50-9CD8-55990878A23A}"/>
                </c:ext>
                <c:ext xmlns:c15="http://schemas.microsoft.com/office/drawing/2012/chart" uri="{CE6537A1-D6FC-4f65-9D91-7224C49458BB}"/>
              </c:extLst>
            </c:dLbl>
            <c:dLbl>
              <c:idx val="161"/>
              <c:layout>
                <c:manualLayout>
                  <c:x val="4.1025668645044543E-3"/>
                  <c:y val="-0.1409669094077227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8-EC71-4E50-9CD8-55990878A23A}"/>
                </c:ext>
                <c:ext xmlns:c15="http://schemas.microsoft.com/office/drawing/2012/chart" uri="{CE6537A1-D6FC-4f65-9D91-7224C49458BB}"/>
              </c:extLst>
            </c:dLbl>
            <c:dLbl>
              <c:idx val="162"/>
              <c:layout>
                <c:manualLayout>
                  <c:x val="4.1039671682626538E-3"/>
                  <c:y val="-0.1411707461410747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9-EC71-4E50-9CD8-55990878A2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'cet.'!$F$5:$F$30</c:f>
              <c:strCache>
                <c:ptCount val="19"/>
                <c:pt idx="0">
                  <c:v>2016. II.</c:v>
                </c:pt>
                <c:pt idx="1">
                  <c:v>2016. III.</c:v>
                </c:pt>
                <c:pt idx="2">
                  <c:v>2016. IV.</c:v>
                </c:pt>
                <c:pt idx="3">
                  <c:v>2017. I.</c:v>
                </c:pt>
                <c:pt idx="4">
                  <c:v>2017. II.</c:v>
                </c:pt>
                <c:pt idx="5">
                  <c:v>2017. III.</c:v>
                </c:pt>
                <c:pt idx="6">
                  <c:v>2017. IV.</c:v>
                </c:pt>
                <c:pt idx="7">
                  <c:v>2018. I</c:v>
                </c:pt>
                <c:pt idx="8">
                  <c:v>2018. II</c:v>
                </c:pt>
                <c:pt idx="9">
                  <c:v>2018. III</c:v>
                </c:pt>
                <c:pt idx="10">
                  <c:v>2018. IV</c:v>
                </c:pt>
                <c:pt idx="11">
                  <c:v>2019. I</c:v>
                </c:pt>
                <c:pt idx="12">
                  <c:v>2019. II</c:v>
                </c:pt>
                <c:pt idx="13">
                  <c:v>2019. III</c:v>
                </c:pt>
                <c:pt idx="14">
                  <c:v>2019. IV</c:v>
                </c:pt>
                <c:pt idx="15">
                  <c:v>2020. I</c:v>
                </c:pt>
                <c:pt idx="16">
                  <c:v>2020. II</c:v>
                </c:pt>
                <c:pt idx="17">
                  <c:v>2020. III</c:v>
                </c:pt>
                <c:pt idx="18">
                  <c:v>2020. IV</c:v>
                </c:pt>
              </c:strCache>
              <c:extLst xmlns:c16r2="http://schemas.microsoft.com/office/drawing/2015/06/chart"/>
            </c:strRef>
          </c:cat>
          <c:val>
            <c:numRef>
              <c:f>'cet.'!$I$6:$I$30</c:f>
              <c:numCache>
                <c:formatCode>0</c:formatCode>
                <c:ptCount val="19"/>
                <c:pt idx="0">
                  <c:v>533.1404</c:v>
                </c:pt>
                <c:pt idx="1">
                  <c:v>976.66382999999996</c:v>
                </c:pt>
                <c:pt idx="2">
                  <c:v>678.9325</c:v>
                </c:pt>
                <c:pt idx="3">
                  <c:v>541.52499999999998</c:v>
                </c:pt>
                <c:pt idx="4">
                  <c:v>551.00805000000003</c:v>
                </c:pt>
                <c:pt idx="5">
                  <c:v>377.32049999999998</c:v>
                </c:pt>
                <c:pt idx="6">
                  <c:v>580.68815999999993</c:v>
                </c:pt>
                <c:pt idx="7">
                  <c:v>580.94547999999998</c:v>
                </c:pt>
                <c:pt idx="8">
                  <c:v>610.72932000000003</c:v>
                </c:pt>
                <c:pt idx="9">
                  <c:v>600.89212999999995</c:v>
                </c:pt>
                <c:pt idx="10">
                  <c:v>568.27031000000011</c:v>
                </c:pt>
                <c:pt idx="11">
                  <c:v>621.33850000000007</c:v>
                </c:pt>
                <c:pt idx="12">
                  <c:v>620.41890000000001</c:v>
                </c:pt>
                <c:pt idx="13">
                  <c:v>382.38</c:v>
                </c:pt>
                <c:pt idx="14">
                  <c:v>611.97045000000003</c:v>
                </c:pt>
                <c:pt idx="15">
                  <c:v>483.8442</c:v>
                </c:pt>
                <c:pt idx="16">
                  <c:v>86.740000000000009</c:v>
                </c:pt>
                <c:pt idx="17">
                  <c:v>336.09500000000003</c:v>
                </c:pt>
                <c:pt idx="18">
                  <c:v>457.23494999999997</c:v>
                </c:pt>
              </c:numCache>
              <c:extLst xmlns:c16r2="http://schemas.microsoft.com/office/drawing/2015/06/chart"/>
            </c:numRef>
          </c:val>
          <c:extLst xmlns:c16r2="http://schemas.microsoft.com/office/drawing/2015/06/chart">
            <c:ext xmlns:c16="http://schemas.microsoft.com/office/drawing/2014/chart" uri="{C3380CC4-5D6E-409C-BE32-E72D297353CC}">
              <c16:uniqueId val="{0000001A-EC71-4E50-9CD8-55990878A23A}"/>
            </c:ext>
          </c:extLst>
        </c:ser>
        <c:ser>
          <c:idx val="3"/>
          <c:order val="3"/>
          <c:tx>
            <c:strRef>
              <c:f>'cet.'!$J$4</c:f>
              <c:strCache>
                <c:ptCount val="1"/>
                <c:pt idx="0">
                  <c:v>Iemaksātā summa atkārtoto TUA saņemšanai un reģistrēšanai (tūkst.euro) </c:v>
                </c:pt>
              </c:strCache>
            </c:strRef>
          </c:tx>
          <c:spPr>
            <a:solidFill>
              <a:srgbClr val="FFC000"/>
            </a:solidFill>
            <a:ln>
              <a:noFill/>
            </a:ln>
            <a:effectLst/>
          </c:spPr>
          <c:invertIfNegative val="0"/>
          <c:dLbls>
            <c:dLbl>
              <c:idx val="8"/>
              <c:layout>
                <c:manualLayout>
                  <c:x val="0"/>
                  <c:y val="-3.288437287743788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D-EC71-4E50-9CD8-55990878A23A}"/>
                </c:ext>
                <c:ext xmlns:c15="http://schemas.microsoft.com/office/drawing/2012/chart" uri="{CE6537A1-D6FC-4f65-9D91-7224C49458BB}"/>
              </c:extLst>
            </c:dLbl>
            <c:dLbl>
              <c:idx val="12"/>
              <c:layout>
                <c:manualLayout>
                  <c:x val="-5.017863411904276E-17"/>
                  <c:y val="-3.401906296906960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B-EC71-4E50-9CD8-55990878A23A}"/>
                </c:ext>
                <c:ext xmlns:c15="http://schemas.microsoft.com/office/drawing/2012/chart" uri="{CE6537A1-D6FC-4f65-9D91-7224C49458BB}"/>
              </c:extLst>
            </c:dLbl>
            <c:dLbl>
              <c:idx val="13"/>
              <c:layout>
                <c:manualLayout>
                  <c:x val="-1.3684695764294027E-3"/>
                  <c:y val="-0.1204427007237653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C-EC71-4E50-9CD8-55990878A23A}"/>
                </c:ext>
                <c:ext xmlns:c15="http://schemas.microsoft.com/office/drawing/2012/chart" uri="{CE6537A1-D6FC-4f65-9D91-7224C49458BB}"/>
              </c:extLst>
            </c:dLbl>
            <c:dLbl>
              <c:idx val="15"/>
              <c:layout>
                <c:manualLayout>
                  <c:x val="7.8493509762995479E-3"/>
                  <c:y val="-0.193025203863371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D-EC71-4E50-9CD8-55990878A23A}"/>
                </c:ext>
                <c:ext xmlns:c15="http://schemas.microsoft.com/office/drawing/2012/chart" uri="{CE6537A1-D6FC-4f65-9D91-7224C49458BB}"/>
              </c:extLst>
            </c:dLbl>
            <c:dLbl>
              <c:idx val="16"/>
              <c:layout>
                <c:manualLayout>
                  <c:x val="5.6890571763427537E-3"/>
                  <c:y val="-0.1090201181556907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E-EC71-4E50-9CD8-55990878A23A}"/>
                </c:ext>
                <c:ext xmlns:c15="http://schemas.microsoft.com/office/drawing/2012/chart" uri="{CE6537A1-D6FC-4f65-9D91-7224C49458BB}"/>
              </c:extLst>
            </c:dLbl>
            <c:dLbl>
              <c:idx val="18"/>
              <c:layout>
                <c:manualLayout>
                  <c:x val="1.3684695764293235E-3"/>
                  <c:y val="-0.1735844498903248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F-EC71-4E50-9CD8-55990878A23A}"/>
                </c:ext>
                <c:ext xmlns:c15="http://schemas.microsoft.com/office/drawing/2012/chart" uri="{CE6537A1-D6FC-4f65-9D91-7224C49458BB}"/>
              </c:extLst>
            </c:dLbl>
            <c:dLbl>
              <c:idx val="24"/>
              <c:layout>
                <c:manualLayout>
                  <c:x val="6.842620061850619E-3"/>
                  <c:y val="-5.073548127242875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2-EC71-4E50-9CD8-55990878A23A}"/>
                </c:ext>
                <c:ext xmlns:c15="http://schemas.microsoft.com/office/drawing/2012/chart" uri="{CE6537A1-D6FC-4f65-9D91-7224C49458BB}"/>
              </c:extLst>
            </c:dLbl>
            <c:dLbl>
              <c:idx val="25"/>
              <c:layout>
                <c:manualLayout>
                  <c:x val="4.1055720371104918E-3"/>
                  <c:y val="-0.1384966773650646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3-EC71-4E50-9CD8-55990878A23A}"/>
                </c:ext>
                <c:ext xmlns:c15="http://schemas.microsoft.com/office/drawing/2012/chart" uri="{CE6537A1-D6FC-4f65-9D91-7224C49458BB}"/>
              </c:extLst>
            </c:dLbl>
            <c:dLbl>
              <c:idx val="26"/>
              <c:layout>
                <c:manualLayout>
                  <c:x val="1.0948192098961312E-2"/>
                  <c:y val="-3.579123365357245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4-EC71-4E50-9CD8-55990878A23A}"/>
                </c:ext>
                <c:ext xmlns:c15="http://schemas.microsoft.com/office/drawing/2012/chart" uri="{CE6537A1-D6FC-4f65-9D91-7224C49458BB}"/>
              </c:extLst>
            </c:dLbl>
            <c:dLbl>
              <c:idx val="27"/>
              <c:layout>
                <c:manualLayout>
                  <c:x val="4.1055720371104918E-3"/>
                  <c:y val="-2.775040610530981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5-EC71-4E50-9CD8-55990878A23A}"/>
                </c:ext>
                <c:ext xmlns:c15="http://schemas.microsoft.com/office/drawing/2012/chart" uri="{CE6537A1-D6FC-4f65-9D91-7224C49458BB}"/>
              </c:extLst>
            </c:dLbl>
            <c:dLbl>
              <c:idx val="28"/>
              <c:layout>
                <c:manualLayout>
                  <c:x val="2.7370480247402274E-3"/>
                  <c:y val="-0.1384966773650646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6-EC71-4E50-9CD8-55990878A23A}"/>
                </c:ext>
                <c:ext xmlns:c15="http://schemas.microsoft.com/office/drawing/2012/chart" uri="{CE6537A1-D6FC-4f65-9D91-7224C49458BB}"/>
              </c:extLst>
            </c:dLbl>
            <c:dLbl>
              <c:idx val="31"/>
              <c:layout>
                <c:manualLayout>
                  <c:x val="5.474096049480656E-3"/>
                  <c:y val="-0.119690706773785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7-EC71-4E50-9CD8-55990878A23A}"/>
                </c:ext>
                <c:ext xmlns:c15="http://schemas.microsoft.com/office/drawing/2012/chart" uri="{CE6537A1-D6FC-4f65-9D91-7224C49458BB}"/>
              </c:extLst>
            </c:dLbl>
            <c:dLbl>
              <c:idx val="32"/>
              <c:layout>
                <c:manualLayout>
                  <c:x val="6.8426200618508203E-3"/>
                  <c:y val="-0.1238698113496254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8-EC71-4E50-9CD8-55990878A23A}"/>
                </c:ext>
                <c:ext xmlns:c15="http://schemas.microsoft.com/office/drawing/2012/chart" uri="{CE6537A1-D6FC-4f65-9D91-7224C49458BB}"/>
              </c:extLst>
            </c:dLbl>
            <c:dLbl>
              <c:idx val="34"/>
              <c:layout>
                <c:manualLayout>
                  <c:x val="5.474096049480656E-3"/>
                  <c:y val="-0.1949145891389021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9-EC71-4E50-9CD8-55990878A23A}"/>
                </c:ext>
                <c:ext xmlns:c15="http://schemas.microsoft.com/office/drawing/2012/chart" uri="{CE6537A1-D6FC-4f65-9D91-7224C49458BB}"/>
              </c:extLst>
            </c:dLbl>
            <c:dLbl>
              <c:idx val="35"/>
              <c:layout>
                <c:manualLayout>
                  <c:x val="6.8426200618508203E-3"/>
                  <c:y val="-0.1134220499100258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A-EC71-4E50-9CD8-55990878A23A}"/>
                </c:ext>
                <c:ext xmlns:c15="http://schemas.microsoft.com/office/drawing/2012/chart" uri="{CE6537A1-D6FC-4f65-9D91-7224C49458BB}"/>
              </c:extLst>
            </c:dLbl>
            <c:dLbl>
              <c:idx val="36"/>
              <c:layout>
                <c:manualLayout>
                  <c:x val="1.0948192098961312E-2"/>
                  <c:y val="-0.10297428847042633"/>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B-EC71-4E50-9CD8-55990878A23A}"/>
                </c:ext>
                <c:ext xmlns:c15="http://schemas.microsoft.com/office/drawing/2012/chart" uri="{CE6537A1-D6FC-4f65-9D91-7224C49458BB}"/>
              </c:extLst>
            </c:dLbl>
            <c:dLbl>
              <c:idx val="38"/>
              <c:layout>
                <c:manualLayout>
                  <c:x val="6.8426200618508203E-3"/>
                  <c:y val="-0.1134220499100258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C-EC71-4E50-9CD8-55990878A23A}"/>
                </c:ext>
                <c:ext xmlns:c15="http://schemas.microsoft.com/office/drawing/2012/chart" uri="{CE6537A1-D6FC-4f65-9D91-7224C49458BB}"/>
              </c:extLst>
            </c:dLbl>
            <c:dLbl>
              <c:idx val="41"/>
              <c:layout>
                <c:manualLayout>
                  <c:x val="0"/>
                  <c:y val="-0.1970041414268219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D-EC71-4E50-9CD8-55990878A23A}"/>
                </c:ext>
                <c:ext xmlns:c15="http://schemas.microsoft.com/office/drawing/2012/chart" uri="{CE6537A1-D6FC-4f65-9D91-7224C49458BB}"/>
              </c:extLst>
            </c:dLbl>
            <c:dLbl>
              <c:idx val="42"/>
              <c:layout>
                <c:manualLayout>
                  <c:x val="2.737048024740328E-3"/>
                  <c:y val="-9.67056316066666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E-EC71-4E50-9CD8-55990878A23A}"/>
                </c:ext>
                <c:ext xmlns:c15="http://schemas.microsoft.com/office/drawing/2012/chart" uri="{CE6537A1-D6FC-4f65-9D91-7224C49458BB}"/>
              </c:extLst>
            </c:dLbl>
            <c:dLbl>
              <c:idx val="43"/>
              <c:layout>
                <c:manualLayout>
                  <c:x val="1.368524012370164E-3"/>
                  <c:y val="-8.207876559122738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2F-EC71-4E50-9CD8-55990878A23A}"/>
                </c:ext>
                <c:ext xmlns:c15="http://schemas.microsoft.com/office/drawing/2012/chart" uri="{CE6537A1-D6FC-4f65-9D91-7224C49458BB}"/>
              </c:extLst>
            </c:dLbl>
            <c:dLbl>
              <c:idx val="44"/>
              <c:layout>
                <c:manualLayout>
                  <c:x val="-1.0035726823808552E-16"/>
                  <c:y val="-7.58101087274676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0-EC71-4E50-9CD8-55990878A23A}"/>
                </c:ext>
                <c:ext xmlns:c15="http://schemas.microsoft.com/office/drawing/2012/chart" uri="{CE6537A1-D6FC-4f65-9D91-7224C49458BB}"/>
              </c:extLst>
            </c:dLbl>
            <c:dLbl>
              <c:idx val="45"/>
              <c:layout>
                <c:manualLayout>
                  <c:x val="6.8426200618508203E-3"/>
                  <c:y val="-8.416831787914728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1-EC71-4E50-9CD8-55990878A23A}"/>
                </c:ext>
                <c:ext xmlns:c15="http://schemas.microsoft.com/office/drawing/2012/chart" uri="{CE6537A1-D6FC-4f65-9D91-7224C49458BB}"/>
              </c:extLst>
            </c:dLbl>
            <c:dLbl>
              <c:idx val="47"/>
              <c:layout>
                <c:manualLayout>
                  <c:x val="4.1055720371105924E-3"/>
                  <c:y val="-7.789966101538757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2-EC71-4E50-9CD8-55990878A23A}"/>
                </c:ext>
                <c:ext xmlns:c15="http://schemas.microsoft.com/office/drawing/2012/chart" uri="{CE6537A1-D6FC-4f65-9D91-7224C49458BB}"/>
              </c:extLst>
            </c:dLbl>
            <c:dLbl>
              <c:idx val="48"/>
              <c:layout>
                <c:manualLayout>
                  <c:x val="2.737048024740328E-3"/>
                  <c:y val="-0.1907354845630622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3-EC71-4E50-9CD8-55990878A23A}"/>
                </c:ext>
                <c:ext xmlns:c15="http://schemas.microsoft.com/office/drawing/2012/chart" uri="{CE6537A1-D6FC-4f65-9D91-7224C49458BB}"/>
              </c:extLst>
            </c:dLbl>
            <c:dLbl>
              <c:idx val="50"/>
              <c:layout>
                <c:manualLayout>
                  <c:x val="5.4740960494807566E-3"/>
                  <c:y val="-7.58101087274676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4-EC71-4E50-9CD8-55990878A23A}"/>
                </c:ext>
                <c:ext xmlns:c15="http://schemas.microsoft.com/office/drawing/2012/chart" uri="{CE6537A1-D6FC-4f65-9D91-7224C49458BB}"/>
              </c:extLst>
            </c:dLbl>
            <c:dLbl>
              <c:idx val="52"/>
              <c:layout>
                <c:manualLayout>
                  <c:x val="5.474096049480656E-3"/>
                  <c:y val="-5.90936904241084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5-EC71-4E50-9CD8-55990878A23A}"/>
                </c:ext>
                <c:ext xmlns:c15="http://schemas.microsoft.com/office/drawing/2012/chart" uri="{CE6537A1-D6FC-4f65-9D91-7224C49458BB}"/>
              </c:extLst>
            </c:dLbl>
            <c:dLbl>
              <c:idx val="53"/>
              <c:layout>
                <c:manualLayout>
                  <c:x val="2.737048024740328E-3"/>
                  <c:y val="-5.282503356034865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6-EC71-4E50-9CD8-55990878A23A}"/>
                </c:ext>
                <c:ext xmlns:c15="http://schemas.microsoft.com/office/drawing/2012/chart" uri="{CE6537A1-D6FC-4f65-9D91-7224C49458BB}"/>
              </c:extLst>
            </c:dLbl>
            <c:dLbl>
              <c:idx val="54"/>
              <c:layout>
                <c:manualLayout>
                  <c:x val="4.1055720371104918E-3"/>
                  <c:y val="-4.655637669658886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7-EC71-4E50-9CD8-55990878A23A}"/>
                </c:ext>
                <c:ext xmlns:c15="http://schemas.microsoft.com/office/drawing/2012/chart" uri="{CE6537A1-D6FC-4f65-9D91-7224C49458BB}"/>
              </c:extLst>
            </c:dLbl>
            <c:dLbl>
              <c:idx val="55"/>
              <c:layout>
                <c:manualLayout>
                  <c:x val="6.8426200618508203E-3"/>
                  <c:y val="-4.23772721207491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8-EC71-4E50-9CD8-55990878A23A}"/>
                </c:ext>
                <c:ext xmlns:c15="http://schemas.microsoft.com/office/drawing/2012/chart" uri="{CE6537A1-D6FC-4f65-9D91-7224C49458BB}"/>
              </c:extLst>
            </c:dLbl>
            <c:dLbl>
              <c:idx val="56"/>
              <c:layout>
                <c:manualLayout>
                  <c:x val="4.1055720371104918E-3"/>
                  <c:y val="-3.399175071081797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9-EC71-4E50-9CD8-55990878A23A}"/>
                </c:ext>
                <c:ext xmlns:c15="http://schemas.microsoft.com/office/drawing/2012/chart" uri="{CE6537A1-D6FC-4f65-9D91-7224C49458BB}"/>
              </c:extLst>
            </c:dLbl>
            <c:dLbl>
              <c:idx val="57"/>
              <c:layout>
                <c:manualLayout>
                  <c:x val="5.474096049480656E-3"/>
                  <c:y val="-0.1948861251589170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A-EC71-4E50-9CD8-55990878A23A}"/>
                </c:ext>
                <c:ext xmlns:c15="http://schemas.microsoft.com/office/drawing/2012/chart" uri="{CE6537A1-D6FC-4f65-9D91-7224C49458BB}"/>
              </c:extLst>
            </c:dLbl>
            <c:dLbl>
              <c:idx val="58"/>
              <c:layout>
                <c:manualLayout>
                  <c:x val="6.8416502416845737E-3"/>
                  <c:y val="-2.977842354632562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B-EC71-4E50-9CD8-55990878A23A}"/>
                </c:ext>
                <c:ext xmlns:c15="http://schemas.microsoft.com/office/drawing/2012/chart" uri="{CE6537A1-D6FC-4f65-9D91-7224C49458BB}"/>
              </c:extLst>
            </c:dLbl>
            <c:dLbl>
              <c:idx val="59"/>
              <c:layout>
                <c:manualLayout>
                  <c:x val="4.1055720371105924E-3"/>
                  <c:y val="-7.152389403041244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C-EC71-4E50-9CD8-55990878A23A}"/>
                </c:ext>
                <c:ext xmlns:c15="http://schemas.microsoft.com/office/drawing/2012/chart" uri="{CE6537A1-D6FC-4f65-9D91-7224C49458BB}"/>
              </c:extLst>
            </c:dLbl>
            <c:dLbl>
              <c:idx val="60"/>
              <c:layout>
                <c:manualLayout>
                  <c:x val="6.8405726637220769E-3"/>
                  <c:y val="-0.1927064095124317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D-EC71-4E50-9CD8-55990878A23A}"/>
                </c:ext>
                <c:ext xmlns:c15="http://schemas.microsoft.com/office/drawing/2012/chart" uri="{CE6537A1-D6FC-4f65-9D91-7224C49458BB}"/>
              </c:extLst>
            </c:dLbl>
            <c:dLbl>
              <c:idx val="62"/>
              <c:layout>
                <c:manualLayout>
                  <c:x val="2.7344618376303371E-3"/>
                  <c:y val="-0.1905020141145143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E-EC71-4E50-9CD8-55990878A23A}"/>
                </c:ext>
                <c:ext xmlns:c15="http://schemas.microsoft.com/office/drawing/2012/chart" uri="{CE6537A1-D6FC-4f65-9D91-7224C49458BB}"/>
              </c:extLst>
            </c:dLbl>
            <c:dLbl>
              <c:idx val="63"/>
              <c:layout>
                <c:manualLayout>
                  <c:x val="5.4720486513519136E-3"/>
                  <c:y val="-5.047354684389580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3F-EC71-4E50-9CD8-55990878A23A}"/>
                </c:ext>
                <c:ext xmlns:c15="http://schemas.microsoft.com/office/drawing/2012/chart" uri="{CE6537A1-D6FC-4f65-9D91-7224C49458BB}"/>
              </c:extLst>
            </c:dLbl>
            <c:dLbl>
              <c:idx val="64"/>
              <c:layout>
                <c:manualLayout>
                  <c:x val="1.0945174880666323E-2"/>
                  <c:y val="-7.561958104641158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0-EC71-4E50-9CD8-55990878A23A}"/>
                </c:ext>
                <c:ext xmlns:c15="http://schemas.microsoft.com/office/drawing/2012/chart" uri="{CE6537A1-D6FC-4f65-9D91-7224C49458BB}"/>
              </c:extLst>
            </c:dLbl>
            <c:dLbl>
              <c:idx val="65"/>
              <c:layout>
                <c:manualLayout>
                  <c:x val="1.368524012370164E-3"/>
                  <c:y val="-5.788717964243004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1-EC71-4E50-9CD8-55990878A23A}"/>
                </c:ext>
                <c:ext xmlns:c15="http://schemas.microsoft.com/office/drawing/2012/chart" uri="{CE6537A1-D6FC-4f65-9D91-7224C49458BB}"/>
              </c:extLst>
            </c:dLbl>
            <c:dLbl>
              <c:idx val="66"/>
              <c:layout>
                <c:manualLayout>
                  <c:x val="1.0943127482537379E-2"/>
                  <c:y val="-2.967131342511019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2-EC71-4E50-9CD8-55990878A23A}"/>
                </c:ext>
                <c:ext xmlns:c15="http://schemas.microsoft.com/office/drawing/2012/chart" uri="{CE6537A1-D6FC-4f65-9D91-7224C49458BB}"/>
              </c:extLst>
            </c:dLbl>
            <c:dLbl>
              <c:idx val="67"/>
              <c:layout>
                <c:manualLayout>
                  <c:x val="1.0942512144942211E-2"/>
                  <c:y val="-4.43611197869577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3-EC71-4E50-9CD8-55990878A23A}"/>
                </c:ext>
                <c:ext xmlns:c15="http://schemas.microsoft.com/office/drawing/2012/chart" uri="{CE6537A1-D6FC-4f65-9D91-7224C49458BB}"/>
              </c:extLst>
            </c:dLbl>
            <c:dLbl>
              <c:idx val="68"/>
              <c:layout>
                <c:manualLayout>
                  <c:x val="4.1025641025639022E-3"/>
                  <c:y val="-5.898537330720984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4-EC71-4E50-9CD8-55990878A23A}"/>
                </c:ext>
                <c:ext xmlns:c15="http://schemas.microsoft.com/office/drawing/2012/chart" uri="{CE6537A1-D6FC-4f65-9D91-7224C49458BB}"/>
              </c:extLst>
            </c:dLbl>
            <c:dLbl>
              <c:idx val="69"/>
              <c:layout>
                <c:manualLayout>
                  <c:x val="2.735042735042735E-3"/>
                  <c:y val="-2.976205439108843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5-EC71-4E50-9CD8-55990878A23A}"/>
                </c:ext>
                <c:ext xmlns:c15="http://schemas.microsoft.com/office/drawing/2012/chart" uri="{CE6537A1-D6FC-4f65-9D91-7224C49458BB}"/>
              </c:extLst>
            </c:dLbl>
            <c:dLbl>
              <c:idx val="70"/>
              <c:layout>
                <c:manualLayout>
                  <c:x val="8.2051282051282051E-3"/>
                  <c:y val="-3.609314093954233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6-EC71-4E50-9CD8-55990878A23A}"/>
                </c:ext>
                <c:ext xmlns:c15="http://schemas.microsoft.com/office/drawing/2012/chart" uri="{CE6537A1-D6FC-4f65-9D91-7224C49458BB}"/>
              </c:extLst>
            </c:dLbl>
            <c:dLbl>
              <c:idx val="74"/>
              <c:layout>
                <c:manualLayout>
                  <c:x val="2.736334881216771E-3"/>
                  <c:y val="-0.1843098016503806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7-EC71-4E50-9CD8-55990878A23A}"/>
                </c:ext>
                <c:ext xmlns:c15="http://schemas.microsoft.com/office/drawing/2012/chart" uri="{CE6537A1-D6FC-4f65-9D91-7224C49458BB}"/>
              </c:extLst>
            </c:dLbl>
            <c:dLbl>
              <c:idx val="76"/>
              <c:layout>
                <c:manualLayout>
                  <c:x val="5.4724544047378689E-3"/>
                  <c:y val="-0.1760462336574125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8-EC71-4E50-9CD8-55990878A23A}"/>
                </c:ext>
                <c:ext xmlns:c15="http://schemas.microsoft.com/office/drawing/2012/chart" uri="{CE6537A1-D6FC-4f65-9D91-7224C49458BB}"/>
              </c:extLst>
            </c:dLbl>
            <c:dLbl>
              <c:idx val="78"/>
              <c:layout>
                <c:manualLayout>
                  <c:x val="6.8390066626287096E-3"/>
                  <c:y val="-0.176035554241165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9-EC71-4E50-9CD8-55990878A23A}"/>
                </c:ext>
                <c:ext xmlns:c15="http://schemas.microsoft.com/office/drawing/2012/chart" uri="{CE6537A1-D6FC-4f65-9D91-7224C49458BB}"/>
              </c:extLst>
            </c:dLbl>
            <c:dLbl>
              <c:idx val="79"/>
              <c:layout>
                <c:manualLayout>
                  <c:x val="6.8398680934111996E-3"/>
                  <c:y val="-0.1740361013488614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A-EC71-4E50-9CD8-55990878A23A}"/>
                </c:ext>
                <c:ext xmlns:c15="http://schemas.microsoft.com/office/drawing/2012/chart" uri="{CE6537A1-D6FC-4f65-9D91-7224C49458BB}"/>
              </c:extLst>
            </c:dLbl>
            <c:dLbl>
              <c:idx val="80"/>
              <c:layout>
                <c:manualLayout>
                  <c:x val="6.8399452804376558E-3"/>
                  <c:y val="-7.595663537882406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B-EC71-4E50-9CD8-55990878A23A}"/>
                </c:ext>
                <c:ext xmlns:c15="http://schemas.microsoft.com/office/drawing/2012/chart" uri="{CE6537A1-D6FC-4f65-9D91-7224C49458BB}"/>
              </c:extLst>
            </c:dLbl>
            <c:dLbl>
              <c:idx val="81"/>
              <c:layout>
                <c:manualLayout>
                  <c:x val="6.8408070058274184E-3"/>
                  <c:y val="-0.1635824305886607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C-EC71-4E50-9CD8-55990878A23A}"/>
                </c:ext>
                <c:ext xmlns:c15="http://schemas.microsoft.com/office/drawing/2012/chart" uri="{CE6537A1-D6FC-4f65-9D91-7224C49458BB}"/>
              </c:extLst>
            </c:dLbl>
            <c:dLbl>
              <c:idx val="82"/>
              <c:layout>
                <c:manualLayout>
                  <c:x val="5.4715881978322015E-3"/>
                  <c:y val="-0.1238297414924822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D-EC71-4E50-9CD8-55990878A23A}"/>
                </c:ext>
                <c:ext xmlns:c15="http://schemas.microsoft.com/office/drawing/2012/chart" uri="{CE6537A1-D6FC-4f65-9D91-7224C49458BB}"/>
              </c:extLst>
            </c:dLbl>
            <c:dLbl>
              <c:idx val="83"/>
              <c:layout>
                <c:manualLayout>
                  <c:x val="2.7350937873420944E-3"/>
                  <c:y val="-7.563747019876924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E-EC71-4E50-9CD8-55990878A23A}"/>
                </c:ext>
                <c:ext xmlns:c15="http://schemas.microsoft.com/office/drawing/2012/chart" uri="{CE6537A1-D6FC-4f65-9D91-7224C49458BB}"/>
              </c:extLst>
            </c:dLbl>
            <c:dLbl>
              <c:idx val="84"/>
              <c:layout>
                <c:manualLayout>
                  <c:x val="2.7381105141222285E-3"/>
                  <c:y val="-0.1571485174983411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4F-EC71-4E50-9CD8-55990878A23A}"/>
                </c:ext>
                <c:ext xmlns:c15="http://schemas.microsoft.com/office/drawing/2012/chart" uri="{CE6537A1-D6FC-4f65-9D91-7224C49458BB}"/>
              </c:extLst>
            </c:dLbl>
            <c:dLbl>
              <c:idx val="85"/>
              <c:layout>
                <c:manualLayout>
                  <c:x val="5.470510795410553E-3"/>
                  <c:y val="-7.142467949324697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0-EC71-4E50-9CD8-55990878A23A}"/>
                </c:ext>
                <c:ext xmlns:c15="http://schemas.microsoft.com/office/drawing/2012/chart" uri="{CE6537A1-D6FC-4f65-9D91-7224C49458BB}"/>
              </c:extLst>
            </c:dLbl>
            <c:dLbl>
              <c:idx val="86"/>
              <c:layout>
                <c:manualLayout>
                  <c:x val="5.4701875746841887E-3"/>
                  <c:y val="-0.1467348978976047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1-EC71-4E50-9CD8-55990878A23A}"/>
                </c:ext>
                <c:ext xmlns:c15="http://schemas.microsoft.com/office/drawing/2012/chart" uri="{CE6537A1-D6FC-4f65-9D91-7224C49458BB}"/>
              </c:extLst>
            </c:dLbl>
            <c:dLbl>
              <c:idx val="87"/>
              <c:layout>
                <c:manualLayout>
                  <c:x val="5.4701250578971742E-3"/>
                  <c:y val="-7.99118899281639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2-EC71-4E50-9CD8-55990878A23A}"/>
                </c:ext>
                <c:ext xmlns:c15="http://schemas.microsoft.com/office/drawing/2012/chart" uri="{CE6537A1-D6FC-4f65-9D91-7224C49458BB}"/>
              </c:extLst>
            </c:dLbl>
            <c:dLbl>
              <c:idx val="88"/>
              <c:layout>
                <c:manualLayout>
                  <c:x val="5.4718485086764973E-3"/>
                  <c:y val="-0.11963128565088035"/>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3-EC71-4E50-9CD8-55990878A23A}"/>
                </c:ext>
                <c:ext xmlns:c15="http://schemas.microsoft.com/office/drawing/2012/chart" uri="{CE6537A1-D6FC-4f65-9D91-7224C49458BB}"/>
              </c:extLst>
            </c:dLbl>
            <c:dLbl>
              <c:idx val="89"/>
              <c:layout>
                <c:manualLayout>
                  <c:x val="4.1043980309574844E-3"/>
                  <c:y val="-0.1091407624151365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4-EC71-4E50-9CD8-55990878A23A}"/>
                </c:ext>
                <c:ext xmlns:c15="http://schemas.microsoft.com/office/drawing/2012/chart" uri="{CE6537A1-D6FC-4f65-9D91-7224C49458BB}"/>
              </c:extLst>
            </c:dLbl>
            <c:dLbl>
              <c:idx val="90"/>
              <c:layout>
                <c:manualLayout>
                  <c:x val="2.7357626808276873E-3"/>
                  <c:y val="-9.434764026104260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5-EC71-4E50-9CD8-55990878A23A}"/>
                </c:ext>
                <c:ext xmlns:c15="http://schemas.microsoft.com/office/drawing/2012/chart" uri="{CE6537A1-D6FC-4f65-9D91-7224C49458BB}"/>
              </c:extLst>
            </c:dLbl>
            <c:dLbl>
              <c:idx val="91"/>
              <c:layout>
                <c:manualLayout>
                  <c:x val="2.7354734504340802E-3"/>
                  <c:y val="-9.854209538361695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6-EC71-4E50-9CD8-55990878A23A}"/>
                </c:ext>
                <c:ext xmlns:c15="http://schemas.microsoft.com/office/drawing/2012/chart" uri="{CE6537A1-D6FC-4f65-9D91-7224C49458BB}"/>
              </c:extLst>
            </c:dLbl>
            <c:dLbl>
              <c:idx val="93"/>
              <c:layout>
                <c:manualLayout>
                  <c:x val="4.1045023218250565E-3"/>
                  <c:y val="-7.579296719365470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7-EC71-4E50-9CD8-55990878A23A}"/>
                </c:ext>
                <c:ext xmlns:c15="http://schemas.microsoft.com/office/drawing/2012/chart" uri="{CE6537A1-D6FC-4f65-9D91-7224C49458BB}"/>
              </c:extLst>
            </c:dLbl>
            <c:dLbl>
              <c:idx val="97"/>
              <c:layout>
                <c:manualLayout>
                  <c:x val="2.7359781121751026E-3"/>
                  <c:y val="-5.911215951868244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8-EC71-4E50-9CD8-55990878A23A}"/>
                </c:ext>
                <c:ext xmlns:c15="http://schemas.microsoft.com/office/drawing/2012/chart" uri="{CE6537A1-D6FC-4f65-9D91-7224C49458BB}"/>
              </c:extLst>
            </c:dLbl>
            <c:dLbl>
              <c:idx val="100"/>
              <c:layout>
                <c:manualLayout>
                  <c:x val="4.3086269483072482E-7"/>
                  <c:y val="-7.573685335262103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9-EC71-4E50-9CD8-55990878A23A}"/>
                </c:ext>
                <c:ext xmlns:c15="http://schemas.microsoft.com/office/drawing/2012/chart" uri="{CE6537A1-D6FC-4f65-9D91-7224C49458BB}"/>
              </c:extLst>
            </c:dLbl>
            <c:dLbl>
              <c:idx val="103"/>
              <c:layout>
                <c:manualLayout>
                  <c:x val="5.4709867832868362E-3"/>
                  <c:y val="-4.856097841632008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A-EC71-4E50-9CD8-55990878A23A}"/>
                </c:ext>
                <c:ext xmlns:c15="http://schemas.microsoft.com/office/drawing/2012/chart" uri="{CE6537A1-D6FC-4f65-9D91-7224C49458BB}"/>
              </c:extLst>
            </c:dLbl>
            <c:dLbl>
              <c:idx val="105"/>
              <c:layout>
                <c:manualLayout>
                  <c:x val="-1.0031803856387847E-16"/>
                  <c:y val="-0.11951490145151487"/>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B-EC71-4E50-9CD8-55990878A23A}"/>
                </c:ext>
                <c:ext xmlns:c15="http://schemas.microsoft.com/office/drawing/2012/chart" uri="{CE6537A1-D6FC-4f65-9D91-7224C49458BB}"/>
              </c:extLst>
            </c:dLbl>
            <c:dLbl>
              <c:idx val="106"/>
              <c:layout>
                <c:manualLayout>
                  <c:x val="2.735547249480272E-3"/>
                  <c:y val="-7.568983939638032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C-EC71-4E50-9CD8-55990878A23A}"/>
                </c:ext>
                <c:ext xmlns:c15="http://schemas.microsoft.com/office/drawing/2012/chart" uri="{CE6537A1-D6FC-4f65-9D91-7224C49458BB}"/>
              </c:extLst>
            </c:dLbl>
            <c:dLbl>
              <c:idx val="107"/>
              <c:layout>
                <c:manualLayout>
                  <c:x val="8.2053491603563226E-3"/>
                  <c:y val="-2.766409678957144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D-EC71-4E50-9CD8-55990878A23A}"/>
                </c:ext>
                <c:ext xmlns:c15="http://schemas.microsoft.com/office/drawing/2012/chart" uri="{CE6537A1-D6FC-4f65-9D91-7224C49458BB}"/>
              </c:extLst>
            </c:dLbl>
            <c:dLbl>
              <c:idx val="109"/>
              <c:layout>
                <c:manualLayout>
                  <c:x val="8.2053435628236769E-3"/>
                  <c:y val="-2.567528824155196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E-EC71-4E50-9CD8-55990878A23A}"/>
                </c:ext>
                <c:ext xmlns:c15="http://schemas.microsoft.com/office/drawing/2012/chart" uri="{CE6537A1-D6FC-4f65-9D91-7224C49458BB}"/>
              </c:extLst>
            </c:dLbl>
            <c:dLbl>
              <c:idx val="111"/>
              <c:layout>
                <c:manualLayout>
                  <c:x val="4.1037517369152381E-3"/>
                  <c:y val="-1.7448424374928082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5F-EC71-4E50-9CD8-55990878A23A}"/>
                </c:ext>
                <c:ext xmlns:c15="http://schemas.microsoft.com/office/drawing/2012/chart" uri="{CE6537A1-D6FC-4f65-9D91-7224C49458BB}"/>
              </c:extLst>
            </c:dLbl>
            <c:dLbl>
              <c:idx val="112"/>
              <c:layout>
                <c:manualLayout>
                  <c:x val="6.8380375529981828E-3"/>
                  <c:y val="-7.792540017004916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0-EC71-4E50-9CD8-55990878A23A}"/>
                </c:ext>
                <c:ext xmlns:c15="http://schemas.microsoft.com/office/drawing/2012/chart" uri="{CE6537A1-D6FC-4f65-9D91-7224C49458BB}"/>
              </c:extLst>
            </c:dLbl>
            <c:dLbl>
              <c:idx val="113"/>
              <c:layout>
                <c:manualLayout>
                  <c:x val="6.8379298741503463E-3"/>
                  <c:y val="-2.566559461757436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1-EC71-4E50-9CD8-55990878A23A}"/>
                </c:ext>
                <c:ext xmlns:c15="http://schemas.microsoft.com/office/drawing/2012/chart" uri="{CE6537A1-D6FC-4f65-9D91-7224C49458BB}"/>
              </c:extLst>
            </c:dLbl>
            <c:dLbl>
              <c:idx val="114"/>
              <c:layout>
                <c:manualLayout>
                  <c:x val="4.1065482199339467E-3"/>
                  <c:y val="-8.402959019793887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2-EC71-4E50-9CD8-55990878A23A}"/>
                </c:ext>
                <c:ext xmlns:c15="http://schemas.microsoft.com/office/drawing/2012/chart" uri="{CE6537A1-D6FC-4f65-9D91-7224C49458BB}"/>
              </c:extLst>
            </c:dLbl>
            <c:dLbl>
              <c:idx val="115"/>
              <c:layout>
                <c:manualLayout>
                  <c:x val="1.3663617510073444E-3"/>
                  <c:y val="-7.783884758642747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3-EC71-4E50-9CD8-55990878A23A}"/>
                </c:ext>
                <c:ext xmlns:c15="http://schemas.microsoft.com/office/drawing/2012/chart" uri="{CE6537A1-D6FC-4f65-9D91-7224C49458BB}"/>
              </c:extLst>
            </c:dLbl>
            <c:dLbl>
              <c:idx val="116"/>
              <c:layout>
                <c:manualLayout>
                  <c:x val="6.8401982485723645E-3"/>
                  <c:y val="-7.17181829887088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4-EC71-4E50-9CD8-55990878A23A}"/>
                </c:ext>
                <c:ext xmlns:c15="http://schemas.microsoft.com/office/drawing/2012/chart" uri="{CE6537A1-D6FC-4f65-9D91-7224C49458BB}"/>
              </c:extLst>
            </c:dLbl>
            <c:dLbl>
              <c:idx val="117"/>
              <c:layout>
                <c:manualLayout>
                  <c:x val="6.841275241620497E-3"/>
                  <c:y val="-2.9931134199953378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5-EC71-4E50-9CD8-55990878A23A}"/>
                </c:ext>
                <c:ext xmlns:c15="http://schemas.microsoft.com/office/drawing/2012/chart" uri="{CE6537A1-D6FC-4f65-9D91-7224C49458BB}"/>
              </c:extLst>
            </c:dLbl>
            <c:dLbl>
              <c:idx val="118"/>
              <c:layout>
                <c:manualLayout>
                  <c:x val="2.1543134751568044E-7"/>
                  <c:y val="-7.771538474183427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6-EC71-4E50-9CD8-55990878A23A}"/>
                </c:ext>
                <c:ext xmlns:c15="http://schemas.microsoft.com/office/drawing/2012/chart" uri="{CE6537A1-D6FC-4f65-9D91-7224C49458BB}"/>
              </c:extLst>
            </c:dLbl>
            <c:dLbl>
              <c:idx val="119"/>
              <c:layout>
                <c:manualLayout>
                  <c:x val="4.1053674720208534E-3"/>
                  <c:y val="-5.8833692239409686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7-EC71-4E50-9CD8-55990878A23A}"/>
                </c:ext>
                <c:ext xmlns:c15="http://schemas.microsoft.com/office/drawing/2012/chart" uri="{CE6537A1-D6FC-4f65-9D91-7224C49458BB}"/>
              </c:extLst>
            </c:dLbl>
            <c:dLbl>
              <c:idx val="125"/>
              <c:layout>
                <c:manualLayout>
                  <c:x val="6.8381141139847263E-3"/>
                  <c:y val="-4.2245162987194447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8-EC71-4E50-9CD8-55990878A23A}"/>
                </c:ext>
                <c:ext xmlns:c15="http://schemas.microsoft.com/office/drawing/2012/chart" uri="{CE6537A1-D6FC-4f65-9D91-7224C49458BB}"/>
              </c:extLst>
            </c:dLbl>
            <c:dLbl>
              <c:idx val="126"/>
              <c:layout>
                <c:manualLayout>
                  <c:x val="4.1029977271992849E-3"/>
                  <c:y val="-4.433728403991255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9-EC71-4E50-9CD8-55990878A23A}"/>
                </c:ext>
                <c:ext xmlns:c15="http://schemas.microsoft.com/office/drawing/2012/chart" uri="{CE6537A1-D6FC-4f65-9D91-7224C49458BB}"/>
              </c:extLst>
            </c:dLbl>
            <c:dLbl>
              <c:idx val="127"/>
              <c:layout>
                <c:manualLayout>
                  <c:x val="4.101166560746254E-3"/>
                  <c:y val="-4.021090526523433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A-EC71-4E50-9CD8-55990878A23A}"/>
                </c:ext>
                <c:ext xmlns:c15="http://schemas.microsoft.com/office/drawing/2012/chart" uri="{CE6537A1-D6FC-4f65-9D91-7224C49458BB}"/>
              </c:extLst>
            </c:dLbl>
            <c:dLbl>
              <c:idx val="129"/>
              <c:layout>
                <c:manualLayout>
                  <c:x val="0"/>
                  <c:y val="-0.1070624496572583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B-EC71-4E50-9CD8-55990878A23A}"/>
                </c:ext>
                <c:ext xmlns:c15="http://schemas.microsoft.com/office/drawing/2012/chart" uri="{CE6537A1-D6FC-4f65-9D91-7224C49458BB}"/>
              </c:extLst>
            </c:dLbl>
            <c:dLbl>
              <c:idx val="130"/>
              <c:layout>
                <c:manualLayout>
                  <c:x val="-1.0031803856387847E-16"/>
                  <c:y val="-0.1404653724129995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C-EC71-4E50-9CD8-55990878A23A}"/>
                </c:ext>
                <c:ext xmlns:c15="http://schemas.microsoft.com/office/drawing/2012/chart" uri="{CE6537A1-D6FC-4f65-9D91-7224C49458BB}"/>
              </c:extLst>
            </c:dLbl>
            <c:dLbl>
              <c:idx val="133"/>
              <c:layout>
                <c:manualLayout>
                  <c:x val="4.1039671682626538E-3"/>
                  <c:y val="-0.1195885456906612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D-EC71-4E50-9CD8-55990878A23A}"/>
                </c:ext>
                <c:ext xmlns:c15="http://schemas.microsoft.com/office/drawing/2012/chart" uri="{CE6537A1-D6FC-4f65-9D91-7224C49458BB}"/>
              </c:extLst>
            </c:dLbl>
            <c:dLbl>
              <c:idx val="134"/>
              <c:layout>
                <c:manualLayout>
                  <c:x val="-2.0063607712775693E-16"/>
                  <c:y val="-3.399355612907468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E-EC71-4E50-9CD8-55990878A23A}"/>
                </c:ext>
                <c:ext xmlns:c15="http://schemas.microsoft.com/office/drawing/2012/chart" uri="{CE6537A1-D6FC-4f65-9D91-7224C49458BB}"/>
              </c:extLst>
            </c:dLbl>
            <c:dLbl>
              <c:idx val="135"/>
              <c:layout>
                <c:manualLayout>
                  <c:x val="6.8399452804377564E-3"/>
                  <c:y val="-3.190587345684101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6F-EC71-4E50-9CD8-55990878A23A}"/>
                </c:ext>
                <c:ext xmlns:c15="http://schemas.microsoft.com/office/drawing/2012/chart" uri="{CE6537A1-D6FC-4f65-9D91-7224C49458BB}"/>
              </c:extLst>
            </c:dLbl>
            <c:dLbl>
              <c:idx val="136"/>
              <c:layout>
                <c:manualLayout>
                  <c:x val="5.4719562243502051E-3"/>
                  <c:y val="-3.190587345684101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0-EC71-4E50-9CD8-55990878A23A}"/>
                </c:ext>
                <c:ext xmlns:c15="http://schemas.microsoft.com/office/drawing/2012/chart" uri="{CE6537A1-D6FC-4f65-9D91-7224C49458BB}"/>
              </c:extLst>
            </c:dLbl>
            <c:dLbl>
              <c:idx val="138"/>
              <c:layout>
                <c:manualLayout>
                  <c:x val="5.4719562243502051E-3"/>
                  <c:y val="-2.355514276790573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1-EC71-4E50-9CD8-55990878A23A}"/>
                </c:ext>
                <c:ext xmlns:c15="http://schemas.microsoft.com/office/drawing/2012/chart" uri="{CE6537A1-D6FC-4f65-9D91-7224C49458BB}"/>
              </c:extLst>
            </c:dLbl>
            <c:dLbl>
              <c:idx val="142"/>
              <c:layout>
                <c:manualLayout>
                  <c:x val="4.1039671682626538E-3"/>
                  <c:y val="-0.1195885456906612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2-EC71-4E50-9CD8-55990878A23A}"/>
                </c:ext>
                <c:ext xmlns:c15="http://schemas.microsoft.com/office/drawing/2012/chart" uri="{CE6537A1-D6FC-4f65-9D91-7224C49458BB}"/>
              </c:extLst>
            </c:dLbl>
            <c:dLbl>
              <c:idx val="143"/>
              <c:layout>
                <c:manualLayout>
                  <c:x val="1.094391244870041E-2"/>
                  <c:y val="-7.1571844229283449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3-EC71-4E50-9CD8-55990878A23A}"/>
                </c:ext>
                <c:ext xmlns:c15="http://schemas.microsoft.com/office/drawing/2012/chart" uri="{CE6537A1-D6FC-4f65-9D91-7224C49458BB}"/>
              </c:extLst>
            </c:dLbl>
            <c:dLbl>
              <c:idx val="144"/>
              <c:layout>
                <c:manualLayout>
                  <c:x val="2.7359781121751026E-3"/>
                  <c:y val="-0.11750086301842746"/>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4-EC71-4E50-9CD8-55990878A23A}"/>
                </c:ext>
                <c:ext xmlns:c15="http://schemas.microsoft.com/office/drawing/2012/chart" uri="{CE6537A1-D6FC-4f65-9D91-7224C49458BB}"/>
              </c:extLst>
            </c:dLbl>
            <c:dLbl>
              <c:idx val="145"/>
              <c:layout>
                <c:manualLayout>
                  <c:x val="9.575923392612859E-3"/>
                  <c:y val="-8.8273305607154171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5-EC71-4E50-9CD8-55990878A23A}"/>
                </c:ext>
                <c:ext xmlns:c15="http://schemas.microsoft.com/office/drawing/2012/chart" uri="{CE6537A1-D6FC-4f65-9D91-7224C49458BB}"/>
              </c:extLst>
            </c:dLbl>
            <c:dLbl>
              <c:idx val="148"/>
              <c:layout>
                <c:manualLayout>
                  <c:x val="1.3679890560874509E-3"/>
                  <c:y val="-0.2030958525800141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6-EC71-4E50-9CD8-55990878A23A}"/>
                </c:ext>
                <c:ext xmlns:c15="http://schemas.microsoft.com/office/drawing/2012/chart" uri="{CE6537A1-D6FC-4f65-9D91-7224C49458BB}"/>
              </c:extLst>
            </c:dLbl>
            <c:dLbl>
              <c:idx val="150"/>
              <c:layout>
                <c:manualLayout>
                  <c:x val="5.4719562243503057E-3"/>
                  <c:y val="-0.121676228362895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7-EC71-4E50-9CD8-55990878A23A}"/>
                </c:ext>
                <c:ext xmlns:c15="http://schemas.microsoft.com/office/drawing/2012/chart" uri="{CE6537A1-D6FC-4f65-9D91-7224C49458BB}"/>
              </c:extLst>
            </c:dLbl>
            <c:dLbl>
              <c:idx val="151"/>
              <c:layout>
                <c:manualLayout>
                  <c:x val="1.2311901504787962E-2"/>
                  <c:y val="-5.428994131474708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8-EC71-4E50-9CD8-55990878A23A}"/>
                </c:ext>
                <c:ext xmlns:c15="http://schemas.microsoft.com/office/drawing/2012/chart" uri="{CE6537A1-D6FC-4f65-9D91-7224C49458BB}"/>
              </c:extLst>
            </c:dLbl>
            <c:dLbl>
              <c:idx val="152"/>
              <c:layout>
                <c:manualLayout>
                  <c:x val="1.5047879616963064E-2"/>
                  <c:y val="-6.0552989331448544E-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9-EC71-4E50-9CD8-55990878A23A}"/>
                </c:ext>
                <c:ext xmlns:c15="http://schemas.microsoft.com/office/drawing/2012/chart" uri="{CE6537A1-D6FC-4f65-9D91-7224C49458BB}"/>
              </c:extLst>
            </c:dLbl>
            <c:dLbl>
              <c:idx val="153"/>
              <c:layout>
                <c:manualLayout>
                  <c:x val="4.1039671682626538E-3"/>
                  <c:y val="-0.12063238702677827"/>
                </c:manualLayout>
              </c:layout>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A-EC71-4E50-9CD8-55990878A23A}"/>
                </c:ext>
                <c:ext xmlns:c15="http://schemas.microsoft.com/office/drawing/2012/chart" uri="{CE6537A1-D6FC-4f65-9D91-7224C49458BB}">
                  <c15:layout>
                    <c:manualLayout>
                      <c:w val="4.3775649794801641E-2"/>
                      <c:h val="4.1336116910229648E-2"/>
                    </c:manualLayout>
                  </c15:layout>
                </c:ext>
              </c:extLst>
            </c:dLbl>
            <c:dLbl>
              <c:idx val="154"/>
              <c:layout>
                <c:manualLayout>
                  <c:x val="1.3679890560874509E-3"/>
                  <c:y val="-0.2038296648200812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B-EC71-4E50-9CD8-55990878A23A}"/>
                </c:ext>
                <c:ext xmlns:c15="http://schemas.microsoft.com/office/drawing/2012/chart" uri="{CE6537A1-D6FC-4f65-9D91-7224C49458BB}"/>
              </c:extLst>
            </c:dLbl>
            <c:dLbl>
              <c:idx val="155"/>
              <c:layout>
                <c:manualLayout>
                  <c:x val="1.3683122031086744E-3"/>
                  <c:y val="-0.20042838590896392"/>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C-EC71-4E50-9CD8-55990878A23A}"/>
                </c:ext>
                <c:ext xmlns:c15="http://schemas.microsoft.com/office/drawing/2012/chart" uri="{CE6537A1-D6FC-4f65-9D91-7224C49458BB}"/>
              </c:extLst>
            </c:dLbl>
            <c:dLbl>
              <c:idx val="156"/>
              <c:layout>
                <c:manualLayout>
                  <c:x val="4.1039671682626538E-3"/>
                  <c:y val="-0.12063567471602588"/>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D-EC71-4E50-9CD8-55990878A23A}"/>
                </c:ext>
                <c:ext xmlns:c15="http://schemas.microsoft.com/office/drawing/2012/chart" uri="{CE6537A1-D6FC-4f65-9D91-7224C49458BB}"/>
              </c:extLst>
            </c:dLbl>
            <c:dLbl>
              <c:idx val="157"/>
              <c:layout>
                <c:manualLayout>
                  <c:x val="1.368312203108574E-3"/>
                  <c:y val="-0.12276741242417774"/>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E-EC71-4E50-9CD8-55990878A23A}"/>
                </c:ext>
                <c:ext xmlns:c15="http://schemas.microsoft.com/office/drawing/2012/chart" uri="{CE6537A1-D6FC-4f65-9D91-7224C49458BB}"/>
              </c:extLst>
            </c:dLbl>
            <c:dLbl>
              <c:idx val="158"/>
              <c:layout>
                <c:manualLayout>
                  <c:x val="2.735687279856092E-2"/>
                  <c:y val="-0.1036223760130194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7F-EC71-4E50-9CD8-55990878A23A}"/>
                </c:ext>
                <c:ext xmlns:c15="http://schemas.microsoft.com/office/drawing/2012/chart" uri="{CE6537A1-D6FC-4f65-9D91-7224C49458BB}"/>
              </c:extLst>
            </c:dLbl>
            <c:dLbl>
              <c:idx val="159"/>
              <c:layout>
                <c:manualLayout>
                  <c:x val="1.3814119388921536E-3"/>
                  <c:y val="-0.14803806801145161"/>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0-EC71-4E50-9CD8-55990878A23A}"/>
                </c:ext>
                <c:ext xmlns:c15="http://schemas.microsoft.com/office/drawing/2012/chart" uri="{CE6537A1-D6FC-4f65-9D91-7224C49458BB}"/>
              </c:extLst>
            </c:dLbl>
            <c:dLbl>
              <c:idx val="160"/>
              <c:layout>
                <c:manualLayout>
                  <c:x val="2.7374116696951343E-3"/>
                  <c:y val="-0.202054062491014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1-EC71-4E50-9CD8-55990878A23A}"/>
                </c:ext>
                <c:ext xmlns:c15="http://schemas.microsoft.com/office/drawing/2012/chart" uri="{CE6537A1-D6FC-4f65-9D91-7224C49458BB}"/>
              </c:extLst>
            </c:dLbl>
            <c:dLbl>
              <c:idx val="161"/>
              <c:layout>
                <c:manualLayout>
                  <c:x val="8.2065340327672088E-3"/>
                  <c:y val="-0.11674773560403071"/>
                </c:manualLayout>
              </c:layout>
              <c:spPr>
                <a:noFill/>
                <a:ln>
                  <a:noFill/>
                </a:ln>
                <a:effectLst/>
              </c:spPr>
              <c:txPr>
                <a:bodyPr rot="0" spcFirstLastPara="1" vertOverflow="ellipsis" vert="horz" wrap="square" lIns="38100" tIns="19050" rIns="38100" bIns="19050" anchor="ctr" anchorCtr="1">
                  <a:no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2-EC71-4E50-9CD8-55990878A23A}"/>
                </c:ext>
                <c:ext xmlns:c15="http://schemas.microsoft.com/office/drawing/2012/chart" uri="{CE6537A1-D6FC-4f65-9D91-7224C49458BB}">
                  <c15:layout>
                    <c:manualLayout>
                      <c:w val="3.4188034188034191E-2"/>
                      <c:h val="3.9115731516276876E-2"/>
                    </c:manualLayout>
                  </c15:layout>
                </c:ext>
              </c:extLst>
            </c:dLbl>
            <c:dLbl>
              <c:idx val="162"/>
              <c:layout>
                <c:manualLayout>
                  <c:x val="2.7341469457220721E-3"/>
                  <c:y val="-0.10704387421300939"/>
                </c:manualLayout>
              </c:layout>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3-EC71-4E50-9CD8-55990878A2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'cet.'!$F$5:$F$30</c:f>
              <c:strCache>
                <c:ptCount val="19"/>
                <c:pt idx="0">
                  <c:v>2016. II.</c:v>
                </c:pt>
                <c:pt idx="1">
                  <c:v>2016. III.</c:v>
                </c:pt>
                <c:pt idx="2">
                  <c:v>2016. IV.</c:v>
                </c:pt>
                <c:pt idx="3">
                  <c:v>2017. I.</c:v>
                </c:pt>
                <c:pt idx="4">
                  <c:v>2017. II.</c:v>
                </c:pt>
                <c:pt idx="5">
                  <c:v>2017. III.</c:v>
                </c:pt>
                <c:pt idx="6">
                  <c:v>2017. IV.</c:v>
                </c:pt>
                <c:pt idx="7">
                  <c:v>2018. I</c:v>
                </c:pt>
                <c:pt idx="8">
                  <c:v>2018. II</c:v>
                </c:pt>
                <c:pt idx="9">
                  <c:v>2018. III</c:v>
                </c:pt>
                <c:pt idx="10">
                  <c:v>2018. IV</c:v>
                </c:pt>
                <c:pt idx="11">
                  <c:v>2019. I</c:v>
                </c:pt>
                <c:pt idx="12">
                  <c:v>2019. II</c:v>
                </c:pt>
                <c:pt idx="13">
                  <c:v>2019. III</c:v>
                </c:pt>
                <c:pt idx="14">
                  <c:v>2019. IV</c:v>
                </c:pt>
                <c:pt idx="15">
                  <c:v>2020. I</c:v>
                </c:pt>
                <c:pt idx="16">
                  <c:v>2020. II</c:v>
                </c:pt>
                <c:pt idx="17">
                  <c:v>2020. III</c:v>
                </c:pt>
                <c:pt idx="18">
                  <c:v>2020. IV</c:v>
                </c:pt>
              </c:strCache>
              <c:extLst xmlns:c16r2="http://schemas.microsoft.com/office/drawing/2015/06/chart"/>
            </c:strRef>
          </c:cat>
          <c:val>
            <c:numRef>
              <c:f>'cet.'!$J$6:$J$30</c:f>
              <c:numCache>
                <c:formatCode>General</c:formatCode>
                <c:ptCount val="19"/>
                <c:pt idx="7" formatCode="0">
                  <c:v>16</c:v>
                </c:pt>
                <c:pt idx="8" formatCode="0">
                  <c:v>143</c:v>
                </c:pt>
                <c:pt idx="9" formatCode="0">
                  <c:v>253.00633999999999</c:v>
                </c:pt>
                <c:pt idx="10" formatCode="0">
                  <c:v>340.2</c:v>
                </c:pt>
                <c:pt idx="11" formatCode="0">
                  <c:v>365.06076000000002</c:v>
                </c:pt>
                <c:pt idx="12" formatCode="0">
                  <c:v>484.00599999999997</c:v>
                </c:pt>
                <c:pt idx="13" formatCode="0">
                  <c:v>661.28542000000004</c:v>
                </c:pt>
                <c:pt idx="14" formatCode="0">
                  <c:v>667.58040000000005</c:v>
                </c:pt>
                <c:pt idx="15" formatCode="0">
                  <c:v>415.005</c:v>
                </c:pt>
                <c:pt idx="16" formatCode="0">
                  <c:v>279.64999999999998</c:v>
                </c:pt>
                <c:pt idx="17" formatCode="0">
                  <c:v>634.08348999999998</c:v>
                </c:pt>
                <c:pt idx="18" formatCode="0">
                  <c:v>460.16</c:v>
                </c:pt>
              </c:numCache>
              <c:extLst xmlns:c16r2="http://schemas.microsoft.com/office/drawing/2015/06/chart"/>
            </c:numRef>
          </c:val>
          <c:extLst xmlns:c16r2="http://schemas.microsoft.com/office/drawing/2015/06/chart">
            <c:ext xmlns:c16="http://schemas.microsoft.com/office/drawing/2014/chart" uri="{C3380CC4-5D6E-409C-BE32-E72D297353CC}">
              <c16:uniqueId val="{00000084-EC71-4E50-9CD8-55990878A23A}"/>
            </c:ext>
          </c:extLst>
        </c:ser>
        <c:dLbls>
          <c:showLegendKey val="0"/>
          <c:showVal val="0"/>
          <c:showCatName val="0"/>
          <c:showSerName val="0"/>
          <c:showPercent val="0"/>
          <c:showBubbleSize val="0"/>
        </c:dLbls>
        <c:gapWidth val="60"/>
        <c:overlap val="100"/>
        <c:axId val="332760352"/>
        <c:axId val="332760744"/>
      </c:barChart>
      <c:lineChart>
        <c:grouping val="standard"/>
        <c:varyColors val="0"/>
        <c:ser>
          <c:idx val="0"/>
          <c:order val="0"/>
          <c:tx>
            <c:strRef>
              <c:f>'cet.'!$G$4</c:f>
              <c:strCache>
                <c:ptCount val="1"/>
                <c:pt idx="0">
                  <c:v>Pirmreizējo TUA iemaksu skaits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17"/>
              <c:layout>
                <c:manualLayout>
                  <c:x val="-2.3223158349535537E-2"/>
                  <c:y val="-2.69586662874462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C3-EC71-4E50-9CD8-55990878A23A}"/>
                </c:ext>
                <c:ext xmlns:c15="http://schemas.microsoft.com/office/drawing/2012/chart" uri="{CE6537A1-D6FC-4f65-9D91-7224C49458BB}"/>
              </c:extLst>
            </c:dLbl>
            <c:dLbl>
              <c:idx val="91"/>
              <c:layout>
                <c:manualLayout>
                  <c:x val="-7.0125968813724987E-3"/>
                  <c:y val="-1.88884204718055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5-EC71-4E50-9CD8-55990878A23A}"/>
                </c:ext>
                <c:ext xmlns:c15="http://schemas.microsoft.com/office/drawing/2012/chart" uri="{CE6537A1-D6FC-4f65-9D91-7224C49458BB}"/>
              </c:extLst>
            </c:dLbl>
            <c:dLbl>
              <c:idx val="94"/>
              <c:layout>
                <c:manualLayout>
                  <c:x val="-1.5213729053099232E-2"/>
                  <c:y val="-2.093888498679464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6-EC71-4E50-9CD8-55990878A23A}"/>
                </c:ext>
                <c:ext xmlns:c15="http://schemas.microsoft.com/office/drawing/2012/chart" uri="{CE6537A1-D6FC-4f65-9D91-7224C49458BB}"/>
              </c:extLst>
            </c:dLbl>
            <c:dLbl>
              <c:idx val="96"/>
              <c:layout>
                <c:manualLayout>
                  <c:x val="-1.5218932106810962E-2"/>
                  <c:y val="-1.677444807916755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7-EC71-4E50-9CD8-55990878A23A}"/>
                </c:ext>
                <c:ext xmlns:c15="http://schemas.microsoft.com/office/drawing/2012/chart" uri="{CE6537A1-D6FC-4f65-9D91-7224C49458BB}"/>
              </c:extLst>
            </c:dLbl>
            <c:dLbl>
              <c:idx val="97"/>
              <c:layout>
                <c:manualLayout>
                  <c:x val="-1.2482953994635759E-2"/>
                  <c:y val="-2.30374960958690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8-EC71-4E50-9CD8-55990878A23A}"/>
                </c:ext>
                <c:ext xmlns:c15="http://schemas.microsoft.com/office/drawing/2012/chart" uri="{CE6537A1-D6FC-4f65-9D91-7224C49458BB}"/>
              </c:extLst>
            </c:dLbl>
            <c:dLbl>
              <c:idx val="99"/>
              <c:layout>
                <c:manualLayout>
                  <c:x val="-1.5213729053099131E-2"/>
                  <c:y val="-2.093888498679449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9-EC71-4E50-9CD8-55990878A23A}"/>
                </c:ext>
                <c:ext xmlns:c15="http://schemas.microsoft.com/office/drawing/2012/chart" uri="{CE6537A1-D6FC-4f65-9D91-7224C49458BB}"/>
              </c:extLst>
            </c:dLbl>
            <c:dLbl>
              <c:idx val="100"/>
              <c:layout>
                <c:manualLayout>
                  <c:x val="-8.3789868263731051E-3"/>
                  <c:y val="-1.88621307514013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A-EC71-4E50-9CD8-55990878A23A}"/>
                </c:ext>
                <c:ext xmlns:c15="http://schemas.microsoft.com/office/drawing/2012/chart" uri="{CE6537A1-D6FC-4f65-9D91-7224C49458BB}"/>
              </c:extLst>
            </c:dLbl>
            <c:dLbl>
              <c:idx val="101"/>
              <c:layout>
                <c:manualLayout>
                  <c:x val="-1.6586921162898612E-2"/>
                  <c:y val="-1.46867654069337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B-EC71-4E50-9CD8-55990878A23A}"/>
                </c:ext>
                <c:ext xmlns:c15="http://schemas.microsoft.com/office/drawing/2012/chart" uri="{CE6537A1-D6FC-4f65-9D91-7224C49458BB}"/>
              </c:extLst>
            </c:dLbl>
            <c:dLbl>
              <c:idx val="116"/>
              <c:layout>
                <c:manualLayout>
                  <c:x val="-1.1113275867138461E-2"/>
                  <c:y val="-2.30161420436780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C-EC71-4E50-9CD8-55990878A23A}"/>
                </c:ext>
                <c:ext xmlns:c15="http://schemas.microsoft.com/office/drawing/2012/chart" uri="{CE6537A1-D6FC-4f65-9D91-7224C49458BB}"/>
              </c:extLst>
            </c:dLbl>
            <c:dLbl>
              <c:idx val="118"/>
              <c:layout>
                <c:manualLayout>
                  <c:x val="-8.3789868263731051E-3"/>
                  <c:y val="-1.88621307514013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D-EC71-4E50-9CD8-55990878A23A}"/>
                </c:ext>
                <c:ext xmlns:c15="http://schemas.microsoft.com/office/drawing/2012/chart" uri="{CE6537A1-D6FC-4f65-9D91-7224C49458BB}"/>
              </c:extLst>
            </c:dLbl>
            <c:dLbl>
              <c:idx val="120"/>
              <c:layout>
                <c:manualLayout>
                  <c:x val="-1.1117500107471092E-2"/>
                  <c:y val="-1.888842047180571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E-EC71-4E50-9CD8-55990878A23A}"/>
                </c:ext>
                <c:ext xmlns:c15="http://schemas.microsoft.com/office/drawing/2012/chart" uri="{CE6537A1-D6FC-4f65-9D91-7224C49458BB}"/>
              </c:extLst>
            </c:dLbl>
            <c:dLbl>
              <c:idx val="123"/>
              <c:layout>
                <c:manualLayout>
                  <c:x val="-1.2482953994635759E-2"/>
                  <c:y val="-1.677444807916771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8F-EC71-4E50-9CD8-55990878A23A}"/>
                </c:ext>
                <c:ext xmlns:c15="http://schemas.microsoft.com/office/drawing/2012/chart" uri="{CE6537A1-D6FC-4f65-9D91-7224C49458BB}"/>
              </c:extLst>
            </c:dLbl>
            <c:dLbl>
              <c:idx val="125"/>
              <c:layout>
                <c:manualLayout>
                  <c:x val="-1.2482953994635759E-2"/>
                  <c:y val="-2.0949813423635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0-EC71-4E50-9CD8-55990878A23A}"/>
                </c:ext>
                <c:ext xmlns:c15="http://schemas.microsoft.com/office/drawing/2012/chart" uri="{CE6537A1-D6FC-4f65-9D91-7224C49458BB}"/>
              </c:extLst>
            </c:dLbl>
            <c:dLbl>
              <c:idx val="127"/>
              <c:layout>
                <c:manualLayout>
                  <c:x val="-1.5218932106810861E-2"/>
                  <c:y val="-2.09498134236353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1-EC71-4E50-9CD8-55990878A23A}"/>
                </c:ext>
                <c:ext xmlns:c15="http://schemas.microsoft.com/office/drawing/2012/chart" uri="{CE6537A1-D6FC-4f65-9D91-7224C49458BB}"/>
              </c:extLst>
            </c:dLbl>
            <c:dLbl>
              <c:idx val="158"/>
              <c:layout>
                <c:manualLayout>
                  <c:x val="-1.4349999887008075E-2"/>
                  <c:y val="-2.060406132547386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2-EC71-4E50-9CD8-55990878A23A}"/>
                </c:ext>
                <c:ext xmlns:c15="http://schemas.microsoft.com/office/drawing/2012/chart" uri="{CE6537A1-D6FC-4f65-9D91-7224C49458BB}"/>
              </c:extLst>
            </c:dLbl>
            <c:dLbl>
              <c:idx val="159"/>
              <c:layout>
                <c:manualLayout>
                  <c:x val="-1.7089278856175758E-2"/>
                  <c:y val="-2.477066929133873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3-EC71-4E50-9CD8-55990878A23A}"/>
                </c:ext>
                <c:ext xmlns:c15="http://schemas.microsoft.com/office/drawing/2012/chart" uri="{CE6537A1-D6FC-4f65-9D91-7224C49458BB}"/>
              </c:extLst>
            </c:dLbl>
            <c:dLbl>
              <c:idx val="160"/>
              <c:layout>
                <c:manualLayout>
                  <c:x val="-1.8628342830321318E-2"/>
                  <c:y val="-2.8193422097904298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4-EC71-4E50-9CD8-55990878A23A}"/>
                </c:ext>
                <c:ext xmlns:c15="http://schemas.microsoft.com/office/drawing/2012/chart" uri="{CE6537A1-D6FC-4f65-9D91-7224C49458BB}">
                  <c15:layout>
                    <c:manualLayout>
                      <c:w val="2.9395268120802117E-2"/>
                      <c:h val="4.5966890731937077E-2"/>
                    </c:manualLayout>
                  </c15:layout>
                </c:ext>
              </c:extLst>
            </c:dLbl>
            <c:dLbl>
              <c:idx val="161"/>
              <c:layout>
                <c:manualLayout>
                  <c:x val="-1.45325446846743E-2"/>
                  <c:y val="-1.5685531496062992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5-EC71-4E50-9CD8-55990878A23A}"/>
                </c:ext>
                <c:ext xmlns:c15="http://schemas.microsoft.com/office/drawing/2012/chart" uri="{CE6537A1-D6FC-4f65-9D91-7224C49458BB}">
                  <c15:layout>
                    <c:manualLayout>
                      <c:w val="2.4961042472727037E-2"/>
                      <c:h val="2.9274442257217849E-2"/>
                    </c:manualLayout>
                  </c15:layout>
                </c:ext>
              </c:extLst>
            </c:dLbl>
            <c:dLbl>
              <c:idx val="162"/>
              <c:layout>
                <c:manualLayout>
                  <c:x val="-1.3846207685577764E-2"/>
                  <c:y val="-1.676569771501582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6-EC71-4E50-9CD8-55990878A2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'cet.'!$F$5:$F$30</c:f>
              <c:strCache>
                <c:ptCount val="19"/>
                <c:pt idx="0">
                  <c:v>2016. II.</c:v>
                </c:pt>
                <c:pt idx="1">
                  <c:v>2016. III.</c:v>
                </c:pt>
                <c:pt idx="2">
                  <c:v>2016. IV.</c:v>
                </c:pt>
                <c:pt idx="3">
                  <c:v>2017. I.</c:v>
                </c:pt>
                <c:pt idx="4">
                  <c:v>2017. II.</c:v>
                </c:pt>
                <c:pt idx="5">
                  <c:v>2017. III.</c:v>
                </c:pt>
                <c:pt idx="6">
                  <c:v>2017. IV.</c:v>
                </c:pt>
                <c:pt idx="7">
                  <c:v>2018. I</c:v>
                </c:pt>
                <c:pt idx="8">
                  <c:v>2018. II</c:v>
                </c:pt>
                <c:pt idx="9">
                  <c:v>2018. III</c:v>
                </c:pt>
                <c:pt idx="10">
                  <c:v>2018. IV</c:v>
                </c:pt>
                <c:pt idx="11">
                  <c:v>2019. I</c:v>
                </c:pt>
                <c:pt idx="12">
                  <c:v>2019. II</c:v>
                </c:pt>
                <c:pt idx="13">
                  <c:v>2019. III</c:v>
                </c:pt>
                <c:pt idx="14">
                  <c:v>2019. IV</c:v>
                </c:pt>
                <c:pt idx="15">
                  <c:v>2020. I</c:v>
                </c:pt>
                <c:pt idx="16">
                  <c:v>2020. II</c:v>
                </c:pt>
                <c:pt idx="17">
                  <c:v>2020. III</c:v>
                </c:pt>
                <c:pt idx="18">
                  <c:v>2020. IV</c:v>
                </c:pt>
              </c:strCache>
              <c:extLst xmlns:c16r2="http://schemas.microsoft.com/office/drawing/2015/06/chart"/>
            </c:strRef>
          </c:cat>
          <c:val>
            <c:numRef>
              <c:f>'cet.'!$G$6:$G$30</c:f>
              <c:numCache>
                <c:formatCode>General</c:formatCode>
                <c:ptCount val="19"/>
                <c:pt idx="0">
                  <c:v>31</c:v>
                </c:pt>
                <c:pt idx="1">
                  <c:v>57</c:v>
                </c:pt>
                <c:pt idx="2">
                  <c:v>40</c:v>
                </c:pt>
                <c:pt idx="3">
                  <c:v>33</c:v>
                </c:pt>
                <c:pt idx="4">
                  <c:v>34</c:v>
                </c:pt>
                <c:pt idx="5">
                  <c:v>29</c:v>
                </c:pt>
                <c:pt idx="6">
                  <c:v>37</c:v>
                </c:pt>
                <c:pt idx="7">
                  <c:v>38</c:v>
                </c:pt>
                <c:pt idx="8">
                  <c:v>44</c:v>
                </c:pt>
                <c:pt idx="9">
                  <c:v>48</c:v>
                </c:pt>
                <c:pt idx="10">
                  <c:v>39</c:v>
                </c:pt>
                <c:pt idx="11">
                  <c:v>49</c:v>
                </c:pt>
                <c:pt idx="12">
                  <c:v>50</c:v>
                </c:pt>
                <c:pt idx="13">
                  <c:v>28</c:v>
                </c:pt>
                <c:pt idx="14">
                  <c:v>41</c:v>
                </c:pt>
                <c:pt idx="15">
                  <c:v>33</c:v>
                </c:pt>
                <c:pt idx="16">
                  <c:v>7</c:v>
                </c:pt>
                <c:pt idx="17">
                  <c:v>14</c:v>
                </c:pt>
                <c:pt idx="18">
                  <c:v>25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97-EC71-4E50-9CD8-55990878A23A}"/>
            </c:ext>
          </c:extLst>
        </c:ser>
        <c:ser>
          <c:idx val="1"/>
          <c:order val="1"/>
          <c:tx>
            <c:strRef>
              <c:f>'cet.'!$H$4</c:f>
              <c:strCache>
                <c:ptCount val="1"/>
                <c:pt idx="0">
                  <c:v>Atkārtoto TUA iemaksu skaits</c:v>
                </c:pt>
              </c:strCache>
            </c:strRef>
          </c:tx>
          <c:spPr>
            <a:ln w="28575" cap="rnd">
              <a:solidFill>
                <a:srgbClr val="FF0000"/>
              </a:solidFill>
              <a:prstDash val="dash"/>
              <a:round/>
            </a:ln>
            <a:effectLst/>
          </c:spPr>
          <c:marker>
            <c:symbol val="circle"/>
            <c:size val="5"/>
            <c:spPr>
              <a:solidFill>
                <a:srgbClr val="FF0000"/>
              </a:solidFill>
              <a:ln w="28575">
                <a:solidFill>
                  <a:srgbClr val="FF0000"/>
                </a:solidFill>
                <a:prstDash val="dash"/>
              </a:ln>
              <a:effectLst/>
            </c:spPr>
          </c:marker>
          <c:dLbls>
            <c:dLbl>
              <c:idx val="11"/>
              <c:layout>
                <c:manualLayout>
                  <c:x val="-5.0766904298984741E-2"/>
                  <c:y val="-2.968827313211287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F-EC71-4E50-9CD8-55990878A23A}"/>
                </c:ext>
                <c:ext xmlns:c15="http://schemas.microsoft.com/office/drawing/2012/chart" uri="{CE6537A1-D6FC-4f65-9D91-7224C49458BB}"/>
              </c:extLst>
            </c:dLbl>
            <c:dLbl>
              <c:idx val="12"/>
              <c:layout>
                <c:manualLayout>
                  <c:x val="-5.0766904298984741E-2"/>
                  <c:y val="-3.29869701467920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E-EC71-4E50-9CD8-55990878A23A}"/>
                </c:ext>
                <c:ext xmlns:c15="http://schemas.microsoft.com/office/drawing/2012/chart" uri="{CE6537A1-D6FC-4f65-9D91-7224C49458BB}"/>
              </c:extLst>
            </c:dLbl>
            <c:dLbl>
              <c:idx val="13"/>
              <c:layout>
                <c:manualLayout>
                  <c:x val="-5.0766904298984665E-2"/>
                  <c:y val="-2.638957611743361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C0-EC71-4E50-9CD8-55990878A23A}"/>
                </c:ext>
                <c:ext xmlns:c15="http://schemas.microsoft.com/office/drawing/2012/chart" uri="{CE6537A1-D6FC-4f65-9D91-7224C49458BB}"/>
              </c:extLst>
            </c:dLbl>
            <c:dLbl>
              <c:idx val="17"/>
              <c:layout>
                <c:manualLayout>
                  <c:x val="-3.1324260099373516E-2"/>
                  <c:y val="2.96882731321128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C1-EC71-4E50-9CD8-55990878A23A}"/>
                </c:ext>
                <c:ext xmlns:c15="http://schemas.microsoft.com/office/drawing/2012/chart" uri="{CE6537A1-D6FC-4f65-9D91-7224C49458BB}"/>
              </c:extLst>
            </c:dLbl>
            <c:dLbl>
              <c:idx val="70"/>
              <c:layout>
                <c:manualLayout>
                  <c:x val="-3.4871794871795071E-2"/>
                  <c:y val="-3.964527908189879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8-EC71-4E50-9CD8-55990878A23A}"/>
                </c:ext>
                <c:ext xmlns:c15="http://schemas.microsoft.com/office/drawing/2012/chart" uri="{CE6537A1-D6FC-4f65-9D91-7224C49458BB}"/>
              </c:extLst>
            </c:dLbl>
            <c:dLbl>
              <c:idx val="72"/>
              <c:layout>
                <c:manualLayout>
                  <c:x val="-3.1111111111111211E-2"/>
                  <c:y val="-2.29615124289664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9-EC71-4E50-9CD8-55990878A23A}"/>
                </c:ext>
                <c:ext xmlns:c15="http://schemas.microsoft.com/office/drawing/2012/chart" uri="{CE6537A1-D6FC-4f65-9D91-7224C49458BB}"/>
              </c:extLst>
            </c:dLbl>
            <c:dLbl>
              <c:idx val="73"/>
              <c:layout>
                <c:manualLayout>
                  <c:x val="-3.6581196581196684E-2"/>
                  <c:y val="-3.131115331222693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A-EC71-4E50-9CD8-55990878A23A}"/>
                </c:ext>
                <c:ext xmlns:c15="http://schemas.microsoft.com/office/drawing/2012/chart" uri="{CE6537A1-D6FC-4f65-9D91-7224C49458BB}"/>
              </c:extLst>
            </c:dLbl>
            <c:dLbl>
              <c:idx val="77"/>
              <c:layout>
                <c:manualLayout>
                  <c:x val="-2.8376068376068375E-2"/>
                  <c:y val="2.29525299947835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B-EC71-4E50-9CD8-55990878A23A}"/>
                </c:ext>
                <c:ext xmlns:c15="http://schemas.microsoft.com/office/drawing/2012/chart" uri="{CE6537A1-D6FC-4f65-9D91-7224C49458BB}"/>
              </c:extLst>
            </c:dLbl>
            <c:dLbl>
              <c:idx val="78"/>
              <c:layout>
                <c:manualLayout>
                  <c:x val="-2.5641025641025741E-2"/>
                  <c:y val="2.504892264978146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C-EC71-4E50-9CD8-55990878A23A}"/>
                </c:ext>
                <c:ext xmlns:c15="http://schemas.microsoft.com/office/drawing/2012/chart" uri="{CE6537A1-D6FC-4f65-9D91-7224C49458BB}"/>
              </c:extLst>
            </c:dLbl>
            <c:dLbl>
              <c:idx val="83"/>
              <c:layout>
                <c:manualLayout>
                  <c:x val="-3.9338655916776266E-2"/>
                  <c:y val="-2.299651694128875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D-EC71-4E50-9CD8-55990878A23A}"/>
                </c:ext>
                <c:ext xmlns:c15="http://schemas.microsoft.com/office/drawing/2012/chart" uri="{CE6537A1-D6FC-4f65-9D91-7224C49458BB}"/>
              </c:extLst>
            </c:dLbl>
            <c:dLbl>
              <c:idx val="84"/>
              <c:layout>
                <c:manualLayout>
                  <c:x val="-3.6602001357217591E-2"/>
                  <c:y val="-3.76016306938668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E-EC71-4E50-9CD8-55990878A23A}"/>
                </c:ext>
                <c:ext xmlns:c15="http://schemas.microsoft.com/office/drawing/2012/chart" uri="{CE6537A1-D6FC-4f65-9D91-7224C49458BB}"/>
              </c:extLst>
            </c:dLbl>
            <c:dLbl>
              <c:idx val="85"/>
              <c:layout>
                <c:manualLayout>
                  <c:x val="-3.9338655916776266E-2"/>
                  <c:y val="-1.881533204287261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9F-EC71-4E50-9CD8-55990878A23A}"/>
                </c:ext>
                <c:ext xmlns:c15="http://schemas.microsoft.com/office/drawing/2012/chart" uri="{CE6537A1-D6FC-4f65-9D91-7224C49458BB}"/>
              </c:extLst>
            </c:dLbl>
            <c:dLbl>
              <c:idx val="86"/>
              <c:layout>
                <c:manualLayout>
                  <c:x val="-3.2497150539945611E-2"/>
                  <c:y val="-2.717770183970489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0-EC71-4E50-9CD8-55990878A23A}"/>
                </c:ext>
                <c:ext xmlns:c15="http://schemas.microsoft.com/office/drawing/2012/chart" uri="{CE6537A1-D6FC-4f65-9D91-7224C49458BB}"/>
              </c:extLst>
            </c:dLbl>
            <c:dLbl>
              <c:idx val="87"/>
              <c:layout>
                <c:manualLayout>
                  <c:x val="-3.7970354841410238E-2"/>
                  <c:y val="-1.672473959366458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1-EC71-4E50-9CD8-55990878A23A}"/>
                </c:ext>
                <c:ext xmlns:c15="http://schemas.microsoft.com/office/drawing/2012/chart" uri="{CE6537A1-D6FC-4f65-9D91-7224C49458BB}"/>
              </c:extLst>
            </c:dLbl>
            <c:dLbl>
              <c:idx val="88"/>
              <c:layout>
                <c:manualLayout>
                  <c:x val="-3.93296853625172E-2"/>
                  <c:y val="2.087682672233812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2-EC71-4E50-9CD8-55990878A23A}"/>
                </c:ext>
                <c:ext xmlns:c15="http://schemas.microsoft.com/office/drawing/2012/chart" uri="{CE6537A1-D6FC-4f65-9D91-7224C49458BB}"/>
              </c:extLst>
            </c:dLbl>
            <c:dLbl>
              <c:idx val="90"/>
              <c:layout>
                <c:manualLayout>
                  <c:x val="-4.0705968525480141E-2"/>
                  <c:y val="-2.08419772163135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3-EC71-4E50-9CD8-55990878A23A}"/>
                </c:ext>
                <c:ext xmlns:c15="http://schemas.microsoft.com/office/drawing/2012/chart" uri="{CE6537A1-D6FC-4f65-9D91-7224C49458BB}"/>
              </c:extLst>
            </c:dLbl>
            <c:dLbl>
              <c:idx val="91"/>
              <c:layout>
                <c:manualLayout>
                  <c:x val="-3.1127262938286559E-2"/>
                  <c:y val="-2.707379887373240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4-EC71-4E50-9CD8-55990878A23A}"/>
                </c:ext>
                <c:ext xmlns:c15="http://schemas.microsoft.com/office/drawing/2012/chart" uri="{CE6537A1-D6FC-4f65-9D91-7224C49458BB}"/>
              </c:extLst>
            </c:dLbl>
            <c:dLbl>
              <c:idx val="92"/>
              <c:layout>
                <c:manualLayout>
                  <c:x val="-4.4811860218240789E-2"/>
                  <c:y val="-1.881533204287269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5-EC71-4E50-9CD8-55990878A23A}"/>
                </c:ext>
                <c:ext xmlns:c15="http://schemas.microsoft.com/office/drawing/2012/chart" uri="{CE6537A1-D6FC-4f65-9D91-7224C49458BB}"/>
              </c:extLst>
            </c:dLbl>
            <c:dLbl>
              <c:idx val="93"/>
              <c:layout>
                <c:manualLayout>
                  <c:x val="-4.205128205128205E-2"/>
                  <c:y val="-2.295252999478351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6-EC71-4E50-9CD8-55990878A23A}"/>
                </c:ext>
                <c:ext xmlns:c15="http://schemas.microsoft.com/office/drawing/2012/chart" uri="{CE6537A1-D6FC-4f65-9D91-7224C49458BB}"/>
              </c:extLst>
            </c:dLbl>
            <c:dLbl>
              <c:idx val="97"/>
              <c:layout>
                <c:manualLayout>
                  <c:x val="-9.2339261285909711E-3"/>
                  <c:y val="-1.670146137787064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7-EC71-4E50-9CD8-55990878A23A}"/>
                </c:ext>
                <c:ext xmlns:c15="http://schemas.microsoft.com/office/drawing/2012/chart" uri="{CE6537A1-D6FC-4f65-9D91-7224C49458BB}"/>
              </c:extLst>
            </c:dLbl>
            <c:dLbl>
              <c:idx val="98"/>
              <c:layout>
                <c:manualLayout>
                  <c:x val="-3.7948717948718048E-2"/>
                  <c:y val="-1.25195618153365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8-EC71-4E50-9CD8-55990878A23A}"/>
                </c:ext>
                <c:ext xmlns:c15="http://schemas.microsoft.com/office/drawing/2012/chart" uri="{CE6537A1-D6FC-4f65-9D91-7224C49458BB}"/>
              </c:extLst>
            </c:dLbl>
            <c:dLbl>
              <c:idx val="109"/>
              <c:layout>
                <c:manualLayout>
                  <c:x val="-4.205128205128205E-2"/>
                  <c:y val="-2.503912363067300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9-EC71-4E50-9CD8-55990878A23A}"/>
                </c:ext>
                <c:ext xmlns:c15="http://schemas.microsoft.com/office/drawing/2012/chart" uri="{CE6537A1-D6FC-4f65-9D91-7224C49458BB}"/>
              </c:extLst>
            </c:dLbl>
            <c:dLbl>
              <c:idx val="110"/>
              <c:layout>
                <c:manualLayout>
                  <c:x val="-3.7970354841410134E-2"/>
                  <c:y val="-3.344947918732910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A-EC71-4E50-9CD8-55990878A23A}"/>
                </c:ext>
                <c:ext xmlns:c15="http://schemas.microsoft.com/office/drawing/2012/chart" uri="{CE6537A1-D6FC-4f65-9D91-7224C49458BB}"/>
              </c:extLst>
            </c:dLbl>
            <c:dLbl>
              <c:idx val="120"/>
              <c:layout>
                <c:manualLayout>
                  <c:x val="-3.7970354841410335E-2"/>
                  <c:y val="0"/>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B-EC71-4E50-9CD8-55990878A23A}"/>
                </c:ext>
                <c:ext xmlns:c15="http://schemas.microsoft.com/office/drawing/2012/chart" uri="{CE6537A1-D6FC-4f65-9D91-7224C49458BB}"/>
              </c:extLst>
            </c:dLbl>
            <c:dLbl>
              <c:idx val="133"/>
              <c:layout>
                <c:manualLayout>
                  <c:x val="-3.6593707250342097E-2"/>
                  <c:y val="-2.92275574112735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C-EC71-4E50-9CD8-55990878A23A}"/>
                </c:ext>
                <c:ext xmlns:c15="http://schemas.microsoft.com/office/drawing/2012/chart" uri="{CE6537A1-D6FC-4f65-9D91-7224C49458BB}"/>
              </c:extLst>
            </c:dLbl>
            <c:dLbl>
              <c:idx val="139"/>
              <c:layout>
                <c:manualLayout>
                  <c:x val="-3.7961696306429552E-2"/>
                  <c:y val="-1.67014613778705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D-EC71-4E50-9CD8-55990878A23A}"/>
                </c:ext>
                <c:ext xmlns:c15="http://schemas.microsoft.com/office/drawing/2012/chart" uri="{CE6537A1-D6FC-4f65-9D91-7224C49458BB}"/>
              </c:extLst>
            </c:dLbl>
            <c:dLbl>
              <c:idx val="140"/>
              <c:layout>
                <c:manualLayout>
                  <c:x val="-3.5225718194254546E-2"/>
                  <c:y val="-2.0876826722338281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E-EC71-4E50-9CD8-55990878A23A}"/>
                </c:ext>
                <c:ext xmlns:c15="http://schemas.microsoft.com/office/drawing/2012/chart" uri="{CE6537A1-D6FC-4f65-9D91-7224C49458BB}"/>
              </c:extLst>
            </c:dLbl>
            <c:dLbl>
              <c:idx val="141"/>
              <c:layout>
                <c:manualLayout>
                  <c:x val="-3.6593707250342E-2"/>
                  <c:y val="-1.6701461377870562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AF-EC71-4E50-9CD8-55990878A23A}"/>
                </c:ext>
                <c:ext xmlns:c15="http://schemas.microsoft.com/office/drawing/2012/chart" uri="{CE6537A1-D6FC-4f65-9D91-7224C49458BB}"/>
              </c:extLst>
            </c:dLbl>
            <c:dLbl>
              <c:idx val="142"/>
              <c:layout>
                <c:manualLayout>
                  <c:x val="-4.2065663474692302E-2"/>
                  <c:y val="-2.2964509394572025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0-EC71-4E50-9CD8-55990878A23A}"/>
                </c:ext>
                <c:ext xmlns:c15="http://schemas.microsoft.com/office/drawing/2012/chart" uri="{CE6537A1-D6FC-4f65-9D91-7224C49458BB}"/>
              </c:extLst>
            </c:dLbl>
            <c:dLbl>
              <c:idx val="146"/>
              <c:layout>
                <c:manualLayout>
                  <c:x val="-4.3433652530779757E-2"/>
                  <c:y val="-2.087682672233820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1-EC71-4E50-9CD8-55990878A23A}"/>
                </c:ext>
                <c:ext xmlns:c15="http://schemas.microsoft.com/office/drawing/2012/chart" uri="{CE6537A1-D6FC-4f65-9D91-7224C49458BB}"/>
              </c:extLst>
            </c:dLbl>
            <c:dLbl>
              <c:idx val="148"/>
              <c:layout>
                <c:manualLayout>
                  <c:x val="-4.3433652530779757E-2"/>
                  <c:y val="-2.505219206680592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2-EC71-4E50-9CD8-55990878A23A}"/>
                </c:ext>
                <c:ext xmlns:c15="http://schemas.microsoft.com/office/drawing/2012/chart" uri="{CE6537A1-D6FC-4f65-9D91-7224C49458BB}"/>
              </c:extLst>
            </c:dLbl>
            <c:dLbl>
              <c:idx val="151"/>
              <c:layout>
                <c:manualLayout>
                  <c:x val="-3.6251709986320109E-2"/>
                  <c:y val="-2.922755741127363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3-EC71-4E50-9CD8-55990878A23A}"/>
                </c:ext>
                <c:ext xmlns:c15="http://schemas.microsoft.com/office/drawing/2012/chart" uri="{CE6537A1-D6FC-4f65-9D91-7224C49458BB}"/>
              </c:extLst>
            </c:dLbl>
            <c:dLbl>
              <c:idx val="155"/>
              <c:layout>
                <c:manualLayout>
                  <c:x val="-2.9757464143723517E-2"/>
                  <c:y val="-3.333333333333348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4-EC71-4E50-9CD8-55990878A23A}"/>
                </c:ext>
                <c:ext xmlns:c15="http://schemas.microsoft.com/office/drawing/2012/chart" uri="{CE6537A1-D6FC-4f65-9D91-7224C49458BB}"/>
              </c:extLst>
            </c:dLbl>
            <c:dLbl>
              <c:idx val="156"/>
              <c:layout>
                <c:manualLayout>
                  <c:x val="-3.3582061816021462E-2"/>
                  <c:y val="-3.330314960629928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5-EC71-4E50-9CD8-55990878A23A}"/>
                </c:ext>
                <c:ext xmlns:c15="http://schemas.microsoft.com/office/drawing/2012/chart" uri="{CE6537A1-D6FC-4f65-9D91-7224C49458BB}"/>
              </c:extLst>
            </c:dLbl>
            <c:dLbl>
              <c:idx val="157"/>
              <c:layout>
                <c:manualLayout>
                  <c:x val="-3.5544787670772023E-2"/>
                  <c:y val="-3.9642486003803518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6-EC71-4E50-9CD8-55990878A23A}"/>
                </c:ext>
                <c:ext xmlns:c15="http://schemas.microsoft.com/office/drawing/2012/chart" uri="{CE6537A1-D6FC-4f65-9D91-7224C49458BB}"/>
              </c:extLst>
            </c:dLbl>
            <c:dLbl>
              <c:idx val="158"/>
              <c:layout>
                <c:manualLayout>
                  <c:x val="-3.8272025162381276E-2"/>
                  <c:y val="-2.773412457054563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7-EC71-4E50-9CD8-55990878A23A}"/>
                </c:ext>
                <c:ext xmlns:c15="http://schemas.microsoft.com/office/drawing/2012/chart" uri="{CE6537A1-D6FC-4f65-9D91-7224C49458BB}"/>
              </c:extLst>
            </c:dLbl>
            <c:dLbl>
              <c:idx val="159"/>
              <c:layout>
                <c:manualLayout>
                  <c:x val="-3.4178127734033344E-2"/>
                  <c:y val="-3.9626220431366307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8-EC71-4E50-9CD8-55990878A23A}"/>
                </c:ext>
                <c:ext xmlns:c15="http://schemas.microsoft.com/office/drawing/2012/chart" uri="{CE6537A1-D6FC-4f65-9D91-7224C49458BB}"/>
              </c:extLst>
            </c:dLbl>
            <c:dLbl>
              <c:idx val="160"/>
              <c:layout>
                <c:manualLayout>
                  <c:x val="-2.9756602311111876E-2"/>
                  <c:y val="-2.710728346456692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9-EC71-4E50-9CD8-55990878A23A}"/>
                </c:ext>
                <c:ext xmlns:c15="http://schemas.microsoft.com/office/drawing/2012/chart" uri="{CE6537A1-D6FC-4f65-9D91-7224C49458BB}"/>
              </c:extLst>
            </c:dLbl>
            <c:dLbl>
              <c:idx val="161"/>
              <c:layout>
                <c:manualLayout>
                  <c:x val="-2.0525741974560872E-3"/>
                  <c:y val="-8.3486747255184651E-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A-EC71-4E50-9CD8-55990878A23A}"/>
                </c:ext>
                <c:ext xmlns:c15="http://schemas.microsoft.com/office/drawing/2012/chart" uri="{CE6537A1-D6FC-4f65-9D91-7224C49458BB}"/>
              </c:extLst>
            </c:dLbl>
            <c:dLbl>
              <c:idx val="162"/>
              <c:layout>
                <c:manualLayout>
                  <c:x val="-4.034188034188034E-2"/>
                  <c:y val="0"/>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BB-EC71-4E50-9CD8-55990878A23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1"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n-US"/>
              </a:p>
            </c:txPr>
            <c:dLblPos val="l"/>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'cet.'!$F$5:$F$30</c:f>
              <c:strCache>
                <c:ptCount val="19"/>
                <c:pt idx="0">
                  <c:v>2016. II.</c:v>
                </c:pt>
                <c:pt idx="1">
                  <c:v>2016. III.</c:v>
                </c:pt>
                <c:pt idx="2">
                  <c:v>2016. IV.</c:v>
                </c:pt>
                <c:pt idx="3">
                  <c:v>2017. I.</c:v>
                </c:pt>
                <c:pt idx="4">
                  <c:v>2017. II.</c:v>
                </c:pt>
                <c:pt idx="5">
                  <c:v>2017. III.</c:v>
                </c:pt>
                <c:pt idx="6">
                  <c:v>2017. IV.</c:v>
                </c:pt>
                <c:pt idx="7">
                  <c:v>2018. I</c:v>
                </c:pt>
                <c:pt idx="8">
                  <c:v>2018. II</c:v>
                </c:pt>
                <c:pt idx="9">
                  <c:v>2018. III</c:v>
                </c:pt>
                <c:pt idx="10">
                  <c:v>2018. IV</c:v>
                </c:pt>
                <c:pt idx="11">
                  <c:v>2019. I</c:v>
                </c:pt>
                <c:pt idx="12">
                  <c:v>2019. II</c:v>
                </c:pt>
                <c:pt idx="13">
                  <c:v>2019. III</c:v>
                </c:pt>
                <c:pt idx="14">
                  <c:v>2019. IV</c:v>
                </c:pt>
                <c:pt idx="15">
                  <c:v>2020. I</c:v>
                </c:pt>
                <c:pt idx="16">
                  <c:v>2020. II</c:v>
                </c:pt>
                <c:pt idx="17">
                  <c:v>2020. III</c:v>
                </c:pt>
                <c:pt idx="18">
                  <c:v>2020. IV</c:v>
                </c:pt>
              </c:strCache>
              <c:extLst xmlns:c16r2="http://schemas.microsoft.com/office/drawing/2015/06/chart"/>
            </c:strRef>
          </c:cat>
          <c:val>
            <c:numRef>
              <c:f>'cet.'!$H$6:$H$30</c:f>
              <c:numCache>
                <c:formatCode>General</c:formatCode>
                <c:ptCount val="19"/>
                <c:pt idx="7">
                  <c:v>16</c:v>
                </c:pt>
                <c:pt idx="8">
                  <c:v>115</c:v>
                </c:pt>
                <c:pt idx="9">
                  <c:v>215</c:v>
                </c:pt>
                <c:pt idx="10">
                  <c:v>269</c:v>
                </c:pt>
                <c:pt idx="11">
                  <c:v>281</c:v>
                </c:pt>
                <c:pt idx="12">
                  <c:v>424</c:v>
                </c:pt>
                <c:pt idx="13">
                  <c:v>584</c:v>
                </c:pt>
                <c:pt idx="14">
                  <c:v>516</c:v>
                </c:pt>
                <c:pt idx="15">
                  <c:v>335</c:v>
                </c:pt>
                <c:pt idx="16">
                  <c:v>225</c:v>
                </c:pt>
                <c:pt idx="17">
                  <c:v>502</c:v>
                </c:pt>
                <c:pt idx="18">
                  <c:v>325</c:v>
                </c:pt>
              </c:numCache>
              <c:extLst xmlns:c16r2="http://schemas.microsoft.com/office/drawing/2015/06/chart"/>
            </c:numRef>
          </c:val>
          <c:smooth val="0"/>
          <c:extLst xmlns:c16r2="http://schemas.microsoft.com/office/drawing/2015/06/chart">
            <c:ext xmlns:c16="http://schemas.microsoft.com/office/drawing/2014/chart" uri="{C3380CC4-5D6E-409C-BE32-E72D297353CC}">
              <c16:uniqueId val="{000000BC-EC71-4E50-9CD8-55990878A23A}"/>
            </c:ext>
          </c:extLst>
        </c:ser>
        <c:dLbls>
          <c:showLegendKey val="0"/>
          <c:showVal val="0"/>
          <c:showCatName val="0"/>
          <c:showSerName val="0"/>
          <c:showPercent val="0"/>
          <c:showBubbleSize val="0"/>
        </c:dLbls>
        <c:marker val="1"/>
        <c:smooth val="0"/>
        <c:axId val="332761920"/>
        <c:axId val="332757216"/>
      </c:lineChart>
      <c:catAx>
        <c:axId val="332760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2760744"/>
        <c:crosses val="autoZero"/>
        <c:auto val="1"/>
        <c:lblAlgn val="ctr"/>
        <c:lblOffset val="100"/>
        <c:noMultiLvlLbl val="0"/>
      </c:catAx>
      <c:valAx>
        <c:axId val="332760744"/>
        <c:scaling>
          <c:orientation val="minMax"/>
          <c:max val="1300"/>
          <c:min val="0"/>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900" b="1"/>
                  <a:t>tūkst. </a:t>
                </a:r>
                <a:r>
                  <a:rPr lang="lv-LV" sz="900" b="1" i="1"/>
                  <a:t>euro</a:t>
                </a:r>
              </a:p>
            </c:rich>
          </c:tx>
          <c:layout>
            <c:manualLayout>
              <c:xMode val="edge"/>
              <c:yMode val="edge"/>
              <c:x val="3.3063041455527721E-2"/>
              <c:y val="2.6306199602338178E-2"/>
            </c:manualLayout>
          </c:layout>
          <c:overlay val="0"/>
          <c:spPr>
            <a:noFill/>
            <a:ln>
              <a:noFill/>
            </a:ln>
            <a:effectLst/>
          </c:spPr>
          <c:txPr>
            <a:bodyPr rot="0" spcFirstLastPara="1" vertOverflow="ellipsis"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2760352"/>
        <c:crosses val="autoZero"/>
        <c:crossBetween val="between"/>
      </c:valAx>
      <c:valAx>
        <c:axId val="332757216"/>
        <c:scaling>
          <c:orientation val="minMax"/>
          <c:max val="600"/>
          <c:min val="0"/>
        </c:scaling>
        <c:delete val="0"/>
        <c:axPos val="r"/>
        <c:title>
          <c:tx>
            <c:rich>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900" b="1" i="0"/>
                  <a:t>skaits</a:t>
                </a:r>
              </a:p>
            </c:rich>
          </c:tx>
          <c:layout>
            <c:manualLayout>
              <c:xMode val="edge"/>
              <c:yMode val="edge"/>
              <c:x val="0.88741943549992086"/>
              <c:y val="1.5943615657642001E-2"/>
            </c:manualLayout>
          </c:layout>
          <c:overlay val="0"/>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32761920"/>
        <c:crosses val="max"/>
        <c:crossBetween val="between"/>
        <c:majorUnit val="40"/>
      </c:valAx>
      <c:catAx>
        <c:axId val="332761920"/>
        <c:scaling>
          <c:orientation val="minMax"/>
        </c:scaling>
        <c:delete val="1"/>
        <c:axPos val="b"/>
        <c:numFmt formatCode="General" sourceLinked="1"/>
        <c:majorTickMark val="out"/>
        <c:minorTickMark val="none"/>
        <c:tickLblPos val="nextTo"/>
        <c:crossAx val="332757216"/>
        <c:crosses val="autoZero"/>
        <c:auto val="1"/>
        <c:lblAlgn val="ctr"/>
        <c:lblOffset val="100"/>
        <c:noMultiLvlLbl val="0"/>
      </c:catAx>
      <c:spPr>
        <a:noFill/>
        <a:ln>
          <a:noFill/>
        </a:ln>
        <a:effectLst/>
      </c:spPr>
    </c:plotArea>
    <c:legend>
      <c:legendPos val="b"/>
      <c:layout>
        <c:manualLayout>
          <c:xMode val="edge"/>
          <c:yMode val="edge"/>
          <c:x val="0.15536815999101863"/>
          <c:y val="5.4612727399685368E-2"/>
          <c:w val="0.37257753668672167"/>
          <c:h val="0.25665784849630063"/>
        </c:manualLayout>
      </c:layout>
      <c:overlay val="0"/>
      <c:spPr>
        <a:solidFill>
          <a:schemeClr val="bg1"/>
        </a:solid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45E78-45FF-468A-9077-E4DE9D3C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8631</Words>
  <Characters>49202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Informatīvais ziņojums par Imigrācijas likuma 23.panta pirmās daļas 3., 28., 29. un 30.punktā paredzēto noteikumu īstenošanas gaitu un rezultātiem</vt:lpstr>
    </vt:vector>
  </TitlesOfParts>
  <Manager>Iekšlietu ministrija</Manager>
  <Company>PMLP</Company>
  <LinksUpToDate>false</LinksUpToDate>
  <CharactersWithSpaces>57718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Imigrācijas likuma 23.panta pirmās daļas 3., 28., 29. un 30.punktā paredzēto noteikumu īstenošanas gaitu un rezultātiem</dc:title>
  <dc:subject>Informatīvais ziņojums</dc:subject>
  <dc:creator>Ilze Briede</dc:creator>
  <cp:keywords/>
  <dc:description/>
  <cp:lastModifiedBy>user</cp:lastModifiedBy>
  <cp:revision>3</cp:revision>
  <cp:lastPrinted>2021-01-21T06:10:00Z</cp:lastPrinted>
  <dcterms:created xsi:type="dcterms:W3CDTF">2021-01-26T08:05:00Z</dcterms:created>
  <dcterms:modified xsi:type="dcterms:W3CDTF">2021-01-26T08:11:00Z</dcterms:modified>
</cp:coreProperties>
</file>