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670D" w14:textId="59404485" w:rsidR="000937E4" w:rsidRPr="00717B60" w:rsidRDefault="00363BB6" w:rsidP="00A92049">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r w:rsidRPr="00717B60">
        <w:rPr>
          <w:rFonts w:ascii="Times New Roman" w:eastAsia="Times New Roman" w:hAnsi="Times New Roman"/>
          <w:b/>
          <w:bCs/>
          <w:sz w:val="26"/>
          <w:szCs w:val="26"/>
          <w:lang w:eastAsia="lv-LV"/>
        </w:rPr>
        <w:t>Mini</w:t>
      </w:r>
      <w:r w:rsidR="00144F4C" w:rsidRPr="00717B60">
        <w:rPr>
          <w:rFonts w:ascii="Times New Roman" w:eastAsia="Times New Roman" w:hAnsi="Times New Roman"/>
          <w:b/>
          <w:bCs/>
          <w:sz w:val="26"/>
          <w:szCs w:val="26"/>
          <w:lang w:eastAsia="lv-LV"/>
        </w:rPr>
        <w:t>stru kabineta noteikumu projekt</w:t>
      </w:r>
      <w:bookmarkEnd w:id="0"/>
      <w:bookmarkEnd w:id="1"/>
      <w:r w:rsidR="00BD7DA0" w:rsidRPr="00717B60">
        <w:rPr>
          <w:rFonts w:ascii="Times New Roman" w:eastAsia="Times New Roman" w:hAnsi="Times New Roman"/>
          <w:b/>
          <w:bCs/>
          <w:sz w:val="26"/>
          <w:szCs w:val="26"/>
          <w:lang w:eastAsia="lv-LV"/>
        </w:rPr>
        <w:t>a</w:t>
      </w:r>
      <w:r w:rsidR="0044261E" w:rsidRPr="00717B60">
        <w:rPr>
          <w:rFonts w:ascii="Times New Roman" w:eastAsia="Times New Roman" w:hAnsi="Times New Roman"/>
          <w:b/>
          <w:bCs/>
          <w:sz w:val="26"/>
          <w:szCs w:val="26"/>
          <w:lang w:eastAsia="lv-LV"/>
        </w:rPr>
        <w:t xml:space="preserve"> </w:t>
      </w:r>
      <w:r w:rsidR="00A92049" w:rsidRPr="00717B60">
        <w:rPr>
          <w:rFonts w:ascii="Times New Roman" w:hAnsi="Times New Roman"/>
          <w:b/>
          <w:sz w:val="26"/>
          <w:szCs w:val="26"/>
        </w:rPr>
        <w:t>“</w:t>
      </w:r>
      <w:r w:rsidR="00DE571D" w:rsidRPr="00717B60">
        <w:rPr>
          <w:rFonts w:ascii="Times New Roman" w:hAnsi="Times New Roman"/>
          <w:b/>
          <w:sz w:val="26"/>
          <w:szCs w:val="26"/>
        </w:rPr>
        <w:t>Grozījumi</w:t>
      </w:r>
      <w:r w:rsidR="00BD7DA0" w:rsidRPr="00717B60">
        <w:rPr>
          <w:rFonts w:ascii="Times New Roman" w:hAnsi="Times New Roman"/>
          <w:b/>
          <w:sz w:val="26"/>
          <w:szCs w:val="26"/>
        </w:rPr>
        <w:t xml:space="preserve"> Ministru kabineta 2006. gada 10.</w:t>
      </w:r>
      <w:r w:rsidR="009C3B43">
        <w:rPr>
          <w:rFonts w:ascii="Times New Roman" w:hAnsi="Times New Roman"/>
          <w:b/>
          <w:sz w:val="26"/>
          <w:szCs w:val="26"/>
        </w:rPr>
        <w:t> </w:t>
      </w:r>
      <w:r w:rsidR="00BD7DA0" w:rsidRPr="00717B60">
        <w:rPr>
          <w:rFonts w:ascii="Times New Roman" w:hAnsi="Times New Roman"/>
          <w:b/>
          <w:sz w:val="26"/>
          <w:szCs w:val="26"/>
        </w:rPr>
        <w:t>oktobra noteikumos Nr.</w:t>
      </w:r>
      <w:r w:rsidR="009C3B43">
        <w:rPr>
          <w:rFonts w:ascii="Times New Roman" w:hAnsi="Times New Roman"/>
          <w:b/>
          <w:sz w:val="26"/>
          <w:szCs w:val="26"/>
        </w:rPr>
        <w:t> </w:t>
      </w:r>
      <w:r w:rsidR="00BD7DA0" w:rsidRPr="00717B60">
        <w:rPr>
          <w:rFonts w:ascii="Times New Roman" w:hAnsi="Times New Roman"/>
          <w:b/>
          <w:sz w:val="26"/>
          <w:szCs w:val="26"/>
        </w:rPr>
        <w:t>846 “</w:t>
      </w:r>
      <w:hyperlink r:id="rId8" w:tgtFrame="_blank" w:history="1">
        <w:r w:rsidR="00BD7DA0" w:rsidRPr="00717B60">
          <w:rPr>
            <w:rFonts w:ascii="Times New Roman" w:hAnsi="Times New Roman"/>
            <w:b/>
            <w:sz w:val="26"/>
            <w:szCs w:val="26"/>
          </w:rPr>
          <w:t>Noteikumi par prasībām, kritērijiem un kārtību uzņemšanai studiju programmās</w:t>
        </w:r>
      </w:hyperlink>
      <w:r w:rsidR="00BD7DA0" w:rsidRPr="00717B60">
        <w:rPr>
          <w:rFonts w:ascii="Times New Roman" w:hAnsi="Times New Roman"/>
          <w:b/>
          <w:sz w:val="26"/>
          <w:szCs w:val="26"/>
        </w:rPr>
        <w:t xml:space="preserve">”” </w:t>
      </w:r>
      <w:r w:rsidRPr="00717B60">
        <w:rPr>
          <w:rFonts w:ascii="Times New Roman" w:hAnsi="Times New Roman"/>
          <w:b/>
          <w:sz w:val="26"/>
          <w:szCs w:val="26"/>
        </w:rPr>
        <w:t>sākotnējās ietekmes novērtējuma ziņojums (anotācija)</w:t>
      </w:r>
      <w:bookmarkEnd w:id="2"/>
      <w:bookmarkEnd w:id="3"/>
    </w:p>
    <w:p w14:paraId="2216670E" w14:textId="77777777" w:rsidR="00247BA4" w:rsidRPr="00717B60" w:rsidRDefault="00247BA4" w:rsidP="004B33BE">
      <w:pPr>
        <w:spacing w:after="0" w:line="240" w:lineRule="auto"/>
        <w:outlineLvl w:val="3"/>
        <w:rPr>
          <w:rFonts w:ascii="Times New Roman" w:eastAsia="Times New Roman" w:hAnsi="Times New Roman"/>
          <w:b/>
          <w:bCs/>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452"/>
        <w:gridCol w:w="6609"/>
      </w:tblGrid>
      <w:tr w:rsidR="00A92049" w:rsidRPr="00717B60" w14:paraId="50CB3348" w14:textId="77777777" w:rsidTr="00BF7BBB">
        <w:tc>
          <w:tcPr>
            <w:tcW w:w="5000" w:type="pct"/>
            <w:gridSpan w:val="2"/>
            <w:vAlign w:val="center"/>
            <w:hideMark/>
          </w:tcPr>
          <w:p w14:paraId="5BA47FE4" w14:textId="19A5D047" w:rsidR="00A92049" w:rsidRPr="00717B60" w:rsidRDefault="00A92049" w:rsidP="00A92049">
            <w:pPr>
              <w:spacing w:after="0" w:line="240" w:lineRule="auto"/>
              <w:jc w:val="center"/>
              <w:rPr>
                <w:rFonts w:ascii="Times New Roman" w:eastAsia="Times New Roman" w:hAnsi="Times New Roman"/>
                <w:b/>
                <w:bCs/>
                <w:sz w:val="26"/>
                <w:szCs w:val="26"/>
                <w:lang w:eastAsia="lv-LV"/>
              </w:rPr>
            </w:pPr>
            <w:r w:rsidRPr="00717B60">
              <w:rPr>
                <w:rFonts w:ascii="Times New Roman" w:eastAsia="Times New Roman" w:hAnsi="Times New Roman"/>
                <w:b/>
                <w:bCs/>
                <w:iCs/>
                <w:sz w:val="26"/>
                <w:szCs w:val="26"/>
                <w:lang w:eastAsia="lv-LV"/>
              </w:rPr>
              <w:t>Tiesību akta projekta anotācijas kopsavilkums</w:t>
            </w:r>
          </w:p>
        </w:tc>
      </w:tr>
      <w:tr w:rsidR="00A92049" w:rsidRPr="000E30EF" w14:paraId="11B8A4AF" w14:textId="77777777" w:rsidTr="00A92049">
        <w:tc>
          <w:tcPr>
            <w:tcW w:w="1353" w:type="pct"/>
            <w:hideMark/>
          </w:tcPr>
          <w:p w14:paraId="75D70E2F" w14:textId="29DF9559" w:rsidR="00A92049" w:rsidRPr="000E30EF" w:rsidRDefault="00A92049" w:rsidP="00A92049">
            <w:pPr>
              <w:spacing w:after="0" w:line="240" w:lineRule="auto"/>
              <w:rPr>
                <w:rFonts w:ascii="Times New Roman" w:eastAsia="Times New Roman" w:hAnsi="Times New Roman"/>
                <w:sz w:val="26"/>
                <w:szCs w:val="26"/>
                <w:lang w:eastAsia="lv-LV"/>
              </w:rPr>
            </w:pPr>
            <w:r w:rsidRPr="000E30EF">
              <w:rPr>
                <w:rFonts w:ascii="Times New Roman" w:eastAsia="Times New Roman" w:hAnsi="Times New Roman"/>
                <w:iCs/>
                <w:sz w:val="26"/>
                <w:szCs w:val="26"/>
                <w:lang w:eastAsia="lv-LV"/>
              </w:rPr>
              <w:t>Mērķis, risinājums un projekta spēkā stāšanās laiks (500 zīmes bez atstarpēm)</w:t>
            </w:r>
          </w:p>
        </w:tc>
        <w:tc>
          <w:tcPr>
            <w:tcW w:w="3647" w:type="pct"/>
            <w:hideMark/>
          </w:tcPr>
          <w:p w14:paraId="020CA9B4" w14:textId="4E5D8F29" w:rsidR="00652A60" w:rsidRPr="000E30EF" w:rsidRDefault="00A979FB" w:rsidP="000D045B">
            <w:pPr>
              <w:spacing w:after="0" w:line="240" w:lineRule="auto"/>
              <w:jc w:val="both"/>
              <w:rPr>
                <w:rFonts w:ascii="Times New Roman" w:hAnsi="Times New Roman"/>
                <w:sz w:val="26"/>
                <w:szCs w:val="26"/>
              </w:rPr>
            </w:pPr>
            <w:r w:rsidRPr="000E30EF">
              <w:rPr>
                <w:rFonts w:ascii="Times New Roman" w:hAnsi="Times New Roman"/>
                <w:sz w:val="26"/>
                <w:szCs w:val="26"/>
              </w:rPr>
              <w:t>Ministru kabineta noteikumu projekt</w:t>
            </w:r>
            <w:r w:rsidR="00F369FC" w:rsidRPr="000E30EF">
              <w:rPr>
                <w:rFonts w:ascii="Times New Roman" w:hAnsi="Times New Roman"/>
                <w:sz w:val="26"/>
                <w:szCs w:val="26"/>
              </w:rPr>
              <w:t>s</w:t>
            </w:r>
            <w:r w:rsidRPr="000E30EF">
              <w:rPr>
                <w:rFonts w:ascii="Times New Roman" w:hAnsi="Times New Roman"/>
                <w:sz w:val="26"/>
                <w:szCs w:val="26"/>
              </w:rPr>
              <w:t xml:space="preserve"> “Grozījumi Ministru kabineta 2006.</w:t>
            </w:r>
            <w:r w:rsidR="009C3B43" w:rsidRPr="000E30EF">
              <w:rPr>
                <w:rFonts w:ascii="Times New Roman" w:hAnsi="Times New Roman"/>
                <w:sz w:val="26"/>
                <w:szCs w:val="26"/>
              </w:rPr>
              <w:t> </w:t>
            </w:r>
            <w:r w:rsidRPr="000E30EF">
              <w:rPr>
                <w:rFonts w:ascii="Times New Roman" w:hAnsi="Times New Roman"/>
                <w:sz w:val="26"/>
                <w:szCs w:val="26"/>
              </w:rPr>
              <w:t>gada 10.</w:t>
            </w:r>
            <w:r w:rsidR="009C3B43" w:rsidRPr="000E30EF">
              <w:rPr>
                <w:rFonts w:ascii="Times New Roman" w:hAnsi="Times New Roman"/>
                <w:sz w:val="26"/>
                <w:szCs w:val="26"/>
              </w:rPr>
              <w:t> </w:t>
            </w:r>
            <w:r w:rsidRPr="000E30EF">
              <w:rPr>
                <w:rFonts w:ascii="Times New Roman" w:hAnsi="Times New Roman"/>
                <w:sz w:val="26"/>
                <w:szCs w:val="26"/>
              </w:rPr>
              <w:t>oktobra noteikumos Nr.</w:t>
            </w:r>
            <w:r w:rsidR="009C3B43" w:rsidRPr="000E30EF">
              <w:rPr>
                <w:rFonts w:ascii="Times New Roman" w:hAnsi="Times New Roman"/>
                <w:sz w:val="26"/>
                <w:szCs w:val="26"/>
              </w:rPr>
              <w:t> </w:t>
            </w:r>
            <w:r w:rsidRPr="000E30EF">
              <w:rPr>
                <w:rFonts w:ascii="Times New Roman" w:hAnsi="Times New Roman"/>
                <w:sz w:val="26"/>
                <w:szCs w:val="26"/>
              </w:rPr>
              <w:t>846 “Noteikumi par prasībām, kritērijiem un kārtību uzņemšanai studiju programmās”” (turpmāk – projekts)</w:t>
            </w:r>
            <w:r w:rsidR="00F369FC" w:rsidRPr="000E30EF">
              <w:rPr>
                <w:rFonts w:ascii="Times New Roman" w:hAnsi="Times New Roman"/>
                <w:sz w:val="26"/>
                <w:szCs w:val="26"/>
              </w:rPr>
              <w:t xml:space="preserve"> ir izstrādāts ar mērķi</w:t>
            </w:r>
            <w:r w:rsidR="008B04AF" w:rsidRPr="000E30EF">
              <w:rPr>
                <w:rFonts w:ascii="Times New Roman" w:hAnsi="Times New Roman"/>
                <w:sz w:val="26"/>
                <w:szCs w:val="26"/>
              </w:rPr>
              <w:t>, lai sekmētu atbildīgāku ārvalstu studentu piesaisti, paredzot</w:t>
            </w:r>
            <w:r w:rsidR="00DE696E" w:rsidRPr="000E30EF">
              <w:rPr>
                <w:rFonts w:ascii="Times New Roman" w:hAnsi="Times New Roman"/>
                <w:sz w:val="26"/>
                <w:szCs w:val="26"/>
              </w:rPr>
              <w:t xml:space="preserve"> </w:t>
            </w:r>
            <w:r w:rsidR="00652A60" w:rsidRPr="000E30EF">
              <w:rPr>
                <w:rFonts w:ascii="Times New Roman" w:hAnsi="Times New Roman"/>
                <w:bCs/>
                <w:sz w:val="26"/>
                <w:szCs w:val="26"/>
              </w:rPr>
              <w:t xml:space="preserve"> </w:t>
            </w:r>
            <w:r w:rsidR="003E0697" w:rsidRPr="000E30EF">
              <w:rPr>
                <w:rFonts w:ascii="Times New Roman" w:hAnsi="Times New Roman"/>
                <w:bCs/>
                <w:sz w:val="26"/>
                <w:szCs w:val="26"/>
              </w:rPr>
              <w:t xml:space="preserve">papildināt augstskolu un koledžu uzņemšanas noteikumus </w:t>
            </w:r>
            <w:r w:rsidR="00652A60" w:rsidRPr="000E30EF">
              <w:rPr>
                <w:rFonts w:ascii="Times New Roman" w:hAnsi="Times New Roman"/>
                <w:bCs/>
                <w:sz w:val="26"/>
                <w:szCs w:val="26"/>
              </w:rPr>
              <w:t>ar normu par intervijas ar ārzemnieku veikšanu un uzglabāšanu</w:t>
            </w:r>
            <w:r w:rsidR="00465D25">
              <w:rPr>
                <w:rFonts w:ascii="Times New Roman" w:hAnsi="Times New Roman"/>
                <w:bCs/>
                <w:sz w:val="26"/>
                <w:szCs w:val="26"/>
              </w:rPr>
              <w:t>.</w:t>
            </w:r>
            <w:r w:rsidR="003E0697" w:rsidRPr="000E30EF">
              <w:rPr>
                <w:rFonts w:ascii="Times New Roman" w:hAnsi="Times New Roman"/>
                <w:bCs/>
                <w:sz w:val="26"/>
                <w:szCs w:val="26"/>
              </w:rPr>
              <w:t xml:space="preserve"> </w:t>
            </w:r>
          </w:p>
          <w:p w14:paraId="32A0D679" w14:textId="3AD6FE50" w:rsidR="00C93258" w:rsidRPr="000E30EF" w:rsidRDefault="0020342A" w:rsidP="00652A60">
            <w:pPr>
              <w:pStyle w:val="ListParagraph"/>
              <w:numPr>
                <w:ilvl w:val="0"/>
                <w:numId w:val="2"/>
              </w:numPr>
              <w:spacing w:after="0" w:line="240" w:lineRule="auto"/>
              <w:ind w:left="60"/>
              <w:jc w:val="both"/>
              <w:rPr>
                <w:rFonts w:ascii="Times New Roman" w:hAnsi="Times New Roman"/>
                <w:sz w:val="26"/>
                <w:szCs w:val="26"/>
              </w:rPr>
            </w:pPr>
            <w:r w:rsidRPr="000E30EF">
              <w:rPr>
                <w:rFonts w:ascii="Times New Roman" w:hAnsi="Times New Roman"/>
                <w:bCs/>
                <w:sz w:val="26"/>
                <w:szCs w:val="26"/>
              </w:rPr>
              <w:t xml:space="preserve">Projekts </w:t>
            </w:r>
            <w:r w:rsidR="00C93258" w:rsidRPr="000E30EF">
              <w:rPr>
                <w:rFonts w:ascii="Times New Roman" w:hAnsi="Times New Roman"/>
                <w:bCs/>
                <w:sz w:val="26"/>
                <w:szCs w:val="26"/>
              </w:rPr>
              <w:t>no</w:t>
            </w:r>
            <w:r w:rsidR="00DE696E" w:rsidRPr="000E30EF">
              <w:rPr>
                <w:rFonts w:ascii="Times New Roman" w:hAnsi="Times New Roman"/>
                <w:bCs/>
                <w:sz w:val="26"/>
                <w:szCs w:val="26"/>
              </w:rPr>
              <w:t>saka</w:t>
            </w:r>
            <w:r w:rsidR="00C93258" w:rsidRPr="000E30EF">
              <w:rPr>
                <w:rFonts w:ascii="Times New Roman" w:hAnsi="Times New Roman"/>
                <w:bCs/>
                <w:sz w:val="26"/>
                <w:szCs w:val="26"/>
              </w:rPr>
              <w:t xml:space="preserve"> uzņemšanas kārtību pēc vidējās izglītības iegūšanas</w:t>
            </w:r>
            <w:r w:rsidR="006669D2" w:rsidRPr="000E30EF">
              <w:rPr>
                <w:rFonts w:ascii="Times New Roman" w:hAnsi="Times New Roman"/>
                <w:bCs/>
                <w:sz w:val="26"/>
                <w:szCs w:val="26"/>
              </w:rPr>
              <w:t xml:space="preserve"> Eiropas skolā</w:t>
            </w:r>
            <w:r w:rsidR="00C93258" w:rsidRPr="000E30EF">
              <w:rPr>
                <w:rFonts w:ascii="Times New Roman" w:hAnsi="Times New Roman"/>
                <w:bCs/>
                <w:sz w:val="26"/>
                <w:szCs w:val="26"/>
              </w:rPr>
              <w:t>.</w:t>
            </w:r>
          </w:p>
          <w:p w14:paraId="2967E493" w14:textId="4DC55B86" w:rsidR="00A92049" w:rsidRPr="000E30EF" w:rsidRDefault="004D4867" w:rsidP="004B3706">
            <w:pPr>
              <w:spacing w:after="0" w:line="240" w:lineRule="auto"/>
              <w:jc w:val="both"/>
              <w:rPr>
                <w:rFonts w:ascii="Times New Roman" w:eastAsia="Times New Roman" w:hAnsi="Times New Roman"/>
                <w:b/>
                <w:bCs/>
                <w:sz w:val="26"/>
                <w:szCs w:val="26"/>
                <w:lang w:eastAsia="lv-LV"/>
              </w:rPr>
            </w:pPr>
            <w:r w:rsidRPr="000E30EF">
              <w:rPr>
                <w:rFonts w:ascii="Times New Roman" w:hAnsi="Times New Roman"/>
                <w:sz w:val="26"/>
                <w:szCs w:val="26"/>
              </w:rPr>
              <w:t xml:space="preserve">  </w:t>
            </w:r>
            <w:r w:rsidR="00A979FB" w:rsidRPr="000E30EF">
              <w:rPr>
                <w:rFonts w:ascii="Times New Roman" w:hAnsi="Times New Roman"/>
                <w:sz w:val="26"/>
                <w:szCs w:val="26"/>
              </w:rPr>
              <w:t xml:space="preserve">Projekts </w:t>
            </w:r>
            <w:r w:rsidR="00F719FC" w:rsidRPr="000E30EF">
              <w:rPr>
                <w:rFonts w:ascii="Times New Roman" w:hAnsi="Times New Roman"/>
                <w:sz w:val="26"/>
                <w:szCs w:val="26"/>
              </w:rPr>
              <w:t xml:space="preserve">stāsies spēkā </w:t>
            </w:r>
            <w:r w:rsidR="00A979FB" w:rsidRPr="000E30EF">
              <w:rPr>
                <w:rFonts w:ascii="Times New Roman" w:hAnsi="Times New Roman"/>
                <w:sz w:val="26"/>
                <w:szCs w:val="26"/>
                <w:shd w:val="clear" w:color="auto" w:fill="FFFFFF"/>
              </w:rPr>
              <w:t>nākamajā dienā pēc tā izsludināšanas</w:t>
            </w:r>
            <w:r w:rsidR="004B3706" w:rsidRPr="000E30EF">
              <w:rPr>
                <w:rFonts w:ascii="Times New Roman" w:hAnsi="Times New Roman"/>
                <w:sz w:val="26"/>
                <w:szCs w:val="26"/>
                <w:shd w:val="clear" w:color="auto" w:fill="FFFFFF"/>
              </w:rPr>
              <w:t>.</w:t>
            </w:r>
          </w:p>
        </w:tc>
      </w:tr>
    </w:tbl>
    <w:p w14:paraId="272899E4" w14:textId="77777777" w:rsidR="00A92049" w:rsidRPr="000E30EF" w:rsidRDefault="00A92049" w:rsidP="004B33BE">
      <w:pPr>
        <w:spacing w:after="0" w:line="240" w:lineRule="auto"/>
        <w:outlineLvl w:val="3"/>
        <w:rPr>
          <w:rFonts w:ascii="Times New Roman" w:eastAsia="Times New Roman" w:hAnsi="Times New Roman"/>
          <w:b/>
          <w:bCs/>
          <w:sz w:val="26"/>
          <w:szCs w:val="26"/>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29"/>
        <w:gridCol w:w="1923"/>
        <w:gridCol w:w="6609"/>
      </w:tblGrid>
      <w:tr w:rsidR="00925F9E" w:rsidRPr="000E30EF" w14:paraId="22166710" w14:textId="77777777" w:rsidTr="00661520">
        <w:tc>
          <w:tcPr>
            <w:tcW w:w="5000" w:type="pct"/>
            <w:gridSpan w:val="3"/>
            <w:hideMark/>
          </w:tcPr>
          <w:p w14:paraId="2216670F" w14:textId="77777777" w:rsidR="00392D00" w:rsidRPr="000E30EF" w:rsidRDefault="00363BB6" w:rsidP="00AF6AED">
            <w:pPr>
              <w:spacing w:after="0" w:line="240" w:lineRule="auto"/>
              <w:jc w:val="center"/>
              <w:rPr>
                <w:rFonts w:ascii="Times New Roman" w:eastAsia="Times New Roman" w:hAnsi="Times New Roman"/>
                <w:b/>
                <w:bCs/>
                <w:sz w:val="26"/>
                <w:szCs w:val="26"/>
                <w:lang w:eastAsia="lv-LV"/>
              </w:rPr>
            </w:pPr>
            <w:r w:rsidRPr="000E30EF">
              <w:rPr>
                <w:rFonts w:ascii="Times New Roman" w:eastAsia="Times New Roman" w:hAnsi="Times New Roman"/>
                <w:b/>
                <w:bCs/>
                <w:sz w:val="26"/>
                <w:szCs w:val="26"/>
                <w:lang w:eastAsia="lv-LV"/>
              </w:rPr>
              <w:t>I. Tiesību akta projekta izstrādes nepieciešamība</w:t>
            </w:r>
          </w:p>
        </w:tc>
      </w:tr>
      <w:tr w:rsidR="00925F9E" w:rsidRPr="000E30EF" w14:paraId="22166715" w14:textId="77777777" w:rsidTr="00714E76">
        <w:tc>
          <w:tcPr>
            <w:tcW w:w="292" w:type="pct"/>
            <w:hideMark/>
          </w:tcPr>
          <w:p w14:paraId="22166711" w14:textId="77777777" w:rsidR="00392D00" w:rsidRPr="000E30EF" w:rsidRDefault="00363BB6" w:rsidP="00AF6AED">
            <w:pPr>
              <w:spacing w:after="0" w:line="240" w:lineRule="auto"/>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1.</w:t>
            </w:r>
          </w:p>
        </w:tc>
        <w:tc>
          <w:tcPr>
            <w:tcW w:w="1061" w:type="pct"/>
            <w:hideMark/>
          </w:tcPr>
          <w:p w14:paraId="22166712" w14:textId="77777777" w:rsidR="00392D00" w:rsidRPr="000E30EF" w:rsidRDefault="00363BB6" w:rsidP="00AF6AED">
            <w:pPr>
              <w:spacing w:after="0" w:line="240" w:lineRule="auto"/>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Pamatojums</w:t>
            </w:r>
          </w:p>
        </w:tc>
        <w:tc>
          <w:tcPr>
            <w:tcW w:w="3647" w:type="pct"/>
            <w:hideMark/>
          </w:tcPr>
          <w:p w14:paraId="78A2DEDE" w14:textId="156EBF6A" w:rsidR="00392D00" w:rsidRPr="000E30EF" w:rsidRDefault="00D06B7A" w:rsidP="00D06B7A">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1.</w:t>
            </w:r>
            <w:r w:rsidR="008A0751" w:rsidRPr="000E30EF">
              <w:rPr>
                <w:rFonts w:ascii="Times New Roman" w:eastAsia="Times New Roman" w:hAnsi="Times New Roman"/>
                <w:sz w:val="26"/>
                <w:szCs w:val="26"/>
                <w:lang w:eastAsia="lv-LV"/>
              </w:rPr>
              <w:t>Pēc Izglītības un zinātnes ministrijas iniciatīvas</w:t>
            </w:r>
            <w:r w:rsidR="00E432F3" w:rsidRPr="000E30EF">
              <w:rPr>
                <w:rFonts w:ascii="Times New Roman" w:eastAsia="Times New Roman" w:hAnsi="Times New Roman"/>
                <w:sz w:val="26"/>
                <w:szCs w:val="26"/>
                <w:lang w:eastAsia="lv-LV"/>
              </w:rPr>
              <w:t xml:space="preserve"> (turpmāk – IZM)</w:t>
            </w:r>
            <w:r w:rsidR="001D37C1" w:rsidRPr="000E30EF">
              <w:rPr>
                <w:rFonts w:ascii="Times New Roman" w:eastAsia="Times New Roman" w:hAnsi="Times New Roman"/>
                <w:sz w:val="26"/>
                <w:szCs w:val="26"/>
                <w:lang w:eastAsia="lv-LV"/>
              </w:rPr>
              <w:t>.</w:t>
            </w:r>
          </w:p>
          <w:p w14:paraId="5334661A" w14:textId="461B4E1D" w:rsidR="00D06B7A" w:rsidRPr="000E30EF" w:rsidRDefault="00D06B7A" w:rsidP="00B11610">
            <w:pPr>
              <w:spacing w:after="0" w:line="240" w:lineRule="auto"/>
              <w:jc w:val="both"/>
              <w:rPr>
                <w:rFonts w:ascii="Times New Roman" w:eastAsia="Times New Roman" w:hAnsi="Times New Roman"/>
                <w:bCs/>
                <w:sz w:val="26"/>
                <w:szCs w:val="26"/>
                <w:lang w:eastAsia="lv-LV"/>
              </w:rPr>
            </w:pPr>
            <w:r w:rsidRPr="000E30EF">
              <w:rPr>
                <w:rFonts w:ascii="Times New Roman" w:eastAsia="Times New Roman" w:hAnsi="Times New Roman"/>
                <w:bCs/>
                <w:sz w:val="26"/>
                <w:szCs w:val="26"/>
                <w:lang w:eastAsia="lv-LV"/>
              </w:rPr>
              <w:t>2.</w:t>
            </w:r>
            <w:r w:rsidR="00103B84" w:rsidRPr="000E30EF">
              <w:rPr>
                <w:rFonts w:ascii="Times New Roman" w:eastAsia="Times New Roman" w:hAnsi="Times New Roman"/>
                <w:bCs/>
                <w:sz w:val="26"/>
                <w:szCs w:val="26"/>
                <w:lang w:eastAsia="lv-LV"/>
              </w:rPr>
              <w:t xml:space="preserve">Izpildot </w:t>
            </w:r>
            <w:r w:rsidRPr="000E30EF">
              <w:rPr>
                <w:rFonts w:ascii="Times New Roman" w:eastAsia="Times New Roman" w:hAnsi="Times New Roman"/>
                <w:bCs/>
                <w:sz w:val="26"/>
                <w:szCs w:val="26"/>
                <w:lang w:eastAsia="lv-LV"/>
              </w:rPr>
              <w:t xml:space="preserve">Ministru kabineta </w:t>
            </w:r>
            <w:r w:rsidR="00561599" w:rsidRPr="000E30EF">
              <w:rPr>
                <w:rFonts w:ascii="Times New Roman" w:eastAsia="Times New Roman" w:hAnsi="Times New Roman"/>
                <w:bCs/>
                <w:sz w:val="26"/>
                <w:szCs w:val="26"/>
                <w:lang w:eastAsia="lv-LV"/>
              </w:rPr>
              <w:t xml:space="preserve">2020. gada 18. augusta </w:t>
            </w:r>
            <w:r w:rsidRPr="000E30EF">
              <w:rPr>
                <w:rFonts w:ascii="Times New Roman" w:eastAsia="Times New Roman" w:hAnsi="Times New Roman"/>
                <w:bCs/>
                <w:sz w:val="26"/>
                <w:szCs w:val="26"/>
                <w:lang w:eastAsia="lv-LV"/>
              </w:rPr>
              <w:t xml:space="preserve">sēdes </w:t>
            </w:r>
            <w:r w:rsidR="009C3B43" w:rsidRPr="000E30EF">
              <w:rPr>
                <w:rFonts w:ascii="Times New Roman" w:eastAsia="Times New Roman" w:hAnsi="Times New Roman"/>
                <w:bCs/>
                <w:sz w:val="26"/>
                <w:szCs w:val="26"/>
                <w:lang w:eastAsia="lv-LV"/>
              </w:rPr>
              <w:t xml:space="preserve">(slēgtā daļa) </w:t>
            </w:r>
            <w:r w:rsidRPr="000E30EF">
              <w:rPr>
                <w:rFonts w:ascii="Times New Roman" w:eastAsia="Times New Roman" w:hAnsi="Times New Roman"/>
                <w:bCs/>
                <w:sz w:val="26"/>
                <w:szCs w:val="26"/>
                <w:lang w:eastAsia="lv-LV"/>
              </w:rPr>
              <w:t>protokol</w:t>
            </w:r>
            <w:r w:rsidR="00561599" w:rsidRPr="000E30EF">
              <w:rPr>
                <w:rFonts w:ascii="Times New Roman" w:eastAsia="Times New Roman" w:hAnsi="Times New Roman"/>
                <w:bCs/>
                <w:sz w:val="26"/>
                <w:szCs w:val="26"/>
                <w:lang w:eastAsia="lv-LV"/>
              </w:rPr>
              <w:t>lēmum</w:t>
            </w:r>
            <w:r w:rsidRPr="000E30EF">
              <w:rPr>
                <w:rFonts w:ascii="Times New Roman" w:eastAsia="Times New Roman" w:hAnsi="Times New Roman"/>
                <w:bCs/>
                <w:sz w:val="26"/>
                <w:szCs w:val="26"/>
                <w:lang w:eastAsia="lv-LV"/>
              </w:rPr>
              <w:t xml:space="preserve">a </w:t>
            </w:r>
            <w:r w:rsidR="00023A94" w:rsidRPr="000E30EF">
              <w:rPr>
                <w:rFonts w:ascii="Times New Roman" w:eastAsia="Times New Roman" w:hAnsi="Times New Roman"/>
                <w:bCs/>
                <w:sz w:val="26"/>
                <w:szCs w:val="26"/>
                <w:lang w:eastAsia="lv-LV"/>
              </w:rPr>
              <w:t xml:space="preserve"> </w:t>
            </w:r>
            <w:r w:rsidR="00B11610" w:rsidRPr="000E30EF">
              <w:rPr>
                <w:rFonts w:ascii="Times New Roman" w:eastAsia="Times New Roman" w:hAnsi="Times New Roman"/>
                <w:bCs/>
                <w:sz w:val="26"/>
                <w:szCs w:val="26"/>
                <w:lang w:eastAsia="lv-LV"/>
              </w:rPr>
              <w:t>(</w:t>
            </w:r>
            <w:r w:rsidR="00023A94" w:rsidRPr="000E30EF">
              <w:rPr>
                <w:rFonts w:ascii="Times New Roman" w:eastAsia="Times New Roman" w:hAnsi="Times New Roman"/>
                <w:bCs/>
                <w:sz w:val="26"/>
                <w:szCs w:val="26"/>
                <w:lang w:eastAsia="lv-LV"/>
              </w:rPr>
              <w:t>Nr.</w:t>
            </w:r>
            <w:r w:rsidR="005F0412" w:rsidRPr="000E30EF">
              <w:rPr>
                <w:rFonts w:ascii="Times New Roman" w:eastAsia="Times New Roman" w:hAnsi="Times New Roman"/>
                <w:bCs/>
                <w:sz w:val="26"/>
                <w:szCs w:val="26"/>
                <w:lang w:eastAsia="lv-LV"/>
              </w:rPr>
              <w:t> </w:t>
            </w:r>
            <w:r w:rsidR="00023A94" w:rsidRPr="000E30EF">
              <w:rPr>
                <w:rFonts w:ascii="Times New Roman" w:eastAsia="Times New Roman" w:hAnsi="Times New Roman"/>
                <w:bCs/>
                <w:sz w:val="26"/>
                <w:szCs w:val="26"/>
                <w:lang w:eastAsia="lv-LV"/>
              </w:rPr>
              <w:t>49 50.§</w:t>
            </w:r>
            <w:r w:rsidR="00103B84" w:rsidRPr="000E30EF">
              <w:rPr>
                <w:rFonts w:ascii="Times New Roman" w:eastAsia="Times New Roman" w:hAnsi="Times New Roman"/>
                <w:bCs/>
                <w:sz w:val="26"/>
                <w:szCs w:val="26"/>
                <w:lang w:eastAsia="lv-LV"/>
              </w:rPr>
              <w:t xml:space="preserve"> 6.</w:t>
            </w:r>
            <w:r w:rsidR="005F0412" w:rsidRPr="000E30EF">
              <w:rPr>
                <w:rFonts w:ascii="Times New Roman" w:eastAsia="Times New Roman" w:hAnsi="Times New Roman"/>
                <w:bCs/>
                <w:sz w:val="26"/>
                <w:szCs w:val="26"/>
                <w:lang w:eastAsia="lv-LV"/>
              </w:rPr>
              <w:t> </w:t>
            </w:r>
            <w:r w:rsidR="00103B84" w:rsidRPr="000E30EF">
              <w:rPr>
                <w:rFonts w:ascii="Times New Roman" w:eastAsia="Times New Roman" w:hAnsi="Times New Roman"/>
                <w:bCs/>
                <w:sz w:val="26"/>
                <w:szCs w:val="26"/>
                <w:lang w:eastAsia="lv-LV"/>
              </w:rPr>
              <w:t>punk</w:t>
            </w:r>
            <w:r w:rsidR="00023A94" w:rsidRPr="000E30EF">
              <w:rPr>
                <w:rFonts w:ascii="Times New Roman" w:eastAsia="Times New Roman" w:hAnsi="Times New Roman"/>
                <w:bCs/>
                <w:sz w:val="26"/>
                <w:szCs w:val="26"/>
                <w:lang w:eastAsia="lv-LV"/>
              </w:rPr>
              <w:t>tā</w:t>
            </w:r>
            <w:r w:rsidR="00B11610" w:rsidRPr="000E30EF">
              <w:rPr>
                <w:rFonts w:ascii="Times New Roman" w:eastAsia="Times New Roman" w:hAnsi="Times New Roman"/>
                <w:bCs/>
                <w:sz w:val="26"/>
                <w:szCs w:val="26"/>
                <w:lang w:eastAsia="lv-LV"/>
              </w:rPr>
              <w:t>)</w:t>
            </w:r>
            <w:r w:rsidR="00023A94" w:rsidRPr="000E30EF">
              <w:rPr>
                <w:rFonts w:ascii="Times New Roman" w:eastAsia="Times New Roman" w:hAnsi="Times New Roman"/>
                <w:bCs/>
                <w:sz w:val="26"/>
                <w:szCs w:val="26"/>
                <w:lang w:eastAsia="lv-LV"/>
              </w:rPr>
              <w:t xml:space="preserve"> doto uzdevumu</w:t>
            </w:r>
            <w:r w:rsidR="00B11610" w:rsidRPr="000E30EF">
              <w:rPr>
                <w:rFonts w:ascii="Times New Roman" w:eastAsia="Times New Roman" w:hAnsi="Times New Roman"/>
                <w:bCs/>
                <w:sz w:val="26"/>
                <w:szCs w:val="26"/>
                <w:lang w:eastAsia="lv-LV"/>
              </w:rPr>
              <w:t>.</w:t>
            </w:r>
          </w:p>
          <w:p w14:paraId="22166714" w14:textId="7DC22282" w:rsidR="00205D2A" w:rsidRPr="000E30EF" w:rsidRDefault="00205D2A" w:rsidP="0020342A">
            <w:pPr>
              <w:spacing w:after="0" w:line="240" w:lineRule="auto"/>
              <w:jc w:val="both"/>
              <w:rPr>
                <w:rFonts w:ascii="Times New Roman" w:eastAsia="Times New Roman" w:hAnsi="Times New Roman"/>
                <w:bCs/>
                <w:sz w:val="26"/>
                <w:szCs w:val="26"/>
                <w:lang w:eastAsia="lv-LV"/>
              </w:rPr>
            </w:pPr>
            <w:r w:rsidRPr="000E30EF">
              <w:rPr>
                <w:rFonts w:ascii="Times New Roman" w:eastAsia="Times New Roman" w:hAnsi="Times New Roman"/>
                <w:bCs/>
                <w:sz w:val="26"/>
                <w:szCs w:val="26"/>
                <w:lang w:eastAsia="lv-LV"/>
              </w:rPr>
              <w:t>Šajā sēdē tika izskatīts informatīvais ziņojums “Par nepieciešamajām izmaiņām ārvalstu studentu piesaistē un studijām Latvijas augstākās izglītības iestādēs”.</w:t>
            </w:r>
          </w:p>
        </w:tc>
      </w:tr>
      <w:tr w:rsidR="003A0A35" w:rsidRPr="000E30EF" w14:paraId="2216671F" w14:textId="77777777" w:rsidTr="006011D8">
        <w:trPr>
          <w:trHeight w:val="699"/>
        </w:trPr>
        <w:tc>
          <w:tcPr>
            <w:tcW w:w="292" w:type="pct"/>
            <w:hideMark/>
          </w:tcPr>
          <w:p w14:paraId="22166716" w14:textId="77777777" w:rsidR="00392D00"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2.</w:t>
            </w:r>
          </w:p>
        </w:tc>
        <w:tc>
          <w:tcPr>
            <w:tcW w:w="1061" w:type="pct"/>
            <w:hideMark/>
          </w:tcPr>
          <w:p w14:paraId="22166717" w14:textId="77777777" w:rsidR="00392D00"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hAnsi="Times New Roman"/>
                <w:sz w:val="26"/>
                <w:szCs w:val="26"/>
              </w:rPr>
              <w:t>Pašreizējā situācija un problēmas, kuru risināšanai tiesību akta projekts izstrādāts, tiesiskā regulējuma mērķis un būtība</w:t>
            </w:r>
          </w:p>
        </w:tc>
        <w:tc>
          <w:tcPr>
            <w:tcW w:w="3647" w:type="pct"/>
            <w:hideMark/>
          </w:tcPr>
          <w:p w14:paraId="608C1EC0" w14:textId="77777777" w:rsidR="00BE3D7D" w:rsidRPr="000E30EF" w:rsidRDefault="00BE3D7D" w:rsidP="003A0A35">
            <w:pPr>
              <w:spacing w:after="0" w:line="240" w:lineRule="auto"/>
              <w:jc w:val="both"/>
              <w:rPr>
                <w:rFonts w:ascii="Times New Roman" w:hAnsi="Times New Roman"/>
                <w:bCs/>
                <w:sz w:val="26"/>
                <w:szCs w:val="26"/>
                <w:highlight w:val="yellow"/>
              </w:rPr>
            </w:pPr>
          </w:p>
          <w:p w14:paraId="49677F21" w14:textId="5D807C66" w:rsidR="00BE3D7D" w:rsidRPr="000E30EF" w:rsidRDefault="00BE3D7D" w:rsidP="003A0A35">
            <w:pPr>
              <w:spacing w:after="0" w:line="240" w:lineRule="auto"/>
              <w:jc w:val="both"/>
              <w:rPr>
                <w:rFonts w:ascii="Times New Roman" w:hAnsi="Times New Roman"/>
                <w:b/>
                <w:bCs/>
                <w:sz w:val="26"/>
                <w:szCs w:val="26"/>
              </w:rPr>
            </w:pPr>
            <w:r w:rsidRPr="000E30EF">
              <w:rPr>
                <w:rFonts w:ascii="Times New Roman" w:hAnsi="Times New Roman"/>
                <w:b/>
                <w:bCs/>
                <w:sz w:val="26"/>
                <w:szCs w:val="26"/>
              </w:rPr>
              <w:t xml:space="preserve">Par </w:t>
            </w:r>
            <w:r w:rsidR="0025201D" w:rsidRPr="000E30EF">
              <w:rPr>
                <w:rFonts w:ascii="Times New Roman" w:hAnsi="Times New Roman"/>
                <w:b/>
                <w:bCs/>
                <w:sz w:val="26"/>
                <w:szCs w:val="26"/>
              </w:rPr>
              <w:t xml:space="preserve">Eiropas skolu </w:t>
            </w:r>
            <w:r w:rsidRPr="000E30EF">
              <w:rPr>
                <w:rFonts w:ascii="Times New Roman" w:hAnsi="Times New Roman"/>
                <w:b/>
                <w:bCs/>
                <w:sz w:val="26"/>
                <w:szCs w:val="26"/>
              </w:rPr>
              <w:t>bakalaurātu</w:t>
            </w:r>
          </w:p>
          <w:p w14:paraId="3D4FD07F" w14:textId="65AF20DE" w:rsidR="00C95242" w:rsidRPr="000E30EF" w:rsidRDefault="00C95242" w:rsidP="000E30EF">
            <w:pPr>
              <w:spacing w:after="0" w:line="240" w:lineRule="auto"/>
              <w:jc w:val="both"/>
              <w:rPr>
                <w:rFonts w:ascii="Times New Roman" w:hAnsi="Times New Roman"/>
                <w:bCs/>
                <w:sz w:val="26"/>
                <w:szCs w:val="26"/>
              </w:rPr>
            </w:pPr>
            <w:r w:rsidRPr="000E30EF">
              <w:rPr>
                <w:rFonts w:ascii="Times New Roman" w:hAnsi="Times New Roman"/>
                <w:bCs/>
                <w:sz w:val="26"/>
                <w:szCs w:val="26"/>
              </w:rPr>
              <w:t xml:space="preserve">Esošajā </w:t>
            </w:r>
            <w:r w:rsidR="000E30EF" w:rsidRPr="000E30EF">
              <w:rPr>
                <w:rFonts w:ascii="Times New Roman" w:hAnsi="Times New Roman"/>
                <w:sz w:val="26"/>
                <w:szCs w:val="26"/>
              </w:rPr>
              <w:t xml:space="preserve"> Ministru kabineta 2006. gada 10. oktobra noteikumu Nr. 846 “</w:t>
            </w:r>
            <w:hyperlink r:id="rId9" w:tgtFrame="_blank" w:history="1">
              <w:r w:rsidR="000E30EF" w:rsidRPr="000E30EF">
                <w:rPr>
                  <w:rFonts w:ascii="Times New Roman" w:hAnsi="Times New Roman"/>
                  <w:sz w:val="26"/>
                  <w:szCs w:val="26"/>
                </w:rPr>
                <w:t>Noteikumi par prasībām, kritērijiem un kārtību uzņemšanai studiju programmās</w:t>
              </w:r>
            </w:hyperlink>
            <w:r w:rsidR="000E30EF" w:rsidRPr="000E30EF">
              <w:rPr>
                <w:rFonts w:ascii="Times New Roman" w:hAnsi="Times New Roman"/>
                <w:sz w:val="26"/>
                <w:szCs w:val="26"/>
              </w:rPr>
              <w:t>”</w:t>
            </w:r>
            <w:r w:rsidR="000E30EF" w:rsidRPr="000E30EF">
              <w:rPr>
                <w:rFonts w:ascii="Times New Roman" w:hAnsi="Times New Roman"/>
                <w:bCs/>
                <w:sz w:val="26"/>
                <w:szCs w:val="26"/>
              </w:rPr>
              <w:t xml:space="preserve"> (turpmāk –Noteikumi) </w:t>
            </w:r>
            <w:r w:rsidRPr="000E30EF">
              <w:rPr>
                <w:rFonts w:ascii="Times New Roman" w:hAnsi="Times New Roman"/>
                <w:bCs/>
                <w:sz w:val="26"/>
                <w:szCs w:val="26"/>
              </w:rPr>
              <w:t xml:space="preserve">redakcijā 13.6. </w:t>
            </w:r>
            <w:r w:rsidR="00733474" w:rsidRPr="000E30EF">
              <w:rPr>
                <w:rFonts w:ascii="Times New Roman" w:hAnsi="Times New Roman"/>
                <w:bCs/>
                <w:sz w:val="26"/>
                <w:szCs w:val="26"/>
              </w:rPr>
              <w:t>apakš</w:t>
            </w:r>
            <w:r w:rsidRPr="000E30EF">
              <w:rPr>
                <w:rFonts w:ascii="Times New Roman" w:hAnsi="Times New Roman"/>
                <w:bCs/>
                <w:sz w:val="26"/>
                <w:szCs w:val="26"/>
              </w:rPr>
              <w:t>punktā šī norma nav tikusi ievērota, un augstskolas nav izstrādājušas kārtību tiem Latvijas pilsoņiem, kas ieguvuši vidējo izglītību šajā programmā Eiropas skolās, pieprasot centralizēto eksāmenu rezultātus noteiktajos mācību priekšmetos.</w:t>
            </w:r>
          </w:p>
          <w:p w14:paraId="16F01254" w14:textId="77777777" w:rsidR="0025201D" w:rsidRPr="000E30EF" w:rsidRDefault="0025201D" w:rsidP="003A0A35">
            <w:pPr>
              <w:spacing w:after="0" w:line="240" w:lineRule="auto"/>
              <w:jc w:val="both"/>
              <w:rPr>
                <w:rFonts w:ascii="Times New Roman" w:hAnsi="Times New Roman"/>
                <w:bCs/>
                <w:sz w:val="26"/>
                <w:szCs w:val="26"/>
              </w:rPr>
            </w:pPr>
          </w:p>
          <w:p w14:paraId="103A00DE" w14:textId="028F1BFA" w:rsidR="0025201D" w:rsidRPr="000E30EF" w:rsidRDefault="0025201D" w:rsidP="003A0A35">
            <w:pPr>
              <w:spacing w:after="0" w:line="240" w:lineRule="auto"/>
              <w:jc w:val="both"/>
              <w:rPr>
                <w:rFonts w:ascii="Times New Roman" w:hAnsi="Times New Roman"/>
                <w:bCs/>
                <w:sz w:val="26"/>
                <w:szCs w:val="26"/>
              </w:rPr>
            </w:pPr>
            <w:r w:rsidRPr="000E30EF">
              <w:rPr>
                <w:rFonts w:ascii="Times New Roman" w:hAnsi="Times New Roman"/>
                <w:bCs/>
                <w:sz w:val="26"/>
                <w:szCs w:val="26"/>
              </w:rPr>
              <w:t>Saskaņā ar Saeimas 2005.</w:t>
            </w:r>
            <w:r w:rsidR="0063408D" w:rsidRPr="000E30EF">
              <w:rPr>
                <w:rFonts w:ascii="Times New Roman" w:hAnsi="Times New Roman"/>
                <w:bCs/>
                <w:sz w:val="26"/>
                <w:szCs w:val="26"/>
              </w:rPr>
              <w:t> </w:t>
            </w:r>
            <w:r w:rsidRPr="000E30EF">
              <w:rPr>
                <w:rFonts w:ascii="Times New Roman" w:hAnsi="Times New Roman"/>
                <w:bCs/>
                <w:sz w:val="26"/>
                <w:szCs w:val="26"/>
              </w:rPr>
              <w:t>gada 2.</w:t>
            </w:r>
            <w:r w:rsidR="0063408D" w:rsidRPr="000E30EF">
              <w:rPr>
                <w:rFonts w:ascii="Times New Roman" w:hAnsi="Times New Roman"/>
                <w:bCs/>
                <w:sz w:val="26"/>
                <w:szCs w:val="26"/>
              </w:rPr>
              <w:t> </w:t>
            </w:r>
            <w:r w:rsidRPr="000E30EF">
              <w:rPr>
                <w:rFonts w:ascii="Times New Roman" w:hAnsi="Times New Roman"/>
                <w:bCs/>
                <w:sz w:val="26"/>
                <w:szCs w:val="26"/>
              </w:rPr>
              <w:t>jūnija likuma „Par Konvenciju, ar ko nosaka Eiropas skolu statūtus” 2.</w:t>
            </w:r>
            <w:r w:rsidR="00F15733" w:rsidRPr="000E30EF">
              <w:rPr>
                <w:rFonts w:ascii="Times New Roman" w:hAnsi="Times New Roman"/>
                <w:bCs/>
                <w:sz w:val="26"/>
                <w:szCs w:val="26"/>
              </w:rPr>
              <w:t> </w:t>
            </w:r>
            <w:r w:rsidRPr="000E30EF">
              <w:rPr>
                <w:rFonts w:ascii="Times New Roman" w:hAnsi="Times New Roman"/>
                <w:bCs/>
                <w:sz w:val="26"/>
                <w:szCs w:val="26"/>
              </w:rPr>
              <w:t>punktu I</w:t>
            </w:r>
            <w:r w:rsidR="00526C1F" w:rsidRPr="000E30EF">
              <w:rPr>
                <w:rFonts w:ascii="Times New Roman" w:hAnsi="Times New Roman"/>
                <w:bCs/>
                <w:sz w:val="26"/>
                <w:szCs w:val="26"/>
              </w:rPr>
              <w:t>ZM</w:t>
            </w:r>
            <w:r w:rsidRPr="000E30EF">
              <w:rPr>
                <w:rFonts w:ascii="Times New Roman" w:hAnsi="Times New Roman"/>
                <w:bCs/>
                <w:sz w:val="26"/>
                <w:szCs w:val="26"/>
              </w:rPr>
              <w:t xml:space="preserve"> koordinē Konvencijā paredzēto saistību izpildi.</w:t>
            </w:r>
          </w:p>
          <w:p w14:paraId="1C3FFAAD" w14:textId="4730FB65" w:rsidR="0025201D" w:rsidRPr="000E30EF" w:rsidRDefault="0025201D" w:rsidP="003A0A35">
            <w:pPr>
              <w:spacing w:after="0" w:line="240" w:lineRule="auto"/>
              <w:jc w:val="both"/>
              <w:rPr>
                <w:rFonts w:ascii="Times New Roman" w:hAnsi="Times New Roman"/>
                <w:bCs/>
                <w:sz w:val="26"/>
                <w:szCs w:val="26"/>
              </w:rPr>
            </w:pPr>
            <w:r w:rsidRPr="000E30EF">
              <w:rPr>
                <w:rFonts w:ascii="Times New Roman" w:hAnsi="Times New Roman"/>
                <w:bCs/>
                <w:sz w:val="26"/>
                <w:szCs w:val="26"/>
              </w:rPr>
              <w:t>2019./2020.</w:t>
            </w:r>
            <w:r w:rsidR="00F15733" w:rsidRPr="000E30EF">
              <w:rPr>
                <w:rFonts w:ascii="Times New Roman" w:hAnsi="Times New Roman"/>
                <w:bCs/>
                <w:sz w:val="26"/>
                <w:szCs w:val="26"/>
              </w:rPr>
              <w:t> </w:t>
            </w:r>
            <w:r w:rsidRPr="000E30EF">
              <w:rPr>
                <w:rFonts w:ascii="Times New Roman" w:hAnsi="Times New Roman"/>
                <w:bCs/>
                <w:sz w:val="26"/>
                <w:szCs w:val="26"/>
              </w:rPr>
              <w:t>mācību  gadā Eiropas skolās mācījās 275  Latvijas skolēni. Mācības notiek trīs plūsmās: angļu, franču vai vācu, vai arī ES dalībvalsts valodā.  Skolēnu dzimtā valoda, tajā skaitā  latviešu valoda tiek apgūta kā obligāts mācību priekšmets, sākot no 1.</w:t>
            </w:r>
            <w:r w:rsidR="0063408D" w:rsidRPr="000E30EF">
              <w:rPr>
                <w:rFonts w:ascii="Times New Roman" w:hAnsi="Times New Roman"/>
                <w:bCs/>
                <w:sz w:val="26"/>
                <w:szCs w:val="26"/>
              </w:rPr>
              <w:t> </w:t>
            </w:r>
            <w:r w:rsidRPr="000E30EF">
              <w:rPr>
                <w:rFonts w:ascii="Times New Roman" w:hAnsi="Times New Roman"/>
                <w:bCs/>
                <w:sz w:val="26"/>
                <w:szCs w:val="26"/>
              </w:rPr>
              <w:t>klases. Vidējās izglītības  nobeigu</w:t>
            </w:r>
            <w:r w:rsidR="003A0A35" w:rsidRPr="000E30EF">
              <w:rPr>
                <w:rFonts w:ascii="Times New Roman" w:hAnsi="Times New Roman"/>
                <w:bCs/>
                <w:sz w:val="26"/>
                <w:szCs w:val="26"/>
              </w:rPr>
              <w:t>mā tiek kārtoti Eiropas skolas b</w:t>
            </w:r>
            <w:r w:rsidRPr="000E30EF">
              <w:rPr>
                <w:rFonts w:ascii="Times New Roman" w:hAnsi="Times New Roman"/>
                <w:bCs/>
                <w:sz w:val="26"/>
                <w:szCs w:val="26"/>
              </w:rPr>
              <w:t xml:space="preserve">akalaurāta eksāmeni, </w:t>
            </w:r>
            <w:r w:rsidRPr="000E30EF">
              <w:rPr>
                <w:rFonts w:ascii="Times New Roman" w:hAnsi="Times New Roman"/>
                <w:bCs/>
                <w:sz w:val="26"/>
                <w:szCs w:val="26"/>
              </w:rPr>
              <w:lastRenderedPageBreak/>
              <w:t xml:space="preserve">tajā skaitā latviešu valoda.  Eiropas Skolas izglītības dokuments </w:t>
            </w:r>
            <w:r w:rsidR="003A0A35" w:rsidRPr="000E30EF">
              <w:rPr>
                <w:rFonts w:ascii="Times New Roman" w:hAnsi="Times New Roman"/>
                <w:bCs/>
                <w:sz w:val="26"/>
                <w:szCs w:val="26"/>
              </w:rPr>
              <w:t>–  Eiropas skolas b</w:t>
            </w:r>
            <w:r w:rsidRPr="000E30EF">
              <w:rPr>
                <w:rFonts w:ascii="Times New Roman" w:hAnsi="Times New Roman"/>
                <w:bCs/>
                <w:sz w:val="26"/>
                <w:szCs w:val="26"/>
              </w:rPr>
              <w:t xml:space="preserve">akalaurāta diploms par vispārējās vidējās izglītības ieguvi ir pamats uzņemšanai studiju programmās ES dalībvalstīs. </w:t>
            </w:r>
          </w:p>
          <w:p w14:paraId="6538B74E" w14:textId="79809493" w:rsidR="004D29A9" w:rsidRPr="000E30EF" w:rsidRDefault="004D29A9" w:rsidP="003A0A35">
            <w:pPr>
              <w:spacing w:after="0" w:line="240" w:lineRule="auto"/>
              <w:jc w:val="both"/>
              <w:rPr>
                <w:rFonts w:ascii="Times New Roman" w:hAnsi="Times New Roman"/>
                <w:bCs/>
                <w:sz w:val="26"/>
                <w:szCs w:val="26"/>
              </w:rPr>
            </w:pPr>
            <w:r w:rsidRPr="000E30EF">
              <w:rPr>
                <w:rFonts w:ascii="Times New Roman" w:hAnsi="Times New Roman"/>
                <w:sz w:val="26"/>
                <w:szCs w:val="26"/>
                <w:shd w:val="clear" w:color="auto" w:fill="FFFFFF"/>
              </w:rPr>
              <w:t xml:space="preserve">Latviešu valoda Eiropas skolās ir obligāts mācību priekšmets  un tiek kārtots bakalaurāta eksāmens, ko izstrādā </w:t>
            </w:r>
            <w:r w:rsidR="00BA777D" w:rsidRPr="000E30EF">
              <w:rPr>
                <w:rFonts w:ascii="Times New Roman" w:hAnsi="Times New Roman"/>
                <w:sz w:val="26"/>
                <w:szCs w:val="26"/>
                <w:shd w:val="clear" w:color="auto" w:fill="FFFFFF"/>
              </w:rPr>
              <w:t>Valsts izglītības satura centrs</w:t>
            </w:r>
            <w:r w:rsidRPr="000E30EF">
              <w:rPr>
                <w:rFonts w:ascii="Times New Roman" w:hAnsi="Times New Roman"/>
                <w:sz w:val="26"/>
                <w:szCs w:val="26"/>
                <w:shd w:val="clear" w:color="auto" w:fill="FFFFFF"/>
              </w:rPr>
              <w:t xml:space="preserve"> pēc Eiropas skolas noteiktajiem kritērijiem.</w:t>
            </w:r>
          </w:p>
          <w:p w14:paraId="2DFFBAFA" w14:textId="1B8BAF87" w:rsidR="00602930" w:rsidRPr="000E30EF" w:rsidRDefault="00602930" w:rsidP="00602930">
            <w:pPr>
              <w:spacing w:after="0" w:line="240" w:lineRule="auto"/>
              <w:jc w:val="both"/>
              <w:rPr>
                <w:rFonts w:ascii="Times New Roman" w:hAnsi="Times New Roman"/>
                <w:bCs/>
                <w:sz w:val="26"/>
                <w:szCs w:val="26"/>
              </w:rPr>
            </w:pPr>
          </w:p>
          <w:p w14:paraId="595F8464" w14:textId="46B4CC55" w:rsidR="00602930" w:rsidRPr="000E30EF" w:rsidRDefault="00602930" w:rsidP="00602930">
            <w:pPr>
              <w:spacing w:after="0" w:line="240" w:lineRule="auto"/>
              <w:jc w:val="both"/>
              <w:rPr>
                <w:rFonts w:ascii="Times New Roman" w:hAnsi="Times New Roman"/>
                <w:bCs/>
                <w:sz w:val="26"/>
                <w:szCs w:val="26"/>
              </w:rPr>
            </w:pPr>
            <w:r w:rsidRPr="000E30EF">
              <w:rPr>
                <w:rFonts w:ascii="Times New Roman" w:hAnsi="Times New Roman"/>
                <w:bCs/>
                <w:sz w:val="26"/>
                <w:szCs w:val="26"/>
              </w:rPr>
              <w:t>https://www.eursc.eu/en/European-Schools/European-Baccalaureate</w:t>
            </w:r>
          </w:p>
          <w:p w14:paraId="12FBD664" w14:textId="227E24E9" w:rsidR="0025201D" w:rsidRPr="000E30EF" w:rsidRDefault="00733474" w:rsidP="003A0A35">
            <w:pPr>
              <w:spacing w:after="0" w:line="240" w:lineRule="auto"/>
              <w:jc w:val="both"/>
              <w:rPr>
                <w:rFonts w:ascii="Times New Roman" w:hAnsi="Times New Roman"/>
                <w:bCs/>
                <w:sz w:val="26"/>
                <w:szCs w:val="26"/>
              </w:rPr>
            </w:pPr>
            <w:r w:rsidRPr="000E30EF">
              <w:rPr>
                <w:rFonts w:ascii="Times New Roman" w:hAnsi="Times New Roman"/>
                <w:bCs/>
                <w:sz w:val="26"/>
                <w:szCs w:val="26"/>
              </w:rPr>
              <w:t xml:space="preserve"> Tādējādi, lai precizētu Noteikumus atbilstoši esošajai situācijai, </w:t>
            </w:r>
            <w:r w:rsidR="007B0D4F" w:rsidRPr="000E30EF">
              <w:rPr>
                <w:rFonts w:ascii="Times New Roman" w:hAnsi="Times New Roman"/>
                <w:bCs/>
                <w:sz w:val="26"/>
                <w:szCs w:val="26"/>
              </w:rPr>
              <w:t xml:space="preserve"> Noteikumi papildināti </w:t>
            </w:r>
            <w:r w:rsidR="000E30EF" w:rsidRPr="000E30EF">
              <w:rPr>
                <w:rFonts w:ascii="Times New Roman" w:hAnsi="Times New Roman"/>
                <w:bCs/>
                <w:sz w:val="26"/>
                <w:szCs w:val="26"/>
              </w:rPr>
              <w:t xml:space="preserve">ar precizējošu normu (projekta </w:t>
            </w:r>
            <w:r w:rsidR="004E7195">
              <w:rPr>
                <w:rFonts w:ascii="Times New Roman" w:hAnsi="Times New Roman"/>
                <w:bCs/>
                <w:sz w:val="26"/>
                <w:szCs w:val="26"/>
              </w:rPr>
              <w:t>3</w:t>
            </w:r>
            <w:r w:rsidR="007B0D4F" w:rsidRPr="000E30EF">
              <w:rPr>
                <w:rFonts w:ascii="Times New Roman" w:hAnsi="Times New Roman"/>
                <w:bCs/>
                <w:sz w:val="26"/>
                <w:szCs w:val="26"/>
              </w:rPr>
              <w:t>. punkts)</w:t>
            </w:r>
            <w:r w:rsidR="00BA777D" w:rsidRPr="000E30EF">
              <w:rPr>
                <w:rFonts w:ascii="Times New Roman" w:hAnsi="Times New Roman"/>
                <w:bCs/>
                <w:sz w:val="26"/>
                <w:szCs w:val="26"/>
              </w:rPr>
              <w:t xml:space="preserve">, attiecīgi precizējot Noteikumu </w:t>
            </w:r>
            <w:r w:rsidR="007B0D4F" w:rsidRPr="000E30EF">
              <w:rPr>
                <w:rFonts w:ascii="Times New Roman" w:hAnsi="Times New Roman"/>
                <w:bCs/>
                <w:sz w:val="26"/>
                <w:szCs w:val="26"/>
              </w:rPr>
              <w:t>13.6. apakšpunkt</w:t>
            </w:r>
            <w:r w:rsidR="00BA777D" w:rsidRPr="000E30EF">
              <w:rPr>
                <w:rFonts w:ascii="Times New Roman" w:hAnsi="Times New Roman"/>
                <w:bCs/>
                <w:sz w:val="26"/>
                <w:szCs w:val="26"/>
              </w:rPr>
              <w:t>u</w:t>
            </w:r>
            <w:r w:rsidR="007B0D4F" w:rsidRPr="000E30EF">
              <w:rPr>
                <w:rFonts w:ascii="Times New Roman" w:hAnsi="Times New Roman"/>
                <w:bCs/>
                <w:sz w:val="26"/>
                <w:szCs w:val="26"/>
              </w:rPr>
              <w:t xml:space="preserve"> (projekta </w:t>
            </w:r>
            <w:r w:rsidR="004E7195">
              <w:rPr>
                <w:rFonts w:ascii="Times New Roman" w:hAnsi="Times New Roman"/>
                <w:bCs/>
                <w:sz w:val="26"/>
                <w:szCs w:val="26"/>
              </w:rPr>
              <w:t>4</w:t>
            </w:r>
            <w:r w:rsidR="007B0D4F" w:rsidRPr="000E30EF">
              <w:rPr>
                <w:rFonts w:ascii="Times New Roman" w:hAnsi="Times New Roman"/>
                <w:bCs/>
                <w:sz w:val="26"/>
                <w:szCs w:val="26"/>
              </w:rPr>
              <w:t xml:space="preserve">. punkts). </w:t>
            </w:r>
          </w:p>
          <w:p w14:paraId="7D98BB8D" w14:textId="77777777" w:rsidR="007B0D4F" w:rsidRPr="000E30EF" w:rsidRDefault="007B0D4F" w:rsidP="003A0A35">
            <w:pPr>
              <w:spacing w:after="0" w:line="240" w:lineRule="auto"/>
              <w:jc w:val="both"/>
              <w:rPr>
                <w:rFonts w:ascii="Times New Roman" w:hAnsi="Times New Roman"/>
                <w:b/>
                <w:bCs/>
                <w:sz w:val="26"/>
                <w:szCs w:val="26"/>
              </w:rPr>
            </w:pPr>
          </w:p>
          <w:p w14:paraId="62B97671" w14:textId="0E9217D7" w:rsidR="00BE3D7D" w:rsidRPr="000E30EF" w:rsidRDefault="003A0A35" w:rsidP="003A0A35">
            <w:pPr>
              <w:spacing w:after="0" w:line="240" w:lineRule="auto"/>
              <w:jc w:val="both"/>
              <w:rPr>
                <w:rFonts w:ascii="Times New Roman" w:hAnsi="Times New Roman"/>
                <w:b/>
                <w:bCs/>
                <w:sz w:val="26"/>
                <w:szCs w:val="26"/>
              </w:rPr>
            </w:pPr>
            <w:r w:rsidRPr="000E30EF">
              <w:rPr>
                <w:rFonts w:ascii="Times New Roman" w:hAnsi="Times New Roman"/>
                <w:b/>
                <w:bCs/>
                <w:sz w:val="26"/>
                <w:szCs w:val="26"/>
              </w:rPr>
              <w:t>Ār</w:t>
            </w:r>
            <w:r w:rsidR="00A515A2" w:rsidRPr="000E30EF">
              <w:rPr>
                <w:rFonts w:ascii="Times New Roman" w:hAnsi="Times New Roman"/>
                <w:b/>
                <w:bCs/>
                <w:sz w:val="26"/>
                <w:szCs w:val="26"/>
              </w:rPr>
              <w:t>zemnieku</w:t>
            </w:r>
            <w:r w:rsidRPr="000E30EF">
              <w:rPr>
                <w:rFonts w:ascii="Times New Roman" w:hAnsi="Times New Roman"/>
                <w:b/>
                <w:bCs/>
                <w:sz w:val="26"/>
                <w:szCs w:val="26"/>
              </w:rPr>
              <w:t xml:space="preserve"> uzņemšana augstskolās un koledžās</w:t>
            </w:r>
          </w:p>
          <w:p w14:paraId="37368009" w14:textId="77777777" w:rsidR="003A0A35" w:rsidRPr="000E30EF" w:rsidRDefault="003A0A35" w:rsidP="003A0A35">
            <w:pPr>
              <w:spacing w:after="0" w:line="240" w:lineRule="auto"/>
              <w:jc w:val="both"/>
              <w:rPr>
                <w:rFonts w:ascii="Times New Roman" w:hAnsi="Times New Roman"/>
                <w:bCs/>
                <w:sz w:val="26"/>
                <w:szCs w:val="26"/>
              </w:rPr>
            </w:pPr>
          </w:p>
          <w:p w14:paraId="7FA66C92" w14:textId="59D86E26" w:rsidR="000A283A" w:rsidRPr="000E30EF" w:rsidRDefault="000A283A" w:rsidP="003A0A35">
            <w:pPr>
              <w:spacing w:after="0" w:line="240" w:lineRule="auto"/>
              <w:jc w:val="both"/>
              <w:rPr>
                <w:rFonts w:ascii="Times New Roman" w:hAnsi="Times New Roman"/>
                <w:bCs/>
                <w:sz w:val="26"/>
                <w:szCs w:val="26"/>
              </w:rPr>
            </w:pPr>
            <w:r w:rsidRPr="000E30EF">
              <w:rPr>
                <w:rFonts w:ascii="Times New Roman" w:hAnsi="Times New Roman"/>
                <w:bCs/>
                <w:sz w:val="26"/>
                <w:szCs w:val="26"/>
              </w:rPr>
              <w:t>Ār</w:t>
            </w:r>
            <w:r w:rsidR="00A515A2" w:rsidRPr="000E30EF">
              <w:rPr>
                <w:rFonts w:ascii="Times New Roman" w:hAnsi="Times New Roman"/>
                <w:bCs/>
                <w:sz w:val="26"/>
                <w:szCs w:val="26"/>
              </w:rPr>
              <w:t>zemnieku</w:t>
            </w:r>
            <w:r w:rsidRPr="000E30EF">
              <w:rPr>
                <w:rFonts w:ascii="Times New Roman" w:hAnsi="Times New Roman"/>
                <w:bCs/>
                <w:sz w:val="26"/>
                <w:szCs w:val="26"/>
              </w:rPr>
              <w:t xml:space="preserve"> tiesības studēt augstskolās un koledžās ir noteiktas  Augstskolu likuma 45. un 83.</w:t>
            </w:r>
            <w:r w:rsidR="005474AE" w:rsidRPr="000E30EF">
              <w:rPr>
                <w:rFonts w:ascii="Times New Roman" w:hAnsi="Times New Roman"/>
                <w:bCs/>
                <w:sz w:val="26"/>
                <w:szCs w:val="26"/>
              </w:rPr>
              <w:t> </w:t>
            </w:r>
            <w:r w:rsidRPr="000E30EF">
              <w:rPr>
                <w:rFonts w:ascii="Times New Roman" w:hAnsi="Times New Roman"/>
                <w:bCs/>
                <w:sz w:val="26"/>
                <w:szCs w:val="26"/>
              </w:rPr>
              <w:t>pantā. Uz tiem ār</w:t>
            </w:r>
            <w:r w:rsidR="00A515A2" w:rsidRPr="000E30EF">
              <w:rPr>
                <w:rFonts w:ascii="Times New Roman" w:hAnsi="Times New Roman"/>
                <w:bCs/>
                <w:sz w:val="26"/>
                <w:szCs w:val="26"/>
              </w:rPr>
              <w:t>zemniekiem</w:t>
            </w:r>
            <w:r w:rsidRPr="000E30EF">
              <w:rPr>
                <w:rFonts w:ascii="Times New Roman" w:hAnsi="Times New Roman"/>
                <w:bCs/>
                <w:sz w:val="26"/>
                <w:szCs w:val="26"/>
              </w:rPr>
              <w:t xml:space="preserve">, kas nav minēti  Augstskolu likuma 45. panta </w:t>
            </w:r>
            <w:r w:rsidR="005474AE" w:rsidRPr="000E30EF">
              <w:rPr>
                <w:rFonts w:ascii="Times New Roman" w:hAnsi="Times New Roman"/>
                <w:bCs/>
                <w:sz w:val="26"/>
                <w:szCs w:val="26"/>
              </w:rPr>
              <w:t xml:space="preserve">otrajā </w:t>
            </w:r>
            <w:r w:rsidRPr="000E30EF">
              <w:rPr>
                <w:rFonts w:ascii="Times New Roman" w:hAnsi="Times New Roman"/>
                <w:bCs/>
                <w:sz w:val="26"/>
                <w:szCs w:val="26"/>
              </w:rPr>
              <w:t>daļā, ir attiecinām</w:t>
            </w:r>
            <w:r w:rsidR="005474AE" w:rsidRPr="000E30EF">
              <w:rPr>
                <w:rFonts w:ascii="Times New Roman" w:hAnsi="Times New Roman"/>
                <w:bCs/>
                <w:sz w:val="26"/>
                <w:szCs w:val="26"/>
              </w:rPr>
              <w:t>a</w:t>
            </w:r>
            <w:r w:rsidRPr="000E30EF">
              <w:rPr>
                <w:rFonts w:ascii="Times New Roman" w:hAnsi="Times New Roman"/>
                <w:bCs/>
                <w:sz w:val="26"/>
                <w:szCs w:val="26"/>
              </w:rPr>
              <w:t>s 83.</w:t>
            </w:r>
            <w:r w:rsidR="005474AE" w:rsidRPr="000E30EF">
              <w:rPr>
                <w:rFonts w:ascii="Times New Roman" w:hAnsi="Times New Roman"/>
                <w:bCs/>
                <w:sz w:val="26"/>
                <w:szCs w:val="26"/>
              </w:rPr>
              <w:t> </w:t>
            </w:r>
            <w:r w:rsidRPr="000E30EF">
              <w:rPr>
                <w:rFonts w:ascii="Times New Roman" w:hAnsi="Times New Roman"/>
                <w:bCs/>
                <w:sz w:val="26"/>
                <w:szCs w:val="26"/>
              </w:rPr>
              <w:t>pant</w:t>
            </w:r>
            <w:r w:rsidR="005474AE" w:rsidRPr="000E30EF">
              <w:rPr>
                <w:rFonts w:ascii="Times New Roman" w:hAnsi="Times New Roman"/>
                <w:bCs/>
                <w:sz w:val="26"/>
                <w:szCs w:val="26"/>
              </w:rPr>
              <w:t>a normas</w:t>
            </w:r>
            <w:r w:rsidR="00392727" w:rsidRPr="000E30EF">
              <w:rPr>
                <w:rFonts w:ascii="Times New Roman" w:hAnsi="Times New Roman"/>
                <w:bCs/>
                <w:sz w:val="26"/>
                <w:szCs w:val="26"/>
              </w:rPr>
              <w:t>.</w:t>
            </w:r>
          </w:p>
          <w:p w14:paraId="6F9706F9" w14:textId="2CB1A189" w:rsidR="00BC7635" w:rsidRPr="000E30EF" w:rsidRDefault="008F6C6E" w:rsidP="003A0A35">
            <w:pPr>
              <w:spacing w:after="0" w:line="240" w:lineRule="auto"/>
              <w:jc w:val="both"/>
              <w:rPr>
                <w:rFonts w:ascii="Times New Roman" w:hAnsi="Times New Roman"/>
                <w:sz w:val="26"/>
                <w:szCs w:val="26"/>
              </w:rPr>
            </w:pPr>
            <w:r w:rsidRPr="000E30EF">
              <w:rPr>
                <w:rFonts w:ascii="Times New Roman" w:hAnsi="Times New Roman"/>
                <w:bCs/>
                <w:sz w:val="26"/>
                <w:szCs w:val="26"/>
              </w:rPr>
              <w:t xml:space="preserve"> </w:t>
            </w:r>
            <w:r w:rsidR="0034359D" w:rsidRPr="000E30EF">
              <w:rPr>
                <w:rFonts w:ascii="Times New Roman" w:hAnsi="Times New Roman"/>
                <w:bCs/>
                <w:sz w:val="26"/>
                <w:szCs w:val="26"/>
              </w:rPr>
              <w:t xml:space="preserve">Tā kā </w:t>
            </w:r>
            <w:r w:rsidR="002435B9" w:rsidRPr="000E30EF">
              <w:rPr>
                <w:rFonts w:ascii="Times New Roman" w:hAnsi="Times New Roman"/>
                <w:bCs/>
                <w:sz w:val="26"/>
                <w:szCs w:val="26"/>
              </w:rPr>
              <w:t xml:space="preserve">studiju programmas var īstenot arī svešvalodā, </w:t>
            </w:r>
            <w:r w:rsidR="002435B9" w:rsidRPr="000E30EF">
              <w:rPr>
                <w:rFonts w:ascii="Times New Roman" w:hAnsi="Times New Roman"/>
                <w:sz w:val="26"/>
                <w:szCs w:val="26"/>
              </w:rPr>
              <w:t>Augstskol</w:t>
            </w:r>
            <w:r w:rsidR="00BE3D7D" w:rsidRPr="000E30EF">
              <w:rPr>
                <w:rFonts w:ascii="Times New Roman" w:hAnsi="Times New Roman"/>
                <w:sz w:val="26"/>
                <w:szCs w:val="26"/>
              </w:rPr>
              <w:t>u likuma 83.</w:t>
            </w:r>
            <w:r w:rsidR="00297E0A" w:rsidRPr="000E30EF">
              <w:rPr>
                <w:rFonts w:ascii="Times New Roman" w:hAnsi="Times New Roman"/>
                <w:sz w:val="26"/>
                <w:szCs w:val="26"/>
              </w:rPr>
              <w:t> </w:t>
            </w:r>
            <w:r w:rsidR="00BE3D7D" w:rsidRPr="000E30EF">
              <w:rPr>
                <w:rFonts w:ascii="Times New Roman" w:hAnsi="Times New Roman"/>
                <w:sz w:val="26"/>
                <w:szCs w:val="26"/>
              </w:rPr>
              <w:t>panta pirmās daļas 2</w:t>
            </w:r>
            <w:r w:rsidR="002435B9" w:rsidRPr="000E30EF">
              <w:rPr>
                <w:rFonts w:ascii="Times New Roman" w:hAnsi="Times New Roman"/>
                <w:sz w:val="26"/>
                <w:szCs w:val="26"/>
              </w:rPr>
              <w:t>.</w:t>
            </w:r>
            <w:r w:rsidR="005474AE" w:rsidRPr="000E30EF">
              <w:rPr>
                <w:rFonts w:ascii="Times New Roman" w:hAnsi="Times New Roman"/>
                <w:sz w:val="26"/>
                <w:szCs w:val="26"/>
              </w:rPr>
              <w:t> </w:t>
            </w:r>
            <w:r w:rsidR="00BE3D7D" w:rsidRPr="000E30EF">
              <w:rPr>
                <w:rFonts w:ascii="Times New Roman" w:hAnsi="Times New Roman"/>
                <w:sz w:val="26"/>
                <w:szCs w:val="26"/>
              </w:rPr>
              <w:t>punktā noteikts, ka ārzemnieku zināšanām jāatbilst augstskolas vai koledžas uzņemšanas noteikumu prasībām.</w:t>
            </w:r>
            <w:r w:rsidR="00E373C8" w:rsidRPr="000E30EF">
              <w:rPr>
                <w:rFonts w:ascii="Times New Roman" w:hAnsi="Times New Roman"/>
                <w:sz w:val="26"/>
                <w:szCs w:val="26"/>
              </w:rPr>
              <w:t xml:space="preserve"> </w:t>
            </w:r>
          </w:p>
          <w:p w14:paraId="1AC5B03F" w14:textId="77777777" w:rsidR="00BE3D7D" w:rsidRPr="000E30EF" w:rsidRDefault="00BE3D7D" w:rsidP="003A0A35">
            <w:pPr>
              <w:spacing w:after="0" w:line="240" w:lineRule="auto"/>
              <w:jc w:val="both"/>
              <w:rPr>
                <w:rFonts w:ascii="Times New Roman" w:hAnsi="Times New Roman"/>
                <w:sz w:val="26"/>
                <w:szCs w:val="26"/>
              </w:rPr>
            </w:pPr>
          </w:p>
          <w:p w14:paraId="482DD54A" w14:textId="4EBCDE7A" w:rsidR="00C45CCF" w:rsidRPr="000E30EF" w:rsidRDefault="00C45CCF" w:rsidP="003A0A35">
            <w:pPr>
              <w:spacing w:after="0" w:line="240" w:lineRule="auto"/>
              <w:jc w:val="both"/>
              <w:rPr>
                <w:rFonts w:ascii="Times New Roman" w:hAnsi="Times New Roman"/>
                <w:sz w:val="26"/>
                <w:szCs w:val="26"/>
              </w:rPr>
            </w:pPr>
            <w:r w:rsidRPr="000E30EF">
              <w:rPr>
                <w:rFonts w:ascii="Times New Roman" w:hAnsi="Times New Roman"/>
                <w:sz w:val="26"/>
                <w:szCs w:val="26"/>
              </w:rPr>
              <w:t xml:space="preserve">Galvenais iemesls, kādēļ nepieciešams </w:t>
            </w:r>
            <w:r w:rsidR="00EC006A" w:rsidRPr="000E30EF">
              <w:rPr>
                <w:rFonts w:ascii="Times New Roman" w:hAnsi="Times New Roman"/>
                <w:sz w:val="26"/>
                <w:szCs w:val="26"/>
              </w:rPr>
              <w:t xml:space="preserve">iekļaut </w:t>
            </w:r>
            <w:r w:rsidR="009C6ED8" w:rsidRPr="000E30EF">
              <w:rPr>
                <w:rFonts w:ascii="Times New Roman" w:hAnsi="Times New Roman"/>
                <w:sz w:val="26"/>
                <w:szCs w:val="26"/>
              </w:rPr>
              <w:t xml:space="preserve">noteiktas prasības </w:t>
            </w:r>
            <w:r w:rsidR="0071003A" w:rsidRPr="000E30EF">
              <w:rPr>
                <w:rFonts w:ascii="Times New Roman" w:hAnsi="Times New Roman"/>
                <w:sz w:val="26"/>
                <w:szCs w:val="26"/>
              </w:rPr>
              <w:t>N</w:t>
            </w:r>
            <w:r w:rsidRPr="000E30EF">
              <w:rPr>
                <w:rFonts w:ascii="Times New Roman" w:hAnsi="Times New Roman"/>
                <w:sz w:val="26"/>
                <w:szCs w:val="26"/>
              </w:rPr>
              <w:t>oteikumos</w:t>
            </w:r>
            <w:r w:rsidR="00EC006A" w:rsidRPr="000E30EF">
              <w:rPr>
                <w:rFonts w:ascii="Times New Roman" w:hAnsi="Times New Roman"/>
                <w:sz w:val="26"/>
                <w:szCs w:val="26"/>
              </w:rPr>
              <w:t>,</w:t>
            </w:r>
            <w:r w:rsidRPr="000E30EF">
              <w:rPr>
                <w:rFonts w:ascii="Times New Roman" w:hAnsi="Times New Roman"/>
                <w:sz w:val="26"/>
                <w:szCs w:val="26"/>
              </w:rPr>
              <w:t xml:space="preserve"> </w:t>
            </w:r>
            <w:r w:rsidR="009C6ED8" w:rsidRPr="000E30EF">
              <w:rPr>
                <w:rFonts w:ascii="Times New Roman" w:hAnsi="Times New Roman"/>
                <w:sz w:val="26"/>
                <w:szCs w:val="26"/>
              </w:rPr>
              <w:t xml:space="preserve">kuras būs jāņem vērā augstskolām </w:t>
            </w:r>
            <w:r w:rsidR="0020342A" w:rsidRPr="000E30EF">
              <w:rPr>
                <w:rFonts w:ascii="Times New Roman" w:hAnsi="Times New Roman"/>
                <w:sz w:val="26"/>
                <w:szCs w:val="26"/>
              </w:rPr>
              <w:t xml:space="preserve">un koledžām, </w:t>
            </w:r>
            <w:r w:rsidR="009C6ED8" w:rsidRPr="000E30EF">
              <w:rPr>
                <w:rFonts w:ascii="Times New Roman" w:hAnsi="Times New Roman"/>
                <w:sz w:val="26"/>
                <w:szCs w:val="26"/>
              </w:rPr>
              <w:t xml:space="preserve">izstrādājot savus uzņemšanas noteikumus, </w:t>
            </w:r>
            <w:r w:rsidRPr="000E30EF">
              <w:rPr>
                <w:rFonts w:ascii="Times New Roman" w:hAnsi="Times New Roman"/>
                <w:sz w:val="26"/>
                <w:szCs w:val="26"/>
              </w:rPr>
              <w:t xml:space="preserve">ir </w:t>
            </w:r>
            <w:r w:rsidR="00EC006A" w:rsidRPr="000E30EF">
              <w:rPr>
                <w:rFonts w:ascii="Times New Roman" w:hAnsi="Times New Roman"/>
                <w:sz w:val="26"/>
                <w:szCs w:val="26"/>
              </w:rPr>
              <w:t>vairāku augstskolu līdzšinējā prakse ārvalstu studentu piesaistē, atlasē un uzņemšanā. D</w:t>
            </w:r>
            <w:r w:rsidRPr="000E30EF">
              <w:rPr>
                <w:rFonts w:ascii="Times New Roman" w:hAnsi="Times New Roman"/>
                <w:sz w:val="26"/>
                <w:szCs w:val="26"/>
              </w:rPr>
              <w:t xml:space="preserve">audzām augstskolām  uzņemšanas noteikumos ir noteiktas </w:t>
            </w:r>
            <w:r w:rsidR="009C6ED8" w:rsidRPr="000E30EF">
              <w:rPr>
                <w:rFonts w:ascii="Times New Roman" w:hAnsi="Times New Roman"/>
                <w:sz w:val="26"/>
                <w:szCs w:val="26"/>
              </w:rPr>
              <w:t xml:space="preserve">vispārējas </w:t>
            </w:r>
            <w:r w:rsidRPr="000E30EF">
              <w:rPr>
                <w:rFonts w:ascii="Times New Roman" w:hAnsi="Times New Roman"/>
                <w:sz w:val="26"/>
                <w:szCs w:val="26"/>
              </w:rPr>
              <w:t xml:space="preserve">prasības </w:t>
            </w:r>
            <w:r w:rsidR="009C6ED8" w:rsidRPr="000E30EF">
              <w:rPr>
                <w:rFonts w:ascii="Times New Roman" w:hAnsi="Times New Roman"/>
                <w:sz w:val="26"/>
                <w:szCs w:val="26"/>
              </w:rPr>
              <w:t xml:space="preserve">(minimālās) </w:t>
            </w:r>
            <w:r w:rsidRPr="000E30EF">
              <w:rPr>
                <w:rFonts w:ascii="Times New Roman" w:hAnsi="Times New Roman"/>
                <w:sz w:val="26"/>
                <w:szCs w:val="26"/>
              </w:rPr>
              <w:t>potenciālajiem ārvalstu studentiem no augstskolu puses</w:t>
            </w:r>
            <w:r w:rsidR="00EC006A" w:rsidRPr="000E30EF">
              <w:rPr>
                <w:rFonts w:ascii="Times New Roman" w:hAnsi="Times New Roman"/>
                <w:sz w:val="26"/>
                <w:szCs w:val="26"/>
              </w:rPr>
              <w:t xml:space="preserve"> </w:t>
            </w:r>
            <w:r w:rsidR="009C6ED8" w:rsidRPr="000E30EF">
              <w:rPr>
                <w:rFonts w:ascii="Times New Roman" w:hAnsi="Times New Roman"/>
                <w:sz w:val="26"/>
                <w:szCs w:val="26"/>
              </w:rPr>
              <w:t>un/</w:t>
            </w:r>
            <w:r w:rsidR="00EC006A" w:rsidRPr="000E30EF">
              <w:rPr>
                <w:rFonts w:ascii="Times New Roman" w:hAnsi="Times New Roman"/>
                <w:sz w:val="26"/>
                <w:szCs w:val="26"/>
              </w:rPr>
              <w:t>vai arī tās formāli vai nepilnīgi veic potenciālo ārvalstu studentu atlasi</w:t>
            </w:r>
            <w:r w:rsidRPr="000E30EF">
              <w:rPr>
                <w:rFonts w:ascii="Times New Roman" w:hAnsi="Times New Roman"/>
                <w:sz w:val="26"/>
                <w:szCs w:val="26"/>
              </w:rPr>
              <w:t xml:space="preserve">. </w:t>
            </w:r>
            <w:r w:rsidR="0020342A" w:rsidRPr="000E30EF">
              <w:rPr>
                <w:rFonts w:ascii="Times New Roman" w:hAnsi="Times New Roman"/>
                <w:sz w:val="26"/>
                <w:szCs w:val="26"/>
              </w:rPr>
              <w:t>Kopumā esošais normatīvais regulējums nav sekmējis visu augstskolu atbildīgu rīcību ār</w:t>
            </w:r>
            <w:r w:rsidR="00F946C7" w:rsidRPr="000E30EF">
              <w:rPr>
                <w:rFonts w:ascii="Times New Roman" w:hAnsi="Times New Roman"/>
                <w:sz w:val="26"/>
                <w:szCs w:val="26"/>
              </w:rPr>
              <w:t>zemnieku</w:t>
            </w:r>
            <w:r w:rsidR="0020342A" w:rsidRPr="000E30EF">
              <w:rPr>
                <w:rFonts w:ascii="Times New Roman" w:hAnsi="Times New Roman"/>
                <w:sz w:val="26"/>
                <w:szCs w:val="26"/>
              </w:rPr>
              <w:t xml:space="preserve"> piesaistē un </w:t>
            </w:r>
            <w:r w:rsidR="00602930" w:rsidRPr="000E30EF">
              <w:rPr>
                <w:rFonts w:ascii="Times New Roman" w:hAnsi="Times New Roman"/>
                <w:sz w:val="26"/>
                <w:szCs w:val="26"/>
              </w:rPr>
              <w:t xml:space="preserve">ar </w:t>
            </w:r>
            <w:r w:rsidR="00F92987" w:rsidRPr="000E30EF">
              <w:rPr>
                <w:rFonts w:ascii="Times New Roman" w:hAnsi="Times New Roman"/>
                <w:sz w:val="26"/>
                <w:szCs w:val="26"/>
              </w:rPr>
              <w:t>augstākās izglītības iestā</w:t>
            </w:r>
            <w:r w:rsidR="00602930" w:rsidRPr="000E30EF">
              <w:rPr>
                <w:rFonts w:ascii="Times New Roman" w:hAnsi="Times New Roman"/>
                <w:sz w:val="26"/>
                <w:szCs w:val="26"/>
              </w:rPr>
              <w:t xml:space="preserve">žu starpniecību </w:t>
            </w:r>
            <w:r w:rsidRPr="000E30EF">
              <w:rPr>
                <w:rFonts w:ascii="Times New Roman" w:hAnsi="Times New Roman"/>
                <w:sz w:val="26"/>
                <w:szCs w:val="26"/>
              </w:rPr>
              <w:t>tiek p</w:t>
            </w:r>
            <w:r w:rsidR="00EC006A" w:rsidRPr="000E30EF">
              <w:rPr>
                <w:rFonts w:ascii="Times New Roman" w:hAnsi="Times New Roman"/>
                <w:sz w:val="26"/>
                <w:szCs w:val="26"/>
              </w:rPr>
              <w:t>iesaistīt</w:t>
            </w:r>
            <w:r w:rsidR="0020342A" w:rsidRPr="000E30EF">
              <w:rPr>
                <w:rFonts w:ascii="Times New Roman" w:hAnsi="Times New Roman"/>
                <w:sz w:val="26"/>
                <w:szCs w:val="26"/>
              </w:rPr>
              <w:t>i</w:t>
            </w:r>
            <w:r w:rsidR="00EC006A" w:rsidRPr="000E30EF">
              <w:rPr>
                <w:rFonts w:ascii="Times New Roman" w:hAnsi="Times New Roman"/>
                <w:sz w:val="26"/>
                <w:szCs w:val="26"/>
              </w:rPr>
              <w:t xml:space="preserve"> daudz tādi ārvalstnieki, kurie</w:t>
            </w:r>
            <w:r w:rsidR="009C6ED8" w:rsidRPr="000E30EF">
              <w:rPr>
                <w:rFonts w:ascii="Times New Roman" w:hAnsi="Times New Roman"/>
                <w:sz w:val="26"/>
                <w:szCs w:val="26"/>
              </w:rPr>
              <w:t>m tiek atteiktas vīzas un viņi</w:t>
            </w:r>
            <w:r w:rsidRPr="000E30EF">
              <w:rPr>
                <w:rFonts w:ascii="Times New Roman" w:hAnsi="Times New Roman"/>
                <w:sz w:val="26"/>
                <w:szCs w:val="26"/>
              </w:rPr>
              <w:t xml:space="preserve"> nemaz neuzsāk studijas</w:t>
            </w:r>
            <w:r w:rsidR="00F92987" w:rsidRPr="000E30EF">
              <w:rPr>
                <w:rFonts w:ascii="Times New Roman" w:hAnsi="Times New Roman"/>
                <w:sz w:val="26"/>
                <w:szCs w:val="26"/>
              </w:rPr>
              <w:t>; katru gadu pieaug anulēto uzturēšanās atļauju skaits ārvalstu studentiem</w:t>
            </w:r>
            <w:r w:rsidR="009C6ED8" w:rsidRPr="000E30EF">
              <w:rPr>
                <w:rFonts w:ascii="Times New Roman" w:hAnsi="Times New Roman"/>
                <w:sz w:val="26"/>
                <w:szCs w:val="26"/>
              </w:rPr>
              <w:t>, kas neturpina iesāktās studijas dažādu iemeslu dēļ</w:t>
            </w:r>
            <w:r w:rsidR="00F92987" w:rsidRPr="000E30EF">
              <w:rPr>
                <w:rFonts w:ascii="Times New Roman" w:hAnsi="Times New Roman"/>
                <w:sz w:val="26"/>
                <w:szCs w:val="26"/>
              </w:rPr>
              <w:t>.</w:t>
            </w:r>
            <w:r w:rsidR="009C6ED8" w:rsidRPr="000E30EF">
              <w:rPr>
                <w:rFonts w:ascii="Times New Roman" w:hAnsi="Times New Roman"/>
                <w:sz w:val="26"/>
                <w:szCs w:val="26"/>
              </w:rPr>
              <w:t xml:space="preserve">  </w:t>
            </w:r>
          </w:p>
          <w:p w14:paraId="586C9454" w14:textId="77777777" w:rsidR="00EC006A" w:rsidRPr="000E30EF" w:rsidRDefault="00EC006A" w:rsidP="003A0A35">
            <w:pPr>
              <w:spacing w:after="0" w:line="240" w:lineRule="auto"/>
              <w:jc w:val="both"/>
              <w:rPr>
                <w:rFonts w:ascii="Times New Roman" w:hAnsi="Times New Roman"/>
                <w:sz w:val="26"/>
                <w:szCs w:val="26"/>
              </w:rPr>
            </w:pPr>
          </w:p>
          <w:p w14:paraId="08186D35" w14:textId="5CBBE6CA" w:rsidR="00F92987" w:rsidRPr="000E30EF" w:rsidRDefault="00F92987" w:rsidP="003A0A35">
            <w:pPr>
              <w:spacing w:after="0" w:line="240" w:lineRule="auto"/>
              <w:jc w:val="both"/>
              <w:rPr>
                <w:rFonts w:ascii="Times New Roman" w:hAnsi="Times New Roman"/>
                <w:sz w:val="26"/>
                <w:szCs w:val="26"/>
              </w:rPr>
            </w:pPr>
            <w:r w:rsidRPr="000E30EF">
              <w:rPr>
                <w:rFonts w:ascii="Times New Roman" w:hAnsi="Times New Roman"/>
                <w:sz w:val="26"/>
                <w:szCs w:val="26"/>
              </w:rPr>
              <w:t>Pēdējos piecos gados ārvalstu studentu skaits ir pieaudzis 5 reizes jeb par 218%, bet kopš 2009.</w:t>
            </w:r>
            <w:r w:rsidR="00257F7B" w:rsidRPr="000E30EF">
              <w:rPr>
                <w:rFonts w:ascii="Times New Roman" w:hAnsi="Times New Roman"/>
                <w:sz w:val="26"/>
                <w:szCs w:val="26"/>
              </w:rPr>
              <w:t> </w:t>
            </w:r>
            <w:r w:rsidRPr="000E30EF">
              <w:rPr>
                <w:rFonts w:ascii="Times New Roman" w:hAnsi="Times New Roman"/>
                <w:sz w:val="26"/>
                <w:szCs w:val="26"/>
              </w:rPr>
              <w:t xml:space="preserve">gada pieaugums par 571%. </w:t>
            </w:r>
            <w:r w:rsidR="00EC006A" w:rsidRPr="000E30EF">
              <w:rPr>
                <w:rFonts w:ascii="Times New Roman" w:hAnsi="Times New Roman"/>
                <w:sz w:val="26"/>
                <w:szCs w:val="26"/>
              </w:rPr>
              <w:t>Savukārt normatīvais regulējums pamatā ir izstrādāts 2006. - 2011.</w:t>
            </w:r>
            <w:r w:rsidR="00257F7B" w:rsidRPr="000E30EF">
              <w:rPr>
                <w:rFonts w:ascii="Times New Roman" w:hAnsi="Times New Roman"/>
                <w:sz w:val="26"/>
                <w:szCs w:val="26"/>
              </w:rPr>
              <w:t> </w:t>
            </w:r>
            <w:r w:rsidR="00EC006A" w:rsidRPr="000E30EF">
              <w:rPr>
                <w:rFonts w:ascii="Times New Roman" w:hAnsi="Times New Roman"/>
                <w:sz w:val="26"/>
                <w:szCs w:val="26"/>
              </w:rPr>
              <w:t xml:space="preserve">gadu periodā, kad ārvalstu studenti bija </w:t>
            </w:r>
            <w:r w:rsidR="00EC006A" w:rsidRPr="000E30EF">
              <w:rPr>
                <w:rFonts w:ascii="Times New Roman" w:hAnsi="Times New Roman"/>
                <w:sz w:val="26"/>
                <w:szCs w:val="26"/>
              </w:rPr>
              <w:lastRenderedPageBreak/>
              <w:t>salīdzinoši maz</w:t>
            </w:r>
            <w:r w:rsidR="009C6ED8" w:rsidRPr="000E30EF">
              <w:rPr>
                <w:rFonts w:ascii="Times New Roman" w:hAnsi="Times New Roman"/>
                <w:sz w:val="26"/>
                <w:szCs w:val="26"/>
              </w:rPr>
              <w:t>,</w:t>
            </w:r>
            <w:r w:rsidR="00EC006A" w:rsidRPr="000E30EF">
              <w:rPr>
                <w:rFonts w:ascii="Times New Roman" w:hAnsi="Times New Roman"/>
                <w:sz w:val="26"/>
                <w:szCs w:val="26"/>
              </w:rPr>
              <w:t xml:space="preserve"> un tie studēja tikai dažās </w:t>
            </w:r>
            <w:r w:rsidR="009C6ED8" w:rsidRPr="000E30EF">
              <w:rPr>
                <w:rFonts w:ascii="Times New Roman" w:hAnsi="Times New Roman"/>
                <w:sz w:val="26"/>
                <w:szCs w:val="26"/>
              </w:rPr>
              <w:t xml:space="preserve">universitātēs un </w:t>
            </w:r>
            <w:r w:rsidR="00EC006A" w:rsidRPr="000E30EF">
              <w:rPr>
                <w:rFonts w:ascii="Times New Roman" w:hAnsi="Times New Roman"/>
                <w:sz w:val="26"/>
                <w:szCs w:val="26"/>
              </w:rPr>
              <w:t>augstskolās.</w:t>
            </w:r>
            <w:r w:rsidR="009C6ED8" w:rsidRPr="000E30EF">
              <w:rPr>
                <w:rFonts w:ascii="Times New Roman" w:hAnsi="Times New Roman"/>
                <w:sz w:val="26"/>
                <w:szCs w:val="26"/>
              </w:rPr>
              <w:t xml:space="preserve"> </w:t>
            </w:r>
            <w:r w:rsidR="00D95BD7" w:rsidRPr="000E30EF">
              <w:rPr>
                <w:rFonts w:ascii="Times New Roman" w:hAnsi="Times New Roman"/>
                <w:sz w:val="26"/>
                <w:szCs w:val="26"/>
              </w:rPr>
              <w:t>Spēkā esošais normatīvais regulējums augstskolām darbā ar ārvalstu studentiem, jo īpaši studentu piesaistē un atlasē, nosaka lielu autonomiju institūcijai, taču vienlaikus tas ir radījis būtiskus riskus</w:t>
            </w:r>
            <w:r w:rsidR="009E6F33" w:rsidRPr="000E30EF">
              <w:rPr>
                <w:rFonts w:ascii="Times New Roman" w:hAnsi="Times New Roman"/>
                <w:sz w:val="26"/>
                <w:szCs w:val="26"/>
              </w:rPr>
              <w:t>, t.sk. Latvijas augstākās izglītības reputācijai</w:t>
            </w:r>
            <w:r w:rsidR="00D95BD7" w:rsidRPr="000E30EF">
              <w:rPr>
                <w:rFonts w:ascii="Times New Roman" w:hAnsi="Times New Roman"/>
                <w:sz w:val="26"/>
                <w:szCs w:val="26"/>
              </w:rPr>
              <w:t xml:space="preserve"> un lielu administratīvo slogu valsts pārvaldes iestādēm, ja augstskolas </w:t>
            </w:r>
            <w:r w:rsidR="0029382A" w:rsidRPr="000E30EF">
              <w:rPr>
                <w:rFonts w:ascii="Times New Roman" w:hAnsi="Times New Roman"/>
                <w:sz w:val="26"/>
                <w:szCs w:val="26"/>
              </w:rPr>
              <w:t xml:space="preserve">un koledžas </w:t>
            </w:r>
            <w:r w:rsidR="00D95BD7" w:rsidRPr="000E30EF">
              <w:rPr>
                <w:rFonts w:ascii="Times New Roman" w:hAnsi="Times New Roman"/>
                <w:sz w:val="26"/>
                <w:szCs w:val="26"/>
              </w:rPr>
              <w:t>neveic rūpīgu studētgribētāju atlasi</w:t>
            </w:r>
            <w:r w:rsidR="00177652" w:rsidRPr="000E30EF">
              <w:rPr>
                <w:rFonts w:ascii="Times New Roman" w:hAnsi="Times New Roman"/>
                <w:sz w:val="26"/>
                <w:szCs w:val="26"/>
              </w:rPr>
              <w:t xml:space="preserve"> no trešajām valstīm.</w:t>
            </w:r>
          </w:p>
          <w:p w14:paraId="2BA70B5E" w14:textId="77777777" w:rsidR="00EC006A" w:rsidRPr="000E30EF" w:rsidRDefault="00EC006A" w:rsidP="003A0A35">
            <w:pPr>
              <w:spacing w:after="0" w:line="240" w:lineRule="auto"/>
              <w:jc w:val="both"/>
              <w:rPr>
                <w:rFonts w:ascii="Times New Roman" w:hAnsi="Times New Roman"/>
                <w:sz w:val="26"/>
                <w:szCs w:val="26"/>
              </w:rPr>
            </w:pPr>
          </w:p>
          <w:p w14:paraId="431E7FC1" w14:textId="262567B6" w:rsidR="00EC006A" w:rsidRPr="000E30EF" w:rsidRDefault="00EC006A" w:rsidP="003A0A35">
            <w:pPr>
              <w:spacing w:after="0" w:line="240" w:lineRule="auto"/>
              <w:jc w:val="both"/>
              <w:rPr>
                <w:rFonts w:ascii="Times New Roman" w:hAnsi="Times New Roman"/>
                <w:sz w:val="26"/>
                <w:szCs w:val="26"/>
              </w:rPr>
            </w:pPr>
            <w:r w:rsidRPr="000E30EF">
              <w:rPr>
                <w:rFonts w:ascii="Times New Roman" w:hAnsi="Times New Roman"/>
                <w:sz w:val="26"/>
                <w:szCs w:val="26"/>
              </w:rPr>
              <w:t xml:space="preserve">Lai novērstu to, ka Latvijā </w:t>
            </w:r>
            <w:r w:rsidR="00602930" w:rsidRPr="000E30EF">
              <w:rPr>
                <w:rFonts w:ascii="Times New Roman" w:hAnsi="Times New Roman"/>
                <w:sz w:val="26"/>
                <w:szCs w:val="26"/>
              </w:rPr>
              <w:t xml:space="preserve">ar </w:t>
            </w:r>
            <w:r w:rsidRPr="000E30EF">
              <w:rPr>
                <w:rFonts w:ascii="Times New Roman" w:hAnsi="Times New Roman"/>
                <w:sz w:val="26"/>
                <w:szCs w:val="26"/>
              </w:rPr>
              <w:t>augstākās izglītības iestā</w:t>
            </w:r>
            <w:r w:rsidR="00602930" w:rsidRPr="000E30EF">
              <w:rPr>
                <w:rFonts w:ascii="Times New Roman" w:hAnsi="Times New Roman"/>
                <w:sz w:val="26"/>
                <w:szCs w:val="26"/>
              </w:rPr>
              <w:t>žu starpniecību</w:t>
            </w:r>
            <w:r w:rsidRPr="000E30EF">
              <w:rPr>
                <w:rFonts w:ascii="Times New Roman" w:hAnsi="Times New Roman"/>
                <w:sz w:val="26"/>
                <w:szCs w:val="26"/>
              </w:rPr>
              <w:t xml:space="preserve"> ierodas personas ar zemu iepriekšējo izglītību</w:t>
            </w:r>
            <w:r w:rsidR="00E81343" w:rsidRPr="000E30EF">
              <w:rPr>
                <w:rFonts w:ascii="Times New Roman" w:hAnsi="Times New Roman"/>
                <w:sz w:val="26"/>
                <w:szCs w:val="26"/>
              </w:rPr>
              <w:t xml:space="preserve"> vai</w:t>
            </w:r>
            <w:r w:rsidRPr="000E30EF">
              <w:rPr>
                <w:rFonts w:ascii="Times New Roman" w:hAnsi="Times New Roman"/>
                <w:sz w:val="26"/>
                <w:szCs w:val="26"/>
              </w:rPr>
              <w:t xml:space="preserve"> tādas, kuras nevar iestāties savas mītnes vai izcelsmes valsts augstskolās, ir nepieciešams </w:t>
            </w:r>
            <w:r w:rsidR="00D57FBC" w:rsidRPr="000E30EF">
              <w:rPr>
                <w:rFonts w:ascii="Times New Roman" w:hAnsi="Times New Roman"/>
                <w:sz w:val="26"/>
                <w:szCs w:val="26"/>
              </w:rPr>
              <w:t>pārliecinā</w:t>
            </w:r>
            <w:r w:rsidR="00462E82" w:rsidRPr="000E30EF">
              <w:rPr>
                <w:rFonts w:ascii="Times New Roman" w:hAnsi="Times New Roman"/>
                <w:sz w:val="26"/>
                <w:szCs w:val="26"/>
              </w:rPr>
              <w:t>ties</w:t>
            </w:r>
            <w:r w:rsidR="00D57FBC" w:rsidRPr="000E30EF">
              <w:rPr>
                <w:rFonts w:ascii="Times New Roman" w:hAnsi="Times New Roman"/>
                <w:sz w:val="26"/>
                <w:szCs w:val="26"/>
              </w:rPr>
              <w:t xml:space="preserve"> par studētgribētāja </w:t>
            </w:r>
            <w:r w:rsidRPr="000E30EF">
              <w:rPr>
                <w:rFonts w:ascii="Times New Roman" w:hAnsi="Times New Roman"/>
                <w:sz w:val="26"/>
                <w:szCs w:val="26"/>
              </w:rPr>
              <w:t>motivāciju un sp</w:t>
            </w:r>
            <w:r w:rsidR="00D57FBC" w:rsidRPr="000E30EF">
              <w:rPr>
                <w:rFonts w:ascii="Times New Roman" w:hAnsi="Times New Roman"/>
                <w:sz w:val="26"/>
                <w:szCs w:val="26"/>
              </w:rPr>
              <w:t>ējām</w:t>
            </w:r>
            <w:r w:rsidRPr="000E30EF">
              <w:rPr>
                <w:rFonts w:ascii="Times New Roman" w:hAnsi="Times New Roman"/>
                <w:sz w:val="26"/>
                <w:szCs w:val="26"/>
              </w:rPr>
              <w:t xml:space="preserve"> studēt izvēlētajā studiju programmā, veicot padziļinātu interviju ar katru reflektantu. </w:t>
            </w:r>
          </w:p>
          <w:p w14:paraId="2E9894A5" w14:textId="77777777" w:rsidR="00E81343" w:rsidRPr="000E30EF" w:rsidRDefault="00E81343" w:rsidP="003A0A35">
            <w:pPr>
              <w:spacing w:after="0" w:line="240" w:lineRule="auto"/>
              <w:jc w:val="both"/>
              <w:rPr>
                <w:rFonts w:ascii="Times New Roman" w:hAnsi="Times New Roman"/>
                <w:sz w:val="26"/>
                <w:szCs w:val="26"/>
              </w:rPr>
            </w:pPr>
          </w:p>
          <w:p w14:paraId="7B3BC249" w14:textId="23A42F73" w:rsidR="0034498F" w:rsidRPr="000E30EF" w:rsidRDefault="00E81343" w:rsidP="003A0A35">
            <w:pPr>
              <w:spacing w:after="0" w:line="240" w:lineRule="auto"/>
              <w:jc w:val="both"/>
              <w:rPr>
                <w:rFonts w:ascii="Times New Roman" w:hAnsi="Times New Roman"/>
                <w:sz w:val="26"/>
                <w:szCs w:val="26"/>
              </w:rPr>
            </w:pPr>
            <w:r w:rsidRPr="000E30EF">
              <w:rPr>
                <w:rFonts w:ascii="Times New Roman" w:hAnsi="Times New Roman"/>
                <w:sz w:val="26"/>
                <w:szCs w:val="26"/>
              </w:rPr>
              <w:t>Vienlaikus jāatzīmē, ka līdz šim ir bijuši vairāki aicinājumi</w:t>
            </w:r>
            <w:r w:rsidR="00C131CB" w:rsidRPr="000E30EF">
              <w:rPr>
                <w:rFonts w:ascii="Times New Roman" w:hAnsi="Times New Roman"/>
                <w:sz w:val="26"/>
                <w:szCs w:val="26"/>
              </w:rPr>
              <w:t xml:space="preserve"> un divas iniciatīvas, lai</w:t>
            </w:r>
            <w:r w:rsidRPr="000E30EF">
              <w:rPr>
                <w:rFonts w:ascii="Times New Roman" w:hAnsi="Times New Roman"/>
                <w:sz w:val="26"/>
                <w:szCs w:val="26"/>
              </w:rPr>
              <w:t xml:space="preserve"> sekmēt</w:t>
            </w:r>
            <w:r w:rsidR="00C131CB" w:rsidRPr="000E30EF">
              <w:rPr>
                <w:rFonts w:ascii="Times New Roman" w:hAnsi="Times New Roman"/>
                <w:sz w:val="26"/>
                <w:szCs w:val="26"/>
              </w:rPr>
              <w:t>u</w:t>
            </w:r>
            <w:r w:rsidRPr="000E30EF">
              <w:rPr>
                <w:rFonts w:ascii="Times New Roman" w:hAnsi="Times New Roman"/>
                <w:sz w:val="26"/>
                <w:szCs w:val="26"/>
              </w:rPr>
              <w:t xml:space="preserve"> atbildīgu ārvalstu studentu piesaisti</w:t>
            </w:r>
            <w:r w:rsidR="00C131CB" w:rsidRPr="000E30EF">
              <w:rPr>
                <w:rFonts w:ascii="Times New Roman" w:hAnsi="Times New Roman"/>
                <w:sz w:val="26"/>
                <w:szCs w:val="26"/>
              </w:rPr>
              <w:t xml:space="preserve"> no augstskolu </w:t>
            </w:r>
            <w:r w:rsidR="0029382A" w:rsidRPr="000E30EF">
              <w:rPr>
                <w:rFonts w:ascii="Times New Roman" w:hAnsi="Times New Roman"/>
                <w:sz w:val="26"/>
                <w:szCs w:val="26"/>
              </w:rPr>
              <w:t xml:space="preserve">un koledžu </w:t>
            </w:r>
            <w:r w:rsidR="00C131CB" w:rsidRPr="000E30EF">
              <w:rPr>
                <w:rFonts w:ascii="Times New Roman" w:hAnsi="Times New Roman"/>
                <w:sz w:val="26"/>
                <w:szCs w:val="26"/>
              </w:rPr>
              <w:t>puses, kuras diemžēl nav devušas gaidītos rezultātus</w:t>
            </w:r>
            <w:r w:rsidRPr="000E30EF">
              <w:rPr>
                <w:rFonts w:ascii="Times New Roman" w:hAnsi="Times New Roman"/>
                <w:sz w:val="26"/>
                <w:szCs w:val="26"/>
              </w:rPr>
              <w:t xml:space="preserve">. </w:t>
            </w:r>
          </w:p>
          <w:p w14:paraId="63072A5E" w14:textId="77777777" w:rsidR="003A0A35" w:rsidRPr="000E30EF" w:rsidRDefault="003A0A35" w:rsidP="003A0A35">
            <w:pPr>
              <w:spacing w:after="0" w:line="240" w:lineRule="auto"/>
              <w:jc w:val="both"/>
              <w:rPr>
                <w:rFonts w:ascii="Times New Roman" w:hAnsi="Times New Roman"/>
                <w:sz w:val="26"/>
                <w:szCs w:val="26"/>
              </w:rPr>
            </w:pPr>
          </w:p>
          <w:p w14:paraId="524EE48C" w14:textId="3658AE40" w:rsidR="00197F3F" w:rsidRPr="000E30EF" w:rsidRDefault="0034498F" w:rsidP="003A0A35">
            <w:pPr>
              <w:spacing w:line="240" w:lineRule="auto"/>
              <w:jc w:val="both"/>
              <w:rPr>
                <w:rFonts w:ascii="Times New Roman" w:hAnsi="Times New Roman"/>
                <w:sz w:val="26"/>
                <w:szCs w:val="26"/>
              </w:rPr>
            </w:pPr>
            <w:r w:rsidRPr="000E30EF">
              <w:rPr>
                <w:rFonts w:ascii="Times New Roman" w:hAnsi="Times New Roman"/>
                <w:sz w:val="26"/>
                <w:szCs w:val="26"/>
              </w:rPr>
              <w:t>2017.</w:t>
            </w:r>
            <w:r w:rsidR="0071003A" w:rsidRPr="000E30EF">
              <w:rPr>
                <w:rFonts w:ascii="Times New Roman" w:hAnsi="Times New Roman"/>
                <w:sz w:val="26"/>
                <w:szCs w:val="26"/>
              </w:rPr>
              <w:t> </w:t>
            </w:r>
            <w:r w:rsidRPr="000E30EF">
              <w:rPr>
                <w:rFonts w:ascii="Times New Roman" w:hAnsi="Times New Roman"/>
                <w:sz w:val="26"/>
                <w:szCs w:val="26"/>
              </w:rPr>
              <w:t>gada nogalē Izglītības un zinātnes ministrs ar 11 augstskolām parakstīja “Vienošanos par labu praksi ārvalstu studējošo piesaistē un studiju nodrošināšanā”</w:t>
            </w:r>
            <w:r w:rsidR="00197F3F" w:rsidRPr="000E30EF">
              <w:rPr>
                <w:rStyle w:val="FootnoteReference"/>
                <w:rFonts w:ascii="Times New Roman" w:hAnsi="Times New Roman"/>
                <w:sz w:val="26"/>
                <w:szCs w:val="26"/>
              </w:rPr>
              <w:footnoteReference w:id="1"/>
            </w:r>
            <w:r w:rsidRPr="000E30EF">
              <w:rPr>
                <w:rFonts w:ascii="Times New Roman" w:hAnsi="Times New Roman"/>
                <w:sz w:val="26"/>
                <w:szCs w:val="26"/>
              </w:rPr>
              <w:t>.</w:t>
            </w:r>
            <w:r w:rsidR="00197F3F" w:rsidRPr="000E30EF">
              <w:rPr>
                <w:rFonts w:ascii="Times New Roman" w:hAnsi="Times New Roman"/>
                <w:b/>
                <w:sz w:val="26"/>
                <w:szCs w:val="26"/>
              </w:rPr>
              <w:t xml:space="preserve"> </w:t>
            </w:r>
            <w:r w:rsidR="00197F3F" w:rsidRPr="000E30EF">
              <w:rPr>
                <w:rFonts w:ascii="Times New Roman" w:hAnsi="Times New Roman"/>
                <w:sz w:val="26"/>
                <w:szCs w:val="26"/>
              </w:rPr>
              <w:t>Piemēram,</w:t>
            </w:r>
            <w:r w:rsidR="00197F3F" w:rsidRPr="000E30EF">
              <w:rPr>
                <w:rFonts w:ascii="Times New Roman" w:hAnsi="Times New Roman"/>
                <w:b/>
                <w:sz w:val="26"/>
                <w:szCs w:val="26"/>
              </w:rPr>
              <w:t xml:space="preserve"> </w:t>
            </w:r>
            <w:r w:rsidR="00197F3F" w:rsidRPr="000E30EF">
              <w:rPr>
                <w:rFonts w:ascii="Times New Roman" w:hAnsi="Times New Roman"/>
                <w:sz w:val="26"/>
                <w:szCs w:val="26"/>
              </w:rPr>
              <w:t>Vienošanās 3.1.1.</w:t>
            </w:r>
            <w:r w:rsidR="00F15733" w:rsidRPr="000E30EF">
              <w:rPr>
                <w:rFonts w:ascii="Times New Roman" w:hAnsi="Times New Roman"/>
                <w:sz w:val="26"/>
                <w:szCs w:val="26"/>
              </w:rPr>
              <w:t> apakš</w:t>
            </w:r>
            <w:r w:rsidR="00197F3F" w:rsidRPr="000E30EF">
              <w:rPr>
                <w:rFonts w:ascii="Times New Roman" w:hAnsi="Times New Roman"/>
                <w:sz w:val="26"/>
                <w:szCs w:val="26"/>
              </w:rPr>
              <w:t xml:space="preserve">punktā ir ietverts nosacījums par iepriekšējā izglītībā sekmēs vāja reflektanta dokumentu tālāku nevirzīšanu, taču tas vairākos gadījumos nav ticis ievērots. </w:t>
            </w:r>
          </w:p>
          <w:p w14:paraId="393A5042" w14:textId="1EBC3077" w:rsidR="00E81343" w:rsidRPr="000E30EF" w:rsidRDefault="00197F3F" w:rsidP="003A0A35">
            <w:pPr>
              <w:spacing w:after="0" w:line="240" w:lineRule="auto"/>
              <w:jc w:val="both"/>
              <w:rPr>
                <w:rFonts w:ascii="Times New Roman" w:hAnsi="Times New Roman"/>
                <w:sz w:val="26"/>
                <w:szCs w:val="26"/>
              </w:rPr>
            </w:pPr>
            <w:r w:rsidRPr="000E30EF">
              <w:rPr>
                <w:rFonts w:ascii="Times New Roman" w:eastAsia="Times New Roman" w:hAnsi="Times New Roman"/>
                <w:sz w:val="26"/>
                <w:szCs w:val="26"/>
              </w:rPr>
              <w:t>2018.</w:t>
            </w:r>
            <w:r w:rsidR="00257F7B" w:rsidRPr="000E30EF">
              <w:rPr>
                <w:rFonts w:ascii="Times New Roman" w:eastAsia="Times New Roman" w:hAnsi="Times New Roman"/>
                <w:sz w:val="26"/>
                <w:szCs w:val="26"/>
              </w:rPr>
              <w:t> </w:t>
            </w:r>
            <w:r w:rsidRPr="000E30EF">
              <w:rPr>
                <w:rFonts w:ascii="Times New Roman" w:eastAsia="Times New Roman" w:hAnsi="Times New Roman"/>
                <w:sz w:val="26"/>
                <w:szCs w:val="26"/>
              </w:rPr>
              <w:t xml:space="preserve">gada maijā </w:t>
            </w:r>
            <w:r w:rsidR="00E81343" w:rsidRPr="000E30EF">
              <w:rPr>
                <w:rFonts w:ascii="Times New Roman" w:hAnsi="Times New Roman"/>
                <w:sz w:val="26"/>
                <w:szCs w:val="26"/>
              </w:rPr>
              <w:t>Ārli</w:t>
            </w:r>
            <w:r w:rsidRPr="000E30EF">
              <w:rPr>
                <w:rFonts w:ascii="Times New Roman" w:hAnsi="Times New Roman"/>
                <w:sz w:val="26"/>
                <w:szCs w:val="26"/>
              </w:rPr>
              <w:t>etu ministrija</w:t>
            </w:r>
            <w:r w:rsidR="00E81343" w:rsidRPr="000E30EF">
              <w:rPr>
                <w:rFonts w:ascii="Times New Roman" w:hAnsi="Times New Roman"/>
                <w:sz w:val="26"/>
                <w:szCs w:val="26"/>
              </w:rPr>
              <w:t xml:space="preserve"> un Augstākās izglītības eksporta apvien</w:t>
            </w:r>
            <w:r w:rsidRPr="000E30EF">
              <w:rPr>
                <w:rFonts w:ascii="Times New Roman" w:hAnsi="Times New Roman"/>
                <w:sz w:val="26"/>
                <w:szCs w:val="26"/>
              </w:rPr>
              <w:t>ība</w:t>
            </w:r>
            <w:r w:rsidR="00D629D3" w:rsidRPr="000E30EF">
              <w:rPr>
                <w:rFonts w:ascii="Times New Roman" w:hAnsi="Times New Roman"/>
                <w:sz w:val="26"/>
                <w:szCs w:val="26"/>
              </w:rPr>
              <w:t xml:space="preserve"> </w:t>
            </w:r>
            <w:r w:rsidRPr="000E30EF">
              <w:rPr>
                <w:rFonts w:ascii="Times New Roman" w:eastAsia="Times New Roman" w:hAnsi="Times New Roman"/>
                <w:sz w:val="26"/>
                <w:szCs w:val="26"/>
              </w:rPr>
              <w:t xml:space="preserve">noslēdza Sadarbības memorandu, kurā viens no punktiem nosaka </w:t>
            </w:r>
            <w:r w:rsidR="00D57FBC" w:rsidRPr="000E30EF">
              <w:rPr>
                <w:rFonts w:ascii="Times New Roman" w:eastAsia="Times New Roman" w:hAnsi="Times New Roman"/>
                <w:sz w:val="26"/>
                <w:szCs w:val="26"/>
              </w:rPr>
              <w:t>veikt</w:t>
            </w:r>
            <w:r w:rsidRPr="000E30EF">
              <w:rPr>
                <w:rFonts w:ascii="Times New Roman" w:eastAsia="Times New Roman" w:hAnsi="Times New Roman"/>
                <w:sz w:val="26"/>
                <w:szCs w:val="26"/>
              </w:rPr>
              <w:t xml:space="preserve"> intervijas, lai pārbaudītu </w:t>
            </w:r>
            <w:r w:rsidR="00D57FBC" w:rsidRPr="000E30EF">
              <w:rPr>
                <w:rFonts w:ascii="Times New Roman" w:eastAsia="Times New Roman" w:hAnsi="Times New Roman"/>
                <w:sz w:val="26"/>
                <w:szCs w:val="26"/>
              </w:rPr>
              <w:t>ārvalstu re</w:t>
            </w:r>
            <w:r w:rsidR="009C6ED8" w:rsidRPr="000E30EF">
              <w:rPr>
                <w:rFonts w:ascii="Times New Roman" w:eastAsia="Times New Roman" w:hAnsi="Times New Roman"/>
                <w:sz w:val="26"/>
                <w:szCs w:val="26"/>
              </w:rPr>
              <w:t>flektanta motivāciju studijām;</w:t>
            </w:r>
            <w:r w:rsidR="00D57FBC" w:rsidRPr="000E30EF">
              <w:rPr>
                <w:rFonts w:ascii="Times New Roman" w:eastAsia="Times New Roman" w:hAnsi="Times New Roman"/>
                <w:sz w:val="26"/>
                <w:szCs w:val="26"/>
              </w:rPr>
              <w:t xml:space="preserve"> </w:t>
            </w:r>
            <w:r w:rsidR="009E6F33" w:rsidRPr="000E30EF">
              <w:rPr>
                <w:rFonts w:ascii="Times New Roman" w:eastAsia="Times New Roman" w:hAnsi="Times New Roman"/>
                <w:sz w:val="26"/>
                <w:szCs w:val="26"/>
              </w:rPr>
              <w:t xml:space="preserve">atbilstoši šim memorandam, </w:t>
            </w:r>
            <w:r w:rsidR="00D57FBC" w:rsidRPr="000E30EF">
              <w:rPr>
                <w:rFonts w:ascii="Times New Roman" w:eastAsia="Times New Roman" w:hAnsi="Times New Roman"/>
                <w:sz w:val="26"/>
                <w:szCs w:val="26"/>
              </w:rPr>
              <w:t>augstskolām ir</w:t>
            </w:r>
            <w:r w:rsidRPr="000E30EF">
              <w:rPr>
                <w:rFonts w:ascii="Times New Roman" w:eastAsia="Times New Roman" w:hAnsi="Times New Roman"/>
                <w:sz w:val="26"/>
                <w:szCs w:val="26"/>
              </w:rPr>
              <w:t xml:space="preserve"> jābūt apliecinājumiem par </w:t>
            </w:r>
            <w:r w:rsidR="009C6ED8" w:rsidRPr="000E30EF">
              <w:rPr>
                <w:rFonts w:ascii="Times New Roman" w:eastAsia="Times New Roman" w:hAnsi="Times New Roman"/>
                <w:sz w:val="26"/>
                <w:szCs w:val="26"/>
              </w:rPr>
              <w:t xml:space="preserve">šīm </w:t>
            </w:r>
            <w:r w:rsidRPr="000E30EF">
              <w:rPr>
                <w:rFonts w:ascii="Times New Roman" w:eastAsia="Times New Roman" w:hAnsi="Times New Roman"/>
                <w:sz w:val="26"/>
                <w:szCs w:val="26"/>
              </w:rPr>
              <w:t>vei</w:t>
            </w:r>
            <w:r w:rsidR="00D57FBC" w:rsidRPr="000E30EF">
              <w:rPr>
                <w:rFonts w:ascii="Times New Roman" w:eastAsia="Times New Roman" w:hAnsi="Times New Roman"/>
                <w:sz w:val="26"/>
                <w:szCs w:val="26"/>
              </w:rPr>
              <w:t xml:space="preserve">ktajām intervijām ar </w:t>
            </w:r>
            <w:r w:rsidR="009C6ED8" w:rsidRPr="000E30EF">
              <w:rPr>
                <w:rFonts w:ascii="Times New Roman" w:eastAsia="Times New Roman" w:hAnsi="Times New Roman"/>
                <w:sz w:val="26"/>
                <w:szCs w:val="26"/>
              </w:rPr>
              <w:t xml:space="preserve">potenciālajiem </w:t>
            </w:r>
            <w:r w:rsidR="00D57FBC" w:rsidRPr="000E30EF">
              <w:rPr>
                <w:rFonts w:ascii="Times New Roman" w:eastAsia="Times New Roman" w:hAnsi="Times New Roman"/>
                <w:sz w:val="26"/>
                <w:szCs w:val="26"/>
              </w:rPr>
              <w:t>studentiem.</w:t>
            </w:r>
            <w:r w:rsidRPr="000E30EF">
              <w:rPr>
                <w:rFonts w:ascii="Times New Roman" w:eastAsia="Times New Roman" w:hAnsi="Times New Roman"/>
                <w:sz w:val="26"/>
                <w:szCs w:val="26"/>
              </w:rPr>
              <w:t xml:space="preserve"> </w:t>
            </w:r>
          </w:p>
          <w:p w14:paraId="4847CB05" w14:textId="7F4FBA8D" w:rsidR="00D629D3" w:rsidRPr="000E30EF" w:rsidRDefault="00D57FBC" w:rsidP="003A0A35">
            <w:pPr>
              <w:spacing w:line="240" w:lineRule="auto"/>
              <w:jc w:val="both"/>
              <w:rPr>
                <w:rFonts w:ascii="Times New Roman" w:hAnsi="Times New Roman"/>
                <w:b/>
                <w:sz w:val="26"/>
                <w:szCs w:val="26"/>
              </w:rPr>
            </w:pPr>
            <w:r w:rsidRPr="000E30EF">
              <w:rPr>
                <w:rFonts w:ascii="Times New Roman" w:hAnsi="Times New Roman"/>
                <w:sz w:val="26"/>
                <w:szCs w:val="26"/>
              </w:rPr>
              <w:t>T</w:t>
            </w:r>
            <w:r w:rsidR="00D629D3" w:rsidRPr="000E30EF">
              <w:rPr>
                <w:rFonts w:ascii="Times New Roman" w:hAnsi="Times New Roman"/>
                <w:sz w:val="26"/>
                <w:szCs w:val="26"/>
              </w:rPr>
              <w:t xml:space="preserve">omēr </w:t>
            </w:r>
            <w:r w:rsidR="00E02C4F" w:rsidRPr="000E30EF">
              <w:rPr>
                <w:rFonts w:ascii="Times New Roman" w:hAnsi="Times New Roman"/>
                <w:sz w:val="26"/>
                <w:szCs w:val="26"/>
              </w:rPr>
              <w:t>ir virkne augstskolu</w:t>
            </w:r>
            <w:r w:rsidR="00C679B0" w:rsidRPr="000E30EF">
              <w:rPr>
                <w:rFonts w:ascii="Times New Roman" w:hAnsi="Times New Roman"/>
                <w:sz w:val="26"/>
                <w:szCs w:val="26"/>
              </w:rPr>
              <w:t xml:space="preserve"> un koledžu</w:t>
            </w:r>
            <w:r w:rsidR="00E02C4F" w:rsidRPr="000E30EF">
              <w:rPr>
                <w:rFonts w:ascii="Times New Roman" w:hAnsi="Times New Roman"/>
                <w:sz w:val="26"/>
                <w:szCs w:val="26"/>
              </w:rPr>
              <w:t xml:space="preserve">, kuru </w:t>
            </w:r>
            <w:r w:rsidR="003E39FC" w:rsidRPr="000E30EF">
              <w:rPr>
                <w:rFonts w:ascii="Times New Roman" w:hAnsi="Times New Roman"/>
                <w:sz w:val="26"/>
                <w:szCs w:val="26"/>
              </w:rPr>
              <w:t>Akadēmiskās informācijas centrā</w:t>
            </w:r>
            <w:r w:rsidR="002C2937" w:rsidRPr="000E30EF">
              <w:rPr>
                <w:rFonts w:ascii="Times New Roman" w:hAnsi="Times New Roman"/>
                <w:sz w:val="26"/>
                <w:szCs w:val="26"/>
              </w:rPr>
              <w:t> </w:t>
            </w:r>
            <w:r w:rsidR="002C2937" w:rsidRPr="000E30EF">
              <w:rPr>
                <w:rFonts w:ascii="Times New Roman" w:eastAsia="Times New Roman" w:hAnsi="Times New Roman"/>
                <w:sz w:val="26"/>
                <w:szCs w:val="26"/>
                <w:lang w:eastAsia="lv-LV"/>
              </w:rPr>
              <w:t xml:space="preserve">(turpmāk – </w:t>
            </w:r>
            <w:r w:rsidR="00D629D3" w:rsidRPr="000E30EF">
              <w:rPr>
                <w:rFonts w:ascii="Times New Roman" w:hAnsi="Times New Roman"/>
                <w:sz w:val="26"/>
                <w:szCs w:val="26"/>
              </w:rPr>
              <w:t>AIC</w:t>
            </w:r>
            <w:r w:rsidR="003E39FC" w:rsidRPr="000E30EF">
              <w:rPr>
                <w:rFonts w:ascii="Times New Roman" w:hAnsi="Times New Roman"/>
                <w:sz w:val="26"/>
                <w:szCs w:val="26"/>
              </w:rPr>
              <w:t>)</w:t>
            </w:r>
            <w:r w:rsidR="00D629D3" w:rsidRPr="000E30EF">
              <w:rPr>
                <w:rFonts w:ascii="Times New Roman" w:hAnsi="Times New Roman"/>
                <w:sz w:val="26"/>
                <w:szCs w:val="26"/>
              </w:rPr>
              <w:t xml:space="preserve"> izskatīšanai iesniegt</w:t>
            </w:r>
            <w:r w:rsidR="001A74A2" w:rsidRPr="000E30EF">
              <w:rPr>
                <w:rFonts w:ascii="Times New Roman" w:hAnsi="Times New Roman"/>
                <w:sz w:val="26"/>
                <w:szCs w:val="26"/>
              </w:rPr>
              <w:t>o</w:t>
            </w:r>
            <w:r w:rsidR="00D629D3" w:rsidRPr="000E30EF">
              <w:rPr>
                <w:rFonts w:ascii="Times New Roman" w:hAnsi="Times New Roman"/>
                <w:sz w:val="26"/>
                <w:szCs w:val="26"/>
              </w:rPr>
              <w:t xml:space="preserve"> izglītības dokument</w:t>
            </w:r>
            <w:r w:rsidR="001A74A2" w:rsidRPr="000E30EF">
              <w:rPr>
                <w:rFonts w:ascii="Times New Roman" w:hAnsi="Times New Roman"/>
                <w:sz w:val="26"/>
                <w:szCs w:val="26"/>
              </w:rPr>
              <w:t xml:space="preserve">u skaits </w:t>
            </w:r>
            <w:r w:rsidR="00E02C4F" w:rsidRPr="000E30EF">
              <w:rPr>
                <w:rFonts w:ascii="Times New Roman" w:hAnsi="Times New Roman"/>
                <w:sz w:val="26"/>
                <w:szCs w:val="26"/>
              </w:rPr>
              <w:t>ievērojami pārsniedz uzņemto ārvalstu studentu skaitu</w:t>
            </w:r>
            <w:r w:rsidR="00D07C49" w:rsidRPr="000E30EF">
              <w:rPr>
                <w:rFonts w:ascii="Times New Roman" w:hAnsi="Times New Roman"/>
                <w:sz w:val="26"/>
                <w:szCs w:val="26"/>
              </w:rPr>
              <w:t>.</w:t>
            </w:r>
            <w:r w:rsidR="001A74A2" w:rsidRPr="000E30EF">
              <w:rPr>
                <w:rFonts w:ascii="Times New Roman" w:hAnsi="Times New Roman"/>
                <w:sz w:val="26"/>
                <w:szCs w:val="26"/>
              </w:rPr>
              <w:t xml:space="preserve"> </w:t>
            </w:r>
            <w:r w:rsidR="00E02C4F" w:rsidRPr="000E30EF">
              <w:rPr>
                <w:rFonts w:ascii="Times New Roman" w:hAnsi="Times New Roman"/>
                <w:sz w:val="26"/>
                <w:szCs w:val="26"/>
              </w:rPr>
              <w:t xml:space="preserve">Lai arī augstskolas </w:t>
            </w:r>
            <w:r w:rsidR="00C679B0" w:rsidRPr="000E30EF">
              <w:rPr>
                <w:rFonts w:ascii="Times New Roman" w:hAnsi="Times New Roman"/>
                <w:sz w:val="26"/>
                <w:szCs w:val="26"/>
              </w:rPr>
              <w:t xml:space="preserve">un koledžas </w:t>
            </w:r>
            <w:r w:rsidR="00E02C4F" w:rsidRPr="000E30EF">
              <w:rPr>
                <w:rFonts w:ascii="Times New Roman" w:hAnsi="Times New Roman"/>
                <w:sz w:val="26"/>
                <w:szCs w:val="26"/>
              </w:rPr>
              <w:t xml:space="preserve">var nosūtīt izskatīšanai AIC neierobežotu skaitu izglītības dokumentu, prakse rāda, ka šo reflektantu izvērtējums no vairāku augstskolu </w:t>
            </w:r>
            <w:r w:rsidR="00C679B0" w:rsidRPr="000E30EF">
              <w:rPr>
                <w:rFonts w:ascii="Times New Roman" w:hAnsi="Times New Roman"/>
                <w:sz w:val="26"/>
                <w:szCs w:val="26"/>
              </w:rPr>
              <w:t xml:space="preserve">un koledžu </w:t>
            </w:r>
            <w:r w:rsidR="00E02C4F" w:rsidRPr="000E30EF">
              <w:rPr>
                <w:rFonts w:ascii="Times New Roman" w:hAnsi="Times New Roman"/>
                <w:sz w:val="26"/>
                <w:szCs w:val="26"/>
              </w:rPr>
              <w:t xml:space="preserve">puses nav bijis vai tas ir bijis ļoti formāls, jo </w:t>
            </w:r>
            <w:r w:rsidR="00D07C49" w:rsidRPr="000E30EF">
              <w:rPr>
                <w:rFonts w:ascii="Times New Roman" w:hAnsi="Times New Roman"/>
                <w:sz w:val="26"/>
                <w:szCs w:val="26"/>
              </w:rPr>
              <w:t>vīzu atteikumu skaits ir pieaudzis. Augstskolas</w:t>
            </w:r>
            <w:r w:rsidR="00C679B0" w:rsidRPr="000E30EF">
              <w:rPr>
                <w:rFonts w:ascii="Times New Roman" w:hAnsi="Times New Roman"/>
                <w:sz w:val="26"/>
                <w:szCs w:val="26"/>
              </w:rPr>
              <w:t xml:space="preserve"> un koledžas</w:t>
            </w:r>
            <w:r w:rsidR="00D07C49" w:rsidRPr="000E30EF">
              <w:rPr>
                <w:rFonts w:ascii="Times New Roman" w:hAnsi="Times New Roman"/>
                <w:sz w:val="26"/>
                <w:szCs w:val="26"/>
              </w:rPr>
              <w:t xml:space="preserve"> cenšas piesaistīt reflektantus arī no paaugstinātas imigrācijas riska valstīm, un vairākas augstskolas kritiski </w:t>
            </w:r>
            <w:r w:rsidR="00D07C49" w:rsidRPr="000E30EF">
              <w:rPr>
                <w:rFonts w:ascii="Times New Roman" w:hAnsi="Times New Roman"/>
                <w:sz w:val="26"/>
                <w:szCs w:val="26"/>
              </w:rPr>
              <w:lastRenderedPageBreak/>
              <w:t xml:space="preserve">neizvērtē ne šo </w:t>
            </w:r>
            <w:r w:rsidR="00741F2B" w:rsidRPr="000E30EF">
              <w:rPr>
                <w:rFonts w:ascii="Times New Roman" w:hAnsi="Times New Roman"/>
                <w:sz w:val="26"/>
                <w:szCs w:val="26"/>
              </w:rPr>
              <w:t>ār</w:t>
            </w:r>
            <w:r w:rsidR="00F946C7" w:rsidRPr="000E30EF">
              <w:rPr>
                <w:rFonts w:ascii="Times New Roman" w:hAnsi="Times New Roman"/>
                <w:sz w:val="26"/>
                <w:szCs w:val="26"/>
              </w:rPr>
              <w:t>zemnieku</w:t>
            </w:r>
            <w:r w:rsidR="00D07C49" w:rsidRPr="000E30EF">
              <w:rPr>
                <w:rFonts w:ascii="Times New Roman" w:hAnsi="Times New Roman"/>
                <w:sz w:val="26"/>
                <w:szCs w:val="26"/>
              </w:rPr>
              <w:t xml:space="preserve"> motivāciju studēt, ne viņu sekmju l</w:t>
            </w:r>
            <w:r w:rsidR="0076681C" w:rsidRPr="000E30EF">
              <w:rPr>
                <w:rFonts w:ascii="Times New Roman" w:hAnsi="Times New Roman"/>
                <w:sz w:val="26"/>
                <w:szCs w:val="26"/>
              </w:rPr>
              <w:t>ī</w:t>
            </w:r>
            <w:r w:rsidR="00D07C49" w:rsidRPr="000E30EF">
              <w:rPr>
                <w:rFonts w:ascii="Times New Roman" w:hAnsi="Times New Roman"/>
                <w:sz w:val="26"/>
                <w:szCs w:val="26"/>
              </w:rPr>
              <w:t>meni iepriekšējā izglītībā</w:t>
            </w:r>
            <w:r w:rsidR="00741F2B" w:rsidRPr="000E30EF">
              <w:rPr>
                <w:rFonts w:ascii="Times New Roman" w:hAnsi="Times New Roman"/>
                <w:sz w:val="26"/>
                <w:szCs w:val="26"/>
              </w:rPr>
              <w:t>.</w:t>
            </w:r>
          </w:p>
          <w:p w14:paraId="0555B179" w14:textId="36F5F486" w:rsidR="007F10D3" w:rsidRPr="000E30EF" w:rsidRDefault="007F10D3" w:rsidP="003A0A35">
            <w:pPr>
              <w:spacing w:line="240" w:lineRule="auto"/>
              <w:jc w:val="both"/>
              <w:rPr>
                <w:rFonts w:ascii="Times New Roman" w:hAnsi="Times New Roman"/>
                <w:sz w:val="26"/>
                <w:szCs w:val="26"/>
              </w:rPr>
            </w:pPr>
            <w:r w:rsidRPr="000E30EF">
              <w:rPr>
                <w:rFonts w:ascii="Times New Roman" w:hAnsi="Times New Roman"/>
                <w:sz w:val="26"/>
                <w:szCs w:val="26"/>
              </w:rPr>
              <w:t xml:space="preserve">Tas </w:t>
            </w:r>
            <w:r w:rsidR="001A74A2" w:rsidRPr="000E30EF">
              <w:rPr>
                <w:rFonts w:ascii="Times New Roman" w:hAnsi="Times New Roman"/>
                <w:sz w:val="26"/>
                <w:szCs w:val="26"/>
              </w:rPr>
              <w:t xml:space="preserve">kopumā </w:t>
            </w:r>
            <w:r w:rsidRPr="000E30EF">
              <w:rPr>
                <w:rFonts w:ascii="Times New Roman" w:hAnsi="Times New Roman"/>
                <w:sz w:val="26"/>
                <w:szCs w:val="26"/>
              </w:rPr>
              <w:t>rada būtisku administratīvo slogu</w:t>
            </w:r>
            <w:r w:rsidR="001A74A2" w:rsidRPr="000E30EF">
              <w:rPr>
                <w:rFonts w:ascii="Times New Roman" w:hAnsi="Times New Roman"/>
                <w:sz w:val="26"/>
                <w:szCs w:val="26"/>
              </w:rPr>
              <w:t xml:space="preserve"> AIC un valsts pārvaldes iestādēm, lai izskatītu šādu reflektantu dokumentus, savukārt</w:t>
            </w:r>
            <w:r w:rsidR="00E20507" w:rsidRPr="000E30EF">
              <w:rPr>
                <w:rFonts w:ascii="Times New Roman" w:hAnsi="Times New Roman"/>
                <w:sz w:val="26"/>
                <w:szCs w:val="26"/>
              </w:rPr>
              <w:t>, laika ziņā</w:t>
            </w:r>
            <w:r w:rsidR="001A74A2" w:rsidRPr="000E30EF">
              <w:rPr>
                <w:rFonts w:ascii="Times New Roman" w:hAnsi="Times New Roman"/>
                <w:sz w:val="26"/>
                <w:szCs w:val="26"/>
              </w:rPr>
              <w:t xml:space="preserve"> var aizkavēties</w:t>
            </w:r>
            <w:r w:rsidR="00E20507" w:rsidRPr="000E30EF">
              <w:rPr>
                <w:rFonts w:ascii="Times New Roman" w:hAnsi="Times New Roman"/>
                <w:sz w:val="26"/>
                <w:szCs w:val="26"/>
              </w:rPr>
              <w:t xml:space="preserve"> studijām motivētu reflektantu</w:t>
            </w:r>
            <w:r w:rsidR="001A74A2" w:rsidRPr="000E30EF">
              <w:rPr>
                <w:rFonts w:ascii="Times New Roman" w:hAnsi="Times New Roman"/>
                <w:sz w:val="26"/>
                <w:szCs w:val="26"/>
              </w:rPr>
              <w:t xml:space="preserve"> dokumentu izskatī</w:t>
            </w:r>
            <w:r w:rsidR="0037605F" w:rsidRPr="000E30EF">
              <w:rPr>
                <w:rFonts w:ascii="Times New Roman" w:hAnsi="Times New Roman"/>
                <w:sz w:val="26"/>
                <w:szCs w:val="26"/>
              </w:rPr>
              <w:t>šana.</w:t>
            </w:r>
          </w:p>
          <w:p w14:paraId="3768F569" w14:textId="7D417526" w:rsidR="00BC7635" w:rsidRPr="000E30EF" w:rsidRDefault="00E20507" w:rsidP="003A0A35">
            <w:pPr>
              <w:spacing w:after="0" w:line="240" w:lineRule="auto"/>
              <w:jc w:val="both"/>
              <w:rPr>
                <w:rFonts w:ascii="Times New Roman" w:hAnsi="Times New Roman"/>
                <w:sz w:val="26"/>
                <w:szCs w:val="26"/>
              </w:rPr>
            </w:pPr>
            <w:r w:rsidRPr="000E30EF">
              <w:rPr>
                <w:rFonts w:ascii="Times New Roman" w:hAnsi="Times New Roman"/>
                <w:sz w:val="26"/>
                <w:szCs w:val="26"/>
              </w:rPr>
              <w:t>To, ka ā</w:t>
            </w:r>
            <w:r w:rsidR="00D57FBC" w:rsidRPr="000E30EF">
              <w:rPr>
                <w:rFonts w:ascii="Times New Roman" w:hAnsi="Times New Roman"/>
                <w:sz w:val="26"/>
                <w:szCs w:val="26"/>
              </w:rPr>
              <w:t>r</w:t>
            </w:r>
            <w:r w:rsidR="009D6CBB" w:rsidRPr="000E30EF">
              <w:rPr>
                <w:rFonts w:ascii="Times New Roman" w:hAnsi="Times New Roman"/>
                <w:sz w:val="26"/>
                <w:szCs w:val="26"/>
              </w:rPr>
              <w:t xml:space="preserve">zemnieku </w:t>
            </w:r>
            <w:r w:rsidR="00D57FBC" w:rsidRPr="000E30EF">
              <w:rPr>
                <w:rFonts w:ascii="Times New Roman" w:hAnsi="Times New Roman"/>
                <w:sz w:val="26"/>
                <w:szCs w:val="26"/>
              </w:rPr>
              <w:t xml:space="preserve"> reflektantu atlase studijām nereti ir bijusi</w:t>
            </w:r>
            <w:r w:rsidR="00BC7635" w:rsidRPr="000E30EF">
              <w:rPr>
                <w:rFonts w:ascii="Times New Roman" w:hAnsi="Times New Roman"/>
                <w:sz w:val="26"/>
                <w:szCs w:val="26"/>
              </w:rPr>
              <w:t xml:space="preserve"> </w:t>
            </w:r>
            <w:r w:rsidR="00D57FBC" w:rsidRPr="000E30EF">
              <w:rPr>
                <w:rFonts w:ascii="Times New Roman" w:hAnsi="Times New Roman"/>
                <w:sz w:val="26"/>
                <w:szCs w:val="26"/>
              </w:rPr>
              <w:t>formāla, apliecina</w:t>
            </w:r>
            <w:r w:rsidR="00BC7635" w:rsidRPr="000E30EF">
              <w:rPr>
                <w:rFonts w:ascii="Times New Roman" w:hAnsi="Times New Roman"/>
                <w:sz w:val="26"/>
                <w:szCs w:val="26"/>
              </w:rPr>
              <w:t xml:space="preserve"> atteikto </w:t>
            </w:r>
            <w:r w:rsidR="00D57FBC" w:rsidRPr="000E30EF">
              <w:rPr>
                <w:rFonts w:ascii="Times New Roman" w:hAnsi="Times New Roman"/>
                <w:sz w:val="26"/>
                <w:szCs w:val="26"/>
              </w:rPr>
              <w:t>vīzu skaits</w:t>
            </w:r>
            <w:r w:rsidR="00BC7635" w:rsidRPr="000E30EF">
              <w:rPr>
                <w:rFonts w:ascii="Times New Roman" w:hAnsi="Times New Roman"/>
                <w:sz w:val="26"/>
                <w:szCs w:val="26"/>
              </w:rPr>
              <w:t xml:space="preserve"> pārstāvniecībās ārvalstīs. Piemēram, vēstniecībā Indijā 2018. gadā tika pieņemti 2314 vīzu pieteikumi ar mērķi “mācības”, no kuriem 791 vīzas tika atteiktas (34 % no vīzu pieteikumiem), bet 2019. gadā tika pieņemti 2747 šādi vīzu pieteikumi, no kuriem 1217 vīzas tika atteiktas (44 % no visiem vīzu pieteikumiem). Vēstniecībā Uzbekistānā 2018. gadā tika pieņemti 546 vīzu pieteikumi, no kuriem 14 vīzas tika atteiktas (3 % no visiem vīzu pieteikumiem), bet 2019. gadā tika pieņemti 916 vīzu pieteikumi, no kuriem 168 vīzas tika atteiktas (19 % no visiem vīzu pieteikumiem). </w:t>
            </w:r>
          </w:p>
          <w:p w14:paraId="1AF1CDC7" w14:textId="77777777" w:rsidR="00D57FBC" w:rsidRPr="000E30EF" w:rsidRDefault="00D57FBC" w:rsidP="003A0A35">
            <w:pPr>
              <w:spacing w:after="0" w:line="240" w:lineRule="auto"/>
              <w:jc w:val="both"/>
              <w:rPr>
                <w:rFonts w:ascii="Times New Roman" w:hAnsi="Times New Roman"/>
                <w:sz w:val="26"/>
                <w:szCs w:val="26"/>
              </w:rPr>
            </w:pPr>
          </w:p>
          <w:p w14:paraId="5ED7E179" w14:textId="0321AE70" w:rsidR="00D57FBC" w:rsidRPr="000E30EF" w:rsidRDefault="00D57FBC" w:rsidP="003A0A35">
            <w:pPr>
              <w:spacing w:after="0" w:line="240" w:lineRule="auto"/>
              <w:jc w:val="both"/>
              <w:rPr>
                <w:rFonts w:ascii="Times New Roman" w:hAnsi="Times New Roman"/>
                <w:sz w:val="26"/>
                <w:szCs w:val="26"/>
              </w:rPr>
            </w:pPr>
            <w:r w:rsidRPr="000E30EF">
              <w:rPr>
                <w:rFonts w:ascii="Times New Roman" w:hAnsi="Times New Roman"/>
                <w:sz w:val="26"/>
                <w:szCs w:val="26"/>
              </w:rPr>
              <w:t xml:space="preserve">Turklāt daļa augstskolu </w:t>
            </w:r>
            <w:r w:rsidR="00C679B0" w:rsidRPr="000E30EF">
              <w:rPr>
                <w:rFonts w:ascii="Times New Roman" w:hAnsi="Times New Roman"/>
                <w:sz w:val="26"/>
                <w:szCs w:val="26"/>
              </w:rPr>
              <w:t xml:space="preserve">un koledžu </w:t>
            </w:r>
            <w:r w:rsidRPr="000E30EF">
              <w:rPr>
                <w:rFonts w:ascii="Times New Roman" w:hAnsi="Times New Roman"/>
                <w:sz w:val="26"/>
                <w:szCs w:val="26"/>
              </w:rPr>
              <w:t xml:space="preserve">ir orientētas uz “peļņu” pat no studiju reģistrācijas maksas, jo, piemēram, izvērtēšanai </w:t>
            </w:r>
            <w:r w:rsidR="00B3223C" w:rsidRPr="000E30EF">
              <w:rPr>
                <w:rFonts w:ascii="Times New Roman" w:hAnsi="Times New Roman"/>
                <w:sz w:val="26"/>
                <w:szCs w:val="26"/>
              </w:rPr>
              <w:t>AIC</w:t>
            </w:r>
            <w:r w:rsidRPr="000E30EF">
              <w:rPr>
                <w:rFonts w:ascii="Times New Roman" w:hAnsi="Times New Roman"/>
                <w:sz w:val="26"/>
                <w:szCs w:val="26"/>
              </w:rPr>
              <w:t xml:space="preserve"> tiek nosūtīti arī tādi izglītības dokumenti, kuros ir zemas sekmes, un reflektants ar šādām sekmēm </w:t>
            </w:r>
            <w:r w:rsidR="00831EF2" w:rsidRPr="000E30EF">
              <w:rPr>
                <w:rFonts w:ascii="Times New Roman" w:hAnsi="Times New Roman"/>
                <w:sz w:val="26"/>
                <w:szCs w:val="26"/>
              </w:rPr>
              <w:t xml:space="preserve">vai iegūto izglītības dokumenta līmeni </w:t>
            </w:r>
            <w:r w:rsidRPr="000E30EF">
              <w:rPr>
                <w:rFonts w:ascii="Times New Roman" w:hAnsi="Times New Roman"/>
                <w:sz w:val="26"/>
                <w:szCs w:val="26"/>
              </w:rPr>
              <w:t xml:space="preserve">nevar iestāties savas valsts augstskolās. Augstskolas </w:t>
            </w:r>
            <w:r w:rsidR="00C679B0" w:rsidRPr="000E30EF">
              <w:rPr>
                <w:rFonts w:ascii="Times New Roman" w:hAnsi="Times New Roman"/>
                <w:sz w:val="26"/>
                <w:szCs w:val="26"/>
              </w:rPr>
              <w:t xml:space="preserve">un koledžas </w:t>
            </w:r>
            <w:r w:rsidRPr="000E30EF">
              <w:rPr>
                <w:rFonts w:ascii="Times New Roman" w:hAnsi="Times New Roman"/>
                <w:sz w:val="26"/>
                <w:szCs w:val="26"/>
              </w:rPr>
              <w:t>sadarbojas ar aģentiem, un lai arī ne visi aģenti strādā godprātīgi, par sadarbības rezultātu ir atbildīga augstskola</w:t>
            </w:r>
            <w:r w:rsidR="00D729B3" w:rsidRPr="000E30EF">
              <w:rPr>
                <w:rFonts w:ascii="Times New Roman" w:hAnsi="Times New Roman"/>
                <w:sz w:val="26"/>
                <w:szCs w:val="26"/>
              </w:rPr>
              <w:t xml:space="preserve"> vai koledža</w:t>
            </w:r>
            <w:r w:rsidRPr="000E30EF">
              <w:rPr>
                <w:rFonts w:ascii="Times New Roman" w:hAnsi="Times New Roman"/>
                <w:sz w:val="26"/>
                <w:szCs w:val="26"/>
              </w:rPr>
              <w:t>.</w:t>
            </w:r>
          </w:p>
          <w:p w14:paraId="67E17485" w14:textId="1010206B" w:rsidR="00685459" w:rsidRPr="000E30EF" w:rsidRDefault="00685459" w:rsidP="003A0A35">
            <w:pPr>
              <w:spacing w:after="0" w:line="240" w:lineRule="auto"/>
              <w:jc w:val="both"/>
              <w:rPr>
                <w:rFonts w:ascii="Times New Roman" w:hAnsi="Times New Roman"/>
                <w:sz w:val="26"/>
                <w:szCs w:val="26"/>
              </w:rPr>
            </w:pPr>
          </w:p>
          <w:p w14:paraId="44D21776" w14:textId="75130FCF" w:rsidR="00FE6AC5" w:rsidRPr="000E30EF" w:rsidRDefault="00685459" w:rsidP="00C84B3F">
            <w:pPr>
              <w:spacing w:after="0" w:line="240" w:lineRule="auto"/>
              <w:jc w:val="both"/>
              <w:rPr>
                <w:rFonts w:ascii="Times New Roman" w:hAnsi="Times New Roman"/>
                <w:bCs/>
                <w:sz w:val="26"/>
                <w:szCs w:val="26"/>
              </w:rPr>
            </w:pPr>
            <w:r w:rsidRPr="000E30EF">
              <w:rPr>
                <w:rFonts w:ascii="Times New Roman" w:hAnsi="Times New Roman"/>
                <w:bCs/>
                <w:sz w:val="26"/>
                <w:szCs w:val="26"/>
              </w:rPr>
              <w:t xml:space="preserve">Ņemot vērā to, ka </w:t>
            </w:r>
            <w:r w:rsidR="00327523" w:rsidRPr="000E30EF">
              <w:rPr>
                <w:rFonts w:ascii="Times New Roman" w:hAnsi="Times New Roman"/>
                <w:bCs/>
                <w:sz w:val="26"/>
                <w:szCs w:val="26"/>
              </w:rPr>
              <w:t xml:space="preserve">intervija ar ārvalstu reflektantu vairumā gadījumu </w:t>
            </w:r>
            <w:r w:rsidRPr="000E30EF">
              <w:rPr>
                <w:rFonts w:ascii="Times New Roman" w:hAnsi="Times New Roman"/>
                <w:bCs/>
                <w:sz w:val="26"/>
                <w:szCs w:val="26"/>
              </w:rPr>
              <w:t>ir jāorganizē attālināti, izmantojot tie</w:t>
            </w:r>
            <w:r w:rsidR="00B24472" w:rsidRPr="000E30EF">
              <w:rPr>
                <w:rFonts w:ascii="Times New Roman" w:hAnsi="Times New Roman"/>
                <w:bCs/>
                <w:sz w:val="26"/>
                <w:szCs w:val="26"/>
              </w:rPr>
              <w:t>šsaisti un/vai citus informācijas</w:t>
            </w:r>
            <w:r w:rsidRPr="000E30EF">
              <w:rPr>
                <w:rFonts w:ascii="Times New Roman" w:hAnsi="Times New Roman"/>
                <w:bCs/>
                <w:sz w:val="26"/>
                <w:szCs w:val="26"/>
              </w:rPr>
              <w:t xml:space="preserve"> un komunikāciju tehnoloģiju rīkus, tad augstākās izglītības iestādēm ir jānodrošina, ka </w:t>
            </w:r>
            <w:r w:rsidR="00327523" w:rsidRPr="000E30EF">
              <w:rPr>
                <w:rFonts w:ascii="Times New Roman" w:hAnsi="Times New Roman"/>
                <w:bCs/>
                <w:sz w:val="26"/>
                <w:szCs w:val="26"/>
              </w:rPr>
              <w:t xml:space="preserve">intervijas </w:t>
            </w:r>
            <w:r w:rsidR="006011D8" w:rsidRPr="000E30EF">
              <w:rPr>
                <w:rFonts w:ascii="Times New Roman" w:hAnsi="Times New Roman"/>
                <w:bCs/>
                <w:sz w:val="26"/>
                <w:szCs w:val="26"/>
              </w:rPr>
              <w:t xml:space="preserve">ieraksts, kas tiek veikts videoformātā, </w:t>
            </w:r>
            <w:r w:rsidRPr="000E30EF">
              <w:rPr>
                <w:rFonts w:ascii="Times New Roman" w:hAnsi="Times New Roman"/>
                <w:bCs/>
                <w:sz w:val="26"/>
                <w:szCs w:val="26"/>
              </w:rPr>
              <w:t>ir dokumentāls un autentisks pierādījums</w:t>
            </w:r>
            <w:r w:rsidR="00327523" w:rsidRPr="000E30EF">
              <w:rPr>
                <w:rFonts w:ascii="Times New Roman" w:hAnsi="Times New Roman"/>
                <w:bCs/>
                <w:sz w:val="26"/>
                <w:szCs w:val="26"/>
              </w:rPr>
              <w:t xml:space="preserve">, </w:t>
            </w:r>
            <w:r w:rsidRPr="000E30EF">
              <w:rPr>
                <w:rFonts w:ascii="Times New Roman" w:hAnsi="Times New Roman"/>
                <w:bCs/>
                <w:sz w:val="26"/>
                <w:szCs w:val="26"/>
              </w:rPr>
              <w:t>kā arī jānodrošina datu iegūšana, izmantošana un glabāšana normatīvajos aktos noteiktajā kārtībā</w:t>
            </w:r>
            <w:r w:rsidR="00D12D68" w:rsidRPr="000E30EF">
              <w:rPr>
                <w:rFonts w:ascii="Times New Roman" w:hAnsi="Times New Roman"/>
                <w:bCs/>
                <w:sz w:val="26"/>
                <w:szCs w:val="26"/>
              </w:rPr>
              <w:t xml:space="preserve"> (projekta </w:t>
            </w:r>
            <w:r w:rsidR="000E30EF" w:rsidRPr="000E30EF">
              <w:rPr>
                <w:rFonts w:ascii="Times New Roman" w:hAnsi="Times New Roman"/>
                <w:bCs/>
                <w:sz w:val="26"/>
                <w:szCs w:val="26"/>
              </w:rPr>
              <w:t>3</w:t>
            </w:r>
            <w:r w:rsidR="00CD52B4" w:rsidRPr="000E30EF">
              <w:rPr>
                <w:rFonts w:ascii="Times New Roman" w:hAnsi="Times New Roman"/>
                <w:bCs/>
                <w:sz w:val="26"/>
                <w:szCs w:val="26"/>
              </w:rPr>
              <w:t>.punkts)</w:t>
            </w:r>
            <w:r w:rsidRPr="000E30EF">
              <w:rPr>
                <w:rFonts w:ascii="Times New Roman" w:hAnsi="Times New Roman"/>
                <w:bCs/>
                <w:sz w:val="26"/>
                <w:szCs w:val="26"/>
              </w:rPr>
              <w:t>.</w:t>
            </w:r>
            <w:r w:rsidR="00573943" w:rsidRPr="000E30EF">
              <w:rPr>
                <w:rFonts w:ascii="Times New Roman" w:hAnsi="Times New Roman"/>
                <w:bCs/>
                <w:sz w:val="26"/>
                <w:szCs w:val="26"/>
              </w:rPr>
              <w:t xml:space="preserve"> </w:t>
            </w:r>
          </w:p>
          <w:p w14:paraId="0BAA9827" w14:textId="1E3C6344" w:rsidR="00A46743" w:rsidRPr="000E30EF" w:rsidRDefault="00A46743" w:rsidP="000E30EF">
            <w:pPr>
              <w:spacing w:after="0" w:line="240" w:lineRule="auto"/>
              <w:jc w:val="both"/>
              <w:rPr>
                <w:bCs/>
                <w:sz w:val="26"/>
                <w:szCs w:val="26"/>
              </w:rPr>
            </w:pPr>
            <w:r w:rsidRPr="000E30EF">
              <w:rPr>
                <w:rFonts w:ascii="Times New Roman" w:hAnsi="Times New Roman"/>
                <w:sz w:val="26"/>
                <w:szCs w:val="26"/>
              </w:rPr>
              <w:t xml:space="preserve">Saskaņā ar Noteikumu </w:t>
            </w:r>
            <w:r w:rsidR="00945BAD" w:rsidRPr="000E30EF">
              <w:rPr>
                <w:rFonts w:ascii="Times New Roman" w:hAnsi="Times New Roman"/>
                <w:sz w:val="26"/>
                <w:szCs w:val="26"/>
              </w:rPr>
              <w:t xml:space="preserve">3.punktu augstskolas un koledžas līdz kārtējā gada 1. novembrim izstrādā, apstiprina un publisko uzņemšanas noteikumus studiju programmās nākamajam akadēmiskajam gadam. Tādējādi </w:t>
            </w:r>
            <w:r w:rsidR="00B3223C" w:rsidRPr="000E30EF">
              <w:rPr>
                <w:rFonts w:ascii="Times New Roman" w:hAnsi="Times New Roman"/>
                <w:sz w:val="26"/>
                <w:szCs w:val="26"/>
              </w:rPr>
              <w:t>p</w:t>
            </w:r>
            <w:r w:rsidR="00945BAD" w:rsidRPr="000E30EF">
              <w:rPr>
                <w:rFonts w:ascii="Times New Roman" w:hAnsi="Times New Roman"/>
                <w:sz w:val="26"/>
                <w:szCs w:val="26"/>
              </w:rPr>
              <w:t xml:space="preserve">rojekta </w:t>
            </w:r>
            <w:r w:rsidR="000E30EF" w:rsidRPr="000E30EF">
              <w:rPr>
                <w:bCs/>
                <w:sz w:val="26"/>
                <w:szCs w:val="26"/>
              </w:rPr>
              <w:t>6.</w:t>
            </w:r>
            <w:r w:rsidR="000E30EF" w:rsidRPr="000E30EF">
              <w:rPr>
                <w:bCs/>
                <w:sz w:val="26"/>
                <w:szCs w:val="26"/>
                <w:vertAlign w:val="superscript"/>
              </w:rPr>
              <w:t xml:space="preserve">3 </w:t>
            </w:r>
            <w:r w:rsidR="000E30EF" w:rsidRPr="000E30EF">
              <w:rPr>
                <w:bCs/>
                <w:sz w:val="26"/>
                <w:szCs w:val="26"/>
              </w:rPr>
              <w:t>un 13.</w:t>
            </w:r>
            <w:r w:rsidR="000E30EF" w:rsidRPr="000E30EF">
              <w:rPr>
                <w:bCs/>
                <w:sz w:val="26"/>
                <w:szCs w:val="26"/>
                <w:vertAlign w:val="superscript"/>
              </w:rPr>
              <w:t>1</w:t>
            </w:r>
            <w:r w:rsidR="000E30EF" w:rsidRPr="000E30EF">
              <w:rPr>
                <w:bCs/>
                <w:sz w:val="26"/>
                <w:szCs w:val="26"/>
              </w:rPr>
              <w:t> punkti</w:t>
            </w:r>
            <w:r w:rsidR="000E30EF" w:rsidRPr="000E30EF">
              <w:rPr>
                <w:bCs/>
                <w:sz w:val="26"/>
                <w:szCs w:val="26"/>
                <w:vertAlign w:val="superscript"/>
              </w:rPr>
              <w:t xml:space="preserve"> </w:t>
            </w:r>
            <w:r w:rsidR="000E30EF" w:rsidRPr="000E30EF">
              <w:rPr>
                <w:rFonts w:ascii="Times New Roman" w:hAnsi="Times New Roman"/>
                <w:bCs/>
                <w:sz w:val="26"/>
                <w:szCs w:val="26"/>
              </w:rPr>
              <w:t>tiks piemēroti</w:t>
            </w:r>
            <w:r w:rsidR="00945BAD" w:rsidRPr="000E30EF">
              <w:rPr>
                <w:rFonts w:ascii="Times New Roman" w:hAnsi="Times New Roman"/>
                <w:bCs/>
                <w:sz w:val="26"/>
                <w:szCs w:val="26"/>
              </w:rPr>
              <w:t xml:space="preserve"> </w:t>
            </w:r>
            <w:r w:rsidR="00602930" w:rsidRPr="000E30EF">
              <w:rPr>
                <w:rFonts w:ascii="Times New Roman" w:hAnsi="Times New Roman"/>
                <w:bCs/>
                <w:sz w:val="26"/>
                <w:szCs w:val="26"/>
              </w:rPr>
              <w:t xml:space="preserve"> uzņemot studentus </w:t>
            </w:r>
            <w:r w:rsidR="00945BAD" w:rsidRPr="000E30EF">
              <w:rPr>
                <w:rFonts w:ascii="Times New Roman" w:hAnsi="Times New Roman"/>
                <w:sz w:val="26"/>
                <w:szCs w:val="26"/>
              </w:rPr>
              <w:t>2022./2023.  akadēmisk</w:t>
            </w:r>
            <w:r w:rsidR="00602930" w:rsidRPr="000E30EF">
              <w:rPr>
                <w:rFonts w:ascii="Times New Roman" w:hAnsi="Times New Roman"/>
                <w:sz w:val="26"/>
                <w:szCs w:val="26"/>
              </w:rPr>
              <w:t>ajam</w:t>
            </w:r>
            <w:r w:rsidR="00945BAD" w:rsidRPr="000E30EF">
              <w:rPr>
                <w:rFonts w:ascii="Times New Roman" w:hAnsi="Times New Roman"/>
                <w:sz w:val="26"/>
                <w:szCs w:val="26"/>
              </w:rPr>
              <w:t xml:space="preserve"> gad</w:t>
            </w:r>
            <w:r w:rsidR="00602930" w:rsidRPr="000E30EF">
              <w:rPr>
                <w:rFonts w:ascii="Times New Roman" w:hAnsi="Times New Roman"/>
                <w:sz w:val="26"/>
                <w:szCs w:val="26"/>
              </w:rPr>
              <w:t>am</w:t>
            </w:r>
            <w:r w:rsidR="00D12D68" w:rsidRPr="000E30EF">
              <w:rPr>
                <w:rFonts w:ascii="Times New Roman" w:hAnsi="Times New Roman"/>
                <w:sz w:val="26"/>
                <w:szCs w:val="26"/>
              </w:rPr>
              <w:t xml:space="preserve"> (projekta </w:t>
            </w:r>
            <w:r w:rsidR="004E7195">
              <w:rPr>
                <w:rFonts w:ascii="Times New Roman" w:hAnsi="Times New Roman"/>
                <w:sz w:val="26"/>
                <w:szCs w:val="26"/>
              </w:rPr>
              <w:t>8</w:t>
            </w:r>
            <w:r w:rsidR="00D12D68" w:rsidRPr="000E30EF">
              <w:rPr>
                <w:rFonts w:ascii="Times New Roman" w:hAnsi="Times New Roman"/>
                <w:sz w:val="26"/>
                <w:szCs w:val="26"/>
              </w:rPr>
              <w:t>. punkts).</w:t>
            </w:r>
          </w:p>
          <w:p w14:paraId="4F122857" w14:textId="661B0176" w:rsidR="006011D8" w:rsidRPr="003720EC" w:rsidRDefault="006011D8" w:rsidP="006011D8">
            <w:pPr>
              <w:spacing w:after="0" w:line="240" w:lineRule="auto"/>
              <w:jc w:val="both"/>
              <w:rPr>
                <w:rFonts w:ascii="Times New Roman" w:hAnsi="Times New Roman"/>
                <w:sz w:val="26"/>
                <w:szCs w:val="26"/>
              </w:rPr>
            </w:pPr>
            <w:r w:rsidRPr="000E30EF">
              <w:rPr>
                <w:rFonts w:ascii="Times New Roman" w:hAnsi="Times New Roman"/>
                <w:sz w:val="26"/>
                <w:szCs w:val="26"/>
              </w:rPr>
              <w:t xml:space="preserve">Vienlaikus jāatzīmē, ka projekta </w:t>
            </w:r>
            <w:r w:rsidR="004E7195">
              <w:rPr>
                <w:rFonts w:ascii="Times New Roman" w:hAnsi="Times New Roman"/>
                <w:sz w:val="26"/>
                <w:szCs w:val="26"/>
              </w:rPr>
              <w:t>5</w:t>
            </w:r>
            <w:r w:rsidRPr="000E30EF">
              <w:rPr>
                <w:rFonts w:ascii="Times New Roman" w:hAnsi="Times New Roman"/>
                <w:sz w:val="26"/>
                <w:szCs w:val="26"/>
              </w:rPr>
              <w:t>.</w:t>
            </w:r>
            <w:r w:rsidRPr="003720EC">
              <w:rPr>
                <w:rFonts w:ascii="Times New Roman" w:hAnsi="Times New Roman"/>
                <w:sz w:val="26"/>
                <w:szCs w:val="26"/>
              </w:rPr>
              <w:t xml:space="preserve">punktā minētās kompetentās iestādes ir iestādes, kas pieņem lēmumu par vīzas izsniegšanu ārzemniekam studiju </w:t>
            </w:r>
            <w:r w:rsidR="003720EC" w:rsidRPr="003720EC">
              <w:rPr>
                <w:rFonts w:ascii="Times New Roman" w:hAnsi="Times New Roman"/>
                <w:sz w:val="26"/>
                <w:szCs w:val="26"/>
              </w:rPr>
              <w:t xml:space="preserve">īstenošanai un tās </w:t>
            </w:r>
            <w:r w:rsidR="003720EC" w:rsidRPr="003720EC">
              <w:rPr>
                <w:rFonts w:ascii="Times New Roman" w:hAnsi="Times New Roman"/>
                <w:iCs/>
                <w:color w:val="000000"/>
                <w:sz w:val="26"/>
                <w:szCs w:val="26"/>
                <w:shd w:val="clear" w:color="auto" w:fill="FFFFFF"/>
              </w:rPr>
              <w:t xml:space="preserve"> </w:t>
            </w:r>
            <w:r w:rsidR="003720EC" w:rsidRPr="003720EC">
              <w:rPr>
                <w:rFonts w:ascii="Times New Roman" w:hAnsi="Times New Roman"/>
                <w:iCs/>
                <w:color w:val="000000"/>
                <w:sz w:val="26"/>
                <w:szCs w:val="26"/>
                <w:shd w:val="clear" w:color="auto" w:fill="FFFFFF"/>
              </w:rPr>
              <w:lastRenderedPageBreak/>
              <w:t>galvenokārt ir Ārlietu ministrijas Konsulārais departaments un LR vēstniecības ārvalstīs, kas saņem vīzu pieteikumus no ārvalstu reflektantiem, ka pieteikušies studijām L</w:t>
            </w:r>
            <w:r w:rsidR="003720EC">
              <w:rPr>
                <w:rFonts w:ascii="Times New Roman" w:hAnsi="Times New Roman"/>
                <w:iCs/>
                <w:color w:val="000000"/>
                <w:sz w:val="26"/>
                <w:szCs w:val="26"/>
                <w:shd w:val="clear" w:color="auto" w:fill="FFFFFF"/>
              </w:rPr>
              <w:t>atvijas</w:t>
            </w:r>
            <w:r w:rsidR="003720EC" w:rsidRPr="003720EC">
              <w:rPr>
                <w:rFonts w:ascii="Times New Roman" w:hAnsi="Times New Roman"/>
                <w:iCs/>
                <w:color w:val="000000"/>
                <w:sz w:val="26"/>
                <w:szCs w:val="26"/>
                <w:shd w:val="clear" w:color="auto" w:fill="FFFFFF"/>
              </w:rPr>
              <w:t xml:space="preserve"> augstskolās, un ,iespējamas, citas tiesībsargājošās iestādes. </w:t>
            </w:r>
          </w:p>
          <w:p w14:paraId="3F43DD21" w14:textId="77777777" w:rsidR="006011D8" w:rsidRDefault="006011D8" w:rsidP="006011D8">
            <w:pPr>
              <w:spacing w:after="0" w:line="240" w:lineRule="auto"/>
              <w:jc w:val="both"/>
              <w:rPr>
                <w:rFonts w:ascii="Times New Roman" w:hAnsi="Times New Roman"/>
                <w:sz w:val="26"/>
                <w:szCs w:val="26"/>
              </w:rPr>
            </w:pPr>
            <w:r w:rsidRPr="003720EC">
              <w:rPr>
                <w:rFonts w:ascii="Times New Roman" w:hAnsi="Times New Roman"/>
                <w:sz w:val="26"/>
                <w:szCs w:val="26"/>
              </w:rPr>
              <w:t>Augstskolai un koledžai piekrišana personas</w:t>
            </w:r>
            <w:r w:rsidRPr="000E30EF">
              <w:rPr>
                <w:rFonts w:ascii="Times New Roman" w:hAnsi="Times New Roman"/>
                <w:sz w:val="26"/>
                <w:szCs w:val="26"/>
              </w:rPr>
              <w:t xml:space="preserve"> datu apstrādei no ārzemnieka iegūstama arī par datu nodošanu kompetentajām </w:t>
            </w:r>
            <w:r w:rsidRPr="000243C5">
              <w:rPr>
                <w:rFonts w:ascii="Times New Roman" w:hAnsi="Times New Roman"/>
                <w:sz w:val="26"/>
                <w:szCs w:val="26"/>
              </w:rPr>
              <w:t>iestādēm vīzas lēmuma pieņemšanai. Intervijas pieejamības nodrošināšanai augstskolas un kompetentās iestādes sadarbojas intervijas ierakstu tehniskās specifikācijas noteikšanā, lai intervijas ieraksti būtu lietojami arī kompetentajās iestādēs.</w:t>
            </w:r>
          </w:p>
          <w:p w14:paraId="405014FF" w14:textId="41FB93A6" w:rsidR="004E7195" w:rsidRPr="003720EC" w:rsidRDefault="004E7195" w:rsidP="006011D8">
            <w:pPr>
              <w:spacing w:after="0" w:line="240" w:lineRule="auto"/>
              <w:jc w:val="both"/>
              <w:rPr>
                <w:rFonts w:ascii="Times New Roman" w:hAnsi="Times New Roman"/>
                <w:sz w:val="26"/>
                <w:szCs w:val="26"/>
              </w:rPr>
            </w:pPr>
            <w:r w:rsidRPr="003720EC">
              <w:rPr>
                <w:rFonts w:ascii="Times New Roman" w:hAnsi="Times New Roman"/>
                <w:sz w:val="26"/>
                <w:szCs w:val="26"/>
              </w:rPr>
              <w:t>Tāpat projekts tika papildināts ar precizējošu normu, kura atrunā kārtību, kādā notiek ārzemnieku reģistrēšanās uzņemšanai studiju programmās (projekta 2.punkts).</w:t>
            </w:r>
          </w:p>
          <w:p w14:paraId="017FA8E0" w14:textId="77777777" w:rsidR="004E7195" w:rsidRPr="003720EC" w:rsidRDefault="004E7195" w:rsidP="006011D8">
            <w:pPr>
              <w:spacing w:after="0" w:line="240" w:lineRule="auto"/>
              <w:jc w:val="both"/>
              <w:rPr>
                <w:rFonts w:ascii="Times New Roman" w:hAnsi="Times New Roman"/>
                <w:sz w:val="26"/>
                <w:szCs w:val="26"/>
              </w:rPr>
            </w:pPr>
          </w:p>
          <w:p w14:paraId="5B425839" w14:textId="69C56D68" w:rsidR="004E7195" w:rsidRPr="003720EC" w:rsidRDefault="004E7195" w:rsidP="006011D8">
            <w:pPr>
              <w:spacing w:after="0" w:line="240" w:lineRule="auto"/>
              <w:jc w:val="both"/>
              <w:rPr>
                <w:rFonts w:ascii="Times New Roman" w:hAnsi="Times New Roman"/>
                <w:b/>
                <w:sz w:val="26"/>
                <w:szCs w:val="26"/>
              </w:rPr>
            </w:pPr>
            <w:r w:rsidRPr="003720EC">
              <w:rPr>
                <w:rFonts w:ascii="Times New Roman" w:hAnsi="Times New Roman"/>
                <w:b/>
                <w:sz w:val="26"/>
                <w:szCs w:val="26"/>
              </w:rPr>
              <w:t>Covid-19</w:t>
            </w:r>
          </w:p>
          <w:p w14:paraId="0E521A83" w14:textId="77777777" w:rsidR="000243C5" w:rsidRDefault="000243C5" w:rsidP="000243C5">
            <w:pPr>
              <w:jc w:val="both"/>
              <w:rPr>
                <w:rFonts w:ascii="Times New Roman" w:hAnsi="Times New Roman"/>
                <w:sz w:val="26"/>
                <w:szCs w:val="26"/>
                <w:shd w:val="clear" w:color="auto" w:fill="FFFFFF"/>
              </w:rPr>
            </w:pPr>
            <w:r w:rsidRPr="003720EC">
              <w:rPr>
                <w:rFonts w:ascii="Times New Roman" w:hAnsi="Times New Roman"/>
                <w:bCs/>
                <w:sz w:val="26"/>
                <w:szCs w:val="26"/>
              </w:rPr>
              <w:t>Ņemot vērā radušos situāciju Latvijā un visā pasaulē, kā arī strauju un neprognozējamu vīrusa Covid-19 izplatību, tiek pagarināts (precizēts) termiņš</w:t>
            </w:r>
            <w:r w:rsidRPr="003720EC">
              <w:rPr>
                <w:rFonts w:ascii="Times New Roman" w:hAnsi="Times New Roman"/>
                <w:sz w:val="26"/>
                <w:szCs w:val="26"/>
                <w:shd w:val="clear" w:color="auto" w:fill="FFFFFF"/>
              </w:rPr>
              <w:t xml:space="preserve"> studiju programmas īstenošanas valodas prasmes pātbaudei, proti, noteikumu 18.punkts tiek papildināts ar jaunu termiņu- 2021./2022. akadēmisko gadu</w:t>
            </w:r>
            <w:r w:rsidR="004E7195" w:rsidRPr="003720EC">
              <w:rPr>
                <w:rFonts w:ascii="Times New Roman" w:hAnsi="Times New Roman"/>
                <w:sz w:val="26"/>
                <w:szCs w:val="26"/>
                <w:shd w:val="clear" w:color="auto" w:fill="FFFFFF"/>
              </w:rPr>
              <w:t xml:space="preserve"> (projekta 7.punkts)</w:t>
            </w:r>
            <w:r w:rsidRPr="003720EC">
              <w:rPr>
                <w:rFonts w:ascii="Times New Roman" w:hAnsi="Times New Roman"/>
                <w:sz w:val="26"/>
                <w:szCs w:val="26"/>
                <w:shd w:val="clear" w:color="auto" w:fill="FFFFFF"/>
              </w:rPr>
              <w:t>.</w:t>
            </w:r>
          </w:p>
          <w:p w14:paraId="2216671E" w14:textId="726BE54A" w:rsidR="00F81E30" w:rsidRPr="00F81E30" w:rsidRDefault="00F81E30" w:rsidP="00F81E30">
            <w:pPr>
              <w:jc w:val="both"/>
              <w:rPr>
                <w:sz w:val="26"/>
                <w:szCs w:val="26"/>
              </w:rPr>
            </w:pPr>
            <w:r>
              <w:rPr>
                <w:rFonts w:ascii="Times New Roman" w:hAnsi="Times New Roman"/>
                <w:sz w:val="26"/>
                <w:szCs w:val="26"/>
                <w:shd w:val="clear" w:color="auto" w:fill="FFFFFF"/>
              </w:rPr>
              <w:t>Lai harmonizētu terminoloģiju ar citiem normatīvajiem aktiem, tādiem kā  Augstkolu likums un Imigrācijas likums, tiek precizēti jēdzieni un turpmāk tiks lietots jēdziens „ārzemnieks” (projekta 1.punkts).</w:t>
            </w:r>
          </w:p>
        </w:tc>
      </w:tr>
      <w:tr w:rsidR="009F40D8" w:rsidRPr="000E30EF" w14:paraId="22166723" w14:textId="77777777" w:rsidTr="00714E76">
        <w:tc>
          <w:tcPr>
            <w:tcW w:w="292" w:type="pct"/>
          </w:tcPr>
          <w:p w14:paraId="22166720" w14:textId="61C9FA51" w:rsidR="00392D00"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lastRenderedPageBreak/>
              <w:t>3.</w:t>
            </w:r>
          </w:p>
        </w:tc>
        <w:tc>
          <w:tcPr>
            <w:tcW w:w="1061" w:type="pct"/>
          </w:tcPr>
          <w:p w14:paraId="22166721" w14:textId="77777777" w:rsidR="004B33BE"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Projekta izstrādē iesaistītās institūcijas un publiskas personas kapitālsabiedrības</w:t>
            </w:r>
          </w:p>
        </w:tc>
        <w:tc>
          <w:tcPr>
            <w:tcW w:w="3647" w:type="pct"/>
          </w:tcPr>
          <w:p w14:paraId="4B574FF7" w14:textId="6FA39D4E" w:rsidR="005F0412" w:rsidRPr="000E30EF" w:rsidRDefault="005F0412" w:rsidP="00327523">
            <w:pPr>
              <w:spacing w:after="0" w:line="240" w:lineRule="auto"/>
              <w:jc w:val="both"/>
              <w:rPr>
                <w:rFonts w:ascii="Times New Roman" w:eastAsia="Times New Roman" w:hAnsi="Times New Roman"/>
                <w:bCs/>
                <w:sz w:val="26"/>
                <w:szCs w:val="26"/>
                <w:lang w:eastAsia="lv-LV"/>
              </w:rPr>
            </w:pPr>
            <w:r w:rsidRPr="000E30EF">
              <w:rPr>
                <w:rFonts w:ascii="Times New Roman" w:eastAsia="Times New Roman" w:hAnsi="Times New Roman"/>
                <w:bCs/>
                <w:sz w:val="26"/>
                <w:szCs w:val="26"/>
                <w:lang w:eastAsia="lv-LV"/>
              </w:rPr>
              <w:t>IZM.</w:t>
            </w:r>
          </w:p>
          <w:p w14:paraId="6F2E475B" w14:textId="38FF1752" w:rsidR="00392D00" w:rsidRPr="000E30EF" w:rsidRDefault="00327523" w:rsidP="00327523">
            <w:pPr>
              <w:spacing w:after="0" w:line="240" w:lineRule="auto"/>
              <w:jc w:val="both"/>
              <w:rPr>
                <w:rFonts w:ascii="Times New Roman" w:eastAsia="Times New Roman" w:hAnsi="Times New Roman"/>
                <w:bCs/>
                <w:sz w:val="26"/>
                <w:szCs w:val="26"/>
                <w:lang w:eastAsia="lv-LV"/>
              </w:rPr>
            </w:pPr>
            <w:r w:rsidRPr="000E30EF">
              <w:rPr>
                <w:rFonts w:ascii="Times New Roman" w:eastAsia="Times New Roman" w:hAnsi="Times New Roman"/>
                <w:bCs/>
                <w:sz w:val="26"/>
                <w:szCs w:val="26"/>
                <w:lang w:eastAsia="lv-LV"/>
              </w:rPr>
              <w:t xml:space="preserve">Vairākas projektā ietvertās normas ir pārrunātas ar </w:t>
            </w:r>
            <w:r w:rsidR="002435B9" w:rsidRPr="000E30EF">
              <w:rPr>
                <w:rFonts w:ascii="Times New Roman" w:eastAsia="Times New Roman" w:hAnsi="Times New Roman"/>
                <w:bCs/>
                <w:sz w:val="26"/>
                <w:szCs w:val="26"/>
                <w:lang w:eastAsia="lv-LV"/>
              </w:rPr>
              <w:t>Augstāk</w:t>
            </w:r>
            <w:r w:rsidRPr="000E30EF">
              <w:rPr>
                <w:rFonts w:ascii="Times New Roman" w:eastAsia="Times New Roman" w:hAnsi="Times New Roman"/>
                <w:bCs/>
                <w:sz w:val="26"/>
                <w:szCs w:val="26"/>
                <w:lang w:eastAsia="lv-LV"/>
              </w:rPr>
              <w:t>ās izglītības eksporta apvienību iepriekš (augstskolu pienākums veikt interviju ar katru refl</w:t>
            </w:r>
            <w:r w:rsidR="00157E0B" w:rsidRPr="000E30EF">
              <w:rPr>
                <w:rFonts w:ascii="Times New Roman" w:eastAsia="Times New Roman" w:hAnsi="Times New Roman"/>
                <w:bCs/>
                <w:sz w:val="26"/>
                <w:szCs w:val="26"/>
                <w:lang w:eastAsia="lv-LV"/>
              </w:rPr>
              <w:t>ektantu; diskutēts par noteiktām prasībām uzņemšanas noteikumos</w:t>
            </w:r>
            <w:r w:rsidR="00831EF2" w:rsidRPr="000E30EF">
              <w:rPr>
                <w:rFonts w:ascii="Times New Roman" w:eastAsia="Times New Roman" w:hAnsi="Times New Roman"/>
                <w:bCs/>
                <w:sz w:val="26"/>
                <w:szCs w:val="26"/>
                <w:lang w:eastAsia="lv-LV"/>
              </w:rPr>
              <w:t xml:space="preserve"> un </w:t>
            </w:r>
            <w:r w:rsidR="00B24472" w:rsidRPr="000E30EF">
              <w:rPr>
                <w:rFonts w:ascii="Times New Roman" w:eastAsia="Times New Roman" w:hAnsi="Times New Roman"/>
                <w:bCs/>
                <w:sz w:val="26"/>
                <w:szCs w:val="26"/>
                <w:lang w:eastAsia="lv-LV"/>
              </w:rPr>
              <w:t xml:space="preserve">par </w:t>
            </w:r>
            <w:r w:rsidR="00831EF2" w:rsidRPr="000E30EF">
              <w:rPr>
                <w:rFonts w:ascii="Times New Roman" w:eastAsia="Times New Roman" w:hAnsi="Times New Roman"/>
                <w:bCs/>
                <w:sz w:val="26"/>
                <w:szCs w:val="26"/>
                <w:lang w:eastAsia="lv-LV"/>
              </w:rPr>
              <w:t>iepriekšējo izglītības līmeni ārvalstu reflektantam</w:t>
            </w:r>
            <w:r w:rsidRPr="000E30EF">
              <w:rPr>
                <w:rFonts w:ascii="Times New Roman" w:eastAsia="Times New Roman" w:hAnsi="Times New Roman"/>
                <w:bCs/>
                <w:sz w:val="26"/>
                <w:szCs w:val="26"/>
                <w:lang w:eastAsia="lv-LV"/>
              </w:rPr>
              <w:t xml:space="preserve">). </w:t>
            </w:r>
          </w:p>
          <w:p w14:paraId="22166722" w14:textId="61A29785" w:rsidR="00327523" w:rsidRPr="000E30EF" w:rsidRDefault="00327523" w:rsidP="00327523">
            <w:pPr>
              <w:spacing w:after="0" w:line="240" w:lineRule="auto"/>
              <w:jc w:val="both"/>
              <w:rPr>
                <w:rFonts w:ascii="Times New Roman" w:eastAsia="Times New Roman" w:hAnsi="Times New Roman"/>
                <w:sz w:val="26"/>
                <w:szCs w:val="26"/>
                <w:lang w:eastAsia="lv-LV"/>
              </w:rPr>
            </w:pPr>
          </w:p>
        </w:tc>
      </w:tr>
      <w:tr w:rsidR="009F40D8" w:rsidRPr="000E30EF" w14:paraId="22166727" w14:textId="77777777" w:rsidTr="00714E76">
        <w:tc>
          <w:tcPr>
            <w:tcW w:w="292" w:type="pct"/>
          </w:tcPr>
          <w:p w14:paraId="22166724" w14:textId="77777777" w:rsidR="00392D00"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4.</w:t>
            </w:r>
          </w:p>
        </w:tc>
        <w:tc>
          <w:tcPr>
            <w:tcW w:w="1061" w:type="pct"/>
          </w:tcPr>
          <w:p w14:paraId="22166725" w14:textId="77777777" w:rsidR="00392D00"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Cita informācija</w:t>
            </w:r>
          </w:p>
        </w:tc>
        <w:tc>
          <w:tcPr>
            <w:tcW w:w="3647" w:type="pct"/>
          </w:tcPr>
          <w:p w14:paraId="22166726" w14:textId="77777777" w:rsidR="00577216"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Nav.</w:t>
            </w:r>
          </w:p>
        </w:tc>
      </w:tr>
    </w:tbl>
    <w:p w14:paraId="22166728" w14:textId="77777777" w:rsidR="00247BA4" w:rsidRPr="000E30EF" w:rsidRDefault="00247BA4" w:rsidP="00354869">
      <w:pPr>
        <w:spacing w:after="0" w:line="360" w:lineRule="auto"/>
        <w:jc w:val="both"/>
        <w:rPr>
          <w:rFonts w:ascii="Times New Roman" w:hAnsi="Times New Roman"/>
          <w:i/>
          <w:sz w:val="26"/>
          <w:szCs w:val="26"/>
        </w:rPr>
      </w:pPr>
    </w:p>
    <w:p w14:paraId="79018A4B" w14:textId="77777777" w:rsidR="00515903" w:rsidRPr="000E30EF" w:rsidRDefault="00515903"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3665"/>
        <w:gridCol w:w="4939"/>
      </w:tblGrid>
      <w:tr w:rsidR="009F40D8" w:rsidRPr="000E30EF"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77777777" w:rsidR="00515903" w:rsidRPr="000E30EF" w:rsidRDefault="00515903" w:rsidP="00354869">
            <w:pPr>
              <w:spacing w:before="100" w:beforeAutospacing="1" w:after="100" w:afterAutospacing="1" w:line="293" w:lineRule="atLeast"/>
              <w:jc w:val="both"/>
              <w:rPr>
                <w:rFonts w:ascii="Times New Roman" w:hAnsi="Times New Roman"/>
                <w:sz w:val="26"/>
                <w:szCs w:val="26"/>
              </w:rPr>
            </w:pPr>
            <w:r w:rsidRPr="000E30EF">
              <w:rPr>
                <w:rFonts w:ascii="Times New Roman" w:hAnsi="Times New Roman"/>
                <w:b/>
                <w:bCs/>
                <w:sz w:val="26"/>
                <w:szCs w:val="26"/>
              </w:rPr>
              <w:t>II. Tiesību akta projekta ietekme uz sabiedrību, tautsaimniecības attīstību un administratīvo slogu</w:t>
            </w:r>
          </w:p>
        </w:tc>
      </w:tr>
      <w:tr w:rsidR="009F40D8" w:rsidRPr="000E30EF"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t>Sabiedrības mērķgrupas,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39E5069E" w:rsidR="00515903" w:rsidRPr="000E30EF" w:rsidRDefault="0000759B" w:rsidP="003E0697">
            <w:pPr>
              <w:spacing w:after="0" w:line="240" w:lineRule="auto"/>
              <w:jc w:val="both"/>
              <w:rPr>
                <w:rFonts w:ascii="Times New Roman" w:hAnsi="Times New Roman"/>
                <w:sz w:val="26"/>
                <w:szCs w:val="26"/>
              </w:rPr>
            </w:pPr>
            <w:r w:rsidRPr="000E30EF">
              <w:rPr>
                <w:rFonts w:ascii="Times New Roman" w:hAnsi="Times New Roman"/>
                <w:sz w:val="26"/>
                <w:szCs w:val="26"/>
              </w:rPr>
              <w:t>Projekts</w:t>
            </w:r>
            <w:r w:rsidR="00515903" w:rsidRPr="000E30EF">
              <w:rPr>
                <w:rFonts w:ascii="Times New Roman" w:hAnsi="Times New Roman"/>
                <w:sz w:val="26"/>
                <w:szCs w:val="26"/>
              </w:rPr>
              <w:t xml:space="preserve"> attiecas uz </w:t>
            </w:r>
            <w:r w:rsidR="00EE4013" w:rsidRPr="000E30EF">
              <w:rPr>
                <w:rFonts w:ascii="Times New Roman" w:hAnsi="Times New Roman"/>
                <w:sz w:val="26"/>
                <w:szCs w:val="26"/>
              </w:rPr>
              <w:t xml:space="preserve">augstskolām un koledžām </w:t>
            </w:r>
            <w:r w:rsidR="00D716AE" w:rsidRPr="000E30EF">
              <w:rPr>
                <w:rFonts w:ascii="Times New Roman" w:hAnsi="Times New Roman"/>
                <w:sz w:val="26"/>
                <w:szCs w:val="26"/>
              </w:rPr>
              <w:t>un</w:t>
            </w:r>
            <w:r w:rsidR="00EE4013" w:rsidRPr="000E30EF">
              <w:rPr>
                <w:rFonts w:ascii="Times New Roman" w:hAnsi="Times New Roman"/>
                <w:sz w:val="26"/>
                <w:szCs w:val="26"/>
              </w:rPr>
              <w:t xml:space="preserve"> </w:t>
            </w:r>
            <w:r w:rsidR="00236BE0" w:rsidRPr="000E30EF">
              <w:rPr>
                <w:rFonts w:ascii="Times New Roman" w:hAnsi="Times New Roman"/>
                <w:sz w:val="26"/>
                <w:szCs w:val="26"/>
              </w:rPr>
              <w:t xml:space="preserve">ārvalstu </w:t>
            </w:r>
            <w:r w:rsidR="00D716AE" w:rsidRPr="000E30EF">
              <w:rPr>
                <w:rFonts w:ascii="Times New Roman" w:hAnsi="Times New Roman"/>
                <w:sz w:val="26"/>
                <w:szCs w:val="26"/>
              </w:rPr>
              <w:t>reflektantiem</w:t>
            </w:r>
            <w:r w:rsidR="00EE4013" w:rsidRPr="000E30EF">
              <w:rPr>
                <w:rFonts w:ascii="Times New Roman" w:hAnsi="Times New Roman"/>
                <w:sz w:val="26"/>
                <w:szCs w:val="26"/>
              </w:rPr>
              <w:t>.</w:t>
            </w:r>
          </w:p>
        </w:tc>
      </w:tr>
      <w:tr w:rsidR="009F40D8" w:rsidRPr="000E30EF"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050078CF" w14:textId="6783D90F" w:rsidR="00183E71" w:rsidRPr="000E30EF" w:rsidRDefault="00340944" w:rsidP="00327523">
            <w:pPr>
              <w:spacing w:after="0" w:line="240" w:lineRule="auto"/>
              <w:jc w:val="both"/>
              <w:rPr>
                <w:rFonts w:ascii="Times New Roman" w:hAnsi="Times New Roman"/>
                <w:sz w:val="26"/>
                <w:szCs w:val="26"/>
              </w:rPr>
            </w:pPr>
            <w:r w:rsidRPr="000E30EF">
              <w:rPr>
                <w:rFonts w:ascii="Times New Roman" w:hAnsi="Times New Roman"/>
                <w:sz w:val="26"/>
                <w:szCs w:val="26"/>
              </w:rPr>
              <w:t>Administratīvais slogs</w:t>
            </w:r>
            <w:r w:rsidR="00133AEA" w:rsidRPr="000E30EF">
              <w:rPr>
                <w:rFonts w:ascii="Times New Roman" w:hAnsi="Times New Roman"/>
                <w:sz w:val="26"/>
                <w:szCs w:val="26"/>
              </w:rPr>
              <w:t xml:space="preserve"> uz valsts pārvaldes institūcijām nav attiecināms,</w:t>
            </w:r>
            <w:r w:rsidR="00B24472" w:rsidRPr="000E30EF">
              <w:rPr>
                <w:rFonts w:ascii="Times New Roman" w:hAnsi="Times New Roman"/>
                <w:sz w:val="26"/>
                <w:szCs w:val="26"/>
              </w:rPr>
              <w:t xml:space="preserve"> plānots, ka tas varētu būtiski samazināties. Administratīvais slogs (nosacīti) </w:t>
            </w:r>
            <w:r w:rsidR="00327523" w:rsidRPr="000E30EF">
              <w:rPr>
                <w:rFonts w:ascii="Times New Roman" w:hAnsi="Times New Roman"/>
                <w:sz w:val="26"/>
                <w:szCs w:val="26"/>
              </w:rPr>
              <w:t>var palielināt</w:t>
            </w:r>
            <w:r w:rsidR="00133AEA" w:rsidRPr="000E30EF">
              <w:rPr>
                <w:rFonts w:ascii="Times New Roman" w:hAnsi="Times New Roman"/>
                <w:sz w:val="26"/>
                <w:szCs w:val="26"/>
              </w:rPr>
              <w:t xml:space="preserve">ies </w:t>
            </w:r>
            <w:r w:rsidR="00327523" w:rsidRPr="000E30EF">
              <w:rPr>
                <w:rFonts w:ascii="Times New Roman" w:hAnsi="Times New Roman"/>
                <w:sz w:val="26"/>
                <w:szCs w:val="26"/>
              </w:rPr>
              <w:t xml:space="preserve">tām </w:t>
            </w:r>
            <w:r w:rsidR="00133AEA" w:rsidRPr="000E30EF">
              <w:rPr>
                <w:rFonts w:ascii="Times New Roman" w:hAnsi="Times New Roman"/>
                <w:sz w:val="26"/>
                <w:szCs w:val="26"/>
              </w:rPr>
              <w:t xml:space="preserve">augstskolām un koledžām, </w:t>
            </w:r>
            <w:r w:rsidR="00327523" w:rsidRPr="000E30EF">
              <w:rPr>
                <w:rFonts w:ascii="Times New Roman" w:hAnsi="Times New Roman"/>
                <w:sz w:val="26"/>
                <w:szCs w:val="26"/>
              </w:rPr>
              <w:t>kuras līdz šim nav veikušas rūp</w:t>
            </w:r>
            <w:r w:rsidR="00B24472" w:rsidRPr="000E30EF">
              <w:rPr>
                <w:rFonts w:ascii="Times New Roman" w:hAnsi="Times New Roman"/>
                <w:sz w:val="26"/>
                <w:szCs w:val="26"/>
              </w:rPr>
              <w:t xml:space="preserve">īgu ārvalstu reflektantu atlasi, tomēr tās līdz šim nav bijušas pietiekami atbildīgas darbā ar ārvalstu reflektantiem. </w:t>
            </w:r>
          </w:p>
          <w:p w14:paraId="77E43797" w14:textId="445BE23C" w:rsidR="00327523" w:rsidRPr="000E30EF" w:rsidRDefault="00327523" w:rsidP="00327523">
            <w:pPr>
              <w:spacing w:after="0" w:line="240" w:lineRule="auto"/>
              <w:jc w:val="both"/>
              <w:rPr>
                <w:rFonts w:ascii="Times New Roman" w:hAnsi="Times New Roman"/>
                <w:sz w:val="26"/>
                <w:szCs w:val="26"/>
              </w:rPr>
            </w:pPr>
            <w:r w:rsidRPr="000E30EF">
              <w:rPr>
                <w:rFonts w:ascii="Times New Roman" w:hAnsi="Times New Roman"/>
                <w:sz w:val="26"/>
                <w:szCs w:val="26"/>
              </w:rPr>
              <w:t>Administratīvais slogs pieaugs augstskolām un koledžām noteiktā kārtībā veicot un uzglabājot veiktās intervijas ar katru ārvalstu reflektantu, kurš iepriekšējo izglītību nav ieguvis Eiropas Savienības vai Eiropas Ekonomikas zonas valstīs vai Šveicē</w:t>
            </w:r>
            <w:r w:rsidR="00F94063" w:rsidRPr="000E30EF">
              <w:rPr>
                <w:rFonts w:ascii="Times New Roman" w:hAnsi="Times New Roman"/>
                <w:sz w:val="26"/>
                <w:szCs w:val="26"/>
              </w:rPr>
              <w:t>.</w:t>
            </w:r>
          </w:p>
        </w:tc>
      </w:tr>
      <w:tr w:rsidR="009F40D8" w:rsidRPr="000E30EF"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7E274163"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7777777" w:rsidR="00515903" w:rsidRPr="000E30EF" w:rsidRDefault="00515903" w:rsidP="000D709E">
            <w:pPr>
              <w:spacing w:after="0" w:line="240" w:lineRule="auto"/>
              <w:jc w:val="both"/>
              <w:rPr>
                <w:rFonts w:ascii="Times New Roman" w:hAnsi="Times New Roman"/>
                <w:sz w:val="26"/>
                <w:szCs w:val="26"/>
              </w:rPr>
            </w:pPr>
            <w:r w:rsidRPr="000E30EF">
              <w:rPr>
                <w:rFonts w:ascii="Times New Roman" w:hAnsi="Times New Roman"/>
                <w:sz w:val="26"/>
                <w:szCs w:val="26"/>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3DCE5019" w14:textId="37E83F27" w:rsidR="00515903" w:rsidRPr="000E30EF" w:rsidRDefault="00133AEA" w:rsidP="005053E9">
            <w:pPr>
              <w:spacing w:after="0" w:line="240" w:lineRule="auto"/>
              <w:jc w:val="both"/>
              <w:rPr>
                <w:rFonts w:ascii="Times New Roman" w:hAnsi="Times New Roman"/>
                <w:sz w:val="26"/>
                <w:szCs w:val="26"/>
              </w:rPr>
            </w:pPr>
            <w:r w:rsidRPr="000E30EF">
              <w:rPr>
                <w:rFonts w:ascii="Times New Roman" w:hAnsi="Times New Roman"/>
                <w:sz w:val="26"/>
                <w:szCs w:val="26"/>
              </w:rPr>
              <w:t xml:space="preserve"> </w:t>
            </w:r>
            <w:r w:rsidR="005053E9" w:rsidRPr="000E30EF">
              <w:rPr>
                <w:rFonts w:ascii="Times New Roman" w:hAnsi="Times New Roman"/>
                <w:sz w:val="26"/>
                <w:szCs w:val="26"/>
              </w:rPr>
              <w:t>Ar projektu paredzēto jauninājumu ieviešanas</w:t>
            </w:r>
            <w:r w:rsidR="000D709E" w:rsidRPr="000E30EF">
              <w:rPr>
                <w:rFonts w:ascii="Times New Roman" w:hAnsi="Times New Roman"/>
                <w:sz w:val="26"/>
                <w:szCs w:val="26"/>
              </w:rPr>
              <w:t xml:space="preserve"> izmaksas augstskolas </w:t>
            </w:r>
            <w:r w:rsidR="005053E9" w:rsidRPr="000E30EF">
              <w:rPr>
                <w:rFonts w:ascii="Times New Roman" w:hAnsi="Times New Roman"/>
                <w:sz w:val="26"/>
                <w:szCs w:val="26"/>
              </w:rPr>
              <w:t xml:space="preserve">un koledžas </w:t>
            </w:r>
            <w:r w:rsidR="000D709E" w:rsidRPr="000E30EF">
              <w:rPr>
                <w:rFonts w:ascii="Times New Roman" w:hAnsi="Times New Roman"/>
                <w:sz w:val="26"/>
                <w:szCs w:val="26"/>
              </w:rPr>
              <w:t>jau sākotnēji iekļauj ārvalstu reflektantu reģistrācijas maksās, kas paredzētas tieš</w:t>
            </w:r>
            <w:r w:rsidR="008D4129" w:rsidRPr="000E30EF">
              <w:rPr>
                <w:rFonts w:ascii="Times New Roman" w:hAnsi="Times New Roman"/>
                <w:sz w:val="26"/>
                <w:szCs w:val="26"/>
              </w:rPr>
              <w:t>o</w:t>
            </w:r>
            <w:r w:rsidR="000D709E" w:rsidRPr="000E30EF">
              <w:rPr>
                <w:rFonts w:ascii="Times New Roman" w:hAnsi="Times New Roman"/>
                <w:sz w:val="26"/>
                <w:szCs w:val="26"/>
              </w:rPr>
              <w:t xml:space="preserve"> izmaksu segšanai, kas saistītas ar reflektanta uzņemšanas procesu. </w:t>
            </w:r>
            <w:r w:rsidR="008D4129" w:rsidRPr="000E30EF">
              <w:rPr>
                <w:rFonts w:ascii="Times New Roman" w:hAnsi="Times New Roman"/>
                <w:sz w:val="26"/>
                <w:szCs w:val="26"/>
              </w:rPr>
              <w:t xml:space="preserve">Ņemot vērā </w:t>
            </w:r>
            <w:r w:rsidR="00F94063" w:rsidRPr="000E30EF">
              <w:rPr>
                <w:rFonts w:ascii="Times New Roman" w:hAnsi="Times New Roman"/>
                <w:sz w:val="26"/>
                <w:szCs w:val="26"/>
              </w:rPr>
              <w:t xml:space="preserve">jau izveidoto augstskolu praksi un </w:t>
            </w:r>
            <w:r w:rsidR="008D4129" w:rsidRPr="000E30EF">
              <w:rPr>
                <w:rFonts w:ascii="Times New Roman" w:hAnsi="Times New Roman"/>
                <w:sz w:val="26"/>
                <w:szCs w:val="26"/>
              </w:rPr>
              <w:t xml:space="preserve">iespējamās atšķirīgās pieejas </w:t>
            </w:r>
            <w:r w:rsidR="003A0A35" w:rsidRPr="000E30EF">
              <w:rPr>
                <w:rFonts w:ascii="Times New Roman" w:hAnsi="Times New Roman"/>
                <w:sz w:val="26"/>
                <w:szCs w:val="26"/>
              </w:rPr>
              <w:t>dažādās augstskolā</w:t>
            </w:r>
            <w:r w:rsidR="008D4129" w:rsidRPr="000E30EF">
              <w:rPr>
                <w:rFonts w:ascii="Times New Roman" w:hAnsi="Times New Roman"/>
                <w:sz w:val="26"/>
                <w:szCs w:val="26"/>
              </w:rPr>
              <w:t xml:space="preserve">s, </w:t>
            </w:r>
            <w:r w:rsidR="000D709E" w:rsidRPr="000E30EF">
              <w:rPr>
                <w:rFonts w:ascii="Times New Roman" w:hAnsi="Times New Roman"/>
                <w:sz w:val="26"/>
                <w:szCs w:val="26"/>
              </w:rPr>
              <w:t>precīzus finanšu aprēķinus uz projekta izstrādes brīdi nevar noteikt.</w:t>
            </w:r>
          </w:p>
        </w:tc>
      </w:tr>
      <w:tr w:rsidR="00466E51" w:rsidRPr="000E30EF" w14:paraId="64A74545"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tcPr>
          <w:p w14:paraId="4B5FBD76" w14:textId="1CE2D74D" w:rsidR="00466E51" w:rsidRPr="000E30EF" w:rsidRDefault="00466E51" w:rsidP="00354869">
            <w:pPr>
              <w:spacing w:after="0" w:line="240" w:lineRule="auto"/>
              <w:jc w:val="both"/>
              <w:rPr>
                <w:rFonts w:ascii="Times New Roman" w:hAnsi="Times New Roman"/>
                <w:sz w:val="26"/>
                <w:szCs w:val="26"/>
              </w:rPr>
            </w:pPr>
            <w:r w:rsidRPr="000E30EF">
              <w:rPr>
                <w:rFonts w:ascii="Times New Roman" w:hAnsi="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tcPr>
          <w:p w14:paraId="32F43441" w14:textId="79281A23" w:rsidR="00466E51" w:rsidRPr="000E30EF" w:rsidRDefault="00DB6CDA" w:rsidP="000D709E">
            <w:pPr>
              <w:spacing w:after="0" w:line="240" w:lineRule="auto"/>
              <w:jc w:val="both"/>
              <w:rPr>
                <w:rFonts w:ascii="Times New Roman" w:hAnsi="Times New Roman"/>
                <w:sz w:val="26"/>
                <w:szCs w:val="26"/>
              </w:rPr>
            </w:pPr>
            <w:r w:rsidRPr="000E30EF">
              <w:rPr>
                <w:rFonts w:ascii="Times New Roman" w:eastAsia="Times New Roman" w:hAnsi="Times New Roman"/>
                <w:sz w:val="26"/>
                <w:szCs w:val="26"/>
                <w:lang w:eastAsia="lv-LV"/>
              </w:rPr>
              <w:t>Atbilstības izmaksu monetārs novērtējums</w:t>
            </w:r>
          </w:p>
        </w:tc>
        <w:tc>
          <w:tcPr>
            <w:tcW w:w="2727" w:type="pct"/>
            <w:tcBorders>
              <w:top w:val="outset" w:sz="6" w:space="0" w:color="414142"/>
              <w:left w:val="outset" w:sz="6" w:space="0" w:color="414142"/>
              <w:bottom w:val="outset" w:sz="6" w:space="0" w:color="414142"/>
              <w:right w:val="outset" w:sz="6" w:space="0" w:color="414142"/>
            </w:tcBorders>
          </w:tcPr>
          <w:p w14:paraId="5D857A07" w14:textId="20F6B74B" w:rsidR="00466E51" w:rsidRPr="000E30EF" w:rsidRDefault="00EF04B3" w:rsidP="00F94063">
            <w:pPr>
              <w:spacing w:after="0" w:line="240" w:lineRule="auto"/>
              <w:jc w:val="both"/>
              <w:rPr>
                <w:rFonts w:ascii="Times New Roman" w:hAnsi="Times New Roman"/>
                <w:sz w:val="26"/>
                <w:szCs w:val="26"/>
              </w:rPr>
            </w:pPr>
            <w:r w:rsidRPr="000E30EF">
              <w:rPr>
                <w:rFonts w:ascii="Times New Roman" w:hAnsi="Times New Roman"/>
                <w:sz w:val="26"/>
                <w:szCs w:val="26"/>
              </w:rPr>
              <w:t>Uz projekta izstrādes brīdi šādus aprēķinus nav iespējams veikt, tiks veidota jauna prakse.</w:t>
            </w:r>
          </w:p>
        </w:tc>
      </w:tr>
      <w:tr w:rsidR="009F40D8" w:rsidRPr="000E30EF"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6463619F" w:rsidR="00515903" w:rsidRPr="000E30EF" w:rsidRDefault="00DB6CDA" w:rsidP="00354869">
            <w:pPr>
              <w:spacing w:after="0" w:line="240" w:lineRule="auto"/>
              <w:jc w:val="both"/>
              <w:rPr>
                <w:rFonts w:ascii="Times New Roman" w:hAnsi="Times New Roman"/>
                <w:sz w:val="26"/>
                <w:szCs w:val="26"/>
              </w:rPr>
            </w:pPr>
            <w:r w:rsidRPr="000E30EF">
              <w:rPr>
                <w:rFonts w:ascii="Times New Roman" w:hAnsi="Times New Roman"/>
                <w:sz w:val="26"/>
                <w:szCs w:val="26"/>
              </w:rPr>
              <w:t>5</w:t>
            </w:r>
            <w:r w:rsidR="00466E51" w:rsidRPr="000E30EF">
              <w:rPr>
                <w:rFonts w:ascii="Times New Roman" w:hAnsi="Times New Roman"/>
                <w:sz w:val="26"/>
                <w:szCs w:val="26"/>
              </w:rPr>
              <w:t>.</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0E30EF" w:rsidRDefault="00515903" w:rsidP="00354869">
            <w:pPr>
              <w:spacing w:after="0" w:line="240" w:lineRule="auto"/>
              <w:jc w:val="both"/>
              <w:rPr>
                <w:rFonts w:ascii="Times New Roman" w:hAnsi="Times New Roman"/>
                <w:sz w:val="26"/>
                <w:szCs w:val="26"/>
              </w:rPr>
            </w:pPr>
            <w:r w:rsidRPr="000E30EF">
              <w:rPr>
                <w:rFonts w:ascii="Times New Roman" w:hAnsi="Times New Roman"/>
                <w:sz w:val="26"/>
                <w:szCs w:val="26"/>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0E30EF" w:rsidRDefault="00515903" w:rsidP="00354869">
            <w:pPr>
              <w:spacing w:before="100" w:beforeAutospacing="1" w:after="100" w:afterAutospacing="1" w:line="293" w:lineRule="atLeast"/>
              <w:jc w:val="both"/>
              <w:rPr>
                <w:rFonts w:ascii="Times New Roman" w:hAnsi="Times New Roman"/>
                <w:sz w:val="26"/>
                <w:szCs w:val="26"/>
              </w:rPr>
            </w:pPr>
            <w:r w:rsidRPr="000E30EF">
              <w:rPr>
                <w:rFonts w:ascii="Times New Roman" w:hAnsi="Times New Roman"/>
                <w:sz w:val="26"/>
                <w:szCs w:val="26"/>
              </w:rPr>
              <w:t>Nav.</w:t>
            </w:r>
          </w:p>
        </w:tc>
      </w:tr>
    </w:tbl>
    <w:p w14:paraId="5D1809C7" w14:textId="77777777" w:rsidR="00466E51" w:rsidRPr="000E30EF" w:rsidRDefault="00466E51"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F40D8" w:rsidRPr="000E30EF" w14:paraId="2EA1F498" w14:textId="77777777" w:rsidTr="00ED4330">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300AE78E" w:rsidR="00D36E64" w:rsidRPr="000E30EF" w:rsidRDefault="00D36E64" w:rsidP="00354869">
            <w:pPr>
              <w:spacing w:before="100" w:beforeAutospacing="1" w:after="100" w:afterAutospacing="1" w:line="293" w:lineRule="atLeast"/>
              <w:jc w:val="both"/>
              <w:rPr>
                <w:rFonts w:ascii="Times New Roman" w:hAnsi="Times New Roman"/>
                <w:b/>
                <w:bCs/>
                <w:sz w:val="26"/>
                <w:szCs w:val="26"/>
              </w:rPr>
            </w:pPr>
            <w:r w:rsidRPr="000E30EF">
              <w:rPr>
                <w:rFonts w:ascii="Times New Roman" w:hAnsi="Times New Roman"/>
                <w:b/>
                <w:bCs/>
                <w:iCs/>
                <w:sz w:val="26"/>
                <w:szCs w:val="26"/>
              </w:rPr>
              <w:t>III. Tiesību akta projekta ietekme uz valsts budžetu un pašvaldību budžetiem</w:t>
            </w:r>
            <w:r w:rsidRPr="000E30EF">
              <w:rPr>
                <w:rFonts w:ascii="Times New Roman" w:hAnsi="Times New Roman"/>
                <w:sz w:val="26"/>
                <w:szCs w:val="26"/>
              </w:rPr>
              <w:t> </w:t>
            </w:r>
          </w:p>
        </w:tc>
      </w:tr>
      <w:tr w:rsidR="009F40D8" w:rsidRPr="000E30EF" w14:paraId="7986D563" w14:textId="77777777" w:rsidTr="00ED433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7DC9472" w:rsidR="00D36E64" w:rsidRPr="000E30EF" w:rsidRDefault="00FC308D" w:rsidP="00354869">
            <w:pPr>
              <w:spacing w:after="0" w:line="240" w:lineRule="auto"/>
              <w:jc w:val="center"/>
              <w:rPr>
                <w:rFonts w:ascii="Times New Roman" w:hAnsi="Times New Roman"/>
                <w:sz w:val="26"/>
                <w:szCs w:val="26"/>
              </w:rPr>
            </w:pPr>
            <w:r w:rsidRPr="000E30EF">
              <w:rPr>
                <w:rFonts w:ascii="Times New Roman" w:hAnsi="Times New Roman"/>
                <w:sz w:val="26"/>
                <w:szCs w:val="26"/>
              </w:rPr>
              <w:t>Projekts neietekmē valsts un pašvaldību budžetus</w:t>
            </w:r>
            <w:r w:rsidR="00257F7B" w:rsidRPr="000E30EF">
              <w:rPr>
                <w:rFonts w:ascii="Times New Roman" w:hAnsi="Times New Roman"/>
                <w:sz w:val="26"/>
                <w:szCs w:val="26"/>
              </w:rPr>
              <w:t>.</w:t>
            </w:r>
          </w:p>
        </w:tc>
      </w:tr>
    </w:tbl>
    <w:p w14:paraId="2216686C" w14:textId="3DD3937D" w:rsidR="00AE0F01" w:rsidRPr="000E30EF" w:rsidRDefault="00AE0F01" w:rsidP="00354869">
      <w:pPr>
        <w:spacing w:after="0" w:line="240" w:lineRule="auto"/>
        <w:jc w:val="both"/>
        <w:rPr>
          <w:rFonts w:ascii="Times New Roman" w:eastAsia="Times New Roman" w:hAnsi="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F40D8" w:rsidRPr="000E30EF" w14:paraId="18DFCACB" w14:textId="77777777" w:rsidTr="005F5D91">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F35AAA2" w14:textId="78890314" w:rsidR="004D480D" w:rsidRPr="000E30EF" w:rsidRDefault="004D480D" w:rsidP="00354869">
            <w:pPr>
              <w:spacing w:before="100" w:beforeAutospacing="1" w:after="100" w:afterAutospacing="1" w:line="293" w:lineRule="atLeast"/>
              <w:jc w:val="both"/>
              <w:rPr>
                <w:rFonts w:ascii="Times New Roman" w:hAnsi="Times New Roman"/>
                <w:b/>
                <w:bCs/>
                <w:sz w:val="26"/>
                <w:szCs w:val="26"/>
              </w:rPr>
            </w:pPr>
            <w:r w:rsidRPr="000E30EF">
              <w:rPr>
                <w:rFonts w:ascii="Times New Roman" w:eastAsia="Times New Roman" w:hAnsi="Times New Roman"/>
                <w:b/>
                <w:bCs/>
                <w:iCs/>
                <w:sz w:val="26"/>
                <w:szCs w:val="26"/>
                <w:lang w:eastAsia="lv-LV"/>
              </w:rPr>
              <w:t>IV. Tiesību akta projekta ietekme uz spēkā esošo tiesību normu sistēmu</w:t>
            </w:r>
          </w:p>
        </w:tc>
      </w:tr>
      <w:tr w:rsidR="009F40D8" w:rsidRPr="000E30EF" w14:paraId="554B43B9" w14:textId="77777777" w:rsidTr="005F5D91">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5C737B3A" w14:textId="156D2978" w:rsidR="004D480D" w:rsidRPr="000E30EF" w:rsidRDefault="004D480D" w:rsidP="00354869">
            <w:pPr>
              <w:spacing w:after="0" w:line="240" w:lineRule="auto"/>
              <w:jc w:val="center"/>
              <w:rPr>
                <w:rFonts w:ascii="Times New Roman" w:hAnsi="Times New Roman"/>
                <w:sz w:val="26"/>
                <w:szCs w:val="26"/>
              </w:rPr>
            </w:pPr>
            <w:r w:rsidRPr="000E30EF">
              <w:rPr>
                <w:rFonts w:ascii="Times New Roman" w:hAnsi="Times New Roman"/>
                <w:sz w:val="26"/>
                <w:szCs w:val="26"/>
              </w:rPr>
              <w:t>Projekts neietekmē spēkā esošo tiesību normu sistēmu</w:t>
            </w:r>
            <w:r w:rsidR="00257F7B" w:rsidRPr="000E30EF">
              <w:rPr>
                <w:rFonts w:ascii="Times New Roman" w:hAnsi="Times New Roman"/>
                <w:sz w:val="26"/>
                <w:szCs w:val="26"/>
              </w:rPr>
              <w:t>.</w:t>
            </w:r>
          </w:p>
        </w:tc>
      </w:tr>
    </w:tbl>
    <w:p w14:paraId="2216687C" w14:textId="77777777" w:rsidR="006C5D0A" w:rsidRPr="000E30EF" w:rsidRDefault="006C5D0A" w:rsidP="00354869">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F40D8" w:rsidRPr="000E30EF" w14:paraId="2216687E" w14:textId="77777777" w:rsidTr="00ED4330">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Pr="000E30EF" w:rsidRDefault="00363BB6" w:rsidP="00354869">
            <w:pPr>
              <w:spacing w:before="100" w:beforeAutospacing="1" w:after="100" w:afterAutospacing="1" w:line="293" w:lineRule="atLeast"/>
              <w:jc w:val="both"/>
              <w:rPr>
                <w:rFonts w:ascii="Times New Roman" w:hAnsi="Times New Roman"/>
                <w:b/>
                <w:bCs/>
                <w:sz w:val="26"/>
                <w:szCs w:val="26"/>
              </w:rPr>
            </w:pPr>
            <w:r w:rsidRPr="000E30EF">
              <w:rPr>
                <w:rFonts w:ascii="Times New Roman" w:hAnsi="Times New Roman"/>
                <w:sz w:val="26"/>
                <w:szCs w:val="26"/>
              </w:rPr>
              <w:t> </w:t>
            </w:r>
            <w:r w:rsidRPr="000E30EF">
              <w:rPr>
                <w:rFonts w:ascii="Times New Roman" w:hAnsi="Times New Roman"/>
                <w:b/>
                <w:bCs/>
                <w:sz w:val="26"/>
                <w:szCs w:val="26"/>
              </w:rPr>
              <w:t>V. Tiesību akta projekta atbilstība Latvijas Republikas starptautiskajām saistībām</w:t>
            </w:r>
          </w:p>
        </w:tc>
      </w:tr>
      <w:tr w:rsidR="009F40D8" w:rsidRPr="000E30EF" w14:paraId="22166880" w14:textId="77777777" w:rsidTr="00A92049">
        <w:trPr>
          <w:trHeight w:val="306"/>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0E30EF" w:rsidRDefault="00363BB6" w:rsidP="00354869">
            <w:pPr>
              <w:spacing w:after="0" w:line="240" w:lineRule="auto"/>
              <w:jc w:val="center"/>
              <w:rPr>
                <w:rFonts w:ascii="Times New Roman" w:hAnsi="Times New Roman"/>
                <w:sz w:val="26"/>
                <w:szCs w:val="26"/>
              </w:rPr>
            </w:pPr>
            <w:r w:rsidRPr="000E30EF">
              <w:rPr>
                <w:rFonts w:ascii="Times New Roman" w:hAnsi="Times New Roman"/>
                <w:sz w:val="26"/>
                <w:szCs w:val="26"/>
              </w:rPr>
              <w:t xml:space="preserve">Projekts </w:t>
            </w:r>
            <w:r w:rsidR="003F580D" w:rsidRPr="000E30EF">
              <w:rPr>
                <w:rFonts w:ascii="Times New Roman" w:hAnsi="Times New Roman"/>
                <w:sz w:val="26"/>
                <w:szCs w:val="26"/>
              </w:rPr>
              <w:t>neskar Latvijas Republikas starptautiskās saistības</w:t>
            </w:r>
            <w:r w:rsidRPr="000E30EF">
              <w:rPr>
                <w:rFonts w:ascii="Times New Roman" w:hAnsi="Times New Roman"/>
                <w:sz w:val="26"/>
                <w:szCs w:val="26"/>
              </w:rPr>
              <w:t>.</w:t>
            </w:r>
          </w:p>
        </w:tc>
      </w:tr>
    </w:tbl>
    <w:p w14:paraId="22166881" w14:textId="77777777" w:rsidR="000E1A83" w:rsidRPr="000E30EF" w:rsidRDefault="000E1A83"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529"/>
        <w:gridCol w:w="3603"/>
        <w:gridCol w:w="4929"/>
      </w:tblGrid>
      <w:tr w:rsidR="009F40D8" w:rsidRPr="000E30EF" w14:paraId="22166883" w14:textId="77777777" w:rsidTr="000D709E">
        <w:trPr>
          <w:trHeight w:val="420"/>
        </w:trPr>
        <w:tc>
          <w:tcPr>
            <w:tcW w:w="5000" w:type="pct"/>
            <w:gridSpan w:val="3"/>
          </w:tcPr>
          <w:p w14:paraId="22166882" w14:textId="613A4859" w:rsidR="000D709E" w:rsidRPr="000E30EF" w:rsidRDefault="000D709E" w:rsidP="00354869">
            <w:pPr>
              <w:spacing w:after="0" w:line="240" w:lineRule="auto"/>
              <w:jc w:val="both"/>
              <w:rPr>
                <w:rFonts w:ascii="Times New Roman" w:hAnsi="Times New Roman"/>
                <w:b/>
                <w:bCs/>
                <w:sz w:val="26"/>
                <w:szCs w:val="26"/>
              </w:rPr>
            </w:pPr>
            <w:r w:rsidRPr="000E30EF">
              <w:rPr>
                <w:rFonts w:ascii="Times New Roman" w:hAnsi="Times New Roman"/>
                <w:b/>
                <w:bCs/>
                <w:sz w:val="26"/>
                <w:szCs w:val="26"/>
              </w:rPr>
              <w:t>VI. Sabiedrības līdzdalība un komunikācijas aktivitātes</w:t>
            </w:r>
          </w:p>
        </w:tc>
      </w:tr>
      <w:tr w:rsidR="009F40D8" w:rsidRPr="000E30EF" w14:paraId="22166886" w14:textId="77777777" w:rsidTr="000D709E">
        <w:trPr>
          <w:trHeight w:val="540"/>
        </w:trPr>
        <w:tc>
          <w:tcPr>
            <w:tcW w:w="292" w:type="pct"/>
          </w:tcPr>
          <w:p w14:paraId="5384E23A" w14:textId="409FDA5E"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1.</w:t>
            </w:r>
          </w:p>
        </w:tc>
        <w:tc>
          <w:tcPr>
            <w:tcW w:w="1988" w:type="pct"/>
            <w:hideMark/>
          </w:tcPr>
          <w:p w14:paraId="22166884" w14:textId="71F15CE0"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Plānotās sabiedrības līdzdalības un komunikācijas aktivitātes saistībā ar projektu</w:t>
            </w:r>
          </w:p>
        </w:tc>
        <w:tc>
          <w:tcPr>
            <w:tcW w:w="2720" w:type="pct"/>
            <w:hideMark/>
          </w:tcPr>
          <w:p w14:paraId="22166885" w14:textId="792EF8E9" w:rsidR="000D709E" w:rsidRPr="000E30EF" w:rsidRDefault="004559B8" w:rsidP="00B0115A">
            <w:pPr>
              <w:spacing w:after="0" w:line="240" w:lineRule="auto"/>
              <w:jc w:val="both"/>
              <w:rPr>
                <w:rFonts w:ascii="Times New Roman" w:hAnsi="Times New Roman"/>
                <w:b/>
                <w:bCs/>
                <w:sz w:val="26"/>
                <w:szCs w:val="26"/>
              </w:rPr>
            </w:pPr>
            <w:r w:rsidRPr="000E30EF">
              <w:rPr>
                <w:rFonts w:ascii="Times New Roman" w:hAnsi="Times New Roman"/>
                <w:sz w:val="26"/>
                <w:szCs w:val="26"/>
              </w:rPr>
              <w:t>Projekts pirms izsludināšanas Valsts sekretāru sanāksmē tik</w:t>
            </w:r>
            <w:r w:rsidR="00B0115A" w:rsidRPr="000E30EF">
              <w:rPr>
                <w:rFonts w:ascii="Times New Roman" w:hAnsi="Times New Roman"/>
                <w:sz w:val="26"/>
                <w:szCs w:val="26"/>
              </w:rPr>
              <w:t>a</w:t>
            </w:r>
            <w:r w:rsidRPr="000E30EF">
              <w:rPr>
                <w:rFonts w:ascii="Times New Roman" w:hAnsi="Times New Roman"/>
                <w:sz w:val="26"/>
                <w:szCs w:val="26"/>
              </w:rPr>
              <w:t xml:space="preserve"> publicēts sabiedriskajai apspriešanai Izglītības un zinātnes </w:t>
            </w:r>
            <w:r w:rsidR="00157E0B" w:rsidRPr="000E30EF">
              <w:rPr>
                <w:rFonts w:ascii="Times New Roman" w:hAnsi="Times New Roman"/>
                <w:sz w:val="26"/>
                <w:szCs w:val="26"/>
              </w:rPr>
              <w:t>ministrijas tīmekļvietnē</w:t>
            </w:r>
            <w:r w:rsidR="00B0115A" w:rsidRPr="000E30EF">
              <w:rPr>
                <w:rFonts w:ascii="Times New Roman" w:hAnsi="Times New Roman"/>
                <w:sz w:val="26"/>
                <w:szCs w:val="26"/>
              </w:rPr>
              <w:t xml:space="preserve"> </w:t>
            </w:r>
            <w:r w:rsidR="00B0115A" w:rsidRPr="000E30EF">
              <w:rPr>
                <w:rFonts w:ascii="Times New Roman" w:hAnsi="Times New Roman"/>
                <w:sz w:val="26"/>
                <w:szCs w:val="26"/>
              </w:rPr>
              <w:lastRenderedPageBreak/>
              <w:t>https://izm.gov.lv/lv/sabiedribas-lidzdaliba/sabiedriskajai-apspriesanai-nodotie-normativo-aktu-projekti/4307-grozijumi-ministru-kabineta-2006-gada-10-oktobra-noteikumos-nr-846</w:t>
            </w:r>
            <w:hyperlink w:history="1"/>
            <w:r w:rsidR="00B0115A" w:rsidRPr="000E30EF">
              <w:rPr>
                <w:rFonts w:ascii="Times New Roman" w:hAnsi="Times New Roman"/>
                <w:sz w:val="26"/>
                <w:szCs w:val="26"/>
              </w:rPr>
              <w:t xml:space="preserve"> un Ministru kabineta tīmekļvietnē: https://mk.gov.lv/content/ministru-kabineta-diskusiju-dokumenti</w:t>
            </w:r>
            <w:r w:rsidR="0038730C" w:rsidRPr="000E30EF">
              <w:rPr>
                <w:rFonts w:ascii="Times New Roman" w:hAnsi="Times New Roman"/>
                <w:sz w:val="26"/>
                <w:szCs w:val="26"/>
              </w:rPr>
              <w:t>.</w:t>
            </w:r>
          </w:p>
        </w:tc>
      </w:tr>
      <w:tr w:rsidR="009F40D8" w:rsidRPr="000E30EF" w14:paraId="22166889" w14:textId="77777777" w:rsidTr="000D709E">
        <w:trPr>
          <w:trHeight w:val="330"/>
        </w:trPr>
        <w:tc>
          <w:tcPr>
            <w:tcW w:w="292" w:type="pct"/>
          </w:tcPr>
          <w:p w14:paraId="7382AFB9" w14:textId="2AD9AAC8"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lastRenderedPageBreak/>
              <w:t>2.</w:t>
            </w:r>
          </w:p>
        </w:tc>
        <w:tc>
          <w:tcPr>
            <w:tcW w:w="1988" w:type="pct"/>
            <w:hideMark/>
          </w:tcPr>
          <w:p w14:paraId="22166887" w14:textId="2BE7B7CB"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Sabiedrības līdzdalība projekta izstrādē</w:t>
            </w:r>
          </w:p>
        </w:tc>
        <w:tc>
          <w:tcPr>
            <w:tcW w:w="2720" w:type="pct"/>
            <w:hideMark/>
          </w:tcPr>
          <w:p w14:paraId="22166888" w14:textId="1A100E17" w:rsidR="000D709E" w:rsidRPr="000E30EF" w:rsidRDefault="00DA2E0D" w:rsidP="00DA2E0D">
            <w:pPr>
              <w:spacing w:after="0" w:line="240" w:lineRule="auto"/>
              <w:jc w:val="both"/>
              <w:rPr>
                <w:rFonts w:ascii="Times New Roman" w:hAnsi="Times New Roman"/>
                <w:sz w:val="26"/>
                <w:szCs w:val="26"/>
              </w:rPr>
            </w:pPr>
            <w:r w:rsidRPr="000E30EF">
              <w:rPr>
                <w:rFonts w:ascii="Times New Roman" w:hAnsi="Times New Roman"/>
                <w:sz w:val="26"/>
                <w:szCs w:val="26"/>
              </w:rPr>
              <w:t>Sabiedrības līdzdalības procesā iebildumi un priekšlikumi saņemti netika</w:t>
            </w:r>
            <w:r w:rsidR="0038730C" w:rsidRPr="000E30EF">
              <w:rPr>
                <w:rFonts w:ascii="Times New Roman" w:hAnsi="Times New Roman"/>
                <w:sz w:val="26"/>
                <w:szCs w:val="26"/>
              </w:rPr>
              <w:t>.</w:t>
            </w:r>
            <w:r w:rsidRPr="000E30EF">
              <w:rPr>
                <w:rFonts w:ascii="Times New Roman" w:hAnsi="Times New Roman"/>
                <w:sz w:val="26"/>
                <w:szCs w:val="26"/>
              </w:rPr>
              <w:t xml:space="preserve"> </w:t>
            </w:r>
          </w:p>
        </w:tc>
      </w:tr>
      <w:tr w:rsidR="009F40D8" w:rsidRPr="000E30EF" w14:paraId="2216688C" w14:textId="77777777" w:rsidTr="000D709E">
        <w:trPr>
          <w:trHeight w:val="465"/>
        </w:trPr>
        <w:tc>
          <w:tcPr>
            <w:tcW w:w="292" w:type="pct"/>
          </w:tcPr>
          <w:p w14:paraId="41B36F53" w14:textId="7B79747F"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3.</w:t>
            </w:r>
          </w:p>
        </w:tc>
        <w:tc>
          <w:tcPr>
            <w:tcW w:w="1988" w:type="pct"/>
            <w:hideMark/>
          </w:tcPr>
          <w:p w14:paraId="2216688A" w14:textId="779C4942"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Sabiedrības līdzdalības rezultāti</w:t>
            </w:r>
          </w:p>
        </w:tc>
        <w:tc>
          <w:tcPr>
            <w:tcW w:w="2720" w:type="pct"/>
            <w:hideMark/>
          </w:tcPr>
          <w:p w14:paraId="2216688B" w14:textId="6176C42B" w:rsidR="000D709E" w:rsidRPr="000E30EF" w:rsidRDefault="00DA2E0D" w:rsidP="0038730C">
            <w:pPr>
              <w:spacing w:after="0" w:line="240" w:lineRule="auto"/>
              <w:jc w:val="both"/>
              <w:rPr>
                <w:rFonts w:ascii="Times New Roman" w:hAnsi="Times New Roman"/>
                <w:sz w:val="26"/>
                <w:szCs w:val="26"/>
              </w:rPr>
            </w:pPr>
            <w:r w:rsidRPr="000E30EF">
              <w:rPr>
                <w:rFonts w:ascii="Times New Roman" w:hAnsi="Times New Roman"/>
                <w:sz w:val="26"/>
                <w:szCs w:val="26"/>
              </w:rPr>
              <w:t>Projekts papildināts un grozīts netika, sabiedrība</w:t>
            </w:r>
            <w:r w:rsidR="0038730C" w:rsidRPr="000E30EF">
              <w:rPr>
                <w:rFonts w:ascii="Times New Roman" w:hAnsi="Times New Roman"/>
                <w:sz w:val="26"/>
                <w:szCs w:val="26"/>
              </w:rPr>
              <w:t xml:space="preserve"> neiesaistījās</w:t>
            </w:r>
            <w:r w:rsidRPr="000E30EF">
              <w:rPr>
                <w:rFonts w:ascii="Times New Roman" w:hAnsi="Times New Roman"/>
                <w:sz w:val="26"/>
                <w:szCs w:val="26"/>
              </w:rPr>
              <w:t xml:space="preserve"> </w:t>
            </w:r>
            <w:r w:rsidR="0038730C" w:rsidRPr="000E30EF">
              <w:rPr>
                <w:rFonts w:ascii="Times New Roman" w:hAnsi="Times New Roman"/>
                <w:sz w:val="26"/>
                <w:szCs w:val="26"/>
              </w:rPr>
              <w:t>projekta izstrādē un apspriešanā</w:t>
            </w:r>
            <w:r w:rsidRPr="000E30EF">
              <w:rPr>
                <w:rFonts w:ascii="Times New Roman" w:hAnsi="Times New Roman"/>
                <w:sz w:val="26"/>
                <w:szCs w:val="26"/>
              </w:rPr>
              <w:t xml:space="preserve">. </w:t>
            </w:r>
          </w:p>
        </w:tc>
      </w:tr>
      <w:tr w:rsidR="009F40D8" w:rsidRPr="000E30EF" w14:paraId="2216688F" w14:textId="77777777" w:rsidTr="000D709E">
        <w:trPr>
          <w:trHeight w:val="465"/>
        </w:trPr>
        <w:tc>
          <w:tcPr>
            <w:tcW w:w="292" w:type="pct"/>
          </w:tcPr>
          <w:p w14:paraId="123BE2E6" w14:textId="7D773507"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4.</w:t>
            </w:r>
          </w:p>
        </w:tc>
        <w:tc>
          <w:tcPr>
            <w:tcW w:w="1988" w:type="pct"/>
            <w:hideMark/>
          </w:tcPr>
          <w:p w14:paraId="2216688D" w14:textId="1BC290DB"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Cita informācija</w:t>
            </w:r>
          </w:p>
        </w:tc>
        <w:tc>
          <w:tcPr>
            <w:tcW w:w="2720" w:type="pct"/>
            <w:hideMark/>
          </w:tcPr>
          <w:p w14:paraId="2216688E" w14:textId="77777777" w:rsidR="000D709E" w:rsidRPr="000E30EF" w:rsidRDefault="000D709E" w:rsidP="00354869">
            <w:pPr>
              <w:spacing w:after="0" w:line="240" w:lineRule="auto"/>
              <w:jc w:val="both"/>
              <w:rPr>
                <w:rFonts w:ascii="Times New Roman" w:hAnsi="Times New Roman"/>
                <w:sz w:val="26"/>
                <w:szCs w:val="26"/>
              </w:rPr>
            </w:pPr>
            <w:r w:rsidRPr="000E30EF">
              <w:rPr>
                <w:rFonts w:ascii="Times New Roman" w:hAnsi="Times New Roman"/>
                <w:sz w:val="26"/>
                <w:szCs w:val="26"/>
              </w:rPr>
              <w:t>Nav.</w:t>
            </w:r>
          </w:p>
        </w:tc>
      </w:tr>
    </w:tbl>
    <w:p w14:paraId="22166890" w14:textId="77777777" w:rsidR="000E1A83" w:rsidRPr="000E30EF" w:rsidRDefault="000E1A83" w:rsidP="00354869">
      <w:pPr>
        <w:spacing w:after="0" w:line="240" w:lineRule="auto"/>
        <w:jc w:val="both"/>
        <w:rPr>
          <w:rFonts w:ascii="Times New Roman" w:eastAsia="Times New Roman" w:hAnsi="Times New Roman"/>
          <w:sz w:val="26"/>
          <w:szCs w:val="26"/>
          <w:lang w:eastAsia="lv-LV"/>
        </w:rPr>
      </w:pPr>
    </w:p>
    <w:p w14:paraId="22166891" w14:textId="77777777" w:rsidR="00E47B7E" w:rsidRPr="000E30EF" w:rsidRDefault="00E47B7E" w:rsidP="00354869">
      <w:pPr>
        <w:spacing w:after="0" w:line="240" w:lineRule="auto"/>
        <w:jc w:val="both"/>
        <w:rPr>
          <w:rFonts w:ascii="Times New Roman" w:eastAsia="Times New Roman" w:hAnsi="Times New Roman"/>
          <w:sz w:val="26"/>
          <w:szCs w:val="26"/>
          <w:lang w:eastAsia="lv-LV"/>
        </w:rPr>
      </w:pPr>
    </w:p>
    <w:tbl>
      <w:tblPr>
        <w:tblStyle w:val="TableGrid"/>
        <w:tblW w:w="5000" w:type="pct"/>
        <w:tblLook w:val="04A0" w:firstRow="1" w:lastRow="0" w:firstColumn="1" w:lastColumn="0" w:noHBand="0" w:noVBand="1"/>
      </w:tblPr>
      <w:tblGrid>
        <w:gridCol w:w="453"/>
        <w:gridCol w:w="3664"/>
        <w:gridCol w:w="4944"/>
      </w:tblGrid>
      <w:tr w:rsidR="00925F9E" w:rsidRPr="000E30EF" w14:paraId="22166893" w14:textId="77777777" w:rsidTr="007A2871">
        <w:trPr>
          <w:trHeight w:val="375"/>
        </w:trPr>
        <w:tc>
          <w:tcPr>
            <w:tcW w:w="0" w:type="auto"/>
            <w:gridSpan w:val="3"/>
            <w:hideMark/>
          </w:tcPr>
          <w:p w14:paraId="22166892" w14:textId="77777777" w:rsidR="00C96AD3" w:rsidRPr="000E30EF" w:rsidRDefault="00363BB6" w:rsidP="00354869">
            <w:pPr>
              <w:spacing w:before="100" w:beforeAutospacing="1" w:after="100" w:afterAutospacing="1" w:line="360" w:lineRule="auto"/>
              <w:ind w:firstLine="300"/>
              <w:jc w:val="both"/>
              <w:rPr>
                <w:rFonts w:ascii="Times New Roman" w:eastAsia="Times New Roman" w:hAnsi="Times New Roman"/>
                <w:b/>
                <w:bCs/>
                <w:sz w:val="26"/>
                <w:szCs w:val="26"/>
                <w:lang w:eastAsia="lv-LV"/>
              </w:rPr>
            </w:pPr>
            <w:r w:rsidRPr="000E30EF">
              <w:rPr>
                <w:rFonts w:ascii="Times New Roman" w:eastAsia="Times New Roman" w:hAnsi="Times New Roman"/>
                <w:b/>
                <w:bCs/>
                <w:sz w:val="26"/>
                <w:szCs w:val="26"/>
                <w:lang w:eastAsia="lv-LV"/>
              </w:rPr>
              <w:t>VII. Tiesību akta projekta izpildes nodrošināšana un tās ietekme uz institūcijām</w:t>
            </w:r>
          </w:p>
        </w:tc>
      </w:tr>
      <w:tr w:rsidR="00925F9E" w:rsidRPr="000E30EF" w14:paraId="22166897" w14:textId="77777777" w:rsidTr="000E1A83">
        <w:trPr>
          <w:trHeight w:val="420"/>
        </w:trPr>
        <w:tc>
          <w:tcPr>
            <w:tcW w:w="250" w:type="pct"/>
            <w:hideMark/>
          </w:tcPr>
          <w:p w14:paraId="22166894"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1.</w:t>
            </w:r>
          </w:p>
        </w:tc>
        <w:tc>
          <w:tcPr>
            <w:tcW w:w="2022" w:type="pct"/>
            <w:hideMark/>
          </w:tcPr>
          <w:p w14:paraId="22166895"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Projekta izpildē iesaistītās institūcijas</w:t>
            </w:r>
          </w:p>
        </w:tc>
        <w:tc>
          <w:tcPr>
            <w:tcW w:w="2728" w:type="pct"/>
            <w:hideMark/>
          </w:tcPr>
          <w:p w14:paraId="22166896" w14:textId="7B63CA5F" w:rsidR="00C96AD3" w:rsidRPr="000E30EF" w:rsidRDefault="0085571E" w:rsidP="007E411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Augstskolas un koledžas</w:t>
            </w:r>
            <w:r w:rsidR="007E4119" w:rsidRPr="000E30EF">
              <w:rPr>
                <w:rFonts w:ascii="Times New Roman" w:eastAsia="Times New Roman" w:hAnsi="Times New Roman"/>
                <w:sz w:val="26"/>
                <w:szCs w:val="26"/>
                <w:lang w:eastAsia="lv-LV"/>
              </w:rPr>
              <w:t>, ārvalstu studētgribētāji</w:t>
            </w:r>
            <w:r w:rsidRPr="000E30EF">
              <w:rPr>
                <w:rFonts w:ascii="Times New Roman" w:eastAsia="Times New Roman" w:hAnsi="Times New Roman"/>
                <w:sz w:val="26"/>
                <w:szCs w:val="26"/>
                <w:lang w:eastAsia="lv-LV"/>
              </w:rPr>
              <w:t>.</w:t>
            </w:r>
          </w:p>
        </w:tc>
      </w:tr>
      <w:tr w:rsidR="00925F9E" w:rsidRPr="000E30EF" w14:paraId="2216689B" w14:textId="77777777" w:rsidTr="000E1A83">
        <w:trPr>
          <w:trHeight w:val="450"/>
        </w:trPr>
        <w:tc>
          <w:tcPr>
            <w:tcW w:w="250" w:type="pct"/>
            <w:hideMark/>
          </w:tcPr>
          <w:p w14:paraId="22166898"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2.</w:t>
            </w:r>
          </w:p>
        </w:tc>
        <w:tc>
          <w:tcPr>
            <w:tcW w:w="2022" w:type="pct"/>
            <w:hideMark/>
          </w:tcPr>
          <w:p w14:paraId="22166899"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0E30EF" w:rsidRDefault="00363BB6" w:rsidP="00354869">
            <w:pPr>
              <w:spacing w:after="0" w:line="240" w:lineRule="auto"/>
              <w:jc w:val="both"/>
              <w:rPr>
                <w:rFonts w:ascii="Times New Roman" w:eastAsia="Times New Roman" w:hAnsi="Times New Roman"/>
                <w:sz w:val="26"/>
                <w:szCs w:val="26"/>
                <w:highlight w:val="yellow"/>
                <w:lang w:eastAsia="lv-LV"/>
              </w:rPr>
            </w:pPr>
            <w:r w:rsidRPr="000E30EF">
              <w:rPr>
                <w:rFonts w:ascii="Times New Roman" w:eastAsia="Times New Roman" w:hAnsi="Times New Roman"/>
                <w:sz w:val="26"/>
                <w:szCs w:val="26"/>
                <w:lang w:eastAsia="lv-LV"/>
              </w:rPr>
              <w:t>Projekt</w:t>
            </w:r>
            <w:r w:rsidR="003F580D" w:rsidRPr="000E30EF">
              <w:rPr>
                <w:rFonts w:ascii="Times New Roman" w:eastAsia="Times New Roman" w:hAnsi="Times New Roman"/>
                <w:sz w:val="26"/>
                <w:szCs w:val="26"/>
                <w:lang w:eastAsia="lv-LV"/>
              </w:rPr>
              <w:t>am nav ietekmes uz valsts pārvaldes funkcijām un institucionālo struktūru</w:t>
            </w:r>
            <w:r w:rsidR="003F33A6" w:rsidRPr="000E30EF">
              <w:rPr>
                <w:rFonts w:ascii="Times New Roman" w:eastAsia="Times New Roman" w:hAnsi="Times New Roman"/>
                <w:sz w:val="26"/>
                <w:szCs w:val="26"/>
                <w:lang w:eastAsia="lv-LV"/>
              </w:rPr>
              <w:t>.</w:t>
            </w:r>
          </w:p>
        </w:tc>
      </w:tr>
      <w:tr w:rsidR="00925F9E" w:rsidRPr="000E30EF" w14:paraId="2216689F" w14:textId="77777777" w:rsidTr="000E1A83">
        <w:trPr>
          <w:trHeight w:val="390"/>
        </w:trPr>
        <w:tc>
          <w:tcPr>
            <w:tcW w:w="250" w:type="pct"/>
            <w:hideMark/>
          </w:tcPr>
          <w:p w14:paraId="2216689C"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3.</w:t>
            </w:r>
          </w:p>
        </w:tc>
        <w:tc>
          <w:tcPr>
            <w:tcW w:w="2022" w:type="pct"/>
            <w:hideMark/>
          </w:tcPr>
          <w:p w14:paraId="2216689D" w14:textId="77777777" w:rsidR="00C96AD3" w:rsidRPr="000E30EF" w:rsidRDefault="00363BB6" w:rsidP="00354869">
            <w:pPr>
              <w:spacing w:after="0" w:line="24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Cita informācija</w:t>
            </w:r>
          </w:p>
        </w:tc>
        <w:tc>
          <w:tcPr>
            <w:tcW w:w="2728" w:type="pct"/>
            <w:hideMark/>
          </w:tcPr>
          <w:p w14:paraId="2216689E" w14:textId="77777777" w:rsidR="00C96AD3" w:rsidRPr="000E30EF" w:rsidRDefault="00363BB6" w:rsidP="00354869">
            <w:pPr>
              <w:spacing w:before="100" w:beforeAutospacing="1" w:after="100" w:afterAutospacing="1" w:line="360" w:lineRule="auto"/>
              <w:jc w:val="both"/>
              <w:rPr>
                <w:rFonts w:ascii="Times New Roman" w:eastAsia="Times New Roman" w:hAnsi="Times New Roman"/>
                <w:sz w:val="26"/>
                <w:szCs w:val="26"/>
                <w:lang w:eastAsia="lv-LV"/>
              </w:rPr>
            </w:pPr>
            <w:r w:rsidRPr="000E30EF">
              <w:rPr>
                <w:rFonts w:ascii="Times New Roman" w:eastAsia="Times New Roman" w:hAnsi="Times New Roman"/>
                <w:sz w:val="26"/>
                <w:szCs w:val="26"/>
                <w:lang w:eastAsia="lv-LV"/>
              </w:rPr>
              <w:t>Nav.</w:t>
            </w:r>
          </w:p>
        </w:tc>
      </w:tr>
    </w:tbl>
    <w:p w14:paraId="221668A0" w14:textId="77777777" w:rsidR="007C5781" w:rsidRPr="00717B60" w:rsidRDefault="007C5781" w:rsidP="00354869">
      <w:pPr>
        <w:autoSpaceDE w:val="0"/>
        <w:autoSpaceDN w:val="0"/>
        <w:adjustRightInd w:val="0"/>
        <w:spacing w:after="0" w:line="240" w:lineRule="auto"/>
        <w:jc w:val="both"/>
        <w:rPr>
          <w:rFonts w:ascii="Times New Roman" w:hAnsi="Times New Roman"/>
          <w:sz w:val="26"/>
          <w:szCs w:val="26"/>
        </w:rPr>
      </w:pPr>
    </w:p>
    <w:p w14:paraId="221668A2" w14:textId="3D9424A9" w:rsidR="00F31126" w:rsidRPr="00717B60" w:rsidRDefault="00363BB6" w:rsidP="00F31126">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Izglītības un zinātne</w:t>
      </w:r>
      <w:r w:rsidR="00214AB2" w:rsidRPr="00717B60">
        <w:rPr>
          <w:rFonts w:ascii="Times New Roman" w:eastAsia="Times New Roman" w:hAnsi="Times New Roman"/>
          <w:sz w:val="26"/>
          <w:szCs w:val="26"/>
          <w:lang w:eastAsia="lv-LV"/>
        </w:rPr>
        <w:t>s ministre</w:t>
      </w:r>
      <w:r w:rsidRPr="00717B60">
        <w:rPr>
          <w:rFonts w:ascii="Times New Roman" w:eastAsia="Times New Roman" w:hAnsi="Times New Roman"/>
          <w:sz w:val="26"/>
          <w:szCs w:val="26"/>
          <w:lang w:eastAsia="lv-LV"/>
        </w:rPr>
        <w:tab/>
        <w:t xml:space="preserve"> </w:t>
      </w:r>
      <w:r w:rsidRPr="00717B60">
        <w:rPr>
          <w:rFonts w:ascii="Times New Roman" w:eastAsia="Times New Roman" w:hAnsi="Times New Roman"/>
          <w:sz w:val="26"/>
          <w:szCs w:val="26"/>
          <w:lang w:eastAsia="lv-LV"/>
        </w:rPr>
        <w:tab/>
      </w:r>
      <w:r w:rsidR="007A2871" w:rsidRPr="00717B60">
        <w:rPr>
          <w:rFonts w:ascii="Times New Roman" w:eastAsia="Times New Roman" w:hAnsi="Times New Roman"/>
          <w:sz w:val="26"/>
          <w:szCs w:val="26"/>
          <w:lang w:eastAsia="lv-LV"/>
        </w:rPr>
        <w:tab/>
      </w:r>
      <w:r w:rsidRPr="00717B60">
        <w:rPr>
          <w:rFonts w:ascii="Times New Roman" w:eastAsia="Times New Roman" w:hAnsi="Times New Roman"/>
          <w:sz w:val="26"/>
          <w:szCs w:val="26"/>
          <w:lang w:eastAsia="lv-LV"/>
        </w:rPr>
        <w:tab/>
        <w:t xml:space="preserve">    </w:t>
      </w:r>
      <w:r w:rsidRPr="00717B60">
        <w:rPr>
          <w:rFonts w:ascii="Times New Roman" w:eastAsia="Times New Roman" w:hAnsi="Times New Roman"/>
          <w:sz w:val="26"/>
          <w:szCs w:val="26"/>
          <w:lang w:eastAsia="lv-LV"/>
        </w:rPr>
        <w:tab/>
      </w:r>
      <w:r w:rsidR="004D1B0D" w:rsidRPr="00717B60">
        <w:rPr>
          <w:rFonts w:ascii="Times New Roman" w:eastAsia="Times New Roman" w:hAnsi="Times New Roman"/>
          <w:sz w:val="26"/>
          <w:szCs w:val="26"/>
          <w:lang w:eastAsia="lv-LV"/>
        </w:rPr>
        <w:t xml:space="preserve">I. </w:t>
      </w:r>
      <w:r w:rsidR="00214AB2" w:rsidRPr="00717B60">
        <w:rPr>
          <w:rFonts w:ascii="Times New Roman" w:eastAsia="Times New Roman" w:hAnsi="Times New Roman"/>
          <w:sz w:val="26"/>
          <w:szCs w:val="26"/>
          <w:lang w:eastAsia="lv-LV"/>
        </w:rPr>
        <w:t>Šuplinska</w:t>
      </w:r>
    </w:p>
    <w:p w14:paraId="221668A3" w14:textId="77777777" w:rsidR="004A505F" w:rsidRPr="00717B60" w:rsidRDefault="004A505F" w:rsidP="00012B57">
      <w:pPr>
        <w:spacing w:after="0" w:line="240" w:lineRule="auto"/>
        <w:jc w:val="both"/>
        <w:rPr>
          <w:rFonts w:ascii="Times New Roman" w:eastAsia="Times New Roman" w:hAnsi="Times New Roman"/>
          <w:sz w:val="26"/>
          <w:szCs w:val="26"/>
          <w:lang w:eastAsia="lv-LV"/>
        </w:rPr>
      </w:pPr>
    </w:p>
    <w:p w14:paraId="221668A4" w14:textId="77777777" w:rsidR="00F84EF8" w:rsidRPr="00717B60" w:rsidRDefault="00F84EF8" w:rsidP="00012B57">
      <w:pPr>
        <w:spacing w:after="0" w:line="240" w:lineRule="auto"/>
        <w:jc w:val="both"/>
        <w:rPr>
          <w:rFonts w:ascii="Times New Roman" w:eastAsia="Times New Roman" w:hAnsi="Times New Roman"/>
          <w:sz w:val="26"/>
          <w:szCs w:val="26"/>
          <w:lang w:eastAsia="lv-LV"/>
        </w:rPr>
      </w:pPr>
    </w:p>
    <w:p w14:paraId="221668A5" w14:textId="77777777" w:rsidR="00A76C0A" w:rsidRPr="00717B60" w:rsidRDefault="00214AB2" w:rsidP="00012B57">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sz w:val="26"/>
          <w:szCs w:val="26"/>
          <w:lang w:eastAsia="lv-LV"/>
        </w:rPr>
        <w:t>Vīza</w:t>
      </w:r>
      <w:r w:rsidR="00363BB6" w:rsidRPr="00717B60">
        <w:rPr>
          <w:rFonts w:ascii="Times New Roman" w:eastAsia="Times New Roman" w:hAnsi="Times New Roman"/>
          <w:sz w:val="26"/>
          <w:szCs w:val="26"/>
          <w:lang w:eastAsia="lv-LV"/>
        </w:rPr>
        <w:t>:</w:t>
      </w:r>
    </w:p>
    <w:p w14:paraId="221668A6" w14:textId="75413197" w:rsidR="00012B57" w:rsidRPr="00717B60" w:rsidRDefault="004D1B0D" w:rsidP="006C5F23">
      <w:pPr>
        <w:spacing w:after="0" w:line="240" w:lineRule="auto"/>
        <w:jc w:val="both"/>
        <w:rPr>
          <w:rFonts w:ascii="Times New Roman" w:eastAsia="Times New Roman" w:hAnsi="Times New Roman"/>
          <w:sz w:val="26"/>
          <w:szCs w:val="26"/>
          <w:lang w:eastAsia="lv-LV"/>
        </w:rPr>
      </w:pPr>
      <w:r w:rsidRPr="00717B60">
        <w:rPr>
          <w:rFonts w:ascii="Times New Roman" w:eastAsia="Times New Roman" w:hAnsi="Times New Roman"/>
          <w:bCs/>
          <w:kern w:val="32"/>
          <w:sz w:val="26"/>
          <w:szCs w:val="26"/>
          <w:lang w:eastAsia="lv-LV"/>
        </w:rPr>
        <w:t>Valsts sekretār</w:t>
      </w:r>
      <w:r w:rsidR="000E30EF">
        <w:rPr>
          <w:rFonts w:ascii="Times New Roman" w:eastAsia="Times New Roman" w:hAnsi="Times New Roman"/>
          <w:bCs/>
          <w:kern w:val="32"/>
          <w:sz w:val="26"/>
          <w:szCs w:val="26"/>
          <w:lang w:eastAsia="lv-LV"/>
        </w:rPr>
        <w:t>s</w:t>
      </w:r>
      <w:r w:rsidR="000E30EF">
        <w:rPr>
          <w:rFonts w:ascii="Times New Roman" w:eastAsia="Times New Roman" w:hAnsi="Times New Roman"/>
          <w:bCs/>
          <w:kern w:val="32"/>
          <w:sz w:val="26"/>
          <w:szCs w:val="26"/>
          <w:lang w:eastAsia="lv-LV"/>
        </w:rPr>
        <w:tab/>
      </w:r>
      <w:r w:rsidR="000E30EF">
        <w:rPr>
          <w:rFonts w:ascii="Times New Roman" w:eastAsia="Times New Roman" w:hAnsi="Times New Roman"/>
          <w:bCs/>
          <w:kern w:val="32"/>
          <w:sz w:val="26"/>
          <w:szCs w:val="26"/>
          <w:lang w:eastAsia="lv-LV"/>
        </w:rPr>
        <w:tab/>
      </w:r>
      <w:r w:rsidR="000E30EF">
        <w:rPr>
          <w:rFonts w:ascii="Times New Roman" w:eastAsia="Times New Roman" w:hAnsi="Times New Roman"/>
          <w:bCs/>
          <w:kern w:val="32"/>
          <w:sz w:val="26"/>
          <w:szCs w:val="26"/>
          <w:lang w:eastAsia="lv-LV"/>
        </w:rPr>
        <w:tab/>
      </w:r>
      <w:r w:rsidR="000E30EF">
        <w:rPr>
          <w:rFonts w:ascii="Times New Roman" w:eastAsia="Times New Roman" w:hAnsi="Times New Roman"/>
          <w:bCs/>
          <w:kern w:val="32"/>
          <w:sz w:val="26"/>
          <w:szCs w:val="26"/>
          <w:lang w:eastAsia="lv-LV"/>
        </w:rPr>
        <w:tab/>
      </w:r>
      <w:r w:rsidR="000E30EF">
        <w:rPr>
          <w:rFonts w:ascii="Times New Roman" w:eastAsia="Times New Roman" w:hAnsi="Times New Roman"/>
          <w:bCs/>
          <w:kern w:val="32"/>
          <w:sz w:val="26"/>
          <w:szCs w:val="26"/>
          <w:lang w:eastAsia="lv-LV"/>
        </w:rPr>
        <w:tab/>
      </w:r>
      <w:r w:rsidR="000E30EF">
        <w:rPr>
          <w:rFonts w:ascii="Times New Roman" w:eastAsia="Times New Roman" w:hAnsi="Times New Roman"/>
          <w:bCs/>
          <w:kern w:val="32"/>
          <w:sz w:val="26"/>
          <w:szCs w:val="26"/>
          <w:lang w:eastAsia="lv-LV"/>
        </w:rPr>
        <w:tab/>
      </w:r>
      <w:r w:rsidR="00CD301F">
        <w:rPr>
          <w:rFonts w:ascii="Times New Roman" w:eastAsia="Times New Roman" w:hAnsi="Times New Roman"/>
          <w:bCs/>
          <w:kern w:val="32"/>
          <w:sz w:val="26"/>
          <w:szCs w:val="26"/>
          <w:lang w:eastAsia="lv-LV"/>
        </w:rPr>
        <w:tab/>
      </w:r>
      <w:bookmarkStart w:id="4" w:name="_GoBack"/>
      <w:bookmarkEnd w:id="4"/>
      <w:r w:rsidR="000E30EF">
        <w:rPr>
          <w:rFonts w:ascii="Times New Roman" w:eastAsia="Times New Roman" w:hAnsi="Times New Roman"/>
          <w:bCs/>
          <w:kern w:val="32"/>
          <w:sz w:val="26"/>
          <w:szCs w:val="26"/>
          <w:lang w:eastAsia="lv-LV"/>
        </w:rPr>
        <w:t>J.Volberts</w:t>
      </w:r>
    </w:p>
    <w:p w14:paraId="3A96AE98" w14:textId="77777777" w:rsidR="000C7A7A" w:rsidRPr="00717B60" w:rsidRDefault="000C7A7A" w:rsidP="000425D0">
      <w:pPr>
        <w:autoSpaceDE w:val="0"/>
        <w:autoSpaceDN w:val="0"/>
        <w:adjustRightInd w:val="0"/>
        <w:spacing w:after="0"/>
        <w:rPr>
          <w:rFonts w:ascii="Times New Roman" w:hAnsi="Times New Roman"/>
          <w:sz w:val="26"/>
          <w:szCs w:val="26"/>
        </w:rPr>
      </w:pPr>
    </w:p>
    <w:p w14:paraId="2A221A40" w14:textId="77777777" w:rsidR="000E30EF" w:rsidRDefault="000E30EF" w:rsidP="000425D0">
      <w:pPr>
        <w:autoSpaceDE w:val="0"/>
        <w:autoSpaceDN w:val="0"/>
        <w:adjustRightInd w:val="0"/>
        <w:spacing w:after="0"/>
        <w:rPr>
          <w:rFonts w:ascii="Times New Roman" w:hAnsi="Times New Roman"/>
          <w:sz w:val="20"/>
          <w:szCs w:val="20"/>
        </w:rPr>
      </w:pPr>
    </w:p>
    <w:p w14:paraId="4F89AB4D" w14:textId="3F4D3440" w:rsidR="0000759B" w:rsidRPr="0000759B" w:rsidRDefault="0000759B" w:rsidP="000425D0">
      <w:pPr>
        <w:autoSpaceDE w:val="0"/>
        <w:autoSpaceDN w:val="0"/>
        <w:adjustRightInd w:val="0"/>
        <w:spacing w:after="0"/>
        <w:rPr>
          <w:rFonts w:ascii="Times New Roman" w:hAnsi="Times New Roman"/>
          <w:sz w:val="20"/>
          <w:szCs w:val="20"/>
        </w:rPr>
      </w:pPr>
      <w:r w:rsidRPr="0000759B">
        <w:rPr>
          <w:rFonts w:ascii="Times New Roman" w:hAnsi="Times New Roman"/>
          <w:sz w:val="20"/>
          <w:szCs w:val="20"/>
        </w:rPr>
        <w:t>D.Ivsiņa</w:t>
      </w:r>
      <w:r>
        <w:rPr>
          <w:rFonts w:ascii="Times New Roman" w:hAnsi="Times New Roman"/>
          <w:sz w:val="20"/>
          <w:szCs w:val="20"/>
        </w:rPr>
        <w:t xml:space="preserve"> 67047874</w:t>
      </w:r>
    </w:p>
    <w:p w14:paraId="1679AC68" w14:textId="147388E1" w:rsidR="00165EFB" w:rsidRDefault="00D14BFB" w:rsidP="00A92049">
      <w:pPr>
        <w:autoSpaceDE w:val="0"/>
        <w:autoSpaceDN w:val="0"/>
        <w:adjustRightInd w:val="0"/>
        <w:spacing w:after="0"/>
        <w:rPr>
          <w:rFonts w:ascii="Times New Roman" w:hAnsi="Times New Roman"/>
          <w:sz w:val="20"/>
          <w:szCs w:val="20"/>
        </w:rPr>
      </w:pPr>
      <w:hyperlink r:id="rId10" w:history="1">
        <w:r w:rsidR="00165EFB" w:rsidRPr="006814B0">
          <w:rPr>
            <w:rStyle w:val="Hyperlink"/>
            <w:rFonts w:ascii="Times New Roman" w:hAnsi="Times New Roman"/>
            <w:sz w:val="20"/>
            <w:szCs w:val="20"/>
          </w:rPr>
          <w:t>Daiga.Ivsina@izm.gov.lv</w:t>
        </w:r>
      </w:hyperlink>
      <w:r w:rsidR="00363BB6" w:rsidRPr="0000759B">
        <w:rPr>
          <w:rFonts w:ascii="Times New Roman" w:hAnsi="Times New Roman"/>
          <w:sz w:val="20"/>
          <w:szCs w:val="20"/>
        </w:rPr>
        <w:tab/>
      </w:r>
    </w:p>
    <w:p w14:paraId="2F56DEAE" w14:textId="77777777" w:rsidR="00165EFB" w:rsidRDefault="00165EFB" w:rsidP="00A92049">
      <w:pPr>
        <w:autoSpaceDE w:val="0"/>
        <w:autoSpaceDN w:val="0"/>
        <w:adjustRightInd w:val="0"/>
        <w:spacing w:after="0"/>
        <w:rPr>
          <w:rFonts w:ascii="Times New Roman" w:hAnsi="Times New Roman"/>
          <w:sz w:val="20"/>
          <w:szCs w:val="20"/>
        </w:rPr>
      </w:pPr>
    </w:p>
    <w:p w14:paraId="2C0E4755" w14:textId="77777777" w:rsidR="00165EFB" w:rsidRDefault="00165EFB" w:rsidP="00A92049">
      <w:pPr>
        <w:autoSpaceDE w:val="0"/>
        <w:autoSpaceDN w:val="0"/>
        <w:adjustRightInd w:val="0"/>
        <w:spacing w:after="0"/>
        <w:rPr>
          <w:rFonts w:ascii="Times New Roman" w:hAnsi="Times New Roman"/>
          <w:sz w:val="20"/>
          <w:szCs w:val="20"/>
        </w:rPr>
      </w:pPr>
      <w:r>
        <w:rPr>
          <w:rFonts w:ascii="Times New Roman" w:hAnsi="Times New Roman"/>
          <w:sz w:val="20"/>
          <w:szCs w:val="20"/>
        </w:rPr>
        <w:t>I.Akmentiņa, 67047816</w:t>
      </w:r>
    </w:p>
    <w:p w14:paraId="34CF05C5" w14:textId="77777777" w:rsidR="002941B9" w:rsidRDefault="00D14BFB" w:rsidP="00A92049">
      <w:pPr>
        <w:autoSpaceDE w:val="0"/>
        <w:autoSpaceDN w:val="0"/>
        <w:adjustRightInd w:val="0"/>
        <w:spacing w:after="0"/>
        <w:rPr>
          <w:rFonts w:ascii="Times New Roman" w:hAnsi="Times New Roman"/>
          <w:sz w:val="20"/>
          <w:szCs w:val="20"/>
        </w:rPr>
      </w:pPr>
      <w:hyperlink r:id="rId11" w:history="1">
        <w:r w:rsidR="00165EFB" w:rsidRPr="006814B0">
          <w:rPr>
            <w:rStyle w:val="Hyperlink"/>
            <w:rFonts w:ascii="Times New Roman" w:hAnsi="Times New Roman"/>
            <w:sz w:val="20"/>
            <w:szCs w:val="20"/>
          </w:rPr>
          <w:t>inga.akmentina@izm.gov.lv</w:t>
        </w:r>
      </w:hyperlink>
      <w:r w:rsidR="00363BB6" w:rsidRPr="0000759B">
        <w:rPr>
          <w:rFonts w:ascii="Times New Roman" w:hAnsi="Times New Roman"/>
          <w:sz w:val="20"/>
          <w:szCs w:val="20"/>
        </w:rPr>
        <w:tab/>
      </w:r>
    </w:p>
    <w:p w14:paraId="49F9ACEC" w14:textId="77777777" w:rsidR="002941B9" w:rsidRDefault="002941B9" w:rsidP="00A92049">
      <w:pPr>
        <w:autoSpaceDE w:val="0"/>
        <w:autoSpaceDN w:val="0"/>
        <w:adjustRightInd w:val="0"/>
        <w:spacing w:after="0"/>
        <w:rPr>
          <w:rFonts w:ascii="Times New Roman" w:hAnsi="Times New Roman"/>
          <w:sz w:val="20"/>
          <w:szCs w:val="20"/>
        </w:rPr>
      </w:pPr>
    </w:p>
    <w:p w14:paraId="0A6BACAF" w14:textId="6877FF5E" w:rsidR="002941B9" w:rsidRDefault="002941B9" w:rsidP="00A92049">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O.Arkle, </w:t>
      </w:r>
      <w:r w:rsidRPr="002941B9">
        <w:rPr>
          <w:rFonts w:ascii="Times New Roman" w:hAnsi="Times New Roman"/>
          <w:color w:val="30323D"/>
          <w:sz w:val="20"/>
          <w:szCs w:val="20"/>
          <w:shd w:val="clear" w:color="auto" w:fill="FFFFFF"/>
        </w:rPr>
        <w:t>67047944</w:t>
      </w:r>
    </w:p>
    <w:p w14:paraId="221668AB" w14:textId="6877FF5E" w:rsidR="00A76C0A" w:rsidRPr="00A92049" w:rsidRDefault="002941B9" w:rsidP="00A92049">
      <w:pPr>
        <w:autoSpaceDE w:val="0"/>
        <w:autoSpaceDN w:val="0"/>
        <w:adjustRightInd w:val="0"/>
        <w:spacing w:after="0"/>
        <w:rPr>
          <w:rFonts w:ascii="Times New Roman" w:hAnsi="Times New Roman"/>
          <w:sz w:val="20"/>
          <w:szCs w:val="20"/>
        </w:rPr>
      </w:pPr>
      <w:r>
        <w:rPr>
          <w:rFonts w:ascii="Times New Roman" w:hAnsi="Times New Roman"/>
          <w:sz w:val="20"/>
          <w:szCs w:val="20"/>
        </w:rPr>
        <w:t>olita.arkle@izm.gov.lv</w:t>
      </w:r>
      <w:r w:rsidR="00214AB2" w:rsidRPr="0000759B">
        <w:rPr>
          <w:rFonts w:ascii="Times New Roman" w:eastAsia="Times New Roman" w:hAnsi="Times New Roman"/>
          <w:sz w:val="20"/>
          <w:szCs w:val="20"/>
          <w:lang w:eastAsia="lv-LV"/>
        </w:rPr>
        <w:t xml:space="preserve"> </w:t>
      </w:r>
    </w:p>
    <w:sectPr w:rsidR="00A76C0A" w:rsidRPr="00A92049" w:rsidSect="00462E82">
      <w:headerReference w:type="default" r:id="rId12"/>
      <w:footerReference w:type="default" r:id="rId13"/>
      <w:footerReference w:type="first" r:id="rId14"/>
      <w:pgSz w:w="11906" w:h="16838"/>
      <w:pgMar w:top="1418" w:right="1134" w:bottom="1134" w:left="1701"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36B6A" w14:textId="77777777" w:rsidR="00D14BFB" w:rsidRDefault="00D14BFB">
      <w:pPr>
        <w:spacing w:after="0" w:line="240" w:lineRule="auto"/>
      </w:pPr>
      <w:r>
        <w:separator/>
      </w:r>
    </w:p>
  </w:endnote>
  <w:endnote w:type="continuationSeparator" w:id="0">
    <w:p w14:paraId="322B5300" w14:textId="77777777" w:rsidR="00D14BFB" w:rsidRDefault="00D1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938F" w14:textId="3888332D" w:rsidR="003A0A35" w:rsidRPr="00A92049" w:rsidRDefault="003A0A35" w:rsidP="003A0A35">
    <w:pPr>
      <w:pStyle w:val="Footer"/>
      <w:jc w:val="both"/>
    </w:pPr>
    <w:r>
      <w:rPr>
        <w:rFonts w:ascii="Times New Roman" w:eastAsia="Times New Roman" w:hAnsi="Times New Roman"/>
        <w:bCs/>
        <w:sz w:val="20"/>
        <w:szCs w:val="20"/>
        <w:lang w:eastAsia="lv-LV"/>
      </w:rPr>
      <w:t>IZMAnot_</w:t>
    </w:r>
    <w:r w:rsidR="00BB546B">
      <w:rPr>
        <w:rFonts w:ascii="Times New Roman" w:eastAsia="Times New Roman" w:hAnsi="Times New Roman"/>
        <w:bCs/>
        <w:sz w:val="20"/>
        <w:szCs w:val="20"/>
        <w:lang w:eastAsia="lv-LV"/>
      </w:rPr>
      <w:t>28</w:t>
    </w:r>
    <w:r w:rsidR="000E30EF">
      <w:rPr>
        <w:rFonts w:ascii="Times New Roman" w:eastAsia="Times New Roman" w:hAnsi="Times New Roman"/>
        <w:bCs/>
        <w:sz w:val="20"/>
        <w:szCs w:val="20"/>
        <w:lang w:eastAsia="lv-LV"/>
      </w:rPr>
      <w:t>12</w:t>
    </w:r>
    <w:r>
      <w:rPr>
        <w:rFonts w:ascii="Times New Roman" w:eastAsia="Times New Roman" w:hAnsi="Times New Roman"/>
        <w:bCs/>
        <w:sz w:val="20"/>
        <w:szCs w:val="20"/>
        <w:lang w:eastAsia="lv-LV"/>
      </w:rPr>
      <w:t>20_groz846</w:t>
    </w:r>
  </w:p>
  <w:p w14:paraId="221668B4" w14:textId="0A4A5723" w:rsidR="00C43B41" w:rsidRPr="00045D0E" w:rsidRDefault="00CD2790" w:rsidP="00CD2790">
    <w:pPr>
      <w:pStyle w:val="Footer"/>
      <w:tabs>
        <w:tab w:val="clear" w:pos="4153"/>
        <w:tab w:val="clear" w:pos="8306"/>
        <w:tab w:val="left" w:pos="3948"/>
      </w:tabs>
      <w:jc w:val="both"/>
    </w:pPr>
    <w:r>
      <w:rPr>
        <w:rFonts w:ascii="Times New Roman" w:eastAsia="Times New Roman" w:hAnsi="Times New Roman"/>
        <w:bCs/>
        <w:sz w:val="20"/>
        <w:szCs w:val="20"/>
        <w:lang w:eastAsia="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6" w14:textId="1EFE4FCC" w:rsidR="00C43B41" w:rsidRPr="00A92049" w:rsidRDefault="004A5234" w:rsidP="00A92049">
    <w:pPr>
      <w:pStyle w:val="Footer"/>
      <w:jc w:val="both"/>
    </w:pPr>
    <w:r>
      <w:rPr>
        <w:rFonts w:ascii="Times New Roman" w:eastAsia="Times New Roman" w:hAnsi="Times New Roman"/>
        <w:bCs/>
        <w:sz w:val="20"/>
        <w:szCs w:val="20"/>
        <w:lang w:eastAsia="lv-LV"/>
      </w:rPr>
      <w:t>IZMAnot_</w:t>
    </w:r>
    <w:r w:rsidR="00BB546B">
      <w:rPr>
        <w:rFonts w:ascii="Times New Roman" w:eastAsia="Times New Roman" w:hAnsi="Times New Roman"/>
        <w:bCs/>
        <w:sz w:val="20"/>
        <w:szCs w:val="20"/>
        <w:lang w:eastAsia="lv-LV"/>
      </w:rPr>
      <w:t>28</w:t>
    </w:r>
    <w:r w:rsidR="000E30EF">
      <w:rPr>
        <w:rFonts w:ascii="Times New Roman" w:eastAsia="Times New Roman" w:hAnsi="Times New Roman"/>
        <w:bCs/>
        <w:sz w:val="20"/>
        <w:szCs w:val="20"/>
        <w:lang w:eastAsia="lv-LV"/>
      </w:rPr>
      <w:t>12</w:t>
    </w:r>
    <w:r w:rsidR="00A92049">
      <w:rPr>
        <w:rFonts w:ascii="Times New Roman" w:eastAsia="Times New Roman" w:hAnsi="Times New Roman"/>
        <w:bCs/>
        <w:sz w:val="20"/>
        <w:szCs w:val="20"/>
        <w:lang w:eastAsia="lv-LV"/>
      </w:rPr>
      <w:t>20_</w:t>
    </w:r>
    <w:r w:rsidR="00CD2790">
      <w:rPr>
        <w:rFonts w:ascii="Times New Roman" w:eastAsia="Times New Roman" w:hAnsi="Times New Roman"/>
        <w:bCs/>
        <w:sz w:val="20"/>
        <w:szCs w:val="20"/>
        <w:lang w:eastAsia="lv-LV"/>
      </w:rPr>
      <w:t>groz846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02F0" w14:textId="77777777" w:rsidR="00D14BFB" w:rsidRDefault="00D14BFB">
      <w:pPr>
        <w:spacing w:after="0" w:line="240" w:lineRule="auto"/>
      </w:pPr>
      <w:r>
        <w:separator/>
      </w:r>
    </w:p>
  </w:footnote>
  <w:footnote w:type="continuationSeparator" w:id="0">
    <w:p w14:paraId="5AA94437" w14:textId="77777777" w:rsidR="00D14BFB" w:rsidRDefault="00D14BFB">
      <w:pPr>
        <w:spacing w:after="0" w:line="240" w:lineRule="auto"/>
      </w:pPr>
      <w:r>
        <w:continuationSeparator/>
      </w:r>
    </w:p>
  </w:footnote>
  <w:footnote w:id="1">
    <w:p w14:paraId="79BED5A3" w14:textId="77777777" w:rsidR="00197F3F" w:rsidRPr="005339BA" w:rsidRDefault="00197F3F" w:rsidP="00197F3F">
      <w:pPr>
        <w:pStyle w:val="FootnoteText"/>
        <w:rPr>
          <w:rFonts w:ascii="Times New Roman" w:hAnsi="Times New Roman" w:cs="Times New Roman"/>
        </w:rPr>
      </w:pPr>
      <w:r>
        <w:rPr>
          <w:rStyle w:val="FootnoteReference"/>
        </w:rPr>
        <w:footnoteRef/>
      </w:r>
      <w:r>
        <w:t xml:space="preserve"> </w:t>
      </w:r>
      <w:r w:rsidRPr="005339BA">
        <w:rPr>
          <w:rFonts w:ascii="Times New Roman" w:hAnsi="Times New Roman" w:cs="Times New Roman"/>
        </w:rPr>
        <w:t>Šobrīd aktuālais saraksts skatāms ministrijas mājas lapā:</w:t>
      </w:r>
    </w:p>
    <w:p w14:paraId="541F82A8" w14:textId="2916B58B" w:rsidR="00197F3F" w:rsidRDefault="00197F3F" w:rsidP="00197F3F">
      <w:pPr>
        <w:pStyle w:val="FootnoteText"/>
      </w:pPr>
      <w:r w:rsidRPr="005339BA">
        <w:rPr>
          <w:rFonts w:ascii="Times New Roman" w:hAnsi="Times New Roman" w:cs="Times New Roman"/>
        </w:rPr>
        <w:t>https://www.izm.gov.lv/lv/izglitiba/augstaka-izglitiba/vienosanas-par-labu-praksi-arvalstu-studejoso-piesaiste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CD301F">
      <w:rPr>
        <w:rFonts w:ascii="Times New Roman" w:hAnsi="Times New Roman"/>
        <w:noProof/>
        <w:sz w:val="24"/>
        <w:szCs w:val="24"/>
      </w:rPr>
      <w:t>7</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2DF"/>
    <w:multiLevelType w:val="hybridMultilevel"/>
    <w:tmpl w:val="C5340A64"/>
    <w:lvl w:ilvl="0" w:tplc="29DC415C">
      <w:start w:val="2"/>
      <w:numFmt w:val="bullet"/>
      <w:lvlText w:val="-"/>
      <w:lvlJc w:val="left"/>
      <w:pPr>
        <w:ind w:left="420" w:hanging="360"/>
      </w:pPr>
      <w:rPr>
        <w:rFonts w:ascii="Times New Roman" w:eastAsia="Calibri" w:hAnsi="Times New Roman"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6DF942DA"/>
    <w:multiLevelType w:val="hybridMultilevel"/>
    <w:tmpl w:val="2E409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TE2Nze2NDK2MDFW0lEKTi0uzszPAykwrgUAinSOhSwAAAA="/>
  </w:docVars>
  <w:rsids>
    <w:rsidRoot w:val="00392D00"/>
    <w:rsid w:val="00001EC4"/>
    <w:rsid w:val="00003DF0"/>
    <w:rsid w:val="00004AD6"/>
    <w:rsid w:val="00005F41"/>
    <w:rsid w:val="0000759B"/>
    <w:rsid w:val="00007C36"/>
    <w:rsid w:val="00010D7A"/>
    <w:rsid w:val="000115CD"/>
    <w:rsid w:val="00012B57"/>
    <w:rsid w:val="0001406B"/>
    <w:rsid w:val="000140A6"/>
    <w:rsid w:val="000140DB"/>
    <w:rsid w:val="00021979"/>
    <w:rsid w:val="00023A94"/>
    <w:rsid w:val="000243C5"/>
    <w:rsid w:val="000246CA"/>
    <w:rsid w:val="00027B82"/>
    <w:rsid w:val="00031AE1"/>
    <w:rsid w:val="0003727D"/>
    <w:rsid w:val="00041D73"/>
    <w:rsid w:val="000425D0"/>
    <w:rsid w:val="00043C5A"/>
    <w:rsid w:val="00045D0E"/>
    <w:rsid w:val="00047477"/>
    <w:rsid w:val="000539D2"/>
    <w:rsid w:val="00057E77"/>
    <w:rsid w:val="00062A56"/>
    <w:rsid w:val="00063D99"/>
    <w:rsid w:val="00064A14"/>
    <w:rsid w:val="00064FDA"/>
    <w:rsid w:val="0006697F"/>
    <w:rsid w:val="00071D97"/>
    <w:rsid w:val="00072D9D"/>
    <w:rsid w:val="00075ABC"/>
    <w:rsid w:val="00083A33"/>
    <w:rsid w:val="00083C50"/>
    <w:rsid w:val="000855AA"/>
    <w:rsid w:val="00091E19"/>
    <w:rsid w:val="000937E4"/>
    <w:rsid w:val="00094EA8"/>
    <w:rsid w:val="0009669B"/>
    <w:rsid w:val="000A283A"/>
    <w:rsid w:val="000A6DDC"/>
    <w:rsid w:val="000C0CAE"/>
    <w:rsid w:val="000C11E2"/>
    <w:rsid w:val="000C5B35"/>
    <w:rsid w:val="000C7A7A"/>
    <w:rsid w:val="000D045B"/>
    <w:rsid w:val="000D3310"/>
    <w:rsid w:val="000D3684"/>
    <w:rsid w:val="000D709E"/>
    <w:rsid w:val="000E1A83"/>
    <w:rsid w:val="000E248A"/>
    <w:rsid w:val="000E30EF"/>
    <w:rsid w:val="000E6BD7"/>
    <w:rsid w:val="000F2F18"/>
    <w:rsid w:val="000F47DB"/>
    <w:rsid w:val="000F518F"/>
    <w:rsid w:val="000F597B"/>
    <w:rsid w:val="00103B84"/>
    <w:rsid w:val="00121135"/>
    <w:rsid w:val="00121E78"/>
    <w:rsid w:val="00122E7B"/>
    <w:rsid w:val="0012306A"/>
    <w:rsid w:val="00133AEA"/>
    <w:rsid w:val="00135006"/>
    <w:rsid w:val="00140A20"/>
    <w:rsid w:val="001411EF"/>
    <w:rsid w:val="00144F4C"/>
    <w:rsid w:val="00145648"/>
    <w:rsid w:val="001468E4"/>
    <w:rsid w:val="00146F58"/>
    <w:rsid w:val="001515ED"/>
    <w:rsid w:val="00153C2A"/>
    <w:rsid w:val="00157E0B"/>
    <w:rsid w:val="00163B4F"/>
    <w:rsid w:val="00165EFB"/>
    <w:rsid w:val="00175C73"/>
    <w:rsid w:val="00177652"/>
    <w:rsid w:val="00183E71"/>
    <w:rsid w:val="00196A76"/>
    <w:rsid w:val="00196D09"/>
    <w:rsid w:val="00197F3F"/>
    <w:rsid w:val="001A08CA"/>
    <w:rsid w:val="001A1B53"/>
    <w:rsid w:val="001A3D3E"/>
    <w:rsid w:val="001A4A2F"/>
    <w:rsid w:val="001A4EBA"/>
    <w:rsid w:val="001A74A2"/>
    <w:rsid w:val="001B11B5"/>
    <w:rsid w:val="001B2B20"/>
    <w:rsid w:val="001B38E9"/>
    <w:rsid w:val="001B5181"/>
    <w:rsid w:val="001B53A6"/>
    <w:rsid w:val="001B7404"/>
    <w:rsid w:val="001C457B"/>
    <w:rsid w:val="001D17BA"/>
    <w:rsid w:val="001D3002"/>
    <w:rsid w:val="001D37C1"/>
    <w:rsid w:val="001D4CA7"/>
    <w:rsid w:val="001D5007"/>
    <w:rsid w:val="001D5D6F"/>
    <w:rsid w:val="001E1B5B"/>
    <w:rsid w:val="001E2ADE"/>
    <w:rsid w:val="001E73B4"/>
    <w:rsid w:val="001F3DFC"/>
    <w:rsid w:val="001F56C8"/>
    <w:rsid w:val="001F5A13"/>
    <w:rsid w:val="001F5EAD"/>
    <w:rsid w:val="00201EB8"/>
    <w:rsid w:val="0020342A"/>
    <w:rsid w:val="00204189"/>
    <w:rsid w:val="002043C8"/>
    <w:rsid w:val="00205D2A"/>
    <w:rsid w:val="00206BC9"/>
    <w:rsid w:val="0021088E"/>
    <w:rsid w:val="002118C6"/>
    <w:rsid w:val="00214AB2"/>
    <w:rsid w:val="002172EA"/>
    <w:rsid w:val="00217DF7"/>
    <w:rsid w:val="0022336F"/>
    <w:rsid w:val="00226AFB"/>
    <w:rsid w:val="00226CD5"/>
    <w:rsid w:val="00230F69"/>
    <w:rsid w:val="00231770"/>
    <w:rsid w:val="00236BE0"/>
    <w:rsid w:val="00240FC0"/>
    <w:rsid w:val="002435B9"/>
    <w:rsid w:val="00246A17"/>
    <w:rsid w:val="00247BA4"/>
    <w:rsid w:val="00250073"/>
    <w:rsid w:val="0025201D"/>
    <w:rsid w:val="0025601D"/>
    <w:rsid w:val="00257254"/>
    <w:rsid w:val="00257F7B"/>
    <w:rsid w:val="00260CAD"/>
    <w:rsid w:val="00260E26"/>
    <w:rsid w:val="0026226E"/>
    <w:rsid w:val="002643D1"/>
    <w:rsid w:val="00265A5B"/>
    <w:rsid w:val="00266286"/>
    <w:rsid w:val="00272181"/>
    <w:rsid w:val="00272847"/>
    <w:rsid w:val="00275B3C"/>
    <w:rsid w:val="0028307E"/>
    <w:rsid w:val="002832F7"/>
    <w:rsid w:val="0028502C"/>
    <w:rsid w:val="002865DB"/>
    <w:rsid w:val="00287CA6"/>
    <w:rsid w:val="00287DEA"/>
    <w:rsid w:val="002901D5"/>
    <w:rsid w:val="0029382A"/>
    <w:rsid w:val="002941B9"/>
    <w:rsid w:val="00294C57"/>
    <w:rsid w:val="00297A2E"/>
    <w:rsid w:val="00297E0A"/>
    <w:rsid w:val="002A286D"/>
    <w:rsid w:val="002A3597"/>
    <w:rsid w:val="002A5F6D"/>
    <w:rsid w:val="002B1A24"/>
    <w:rsid w:val="002B2C05"/>
    <w:rsid w:val="002B2FD9"/>
    <w:rsid w:val="002B3D38"/>
    <w:rsid w:val="002C1025"/>
    <w:rsid w:val="002C1E38"/>
    <w:rsid w:val="002C1E84"/>
    <w:rsid w:val="002C2937"/>
    <w:rsid w:val="002C674B"/>
    <w:rsid w:val="002D0EB1"/>
    <w:rsid w:val="002D2E0E"/>
    <w:rsid w:val="002E063B"/>
    <w:rsid w:val="002E1435"/>
    <w:rsid w:val="002E46CA"/>
    <w:rsid w:val="002E4F4C"/>
    <w:rsid w:val="002E6E95"/>
    <w:rsid w:val="002F075C"/>
    <w:rsid w:val="002F1A22"/>
    <w:rsid w:val="002F2DAC"/>
    <w:rsid w:val="002F3007"/>
    <w:rsid w:val="002F6EB0"/>
    <w:rsid w:val="00301920"/>
    <w:rsid w:val="00304E39"/>
    <w:rsid w:val="003057DC"/>
    <w:rsid w:val="0030592D"/>
    <w:rsid w:val="0030609C"/>
    <w:rsid w:val="003138F6"/>
    <w:rsid w:val="00313C26"/>
    <w:rsid w:val="00316D74"/>
    <w:rsid w:val="00322FF1"/>
    <w:rsid w:val="003240EF"/>
    <w:rsid w:val="00325EAC"/>
    <w:rsid w:val="00327523"/>
    <w:rsid w:val="0033149E"/>
    <w:rsid w:val="00340944"/>
    <w:rsid w:val="003418E6"/>
    <w:rsid w:val="003426AF"/>
    <w:rsid w:val="0034359D"/>
    <w:rsid w:val="003435F2"/>
    <w:rsid w:val="0034371D"/>
    <w:rsid w:val="00343DA6"/>
    <w:rsid w:val="0034498F"/>
    <w:rsid w:val="0034661E"/>
    <w:rsid w:val="003474BD"/>
    <w:rsid w:val="00352969"/>
    <w:rsid w:val="00354158"/>
    <w:rsid w:val="00354869"/>
    <w:rsid w:val="00363BB6"/>
    <w:rsid w:val="003720EC"/>
    <w:rsid w:val="003723FA"/>
    <w:rsid w:val="00372BB0"/>
    <w:rsid w:val="00374FC5"/>
    <w:rsid w:val="0037596D"/>
    <w:rsid w:val="0037605F"/>
    <w:rsid w:val="003807EF"/>
    <w:rsid w:val="00382522"/>
    <w:rsid w:val="00385551"/>
    <w:rsid w:val="0038608C"/>
    <w:rsid w:val="00386488"/>
    <w:rsid w:val="0038730C"/>
    <w:rsid w:val="00392727"/>
    <w:rsid w:val="00392844"/>
    <w:rsid w:val="00392D00"/>
    <w:rsid w:val="00396EBE"/>
    <w:rsid w:val="003A0A35"/>
    <w:rsid w:val="003A0DBC"/>
    <w:rsid w:val="003A5C1F"/>
    <w:rsid w:val="003A6BFF"/>
    <w:rsid w:val="003B0459"/>
    <w:rsid w:val="003B26A5"/>
    <w:rsid w:val="003C3AB5"/>
    <w:rsid w:val="003D2073"/>
    <w:rsid w:val="003D3D77"/>
    <w:rsid w:val="003D5881"/>
    <w:rsid w:val="003D6A76"/>
    <w:rsid w:val="003E049C"/>
    <w:rsid w:val="003E0697"/>
    <w:rsid w:val="003E0F06"/>
    <w:rsid w:val="003E12C5"/>
    <w:rsid w:val="003E1B5E"/>
    <w:rsid w:val="003E39FC"/>
    <w:rsid w:val="003E49E2"/>
    <w:rsid w:val="003F1D64"/>
    <w:rsid w:val="003F33A6"/>
    <w:rsid w:val="003F580D"/>
    <w:rsid w:val="003F5FCF"/>
    <w:rsid w:val="003F61DF"/>
    <w:rsid w:val="003F793F"/>
    <w:rsid w:val="00400644"/>
    <w:rsid w:val="00402625"/>
    <w:rsid w:val="004051AC"/>
    <w:rsid w:val="00405856"/>
    <w:rsid w:val="00415715"/>
    <w:rsid w:val="00425F90"/>
    <w:rsid w:val="00430DB4"/>
    <w:rsid w:val="004324E9"/>
    <w:rsid w:val="00432F3A"/>
    <w:rsid w:val="0043324F"/>
    <w:rsid w:val="004358D3"/>
    <w:rsid w:val="0044095C"/>
    <w:rsid w:val="0044261E"/>
    <w:rsid w:val="00443A86"/>
    <w:rsid w:val="00443D4C"/>
    <w:rsid w:val="004460C6"/>
    <w:rsid w:val="004522AD"/>
    <w:rsid w:val="00452DE6"/>
    <w:rsid w:val="00454A2A"/>
    <w:rsid w:val="0045553F"/>
    <w:rsid w:val="004559B8"/>
    <w:rsid w:val="00455FA2"/>
    <w:rsid w:val="00457705"/>
    <w:rsid w:val="00457D4F"/>
    <w:rsid w:val="00462E02"/>
    <w:rsid w:val="00462E82"/>
    <w:rsid w:val="00465D25"/>
    <w:rsid w:val="004665C6"/>
    <w:rsid w:val="00466E51"/>
    <w:rsid w:val="00467362"/>
    <w:rsid w:val="00470A88"/>
    <w:rsid w:val="00473E1D"/>
    <w:rsid w:val="0047588D"/>
    <w:rsid w:val="00477130"/>
    <w:rsid w:val="00477E37"/>
    <w:rsid w:val="00482C68"/>
    <w:rsid w:val="004840C1"/>
    <w:rsid w:val="0048517A"/>
    <w:rsid w:val="004851E2"/>
    <w:rsid w:val="004940D8"/>
    <w:rsid w:val="004A16FD"/>
    <w:rsid w:val="004A22C6"/>
    <w:rsid w:val="004A2D22"/>
    <w:rsid w:val="004A505F"/>
    <w:rsid w:val="004A5234"/>
    <w:rsid w:val="004A53C8"/>
    <w:rsid w:val="004A549F"/>
    <w:rsid w:val="004A7FA9"/>
    <w:rsid w:val="004B0B28"/>
    <w:rsid w:val="004B1678"/>
    <w:rsid w:val="004B1F18"/>
    <w:rsid w:val="004B33BE"/>
    <w:rsid w:val="004B3706"/>
    <w:rsid w:val="004C1815"/>
    <w:rsid w:val="004C4E93"/>
    <w:rsid w:val="004C67A8"/>
    <w:rsid w:val="004D1B0D"/>
    <w:rsid w:val="004D2904"/>
    <w:rsid w:val="004D29A9"/>
    <w:rsid w:val="004D3CA0"/>
    <w:rsid w:val="004D480D"/>
    <w:rsid w:val="004D4867"/>
    <w:rsid w:val="004D6490"/>
    <w:rsid w:val="004D686B"/>
    <w:rsid w:val="004E520A"/>
    <w:rsid w:val="004E7195"/>
    <w:rsid w:val="004F034E"/>
    <w:rsid w:val="004F12E5"/>
    <w:rsid w:val="004F1748"/>
    <w:rsid w:val="00501379"/>
    <w:rsid w:val="00502120"/>
    <w:rsid w:val="005053E9"/>
    <w:rsid w:val="00507FA4"/>
    <w:rsid w:val="005136C2"/>
    <w:rsid w:val="00514BF6"/>
    <w:rsid w:val="00515903"/>
    <w:rsid w:val="00517034"/>
    <w:rsid w:val="00517E63"/>
    <w:rsid w:val="00524779"/>
    <w:rsid w:val="00524BA9"/>
    <w:rsid w:val="00525FA0"/>
    <w:rsid w:val="00526C1F"/>
    <w:rsid w:val="005316AF"/>
    <w:rsid w:val="00531930"/>
    <w:rsid w:val="005326EC"/>
    <w:rsid w:val="00533735"/>
    <w:rsid w:val="005351A8"/>
    <w:rsid w:val="00536EC5"/>
    <w:rsid w:val="005371AB"/>
    <w:rsid w:val="0054191C"/>
    <w:rsid w:val="00541CD3"/>
    <w:rsid w:val="005462A0"/>
    <w:rsid w:val="005474AE"/>
    <w:rsid w:val="00551B92"/>
    <w:rsid w:val="005567A5"/>
    <w:rsid w:val="00561599"/>
    <w:rsid w:val="00561B38"/>
    <w:rsid w:val="0056268C"/>
    <w:rsid w:val="0056429A"/>
    <w:rsid w:val="0056448E"/>
    <w:rsid w:val="0056785C"/>
    <w:rsid w:val="00573943"/>
    <w:rsid w:val="00574833"/>
    <w:rsid w:val="005749B4"/>
    <w:rsid w:val="005750D8"/>
    <w:rsid w:val="00575FEB"/>
    <w:rsid w:val="00577216"/>
    <w:rsid w:val="005925F2"/>
    <w:rsid w:val="0059297B"/>
    <w:rsid w:val="00593BF9"/>
    <w:rsid w:val="005952D6"/>
    <w:rsid w:val="00596156"/>
    <w:rsid w:val="005968FE"/>
    <w:rsid w:val="005B26B7"/>
    <w:rsid w:val="005B42B6"/>
    <w:rsid w:val="005B4D39"/>
    <w:rsid w:val="005C3999"/>
    <w:rsid w:val="005C3F18"/>
    <w:rsid w:val="005C42B1"/>
    <w:rsid w:val="005C545F"/>
    <w:rsid w:val="005C6A4E"/>
    <w:rsid w:val="005D2931"/>
    <w:rsid w:val="005D336F"/>
    <w:rsid w:val="005D50C1"/>
    <w:rsid w:val="005D56D4"/>
    <w:rsid w:val="005D734C"/>
    <w:rsid w:val="005E221A"/>
    <w:rsid w:val="005E4A68"/>
    <w:rsid w:val="005E51CF"/>
    <w:rsid w:val="005E5661"/>
    <w:rsid w:val="005F0412"/>
    <w:rsid w:val="005F2A80"/>
    <w:rsid w:val="005F349E"/>
    <w:rsid w:val="005F5ADA"/>
    <w:rsid w:val="006011D8"/>
    <w:rsid w:val="00602930"/>
    <w:rsid w:val="00604D13"/>
    <w:rsid w:val="00606E19"/>
    <w:rsid w:val="00607B56"/>
    <w:rsid w:val="00611C05"/>
    <w:rsid w:val="00613DAC"/>
    <w:rsid w:val="00627042"/>
    <w:rsid w:val="006272F7"/>
    <w:rsid w:val="00627A99"/>
    <w:rsid w:val="00630BEE"/>
    <w:rsid w:val="00631529"/>
    <w:rsid w:val="00633DE9"/>
    <w:rsid w:val="0063408D"/>
    <w:rsid w:val="00634BA3"/>
    <w:rsid w:val="0063608B"/>
    <w:rsid w:val="00636576"/>
    <w:rsid w:val="0064042F"/>
    <w:rsid w:val="006464A8"/>
    <w:rsid w:val="006464EB"/>
    <w:rsid w:val="00646DB9"/>
    <w:rsid w:val="00647130"/>
    <w:rsid w:val="00647256"/>
    <w:rsid w:val="00647270"/>
    <w:rsid w:val="0065161F"/>
    <w:rsid w:val="00652A60"/>
    <w:rsid w:val="00655425"/>
    <w:rsid w:val="00661520"/>
    <w:rsid w:val="0066187E"/>
    <w:rsid w:val="006637E0"/>
    <w:rsid w:val="00664145"/>
    <w:rsid w:val="006669D2"/>
    <w:rsid w:val="00670081"/>
    <w:rsid w:val="00675EB6"/>
    <w:rsid w:val="006825C0"/>
    <w:rsid w:val="00685459"/>
    <w:rsid w:val="0069031B"/>
    <w:rsid w:val="00690357"/>
    <w:rsid w:val="00692A2E"/>
    <w:rsid w:val="006934DF"/>
    <w:rsid w:val="00694633"/>
    <w:rsid w:val="006A33BF"/>
    <w:rsid w:val="006A3AD6"/>
    <w:rsid w:val="006A3B0A"/>
    <w:rsid w:val="006A4D39"/>
    <w:rsid w:val="006A4F6C"/>
    <w:rsid w:val="006C1B2D"/>
    <w:rsid w:val="006C2731"/>
    <w:rsid w:val="006C5D0A"/>
    <w:rsid w:val="006C5F23"/>
    <w:rsid w:val="006C78A2"/>
    <w:rsid w:val="006C7B30"/>
    <w:rsid w:val="006D29F2"/>
    <w:rsid w:val="006D2C85"/>
    <w:rsid w:val="006E00B4"/>
    <w:rsid w:val="006E0FC5"/>
    <w:rsid w:val="006E5456"/>
    <w:rsid w:val="006E5A82"/>
    <w:rsid w:val="006F0052"/>
    <w:rsid w:val="006F11ED"/>
    <w:rsid w:val="006F1CFF"/>
    <w:rsid w:val="006F30F8"/>
    <w:rsid w:val="006F3CAE"/>
    <w:rsid w:val="006F56C4"/>
    <w:rsid w:val="006F5BE5"/>
    <w:rsid w:val="00702234"/>
    <w:rsid w:val="00703A62"/>
    <w:rsid w:val="007058CE"/>
    <w:rsid w:val="0071003A"/>
    <w:rsid w:val="0071082B"/>
    <w:rsid w:val="00710925"/>
    <w:rsid w:val="00712F83"/>
    <w:rsid w:val="00713259"/>
    <w:rsid w:val="007147BE"/>
    <w:rsid w:val="00714E76"/>
    <w:rsid w:val="007167C8"/>
    <w:rsid w:val="00717B60"/>
    <w:rsid w:val="00717F7C"/>
    <w:rsid w:val="007248FB"/>
    <w:rsid w:val="007275D3"/>
    <w:rsid w:val="00732C0E"/>
    <w:rsid w:val="00733474"/>
    <w:rsid w:val="00733C8C"/>
    <w:rsid w:val="00737439"/>
    <w:rsid w:val="00737837"/>
    <w:rsid w:val="00741F2B"/>
    <w:rsid w:val="0074653E"/>
    <w:rsid w:val="007535F8"/>
    <w:rsid w:val="00755486"/>
    <w:rsid w:val="007554BB"/>
    <w:rsid w:val="00755BBF"/>
    <w:rsid w:val="00763606"/>
    <w:rsid w:val="0076681C"/>
    <w:rsid w:val="00766C57"/>
    <w:rsid w:val="00767FD6"/>
    <w:rsid w:val="00771AE0"/>
    <w:rsid w:val="00772799"/>
    <w:rsid w:val="00773158"/>
    <w:rsid w:val="00773726"/>
    <w:rsid w:val="00773C6A"/>
    <w:rsid w:val="007753CF"/>
    <w:rsid w:val="0077629E"/>
    <w:rsid w:val="00776DCD"/>
    <w:rsid w:val="007777AF"/>
    <w:rsid w:val="00784229"/>
    <w:rsid w:val="00787327"/>
    <w:rsid w:val="00787C61"/>
    <w:rsid w:val="007973E0"/>
    <w:rsid w:val="007A0535"/>
    <w:rsid w:val="007A2871"/>
    <w:rsid w:val="007A2A1B"/>
    <w:rsid w:val="007A4B2D"/>
    <w:rsid w:val="007A5D0E"/>
    <w:rsid w:val="007A5E33"/>
    <w:rsid w:val="007B07F6"/>
    <w:rsid w:val="007B0D4F"/>
    <w:rsid w:val="007B6709"/>
    <w:rsid w:val="007C4012"/>
    <w:rsid w:val="007C47AB"/>
    <w:rsid w:val="007C5781"/>
    <w:rsid w:val="007C70E5"/>
    <w:rsid w:val="007C7782"/>
    <w:rsid w:val="007D0BDC"/>
    <w:rsid w:val="007D24B4"/>
    <w:rsid w:val="007D4663"/>
    <w:rsid w:val="007D5238"/>
    <w:rsid w:val="007D5F8D"/>
    <w:rsid w:val="007D62B7"/>
    <w:rsid w:val="007D789A"/>
    <w:rsid w:val="007E2278"/>
    <w:rsid w:val="007E4119"/>
    <w:rsid w:val="007E5DBD"/>
    <w:rsid w:val="007E79BA"/>
    <w:rsid w:val="007E7C9E"/>
    <w:rsid w:val="007E7F04"/>
    <w:rsid w:val="007F10D3"/>
    <w:rsid w:val="007F2B8D"/>
    <w:rsid w:val="007F662D"/>
    <w:rsid w:val="007F68A9"/>
    <w:rsid w:val="007F7E77"/>
    <w:rsid w:val="00800369"/>
    <w:rsid w:val="0080108C"/>
    <w:rsid w:val="00810A06"/>
    <w:rsid w:val="00812271"/>
    <w:rsid w:val="00814AD3"/>
    <w:rsid w:val="00816BD1"/>
    <w:rsid w:val="0082002F"/>
    <w:rsid w:val="00824AF4"/>
    <w:rsid w:val="00827607"/>
    <w:rsid w:val="00831EF2"/>
    <w:rsid w:val="00832256"/>
    <w:rsid w:val="00833B75"/>
    <w:rsid w:val="00833E9A"/>
    <w:rsid w:val="00835064"/>
    <w:rsid w:val="00840CFA"/>
    <w:rsid w:val="00841EA8"/>
    <w:rsid w:val="00845656"/>
    <w:rsid w:val="00847C9F"/>
    <w:rsid w:val="008514FB"/>
    <w:rsid w:val="00854F3B"/>
    <w:rsid w:val="0085571E"/>
    <w:rsid w:val="00857EFA"/>
    <w:rsid w:val="00863303"/>
    <w:rsid w:val="00865783"/>
    <w:rsid w:val="00866508"/>
    <w:rsid w:val="0087335D"/>
    <w:rsid w:val="0087596C"/>
    <w:rsid w:val="0087656E"/>
    <w:rsid w:val="00882564"/>
    <w:rsid w:val="0088268A"/>
    <w:rsid w:val="0088387E"/>
    <w:rsid w:val="00884237"/>
    <w:rsid w:val="00885F9D"/>
    <w:rsid w:val="00887082"/>
    <w:rsid w:val="008907EB"/>
    <w:rsid w:val="00893D71"/>
    <w:rsid w:val="00895EF4"/>
    <w:rsid w:val="0089656D"/>
    <w:rsid w:val="008A0751"/>
    <w:rsid w:val="008A246F"/>
    <w:rsid w:val="008A4FDB"/>
    <w:rsid w:val="008B04AF"/>
    <w:rsid w:val="008B28C5"/>
    <w:rsid w:val="008B4FFB"/>
    <w:rsid w:val="008B5023"/>
    <w:rsid w:val="008B68AD"/>
    <w:rsid w:val="008C0B91"/>
    <w:rsid w:val="008C2F6A"/>
    <w:rsid w:val="008C52CB"/>
    <w:rsid w:val="008D2D57"/>
    <w:rsid w:val="008D3242"/>
    <w:rsid w:val="008D36B1"/>
    <w:rsid w:val="008D37A4"/>
    <w:rsid w:val="008D3E73"/>
    <w:rsid w:val="008D4129"/>
    <w:rsid w:val="008D676F"/>
    <w:rsid w:val="008E2CDA"/>
    <w:rsid w:val="008E3149"/>
    <w:rsid w:val="008F6C6E"/>
    <w:rsid w:val="008F735F"/>
    <w:rsid w:val="009009EA"/>
    <w:rsid w:val="00900D9C"/>
    <w:rsid w:val="00905133"/>
    <w:rsid w:val="009101D5"/>
    <w:rsid w:val="0091315B"/>
    <w:rsid w:val="009169A6"/>
    <w:rsid w:val="009227DC"/>
    <w:rsid w:val="00925F9E"/>
    <w:rsid w:val="00927E87"/>
    <w:rsid w:val="00930A74"/>
    <w:rsid w:val="00934938"/>
    <w:rsid w:val="0093566F"/>
    <w:rsid w:val="00937E6B"/>
    <w:rsid w:val="009401E9"/>
    <w:rsid w:val="00940A94"/>
    <w:rsid w:val="00944E05"/>
    <w:rsid w:val="0094577B"/>
    <w:rsid w:val="009459B3"/>
    <w:rsid w:val="00945BAD"/>
    <w:rsid w:val="00946764"/>
    <w:rsid w:val="00947957"/>
    <w:rsid w:val="00951E78"/>
    <w:rsid w:val="009625C1"/>
    <w:rsid w:val="009636D0"/>
    <w:rsid w:val="0096392A"/>
    <w:rsid w:val="009675F2"/>
    <w:rsid w:val="00970000"/>
    <w:rsid w:val="009705CA"/>
    <w:rsid w:val="00971FE2"/>
    <w:rsid w:val="00972CE8"/>
    <w:rsid w:val="00973AB7"/>
    <w:rsid w:val="00974FA1"/>
    <w:rsid w:val="00975797"/>
    <w:rsid w:val="00975A96"/>
    <w:rsid w:val="0098126F"/>
    <w:rsid w:val="00985459"/>
    <w:rsid w:val="00985FBA"/>
    <w:rsid w:val="00990D66"/>
    <w:rsid w:val="00992869"/>
    <w:rsid w:val="009A1492"/>
    <w:rsid w:val="009A15F7"/>
    <w:rsid w:val="009A1BAC"/>
    <w:rsid w:val="009A1E24"/>
    <w:rsid w:val="009B0744"/>
    <w:rsid w:val="009B2A08"/>
    <w:rsid w:val="009B36A9"/>
    <w:rsid w:val="009B3D56"/>
    <w:rsid w:val="009B3D7E"/>
    <w:rsid w:val="009B72CA"/>
    <w:rsid w:val="009C3B43"/>
    <w:rsid w:val="009C6669"/>
    <w:rsid w:val="009C6ED8"/>
    <w:rsid w:val="009D22A8"/>
    <w:rsid w:val="009D45B3"/>
    <w:rsid w:val="009D6CBB"/>
    <w:rsid w:val="009E0243"/>
    <w:rsid w:val="009E3113"/>
    <w:rsid w:val="009E4133"/>
    <w:rsid w:val="009E628A"/>
    <w:rsid w:val="009E6B5C"/>
    <w:rsid w:val="009E6F33"/>
    <w:rsid w:val="009F40D8"/>
    <w:rsid w:val="009F6089"/>
    <w:rsid w:val="009F6551"/>
    <w:rsid w:val="009F6813"/>
    <w:rsid w:val="00A00A81"/>
    <w:rsid w:val="00A01087"/>
    <w:rsid w:val="00A04961"/>
    <w:rsid w:val="00A069D5"/>
    <w:rsid w:val="00A109A0"/>
    <w:rsid w:val="00A13AAD"/>
    <w:rsid w:val="00A17992"/>
    <w:rsid w:val="00A25B5A"/>
    <w:rsid w:val="00A26DC3"/>
    <w:rsid w:val="00A272D5"/>
    <w:rsid w:val="00A31AE2"/>
    <w:rsid w:val="00A325FA"/>
    <w:rsid w:val="00A32D3D"/>
    <w:rsid w:val="00A415D2"/>
    <w:rsid w:val="00A4504C"/>
    <w:rsid w:val="00A46743"/>
    <w:rsid w:val="00A515A2"/>
    <w:rsid w:val="00A516CD"/>
    <w:rsid w:val="00A53E4C"/>
    <w:rsid w:val="00A54BE6"/>
    <w:rsid w:val="00A5767A"/>
    <w:rsid w:val="00A61D9E"/>
    <w:rsid w:val="00A62082"/>
    <w:rsid w:val="00A6532E"/>
    <w:rsid w:val="00A65786"/>
    <w:rsid w:val="00A704E5"/>
    <w:rsid w:val="00A76331"/>
    <w:rsid w:val="00A76C0A"/>
    <w:rsid w:val="00A81E91"/>
    <w:rsid w:val="00A8231F"/>
    <w:rsid w:val="00A86781"/>
    <w:rsid w:val="00A87395"/>
    <w:rsid w:val="00A8751E"/>
    <w:rsid w:val="00A917AF"/>
    <w:rsid w:val="00A92049"/>
    <w:rsid w:val="00A92601"/>
    <w:rsid w:val="00A952C2"/>
    <w:rsid w:val="00A979FB"/>
    <w:rsid w:val="00AA1D41"/>
    <w:rsid w:val="00AA3E1C"/>
    <w:rsid w:val="00AA40C0"/>
    <w:rsid w:val="00AA4BE4"/>
    <w:rsid w:val="00AA7C2B"/>
    <w:rsid w:val="00AC1465"/>
    <w:rsid w:val="00AC20F9"/>
    <w:rsid w:val="00AC2235"/>
    <w:rsid w:val="00AC62B2"/>
    <w:rsid w:val="00AD32A3"/>
    <w:rsid w:val="00AD4418"/>
    <w:rsid w:val="00AD5039"/>
    <w:rsid w:val="00AE07FF"/>
    <w:rsid w:val="00AE0F01"/>
    <w:rsid w:val="00AE3AC4"/>
    <w:rsid w:val="00AF23CB"/>
    <w:rsid w:val="00AF6AED"/>
    <w:rsid w:val="00AF6D9F"/>
    <w:rsid w:val="00AF7504"/>
    <w:rsid w:val="00B0115A"/>
    <w:rsid w:val="00B01379"/>
    <w:rsid w:val="00B01CC6"/>
    <w:rsid w:val="00B04FE3"/>
    <w:rsid w:val="00B07928"/>
    <w:rsid w:val="00B10218"/>
    <w:rsid w:val="00B11610"/>
    <w:rsid w:val="00B12993"/>
    <w:rsid w:val="00B15599"/>
    <w:rsid w:val="00B21F14"/>
    <w:rsid w:val="00B232E9"/>
    <w:rsid w:val="00B24472"/>
    <w:rsid w:val="00B248CA"/>
    <w:rsid w:val="00B2641B"/>
    <w:rsid w:val="00B31D70"/>
    <w:rsid w:val="00B3223C"/>
    <w:rsid w:val="00B36385"/>
    <w:rsid w:val="00B4276B"/>
    <w:rsid w:val="00B4613D"/>
    <w:rsid w:val="00B47243"/>
    <w:rsid w:val="00B47F3F"/>
    <w:rsid w:val="00B52298"/>
    <w:rsid w:val="00B52CA9"/>
    <w:rsid w:val="00B52EF1"/>
    <w:rsid w:val="00B54E5E"/>
    <w:rsid w:val="00B61941"/>
    <w:rsid w:val="00B64DF2"/>
    <w:rsid w:val="00B65C59"/>
    <w:rsid w:val="00B665C6"/>
    <w:rsid w:val="00B720F6"/>
    <w:rsid w:val="00B72734"/>
    <w:rsid w:val="00B73480"/>
    <w:rsid w:val="00B74EE3"/>
    <w:rsid w:val="00B8086F"/>
    <w:rsid w:val="00B83555"/>
    <w:rsid w:val="00B9156B"/>
    <w:rsid w:val="00B91E30"/>
    <w:rsid w:val="00B93008"/>
    <w:rsid w:val="00B94FD4"/>
    <w:rsid w:val="00BA05D6"/>
    <w:rsid w:val="00BA1F1E"/>
    <w:rsid w:val="00BA386C"/>
    <w:rsid w:val="00BA5691"/>
    <w:rsid w:val="00BA690F"/>
    <w:rsid w:val="00BA6D4D"/>
    <w:rsid w:val="00BA777D"/>
    <w:rsid w:val="00BB10ED"/>
    <w:rsid w:val="00BB24B4"/>
    <w:rsid w:val="00BB4E3B"/>
    <w:rsid w:val="00BB546B"/>
    <w:rsid w:val="00BC1705"/>
    <w:rsid w:val="00BC4339"/>
    <w:rsid w:val="00BC647B"/>
    <w:rsid w:val="00BC7635"/>
    <w:rsid w:val="00BD1C23"/>
    <w:rsid w:val="00BD1D74"/>
    <w:rsid w:val="00BD28E5"/>
    <w:rsid w:val="00BD2E39"/>
    <w:rsid w:val="00BD7DA0"/>
    <w:rsid w:val="00BE1AEA"/>
    <w:rsid w:val="00BE3D7D"/>
    <w:rsid w:val="00BE3E44"/>
    <w:rsid w:val="00BE4550"/>
    <w:rsid w:val="00BE4BFC"/>
    <w:rsid w:val="00BE4EF9"/>
    <w:rsid w:val="00BE7237"/>
    <w:rsid w:val="00BF08C0"/>
    <w:rsid w:val="00BF0E99"/>
    <w:rsid w:val="00BF59EF"/>
    <w:rsid w:val="00BF7325"/>
    <w:rsid w:val="00C004EA"/>
    <w:rsid w:val="00C02C2B"/>
    <w:rsid w:val="00C05444"/>
    <w:rsid w:val="00C110A3"/>
    <w:rsid w:val="00C1270E"/>
    <w:rsid w:val="00C13111"/>
    <w:rsid w:val="00C131CB"/>
    <w:rsid w:val="00C209A8"/>
    <w:rsid w:val="00C21978"/>
    <w:rsid w:val="00C2658E"/>
    <w:rsid w:val="00C30DF4"/>
    <w:rsid w:val="00C3373E"/>
    <w:rsid w:val="00C3497B"/>
    <w:rsid w:val="00C36C76"/>
    <w:rsid w:val="00C37291"/>
    <w:rsid w:val="00C41CAB"/>
    <w:rsid w:val="00C43B41"/>
    <w:rsid w:val="00C45CCF"/>
    <w:rsid w:val="00C46EEE"/>
    <w:rsid w:val="00C51360"/>
    <w:rsid w:val="00C51975"/>
    <w:rsid w:val="00C56610"/>
    <w:rsid w:val="00C64748"/>
    <w:rsid w:val="00C679B0"/>
    <w:rsid w:val="00C71BD0"/>
    <w:rsid w:val="00C76A5D"/>
    <w:rsid w:val="00C77A99"/>
    <w:rsid w:val="00C84B3F"/>
    <w:rsid w:val="00C85192"/>
    <w:rsid w:val="00C86F15"/>
    <w:rsid w:val="00C918B2"/>
    <w:rsid w:val="00C93258"/>
    <w:rsid w:val="00C95242"/>
    <w:rsid w:val="00C95874"/>
    <w:rsid w:val="00C958E3"/>
    <w:rsid w:val="00C96AD3"/>
    <w:rsid w:val="00CA0E56"/>
    <w:rsid w:val="00CA27C5"/>
    <w:rsid w:val="00CA30F4"/>
    <w:rsid w:val="00CA4CB1"/>
    <w:rsid w:val="00CA6575"/>
    <w:rsid w:val="00CB018F"/>
    <w:rsid w:val="00CB458F"/>
    <w:rsid w:val="00CC44D3"/>
    <w:rsid w:val="00CD2790"/>
    <w:rsid w:val="00CD301F"/>
    <w:rsid w:val="00CD52B4"/>
    <w:rsid w:val="00CD6CB1"/>
    <w:rsid w:val="00CE1A78"/>
    <w:rsid w:val="00CF1208"/>
    <w:rsid w:val="00CF4149"/>
    <w:rsid w:val="00D008C6"/>
    <w:rsid w:val="00D052D6"/>
    <w:rsid w:val="00D06B7A"/>
    <w:rsid w:val="00D07C49"/>
    <w:rsid w:val="00D119D3"/>
    <w:rsid w:val="00D12D68"/>
    <w:rsid w:val="00D13A06"/>
    <w:rsid w:val="00D14B1E"/>
    <w:rsid w:val="00D14BFB"/>
    <w:rsid w:val="00D169F6"/>
    <w:rsid w:val="00D17C6B"/>
    <w:rsid w:val="00D23701"/>
    <w:rsid w:val="00D23B0E"/>
    <w:rsid w:val="00D24B1E"/>
    <w:rsid w:val="00D24C48"/>
    <w:rsid w:val="00D24F9D"/>
    <w:rsid w:val="00D26CE6"/>
    <w:rsid w:val="00D3103A"/>
    <w:rsid w:val="00D32E3B"/>
    <w:rsid w:val="00D35BE0"/>
    <w:rsid w:val="00D36E64"/>
    <w:rsid w:val="00D4391E"/>
    <w:rsid w:val="00D506D9"/>
    <w:rsid w:val="00D52C05"/>
    <w:rsid w:val="00D538A9"/>
    <w:rsid w:val="00D56AD9"/>
    <w:rsid w:val="00D57841"/>
    <w:rsid w:val="00D57FBC"/>
    <w:rsid w:val="00D60FF5"/>
    <w:rsid w:val="00D629D3"/>
    <w:rsid w:val="00D64C95"/>
    <w:rsid w:val="00D6561E"/>
    <w:rsid w:val="00D664F2"/>
    <w:rsid w:val="00D716AE"/>
    <w:rsid w:val="00D7234C"/>
    <w:rsid w:val="00D729B3"/>
    <w:rsid w:val="00D808AD"/>
    <w:rsid w:val="00D80D82"/>
    <w:rsid w:val="00D84F71"/>
    <w:rsid w:val="00D86E70"/>
    <w:rsid w:val="00D8781A"/>
    <w:rsid w:val="00D91CA4"/>
    <w:rsid w:val="00D926A5"/>
    <w:rsid w:val="00D947A5"/>
    <w:rsid w:val="00D95398"/>
    <w:rsid w:val="00D95BD7"/>
    <w:rsid w:val="00D95F93"/>
    <w:rsid w:val="00D96AA6"/>
    <w:rsid w:val="00DA2126"/>
    <w:rsid w:val="00DA2E0D"/>
    <w:rsid w:val="00DA4DF2"/>
    <w:rsid w:val="00DB1A7D"/>
    <w:rsid w:val="00DB252B"/>
    <w:rsid w:val="00DB30BA"/>
    <w:rsid w:val="00DB3160"/>
    <w:rsid w:val="00DB475F"/>
    <w:rsid w:val="00DB6CDA"/>
    <w:rsid w:val="00DC3E6D"/>
    <w:rsid w:val="00DC6380"/>
    <w:rsid w:val="00DC6BAF"/>
    <w:rsid w:val="00DD0C57"/>
    <w:rsid w:val="00DD162D"/>
    <w:rsid w:val="00DD60F6"/>
    <w:rsid w:val="00DE55B6"/>
    <w:rsid w:val="00DE571D"/>
    <w:rsid w:val="00DE696E"/>
    <w:rsid w:val="00DF12C5"/>
    <w:rsid w:val="00DF142D"/>
    <w:rsid w:val="00DF1A4E"/>
    <w:rsid w:val="00DF263D"/>
    <w:rsid w:val="00DF2CE1"/>
    <w:rsid w:val="00DF53C3"/>
    <w:rsid w:val="00E01393"/>
    <w:rsid w:val="00E02C4F"/>
    <w:rsid w:val="00E05857"/>
    <w:rsid w:val="00E16634"/>
    <w:rsid w:val="00E20065"/>
    <w:rsid w:val="00E20507"/>
    <w:rsid w:val="00E20C54"/>
    <w:rsid w:val="00E223F6"/>
    <w:rsid w:val="00E22B04"/>
    <w:rsid w:val="00E24AE4"/>
    <w:rsid w:val="00E27CCE"/>
    <w:rsid w:val="00E30404"/>
    <w:rsid w:val="00E324F4"/>
    <w:rsid w:val="00E32858"/>
    <w:rsid w:val="00E37033"/>
    <w:rsid w:val="00E373C8"/>
    <w:rsid w:val="00E432F3"/>
    <w:rsid w:val="00E44DD5"/>
    <w:rsid w:val="00E47B7E"/>
    <w:rsid w:val="00E515AE"/>
    <w:rsid w:val="00E51FC0"/>
    <w:rsid w:val="00E521AB"/>
    <w:rsid w:val="00E53819"/>
    <w:rsid w:val="00E55E96"/>
    <w:rsid w:val="00E56620"/>
    <w:rsid w:val="00E60469"/>
    <w:rsid w:val="00E6233F"/>
    <w:rsid w:val="00E652EA"/>
    <w:rsid w:val="00E67DE9"/>
    <w:rsid w:val="00E71CF5"/>
    <w:rsid w:val="00E72AFC"/>
    <w:rsid w:val="00E762E9"/>
    <w:rsid w:val="00E77739"/>
    <w:rsid w:val="00E808EA"/>
    <w:rsid w:val="00E81343"/>
    <w:rsid w:val="00E833A7"/>
    <w:rsid w:val="00E854E0"/>
    <w:rsid w:val="00E8589E"/>
    <w:rsid w:val="00E87AB0"/>
    <w:rsid w:val="00E904F8"/>
    <w:rsid w:val="00E90688"/>
    <w:rsid w:val="00E90742"/>
    <w:rsid w:val="00E9127A"/>
    <w:rsid w:val="00E944CE"/>
    <w:rsid w:val="00E9491B"/>
    <w:rsid w:val="00EA169C"/>
    <w:rsid w:val="00EA2144"/>
    <w:rsid w:val="00EA219F"/>
    <w:rsid w:val="00EA6CD0"/>
    <w:rsid w:val="00EB2792"/>
    <w:rsid w:val="00EB38B0"/>
    <w:rsid w:val="00EB4EB5"/>
    <w:rsid w:val="00EB5CF8"/>
    <w:rsid w:val="00EB5F3E"/>
    <w:rsid w:val="00EC006A"/>
    <w:rsid w:val="00EC08CE"/>
    <w:rsid w:val="00EC1F0E"/>
    <w:rsid w:val="00EC2AEA"/>
    <w:rsid w:val="00EC3A4A"/>
    <w:rsid w:val="00EC3AB1"/>
    <w:rsid w:val="00EC418C"/>
    <w:rsid w:val="00EC5357"/>
    <w:rsid w:val="00ED05AC"/>
    <w:rsid w:val="00ED4330"/>
    <w:rsid w:val="00ED4751"/>
    <w:rsid w:val="00ED621F"/>
    <w:rsid w:val="00ED7783"/>
    <w:rsid w:val="00EE3ABA"/>
    <w:rsid w:val="00EE4013"/>
    <w:rsid w:val="00EE6F45"/>
    <w:rsid w:val="00EF030E"/>
    <w:rsid w:val="00EF04B3"/>
    <w:rsid w:val="00EF16F5"/>
    <w:rsid w:val="00EF5512"/>
    <w:rsid w:val="00EF6B62"/>
    <w:rsid w:val="00EF6D74"/>
    <w:rsid w:val="00F13D0F"/>
    <w:rsid w:val="00F15733"/>
    <w:rsid w:val="00F158EE"/>
    <w:rsid w:val="00F17C81"/>
    <w:rsid w:val="00F20681"/>
    <w:rsid w:val="00F259FB"/>
    <w:rsid w:val="00F27896"/>
    <w:rsid w:val="00F31126"/>
    <w:rsid w:val="00F316C3"/>
    <w:rsid w:val="00F369FC"/>
    <w:rsid w:val="00F41E94"/>
    <w:rsid w:val="00F44C04"/>
    <w:rsid w:val="00F4546D"/>
    <w:rsid w:val="00F4600C"/>
    <w:rsid w:val="00F460B6"/>
    <w:rsid w:val="00F476E5"/>
    <w:rsid w:val="00F531A3"/>
    <w:rsid w:val="00F561CF"/>
    <w:rsid w:val="00F57AD5"/>
    <w:rsid w:val="00F606E2"/>
    <w:rsid w:val="00F61F8A"/>
    <w:rsid w:val="00F63772"/>
    <w:rsid w:val="00F65758"/>
    <w:rsid w:val="00F65ED7"/>
    <w:rsid w:val="00F67302"/>
    <w:rsid w:val="00F719FC"/>
    <w:rsid w:val="00F7235A"/>
    <w:rsid w:val="00F72FD3"/>
    <w:rsid w:val="00F73FAE"/>
    <w:rsid w:val="00F75BFD"/>
    <w:rsid w:val="00F76826"/>
    <w:rsid w:val="00F81E30"/>
    <w:rsid w:val="00F834B3"/>
    <w:rsid w:val="00F84EF8"/>
    <w:rsid w:val="00F92987"/>
    <w:rsid w:val="00F92AF7"/>
    <w:rsid w:val="00F92B20"/>
    <w:rsid w:val="00F93702"/>
    <w:rsid w:val="00F94063"/>
    <w:rsid w:val="00F9465B"/>
    <w:rsid w:val="00F946C7"/>
    <w:rsid w:val="00FB455A"/>
    <w:rsid w:val="00FC0BD9"/>
    <w:rsid w:val="00FC308D"/>
    <w:rsid w:val="00FC4FD8"/>
    <w:rsid w:val="00FC5C76"/>
    <w:rsid w:val="00FC68B2"/>
    <w:rsid w:val="00FC7EFA"/>
    <w:rsid w:val="00FD13F6"/>
    <w:rsid w:val="00FD24DE"/>
    <w:rsid w:val="00FD7C5C"/>
    <w:rsid w:val="00FE08D2"/>
    <w:rsid w:val="00FE2708"/>
    <w:rsid w:val="00FE2734"/>
    <w:rsid w:val="00FE4BB8"/>
    <w:rsid w:val="00FE6554"/>
    <w:rsid w:val="00FE6AC5"/>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74B"/>
    <w:pPr>
      <w:ind w:left="720"/>
      <w:contextualSpacing/>
    </w:pPr>
  </w:style>
  <w:style w:type="paragraph" w:customStyle="1" w:styleId="Normal1">
    <w:name w:val="Normal1"/>
    <w:basedOn w:val="Normal"/>
    <w:rsid w:val="001E73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1E73B4"/>
  </w:style>
  <w:style w:type="paragraph" w:styleId="FootnoteText">
    <w:name w:val="footnote text"/>
    <w:basedOn w:val="Normal"/>
    <w:link w:val="FootnoteTextChar"/>
    <w:uiPriority w:val="99"/>
    <w:semiHidden/>
    <w:unhideWhenUsed/>
    <w:rsid w:val="00D629D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29D3"/>
    <w:rPr>
      <w:rFonts w:asciiTheme="minorHAnsi" w:eastAsiaTheme="minorHAnsi" w:hAnsiTheme="minorHAnsi" w:cstheme="minorBidi"/>
      <w:lang w:val="lv-LV"/>
    </w:rPr>
  </w:style>
  <w:style w:type="character" w:styleId="FootnoteReference">
    <w:name w:val="footnote reference"/>
    <w:basedOn w:val="DefaultParagraphFont"/>
    <w:uiPriority w:val="99"/>
    <w:semiHidden/>
    <w:unhideWhenUsed/>
    <w:rsid w:val="00D629D3"/>
    <w:rPr>
      <w:vertAlign w:val="superscript"/>
    </w:rPr>
  </w:style>
  <w:style w:type="paragraph" w:styleId="TOC2">
    <w:name w:val="toc 2"/>
    <w:basedOn w:val="Normal"/>
    <w:next w:val="Normal"/>
    <w:autoRedefine/>
    <w:uiPriority w:val="39"/>
    <w:unhideWhenUsed/>
    <w:rsid w:val="00197F3F"/>
    <w:pPr>
      <w:tabs>
        <w:tab w:val="right" w:leader="dot" w:pos="9344"/>
      </w:tabs>
      <w:spacing w:after="100" w:line="259" w:lineRule="auto"/>
      <w:ind w:left="220"/>
    </w:pPr>
    <w:rPr>
      <w:rFonts w:asciiTheme="minorHAnsi" w:eastAsiaTheme="minorHAnsi" w:hAnsiTheme="minorHAnsi" w:cstheme="minorBidi"/>
    </w:rPr>
  </w:style>
  <w:style w:type="paragraph" w:customStyle="1" w:styleId="tvhtml">
    <w:name w:val="tv_html"/>
    <w:basedOn w:val="Normal"/>
    <w:rsid w:val="00466E51"/>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93324512">
      <w:bodyDiv w:val="1"/>
      <w:marLeft w:val="0"/>
      <w:marRight w:val="0"/>
      <w:marTop w:val="0"/>
      <w:marBottom w:val="0"/>
      <w:divBdr>
        <w:top w:val="none" w:sz="0" w:space="0" w:color="auto"/>
        <w:left w:val="none" w:sz="0" w:space="0" w:color="auto"/>
        <w:bottom w:val="none" w:sz="0" w:space="0" w:color="auto"/>
        <w:right w:val="none" w:sz="0" w:space="0" w:color="auto"/>
      </w:divBdr>
    </w:div>
    <w:div w:id="10927664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76308157">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463811105">
      <w:bodyDiv w:val="1"/>
      <w:marLeft w:val="0"/>
      <w:marRight w:val="0"/>
      <w:marTop w:val="0"/>
      <w:marBottom w:val="0"/>
      <w:divBdr>
        <w:top w:val="none" w:sz="0" w:space="0" w:color="auto"/>
        <w:left w:val="none" w:sz="0" w:space="0" w:color="auto"/>
        <w:bottom w:val="none" w:sz="0" w:space="0" w:color="auto"/>
        <w:right w:val="none" w:sz="0" w:space="0" w:color="auto"/>
      </w:divBdr>
    </w:div>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792987859">
      <w:bodyDiv w:val="1"/>
      <w:marLeft w:val="0"/>
      <w:marRight w:val="0"/>
      <w:marTop w:val="0"/>
      <w:marBottom w:val="0"/>
      <w:divBdr>
        <w:top w:val="none" w:sz="0" w:space="0" w:color="auto"/>
        <w:left w:val="none" w:sz="0" w:space="0" w:color="auto"/>
        <w:bottom w:val="none" w:sz="0" w:space="0" w:color="auto"/>
        <w:right w:val="none" w:sz="0" w:space="0" w:color="auto"/>
      </w:divBdr>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6637-noteikumi-par-prasibam-kriterijiem-un-kartibu-uznemsanai-studiju-programm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akmentina@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iga.Ivsina@izm.gov.lv" TargetMode="External"/><Relationship Id="rId4" Type="http://schemas.openxmlformats.org/officeDocument/2006/relationships/settings" Target="settings.xml"/><Relationship Id="rId9" Type="http://schemas.openxmlformats.org/officeDocument/2006/relationships/hyperlink" Target="https://likumi.lv/ta/id/146637-noteikumi-par-prasibam-kriterijiem-un-kartibu-uznemsanai-studiju-program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79E11-64F3-4A5F-B753-F2620135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9549</Words>
  <Characters>5444</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LIETOTAJS</cp:lastModifiedBy>
  <cp:revision>4</cp:revision>
  <cp:lastPrinted>2020-05-18T12:19:00Z</cp:lastPrinted>
  <dcterms:created xsi:type="dcterms:W3CDTF">2021-02-17T14:17:00Z</dcterms:created>
  <dcterms:modified xsi:type="dcterms:W3CDTF">2021-02-17T14:20:00Z</dcterms:modified>
</cp:coreProperties>
</file>