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AE1E4" w14:textId="77777777" w:rsidR="0052484B" w:rsidRDefault="0052484B" w:rsidP="0052484B">
      <w:pPr>
        <w:pStyle w:val="naisnod"/>
        <w:spacing w:before="0" w:after="0"/>
        <w:ind w:firstLine="720"/>
        <w:rPr>
          <w:sz w:val="28"/>
          <w:szCs w:val="28"/>
        </w:rPr>
      </w:pPr>
      <w:bookmarkStart w:id="0" w:name="_GoBack"/>
      <w:bookmarkEnd w:id="0"/>
      <w:r>
        <w:rPr>
          <w:sz w:val="28"/>
          <w:szCs w:val="28"/>
        </w:rPr>
        <w:t xml:space="preserve">Izziņa par atzinumos sniegtajiem iebildumiem par </w:t>
      </w:r>
    </w:p>
    <w:p w14:paraId="2798B1C5" w14:textId="2EF63A77" w:rsidR="0052484B" w:rsidRDefault="0052484B" w:rsidP="0052484B">
      <w:pPr>
        <w:pStyle w:val="naisnod"/>
        <w:spacing w:before="0" w:after="0"/>
        <w:ind w:firstLine="720"/>
        <w:rPr>
          <w:sz w:val="28"/>
          <w:szCs w:val="28"/>
        </w:rPr>
      </w:pPr>
      <w:r>
        <w:rPr>
          <w:sz w:val="28"/>
          <w:szCs w:val="28"/>
        </w:rPr>
        <w:t>Ministru kabineta noteikumu projektu “</w:t>
      </w:r>
      <w:r w:rsidRPr="0052484B">
        <w:rPr>
          <w:sz w:val="28"/>
          <w:szCs w:val="28"/>
        </w:rPr>
        <w:t>Grozījumi Ministru kabineta 2020.</w:t>
      </w:r>
      <w:r>
        <w:rPr>
          <w:sz w:val="28"/>
          <w:szCs w:val="28"/>
        </w:rPr>
        <w:t> </w:t>
      </w:r>
      <w:r w:rsidRPr="0052484B">
        <w:rPr>
          <w:sz w:val="28"/>
          <w:szCs w:val="28"/>
        </w:rPr>
        <w:t>gada 25.</w:t>
      </w:r>
      <w:r>
        <w:rPr>
          <w:sz w:val="28"/>
          <w:szCs w:val="28"/>
        </w:rPr>
        <w:t> </w:t>
      </w:r>
      <w:r w:rsidRPr="0052484B">
        <w:rPr>
          <w:sz w:val="28"/>
          <w:szCs w:val="28"/>
        </w:rPr>
        <w:t>augusta noteikumos Nr.</w:t>
      </w:r>
      <w:r>
        <w:rPr>
          <w:sz w:val="28"/>
          <w:szCs w:val="28"/>
        </w:rPr>
        <w:t> </w:t>
      </w:r>
      <w:r w:rsidRPr="0052484B">
        <w:rPr>
          <w:sz w:val="28"/>
          <w:szCs w:val="28"/>
        </w:rPr>
        <w:t>538 “Kārtība, kādā valsts finansē darba samaksu pedagogiem privātajās izglītības iestādēs”</w:t>
      </w:r>
      <w:r>
        <w:rPr>
          <w:sz w:val="28"/>
          <w:szCs w:val="28"/>
        </w:rPr>
        <w:t>”</w:t>
      </w:r>
      <w:r w:rsidR="003176EB">
        <w:rPr>
          <w:sz w:val="28"/>
          <w:szCs w:val="28"/>
        </w:rPr>
        <w:t xml:space="preserve"> (VSS-1048)</w:t>
      </w:r>
    </w:p>
    <w:p w14:paraId="0D6B0511" w14:textId="77777777" w:rsidR="0052484B" w:rsidRDefault="0052484B" w:rsidP="0052484B">
      <w:pPr>
        <w:pStyle w:val="naisf"/>
        <w:spacing w:before="0" w:after="0"/>
        <w:ind w:firstLine="720"/>
      </w:pPr>
    </w:p>
    <w:p w14:paraId="71B1D26C" w14:textId="77777777" w:rsidR="0052484B" w:rsidRDefault="0052484B" w:rsidP="0052484B">
      <w:pPr>
        <w:pStyle w:val="naisf"/>
        <w:spacing w:before="0" w:after="0"/>
        <w:ind w:firstLine="0"/>
        <w:jc w:val="center"/>
        <w:rPr>
          <w:b/>
        </w:rPr>
      </w:pPr>
      <w:r>
        <w:rPr>
          <w:b/>
        </w:rPr>
        <w:t>I. Jautājumi, par kuriem saskaņošanā vienošanās nav panākta</w:t>
      </w:r>
    </w:p>
    <w:p w14:paraId="4DE25C24" w14:textId="77777777" w:rsidR="0052484B" w:rsidRDefault="0052484B" w:rsidP="0052484B">
      <w:pPr>
        <w:pStyle w:val="naisf"/>
        <w:spacing w:before="0" w:after="0"/>
        <w:ind w:firstLine="720"/>
      </w:pPr>
    </w:p>
    <w:tbl>
      <w:tblPr>
        <w:tblW w:w="1426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3085"/>
        <w:gridCol w:w="3117"/>
        <w:gridCol w:w="2976"/>
        <w:gridCol w:w="2458"/>
        <w:gridCol w:w="1920"/>
      </w:tblGrid>
      <w:tr w:rsidR="0052484B" w14:paraId="314E4566" w14:textId="77777777" w:rsidTr="00EB7E4C">
        <w:tc>
          <w:tcPr>
            <w:tcW w:w="709" w:type="dxa"/>
            <w:tcBorders>
              <w:top w:val="single" w:sz="6" w:space="0" w:color="000000"/>
              <w:left w:val="single" w:sz="6" w:space="0" w:color="000000"/>
              <w:bottom w:val="single" w:sz="6" w:space="0" w:color="000000"/>
              <w:right w:val="single" w:sz="6" w:space="0" w:color="000000"/>
            </w:tcBorders>
            <w:vAlign w:val="center"/>
            <w:hideMark/>
          </w:tcPr>
          <w:p w14:paraId="7FF5A1EC" w14:textId="77777777" w:rsidR="0052484B" w:rsidRDefault="0052484B">
            <w:pPr>
              <w:pStyle w:val="naisc"/>
              <w:spacing w:before="0" w:after="0"/>
            </w:pPr>
            <w:r>
              <w:t>Nr. p.k.</w:t>
            </w:r>
          </w:p>
        </w:tc>
        <w:tc>
          <w:tcPr>
            <w:tcW w:w="3085" w:type="dxa"/>
            <w:tcBorders>
              <w:top w:val="single" w:sz="6" w:space="0" w:color="000000"/>
              <w:left w:val="single" w:sz="6" w:space="0" w:color="000000"/>
              <w:bottom w:val="single" w:sz="6" w:space="0" w:color="000000"/>
              <w:right w:val="single" w:sz="6" w:space="0" w:color="000000"/>
            </w:tcBorders>
            <w:vAlign w:val="center"/>
            <w:hideMark/>
          </w:tcPr>
          <w:p w14:paraId="0D51DA91" w14:textId="77777777" w:rsidR="0052484B" w:rsidRDefault="0052484B">
            <w:pPr>
              <w:pStyle w:val="naisc"/>
              <w:spacing w:before="0" w:after="0"/>
              <w:ind w:firstLine="12"/>
            </w:pPr>
            <w:r>
              <w:t>Saskaņošanai nosūtītā projekta redakcija (konkrēta punkta (panta) redakcija)</w:t>
            </w:r>
          </w:p>
        </w:tc>
        <w:tc>
          <w:tcPr>
            <w:tcW w:w="3117" w:type="dxa"/>
            <w:tcBorders>
              <w:top w:val="single" w:sz="6" w:space="0" w:color="000000"/>
              <w:left w:val="single" w:sz="6" w:space="0" w:color="000000"/>
              <w:bottom w:val="single" w:sz="6" w:space="0" w:color="000000"/>
              <w:right w:val="single" w:sz="6" w:space="0" w:color="000000"/>
            </w:tcBorders>
            <w:vAlign w:val="center"/>
            <w:hideMark/>
          </w:tcPr>
          <w:p w14:paraId="183A9BA9" w14:textId="77777777" w:rsidR="0052484B" w:rsidRDefault="0052484B">
            <w:pPr>
              <w:pStyle w:val="naisc"/>
              <w:spacing w:before="0" w:after="0"/>
              <w:ind w:right="3"/>
            </w:pPr>
            <w:r>
              <w:t>Atzinumā norādītais ministrijas (citas institūcijas) iebildums, kā arī saskaņošanā papildus izteiktais iebildums par projekta konkrēto punktu (pantu)</w:t>
            </w:r>
          </w:p>
        </w:tc>
        <w:tc>
          <w:tcPr>
            <w:tcW w:w="2976" w:type="dxa"/>
            <w:tcBorders>
              <w:top w:val="single" w:sz="6" w:space="0" w:color="000000"/>
              <w:left w:val="single" w:sz="6" w:space="0" w:color="000000"/>
              <w:bottom w:val="single" w:sz="6" w:space="0" w:color="000000"/>
              <w:right w:val="single" w:sz="6" w:space="0" w:color="000000"/>
            </w:tcBorders>
            <w:vAlign w:val="center"/>
            <w:hideMark/>
          </w:tcPr>
          <w:p w14:paraId="1B72519A" w14:textId="77777777" w:rsidR="0052484B" w:rsidRDefault="0052484B">
            <w:pPr>
              <w:pStyle w:val="naisc"/>
              <w:spacing w:before="0" w:after="0"/>
              <w:ind w:firstLine="21"/>
            </w:pPr>
            <w:r>
              <w:t>Atbildīgās ministrijas pamatojums iebilduma noraidījumam</w:t>
            </w:r>
          </w:p>
        </w:tc>
        <w:tc>
          <w:tcPr>
            <w:tcW w:w="2458" w:type="dxa"/>
            <w:tcBorders>
              <w:top w:val="single" w:sz="4" w:space="0" w:color="auto"/>
              <w:left w:val="single" w:sz="4" w:space="0" w:color="auto"/>
              <w:bottom w:val="single" w:sz="4" w:space="0" w:color="auto"/>
              <w:right w:val="single" w:sz="4" w:space="0" w:color="auto"/>
            </w:tcBorders>
            <w:vAlign w:val="center"/>
            <w:hideMark/>
          </w:tcPr>
          <w:p w14:paraId="0BB1450F" w14:textId="77777777" w:rsidR="0052484B" w:rsidRDefault="0052484B">
            <w:pPr>
              <w:jc w:val="center"/>
            </w:pPr>
            <w: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right w:val="single" w:sz="4" w:space="0" w:color="auto"/>
            </w:tcBorders>
            <w:vAlign w:val="center"/>
            <w:hideMark/>
          </w:tcPr>
          <w:p w14:paraId="2AB30833" w14:textId="77777777" w:rsidR="0052484B" w:rsidRDefault="0052484B">
            <w:pPr>
              <w:jc w:val="center"/>
            </w:pPr>
            <w:r>
              <w:t>Projekta attiecīgā punkta (panta) galīgā redakcija</w:t>
            </w:r>
          </w:p>
        </w:tc>
      </w:tr>
      <w:tr w:rsidR="0052484B" w14:paraId="51045EF3" w14:textId="77777777" w:rsidTr="00EB7E4C">
        <w:tc>
          <w:tcPr>
            <w:tcW w:w="709" w:type="dxa"/>
            <w:tcBorders>
              <w:top w:val="single" w:sz="6" w:space="0" w:color="000000"/>
              <w:left w:val="single" w:sz="6" w:space="0" w:color="000000"/>
              <w:bottom w:val="single" w:sz="6" w:space="0" w:color="000000"/>
              <w:right w:val="single" w:sz="6" w:space="0" w:color="000000"/>
            </w:tcBorders>
            <w:hideMark/>
          </w:tcPr>
          <w:p w14:paraId="22C92EBA" w14:textId="77777777" w:rsidR="0052484B" w:rsidRDefault="0052484B">
            <w:pPr>
              <w:pStyle w:val="naisc"/>
              <w:spacing w:before="0" w:after="0"/>
              <w:rPr>
                <w:sz w:val="20"/>
                <w:szCs w:val="20"/>
              </w:rPr>
            </w:pPr>
            <w:r>
              <w:rPr>
                <w:sz w:val="20"/>
                <w:szCs w:val="20"/>
              </w:rPr>
              <w:t>1</w:t>
            </w:r>
          </w:p>
        </w:tc>
        <w:tc>
          <w:tcPr>
            <w:tcW w:w="3085" w:type="dxa"/>
            <w:tcBorders>
              <w:top w:val="single" w:sz="6" w:space="0" w:color="000000"/>
              <w:left w:val="single" w:sz="6" w:space="0" w:color="000000"/>
              <w:bottom w:val="single" w:sz="6" w:space="0" w:color="000000"/>
              <w:right w:val="single" w:sz="6" w:space="0" w:color="000000"/>
            </w:tcBorders>
            <w:hideMark/>
          </w:tcPr>
          <w:p w14:paraId="1B1252CA" w14:textId="77777777" w:rsidR="0052484B" w:rsidRDefault="0052484B">
            <w:pPr>
              <w:pStyle w:val="naisc"/>
              <w:spacing w:before="0" w:after="0"/>
              <w:ind w:firstLine="720"/>
              <w:rPr>
                <w:sz w:val="20"/>
                <w:szCs w:val="20"/>
              </w:rPr>
            </w:pPr>
            <w:r>
              <w:rPr>
                <w:sz w:val="20"/>
                <w:szCs w:val="20"/>
              </w:rPr>
              <w:t>2</w:t>
            </w:r>
          </w:p>
        </w:tc>
        <w:tc>
          <w:tcPr>
            <w:tcW w:w="3117" w:type="dxa"/>
            <w:tcBorders>
              <w:top w:val="single" w:sz="6" w:space="0" w:color="000000"/>
              <w:left w:val="single" w:sz="6" w:space="0" w:color="000000"/>
              <w:bottom w:val="single" w:sz="6" w:space="0" w:color="000000"/>
              <w:right w:val="single" w:sz="6" w:space="0" w:color="000000"/>
            </w:tcBorders>
            <w:hideMark/>
          </w:tcPr>
          <w:p w14:paraId="28FED238" w14:textId="77777777" w:rsidR="0052484B" w:rsidRDefault="0052484B">
            <w:pPr>
              <w:pStyle w:val="naisc"/>
              <w:spacing w:before="0" w:after="0"/>
              <w:ind w:firstLine="720"/>
              <w:rPr>
                <w:sz w:val="20"/>
                <w:szCs w:val="20"/>
              </w:rPr>
            </w:pPr>
            <w:r>
              <w:rPr>
                <w:sz w:val="20"/>
                <w:szCs w:val="20"/>
              </w:rPr>
              <w:t>3</w:t>
            </w:r>
          </w:p>
        </w:tc>
        <w:tc>
          <w:tcPr>
            <w:tcW w:w="2976" w:type="dxa"/>
            <w:tcBorders>
              <w:top w:val="single" w:sz="6" w:space="0" w:color="000000"/>
              <w:left w:val="single" w:sz="6" w:space="0" w:color="000000"/>
              <w:bottom w:val="single" w:sz="6" w:space="0" w:color="000000"/>
              <w:right w:val="single" w:sz="6" w:space="0" w:color="000000"/>
            </w:tcBorders>
            <w:hideMark/>
          </w:tcPr>
          <w:p w14:paraId="52D38915" w14:textId="77777777" w:rsidR="0052484B" w:rsidRDefault="0052484B">
            <w:pPr>
              <w:pStyle w:val="naisc"/>
              <w:spacing w:before="0" w:after="0"/>
              <w:ind w:firstLine="720"/>
              <w:rPr>
                <w:sz w:val="20"/>
                <w:szCs w:val="20"/>
              </w:rPr>
            </w:pPr>
            <w:r>
              <w:rPr>
                <w:sz w:val="20"/>
                <w:szCs w:val="20"/>
              </w:rPr>
              <w:t>4</w:t>
            </w:r>
          </w:p>
        </w:tc>
        <w:tc>
          <w:tcPr>
            <w:tcW w:w="2458" w:type="dxa"/>
            <w:tcBorders>
              <w:top w:val="single" w:sz="4" w:space="0" w:color="auto"/>
              <w:left w:val="single" w:sz="4" w:space="0" w:color="auto"/>
              <w:bottom w:val="single" w:sz="4" w:space="0" w:color="auto"/>
              <w:right w:val="single" w:sz="4" w:space="0" w:color="auto"/>
            </w:tcBorders>
            <w:hideMark/>
          </w:tcPr>
          <w:p w14:paraId="183EC332" w14:textId="77777777" w:rsidR="0052484B" w:rsidRDefault="0052484B">
            <w:pPr>
              <w:jc w:val="center"/>
              <w:rPr>
                <w:sz w:val="20"/>
                <w:szCs w:val="20"/>
              </w:rPr>
            </w:pPr>
            <w:r>
              <w:rPr>
                <w:sz w:val="20"/>
                <w:szCs w:val="20"/>
              </w:rPr>
              <w:t>5</w:t>
            </w:r>
          </w:p>
        </w:tc>
        <w:tc>
          <w:tcPr>
            <w:tcW w:w="1920" w:type="dxa"/>
            <w:tcBorders>
              <w:top w:val="single" w:sz="4" w:space="0" w:color="auto"/>
              <w:left w:val="single" w:sz="4" w:space="0" w:color="auto"/>
              <w:bottom w:val="single" w:sz="4" w:space="0" w:color="auto"/>
              <w:right w:val="single" w:sz="4" w:space="0" w:color="auto"/>
            </w:tcBorders>
            <w:hideMark/>
          </w:tcPr>
          <w:p w14:paraId="3AD32377" w14:textId="77777777" w:rsidR="0052484B" w:rsidRDefault="0052484B">
            <w:pPr>
              <w:jc w:val="center"/>
              <w:rPr>
                <w:sz w:val="20"/>
                <w:szCs w:val="20"/>
              </w:rPr>
            </w:pPr>
            <w:r>
              <w:rPr>
                <w:sz w:val="20"/>
                <w:szCs w:val="20"/>
              </w:rPr>
              <w:t>6</w:t>
            </w:r>
          </w:p>
        </w:tc>
      </w:tr>
    </w:tbl>
    <w:p w14:paraId="6A63F771" w14:textId="77777777" w:rsidR="0052484B" w:rsidRDefault="0052484B" w:rsidP="0052484B">
      <w:pPr>
        <w:pStyle w:val="naisf"/>
        <w:spacing w:before="0" w:after="0"/>
        <w:ind w:firstLine="0"/>
      </w:pPr>
    </w:p>
    <w:p w14:paraId="181898A6" w14:textId="77777777" w:rsidR="0052484B" w:rsidRDefault="0052484B" w:rsidP="0052484B">
      <w:pPr>
        <w:pStyle w:val="naisf"/>
        <w:spacing w:before="0" w:after="0"/>
        <w:ind w:firstLine="0"/>
        <w:rPr>
          <w:b/>
        </w:rPr>
      </w:pPr>
      <w:r>
        <w:rPr>
          <w:b/>
        </w:rPr>
        <w:t xml:space="preserve">Informācija par </w:t>
      </w:r>
      <w:proofErr w:type="spellStart"/>
      <w:r>
        <w:rPr>
          <w:b/>
        </w:rPr>
        <w:t>starpministriju</w:t>
      </w:r>
      <w:proofErr w:type="spellEnd"/>
      <w:r>
        <w:rPr>
          <w:b/>
        </w:rPr>
        <w:t xml:space="preserve"> (starpinstitūciju) sanāksmi vai elektronisko saskaņošanu</w:t>
      </w:r>
    </w:p>
    <w:p w14:paraId="02A4CFAE" w14:textId="77777777" w:rsidR="0052484B" w:rsidRDefault="0052484B" w:rsidP="0052484B">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E501A" w14:paraId="23F1D80C" w14:textId="77777777" w:rsidTr="0052484B">
        <w:tc>
          <w:tcPr>
            <w:tcW w:w="6345" w:type="dxa"/>
            <w:hideMark/>
          </w:tcPr>
          <w:p w14:paraId="07C0029B" w14:textId="77777777" w:rsidR="007E501A" w:rsidRDefault="007E501A" w:rsidP="007E501A">
            <w:pPr>
              <w:pStyle w:val="naisf"/>
              <w:spacing w:before="0" w:after="0"/>
              <w:ind w:firstLine="0"/>
            </w:pPr>
            <w:r>
              <w:t>Datums</w:t>
            </w:r>
          </w:p>
        </w:tc>
        <w:tc>
          <w:tcPr>
            <w:tcW w:w="6237" w:type="dxa"/>
            <w:gridSpan w:val="2"/>
            <w:tcBorders>
              <w:top w:val="nil"/>
              <w:left w:val="nil"/>
              <w:bottom w:val="single" w:sz="4" w:space="0" w:color="auto"/>
              <w:right w:val="nil"/>
            </w:tcBorders>
          </w:tcPr>
          <w:p w14:paraId="6C30B738" w14:textId="2230FBBE" w:rsidR="007E501A" w:rsidRDefault="007E501A" w:rsidP="007E501A">
            <w:pPr>
              <w:pStyle w:val="NormalWeb"/>
              <w:spacing w:before="0" w:beforeAutospacing="0" w:after="0" w:afterAutospacing="0"/>
              <w:jc w:val="both"/>
            </w:pPr>
            <w:r>
              <w:t>2021.gada 26.janvārī nosūtīts elektroniskai saskaņošanai</w:t>
            </w:r>
          </w:p>
        </w:tc>
      </w:tr>
      <w:tr w:rsidR="007E501A" w14:paraId="7BA31D36" w14:textId="77777777" w:rsidTr="0052484B">
        <w:tc>
          <w:tcPr>
            <w:tcW w:w="6345" w:type="dxa"/>
          </w:tcPr>
          <w:p w14:paraId="0FFA0088" w14:textId="77777777" w:rsidR="007E501A" w:rsidRDefault="007E501A" w:rsidP="007E501A">
            <w:pPr>
              <w:pStyle w:val="naisf"/>
              <w:spacing w:before="0" w:after="0"/>
              <w:ind w:firstLine="0"/>
            </w:pPr>
          </w:p>
        </w:tc>
        <w:tc>
          <w:tcPr>
            <w:tcW w:w="6237" w:type="dxa"/>
            <w:gridSpan w:val="2"/>
            <w:tcBorders>
              <w:top w:val="single" w:sz="4" w:space="0" w:color="auto"/>
              <w:left w:val="nil"/>
              <w:bottom w:val="nil"/>
              <w:right w:val="nil"/>
            </w:tcBorders>
          </w:tcPr>
          <w:p w14:paraId="04F30F6B" w14:textId="77777777" w:rsidR="007E501A" w:rsidRDefault="007E501A" w:rsidP="007E501A">
            <w:pPr>
              <w:pStyle w:val="NormalWeb"/>
              <w:spacing w:before="0" w:beforeAutospacing="0" w:after="0" w:afterAutospacing="0"/>
              <w:ind w:firstLine="720"/>
            </w:pPr>
          </w:p>
        </w:tc>
      </w:tr>
      <w:tr w:rsidR="007E501A" w14:paraId="5191DF45" w14:textId="77777777" w:rsidTr="0052484B">
        <w:tc>
          <w:tcPr>
            <w:tcW w:w="6345" w:type="dxa"/>
            <w:hideMark/>
          </w:tcPr>
          <w:p w14:paraId="3BA49A4D" w14:textId="77777777" w:rsidR="007E501A" w:rsidRDefault="007E501A" w:rsidP="007E501A">
            <w:pPr>
              <w:pStyle w:val="naiskr"/>
              <w:spacing w:before="0" w:after="0"/>
            </w:pPr>
            <w:r>
              <w:t>Saskaņošanas dalībnieki</w:t>
            </w:r>
          </w:p>
        </w:tc>
        <w:tc>
          <w:tcPr>
            <w:tcW w:w="6237" w:type="dxa"/>
            <w:gridSpan w:val="2"/>
          </w:tcPr>
          <w:p w14:paraId="34C05537" w14:textId="4E301203" w:rsidR="007E501A" w:rsidRDefault="007E501A" w:rsidP="007E501A">
            <w:pPr>
              <w:pStyle w:val="NormalWeb"/>
              <w:spacing w:before="0" w:beforeAutospacing="0" w:after="0" w:afterAutospacing="0"/>
              <w:ind w:firstLine="720"/>
              <w:jc w:val="both"/>
            </w:pPr>
            <w:r w:rsidRPr="0029216C">
              <w:t>Tieslietu ministrij</w:t>
            </w:r>
            <w:r>
              <w:t>a</w:t>
            </w:r>
            <w:r w:rsidRPr="0029216C">
              <w:t>, Finanšu ministrij</w:t>
            </w:r>
            <w:r>
              <w:t>a</w:t>
            </w:r>
            <w:r w:rsidRPr="0029216C">
              <w:t>, Ārlietu ministrij</w:t>
            </w:r>
            <w:r>
              <w:t>a</w:t>
            </w:r>
            <w:r w:rsidRPr="0029216C">
              <w:t>, Vides aizsardzības un reģionālās attīstības ministrij</w:t>
            </w:r>
            <w:r>
              <w:t>a</w:t>
            </w:r>
            <w:r w:rsidRPr="0029216C">
              <w:t>, Latvijas Brīvo arodbiedrību savienīb</w:t>
            </w:r>
            <w:r>
              <w:t>a</w:t>
            </w:r>
            <w:r w:rsidRPr="0029216C">
              <w:t>, Latvijas Darba devēju konfederācij</w:t>
            </w:r>
            <w:r>
              <w:t>a,</w:t>
            </w:r>
            <w:r w:rsidRPr="0029216C">
              <w:t xml:space="preserve"> Latvijas Pašvaldību savienīb</w:t>
            </w:r>
            <w:r>
              <w:t xml:space="preserve">a, </w:t>
            </w:r>
            <w:r w:rsidRPr="008337EF">
              <w:t>Latvijas Tirdzniecības un rūpniecības kamera</w:t>
            </w:r>
          </w:p>
        </w:tc>
      </w:tr>
      <w:tr w:rsidR="007E501A" w14:paraId="00DA5290" w14:textId="77777777" w:rsidTr="0052484B">
        <w:tc>
          <w:tcPr>
            <w:tcW w:w="6345" w:type="dxa"/>
            <w:hideMark/>
          </w:tcPr>
          <w:p w14:paraId="642F2E0F" w14:textId="77777777" w:rsidR="007E501A" w:rsidRDefault="007E501A" w:rsidP="007E501A">
            <w:pPr>
              <w:pStyle w:val="naiskr"/>
              <w:spacing w:before="0" w:after="0"/>
              <w:ind w:firstLine="720"/>
            </w:pPr>
            <w:r>
              <w:t>  </w:t>
            </w:r>
          </w:p>
        </w:tc>
        <w:tc>
          <w:tcPr>
            <w:tcW w:w="6237" w:type="dxa"/>
            <w:gridSpan w:val="2"/>
            <w:tcBorders>
              <w:top w:val="single" w:sz="6" w:space="0" w:color="000000"/>
              <w:left w:val="nil"/>
              <w:bottom w:val="single" w:sz="6" w:space="0" w:color="000000"/>
              <w:right w:val="nil"/>
            </w:tcBorders>
          </w:tcPr>
          <w:p w14:paraId="0106E70B" w14:textId="77777777" w:rsidR="007E501A" w:rsidRDefault="007E501A" w:rsidP="007E501A">
            <w:pPr>
              <w:pStyle w:val="naiskr"/>
              <w:spacing w:before="0" w:after="0"/>
              <w:ind w:firstLine="720"/>
            </w:pPr>
          </w:p>
        </w:tc>
      </w:tr>
      <w:tr w:rsidR="007E501A" w14:paraId="419883B6" w14:textId="77777777" w:rsidTr="0052484B">
        <w:trPr>
          <w:trHeight w:val="285"/>
        </w:trPr>
        <w:tc>
          <w:tcPr>
            <w:tcW w:w="6345" w:type="dxa"/>
          </w:tcPr>
          <w:p w14:paraId="529E0F51" w14:textId="77777777" w:rsidR="007E501A" w:rsidRDefault="007E501A" w:rsidP="007E501A">
            <w:pPr>
              <w:pStyle w:val="naiskr"/>
              <w:spacing w:before="0" w:after="0"/>
            </w:pPr>
          </w:p>
        </w:tc>
        <w:tc>
          <w:tcPr>
            <w:tcW w:w="1203" w:type="dxa"/>
          </w:tcPr>
          <w:p w14:paraId="14BE73D3" w14:textId="77777777" w:rsidR="007E501A" w:rsidRDefault="007E501A" w:rsidP="007E501A">
            <w:pPr>
              <w:pStyle w:val="naiskr"/>
              <w:spacing w:before="0" w:after="0"/>
              <w:ind w:firstLine="720"/>
            </w:pPr>
          </w:p>
        </w:tc>
        <w:tc>
          <w:tcPr>
            <w:tcW w:w="5034" w:type="dxa"/>
          </w:tcPr>
          <w:p w14:paraId="696E2544" w14:textId="77777777" w:rsidR="007E501A" w:rsidRDefault="007E501A" w:rsidP="007E501A">
            <w:pPr>
              <w:pStyle w:val="naiskr"/>
              <w:spacing w:before="0" w:after="0"/>
              <w:ind w:firstLine="12"/>
            </w:pPr>
          </w:p>
        </w:tc>
      </w:tr>
    </w:tbl>
    <w:p w14:paraId="1301A713" w14:textId="6AC4F50A" w:rsidR="0052484B" w:rsidRDefault="0052484B" w:rsidP="0052484B"/>
    <w:tbl>
      <w:tblPr>
        <w:tblW w:w="12582" w:type="dxa"/>
        <w:tblLook w:val="00A0" w:firstRow="1" w:lastRow="0" w:firstColumn="1" w:lastColumn="0" w:noHBand="0" w:noVBand="0"/>
      </w:tblPr>
      <w:tblGrid>
        <w:gridCol w:w="6708"/>
        <w:gridCol w:w="840"/>
        <w:gridCol w:w="5034"/>
      </w:tblGrid>
      <w:tr w:rsidR="0052484B" w14:paraId="2944E57E" w14:textId="77777777" w:rsidTr="0052484B">
        <w:trPr>
          <w:trHeight w:val="285"/>
        </w:trPr>
        <w:tc>
          <w:tcPr>
            <w:tcW w:w="6708" w:type="dxa"/>
            <w:hideMark/>
          </w:tcPr>
          <w:p w14:paraId="41734218" w14:textId="77777777" w:rsidR="0052484B" w:rsidRDefault="0052484B">
            <w:pPr>
              <w:pStyle w:val="naiskr"/>
              <w:spacing w:before="0" w:after="0"/>
            </w:pPr>
            <w:r>
              <w:t>Saskaņošanas dalībnieki izskatīja šādu ministriju (citu institūciju) iebildumus</w:t>
            </w:r>
          </w:p>
        </w:tc>
        <w:tc>
          <w:tcPr>
            <w:tcW w:w="840" w:type="dxa"/>
          </w:tcPr>
          <w:p w14:paraId="7DBB636A" w14:textId="77777777" w:rsidR="0052484B" w:rsidRDefault="0052484B">
            <w:pPr>
              <w:pStyle w:val="naiskr"/>
              <w:spacing w:before="0" w:after="0"/>
              <w:ind w:firstLine="720"/>
            </w:pPr>
          </w:p>
        </w:tc>
        <w:tc>
          <w:tcPr>
            <w:tcW w:w="5034" w:type="dxa"/>
          </w:tcPr>
          <w:p w14:paraId="18E1CB67" w14:textId="44907425" w:rsidR="0052484B" w:rsidRDefault="008337EF" w:rsidP="007E501A">
            <w:pPr>
              <w:pStyle w:val="naiskr"/>
              <w:spacing w:before="0" w:after="0"/>
              <w:ind w:firstLine="12"/>
              <w:jc w:val="both"/>
            </w:pPr>
            <w:r w:rsidRPr="008337EF">
              <w:t>Tieslietu ministrija, Finanšu ministrija</w:t>
            </w:r>
          </w:p>
        </w:tc>
      </w:tr>
      <w:tr w:rsidR="0052484B" w14:paraId="7F0E96CD" w14:textId="77777777" w:rsidTr="0052484B">
        <w:trPr>
          <w:trHeight w:val="465"/>
        </w:trPr>
        <w:tc>
          <w:tcPr>
            <w:tcW w:w="6708" w:type="dxa"/>
            <w:hideMark/>
          </w:tcPr>
          <w:p w14:paraId="5324D9A8" w14:textId="77777777" w:rsidR="0052484B" w:rsidRDefault="0052484B">
            <w:pPr>
              <w:pStyle w:val="naiskr"/>
              <w:spacing w:before="0" w:after="0"/>
              <w:ind w:firstLine="720"/>
            </w:pPr>
            <w:r>
              <w:t>  </w:t>
            </w:r>
          </w:p>
        </w:tc>
        <w:tc>
          <w:tcPr>
            <w:tcW w:w="5874" w:type="dxa"/>
            <w:gridSpan w:val="2"/>
            <w:tcBorders>
              <w:top w:val="single" w:sz="6" w:space="0" w:color="000000"/>
              <w:left w:val="nil"/>
              <w:bottom w:val="single" w:sz="6" w:space="0" w:color="000000"/>
              <w:right w:val="nil"/>
            </w:tcBorders>
          </w:tcPr>
          <w:p w14:paraId="47BED56D" w14:textId="77777777" w:rsidR="0052484B" w:rsidRDefault="0052484B">
            <w:pPr>
              <w:pStyle w:val="NormalWeb"/>
              <w:spacing w:before="0" w:beforeAutospacing="0" w:after="0" w:afterAutospacing="0"/>
              <w:ind w:firstLine="720"/>
            </w:pPr>
          </w:p>
        </w:tc>
      </w:tr>
      <w:tr w:rsidR="0052484B" w14:paraId="69D7CD97" w14:textId="77777777" w:rsidTr="0052484B">
        <w:trPr>
          <w:trHeight w:val="465"/>
        </w:trPr>
        <w:tc>
          <w:tcPr>
            <w:tcW w:w="12582" w:type="dxa"/>
            <w:gridSpan w:val="3"/>
          </w:tcPr>
          <w:p w14:paraId="6DBC3F5D" w14:textId="77777777" w:rsidR="0052484B" w:rsidRDefault="0052484B">
            <w:pPr>
              <w:pStyle w:val="naisc"/>
              <w:spacing w:before="0" w:after="0"/>
              <w:ind w:left="4820" w:firstLine="720"/>
            </w:pPr>
          </w:p>
        </w:tc>
      </w:tr>
      <w:tr w:rsidR="0052484B" w14:paraId="4790DDD5" w14:textId="77777777" w:rsidTr="0052484B">
        <w:tc>
          <w:tcPr>
            <w:tcW w:w="6708" w:type="dxa"/>
            <w:hideMark/>
          </w:tcPr>
          <w:p w14:paraId="16F70EF9" w14:textId="77777777" w:rsidR="0052484B" w:rsidRDefault="0052484B">
            <w:pPr>
              <w:pStyle w:val="naiskr"/>
              <w:spacing w:before="0" w:after="0"/>
            </w:pPr>
            <w:r>
              <w:lastRenderedPageBreak/>
              <w:t>Ministrijas (citas institūcijas), kuras nav ieradušās uz sanāksmi vai kuras nav atbildējušas uz uzaicinājumu piedalīties elektroniskajā saskaņošanā</w:t>
            </w:r>
          </w:p>
        </w:tc>
        <w:tc>
          <w:tcPr>
            <w:tcW w:w="5874" w:type="dxa"/>
            <w:gridSpan w:val="2"/>
          </w:tcPr>
          <w:p w14:paraId="1F061643" w14:textId="0C9C4461" w:rsidR="0052484B" w:rsidRDefault="007E501A" w:rsidP="007E501A">
            <w:pPr>
              <w:pStyle w:val="naiskr"/>
              <w:spacing w:before="0" w:after="0"/>
              <w:ind w:firstLine="720"/>
              <w:jc w:val="both"/>
            </w:pPr>
            <w:r w:rsidRPr="0029216C">
              <w:t>Latvijas Pašvaldību savienīb</w:t>
            </w:r>
            <w:r>
              <w:t xml:space="preserve">a, </w:t>
            </w:r>
            <w:r w:rsidRPr="008337EF">
              <w:t>Latvijas Tirdzniecības un rūpniecības kamera</w:t>
            </w:r>
            <w:r>
              <w:t xml:space="preserve"> </w:t>
            </w:r>
            <w:r w:rsidRPr="00E86EF2">
              <w:rPr>
                <w:i/>
                <w:iCs/>
              </w:rPr>
              <w:t>(līdz ar to uzskatāms par saskaņotu pēc noklusējum</w:t>
            </w:r>
            <w:r>
              <w:rPr>
                <w:i/>
                <w:iCs/>
              </w:rPr>
              <w:t>a</w:t>
            </w:r>
            <w:r w:rsidRPr="00E86EF2">
              <w:rPr>
                <w:i/>
                <w:iCs/>
              </w:rPr>
              <w:t>)</w:t>
            </w:r>
          </w:p>
        </w:tc>
      </w:tr>
      <w:tr w:rsidR="0052484B" w14:paraId="41556ABD" w14:textId="77777777" w:rsidTr="0052484B">
        <w:tc>
          <w:tcPr>
            <w:tcW w:w="6708" w:type="dxa"/>
            <w:hideMark/>
          </w:tcPr>
          <w:p w14:paraId="1B9B17E3" w14:textId="77777777" w:rsidR="0052484B" w:rsidRDefault="0052484B">
            <w:pPr>
              <w:pStyle w:val="naiskr"/>
              <w:spacing w:before="0" w:after="0"/>
              <w:ind w:firstLine="720"/>
            </w:pPr>
            <w:r>
              <w:t>  </w:t>
            </w:r>
          </w:p>
        </w:tc>
        <w:tc>
          <w:tcPr>
            <w:tcW w:w="5874" w:type="dxa"/>
            <w:gridSpan w:val="2"/>
            <w:tcBorders>
              <w:top w:val="single" w:sz="6" w:space="0" w:color="000000"/>
              <w:left w:val="nil"/>
              <w:bottom w:val="single" w:sz="6" w:space="0" w:color="000000"/>
              <w:right w:val="nil"/>
            </w:tcBorders>
          </w:tcPr>
          <w:p w14:paraId="27F01B56" w14:textId="77777777" w:rsidR="0052484B" w:rsidRDefault="0052484B">
            <w:pPr>
              <w:pStyle w:val="naiskr"/>
              <w:spacing w:before="0" w:after="0"/>
              <w:ind w:firstLine="720"/>
            </w:pPr>
          </w:p>
        </w:tc>
      </w:tr>
      <w:tr w:rsidR="0052484B" w14:paraId="27F0F5C8" w14:textId="77777777" w:rsidTr="0052484B">
        <w:tc>
          <w:tcPr>
            <w:tcW w:w="6708" w:type="dxa"/>
            <w:hideMark/>
          </w:tcPr>
          <w:p w14:paraId="04ECACDB" w14:textId="77777777" w:rsidR="0052484B" w:rsidRDefault="0052484B">
            <w:pPr>
              <w:pStyle w:val="naiskr"/>
              <w:spacing w:before="0" w:after="0"/>
              <w:ind w:firstLine="720"/>
            </w:pPr>
            <w:r>
              <w:t>  </w:t>
            </w:r>
          </w:p>
        </w:tc>
        <w:tc>
          <w:tcPr>
            <w:tcW w:w="5874" w:type="dxa"/>
            <w:gridSpan w:val="2"/>
            <w:tcBorders>
              <w:top w:val="nil"/>
              <w:left w:val="nil"/>
              <w:bottom w:val="single" w:sz="6" w:space="0" w:color="000000"/>
              <w:right w:val="nil"/>
            </w:tcBorders>
          </w:tcPr>
          <w:p w14:paraId="06AFF905" w14:textId="77777777" w:rsidR="0052484B" w:rsidRDefault="0052484B">
            <w:pPr>
              <w:pStyle w:val="naiskr"/>
              <w:spacing w:before="0" w:after="0"/>
              <w:ind w:firstLine="720"/>
            </w:pPr>
          </w:p>
        </w:tc>
      </w:tr>
    </w:tbl>
    <w:p w14:paraId="6211BFA3" w14:textId="77777777" w:rsidR="0052484B" w:rsidRDefault="0052484B" w:rsidP="0052484B">
      <w:pPr>
        <w:pStyle w:val="naisf"/>
        <w:spacing w:before="0" w:after="0"/>
        <w:ind w:firstLine="720"/>
      </w:pPr>
    </w:p>
    <w:p w14:paraId="5DF1C314" w14:textId="77777777" w:rsidR="0052484B" w:rsidRDefault="0052484B" w:rsidP="0052484B">
      <w:pPr>
        <w:pStyle w:val="naisf"/>
        <w:spacing w:before="0" w:after="0"/>
        <w:ind w:firstLine="0"/>
        <w:jc w:val="center"/>
        <w:rPr>
          <w:b/>
        </w:rPr>
      </w:pPr>
      <w:r>
        <w:rPr>
          <w:b/>
        </w:rPr>
        <w:t>II. Jautājumi, par kuriem saskaņošanā vienošanās ir panākta</w:t>
      </w:r>
    </w:p>
    <w:p w14:paraId="1ED5C191" w14:textId="77777777" w:rsidR="0052484B" w:rsidRDefault="0052484B" w:rsidP="0052484B">
      <w:pPr>
        <w:pStyle w:val="naisf"/>
        <w:spacing w:before="0" w:after="0"/>
        <w:ind w:firstLine="720"/>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7"/>
        <w:gridCol w:w="2399"/>
        <w:gridCol w:w="686"/>
        <w:gridCol w:w="3997"/>
        <w:gridCol w:w="1493"/>
        <w:gridCol w:w="1909"/>
        <w:gridCol w:w="3118"/>
      </w:tblGrid>
      <w:tr w:rsidR="0052484B" w14:paraId="55B10EDF" w14:textId="77777777" w:rsidTr="0052484B">
        <w:tc>
          <w:tcPr>
            <w:tcW w:w="707" w:type="dxa"/>
            <w:tcBorders>
              <w:top w:val="single" w:sz="6" w:space="0" w:color="000000"/>
              <w:left w:val="single" w:sz="6" w:space="0" w:color="000000"/>
              <w:bottom w:val="single" w:sz="6" w:space="0" w:color="000000"/>
              <w:right w:val="single" w:sz="6" w:space="0" w:color="000000"/>
            </w:tcBorders>
            <w:vAlign w:val="center"/>
            <w:hideMark/>
          </w:tcPr>
          <w:p w14:paraId="096F8F5A" w14:textId="77777777" w:rsidR="0052484B" w:rsidRDefault="0052484B">
            <w:pPr>
              <w:pStyle w:val="naisc"/>
              <w:spacing w:before="0" w:after="0"/>
            </w:pPr>
            <w:r>
              <w:t>Nr. p.k.</w:t>
            </w:r>
          </w:p>
        </w:tc>
        <w:tc>
          <w:tcPr>
            <w:tcW w:w="3085" w:type="dxa"/>
            <w:gridSpan w:val="2"/>
            <w:tcBorders>
              <w:top w:val="single" w:sz="6" w:space="0" w:color="000000"/>
              <w:left w:val="single" w:sz="6" w:space="0" w:color="000000"/>
              <w:bottom w:val="single" w:sz="6" w:space="0" w:color="000000"/>
              <w:right w:val="single" w:sz="6" w:space="0" w:color="000000"/>
            </w:tcBorders>
            <w:vAlign w:val="center"/>
            <w:hideMark/>
          </w:tcPr>
          <w:p w14:paraId="17DB219A" w14:textId="77777777" w:rsidR="0052484B" w:rsidRDefault="0052484B">
            <w:pPr>
              <w:pStyle w:val="naisc"/>
              <w:spacing w:before="0" w:after="0"/>
              <w:ind w:firstLine="12"/>
            </w:pPr>
            <w:r>
              <w:t>Saskaņošanai nosūtītā projekta redakcija (konkrēta punkta (panta) redakcija)</w:t>
            </w:r>
          </w:p>
        </w:tc>
        <w:tc>
          <w:tcPr>
            <w:tcW w:w="3997" w:type="dxa"/>
            <w:tcBorders>
              <w:top w:val="single" w:sz="6" w:space="0" w:color="000000"/>
              <w:left w:val="single" w:sz="6" w:space="0" w:color="000000"/>
              <w:bottom w:val="single" w:sz="6" w:space="0" w:color="000000"/>
              <w:right w:val="single" w:sz="6" w:space="0" w:color="000000"/>
            </w:tcBorders>
            <w:vAlign w:val="center"/>
            <w:hideMark/>
          </w:tcPr>
          <w:p w14:paraId="4CA4C35F" w14:textId="77777777" w:rsidR="0052484B" w:rsidRDefault="0052484B">
            <w:pPr>
              <w:pStyle w:val="naisc"/>
              <w:spacing w:before="0" w:after="0"/>
              <w:ind w:right="3"/>
            </w:pPr>
            <w:r>
              <w:t>Atzinumā norādītais ministrijas (citas institūcijas) iebildums, kā arī saskaņošanā papildus izteiktais iebildums par projekta konkrēto punktu (pantu)</w:t>
            </w:r>
          </w:p>
        </w:tc>
        <w:tc>
          <w:tcPr>
            <w:tcW w:w="3402" w:type="dxa"/>
            <w:gridSpan w:val="2"/>
            <w:tcBorders>
              <w:top w:val="single" w:sz="6" w:space="0" w:color="000000"/>
              <w:left w:val="single" w:sz="6" w:space="0" w:color="000000"/>
              <w:bottom w:val="single" w:sz="6" w:space="0" w:color="000000"/>
              <w:right w:val="single" w:sz="6" w:space="0" w:color="000000"/>
            </w:tcBorders>
            <w:vAlign w:val="center"/>
            <w:hideMark/>
          </w:tcPr>
          <w:p w14:paraId="67E7F6B7" w14:textId="77777777" w:rsidR="0052484B" w:rsidRDefault="0052484B">
            <w:pPr>
              <w:pStyle w:val="naisc"/>
              <w:spacing w:before="0" w:after="0"/>
              <w:ind w:firstLine="21"/>
            </w:pPr>
            <w:r>
              <w:t>Atbildīgās ministrijas norāde par to, ka iebildums ir ņemts vērā, vai informācija par saskaņošanā panākto alternatīvo risinājumu</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8F0B734" w14:textId="77777777" w:rsidR="0052484B" w:rsidRDefault="0052484B">
            <w:pPr>
              <w:jc w:val="center"/>
            </w:pPr>
            <w:r>
              <w:t>Projekta attiecīgā punkta (panta) galīgā redakcija</w:t>
            </w:r>
          </w:p>
        </w:tc>
      </w:tr>
      <w:tr w:rsidR="0052484B" w14:paraId="46D12EC1" w14:textId="77777777" w:rsidTr="0052484B">
        <w:tc>
          <w:tcPr>
            <w:tcW w:w="707" w:type="dxa"/>
            <w:tcBorders>
              <w:top w:val="single" w:sz="6" w:space="0" w:color="000000"/>
              <w:left w:val="single" w:sz="6" w:space="0" w:color="000000"/>
              <w:bottom w:val="single" w:sz="6" w:space="0" w:color="000000"/>
              <w:right w:val="single" w:sz="6" w:space="0" w:color="000000"/>
            </w:tcBorders>
            <w:hideMark/>
          </w:tcPr>
          <w:p w14:paraId="049457B5" w14:textId="77777777" w:rsidR="0052484B" w:rsidRDefault="0052484B">
            <w:pPr>
              <w:pStyle w:val="naisc"/>
              <w:spacing w:before="0" w:after="0"/>
              <w:rPr>
                <w:sz w:val="20"/>
                <w:szCs w:val="20"/>
              </w:rPr>
            </w:pPr>
            <w:r>
              <w:rPr>
                <w:sz w:val="20"/>
                <w:szCs w:val="20"/>
              </w:rPr>
              <w:t>1</w:t>
            </w:r>
          </w:p>
        </w:tc>
        <w:tc>
          <w:tcPr>
            <w:tcW w:w="3085" w:type="dxa"/>
            <w:gridSpan w:val="2"/>
            <w:tcBorders>
              <w:top w:val="single" w:sz="6" w:space="0" w:color="000000"/>
              <w:left w:val="single" w:sz="6" w:space="0" w:color="000000"/>
              <w:bottom w:val="single" w:sz="6" w:space="0" w:color="000000"/>
              <w:right w:val="single" w:sz="6" w:space="0" w:color="000000"/>
            </w:tcBorders>
            <w:hideMark/>
          </w:tcPr>
          <w:p w14:paraId="49F5744C" w14:textId="77777777" w:rsidR="0052484B" w:rsidRDefault="0052484B">
            <w:pPr>
              <w:pStyle w:val="naisc"/>
              <w:spacing w:before="0" w:after="0"/>
              <w:ind w:firstLine="720"/>
              <w:rPr>
                <w:sz w:val="20"/>
                <w:szCs w:val="20"/>
              </w:rPr>
            </w:pPr>
            <w:r>
              <w:rPr>
                <w:sz w:val="20"/>
                <w:szCs w:val="20"/>
              </w:rPr>
              <w:t>2</w:t>
            </w:r>
          </w:p>
        </w:tc>
        <w:tc>
          <w:tcPr>
            <w:tcW w:w="3997" w:type="dxa"/>
            <w:tcBorders>
              <w:top w:val="single" w:sz="6" w:space="0" w:color="000000"/>
              <w:left w:val="single" w:sz="6" w:space="0" w:color="000000"/>
              <w:bottom w:val="single" w:sz="6" w:space="0" w:color="000000"/>
              <w:right w:val="single" w:sz="6" w:space="0" w:color="000000"/>
            </w:tcBorders>
            <w:hideMark/>
          </w:tcPr>
          <w:p w14:paraId="687B74A1" w14:textId="77777777" w:rsidR="0052484B" w:rsidRDefault="0052484B">
            <w:pPr>
              <w:pStyle w:val="naisc"/>
              <w:spacing w:before="0" w:after="0"/>
              <w:ind w:firstLine="720"/>
              <w:rPr>
                <w:sz w:val="20"/>
                <w:szCs w:val="20"/>
              </w:rPr>
            </w:pPr>
            <w:r>
              <w:rPr>
                <w:sz w:val="20"/>
                <w:szCs w:val="20"/>
              </w:rPr>
              <w:t>3</w:t>
            </w:r>
          </w:p>
        </w:tc>
        <w:tc>
          <w:tcPr>
            <w:tcW w:w="3402" w:type="dxa"/>
            <w:gridSpan w:val="2"/>
            <w:tcBorders>
              <w:top w:val="single" w:sz="6" w:space="0" w:color="000000"/>
              <w:left w:val="single" w:sz="6" w:space="0" w:color="000000"/>
              <w:bottom w:val="single" w:sz="6" w:space="0" w:color="000000"/>
              <w:right w:val="single" w:sz="6" w:space="0" w:color="000000"/>
            </w:tcBorders>
            <w:hideMark/>
          </w:tcPr>
          <w:p w14:paraId="63362957" w14:textId="77777777" w:rsidR="0052484B" w:rsidRDefault="0052484B">
            <w:pPr>
              <w:pStyle w:val="naisc"/>
              <w:spacing w:before="0" w:after="0"/>
              <w:ind w:firstLine="720"/>
              <w:rPr>
                <w:sz w:val="20"/>
                <w:szCs w:val="20"/>
              </w:rPr>
            </w:pPr>
            <w:r>
              <w:rPr>
                <w:sz w:val="20"/>
                <w:szCs w:val="20"/>
              </w:rPr>
              <w:t>4</w:t>
            </w:r>
          </w:p>
        </w:tc>
        <w:tc>
          <w:tcPr>
            <w:tcW w:w="3118" w:type="dxa"/>
            <w:tcBorders>
              <w:top w:val="single" w:sz="4" w:space="0" w:color="auto"/>
              <w:left w:val="single" w:sz="4" w:space="0" w:color="auto"/>
              <w:bottom w:val="single" w:sz="4" w:space="0" w:color="auto"/>
              <w:right w:val="single" w:sz="4" w:space="0" w:color="auto"/>
            </w:tcBorders>
            <w:hideMark/>
          </w:tcPr>
          <w:p w14:paraId="2FDCDB2E" w14:textId="77777777" w:rsidR="0052484B" w:rsidRDefault="0052484B">
            <w:pPr>
              <w:jc w:val="center"/>
              <w:rPr>
                <w:sz w:val="20"/>
                <w:szCs w:val="20"/>
              </w:rPr>
            </w:pPr>
            <w:r>
              <w:rPr>
                <w:sz w:val="20"/>
                <w:szCs w:val="20"/>
              </w:rPr>
              <w:t>5</w:t>
            </w:r>
          </w:p>
        </w:tc>
      </w:tr>
      <w:tr w:rsidR="00FD6F4C" w14:paraId="79312B2B" w14:textId="77777777" w:rsidTr="0052484B">
        <w:tc>
          <w:tcPr>
            <w:tcW w:w="707" w:type="dxa"/>
            <w:tcBorders>
              <w:top w:val="nil"/>
              <w:left w:val="single" w:sz="6" w:space="0" w:color="000000"/>
              <w:bottom w:val="single" w:sz="4" w:space="0" w:color="auto"/>
              <w:right w:val="single" w:sz="6" w:space="0" w:color="000000"/>
            </w:tcBorders>
          </w:tcPr>
          <w:p w14:paraId="57169A0C" w14:textId="77777777" w:rsidR="00FD6F4C" w:rsidRDefault="00FD6F4C">
            <w:pPr>
              <w:pStyle w:val="naisc"/>
              <w:spacing w:before="0" w:after="0"/>
              <w:ind w:firstLine="720"/>
            </w:pPr>
          </w:p>
          <w:p w14:paraId="5E695AC8" w14:textId="14F6F19F" w:rsidR="00F71AD2" w:rsidRPr="00F71AD2" w:rsidRDefault="00F71AD2" w:rsidP="00F71AD2">
            <w:r>
              <w:t>1.</w:t>
            </w:r>
          </w:p>
        </w:tc>
        <w:tc>
          <w:tcPr>
            <w:tcW w:w="3085" w:type="dxa"/>
            <w:gridSpan w:val="2"/>
            <w:tcBorders>
              <w:top w:val="nil"/>
              <w:left w:val="single" w:sz="6" w:space="0" w:color="000000"/>
              <w:bottom w:val="single" w:sz="4" w:space="0" w:color="auto"/>
              <w:right w:val="single" w:sz="6" w:space="0" w:color="000000"/>
            </w:tcBorders>
          </w:tcPr>
          <w:p w14:paraId="0ACCA013" w14:textId="4B5BA224" w:rsidR="00FD6F4C" w:rsidRDefault="00FD6F4C" w:rsidP="00FD6F4C">
            <w:pPr>
              <w:pStyle w:val="naisc"/>
              <w:spacing w:before="0" w:after="0"/>
              <w:jc w:val="left"/>
            </w:pPr>
            <w:r>
              <w:t>Anotācijas III sadaļa.</w:t>
            </w:r>
          </w:p>
        </w:tc>
        <w:tc>
          <w:tcPr>
            <w:tcW w:w="3997" w:type="dxa"/>
            <w:tcBorders>
              <w:top w:val="nil"/>
              <w:left w:val="single" w:sz="6" w:space="0" w:color="000000"/>
              <w:bottom w:val="single" w:sz="4" w:space="0" w:color="auto"/>
              <w:right w:val="single" w:sz="6" w:space="0" w:color="000000"/>
            </w:tcBorders>
          </w:tcPr>
          <w:p w14:paraId="3B1DA34D" w14:textId="77777777" w:rsidR="00FD6F4C" w:rsidRDefault="00FD6F4C" w:rsidP="00FD6F4C">
            <w:pPr>
              <w:pStyle w:val="naisc"/>
              <w:spacing w:before="0" w:after="0"/>
              <w:jc w:val="left"/>
              <w:rPr>
                <w:b/>
                <w:bCs/>
              </w:rPr>
            </w:pPr>
            <w:r>
              <w:rPr>
                <w:b/>
                <w:bCs/>
              </w:rPr>
              <w:t>Finanšu ministrija:</w:t>
            </w:r>
          </w:p>
          <w:p w14:paraId="67259E37" w14:textId="5B9E4F74" w:rsidR="00FD6F4C" w:rsidRPr="00FD6F4C" w:rsidRDefault="00B962EC" w:rsidP="00FD6F4C">
            <w:pPr>
              <w:pStyle w:val="naisc"/>
              <w:spacing w:before="0" w:after="0"/>
              <w:jc w:val="both"/>
              <w:rPr>
                <w:b/>
                <w:bCs/>
              </w:rPr>
            </w:pPr>
            <w:r>
              <w:t xml:space="preserve">1. </w:t>
            </w:r>
            <w:r w:rsidR="00FD6F4C" w:rsidRPr="00D80C9E">
              <w:t xml:space="preserve">Norādām, ka atbilstoši Ministru kabineta 2020. gada 25. augusta noteikumiem Nr. 538 “Kārtība, kādā valsts finansē darba samaksu pedagogiem privātajās izglītības iestādēs”” šobrīd no valsts budžeta finansē darba samaksu visiem pedagogiem, kuri privātajās izglītības iestādēs īsteno pirmsskolas izglītības programmas bērniem no piecu gadu vecuma līdz pamatizglītības ieguves uzsākšanai, akreditētas pamatizglītības un vispārējās vidējās izglītības programmas. Savukārt noteikumu projekts paredz sašaurināt valsts budžeta finansējuma saņēmēju loku attiecībā uz starptautiskajām skolām, kurām turpmāk tiks nodrošināts </w:t>
            </w:r>
            <w:r w:rsidR="00FD6F4C" w:rsidRPr="00D80C9E">
              <w:lastRenderedPageBreak/>
              <w:t>finansējums tikai tiem pedagogiem, kuri īsteno mācību priekšmetu “Latvijas mācība”. Uzskatām, ka tā rezultātā rodas ietaupījums valsts budžetam. Savukārt noteikumu projekta anotācijā attiecīgajām normām nav uzrādīta ietekme uz budžetu, t.i., iespējamais valsts budžeta finansējuma ietaupījums nav uzrādīts. Līdz ar to, lai nodrošinātu korektu noteikumu projekta ietekmes uz valsts budžeta izdevumiem atspoguļojumu, lūdzam noteikumu projekta anotācijas III sadaļu “Tiesību akta projekta ietekme uz valsts budžetu un pašvaldību budžetiem” papildināt ar detalizētiem aprēķiniem par iespējamiem ietaupījumiem, ņemot vērā līdzšinējo starptautisko skolu finansēšanas kārtību un paredzamās izmaiņas.</w:t>
            </w:r>
          </w:p>
        </w:tc>
        <w:tc>
          <w:tcPr>
            <w:tcW w:w="3402" w:type="dxa"/>
            <w:gridSpan w:val="2"/>
            <w:tcBorders>
              <w:top w:val="nil"/>
              <w:left w:val="single" w:sz="6" w:space="0" w:color="000000"/>
              <w:bottom w:val="single" w:sz="4" w:space="0" w:color="auto"/>
              <w:right w:val="single" w:sz="6" w:space="0" w:color="000000"/>
            </w:tcBorders>
          </w:tcPr>
          <w:p w14:paraId="0BBB8DA6" w14:textId="7BBA876A" w:rsidR="00CD2B67" w:rsidRPr="00101E89" w:rsidRDefault="00B962EC" w:rsidP="00CD2B67">
            <w:pPr>
              <w:pStyle w:val="naisc"/>
              <w:spacing w:before="0" w:after="0"/>
              <w:jc w:val="both"/>
              <w:rPr>
                <w:b/>
                <w:bCs/>
              </w:rPr>
            </w:pPr>
            <w:r w:rsidRPr="00101E89">
              <w:rPr>
                <w:b/>
                <w:bCs/>
              </w:rPr>
              <w:lastRenderedPageBreak/>
              <w:t>Ņemts vērā.</w:t>
            </w:r>
          </w:p>
          <w:p w14:paraId="29338F5B" w14:textId="2F7C00DB" w:rsidR="00FD6F4C" w:rsidRPr="00101E89" w:rsidRDefault="00101E89" w:rsidP="00CD2B67">
            <w:pPr>
              <w:pStyle w:val="naisc"/>
              <w:spacing w:before="0" w:after="0"/>
              <w:jc w:val="both"/>
              <w:rPr>
                <w:b/>
                <w:bCs/>
              </w:rPr>
            </w:pPr>
            <w:r w:rsidRPr="00101E89">
              <w:t>Precizēta anotācijas III sadaļa.</w:t>
            </w:r>
          </w:p>
        </w:tc>
        <w:tc>
          <w:tcPr>
            <w:tcW w:w="3118" w:type="dxa"/>
            <w:tcBorders>
              <w:top w:val="single" w:sz="4" w:space="0" w:color="auto"/>
              <w:left w:val="single" w:sz="4" w:space="0" w:color="auto"/>
              <w:bottom w:val="single" w:sz="4" w:space="0" w:color="auto"/>
              <w:right w:val="single" w:sz="4" w:space="0" w:color="auto"/>
            </w:tcBorders>
          </w:tcPr>
          <w:p w14:paraId="3A0F54B3" w14:textId="3E21BBC1" w:rsidR="00FD6F4C" w:rsidRPr="00101E89" w:rsidRDefault="00FD6F4C" w:rsidP="00FD6F4C">
            <w:pPr>
              <w:jc w:val="both"/>
            </w:pPr>
            <w:r w:rsidRPr="00101E89">
              <w:t>Anotācijas III sadaļa.</w:t>
            </w:r>
          </w:p>
        </w:tc>
      </w:tr>
      <w:tr w:rsidR="0052484B" w14:paraId="3136AB89" w14:textId="77777777" w:rsidTr="0052484B">
        <w:tc>
          <w:tcPr>
            <w:tcW w:w="707" w:type="dxa"/>
            <w:tcBorders>
              <w:top w:val="nil"/>
              <w:left w:val="single" w:sz="6" w:space="0" w:color="000000"/>
              <w:bottom w:val="single" w:sz="4" w:space="0" w:color="auto"/>
              <w:right w:val="single" w:sz="6" w:space="0" w:color="000000"/>
            </w:tcBorders>
          </w:tcPr>
          <w:p w14:paraId="79A24968" w14:textId="77777777" w:rsidR="0052484B" w:rsidRDefault="0052484B">
            <w:pPr>
              <w:pStyle w:val="naisc"/>
              <w:spacing w:before="0" w:after="0"/>
              <w:ind w:firstLine="720"/>
            </w:pPr>
          </w:p>
          <w:p w14:paraId="61FB810C" w14:textId="7640128A" w:rsidR="00F71AD2" w:rsidRPr="00F71AD2" w:rsidRDefault="00F71AD2" w:rsidP="00F71AD2">
            <w:r>
              <w:t>2.</w:t>
            </w:r>
          </w:p>
        </w:tc>
        <w:tc>
          <w:tcPr>
            <w:tcW w:w="3085" w:type="dxa"/>
            <w:gridSpan w:val="2"/>
            <w:tcBorders>
              <w:top w:val="nil"/>
              <w:left w:val="single" w:sz="6" w:space="0" w:color="000000"/>
              <w:bottom w:val="single" w:sz="4" w:space="0" w:color="auto"/>
              <w:right w:val="single" w:sz="6" w:space="0" w:color="000000"/>
            </w:tcBorders>
          </w:tcPr>
          <w:p w14:paraId="20F38F7D" w14:textId="77777777" w:rsidR="00FD6F4C" w:rsidRDefault="00FD6F4C" w:rsidP="00FD6F4C">
            <w:pPr>
              <w:jc w:val="both"/>
            </w:pPr>
            <w:r w:rsidRPr="00FD6F4C">
              <w:t>2. Izteikt 1. punktu šādā redakcijā:</w:t>
            </w:r>
          </w:p>
          <w:p w14:paraId="3AD4676E" w14:textId="77777777" w:rsidR="00FD6F4C" w:rsidRDefault="00FD6F4C" w:rsidP="00FD6F4C">
            <w:pPr>
              <w:jc w:val="both"/>
            </w:pPr>
            <w:r>
              <w:t xml:space="preserve">“1. Noteikumi nosaka: </w:t>
            </w:r>
          </w:p>
          <w:p w14:paraId="0190C992" w14:textId="77777777" w:rsidR="00FD6F4C" w:rsidRDefault="00FD6F4C" w:rsidP="00FD6F4C">
            <w:pPr>
              <w:jc w:val="both"/>
            </w:pPr>
            <w:r>
              <w:t>[...]</w:t>
            </w:r>
          </w:p>
          <w:p w14:paraId="2A919B04" w14:textId="18C44F50" w:rsidR="00FD6F4C" w:rsidRDefault="00FD6F4C" w:rsidP="00FD6F4C">
            <w:pPr>
              <w:jc w:val="both"/>
            </w:pPr>
            <w:r>
              <w:t>1.2. kārtību un kritērijus, pēc kādiem aprēķina un valsts finansē darba samaksu pedagogiem, kuri īsteno latviešu valodu, Latvijas vēsturi un kultūru, Latvijas dabu un ģeogrāfiju (turpmāk – mācību priekšmets “Latvijas mācība”).”</w:t>
            </w:r>
          </w:p>
          <w:p w14:paraId="2EF4AC0A" w14:textId="77777777" w:rsidR="00FD6F4C" w:rsidRDefault="00FD6F4C" w:rsidP="00FD6F4C">
            <w:pPr>
              <w:jc w:val="both"/>
            </w:pPr>
          </w:p>
          <w:p w14:paraId="7B78DAD3" w14:textId="6FDF09A0" w:rsidR="00FD6F4C" w:rsidRDefault="00FD6F4C" w:rsidP="00FD6F4C">
            <w:pPr>
              <w:jc w:val="both"/>
            </w:pPr>
            <w:r>
              <w:t>[...]</w:t>
            </w:r>
          </w:p>
          <w:p w14:paraId="5A813DFA" w14:textId="77777777" w:rsidR="00C50E3C" w:rsidRDefault="00C50E3C" w:rsidP="00FD6F4C">
            <w:pPr>
              <w:jc w:val="both"/>
            </w:pPr>
          </w:p>
          <w:p w14:paraId="666FDB61" w14:textId="77777777" w:rsidR="00FD6F4C" w:rsidRDefault="00FD6F4C" w:rsidP="00FD6F4C">
            <w:pPr>
              <w:jc w:val="both"/>
            </w:pPr>
            <w:r w:rsidRPr="00FD6F4C">
              <w:t>5. Papildināt noteikumus ar 2.</w:t>
            </w:r>
            <w:r w:rsidRPr="00FD6F4C">
              <w:rPr>
                <w:vertAlign w:val="superscript"/>
              </w:rPr>
              <w:t>1</w:t>
            </w:r>
            <w:r w:rsidRPr="00FD6F4C">
              <w:t xml:space="preserve"> punktu šādā redakcijā:</w:t>
            </w:r>
          </w:p>
          <w:p w14:paraId="6C401118" w14:textId="1B1BFF80" w:rsidR="00FD6F4C" w:rsidRDefault="00FD6F4C" w:rsidP="00FD6F4C">
            <w:pPr>
              <w:jc w:val="both"/>
            </w:pPr>
            <w:r>
              <w:t>“2.</w:t>
            </w:r>
            <w:r w:rsidRPr="00FD6F4C">
              <w:rPr>
                <w:vertAlign w:val="superscript"/>
              </w:rPr>
              <w:t>1</w:t>
            </w:r>
            <w:r>
              <w:t xml:space="preserve">  Izglītības un zinātnes ministrija aprēķina dotācijas apmēru mācību priekšmeta “Latvijas mācība” īstenošanā iesaistīto pedagogu darba samaksai un valsts sociālās apdrošināšanas obligātajām iemaksām, ņemot vērā šādus kritērijus:</w:t>
            </w:r>
          </w:p>
          <w:p w14:paraId="1C258906" w14:textId="7B9A7D78" w:rsidR="00C50E3C" w:rsidRDefault="00C50E3C" w:rsidP="00FD6F4C">
            <w:pPr>
              <w:jc w:val="both"/>
            </w:pPr>
            <w:r w:rsidRPr="00C50E3C">
              <w:t>2.</w:t>
            </w:r>
            <w:r w:rsidRPr="00C50E3C">
              <w:rPr>
                <w:vertAlign w:val="superscript"/>
              </w:rPr>
              <w:t>1</w:t>
            </w:r>
            <w:r w:rsidRPr="00C50E3C">
              <w:t>1. šo noteikumu 4.</w:t>
            </w:r>
            <w:r w:rsidRPr="00C50E3C">
              <w:rPr>
                <w:vertAlign w:val="superscript"/>
              </w:rPr>
              <w:t>1</w:t>
            </w:r>
            <w:r w:rsidRPr="00C50E3C">
              <w:t xml:space="preserve"> punktā minēto informāciju par izglītojamo skaitu, izglītojamo skaita attiecībai pret mācību priekšmeta “Latvijas mācība” īstenošanai paredzēto mācību stundu skaitu nedēļā – trīs mācību stundas – piemērojot proporciju 10:1;</w:t>
            </w:r>
          </w:p>
          <w:p w14:paraId="70DCC565" w14:textId="77777777" w:rsidR="00FD6F4C" w:rsidRDefault="00FD6F4C" w:rsidP="00FD6F4C">
            <w:pPr>
              <w:jc w:val="both"/>
            </w:pPr>
            <w:r>
              <w:t>[…]”</w:t>
            </w:r>
          </w:p>
          <w:p w14:paraId="608DA14F" w14:textId="77777777" w:rsidR="00FD6F4C" w:rsidRDefault="00FD6F4C" w:rsidP="00FD6F4C">
            <w:pPr>
              <w:jc w:val="both"/>
            </w:pPr>
          </w:p>
          <w:p w14:paraId="34724A03" w14:textId="409C1400" w:rsidR="00FD6F4C" w:rsidRDefault="00FD6F4C" w:rsidP="00FD6F4C">
            <w:pPr>
              <w:jc w:val="both"/>
            </w:pPr>
            <w:r>
              <w:t>[…]</w:t>
            </w:r>
          </w:p>
          <w:p w14:paraId="3EB82BDA" w14:textId="3A771A98" w:rsidR="00B962EC" w:rsidRDefault="00B962EC" w:rsidP="00FD6F4C">
            <w:pPr>
              <w:jc w:val="both"/>
            </w:pPr>
          </w:p>
          <w:p w14:paraId="42E4CAE9" w14:textId="77777777" w:rsidR="00B962EC" w:rsidRDefault="00B962EC" w:rsidP="00B962EC">
            <w:pPr>
              <w:jc w:val="both"/>
            </w:pPr>
            <w:r>
              <w:t>7. Papildināt noteikumus ar 4.</w:t>
            </w:r>
            <w:r w:rsidRPr="00B962EC">
              <w:rPr>
                <w:vertAlign w:val="superscript"/>
              </w:rPr>
              <w:t>1</w:t>
            </w:r>
            <w:r>
              <w:t xml:space="preserve"> punktu šādā redakcijā:</w:t>
            </w:r>
          </w:p>
          <w:p w14:paraId="5E491B3E" w14:textId="77777777" w:rsidR="00B962EC" w:rsidRDefault="00B962EC" w:rsidP="00B962EC">
            <w:pPr>
              <w:jc w:val="both"/>
            </w:pPr>
          </w:p>
          <w:p w14:paraId="06440F3E" w14:textId="35A7081E" w:rsidR="00B962EC" w:rsidRDefault="00B962EC" w:rsidP="00B962EC">
            <w:pPr>
              <w:jc w:val="both"/>
            </w:pPr>
            <w:r>
              <w:t>“4.</w:t>
            </w:r>
            <w:r w:rsidRPr="00B962EC">
              <w:rPr>
                <w:vertAlign w:val="superscript"/>
              </w:rPr>
              <w:t>1</w:t>
            </w:r>
            <w:r>
              <w:t xml:space="preserve"> Dotāciju pedagogu darba samaksai un valsts sociālās </w:t>
            </w:r>
            <w:r>
              <w:lastRenderedPageBreak/>
              <w:t>apdrošināšanas obligātajām iemaksām starptautiskā skola attiecībā uz mācību priekšmeta “Latvijas mācība” īstenošanu saņem, ja tā Valsts izglītības informācijas sistēmā kārtējā gada 1. septembrī ir ievadījusi un apstiprinājusi informāciju par pirmsskolas izglītības vecuma izglītojamo skaitu un pārējo izglītojamo skaitu starptautiskajās izglītības programmās.”</w:t>
            </w:r>
          </w:p>
          <w:p w14:paraId="1F8E27AA" w14:textId="77777777" w:rsidR="00FD6F4C" w:rsidRDefault="00FD6F4C" w:rsidP="00FD6F4C">
            <w:pPr>
              <w:jc w:val="both"/>
            </w:pPr>
          </w:p>
          <w:p w14:paraId="2B945EAE" w14:textId="77777777" w:rsidR="00FD6F4C" w:rsidRDefault="00FD6F4C" w:rsidP="00FD6F4C">
            <w:pPr>
              <w:jc w:val="both"/>
            </w:pPr>
            <w:r>
              <w:t>8. Izteikt 6. un 7. punktu šādā redakcijā:</w:t>
            </w:r>
          </w:p>
          <w:p w14:paraId="7600FC58" w14:textId="77777777" w:rsidR="00FD6F4C" w:rsidRDefault="00FD6F4C" w:rsidP="00FD6F4C">
            <w:pPr>
              <w:jc w:val="both"/>
            </w:pPr>
          </w:p>
          <w:p w14:paraId="1EDDB295" w14:textId="5A1AE6EF" w:rsidR="00FD6F4C" w:rsidRDefault="00FD6F4C" w:rsidP="00FD6F4C">
            <w:pPr>
              <w:jc w:val="both"/>
            </w:pPr>
            <w:r>
              <w:t xml:space="preserve">“6. Izglītības un zinātnes ministrija vai attiecīgā nozares ministrija aprēķina un sadala papildu finansējumu attiecīgajam gadam apstiprinātā finansējuma ietvaros (izņemot finansējumu bērnu no piecu gadu vecuma izglītošanā nodarbināto pirmsskolas izglītības pedagogu darba samaksai, kuri īsteno šo noteikumu 1.1. apakšpunktā minēto pirmsskolas izglītības programmu bērniem no piecu </w:t>
            </w:r>
            <w:r>
              <w:lastRenderedPageBreak/>
              <w:t xml:space="preserve">gadu vecuma līdz pamatizglītības ieguves uzsākšanai, un finansējumu pirmsskolas izglītības vecuma bērnu izglītošanā mācību priekšmetā “Latvijas mācība” nodarbināto pirmsskolas izglītības pedagogu darba samaksai) ne mazāk kā 14,5 procentu apmērā no mācību stundu plāna īstenošanai aprēķinātās dotācijas samaksai par pedagogu papildu pienākumiem, pedagogu profesionālās darbības kvalitātes piemaksām pedagogiem, kuri ir ieguvuši 1., 2. un 3. kvalitātes pakāpi no 2017. gada 10. augusta, kā arī pedagoga mēneša darba algas likmes palielināšanai. Šajā punktā minētais par pedagogu profesionālās darbības kvalitātes piemaksām pedagogiem, kuri ir ieguvuši 1., 2. un 3. kvalitātes pakāpi no 2017. gada 10. augusta, attiecas uz šo noteikumu 1.1. apakšpunktā minēto akreditēto pamatizglītības un vispārējās vidējās izglītības </w:t>
            </w:r>
            <w:r>
              <w:lastRenderedPageBreak/>
              <w:t>programmu īstenošanā iesaistītajiem pedagogiem.”</w:t>
            </w:r>
          </w:p>
          <w:p w14:paraId="3A18C649" w14:textId="77777777" w:rsidR="00FD6F4C" w:rsidRDefault="00FD6F4C" w:rsidP="00FD6F4C">
            <w:pPr>
              <w:jc w:val="both"/>
            </w:pPr>
          </w:p>
          <w:p w14:paraId="08928886" w14:textId="73CBB7AA" w:rsidR="0052484B" w:rsidRDefault="00FD6F4C" w:rsidP="00C50E3C">
            <w:pPr>
              <w:jc w:val="both"/>
            </w:pPr>
            <w:r>
              <w:t xml:space="preserve">7. Izglītības un zinātnes ministrija vai attiecīgā nozares ministrija aprēķina un sadala papildu finansējumu attiecīgajam gadam apstiprinātā finansējuma ietvaros bērnu no piecu gadu vecuma izglītošanā nodarbināto pirmsskolas izglītības pedagogu, kuri īsteno šo noteikumu 1.1. apakšpunktā minēto pirmsskolas izglītības programmu bērniem no piecu gadu vecuma līdz pamatizglītības ieguves uzsākšanai, un pirmsskolas izglītības vecuma bērnu izglītošanā nodarbināto pirmsskolas izglītības pedagogu, kuri īsteno mācību priekšmetu “Latvijas mācība”, līdz trim procentiem no mācību stundu plāna īstenošanai aprēķinātās dotācijas samaksai par pedagogu papildu pienākumiem, pedagogu profesionālās darbības kvalitātes piemaksām </w:t>
            </w:r>
            <w:r>
              <w:lastRenderedPageBreak/>
              <w:t>pedagogiem, kuri ir ieguvuši 1., 2. un 3. kvalitātes pakāpi no 2017. gada 10. augusta, kā arī pedagoga mēneša darba algas likmes palielināšanai. Šajā punktā minētais par pedagogu profesionālās darbības kvalitātes piemaksām pedagogiem, kuri ir ieguvuši 1., 2. un 3. kvalitātes pakāpi no 2017. gada 10. augusta, attiecas uz šo noteikumu 1.1. apakšpunktā minētās pirmsskolas izglītības programmas bērniem no piecu gadu vecuma līdz pamatizglītības ieguves uzsākšanai īstenošanā iesaistītajiem pedagogiem.”</w:t>
            </w:r>
          </w:p>
        </w:tc>
        <w:tc>
          <w:tcPr>
            <w:tcW w:w="3997" w:type="dxa"/>
            <w:tcBorders>
              <w:top w:val="nil"/>
              <w:left w:val="single" w:sz="6" w:space="0" w:color="000000"/>
              <w:bottom w:val="single" w:sz="4" w:space="0" w:color="auto"/>
              <w:right w:val="single" w:sz="6" w:space="0" w:color="000000"/>
            </w:tcBorders>
          </w:tcPr>
          <w:p w14:paraId="5E5DABF3" w14:textId="77777777" w:rsidR="0052484B" w:rsidRPr="00FD6F4C" w:rsidRDefault="00FD6F4C" w:rsidP="00FD6F4C">
            <w:pPr>
              <w:pStyle w:val="naisc"/>
              <w:spacing w:before="0" w:after="0"/>
              <w:jc w:val="left"/>
              <w:rPr>
                <w:b/>
                <w:bCs/>
              </w:rPr>
            </w:pPr>
            <w:r w:rsidRPr="00FD6F4C">
              <w:rPr>
                <w:b/>
                <w:bCs/>
              </w:rPr>
              <w:lastRenderedPageBreak/>
              <w:t>Finanšu ministrija:</w:t>
            </w:r>
          </w:p>
          <w:p w14:paraId="788C2404" w14:textId="33DCE427" w:rsidR="00FD6F4C" w:rsidRDefault="00B962EC" w:rsidP="00FD6F4C">
            <w:pPr>
              <w:pStyle w:val="naisc"/>
              <w:spacing w:before="0" w:after="0"/>
              <w:jc w:val="both"/>
            </w:pPr>
            <w:r>
              <w:t xml:space="preserve">2. </w:t>
            </w:r>
            <w:r w:rsidRPr="00B962EC">
              <w:t>Ņemot vērā Starptautisko skolu likumā paredzēto, ka mācību priekšmeta "Latvijas mācība" apguvi nodrošina starptautiskā skola, īstenojot starptautisku izglītības programmu, lai neradītu nepareizu minētās normas interpretāciju, lūdzam noteikumu projekta 2., 5., 7., 8.  punktos paredzētos grozījumus attiecībā uz mācību priekšmeta "Latvijas mācība" īstenošanas izmaksām pedagogu darba samaksai (1.2., 2.</w:t>
            </w:r>
            <w:r w:rsidRPr="00B962EC">
              <w:rPr>
                <w:vertAlign w:val="superscript"/>
              </w:rPr>
              <w:t>1</w:t>
            </w:r>
            <w:r w:rsidRPr="00B962EC">
              <w:t xml:space="preserve"> , 4.</w:t>
            </w:r>
            <w:r w:rsidRPr="00B962EC">
              <w:rPr>
                <w:vertAlign w:val="superscript"/>
              </w:rPr>
              <w:t>1</w:t>
            </w:r>
            <w:r w:rsidRPr="00B962EC">
              <w:t xml:space="preserve"> , 6. un 7.punkti) </w:t>
            </w:r>
            <w:r w:rsidRPr="00B962EC">
              <w:lastRenderedPageBreak/>
              <w:t>papildināt/konkretizēt ar tekstu, ka minētā norma ir attiecināma tikai uz starptautisko skolu, kuras īsteno starptautisko izglītības programmu, pedagogiem.</w:t>
            </w:r>
          </w:p>
        </w:tc>
        <w:tc>
          <w:tcPr>
            <w:tcW w:w="3402" w:type="dxa"/>
            <w:gridSpan w:val="2"/>
            <w:tcBorders>
              <w:top w:val="nil"/>
              <w:left w:val="single" w:sz="6" w:space="0" w:color="000000"/>
              <w:bottom w:val="single" w:sz="4" w:space="0" w:color="auto"/>
              <w:right w:val="single" w:sz="6" w:space="0" w:color="000000"/>
            </w:tcBorders>
          </w:tcPr>
          <w:p w14:paraId="3889F95E" w14:textId="77777777" w:rsidR="0052484B" w:rsidRDefault="00FD6F4C" w:rsidP="00FD6F4C">
            <w:pPr>
              <w:pStyle w:val="naisc"/>
              <w:spacing w:before="0" w:after="0"/>
              <w:jc w:val="left"/>
              <w:rPr>
                <w:b/>
                <w:bCs/>
              </w:rPr>
            </w:pPr>
            <w:r w:rsidRPr="00FD6F4C">
              <w:rPr>
                <w:b/>
                <w:bCs/>
              </w:rPr>
              <w:lastRenderedPageBreak/>
              <w:t>Ņemts vērā.</w:t>
            </w:r>
          </w:p>
          <w:p w14:paraId="334E9528" w14:textId="78C9BC46" w:rsidR="00064D72" w:rsidRPr="00064D72" w:rsidRDefault="00064D72" w:rsidP="00064D72">
            <w:pPr>
              <w:pStyle w:val="naisc"/>
              <w:spacing w:before="0" w:after="0"/>
              <w:jc w:val="both"/>
            </w:pPr>
            <w:r w:rsidRPr="00064D72">
              <w:t>Precizēts noteikumu projekta 2. punkts attiecībā uz plānoto noteikumu Nr. 538 1.2. apakšpunktu, papildinot to aiz vārda “kuri” ar vārdiem “starptautiskajā skolā”. No tā izriet, ka citas noteikumu projekta normas, kurās pieminēta mācību priekšmeta “Latvijas mācība” īstenošana, attiecīgajos jautājumos attiecināmas uz tieši starptautiskajām skolām.</w:t>
            </w:r>
          </w:p>
        </w:tc>
        <w:tc>
          <w:tcPr>
            <w:tcW w:w="3118" w:type="dxa"/>
            <w:tcBorders>
              <w:top w:val="single" w:sz="4" w:space="0" w:color="auto"/>
              <w:left w:val="single" w:sz="4" w:space="0" w:color="auto"/>
              <w:bottom w:val="single" w:sz="4" w:space="0" w:color="auto"/>
              <w:right w:val="single" w:sz="4" w:space="0" w:color="auto"/>
            </w:tcBorders>
          </w:tcPr>
          <w:p w14:paraId="4B7593DD" w14:textId="77777777" w:rsidR="00FD6F4C" w:rsidRDefault="00FD6F4C" w:rsidP="00FD6F4C">
            <w:pPr>
              <w:jc w:val="both"/>
            </w:pPr>
            <w:r w:rsidRPr="00FD6F4C">
              <w:t>2. Izteikt 1. punktu šādā redakcijā:</w:t>
            </w:r>
          </w:p>
          <w:p w14:paraId="6ECF4CA7" w14:textId="3AD7D04E" w:rsidR="00FD6F4C" w:rsidRDefault="00FD6F4C" w:rsidP="00FD6F4C">
            <w:pPr>
              <w:jc w:val="both"/>
            </w:pPr>
            <w:r>
              <w:t xml:space="preserve">“1. Noteikumi nosaka: </w:t>
            </w:r>
          </w:p>
          <w:p w14:paraId="21BC9130" w14:textId="3E17C600" w:rsidR="00FD6F4C" w:rsidRDefault="00FD6F4C" w:rsidP="00FD6F4C">
            <w:pPr>
              <w:jc w:val="both"/>
            </w:pPr>
            <w:r>
              <w:t>[...]</w:t>
            </w:r>
          </w:p>
          <w:p w14:paraId="0C4A117F" w14:textId="29070912" w:rsidR="0052484B" w:rsidRDefault="00054276" w:rsidP="00FD6F4C">
            <w:pPr>
              <w:jc w:val="both"/>
            </w:pPr>
            <w:r w:rsidRPr="00054276">
              <w:t xml:space="preserve">1.2. kārtību un kritērijus, pēc kādiem aprēķina un valsts finansē darba samaksu pedagogiem, kuri starptautiskajā skolā īsteno latviešu valodas, Latvijas vēstures un kultūras, Latvijas dabas un ģeogrāfijas (turpmāk </w:t>
            </w:r>
            <w:r w:rsidRPr="00054276">
              <w:lastRenderedPageBreak/>
              <w:t>– mācību priekšmets “Latvijas mācība”) apguvi.</w:t>
            </w:r>
            <w:r w:rsidR="00FD6F4C">
              <w:t>”</w:t>
            </w:r>
          </w:p>
          <w:p w14:paraId="30C54DD4" w14:textId="77777777" w:rsidR="00FD6F4C" w:rsidRDefault="00FD6F4C" w:rsidP="00FD6F4C">
            <w:pPr>
              <w:jc w:val="both"/>
            </w:pPr>
          </w:p>
          <w:p w14:paraId="17454AA5" w14:textId="39D7977F" w:rsidR="00C50E3C" w:rsidRDefault="00C50E3C" w:rsidP="00C50E3C">
            <w:pPr>
              <w:jc w:val="both"/>
            </w:pPr>
            <w:r>
              <w:t>[...]</w:t>
            </w:r>
          </w:p>
          <w:p w14:paraId="1EDBC346" w14:textId="77777777" w:rsidR="00C50E3C" w:rsidRDefault="00C50E3C" w:rsidP="00C50E3C">
            <w:pPr>
              <w:jc w:val="both"/>
            </w:pPr>
          </w:p>
          <w:p w14:paraId="584D4CDE" w14:textId="77777777" w:rsidR="00C50E3C" w:rsidRDefault="00C50E3C" w:rsidP="00C50E3C">
            <w:pPr>
              <w:jc w:val="both"/>
            </w:pPr>
            <w:r w:rsidRPr="00FD6F4C">
              <w:t>5. Papildināt noteikumus ar 2.</w:t>
            </w:r>
            <w:r w:rsidRPr="00FD6F4C">
              <w:rPr>
                <w:vertAlign w:val="superscript"/>
              </w:rPr>
              <w:t>1</w:t>
            </w:r>
            <w:r w:rsidRPr="00FD6F4C">
              <w:t xml:space="preserve"> punktu šādā redakcijā:</w:t>
            </w:r>
          </w:p>
          <w:p w14:paraId="288AD1F1" w14:textId="77777777" w:rsidR="00C50E3C" w:rsidRDefault="00C50E3C" w:rsidP="00C50E3C">
            <w:pPr>
              <w:jc w:val="both"/>
            </w:pPr>
            <w:r>
              <w:t>“2.</w:t>
            </w:r>
            <w:r w:rsidRPr="00FD6F4C">
              <w:rPr>
                <w:vertAlign w:val="superscript"/>
              </w:rPr>
              <w:t>1</w:t>
            </w:r>
            <w:r>
              <w:t xml:space="preserve">  Izglītības un zinātnes ministrija aprēķina dotācijas apmēru mācību priekšmeta “Latvijas mācība” īstenošanā iesaistīto pedagogu darba samaksai un valsts sociālās apdrošināšanas obligātajām iemaksām, ņemot vērā šādus kritērijus:</w:t>
            </w:r>
          </w:p>
          <w:p w14:paraId="70A4D69A" w14:textId="77777777" w:rsidR="00C50E3C" w:rsidRDefault="00C50E3C" w:rsidP="00C50E3C">
            <w:pPr>
              <w:jc w:val="both"/>
            </w:pPr>
            <w:r w:rsidRPr="00C50E3C">
              <w:t>2.</w:t>
            </w:r>
            <w:r w:rsidRPr="00C50E3C">
              <w:rPr>
                <w:vertAlign w:val="superscript"/>
              </w:rPr>
              <w:t>1</w:t>
            </w:r>
            <w:r w:rsidRPr="00C50E3C">
              <w:t>1. šo noteikumu 4.</w:t>
            </w:r>
            <w:r w:rsidRPr="00C50E3C">
              <w:rPr>
                <w:vertAlign w:val="superscript"/>
              </w:rPr>
              <w:t>1</w:t>
            </w:r>
            <w:r w:rsidRPr="00C50E3C">
              <w:t xml:space="preserve"> punktā minēto informāciju par izglītojamo skaitu, izglītojamo skaita attiecībai pret mācību priekšmeta “Latvijas mācība” īstenošanai paredzēto mācību stundu skaitu nedēļā – trīs mācību stundas – piemērojot proporciju 10:1;</w:t>
            </w:r>
          </w:p>
          <w:p w14:paraId="7EC9B9CB" w14:textId="77777777" w:rsidR="00C50E3C" w:rsidRDefault="00C50E3C" w:rsidP="00C50E3C">
            <w:pPr>
              <w:jc w:val="both"/>
            </w:pPr>
            <w:r>
              <w:t>[…]”</w:t>
            </w:r>
          </w:p>
          <w:p w14:paraId="1BE997A9" w14:textId="77777777" w:rsidR="00C50E3C" w:rsidRDefault="00C50E3C" w:rsidP="00C50E3C">
            <w:pPr>
              <w:jc w:val="both"/>
            </w:pPr>
          </w:p>
          <w:p w14:paraId="6B6BEC0F" w14:textId="77777777" w:rsidR="00C50E3C" w:rsidRDefault="00C50E3C" w:rsidP="00C50E3C">
            <w:pPr>
              <w:jc w:val="both"/>
            </w:pPr>
            <w:r>
              <w:t>[…]</w:t>
            </w:r>
          </w:p>
          <w:p w14:paraId="264BE819" w14:textId="77777777" w:rsidR="00C50E3C" w:rsidRDefault="00C50E3C" w:rsidP="00C50E3C">
            <w:pPr>
              <w:jc w:val="both"/>
            </w:pPr>
          </w:p>
          <w:p w14:paraId="4913C93E" w14:textId="77777777" w:rsidR="00C50E3C" w:rsidRDefault="00C50E3C" w:rsidP="00C50E3C">
            <w:pPr>
              <w:jc w:val="both"/>
            </w:pPr>
            <w:r>
              <w:t>7. Papildināt noteikumus ar 4.</w:t>
            </w:r>
            <w:r w:rsidRPr="00B962EC">
              <w:rPr>
                <w:vertAlign w:val="superscript"/>
              </w:rPr>
              <w:t>1</w:t>
            </w:r>
            <w:r>
              <w:t xml:space="preserve"> punktu šādā redakcijā:</w:t>
            </w:r>
          </w:p>
          <w:p w14:paraId="171C3847" w14:textId="77777777" w:rsidR="00C50E3C" w:rsidRDefault="00C50E3C" w:rsidP="00C50E3C">
            <w:pPr>
              <w:jc w:val="both"/>
            </w:pPr>
          </w:p>
          <w:p w14:paraId="30A7ACB9" w14:textId="77777777" w:rsidR="00C50E3C" w:rsidRDefault="00C50E3C" w:rsidP="00C50E3C">
            <w:pPr>
              <w:jc w:val="both"/>
            </w:pPr>
            <w:r>
              <w:lastRenderedPageBreak/>
              <w:t>“4.</w:t>
            </w:r>
            <w:r w:rsidRPr="00B962EC">
              <w:rPr>
                <w:vertAlign w:val="superscript"/>
              </w:rPr>
              <w:t>1</w:t>
            </w:r>
            <w:r>
              <w:t xml:space="preserve"> Dotāciju pedagogu darba samaksai un valsts sociālās apdrošināšanas obligātajām iemaksām starptautiskā skola attiecībā uz mācību priekšmeta “Latvijas mācība” īstenošanu saņem, ja tā Valsts izglītības informācijas sistēmā kārtējā gada 1. septembrī ir ievadījusi un apstiprinājusi informāciju par pirmsskolas izglītības vecuma izglītojamo skaitu un pārējo izglītojamo skaitu starptautiskajās izglītības programmās.”</w:t>
            </w:r>
          </w:p>
          <w:p w14:paraId="2B9A0023" w14:textId="77777777" w:rsidR="00C50E3C" w:rsidRDefault="00C50E3C" w:rsidP="00C50E3C">
            <w:pPr>
              <w:jc w:val="both"/>
            </w:pPr>
          </w:p>
          <w:p w14:paraId="4E040AC4" w14:textId="77777777" w:rsidR="00C50E3C" w:rsidRDefault="00C50E3C" w:rsidP="00C50E3C">
            <w:pPr>
              <w:jc w:val="both"/>
            </w:pPr>
            <w:r>
              <w:t>8. Izteikt 6. un 7. punktu šādā redakcijā:</w:t>
            </w:r>
          </w:p>
          <w:p w14:paraId="0C1DE90F" w14:textId="77777777" w:rsidR="00C50E3C" w:rsidRDefault="00C50E3C" w:rsidP="00C50E3C">
            <w:pPr>
              <w:jc w:val="both"/>
            </w:pPr>
          </w:p>
          <w:p w14:paraId="72828E7B" w14:textId="77777777" w:rsidR="00C50E3C" w:rsidRDefault="00C50E3C" w:rsidP="00C50E3C">
            <w:pPr>
              <w:jc w:val="both"/>
            </w:pPr>
            <w:r>
              <w:t xml:space="preserve">“6. Izglītības un zinātnes ministrija vai attiecīgā nozares ministrija aprēķina un sadala papildu finansējumu attiecīgajam gadam apstiprinātā finansējuma ietvaros (izņemot finansējumu bērnu no piecu gadu vecuma izglītošanā nodarbināto pirmsskolas izglītības pedagogu darba samaksai, kuri īsteno šo noteikumu 1.1. apakšpunktā minēto pirmsskolas izglītības </w:t>
            </w:r>
            <w:r>
              <w:lastRenderedPageBreak/>
              <w:t xml:space="preserve">programmu bērniem no piecu gadu vecuma līdz pamatizglītības ieguves uzsākšanai, un finansējumu pirmsskolas izglītības vecuma bērnu izglītošanā mācību priekšmetā “Latvijas mācība” nodarbināto pirmsskolas izglītības pedagogu darba samaksai) ne mazāk kā 14,5 procentu apmērā no mācību stundu plāna īstenošanai aprēķinātās dotācijas samaksai par pedagogu papildu pienākumiem, pedagogu profesionālās darbības kvalitātes piemaksām pedagogiem, kuri ir ieguvuši 1., 2. un 3. kvalitātes pakāpi no 2017. gada 10. augusta, kā arī pedagoga mēneša darba algas likmes palielināšanai. Šajā punktā minētais par pedagogu profesionālās darbības kvalitātes piemaksām pedagogiem, kuri ir ieguvuši 1., 2. un 3. kvalitātes pakāpi no 2017. gada 10. augusta, attiecas uz šo noteikumu 1.1. apakšpunktā minēto akreditēto pamatizglītības un vispārējās vidējās izglītības </w:t>
            </w:r>
            <w:r>
              <w:lastRenderedPageBreak/>
              <w:t>programmu īstenošanā iesaistītajiem pedagogiem.”</w:t>
            </w:r>
          </w:p>
          <w:p w14:paraId="15A10111" w14:textId="77777777" w:rsidR="00C50E3C" w:rsidRDefault="00C50E3C" w:rsidP="00C50E3C">
            <w:pPr>
              <w:jc w:val="both"/>
            </w:pPr>
          </w:p>
          <w:p w14:paraId="68BCE1FE" w14:textId="6BC1A177" w:rsidR="00FD6F4C" w:rsidRDefault="00C50E3C" w:rsidP="00C50E3C">
            <w:pPr>
              <w:jc w:val="both"/>
            </w:pPr>
            <w:r>
              <w:t xml:space="preserve">7. Izglītības un zinātnes ministrija vai attiecīgā nozares ministrija aprēķina un sadala papildu finansējumu attiecīgajam gadam apstiprinātā finansējuma ietvaros bērnu no piecu gadu vecuma izglītošanā nodarbināto pirmsskolas izglītības pedagogu, kuri īsteno šo noteikumu 1.1. apakšpunktā minēto pirmsskolas izglītības programmu bērniem no piecu gadu vecuma līdz pamatizglītības ieguves uzsākšanai, un pirmsskolas izglītības vecuma bērnu izglītošanā nodarbināto pirmsskolas izglītības pedagogu, kuri īsteno mācību priekšmetu “Latvijas mācība”, līdz trim procentiem no mācību stundu plāna īstenošanai aprēķinātās dotācijas samaksai par pedagogu papildu pienākumiem, pedagogu profesionālās darbības kvalitātes piemaksām </w:t>
            </w:r>
            <w:r>
              <w:lastRenderedPageBreak/>
              <w:t>pedagogiem, kuri ir ieguvuši 1., 2. un 3. kvalitātes pakāpi no 2017. gada 10. augusta, kā arī pedagoga mēneša darba algas likmes palielināšanai. Šajā punktā minētais par pedagogu profesionālās darbības kvalitātes piemaksām pedagogiem, kuri ir ieguvuši 1., 2. un 3. kvalitātes pakāpi no 2017. gada 10. augusta, attiecas uz šo noteikumu 1.1. apakšpunktā minētās pirmsskolas izglītības programmas bērniem no piecu gadu vecuma līdz pamatizglītības ieguves uzsākšanai īstenošanā iesaistītajiem pedagogiem.”</w:t>
            </w:r>
          </w:p>
        </w:tc>
      </w:tr>
      <w:tr w:rsidR="0052484B" w14:paraId="1C109D3C" w14:textId="77777777" w:rsidTr="0052484B">
        <w:tc>
          <w:tcPr>
            <w:tcW w:w="707" w:type="dxa"/>
            <w:tcBorders>
              <w:top w:val="nil"/>
              <w:left w:val="single" w:sz="6" w:space="0" w:color="000000"/>
              <w:bottom w:val="single" w:sz="4" w:space="0" w:color="auto"/>
              <w:right w:val="single" w:sz="6" w:space="0" w:color="000000"/>
            </w:tcBorders>
          </w:tcPr>
          <w:p w14:paraId="099CAEC0" w14:textId="77777777" w:rsidR="0052484B" w:rsidRDefault="0052484B">
            <w:pPr>
              <w:pStyle w:val="naisc"/>
              <w:spacing w:before="0" w:after="0"/>
              <w:ind w:firstLine="720"/>
            </w:pPr>
          </w:p>
          <w:p w14:paraId="195F6D94" w14:textId="2A24466D" w:rsidR="00F71AD2" w:rsidRPr="00F71AD2" w:rsidRDefault="00F71AD2" w:rsidP="00F71AD2">
            <w:r>
              <w:t>3.</w:t>
            </w:r>
          </w:p>
        </w:tc>
        <w:tc>
          <w:tcPr>
            <w:tcW w:w="3085" w:type="dxa"/>
            <w:gridSpan w:val="2"/>
            <w:tcBorders>
              <w:top w:val="nil"/>
              <w:left w:val="single" w:sz="6" w:space="0" w:color="000000"/>
              <w:bottom w:val="single" w:sz="4" w:space="0" w:color="auto"/>
              <w:right w:val="single" w:sz="6" w:space="0" w:color="000000"/>
            </w:tcBorders>
          </w:tcPr>
          <w:p w14:paraId="2C39B34E" w14:textId="77777777" w:rsidR="00A240FE" w:rsidRPr="00A240FE" w:rsidRDefault="00A240FE" w:rsidP="00A240FE">
            <w:pPr>
              <w:shd w:val="clear" w:color="auto" w:fill="FFFFFF"/>
              <w:jc w:val="both"/>
              <w:rPr>
                <w:bCs/>
              </w:rPr>
            </w:pPr>
            <w:r w:rsidRPr="00A240FE">
              <w:rPr>
                <w:bCs/>
              </w:rPr>
              <w:t>2. Izteikt 1. punktu šādā redakcijā:</w:t>
            </w:r>
          </w:p>
          <w:p w14:paraId="3CA08A82" w14:textId="77777777" w:rsidR="00A240FE" w:rsidRPr="00A240FE" w:rsidRDefault="00A240FE" w:rsidP="00A240FE">
            <w:pPr>
              <w:shd w:val="clear" w:color="auto" w:fill="FFFFFF"/>
              <w:jc w:val="both"/>
              <w:rPr>
                <w:bCs/>
              </w:rPr>
            </w:pPr>
          </w:p>
          <w:p w14:paraId="75EE6887" w14:textId="74878625" w:rsidR="00A240FE" w:rsidRPr="00A240FE" w:rsidRDefault="00A240FE" w:rsidP="00A240FE">
            <w:pPr>
              <w:shd w:val="clear" w:color="auto" w:fill="FFFFFF"/>
              <w:jc w:val="both"/>
              <w:rPr>
                <w:bCs/>
              </w:rPr>
            </w:pPr>
            <w:r w:rsidRPr="00A240FE">
              <w:rPr>
                <w:bCs/>
              </w:rPr>
              <w:t xml:space="preserve">“1. Noteikumi nosaka: </w:t>
            </w:r>
          </w:p>
          <w:p w14:paraId="562CF1F0" w14:textId="77777777" w:rsidR="00A240FE" w:rsidRPr="00A240FE" w:rsidRDefault="00A240FE" w:rsidP="00A240FE">
            <w:pPr>
              <w:shd w:val="clear" w:color="auto" w:fill="FFFFFF"/>
              <w:jc w:val="both"/>
              <w:rPr>
                <w:bCs/>
              </w:rPr>
            </w:pPr>
            <w:r w:rsidRPr="00A240FE">
              <w:rPr>
                <w:bCs/>
              </w:rPr>
              <w:t xml:space="preserve">1.1. kārtību, kādā valsts finansē darba samaksu pedagogiem, kuri privātajās izglītības iestādēs (turpmāk – izglītības iestāde) īsteno pirmsskolas izglītības programmas bērniem no piecu gadu vecuma līdz pamatizglītības ieguves </w:t>
            </w:r>
            <w:r w:rsidRPr="00A240FE">
              <w:rPr>
                <w:bCs/>
              </w:rPr>
              <w:lastRenderedPageBreak/>
              <w:t>uzsākšanai, akreditētas pamatizglītības un vispārējās vidējās izglītības programmas;</w:t>
            </w:r>
          </w:p>
          <w:p w14:paraId="7CFB9330" w14:textId="154A5770" w:rsidR="0052484B" w:rsidRPr="00A240FE" w:rsidRDefault="00A240FE" w:rsidP="00A240FE">
            <w:pPr>
              <w:pStyle w:val="naisc"/>
              <w:spacing w:before="0" w:after="0"/>
              <w:jc w:val="both"/>
            </w:pPr>
            <w:r w:rsidRPr="00A240FE">
              <w:rPr>
                <w:bCs/>
              </w:rPr>
              <w:t>1.2. kārtību un kritērijus, pēc kādiem aprēķina un valsts finansē darba samaksu pedagogiem, kuri īsteno latviešu valodu, Latvijas vēsturi un kultūru, Latvijas dabu un ģeogrāfiju (turpmāk – mācību priekšmets “Latvijas mācība”).”</w:t>
            </w:r>
          </w:p>
        </w:tc>
        <w:tc>
          <w:tcPr>
            <w:tcW w:w="3997" w:type="dxa"/>
            <w:tcBorders>
              <w:top w:val="nil"/>
              <w:left w:val="single" w:sz="6" w:space="0" w:color="000000"/>
              <w:bottom w:val="single" w:sz="4" w:space="0" w:color="auto"/>
              <w:right w:val="single" w:sz="6" w:space="0" w:color="000000"/>
            </w:tcBorders>
          </w:tcPr>
          <w:p w14:paraId="276283C8" w14:textId="77777777" w:rsidR="0052484B" w:rsidRPr="00EB7E4C" w:rsidRDefault="00EB7E4C" w:rsidP="00EB7E4C">
            <w:pPr>
              <w:pStyle w:val="naisc"/>
              <w:spacing w:before="0" w:after="0"/>
              <w:jc w:val="both"/>
              <w:rPr>
                <w:b/>
                <w:bCs/>
              </w:rPr>
            </w:pPr>
            <w:r w:rsidRPr="00EB7E4C">
              <w:rPr>
                <w:b/>
                <w:bCs/>
              </w:rPr>
              <w:lastRenderedPageBreak/>
              <w:t>Tieslietu ministrija:</w:t>
            </w:r>
          </w:p>
          <w:p w14:paraId="3B941890" w14:textId="77777777" w:rsidR="00EB7E4C" w:rsidRPr="00EB7E4C" w:rsidRDefault="00EB7E4C" w:rsidP="00EB7E4C">
            <w:pPr>
              <w:pStyle w:val="NoSpacing"/>
              <w:rPr>
                <w:iCs/>
                <w:szCs w:val="24"/>
              </w:rPr>
            </w:pPr>
            <w:r w:rsidRPr="00EB7E4C">
              <w:rPr>
                <w:szCs w:val="24"/>
              </w:rPr>
              <w:t xml:space="preserve">1. Vēršam uzmanību uz to, ka </w:t>
            </w:r>
            <w:r w:rsidRPr="00EB7E4C">
              <w:rPr>
                <w:szCs w:val="24"/>
                <w:bdr w:val="none" w:sz="0" w:space="0" w:color="auto" w:frame="1"/>
                <w:shd w:val="clear" w:color="auto" w:fill="FFFFFF"/>
              </w:rPr>
              <w:t>Ministru kabineta 2009. gada 3. februāra noteikumu Nr. 108 "Normatīvo aktu projektu sagatavošanas noteikumi" 100. punkts noteic, ka Ministru kabineta n</w:t>
            </w:r>
            <w:r w:rsidRPr="00EB7E4C">
              <w:rPr>
                <w:szCs w:val="24"/>
                <w:lang w:eastAsia="lv-LV"/>
              </w:rPr>
              <w:t xml:space="preserve">oteikumu projekta pirmajā punktā secīgi raksta vārdus "noteikumi nosaka" un </w:t>
            </w:r>
            <w:r w:rsidRPr="00EB7E4C">
              <w:rPr>
                <w:szCs w:val="24"/>
                <w:u w:val="single"/>
                <w:lang w:eastAsia="lv-LV"/>
              </w:rPr>
              <w:t>likumā noteikto pilnvarojumu Ministru kabinetam</w:t>
            </w:r>
            <w:r w:rsidRPr="00EB7E4C">
              <w:rPr>
                <w:szCs w:val="24"/>
                <w:lang w:eastAsia="lv-LV"/>
              </w:rPr>
              <w:t xml:space="preserve">. Ievērojot minēto, lūdzam precizēt projekta 2. punktā paredzēto </w:t>
            </w:r>
            <w:r w:rsidRPr="00EB7E4C">
              <w:rPr>
                <w:szCs w:val="24"/>
              </w:rPr>
              <w:t xml:space="preserve">Ministru kabineta 2020. gada 25. augusta </w:t>
            </w:r>
            <w:r w:rsidRPr="00EB7E4C">
              <w:rPr>
                <w:szCs w:val="24"/>
              </w:rPr>
              <w:lastRenderedPageBreak/>
              <w:t xml:space="preserve">noteikumu Nr. 538 "Kārtība, kādā valsts finansē darba samaksu pedagogiem privātajās izglītības iestādēs" (turpmāk – noteikumi) atbilstoši attiecīgajiem </w:t>
            </w:r>
            <w:r w:rsidRPr="00EB7E4C">
              <w:rPr>
                <w:iCs/>
                <w:szCs w:val="24"/>
              </w:rPr>
              <w:t>pilnvarojumiem Ministru kabinetam.</w:t>
            </w:r>
          </w:p>
          <w:p w14:paraId="5A4AA321" w14:textId="3B7F11C6" w:rsidR="00EB7E4C" w:rsidRPr="00EB7E4C" w:rsidRDefault="00EB7E4C" w:rsidP="00EB7E4C">
            <w:pPr>
              <w:pStyle w:val="naisc"/>
              <w:spacing w:before="0" w:after="0"/>
              <w:jc w:val="both"/>
            </w:pPr>
            <w:r w:rsidRPr="00EB7E4C">
              <w:t>Papildus vēršam uzmanību uz to, ka likumā i</w:t>
            </w:r>
            <w:r w:rsidRPr="00EB7E4C">
              <w:rPr>
                <w:bdr w:val="none" w:sz="0" w:space="0" w:color="auto" w:frame="1"/>
                <w:shd w:val="clear" w:color="auto" w:fill="FFFFFF"/>
              </w:rPr>
              <w:t xml:space="preserve">etverto pilnvarojumu Ministru kabinetam izstrādā atbilstoši Ministru kabineta 2009. gada 3. februāra noteikumu Nr. 108 "Normatīvo aktu projektu sagatavošanas noteikumi" 47. punktā noteiktajām prasībām. Savukārt no Izglītības likuma 59. panta otrajā daļā minētā neizriet, ka ir noteikts pilnvarojums Ministru kabinetam. Ievērojot minēto, lūdzam izvērtēt projektā ietvertajā norādē, uz kāda likuma pamata noteikumi ir izdoti, noteikto, kā arī projekta 1. punktā paredzēto grozījumu un attiecīgi precizēt projektu vai papildināt </w:t>
            </w:r>
            <w:r w:rsidRPr="00EB7E4C">
              <w:rPr>
                <w:shd w:val="clear" w:color="auto" w:fill="FFFFFF"/>
              </w:rPr>
              <w:t>p</w:t>
            </w:r>
            <w:r w:rsidRPr="00EB7E4C">
              <w:t xml:space="preserve">rojekta sākotnējās </w:t>
            </w:r>
            <w:r w:rsidRPr="00EB7E4C">
              <w:rPr>
                <w:i/>
              </w:rPr>
              <w:t>(</w:t>
            </w:r>
            <w:proofErr w:type="spellStart"/>
            <w:r w:rsidRPr="00EB7E4C">
              <w:rPr>
                <w:i/>
              </w:rPr>
              <w:t>ex-ante</w:t>
            </w:r>
            <w:proofErr w:type="spellEnd"/>
            <w:r w:rsidRPr="00EB7E4C">
              <w:rPr>
                <w:i/>
              </w:rPr>
              <w:t>)</w:t>
            </w:r>
            <w:r w:rsidRPr="00EB7E4C">
              <w:t xml:space="preserve"> ietekmes novērtējuma ziņojuma (turpmāk – anotācija) I sadaļas 2. punktu ar atbilstošu skaidrojumu.</w:t>
            </w:r>
          </w:p>
        </w:tc>
        <w:tc>
          <w:tcPr>
            <w:tcW w:w="3402" w:type="dxa"/>
            <w:gridSpan w:val="2"/>
            <w:tcBorders>
              <w:top w:val="nil"/>
              <w:left w:val="single" w:sz="6" w:space="0" w:color="000000"/>
              <w:bottom w:val="single" w:sz="4" w:space="0" w:color="auto"/>
              <w:right w:val="single" w:sz="6" w:space="0" w:color="000000"/>
            </w:tcBorders>
          </w:tcPr>
          <w:p w14:paraId="42AF9364" w14:textId="77777777" w:rsidR="0052484B" w:rsidRPr="00054276" w:rsidRDefault="00054276" w:rsidP="00054276">
            <w:pPr>
              <w:pStyle w:val="naisc"/>
              <w:spacing w:before="0" w:after="0"/>
              <w:jc w:val="left"/>
              <w:rPr>
                <w:b/>
                <w:bCs/>
              </w:rPr>
            </w:pPr>
            <w:r w:rsidRPr="00054276">
              <w:rPr>
                <w:b/>
                <w:bCs/>
              </w:rPr>
              <w:lastRenderedPageBreak/>
              <w:t>Ņemts vērā.</w:t>
            </w:r>
          </w:p>
          <w:p w14:paraId="1FF7D2F3" w14:textId="77777777" w:rsidR="00054276" w:rsidRDefault="00054276" w:rsidP="00054276">
            <w:pPr>
              <w:pStyle w:val="naisc"/>
              <w:spacing w:before="0" w:after="0"/>
              <w:jc w:val="both"/>
            </w:pPr>
            <w:r w:rsidRPr="00054276">
              <w:t>Precizēts noteikumu projekta 2.</w:t>
            </w:r>
            <w:r>
              <w:t> </w:t>
            </w:r>
            <w:r w:rsidRPr="00054276">
              <w:t>punkts attiecībā uz plānoto noteikumu Nr.</w:t>
            </w:r>
            <w:r>
              <w:t> </w:t>
            </w:r>
            <w:r w:rsidRPr="00054276">
              <w:t>538 1.2.</w:t>
            </w:r>
            <w:r>
              <w:t> </w:t>
            </w:r>
            <w:r w:rsidRPr="00054276">
              <w:t>apakšpunktu</w:t>
            </w:r>
            <w:r>
              <w:t>.</w:t>
            </w:r>
          </w:p>
          <w:p w14:paraId="7C610B37" w14:textId="17BF1080" w:rsidR="00BA382C" w:rsidRDefault="00BA382C" w:rsidP="00054276">
            <w:pPr>
              <w:pStyle w:val="naisc"/>
              <w:spacing w:before="0" w:after="0"/>
              <w:jc w:val="both"/>
            </w:pPr>
          </w:p>
        </w:tc>
        <w:tc>
          <w:tcPr>
            <w:tcW w:w="3118" w:type="dxa"/>
            <w:tcBorders>
              <w:top w:val="single" w:sz="4" w:space="0" w:color="auto"/>
              <w:left w:val="single" w:sz="4" w:space="0" w:color="auto"/>
              <w:bottom w:val="single" w:sz="4" w:space="0" w:color="auto"/>
              <w:right w:val="single" w:sz="4" w:space="0" w:color="auto"/>
            </w:tcBorders>
          </w:tcPr>
          <w:p w14:paraId="5FAFEFB5" w14:textId="77777777" w:rsidR="00A240FE" w:rsidRPr="00A240FE" w:rsidRDefault="00A240FE" w:rsidP="00A240FE">
            <w:pPr>
              <w:shd w:val="clear" w:color="auto" w:fill="FFFFFF"/>
              <w:jc w:val="both"/>
              <w:rPr>
                <w:bCs/>
              </w:rPr>
            </w:pPr>
            <w:r w:rsidRPr="00A240FE">
              <w:rPr>
                <w:bCs/>
              </w:rPr>
              <w:t>2. Izteikt 1. punktu šādā redakcijā:</w:t>
            </w:r>
          </w:p>
          <w:p w14:paraId="7B8BDB6D" w14:textId="77777777" w:rsidR="00A240FE" w:rsidRPr="00A240FE" w:rsidRDefault="00A240FE" w:rsidP="00A240FE">
            <w:pPr>
              <w:shd w:val="clear" w:color="auto" w:fill="FFFFFF"/>
              <w:jc w:val="both"/>
              <w:rPr>
                <w:bCs/>
              </w:rPr>
            </w:pPr>
          </w:p>
          <w:p w14:paraId="3F6DDB49" w14:textId="6016EE81" w:rsidR="00A240FE" w:rsidRPr="00A240FE" w:rsidRDefault="00A240FE" w:rsidP="00A240FE">
            <w:pPr>
              <w:shd w:val="clear" w:color="auto" w:fill="FFFFFF"/>
              <w:jc w:val="both"/>
              <w:rPr>
                <w:bCs/>
              </w:rPr>
            </w:pPr>
            <w:r w:rsidRPr="00A240FE">
              <w:rPr>
                <w:bCs/>
              </w:rPr>
              <w:t xml:space="preserve">“1. Noteikumi nosaka: </w:t>
            </w:r>
          </w:p>
          <w:p w14:paraId="74824E91" w14:textId="77777777" w:rsidR="00A240FE" w:rsidRPr="00A240FE" w:rsidRDefault="00A240FE" w:rsidP="00A240FE">
            <w:pPr>
              <w:shd w:val="clear" w:color="auto" w:fill="FFFFFF"/>
              <w:jc w:val="both"/>
              <w:rPr>
                <w:bCs/>
              </w:rPr>
            </w:pPr>
            <w:r w:rsidRPr="00A240FE">
              <w:rPr>
                <w:bCs/>
              </w:rPr>
              <w:t xml:space="preserve">1.1. kārtību, kādā valsts finansē darba samaksu pedagogiem, kuri privātajās izglītības iestādēs (turpmāk – izglītības iestāde) īsteno pirmsskolas izglītības programmas bērniem no piecu gadu vecuma līdz pamatizglītības ieguves </w:t>
            </w:r>
            <w:r w:rsidRPr="00A240FE">
              <w:rPr>
                <w:bCs/>
              </w:rPr>
              <w:lastRenderedPageBreak/>
              <w:t>uzsākšanai, akreditētas pamatizglītības un vispārējās vidējās izglītības programmas;</w:t>
            </w:r>
          </w:p>
          <w:p w14:paraId="31F84234" w14:textId="460D02B7" w:rsidR="0052484B" w:rsidRDefault="00A240FE" w:rsidP="00A240FE">
            <w:pPr>
              <w:jc w:val="both"/>
            </w:pPr>
            <w:r w:rsidRPr="00A240FE">
              <w:rPr>
                <w:bCs/>
              </w:rPr>
              <w:t>1.2. kārtību un kritērijus, pēc kādiem aprēķina un valsts finansē darba samaksu pedagogiem, kuri starptautiskajā skolā īsteno latviešu valodas, Latvijas vēstures un kultūras, Latvijas dabas un ģeogrāfijas (turpmāk – mācību priekšmets “Latvijas mācība”) apguvi.”</w:t>
            </w:r>
          </w:p>
        </w:tc>
      </w:tr>
      <w:tr w:rsidR="00086D76" w14:paraId="45701D0E" w14:textId="77777777" w:rsidTr="0052484B">
        <w:tc>
          <w:tcPr>
            <w:tcW w:w="707" w:type="dxa"/>
            <w:tcBorders>
              <w:top w:val="nil"/>
              <w:left w:val="single" w:sz="6" w:space="0" w:color="000000"/>
              <w:bottom w:val="single" w:sz="4" w:space="0" w:color="auto"/>
              <w:right w:val="single" w:sz="6" w:space="0" w:color="000000"/>
            </w:tcBorders>
          </w:tcPr>
          <w:p w14:paraId="60F78D93" w14:textId="77777777" w:rsidR="00086D76" w:rsidRDefault="00086D76">
            <w:pPr>
              <w:pStyle w:val="naisc"/>
              <w:spacing w:before="0" w:after="0"/>
              <w:ind w:firstLine="720"/>
            </w:pPr>
          </w:p>
          <w:p w14:paraId="6B13E297" w14:textId="3F590EC5" w:rsidR="00F71AD2" w:rsidRPr="00F71AD2" w:rsidRDefault="00F71AD2" w:rsidP="00F71AD2">
            <w:r>
              <w:t>4.</w:t>
            </w:r>
          </w:p>
        </w:tc>
        <w:tc>
          <w:tcPr>
            <w:tcW w:w="3085" w:type="dxa"/>
            <w:gridSpan w:val="2"/>
            <w:tcBorders>
              <w:top w:val="nil"/>
              <w:left w:val="single" w:sz="6" w:space="0" w:color="000000"/>
              <w:bottom w:val="single" w:sz="4" w:space="0" w:color="auto"/>
              <w:right w:val="single" w:sz="6" w:space="0" w:color="000000"/>
            </w:tcBorders>
          </w:tcPr>
          <w:p w14:paraId="74E8A1E1" w14:textId="5264BC62" w:rsidR="00086D76" w:rsidRPr="00A240FE" w:rsidRDefault="00250FA6" w:rsidP="00A240FE">
            <w:pPr>
              <w:shd w:val="clear" w:color="auto" w:fill="FFFFFF"/>
              <w:jc w:val="both"/>
              <w:rPr>
                <w:bCs/>
              </w:rPr>
            </w:pPr>
            <w:r>
              <w:t>A</w:t>
            </w:r>
            <w:r w:rsidRPr="00086D76">
              <w:t>notācijas I sadaļas 2. punkts.</w:t>
            </w:r>
          </w:p>
        </w:tc>
        <w:tc>
          <w:tcPr>
            <w:tcW w:w="3997" w:type="dxa"/>
            <w:tcBorders>
              <w:top w:val="nil"/>
              <w:left w:val="single" w:sz="6" w:space="0" w:color="000000"/>
              <w:bottom w:val="single" w:sz="4" w:space="0" w:color="auto"/>
              <w:right w:val="single" w:sz="6" w:space="0" w:color="000000"/>
            </w:tcBorders>
          </w:tcPr>
          <w:p w14:paraId="5D41239D" w14:textId="77777777" w:rsidR="00086D76" w:rsidRPr="00086D76" w:rsidRDefault="00086D76" w:rsidP="00EB7E4C">
            <w:pPr>
              <w:pStyle w:val="naisc"/>
              <w:spacing w:before="0" w:after="0"/>
              <w:jc w:val="both"/>
              <w:rPr>
                <w:b/>
                <w:bCs/>
              </w:rPr>
            </w:pPr>
            <w:r w:rsidRPr="00086D76">
              <w:rPr>
                <w:b/>
                <w:bCs/>
              </w:rPr>
              <w:t>Tieslietu ministrija:</w:t>
            </w:r>
          </w:p>
          <w:p w14:paraId="06BB6092" w14:textId="00CBE231" w:rsidR="00086D76" w:rsidRPr="00086D76" w:rsidRDefault="00086D76" w:rsidP="00086D76">
            <w:pPr>
              <w:pStyle w:val="naisc"/>
              <w:jc w:val="both"/>
            </w:pPr>
            <w:r>
              <w:t xml:space="preserve">2. </w:t>
            </w:r>
            <w:r w:rsidRPr="00086D76">
              <w:t xml:space="preserve">Anotācijas I sadaļas 2. punktā ir norādīts, ka, pilnveidojot noteikumos ietverto regulējumu attiecībā uz pirmsskolas izglītības programmu īstenošanu, ar projektu paredzēts, ka papildu finansējums līdz trim </w:t>
            </w:r>
            <w:r w:rsidRPr="00086D76">
              <w:lastRenderedPageBreak/>
              <w:t>procentiem no mācību stundu plāna īstenošanai aprēķinātās dotācijas pirmsskolas izglītības programmās izlietojams ne tikai piemaksām pedagogiem, kuri ir ieguvuši 1., 2. un 3. kvalitātes pakāpi no 2017. gada 10. augusta, bet arī par pedagogu papildu pienākumiem un pedagoga mēneša darba algas likmes palielināšanai. Attiecīgs regulējums ir ietverts projekta 8. punktā paredzētajā noteikumu 6. un 7. punktā.</w:t>
            </w:r>
          </w:p>
          <w:p w14:paraId="1B972BA7" w14:textId="48DC890E" w:rsidR="00086D76" w:rsidRPr="00086D76" w:rsidRDefault="00086D76" w:rsidP="00086D76">
            <w:pPr>
              <w:pStyle w:val="naisc"/>
              <w:spacing w:before="0" w:after="0"/>
              <w:jc w:val="both"/>
            </w:pPr>
            <w:r w:rsidRPr="00086D76">
              <w:t>Vēršam uzmanību uz to, ka Ministru kabineta 2017. gada 22. augusta noteikumi Nr. 501 "Pedagogu profesionālās darbības kvalitātes novērtēšanas organizēšanas kārtība", kas paredz pedagogu profesionālās darbības kvalitātes novērtēšanas organizēšanas kārtību, novērtēšanas virzienus un pedagogu profesionālās darbības kvalitātes pakāpju aprakstu, stājās spēkā 2017. gada 1. septembrī. Līdz ar to nav skaidrs, saskaņā ar kurā normatīvajā aktā paredzēto regulējumu pedagogi ir ieguvuši attiecīgo kvalitātes pakāpi no 2017. gada 10. augusta. Ievērojot minēto, lūdzam izvērtēt projekta 8. punktā paredzētajā noteikumu 6. un 7. punktā ietverto regulējumu, kā arī anotācijas I sadaļas 2. punktā ietverto informāciju un attiecīgi precizēt to.</w:t>
            </w:r>
          </w:p>
        </w:tc>
        <w:tc>
          <w:tcPr>
            <w:tcW w:w="3402" w:type="dxa"/>
            <w:gridSpan w:val="2"/>
            <w:tcBorders>
              <w:top w:val="nil"/>
              <w:left w:val="single" w:sz="6" w:space="0" w:color="000000"/>
              <w:bottom w:val="single" w:sz="4" w:space="0" w:color="auto"/>
              <w:right w:val="single" w:sz="6" w:space="0" w:color="000000"/>
            </w:tcBorders>
          </w:tcPr>
          <w:p w14:paraId="4F74B8B1" w14:textId="77777777" w:rsidR="00086D76" w:rsidRDefault="00086D76" w:rsidP="00054276">
            <w:pPr>
              <w:pStyle w:val="naisc"/>
              <w:spacing w:before="0" w:after="0"/>
              <w:jc w:val="left"/>
              <w:rPr>
                <w:b/>
                <w:bCs/>
              </w:rPr>
            </w:pPr>
            <w:r>
              <w:rPr>
                <w:b/>
                <w:bCs/>
              </w:rPr>
              <w:lastRenderedPageBreak/>
              <w:t>Ņemts vērā.</w:t>
            </w:r>
          </w:p>
          <w:p w14:paraId="11726356" w14:textId="64BC4F22" w:rsidR="00086D76" w:rsidRPr="00086D76" w:rsidRDefault="00086D76" w:rsidP="00086D76">
            <w:pPr>
              <w:pStyle w:val="naisc"/>
              <w:spacing w:before="0" w:after="0"/>
              <w:jc w:val="both"/>
            </w:pPr>
            <w:r w:rsidRPr="00086D76">
              <w:t>Precizēts anotācijas I sadaļas 2. punkts.</w:t>
            </w:r>
          </w:p>
        </w:tc>
        <w:tc>
          <w:tcPr>
            <w:tcW w:w="3118" w:type="dxa"/>
            <w:tcBorders>
              <w:top w:val="single" w:sz="4" w:space="0" w:color="auto"/>
              <w:left w:val="single" w:sz="4" w:space="0" w:color="auto"/>
              <w:bottom w:val="single" w:sz="4" w:space="0" w:color="auto"/>
              <w:right w:val="single" w:sz="4" w:space="0" w:color="auto"/>
            </w:tcBorders>
          </w:tcPr>
          <w:p w14:paraId="6C59A086" w14:textId="0BAB3FE5" w:rsidR="00086D76" w:rsidRPr="00A240FE" w:rsidRDefault="00C96DAE" w:rsidP="00A240FE">
            <w:pPr>
              <w:shd w:val="clear" w:color="auto" w:fill="FFFFFF"/>
              <w:jc w:val="both"/>
              <w:rPr>
                <w:bCs/>
              </w:rPr>
            </w:pPr>
            <w:r>
              <w:rPr>
                <w:bCs/>
              </w:rPr>
              <w:t>Anotācijas I sadaļas 2. punkts (6.lpp.)</w:t>
            </w:r>
            <w:r w:rsidR="00250FA6">
              <w:rPr>
                <w:bCs/>
              </w:rPr>
              <w:t>.</w:t>
            </w:r>
          </w:p>
        </w:tc>
      </w:tr>
      <w:tr w:rsidR="001E4AE7" w14:paraId="6C88894A" w14:textId="77777777" w:rsidTr="0052484B">
        <w:tc>
          <w:tcPr>
            <w:tcW w:w="707" w:type="dxa"/>
            <w:tcBorders>
              <w:top w:val="nil"/>
              <w:left w:val="single" w:sz="6" w:space="0" w:color="000000"/>
              <w:bottom w:val="single" w:sz="4" w:space="0" w:color="auto"/>
              <w:right w:val="single" w:sz="6" w:space="0" w:color="000000"/>
            </w:tcBorders>
          </w:tcPr>
          <w:p w14:paraId="31335016" w14:textId="77777777" w:rsidR="001E4AE7" w:rsidRDefault="001E4AE7" w:rsidP="001E4AE7">
            <w:pPr>
              <w:pStyle w:val="naisc"/>
              <w:spacing w:before="0" w:after="0"/>
              <w:ind w:firstLine="720"/>
            </w:pPr>
          </w:p>
          <w:p w14:paraId="0F69DF8B" w14:textId="05024AAC" w:rsidR="00F71AD2" w:rsidRPr="00F71AD2" w:rsidRDefault="00F71AD2" w:rsidP="00F71AD2">
            <w:r>
              <w:t>5.</w:t>
            </w:r>
          </w:p>
        </w:tc>
        <w:tc>
          <w:tcPr>
            <w:tcW w:w="3085" w:type="dxa"/>
            <w:gridSpan w:val="2"/>
            <w:tcBorders>
              <w:top w:val="nil"/>
              <w:left w:val="single" w:sz="6" w:space="0" w:color="000000"/>
              <w:bottom w:val="single" w:sz="4" w:space="0" w:color="auto"/>
              <w:right w:val="single" w:sz="6" w:space="0" w:color="000000"/>
            </w:tcBorders>
          </w:tcPr>
          <w:p w14:paraId="6BB18A38" w14:textId="222F4D0A" w:rsidR="001E4AE7" w:rsidRPr="00A240FE" w:rsidRDefault="00250FA6" w:rsidP="001E4AE7">
            <w:pPr>
              <w:shd w:val="clear" w:color="auto" w:fill="FFFFFF"/>
              <w:jc w:val="both"/>
              <w:rPr>
                <w:bCs/>
              </w:rPr>
            </w:pPr>
            <w:r>
              <w:rPr>
                <w:bCs/>
              </w:rPr>
              <w:t>Anotācijas I sadaļas 2. punkts.</w:t>
            </w:r>
          </w:p>
        </w:tc>
        <w:tc>
          <w:tcPr>
            <w:tcW w:w="3997" w:type="dxa"/>
            <w:tcBorders>
              <w:top w:val="nil"/>
              <w:left w:val="single" w:sz="6" w:space="0" w:color="000000"/>
              <w:bottom w:val="single" w:sz="4" w:space="0" w:color="auto"/>
              <w:right w:val="single" w:sz="6" w:space="0" w:color="000000"/>
            </w:tcBorders>
          </w:tcPr>
          <w:p w14:paraId="292DB427" w14:textId="77777777" w:rsidR="001E4AE7" w:rsidRDefault="001E4AE7" w:rsidP="001E4AE7">
            <w:pPr>
              <w:pStyle w:val="naisc"/>
              <w:spacing w:before="0" w:after="0"/>
              <w:jc w:val="both"/>
              <w:rPr>
                <w:b/>
                <w:bCs/>
              </w:rPr>
            </w:pPr>
            <w:r>
              <w:rPr>
                <w:b/>
                <w:bCs/>
              </w:rPr>
              <w:t>Tieslietu ministrija:</w:t>
            </w:r>
          </w:p>
          <w:p w14:paraId="4CD07D1A" w14:textId="77777777" w:rsidR="001E4AE7" w:rsidRPr="00C96DAE" w:rsidRDefault="001E4AE7" w:rsidP="001E4AE7">
            <w:pPr>
              <w:pStyle w:val="naisc"/>
              <w:jc w:val="both"/>
            </w:pPr>
            <w:r w:rsidRPr="00C96DAE">
              <w:t>3. Anotācijas I sadaļas 2. punktā ir norādīts, ka ar projektu pilnveidots regulējums, kādos gadījumos var tikt pārtraukta dotācijas izmaksa, un projekts paredz, ka tajā ietvertais regulējums piemērojams no 2021. gada 1. septembra, bet anotācijas I sadaļas 2. punktā nav skaidrots, kādēļ nepieciešams iepriekš minētais regulējums. Ievērojot minēto, lūdzam papildināt anotācijas I sadaļas 2. punktu ar atbilstošu skaidrojumu.</w:t>
            </w:r>
          </w:p>
          <w:p w14:paraId="1510856D" w14:textId="755C2895" w:rsidR="001E4AE7" w:rsidRPr="00086D76" w:rsidRDefault="001E4AE7" w:rsidP="001E4AE7">
            <w:pPr>
              <w:pStyle w:val="naisc"/>
              <w:spacing w:before="0" w:after="0"/>
              <w:jc w:val="both"/>
              <w:rPr>
                <w:b/>
                <w:bCs/>
              </w:rPr>
            </w:pPr>
            <w:r w:rsidRPr="00C96DAE">
              <w:t>Papildus vēršam uzmanību uz to, ka anotācijas I sadaļas 2. punktu aizpilda atbilstoši Ministru kabineta 2009. gada 15. decembra instrukcijas Nr. 19 "Tiesību akta projekta sākotnējās ietekmes izvērtēšanas kārtība" (turpmāk – instrukcija) 14. punktā noteiktajām prasībām.</w:t>
            </w:r>
          </w:p>
        </w:tc>
        <w:tc>
          <w:tcPr>
            <w:tcW w:w="3402" w:type="dxa"/>
            <w:gridSpan w:val="2"/>
            <w:tcBorders>
              <w:top w:val="nil"/>
              <w:left w:val="single" w:sz="6" w:space="0" w:color="000000"/>
              <w:bottom w:val="single" w:sz="4" w:space="0" w:color="auto"/>
              <w:right w:val="single" w:sz="6" w:space="0" w:color="000000"/>
            </w:tcBorders>
          </w:tcPr>
          <w:p w14:paraId="5745AA5B" w14:textId="77777777" w:rsidR="001E4AE7" w:rsidRDefault="001E4AE7" w:rsidP="001E4AE7">
            <w:pPr>
              <w:pStyle w:val="naisc"/>
              <w:spacing w:before="0" w:after="0"/>
              <w:jc w:val="left"/>
              <w:rPr>
                <w:b/>
                <w:bCs/>
              </w:rPr>
            </w:pPr>
            <w:r>
              <w:rPr>
                <w:b/>
                <w:bCs/>
              </w:rPr>
              <w:t>Ņemts vērā.</w:t>
            </w:r>
          </w:p>
          <w:p w14:paraId="35DB5C79" w14:textId="26A55C45" w:rsidR="001E4AE7" w:rsidRDefault="001E4AE7" w:rsidP="001E4AE7">
            <w:pPr>
              <w:pStyle w:val="naisc"/>
              <w:spacing w:before="0" w:after="0"/>
              <w:jc w:val="both"/>
              <w:rPr>
                <w:b/>
                <w:bCs/>
              </w:rPr>
            </w:pPr>
            <w:r w:rsidRPr="00086D76">
              <w:t>Precizēts anotācijas I sadaļas 2. punkts.</w:t>
            </w:r>
          </w:p>
        </w:tc>
        <w:tc>
          <w:tcPr>
            <w:tcW w:w="3118" w:type="dxa"/>
            <w:tcBorders>
              <w:top w:val="single" w:sz="4" w:space="0" w:color="auto"/>
              <w:left w:val="single" w:sz="4" w:space="0" w:color="auto"/>
              <w:bottom w:val="single" w:sz="4" w:space="0" w:color="auto"/>
              <w:right w:val="single" w:sz="4" w:space="0" w:color="auto"/>
            </w:tcBorders>
          </w:tcPr>
          <w:p w14:paraId="3B775870" w14:textId="43BEDDB4" w:rsidR="001E4AE7" w:rsidRDefault="001E4AE7" w:rsidP="001E4AE7">
            <w:pPr>
              <w:shd w:val="clear" w:color="auto" w:fill="FFFFFF"/>
              <w:jc w:val="both"/>
              <w:rPr>
                <w:bCs/>
              </w:rPr>
            </w:pPr>
            <w:r>
              <w:rPr>
                <w:bCs/>
              </w:rPr>
              <w:t>Anotācijas I sadaļas 2. punkts (6.-7.lpp.)</w:t>
            </w:r>
            <w:r w:rsidR="00250FA6">
              <w:rPr>
                <w:bCs/>
              </w:rPr>
              <w:t>.</w:t>
            </w:r>
          </w:p>
        </w:tc>
      </w:tr>
      <w:tr w:rsidR="00AF2199" w14:paraId="42C7D707" w14:textId="77777777" w:rsidTr="0052484B">
        <w:tc>
          <w:tcPr>
            <w:tcW w:w="707" w:type="dxa"/>
            <w:tcBorders>
              <w:top w:val="nil"/>
              <w:left w:val="single" w:sz="6" w:space="0" w:color="000000"/>
              <w:bottom w:val="single" w:sz="4" w:space="0" w:color="auto"/>
              <w:right w:val="single" w:sz="6" w:space="0" w:color="000000"/>
            </w:tcBorders>
          </w:tcPr>
          <w:p w14:paraId="06AD62B5" w14:textId="77777777" w:rsidR="00AF2199" w:rsidRDefault="00AF2199" w:rsidP="001E4AE7">
            <w:pPr>
              <w:pStyle w:val="naisc"/>
              <w:spacing w:before="0" w:after="0"/>
              <w:ind w:firstLine="720"/>
            </w:pPr>
          </w:p>
          <w:p w14:paraId="4C32EF18" w14:textId="3D67189C" w:rsidR="00F71AD2" w:rsidRPr="00F71AD2" w:rsidRDefault="00F71AD2" w:rsidP="00F71AD2">
            <w:r>
              <w:t>6.</w:t>
            </w:r>
          </w:p>
        </w:tc>
        <w:tc>
          <w:tcPr>
            <w:tcW w:w="3085" w:type="dxa"/>
            <w:gridSpan w:val="2"/>
            <w:tcBorders>
              <w:top w:val="nil"/>
              <w:left w:val="single" w:sz="6" w:space="0" w:color="000000"/>
              <w:bottom w:val="single" w:sz="4" w:space="0" w:color="auto"/>
              <w:right w:val="single" w:sz="6" w:space="0" w:color="000000"/>
            </w:tcBorders>
          </w:tcPr>
          <w:p w14:paraId="590B5418" w14:textId="33B36399" w:rsidR="00AF2199" w:rsidRPr="00A240FE" w:rsidRDefault="00956AE6" w:rsidP="001E4AE7">
            <w:pPr>
              <w:shd w:val="clear" w:color="auto" w:fill="FFFFFF"/>
              <w:jc w:val="both"/>
              <w:rPr>
                <w:bCs/>
              </w:rPr>
            </w:pPr>
            <w:r>
              <w:rPr>
                <w:bCs/>
              </w:rPr>
              <w:t>Anotācijas IV sadaļas 3. punkts.</w:t>
            </w:r>
          </w:p>
        </w:tc>
        <w:tc>
          <w:tcPr>
            <w:tcW w:w="3997" w:type="dxa"/>
            <w:tcBorders>
              <w:top w:val="nil"/>
              <w:left w:val="single" w:sz="6" w:space="0" w:color="000000"/>
              <w:bottom w:val="single" w:sz="4" w:space="0" w:color="auto"/>
              <w:right w:val="single" w:sz="6" w:space="0" w:color="000000"/>
            </w:tcBorders>
          </w:tcPr>
          <w:p w14:paraId="209A7C1B" w14:textId="77777777" w:rsidR="00AF2199" w:rsidRPr="00AF2199" w:rsidRDefault="00AF2199" w:rsidP="001E4AE7">
            <w:pPr>
              <w:pStyle w:val="naisc"/>
              <w:spacing w:before="0" w:after="0"/>
              <w:jc w:val="both"/>
              <w:rPr>
                <w:b/>
                <w:bCs/>
              </w:rPr>
            </w:pPr>
            <w:r w:rsidRPr="00AF2199">
              <w:rPr>
                <w:b/>
                <w:bCs/>
              </w:rPr>
              <w:t>Tieslietu ministrija:</w:t>
            </w:r>
          </w:p>
          <w:p w14:paraId="10D6AAFB" w14:textId="77777777" w:rsidR="00AF2199" w:rsidRPr="00AF2199" w:rsidRDefault="00AF2199" w:rsidP="00AF2199">
            <w:pPr>
              <w:pStyle w:val="naisc"/>
              <w:jc w:val="both"/>
            </w:pPr>
            <w:r w:rsidRPr="00AF2199">
              <w:t xml:space="preserve">4. No anotācijas I sadaļas 2. punktā un IV sadaļas 3. punktā minētā izriet, ka saskaņā ar Starptautisko skolu likuma 14. panta ceturtajā daļā ietverto pilnvarojumu Ministru kabinetam ir sagatavots ne tikai projekts, bet arī jauns Ministru kabineta noteikumu projekts par kārtību, kādā valsts un pašvaldības finansē mācību līdzekļu iegādi izglītības iestādēm, tostarp </w:t>
            </w:r>
            <w:r w:rsidRPr="00AF2199">
              <w:lastRenderedPageBreak/>
              <w:t>starptautiskajām skolām, bet nav skaidrs, vai projektam un Ministru kabineta noteikumu projektam par kārtību, kādā valsts un pašvaldības finansē mācību līdzekļu iegādi izglītības iestādēm, tostarp starptautiskajām skolām, ir jāstājas spēkā vienlaikus. Ievērojot minēto, lūdzam papildināt anotāciju ar atbilstošu skaidrojumu.</w:t>
            </w:r>
          </w:p>
          <w:p w14:paraId="22A5F789" w14:textId="166A19C8" w:rsidR="00AF2199" w:rsidRPr="00AF2199" w:rsidRDefault="00AF2199" w:rsidP="00AF2199">
            <w:pPr>
              <w:pStyle w:val="naisc"/>
              <w:spacing w:before="0" w:after="0"/>
              <w:jc w:val="both"/>
            </w:pPr>
            <w:r w:rsidRPr="00AF2199">
              <w:t>Papildus lūdzam aizpildīt anotācijas IV sadaļu atbilstoši instrukcijas V nodaļā noteiktajām prasībām.</w:t>
            </w:r>
          </w:p>
        </w:tc>
        <w:tc>
          <w:tcPr>
            <w:tcW w:w="3402" w:type="dxa"/>
            <w:gridSpan w:val="2"/>
            <w:tcBorders>
              <w:top w:val="nil"/>
              <w:left w:val="single" w:sz="6" w:space="0" w:color="000000"/>
              <w:bottom w:val="single" w:sz="4" w:space="0" w:color="auto"/>
              <w:right w:val="single" w:sz="6" w:space="0" w:color="000000"/>
            </w:tcBorders>
          </w:tcPr>
          <w:p w14:paraId="5C332A60" w14:textId="77777777" w:rsidR="009B2A78" w:rsidRDefault="009B2A78" w:rsidP="009B2A78">
            <w:pPr>
              <w:pStyle w:val="naisc"/>
              <w:spacing w:before="0" w:after="0"/>
              <w:jc w:val="left"/>
              <w:rPr>
                <w:b/>
                <w:bCs/>
              </w:rPr>
            </w:pPr>
            <w:r>
              <w:rPr>
                <w:b/>
                <w:bCs/>
              </w:rPr>
              <w:lastRenderedPageBreak/>
              <w:t>Ņemts vērā.</w:t>
            </w:r>
          </w:p>
          <w:p w14:paraId="5415FBF0" w14:textId="5695B3E4" w:rsidR="00AF2199" w:rsidRDefault="009B2A78" w:rsidP="009B2A78">
            <w:pPr>
              <w:pStyle w:val="naisc"/>
              <w:spacing w:before="0" w:after="0"/>
              <w:jc w:val="both"/>
              <w:rPr>
                <w:b/>
                <w:bCs/>
              </w:rPr>
            </w:pPr>
            <w:r w:rsidRPr="00086D76">
              <w:t>Precizēt</w:t>
            </w:r>
            <w:r w:rsidR="00956AE6">
              <w:t>a</w:t>
            </w:r>
            <w:r w:rsidRPr="00086D76">
              <w:t xml:space="preserve"> anotācijas I</w:t>
            </w:r>
            <w:r>
              <w:t>V</w:t>
            </w:r>
            <w:r w:rsidRPr="00086D76">
              <w:t xml:space="preserve"> sadaļa</w:t>
            </w:r>
            <w:r w:rsidR="00956AE6">
              <w:t>.</w:t>
            </w:r>
          </w:p>
        </w:tc>
        <w:tc>
          <w:tcPr>
            <w:tcW w:w="3118" w:type="dxa"/>
            <w:tcBorders>
              <w:top w:val="single" w:sz="4" w:space="0" w:color="auto"/>
              <w:left w:val="single" w:sz="4" w:space="0" w:color="auto"/>
              <w:bottom w:val="single" w:sz="4" w:space="0" w:color="auto"/>
              <w:right w:val="single" w:sz="4" w:space="0" w:color="auto"/>
            </w:tcBorders>
          </w:tcPr>
          <w:p w14:paraId="6A6F16BA" w14:textId="6A940786" w:rsidR="00AF2199" w:rsidRDefault="009B2A78" w:rsidP="001E4AE7">
            <w:pPr>
              <w:shd w:val="clear" w:color="auto" w:fill="FFFFFF"/>
              <w:jc w:val="both"/>
              <w:rPr>
                <w:bCs/>
              </w:rPr>
            </w:pPr>
            <w:r>
              <w:rPr>
                <w:bCs/>
              </w:rPr>
              <w:t>Anotācijas IV sadaļa</w:t>
            </w:r>
            <w:r w:rsidR="00956AE6">
              <w:rPr>
                <w:bCs/>
              </w:rPr>
              <w:t>.</w:t>
            </w:r>
          </w:p>
        </w:tc>
      </w:tr>
      <w:tr w:rsidR="001E4AE7" w14:paraId="72124EFC" w14:textId="77777777" w:rsidTr="0052484B">
        <w:trPr>
          <w:gridAfter w:val="2"/>
          <w:wAfter w:w="5027" w:type="dxa"/>
        </w:trPr>
        <w:tc>
          <w:tcPr>
            <w:tcW w:w="3106" w:type="dxa"/>
            <w:gridSpan w:val="2"/>
            <w:tcBorders>
              <w:top w:val="nil"/>
              <w:left w:val="nil"/>
              <w:bottom w:val="nil"/>
              <w:right w:val="nil"/>
            </w:tcBorders>
          </w:tcPr>
          <w:p w14:paraId="446CC031" w14:textId="77777777" w:rsidR="001E4AE7" w:rsidRDefault="001E4AE7" w:rsidP="001E4AE7">
            <w:pPr>
              <w:pStyle w:val="naiskr"/>
              <w:spacing w:before="0" w:after="0"/>
            </w:pPr>
          </w:p>
          <w:p w14:paraId="1B15F6E3" w14:textId="77777777" w:rsidR="001E4AE7" w:rsidRDefault="001E4AE7" w:rsidP="001E4AE7">
            <w:pPr>
              <w:pStyle w:val="naiskr"/>
              <w:spacing w:before="0" w:after="0"/>
            </w:pPr>
            <w:r>
              <w:t>Atbildīgā amatpersona</w:t>
            </w:r>
          </w:p>
        </w:tc>
        <w:tc>
          <w:tcPr>
            <w:tcW w:w="6176" w:type="dxa"/>
            <w:gridSpan w:val="3"/>
            <w:tcBorders>
              <w:top w:val="nil"/>
              <w:left w:val="nil"/>
              <w:bottom w:val="nil"/>
              <w:right w:val="nil"/>
            </w:tcBorders>
            <w:hideMark/>
          </w:tcPr>
          <w:p w14:paraId="34AD2933" w14:textId="77777777" w:rsidR="001E4AE7" w:rsidRDefault="001E4AE7" w:rsidP="001E4AE7">
            <w:pPr>
              <w:pStyle w:val="naiskr"/>
              <w:spacing w:before="0" w:after="0"/>
              <w:ind w:firstLine="720"/>
            </w:pPr>
            <w:r>
              <w:t>  </w:t>
            </w:r>
          </w:p>
        </w:tc>
      </w:tr>
      <w:tr w:rsidR="001E4AE7" w14:paraId="3B952507" w14:textId="77777777" w:rsidTr="0052484B">
        <w:trPr>
          <w:gridAfter w:val="2"/>
          <w:wAfter w:w="5027" w:type="dxa"/>
        </w:trPr>
        <w:tc>
          <w:tcPr>
            <w:tcW w:w="3106" w:type="dxa"/>
            <w:gridSpan w:val="2"/>
            <w:tcBorders>
              <w:top w:val="nil"/>
              <w:left w:val="nil"/>
              <w:bottom w:val="nil"/>
              <w:right w:val="nil"/>
            </w:tcBorders>
          </w:tcPr>
          <w:p w14:paraId="436D01FF" w14:textId="77777777" w:rsidR="001E4AE7" w:rsidRDefault="001E4AE7" w:rsidP="001E4AE7">
            <w:pPr>
              <w:pStyle w:val="naiskr"/>
              <w:spacing w:before="0" w:after="0"/>
              <w:ind w:firstLine="720"/>
            </w:pPr>
          </w:p>
        </w:tc>
        <w:tc>
          <w:tcPr>
            <w:tcW w:w="6176" w:type="dxa"/>
            <w:gridSpan w:val="3"/>
            <w:tcBorders>
              <w:top w:val="single" w:sz="6" w:space="0" w:color="000000"/>
              <w:left w:val="nil"/>
              <w:bottom w:val="nil"/>
              <w:right w:val="nil"/>
            </w:tcBorders>
            <w:hideMark/>
          </w:tcPr>
          <w:p w14:paraId="47F27591" w14:textId="77777777" w:rsidR="001E4AE7" w:rsidRDefault="001E4AE7" w:rsidP="001E4AE7">
            <w:pPr>
              <w:pStyle w:val="naisc"/>
              <w:spacing w:before="0" w:after="0"/>
              <w:ind w:firstLine="720"/>
            </w:pPr>
            <w:r w:rsidRPr="005D02BB">
              <w:rPr>
                <w:sz w:val="20"/>
                <w:szCs w:val="20"/>
              </w:rPr>
              <w:t>(paraksts)*</w:t>
            </w:r>
          </w:p>
        </w:tc>
      </w:tr>
    </w:tbl>
    <w:p w14:paraId="7B3084E1" w14:textId="77777777" w:rsidR="0052484B" w:rsidRDefault="0052484B" w:rsidP="005D02BB">
      <w:pPr>
        <w:pStyle w:val="naisf"/>
        <w:spacing w:before="0" w:after="0"/>
        <w:ind w:firstLine="0"/>
      </w:pPr>
    </w:p>
    <w:tbl>
      <w:tblPr>
        <w:tblpPr w:leftFromText="180" w:rightFromText="180" w:vertAnchor="text" w:horzAnchor="margin" w:tblpY="1114"/>
        <w:tblW w:w="0" w:type="auto"/>
        <w:tblLook w:val="00A0" w:firstRow="1" w:lastRow="0" w:firstColumn="1" w:lastColumn="0" w:noHBand="0" w:noVBand="0"/>
      </w:tblPr>
      <w:tblGrid>
        <w:gridCol w:w="8268"/>
      </w:tblGrid>
      <w:tr w:rsidR="005D02BB" w14:paraId="7D682109" w14:textId="77777777" w:rsidTr="005D02BB">
        <w:tc>
          <w:tcPr>
            <w:tcW w:w="8268" w:type="dxa"/>
            <w:tcBorders>
              <w:top w:val="single" w:sz="4" w:space="0" w:color="000000"/>
              <w:left w:val="nil"/>
              <w:bottom w:val="nil"/>
              <w:right w:val="nil"/>
            </w:tcBorders>
            <w:hideMark/>
          </w:tcPr>
          <w:p w14:paraId="7F29B094" w14:textId="77777777" w:rsidR="005D02BB" w:rsidRDefault="005D02BB" w:rsidP="005D02BB">
            <w:pPr>
              <w:jc w:val="center"/>
            </w:pPr>
            <w:r w:rsidRPr="005D02BB">
              <w:rPr>
                <w:sz w:val="18"/>
                <w:szCs w:val="18"/>
              </w:rPr>
              <w:t>(par projektu atbildīgās amatpersonas vārds un uzvārds)</w:t>
            </w:r>
          </w:p>
        </w:tc>
      </w:tr>
      <w:tr w:rsidR="005D02BB" w14:paraId="08032230" w14:textId="77777777" w:rsidTr="005D02BB">
        <w:tc>
          <w:tcPr>
            <w:tcW w:w="8268" w:type="dxa"/>
            <w:tcBorders>
              <w:top w:val="nil"/>
              <w:left w:val="nil"/>
              <w:bottom w:val="single" w:sz="4" w:space="0" w:color="000000"/>
              <w:right w:val="nil"/>
            </w:tcBorders>
          </w:tcPr>
          <w:p w14:paraId="1EC85F77" w14:textId="37CDD636" w:rsidR="005D02BB" w:rsidRDefault="005D02BB" w:rsidP="005D02BB">
            <w:r>
              <w:t xml:space="preserve">Izglītības un zinātnes ministrijas Izglītības departamenta </w:t>
            </w:r>
            <w:r w:rsidR="00974C91">
              <w:t>juriskonsulte</w:t>
            </w:r>
          </w:p>
        </w:tc>
      </w:tr>
      <w:tr w:rsidR="005D02BB" w14:paraId="5F6C762F" w14:textId="77777777" w:rsidTr="005D02BB">
        <w:tc>
          <w:tcPr>
            <w:tcW w:w="8268" w:type="dxa"/>
            <w:tcBorders>
              <w:top w:val="single" w:sz="4" w:space="0" w:color="000000"/>
              <w:left w:val="nil"/>
              <w:bottom w:val="nil"/>
              <w:right w:val="nil"/>
            </w:tcBorders>
            <w:hideMark/>
          </w:tcPr>
          <w:p w14:paraId="7B4349A0" w14:textId="77777777" w:rsidR="005D02BB" w:rsidRDefault="005D02BB" w:rsidP="005D02BB">
            <w:pPr>
              <w:jc w:val="center"/>
            </w:pPr>
            <w:r w:rsidRPr="005D02BB">
              <w:rPr>
                <w:sz w:val="18"/>
                <w:szCs w:val="18"/>
              </w:rPr>
              <w:t>(amats)</w:t>
            </w:r>
          </w:p>
        </w:tc>
      </w:tr>
      <w:tr w:rsidR="005D02BB" w14:paraId="7225F309" w14:textId="77777777" w:rsidTr="005D02BB">
        <w:tc>
          <w:tcPr>
            <w:tcW w:w="8268" w:type="dxa"/>
            <w:tcBorders>
              <w:top w:val="nil"/>
              <w:left w:val="nil"/>
              <w:bottom w:val="single" w:sz="4" w:space="0" w:color="000000"/>
              <w:right w:val="nil"/>
            </w:tcBorders>
          </w:tcPr>
          <w:p w14:paraId="5EFEDB0A" w14:textId="6E9F971A" w:rsidR="005D02BB" w:rsidRDefault="00974C91" w:rsidP="005D02BB">
            <w:r>
              <w:t>67047807</w:t>
            </w:r>
          </w:p>
        </w:tc>
      </w:tr>
      <w:tr w:rsidR="005D02BB" w14:paraId="7E48BB88" w14:textId="77777777" w:rsidTr="005D02BB">
        <w:tc>
          <w:tcPr>
            <w:tcW w:w="8268" w:type="dxa"/>
            <w:tcBorders>
              <w:top w:val="single" w:sz="4" w:space="0" w:color="000000"/>
              <w:left w:val="nil"/>
              <w:bottom w:val="nil"/>
              <w:right w:val="nil"/>
            </w:tcBorders>
            <w:hideMark/>
          </w:tcPr>
          <w:p w14:paraId="34E98965" w14:textId="77777777" w:rsidR="005D02BB" w:rsidRPr="005D02BB" w:rsidRDefault="005D02BB" w:rsidP="005D02BB">
            <w:pPr>
              <w:jc w:val="center"/>
              <w:rPr>
                <w:sz w:val="18"/>
                <w:szCs w:val="18"/>
              </w:rPr>
            </w:pPr>
            <w:r w:rsidRPr="005D02BB">
              <w:rPr>
                <w:sz w:val="18"/>
                <w:szCs w:val="18"/>
              </w:rPr>
              <w:t>(tālruņa un faksa numurs)</w:t>
            </w:r>
          </w:p>
        </w:tc>
      </w:tr>
      <w:tr w:rsidR="005D02BB" w14:paraId="4A4CD18D" w14:textId="77777777" w:rsidTr="005D02BB">
        <w:tc>
          <w:tcPr>
            <w:tcW w:w="8268" w:type="dxa"/>
            <w:tcBorders>
              <w:top w:val="nil"/>
              <w:left w:val="nil"/>
              <w:bottom w:val="single" w:sz="4" w:space="0" w:color="000000"/>
              <w:right w:val="nil"/>
            </w:tcBorders>
          </w:tcPr>
          <w:p w14:paraId="474F5A6D" w14:textId="7B74B734" w:rsidR="005D02BB" w:rsidRDefault="00974C91" w:rsidP="005D02BB">
            <w:r>
              <w:t>ance.rudzite</w:t>
            </w:r>
            <w:r w:rsidR="005D02BB">
              <w:t>@izm.gov.lv</w:t>
            </w:r>
          </w:p>
        </w:tc>
      </w:tr>
      <w:tr w:rsidR="005D02BB" w14:paraId="7EE18CFD" w14:textId="77777777" w:rsidTr="005D02BB">
        <w:tc>
          <w:tcPr>
            <w:tcW w:w="8268" w:type="dxa"/>
            <w:tcBorders>
              <w:top w:val="single" w:sz="4" w:space="0" w:color="000000"/>
              <w:left w:val="nil"/>
              <w:bottom w:val="nil"/>
              <w:right w:val="nil"/>
            </w:tcBorders>
            <w:hideMark/>
          </w:tcPr>
          <w:p w14:paraId="000FF2C8" w14:textId="77777777" w:rsidR="005D02BB" w:rsidRPr="005D02BB" w:rsidRDefault="005D02BB" w:rsidP="005D02BB">
            <w:pPr>
              <w:jc w:val="center"/>
              <w:rPr>
                <w:sz w:val="18"/>
                <w:szCs w:val="18"/>
              </w:rPr>
            </w:pPr>
            <w:r w:rsidRPr="005D02BB">
              <w:rPr>
                <w:sz w:val="18"/>
                <w:szCs w:val="18"/>
              </w:rPr>
              <w:t>(e-pasta adrese)</w:t>
            </w:r>
          </w:p>
        </w:tc>
      </w:tr>
    </w:tbl>
    <w:p w14:paraId="209A1EB3" w14:textId="77777777" w:rsidR="005D02BB" w:rsidRDefault="0052484B" w:rsidP="005D02BB">
      <w:pPr>
        <w:pStyle w:val="naisf"/>
        <w:spacing w:before="0" w:after="0"/>
        <w:ind w:firstLine="720"/>
      </w:pPr>
      <w:r>
        <w:t>Piezīme. * Dokumenta rekvizītu "paraksts" neaizpilda, ja elektroniskais dokuments ir sagatavots atbilstoši normatīvajiem aktiem par elektronisko dokumentu noformēšanu.</w:t>
      </w:r>
    </w:p>
    <w:p w14:paraId="191D0753" w14:textId="77777777" w:rsidR="005D02BB" w:rsidRDefault="005D02BB" w:rsidP="005D02BB">
      <w:pPr>
        <w:pStyle w:val="naisf"/>
        <w:spacing w:before="0" w:after="0"/>
        <w:ind w:firstLine="720"/>
      </w:pPr>
    </w:p>
    <w:p w14:paraId="0D378A9F" w14:textId="0FAB4048" w:rsidR="005D02BB" w:rsidRDefault="00974C91" w:rsidP="005D02BB">
      <w:pPr>
        <w:pStyle w:val="naisf"/>
        <w:spacing w:before="0" w:after="0"/>
        <w:ind w:firstLine="0"/>
      </w:pPr>
      <w:r>
        <w:t>Ance Rudzīte</w:t>
      </w:r>
    </w:p>
    <w:p w14:paraId="0715F214" w14:textId="77777777" w:rsidR="005D02BB" w:rsidRDefault="005D02BB" w:rsidP="005D02BB">
      <w:pPr>
        <w:pStyle w:val="naisf"/>
        <w:spacing w:before="0" w:after="0"/>
        <w:ind w:firstLine="0"/>
      </w:pPr>
    </w:p>
    <w:p w14:paraId="152B4256" w14:textId="77777777" w:rsidR="005D02BB" w:rsidRPr="005D02BB" w:rsidRDefault="005D02BB" w:rsidP="005D02BB"/>
    <w:p w14:paraId="102E8911" w14:textId="77777777" w:rsidR="005D02BB" w:rsidRPr="005D02BB" w:rsidRDefault="005D02BB" w:rsidP="005D02BB"/>
    <w:p w14:paraId="791D1352" w14:textId="77777777" w:rsidR="005D02BB" w:rsidRPr="005D02BB" w:rsidRDefault="005D02BB" w:rsidP="005D02BB"/>
    <w:p w14:paraId="6EDCDFFC" w14:textId="77777777" w:rsidR="005D02BB" w:rsidRPr="005D02BB" w:rsidRDefault="005D02BB" w:rsidP="005D02BB"/>
    <w:p w14:paraId="014D1481" w14:textId="77777777" w:rsidR="005D02BB" w:rsidRPr="005D02BB" w:rsidRDefault="005D02BB" w:rsidP="005D02BB"/>
    <w:p w14:paraId="0E162FB9" w14:textId="77777777" w:rsidR="005D02BB" w:rsidRPr="005D02BB" w:rsidRDefault="005D02BB" w:rsidP="005D02BB"/>
    <w:p w14:paraId="4B57E53E" w14:textId="37C21A3F" w:rsidR="008337EF" w:rsidRDefault="008337EF"/>
    <w:sectPr w:rsidR="008337EF" w:rsidSect="0052484B">
      <w:headerReference w:type="default" r:id="rId6"/>
      <w:footerReference w:type="default" r:id="rId7"/>
      <w:footerReference w:type="first" r:id="rId8"/>
      <w:pgSz w:w="16838" w:h="11906" w:orient="landscape"/>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311CC" w14:textId="77777777" w:rsidR="00FC31C7" w:rsidRDefault="00FC31C7" w:rsidP="0052484B">
      <w:r>
        <w:separator/>
      </w:r>
    </w:p>
  </w:endnote>
  <w:endnote w:type="continuationSeparator" w:id="0">
    <w:p w14:paraId="7F7ED55E" w14:textId="77777777" w:rsidR="00FC31C7" w:rsidRDefault="00FC31C7" w:rsidP="0052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97C53" w14:textId="5CA2CA0B" w:rsidR="0052484B" w:rsidRPr="00865A3F" w:rsidRDefault="00865A3F" w:rsidP="00865A3F">
    <w:pPr>
      <w:pStyle w:val="Footer"/>
    </w:pPr>
    <w:r w:rsidRPr="00865A3F">
      <w:t>IZMIzz_</w:t>
    </w:r>
    <w:r w:rsidR="007E501A">
      <w:t>1002</w:t>
    </w:r>
    <w:r w:rsidR="007E501A" w:rsidRPr="00865A3F">
      <w:t>21</w:t>
    </w:r>
    <w:r w:rsidRPr="00865A3F">
      <w:t>_groz538_1048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39064" w14:textId="67865062" w:rsidR="0052484B" w:rsidRPr="00865A3F" w:rsidRDefault="00865A3F" w:rsidP="00865A3F">
    <w:pPr>
      <w:pStyle w:val="Footer"/>
    </w:pPr>
    <w:r w:rsidRPr="00865A3F">
      <w:t>IZMIzz_</w:t>
    </w:r>
    <w:r w:rsidR="007E501A">
      <w:t>1002</w:t>
    </w:r>
    <w:r w:rsidR="007E501A" w:rsidRPr="00865A3F">
      <w:t>21</w:t>
    </w:r>
    <w:r w:rsidRPr="00865A3F">
      <w:t>_groz538_1048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16160" w14:textId="77777777" w:rsidR="00FC31C7" w:rsidRDefault="00FC31C7" w:rsidP="0052484B">
      <w:r>
        <w:separator/>
      </w:r>
    </w:p>
  </w:footnote>
  <w:footnote w:type="continuationSeparator" w:id="0">
    <w:p w14:paraId="344DF60E" w14:textId="77777777" w:rsidR="00FC31C7" w:rsidRDefault="00FC31C7" w:rsidP="00524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224611"/>
      <w:docPartObj>
        <w:docPartGallery w:val="Page Numbers (Top of Page)"/>
        <w:docPartUnique/>
      </w:docPartObj>
    </w:sdtPr>
    <w:sdtEndPr>
      <w:rPr>
        <w:noProof/>
      </w:rPr>
    </w:sdtEndPr>
    <w:sdtContent>
      <w:p w14:paraId="4D279278" w14:textId="4C56228C" w:rsidR="0052484B" w:rsidRDefault="0052484B">
        <w:pPr>
          <w:pStyle w:val="Header"/>
          <w:jc w:val="center"/>
        </w:pPr>
        <w:r>
          <w:fldChar w:fldCharType="begin"/>
        </w:r>
        <w:r>
          <w:instrText xml:space="preserve"> PAGE   \* MERGEFORMAT </w:instrText>
        </w:r>
        <w:r>
          <w:fldChar w:fldCharType="separate"/>
        </w:r>
        <w:r w:rsidR="00D753B3">
          <w:rPr>
            <w:noProof/>
          </w:rPr>
          <w:t>12</w:t>
        </w:r>
        <w:r>
          <w:rPr>
            <w:noProof/>
          </w:rPr>
          <w:fldChar w:fldCharType="end"/>
        </w:r>
      </w:p>
    </w:sdtContent>
  </w:sdt>
  <w:p w14:paraId="03497867" w14:textId="77777777" w:rsidR="0052484B" w:rsidRDefault="005248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4B"/>
    <w:rsid w:val="00024078"/>
    <w:rsid w:val="00054276"/>
    <w:rsid w:val="00064D72"/>
    <w:rsid w:val="00086D76"/>
    <w:rsid w:val="000C350F"/>
    <w:rsid w:val="00101E89"/>
    <w:rsid w:val="001E4AE7"/>
    <w:rsid w:val="00250FA6"/>
    <w:rsid w:val="00262712"/>
    <w:rsid w:val="0029216C"/>
    <w:rsid w:val="002D31BF"/>
    <w:rsid w:val="003176EB"/>
    <w:rsid w:val="00327EB3"/>
    <w:rsid w:val="0034621F"/>
    <w:rsid w:val="00443815"/>
    <w:rsid w:val="0050170B"/>
    <w:rsid w:val="005104E5"/>
    <w:rsid w:val="0052484B"/>
    <w:rsid w:val="005953E7"/>
    <w:rsid w:val="005979F5"/>
    <w:rsid w:val="005C3E7B"/>
    <w:rsid w:val="005D02BB"/>
    <w:rsid w:val="007E501A"/>
    <w:rsid w:val="008337EF"/>
    <w:rsid w:val="00865A3F"/>
    <w:rsid w:val="008E255D"/>
    <w:rsid w:val="00956AE6"/>
    <w:rsid w:val="00974C91"/>
    <w:rsid w:val="009800CB"/>
    <w:rsid w:val="009B2A78"/>
    <w:rsid w:val="00A240FE"/>
    <w:rsid w:val="00AA5612"/>
    <w:rsid w:val="00AB192B"/>
    <w:rsid w:val="00AF2199"/>
    <w:rsid w:val="00B962EC"/>
    <w:rsid w:val="00BA382C"/>
    <w:rsid w:val="00C43E74"/>
    <w:rsid w:val="00C50E3C"/>
    <w:rsid w:val="00C61096"/>
    <w:rsid w:val="00C96DAE"/>
    <w:rsid w:val="00CD2B67"/>
    <w:rsid w:val="00D753B3"/>
    <w:rsid w:val="00D93661"/>
    <w:rsid w:val="00E16CB5"/>
    <w:rsid w:val="00EB7E4C"/>
    <w:rsid w:val="00F175FE"/>
    <w:rsid w:val="00F52683"/>
    <w:rsid w:val="00F71AD2"/>
    <w:rsid w:val="00FC31C7"/>
    <w:rsid w:val="00FD6F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A4BE"/>
  <w15:chartTrackingRefBased/>
  <w15:docId w15:val="{AFD0E841-D90E-491F-8BDA-0A7538C0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84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D93661"/>
    <w:pPr>
      <w:keepNext/>
      <w:keepLines/>
      <w:spacing w:before="240" w:line="259" w:lineRule="auto"/>
      <w:jc w:val="center"/>
      <w:outlineLvl w:val="0"/>
    </w:pPr>
    <w:rPr>
      <w:rFonts w:eastAsiaTheme="majorEastAsia" w:cstheme="majorBidi"/>
      <w:b/>
      <w:sz w:val="28"/>
      <w:szCs w:val="32"/>
      <w:lang w:eastAsia="en-US"/>
    </w:rPr>
  </w:style>
  <w:style w:type="paragraph" w:styleId="Heading2">
    <w:name w:val="heading 2"/>
    <w:basedOn w:val="Normal"/>
    <w:next w:val="Normal"/>
    <w:link w:val="Heading2Char"/>
    <w:uiPriority w:val="9"/>
    <w:unhideWhenUsed/>
    <w:qFormat/>
    <w:rsid w:val="00D93661"/>
    <w:pPr>
      <w:keepNext/>
      <w:keepLines/>
      <w:spacing w:before="40" w:line="360" w:lineRule="auto"/>
      <w:jc w:val="center"/>
      <w:outlineLvl w:val="1"/>
    </w:pPr>
    <w:rPr>
      <w:rFonts w:eastAsiaTheme="majorEastAsia" w:cstheme="majorBidi"/>
      <w:b/>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66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D93661"/>
    <w:rPr>
      <w:rFonts w:ascii="Times New Roman" w:eastAsiaTheme="majorEastAsia" w:hAnsi="Times New Roman" w:cstheme="majorBidi"/>
      <w:b/>
      <w:sz w:val="28"/>
      <w:szCs w:val="26"/>
    </w:rPr>
  </w:style>
  <w:style w:type="paragraph" w:styleId="NormalWeb">
    <w:name w:val="Normal (Web)"/>
    <w:basedOn w:val="Normal"/>
    <w:uiPriority w:val="99"/>
    <w:semiHidden/>
    <w:unhideWhenUsed/>
    <w:rsid w:val="0052484B"/>
    <w:pPr>
      <w:spacing w:before="100" w:beforeAutospacing="1" w:after="100" w:afterAutospacing="1"/>
    </w:pPr>
  </w:style>
  <w:style w:type="paragraph" w:customStyle="1" w:styleId="naisf">
    <w:name w:val="naisf"/>
    <w:basedOn w:val="Normal"/>
    <w:uiPriority w:val="99"/>
    <w:rsid w:val="0052484B"/>
    <w:pPr>
      <w:spacing w:before="75" w:after="75"/>
      <w:ind w:firstLine="375"/>
      <w:jc w:val="both"/>
    </w:pPr>
  </w:style>
  <w:style w:type="paragraph" w:customStyle="1" w:styleId="naisnod">
    <w:name w:val="naisnod"/>
    <w:basedOn w:val="Normal"/>
    <w:uiPriority w:val="99"/>
    <w:rsid w:val="0052484B"/>
    <w:pPr>
      <w:spacing w:before="150" w:after="150"/>
      <w:jc w:val="center"/>
    </w:pPr>
    <w:rPr>
      <w:b/>
      <w:bCs/>
    </w:rPr>
  </w:style>
  <w:style w:type="paragraph" w:customStyle="1" w:styleId="naislab">
    <w:name w:val="naislab"/>
    <w:basedOn w:val="Normal"/>
    <w:uiPriority w:val="99"/>
    <w:rsid w:val="0052484B"/>
    <w:pPr>
      <w:spacing w:before="75" w:after="75"/>
      <w:jc w:val="right"/>
    </w:pPr>
  </w:style>
  <w:style w:type="paragraph" w:customStyle="1" w:styleId="naiskr">
    <w:name w:val="naiskr"/>
    <w:basedOn w:val="Normal"/>
    <w:uiPriority w:val="99"/>
    <w:rsid w:val="0052484B"/>
    <w:pPr>
      <w:spacing w:before="75" w:after="75"/>
    </w:pPr>
  </w:style>
  <w:style w:type="paragraph" w:customStyle="1" w:styleId="naisc">
    <w:name w:val="naisc"/>
    <w:basedOn w:val="Normal"/>
    <w:uiPriority w:val="99"/>
    <w:rsid w:val="0052484B"/>
    <w:pPr>
      <w:spacing w:before="75" w:after="75"/>
      <w:jc w:val="center"/>
    </w:pPr>
  </w:style>
  <w:style w:type="paragraph" w:styleId="Header">
    <w:name w:val="header"/>
    <w:basedOn w:val="Normal"/>
    <w:link w:val="HeaderChar"/>
    <w:uiPriority w:val="99"/>
    <w:unhideWhenUsed/>
    <w:rsid w:val="0052484B"/>
    <w:pPr>
      <w:tabs>
        <w:tab w:val="center" w:pos="4153"/>
        <w:tab w:val="right" w:pos="8306"/>
      </w:tabs>
    </w:pPr>
  </w:style>
  <w:style w:type="character" w:customStyle="1" w:styleId="HeaderChar">
    <w:name w:val="Header Char"/>
    <w:basedOn w:val="DefaultParagraphFont"/>
    <w:link w:val="Header"/>
    <w:uiPriority w:val="99"/>
    <w:rsid w:val="0052484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2484B"/>
    <w:pPr>
      <w:tabs>
        <w:tab w:val="center" w:pos="4153"/>
        <w:tab w:val="right" w:pos="8306"/>
      </w:tabs>
    </w:pPr>
  </w:style>
  <w:style w:type="character" w:customStyle="1" w:styleId="FooterChar">
    <w:name w:val="Footer Char"/>
    <w:basedOn w:val="DefaultParagraphFont"/>
    <w:link w:val="Footer"/>
    <w:uiPriority w:val="99"/>
    <w:rsid w:val="0052484B"/>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D6F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F4C"/>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B962EC"/>
    <w:rPr>
      <w:sz w:val="16"/>
      <w:szCs w:val="16"/>
    </w:rPr>
  </w:style>
  <w:style w:type="paragraph" w:styleId="CommentText">
    <w:name w:val="annotation text"/>
    <w:basedOn w:val="Normal"/>
    <w:link w:val="CommentTextChar"/>
    <w:uiPriority w:val="99"/>
    <w:unhideWhenUsed/>
    <w:rsid w:val="00B962EC"/>
    <w:rPr>
      <w:sz w:val="20"/>
      <w:szCs w:val="20"/>
    </w:rPr>
  </w:style>
  <w:style w:type="character" w:customStyle="1" w:styleId="CommentTextChar">
    <w:name w:val="Comment Text Char"/>
    <w:basedOn w:val="DefaultParagraphFont"/>
    <w:link w:val="CommentText"/>
    <w:uiPriority w:val="99"/>
    <w:rsid w:val="00B962E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962EC"/>
    <w:rPr>
      <w:b/>
      <w:bCs/>
    </w:rPr>
  </w:style>
  <w:style w:type="character" w:customStyle="1" w:styleId="CommentSubjectChar">
    <w:name w:val="Comment Subject Char"/>
    <w:basedOn w:val="CommentTextChar"/>
    <w:link w:val="CommentSubject"/>
    <w:uiPriority w:val="99"/>
    <w:semiHidden/>
    <w:rsid w:val="00B962EC"/>
    <w:rPr>
      <w:rFonts w:ascii="Times New Roman" w:eastAsia="Times New Roman" w:hAnsi="Times New Roman" w:cs="Times New Roman"/>
      <w:b/>
      <w:bCs/>
      <w:sz w:val="20"/>
      <w:szCs w:val="20"/>
      <w:lang w:eastAsia="lv-LV"/>
    </w:rPr>
  </w:style>
  <w:style w:type="paragraph" w:styleId="NoSpacing">
    <w:name w:val="No Spacing"/>
    <w:basedOn w:val="Normal"/>
    <w:next w:val="Normal"/>
    <w:uiPriority w:val="1"/>
    <w:qFormat/>
    <w:rsid w:val="00EB7E4C"/>
    <w:pPr>
      <w:widowControl w:val="0"/>
      <w:jc w:val="both"/>
    </w:pPr>
    <w:rPr>
      <w:rFonts w:eastAsia="Calibri"/>
      <w:szCs w:val="22"/>
      <w:lang w:eastAsia="en-US"/>
    </w:rPr>
  </w:style>
  <w:style w:type="paragraph" w:styleId="FootnoteText">
    <w:name w:val="footnote text"/>
    <w:basedOn w:val="Normal"/>
    <w:link w:val="FootnoteTextChar"/>
    <w:uiPriority w:val="99"/>
    <w:semiHidden/>
    <w:unhideWhenUsed/>
    <w:rsid w:val="00AA5612"/>
    <w:rPr>
      <w:sz w:val="20"/>
      <w:szCs w:val="20"/>
    </w:rPr>
  </w:style>
  <w:style w:type="character" w:customStyle="1" w:styleId="FootnoteTextChar">
    <w:name w:val="Footnote Text Char"/>
    <w:basedOn w:val="DefaultParagraphFont"/>
    <w:link w:val="FootnoteText"/>
    <w:uiPriority w:val="99"/>
    <w:semiHidden/>
    <w:rsid w:val="00AA5612"/>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AA5612"/>
    <w:rPr>
      <w:vertAlign w:val="superscript"/>
    </w:rPr>
  </w:style>
  <w:style w:type="paragraph" w:styleId="EndnoteText">
    <w:name w:val="endnote text"/>
    <w:basedOn w:val="Normal"/>
    <w:link w:val="EndnoteTextChar"/>
    <w:uiPriority w:val="99"/>
    <w:semiHidden/>
    <w:unhideWhenUsed/>
    <w:rsid w:val="00AA5612"/>
    <w:rPr>
      <w:sz w:val="20"/>
      <w:szCs w:val="20"/>
    </w:rPr>
  </w:style>
  <w:style w:type="character" w:customStyle="1" w:styleId="EndnoteTextChar">
    <w:name w:val="Endnote Text Char"/>
    <w:basedOn w:val="DefaultParagraphFont"/>
    <w:link w:val="EndnoteText"/>
    <w:uiPriority w:val="99"/>
    <w:semiHidden/>
    <w:rsid w:val="00AA5612"/>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AA56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4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11869</Words>
  <Characters>6766</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Ance</dc:creator>
  <cp:keywords/>
  <dc:description/>
  <cp:lastModifiedBy>Laimdota Adlere</cp:lastModifiedBy>
  <cp:revision>3</cp:revision>
  <dcterms:created xsi:type="dcterms:W3CDTF">2021-02-11T12:10:00Z</dcterms:created>
  <dcterms:modified xsi:type="dcterms:W3CDTF">2021-02-11T12:10:00Z</dcterms:modified>
</cp:coreProperties>
</file>