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F9E77" w14:textId="77777777" w:rsidR="00365000" w:rsidRDefault="005A12E8" w:rsidP="00365000">
      <w:pPr>
        <w:jc w:val="center"/>
        <w:rPr>
          <w:b/>
          <w:color w:val="000000"/>
        </w:rPr>
      </w:pPr>
      <w:bookmarkStart w:id="0" w:name="_GoBack"/>
      <w:bookmarkEnd w:id="0"/>
      <w:r w:rsidRPr="00CC526C">
        <w:rPr>
          <w:b/>
        </w:rPr>
        <w:t>Izziņa par</w:t>
      </w:r>
      <w:r w:rsidR="003F6E75">
        <w:rPr>
          <w:b/>
        </w:rPr>
        <w:t xml:space="preserve"> </w:t>
      </w:r>
      <w:r w:rsidRPr="00CC526C">
        <w:rPr>
          <w:b/>
        </w:rPr>
        <w:t xml:space="preserve">atzinumos sniegtajiem iebildumiem par </w:t>
      </w:r>
      <w:r w:rsidR="00365000" w:rsidRPr="00365000">
        <w:rPr>
          <w:b/>
          <w:color w:val="000000"/>
        </w:rPr>
        <w:t>Ministru kabineta noteikumu projektu</w:t>
      </w:r>
    </w:p>
    <w:p w14:paraId="715F1178" w14:textId="77777777" w:rsidR="00CC526C" w:rsidRPr="009328F5" w:rsidRDefault="00F50E5B" w:rsidP="00365000">
      <w:pPr>
        <w:jc w:val="center"/>
        <w:rPr>
          <w:rFonts w:eastAsia="Calibri"/>
          <w:b/>
          <w:color w:val="000000"/>
          <w:lang w:eastAsia="en-US"/>
        </w:rPr>
      </w:pPr>
      <w:r>
        <w:rPr>
          <w:b/>
          <w:color w:val="000000"/>
        </w:rPr>
        <w:t>“</w:t>
      </w:r>
      <w:r w:rsidR="00365000" w:rsidRPr="00365000">
        <w:rPr>
          <w:b/>
          <w:color w:val="000000"/>
        </w:rPr>
        <w:t>Noteikumi par 202</w:t>
      </w:r>
      <w:r w:rsidR="00653CC2">
        <w:rPr>
          <w:b/>
          <w:color w:val="000000"/>
        </w:rPr>
        <w:t>1</w:t>
      </w:r>
      <w:r w:rsidR="00365000" w:rsidRPr="00365000">
        <w:rPr>
          <w:b/>
          <w:color w:val="000000"/>
        </w:rPr>
        <w:t>./202</w:t>
      </w:r>
      <w:r w:rsidR="00653CC2">
        <w:rPr>
          <w:b/>
          <w:color w:val="000000"/>
        </w:rPr>
        <w:t>2</w:t>
      </w:r>
      <w:r w:rsidR="00365000" w:rsidRPr="00365000">
        <w:rPr>
          <w:b/>
          <w:color w:val="000000"/>
        </w:rPr>
        <w:t>. mācību gada un mācību semestru sākuma un beigu laiku un brīvdienu laiku</w:t>
      </w:r>
      <w:r>
        <w:rPr>
          <w:b/>
          <w:color w:val="000000"/>
        </w:rPr>
        <w:t>”</w:t>
      </w:r>
      <w:r w:rsidRPr="00365000" w:rsidDel="00F50E5B">
        <w:rPr>
          <w:b/>
          <w:color w:val="000000"/>
        </w:rPr>
        <w:t xml:space="preserve"> </w:t>
      </w:r>
      <w:r w:rsidR="00CC526C" w:rsidRPr="009328F5">
        <w:rPr>
          <w:rFonts w:eastAsia="Calibri"/>
          <w:b/>
          <w:color w:val="000000"/>
          <w:lang w:eastAsia="en-US"/>
        </w:rPr>
        <w:t>(VSS-</w:t>
      </w:r>
      <w:r w:rsidR="00653CC2">
        <w:rPr>
          <w:rFonts w:eastAsia="Calibri"/>
          <w:b/>
          <w:color w:val="000000"/>
          <w:lang w:eastAsia="en-US"/>
        </w:rPr>
        <w:t>1052</w:t>
      </w:r>
      <w:r w:rsidR="00CC526C" w:rsidRPr="009328F5">
        <w:rPr>
          <w:rFonts w:eastAsia="Calibri"/>
          <w:b/>
          <w:color w:val="000000"/>
          <w:lang w:eastAsia="en-US"/>
        </w:rPr>
        <w:t>)</w:t>
      </w:r>
    </w:p>
    <w:p w14:paraId="672E2B6B" w14:textId="77777777" w:rsidR="00CC526C" w:rsidRPr="009328F5" w:rsidRDefault="00CC526C" w:rsidP="00CC526C">
      <w:pPr>
        <w:jc w:val="center"/>
        <w:rPr>
          <w:rFonts w:eastAsia="Calibri"/>
          <w:b/>
          <w:color w:val="000000"/>
          <w:lang w:eastAsia="en-US"/>
        </w:rPr>
      </w:pPr>
    </w:p>
    <w:p w14:paraId="71448767" w14:textId="77777777" w:rsidR="005A12E8" w:rsidRPr="00CC526C" w:rsidRDefault="005A12E8" w:rsidP="00CC526C">
      <w:pPr>
        <w:jc w:val="center"/>
        <w:rPr>
          <w:b/>
        </w:rPr>
      </w:pPr>
      <w:r w:rsidRPr="00CC526C">
        <w:rPr>
          <w:b/>
        </w:rPr>
        <w:t>I. Jautājumi, par kuriem saskaņošanā vienošanās nav panākta</w:t>
      </w:r>
    </w:p>
    <w:p w14:paraId="6D0B6AF5" w14:textId="77777777" w:rsidR="005A12E8" w:rsidRPr="00CC526C" w:rsidRDefault="005A12E8" w:rsidP="005A12E8">
      <w:r w:rsidRPr="00CC526C">
        <w:tab/>
      </w:r>
      <w:r w:rsidRPr="00CC526C">
        <w:tab/>
      </w:r>
      <w:r w:rsidRPr="00CC526C">
        <w:tab/>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4020"/>
        <w:gridCol w:w="3805"/>
        <w:gridCol w:w="3119"/>
        <w:gridCol w:w="2976"/>
      </w:tblGrid>
      <w:tr w:rsidR="005A12E8" w:rsidRPr="00CC526C" w14:paraId="06378275" w14:textId="77777777" w:rsidTr="0025470B">
        <w:trPr>
          <w:trHeight w:val="1920"/>
        </w:trPr>
        <w:tc>
          <w:tcPr>
            <w:tcW w:w="930" w:type="dxa"/>
            <w:tcBorders>
              <w:top w:val="single" w:sz="4" w:space="0" w:color="000000"/>
              <w:left w:val="single" w:sz="4" w:space="0" w:color="000000"/>
              <w:bottom w:val="single" w:sz="4" w:space="0" w:color="000000"/>
              <w:right w:val="single" w:sz="4" w:space="0" w:color="000000"/>
            </w:tcBorders>
            <w:hideMark/>
          </w:tcPr>
          <w:p w14:paraId="6A13329C" w14:textId="77777777" w:rsidR="005A12E8" w:rsidRPr="00CC526C" w:rsidRDefault="005A12E8">
            <w:pPr>
              <w:spacing w:before="58" w:after="58"/>
              <w:jc w:val="center"/>
            </w:pPr>
            <w:r w:rsidRPr="00CC526C">
              <w:t> Nr. p.k.</w:t>
            </w:r>
          </w:p>
        </w:tc>
        <w:tc>
          <w:tcPr>
            <w:tcW w:w="4020" w:type="dxa"/>
            <w:tcBorders>
              <w:top w:val="single" w:sz="4" w:space="0" w:color="000000"/>
              <w:left w:val="single" w:sz="4" w:space="0" w:color="000000"/>
              <w:bottom w:val="single" w:sz="4" w:space="0" w:color="000000"/>
              <w:right w:val="single" w:sz="4" w:space="0" w:color="000000"/>
            </w:tcBorders>
            <w:hideMark/>
          </w:tcPr>
          <w:p w14:paraId="7D898361" w14:textId="77777777" w:rsidR="005A12E8" w:rsidRPr="00CC526C" w:rsidRDefault="005A12E8">
            <w:pPr>
              <w:spacing w:before="58" w:after="58"/>
            </w:pPr>
            <w:r w:rsidRPr="00CC526C">
              <w:t>Saskaņošanai nosūtītā projekta redakcija (konkrēta punkta (panta) redakcija)</w:t>
            </w:r>
          </w:p>
        </w:tc>
        <w:tc>
          <w:tcPr>
            <w:tcW w:w="3805" w:type="dxa"/>
            <w:tcBorders>
              <w:top w:val="single" w:sz="4" w:space="0" w:color="000000"/>
              <w:left w:val="single" w:sz="4" w:space="0" w:color="000000"/>
              <w:bottom w:val="single" w:sz="4" w:space="0" w:color="000000"/>
              <w:right w:val="single" w:sz="4" w:space="0" w:color="000000"/>
            </w:tcBorders>
            <w:hideMark/>
          </w:tcPr>
          <w:p w14:paraId="1F8211FB" w14:textId="77777777" w:rsidR="005A12E8" w:rsidRPr="00CC526C" w:rsidRDefault="005A12E8">
            <w:pPr>
              <w:spacing w:before="58" w:after="58"/>
            </w:pPr>
            <w:r w:rsidRPr="00CC526C">
              <w:t>Atzinumā norādītais ministrijas (citas institūcijas) iebildums, kā arī saskaņošanā papildus izteiktais iebildums par projekta konkrēto punktu (pantu)</w:t>
            </w:r>
          </w:p>
        </w:tc>
        <w:tc>
          <w:tcPr>
            <w:tcW w:w="3119" w:type="dxa"/>
            <w:tcBorders>
              <w:top w:val="single" w:sz="4" w:space="0" w:color="000000"/>
              <w:left w:val="single" w:sz="4" w:space="0" w:color="000000"/>
              <w:bottom w:val="single" w:sz="4" w:space="0" w:color="000000"/>
              <w:right w:val="single" w:sz="4" w:space="0" w:color="000000"/>
            </w:tcBorders>
            <w:hideMark/>
          </w:tcPr>
          <w:p w14:paraId="5BF899D5" w14:textId="77777777" w:rsidR="005A12E8" w:rsidRPr="00CC526C" w:rsidRDefault="005A12E8">
            <w:pPr>
              <w:spacing w:before="58" w:after="58"/>
            </w:pPr>
            <w:r w:rsidRPr="00CC526C">
              <w:t>Atbildīgās ministrijas norāde par to, ka iebildums ir ņemts vērā, vai informācija par saskaņošanā panākto alternatīvo risinājumu</w:t>
            </w:r>
          </w:p>
        </w:tc>
        <w:tc>
          <w:tcPr>
            <w:tcW w:w="2976" w:type="dxa"/>
            <w:tcBorders>
              <w:top w:val="single" w:sz="4" w:space="0" w:color="000000"/>
              <w:left w:val="single" w:sz="4" w:space="0" w:color="000000"/>
              <w:bottom w:val="single" w:sz="4" w:space="0" w:color="000000"/>
              <w:right w:val="single" w:sz="4" w:space="0" w:color="000000"/>
            </w:tcBorders>
            <w:hideMark/>
          </w:tcPr>
          <w:p w14:paraId="6B325D70" w14:textId="77777777" w:rsidR="005A12E8" w:rsidRPr="00CC526C" w:rsidRDefault="005A12E8">
            <w:pPr>
              <w:spacing w:before="58" w:after="58"/>
              <w:jc w:val="center"/>
            </w:pPr>
            <w:r w:rsidRPr="00CC526C">
              <w:t>Projekta attiecīgā punkta (panta) galīgā redakcija</w:t>
            </w:r>
          </w:p>
        </w:tc>
      </w:tr>
    </w:tbl>
    <w:p w14:paraId="1A948438" w14:textId="77777777" w:rsidR="005A12E8" w:rsidRDefault="005A12E8" w:rsidP="005A12E8"/>
    <w:p w14:paraId="4EA11748" w14:textId="77777777" w:rsidR="00F82E72" w:rsidRPr="00712B66" w:rsidRDefault="00F82E72" w:rsidP="00F82E72">
      <w:pPr>
        <w:pStyle w:val="naisf"/>
        <w:spacing w:before="0" w:after="0"/>
        <w:ind w:firstLine="0"/>
        <w:rPr>
          <w:b/>
        </w:rPr>
      </w:pPr>
      <w:r w:rsidRPr="00712B66">
        <w:rPr>
          <w:b/>
        </w:rPr>
        <w:t xml:space="preserve">Informācija par starpministriju (starpinstitūciju) sanāksmi vai </w:t>
      </w:r>
      <w:r w:rsidRPr="00B00C2F">
        <w:rPr>
          <w:b/>
          <w:u w:val="single"/>
        </w:rPr>
        <w:t>elektronisko saskaņošanu</w:t>
      </w:r>
    </w:p>
    <w:tbl>
      <w:tblPr>
        <w:tblW w:w="12798" w:type="dxa"/>
        <w:tblLook w:val="00A0" w:firstRow="1" w:lastRow="0" w:firstColumn="1" w:lastColumn="0" w:noHBand="0" w:noVBand="0"/>
      </w:tblPr>
      <w:tblGrid>
        <w:gridCol w:w="12798"/>
      </w:tblGrid>
      <w:tr w:rsidR="00F82E72" w:rsidRPr="00712B66" w14:paraId="479ACC33" w14:textId="77777777" w:rsidTr="00B02A6D">
        <w:trPr>
          <w:trHeight w:val="465"/>
        </w:trPr>
        <w:tc>
          <w:tcPr>
            <w:tcW w:w="12798" w:type="dxa"/>
          </w:tcPr>
          <w:p w14:paraId="1507152D" w14:textId="77777777" w:rsidR="00F82E72" w:rsidRDefault="00F82E72" w:rsidP="00B02A6D">
            <w:pPr>
              <w:pStyle w:val="naisc"/>
              <w:spacing w:before="0" w:after="0"/>
              <w:jc w:val="left"/>
            </w:pPr>
          </w:p>
          <w:tbl>
            <w:tblPr>
              <w:tblW w:w="12582" w:type="dxa"/>
              <w:tblLook w:val="00A0" w:firstRow="1" w:lastRow="0" w:firstColumn="1" w:lastColumn="0" w:noHBand="0" w:noVBand="0"/>
            </w:tblPr>
            <w:tblGrid>
              <w:gridCol w:w="6246"/>
              <w:gridCol w:w="6336"/>
            </w:tblGrid>
            <w:tr w:rsidR="00F82E72" w:rsidRPr="00712B66" w14:paraId="26F12A9A" w14:textId="77777777" w:rsidTr="00B02A6D">
              <w:tc>
                <w:tcPr>
                  <w:tcW w:w="6345" w:type="dxa"/>
                </w:tcPr>
                <w:p w14:paraId="4BC42807" w14:textId="77777777" w:rsidR="00F82E72" w:rsidRPr="00712B66" w:rsidRDefault="00F82E72" w:rsidP="00B02A6D">
                  <w:pPr>
                    <w:pStyle w:val="naisf"/>
                    <w:spacing w:before="0" w:after="0"/>
                    <w:ind w:firstLine="0"/>
                  </w:pPr>
                  <w:r w:rsidRPr="00712B66">
                    <w:t>Datums</w:t>
                  </w:r>
                </w:p>
              </w:tc>
              <w:tc>
                <w:tcPr>
                  <w:tcW w:w="6237" w:type="dxa"/>
                  <w:tcBorders>
                    <w:bottom w:val="single" w:sz="4" w:space="0" w:color="auto"/>
                  </w:tcBorders>
                </w:tcPr>
                <w:p w14:paraId="3F4075BA" w14:textId="2FCCEF9C" w:rsidR="00F56039" w:rsidRPr="00712B66" w:rsidRDefault="00F56039" w:rsidP="00F56039">
                  <w:pPr>
                    <w:pStyle w:val="NormalWeb"/>
                    <w:spacing w:before="0" w:beforeAutospacing="0" w:after="0" w:afterAutospacing="0"/>
                  </w:pPr>
                  <w:r>
                    <w:t>2</w:t>
                  </w:r>
                  <w:r w:rsidR="00524C26">
                    <w:t>021.</w:t>
                  </w:r>
                  <w:r>
                    <w:t xml:space="preserve">gada 5.februārī </w:t>
                  </w:r>
                  <w:r w:rsidRPr="00F56039">
                    <w:t>nosūtīts elektroniskai saskaņošanai</w:t>
                  </w:r>
                </w:p>
              </w:tc>
            </w:tr>
            <w:tr w:rsidR="00F82E72" w:rsidRPr="00712B66" w14:paraId="672A4CDD" w14:textId="77777777" w:rsidTr="00B02A6D">
              <w:tc>
                <w:tcPr>
                  <w:tcW w:w="6345" w:type="dxa"/>
                </w:tcPr>
                <w:p w14:paraId="0CFC1B1C" w14:textId="77777777" w:rsidR="00F82E72" w:rsidRPr="00712B66" w:rsidRDefault="00F82E72" w:rsidP="00B02A6D">
                  <w:pPr>
                    <w:pStyle w:val="naisf"/>
                    <w:spacing w:before="0" w:after="0"/>
                    <w:ind w:firstLine="0"/>
                  </w:pPr>
                </w:p>
              </w:tc>
              <w:tc>
                <w:tcPr>
                  <w:tcW w:w="6237" w:type="dxa"/>
                  <w:tcBorders>
                    <w:top w:val="single" w:sz="4" w:space="0" w:color="auto"/>
                  </w:tcBorders>
                </w:tcPr>
                <w:p w14:paraId="3EA8A763" w14:textId="77777777" w:rsidR="00F82E72" w:rsidRPr="00712B66" w:rsidRDefault="00F82E72" w:rsidP="00B02A6D">
                  <w:pPr>
                    <w:pStyle w:val="NormalWeb"/>
                    <w:spacing w:before="0" w:beforeAutospacing="0" w:after="0" w:afterAutospacing="0"/>
                    <w:ind w:firstLine="720"/>
                  </w:pPr>
                </w:p>
              </w:tc>
            </w:tr>
            <w:tr w:rsidR="00F82E72" w:rsidRPr="00712B66" w14:paraId="2454D83F" w14:textId="77777777" w:rsidTr="00B02A6D">
              <w:tc>
                <w:tcPr>
                  <w:tcW w:w="6345" w:type="dxa"/>
                </w:tcPr>
                <w:p w14:paraId="5CD3BA90" w14:textId="77777777" w:rsidR="00F82E72" w:rsidRPr="00712B66" w:rsidRDefault="00F82E72" w:rsidP="00B02A6D">
                  <w:pPr>
                    <w:pStyle w:val="naiskr"/>
                    <w:spacing w:before="0" w:after="0"/>
                  </w:pPr>
                  <w:r>
                    <w:t>Saskaņošanas d</w:t>
                  </w:r>
                  <w:r w:rsidRPr="00712B66">
                    <w:t>alībnieki</w:t>
                  </w:r>
                </w:p>
              </w:tc>
              <w:tc>
                <w:tcPr>
                  <w:tcW w:w="6237" w:type="dxa"/>
                </w:tcPr>
                <w:p w14:paraId="41A8FEF4" w14:textId="7B68ABE5" w:rsidR="00F82E72" w:rsidRDefault="00F82E72" w:rsidP="00F82E72">
                  <w:pPr>
                    <w:pStyle w:val="NormalWeb"/>
                    <w:spacing w:before="0" w:beforeAutospacing="0" w:after="0" w:afterAutospacing="0"/>
                  </w:pPr>
                  <w:r>
                    <w:t xml:space="preserve">Tieslietu ministrija, Finanšu ministrija, </w:t>
                  </w:r>
                  <w:r w:rsidR="00F421E4">
                    <w:t xml:space="preserve">Labklājības ministrija, </w:t>
                  </w:r>
                  <w:r w:rsidR="00912C98" w:rsidRPr="00912C98">
                    <w:t>Latvijas Pašvaldību savienība</w:t>
                  </w:r>
                  <w:r w:rsidR="000F3540">
                    <w:t>, Latvijas Brīvo arodbiedrību savienība</w:t>
                  </w:r>
                  <w:r w:rsidR="00524C26">
                    <w:t>, Veselības ministrija</w:t>
                  </w:r>
                </w:p>
                <w:p w14:paraId="0B49ABEA" w14:textId="77777777" w:rsidR="00FB763A" w:rsidRPr="00712B66" w:rsidRDefault="00FB763A" w:rsidP="00F82E72">
                  <w:pPr>
                    <w:pStyle w:val="NormalWeb"/>
                    <w:spacing w:before="0" w:beforeAutospacing="0" w:after="0" w:afterAutospacing="0"/>
                  </w:pPr>
                  <w:r>
                    <w:t>___________________________________________________</w:t>
                  </w:r>
                </w:p>
              </w:tc>
            </w:tr>
          </w:tbl>
          <w:p w14:paraId="65F8B11E" w14:textId="77777777" w:rsidR="00F82E72" w:rsidRDefault="00F82E72" w:rsidP="00B02A6D">
            <w:r>
              <w:br w:type="page"/>
            </w:r>
          </w:p>
          <w:tbl>
            <w:tblPr>
              <w:tblW w:w="12374" w:type="dxa"/>
              <w:tblLook w:val="00A0" w:firstRow="1" w:lastRow="0" w:firstColumn="1" w:lastColumn="0" w:noHBand="0" w:noVBand="0"/>
            </w:tblPr>
            <w:tblGrid>
              <w:gridCol w:w="6271"/>
              <w:gridCol w:w="5854"/>
              <w:gridCol w:w="249"/>
            </w:tblGrid>
            <w:tr w:rsidR="00F82E72" w:rsidRPr="00712B66" w14:paraId="25EAC81D" w14:textId="77777777" w:rsidTr="00524C26">
              <w:trPr>
                <w:trHeight w:val="58"/>
              </w:trPr>
              <w:tc>
                <w:tcPr>
                  <w:tcW w:w="6271" w:type="dxa"/>
                </w:tcPr>
                <w:p w14:paraId="10AFA9A3" w14:textId="77777777" w:rsidR="00F82E72" w:rsidRDefault="00F82E72" w:rsidP="00B02A6D">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p w14:paraId="3E0B8E9C" w14:textId="77777777" w:rsidR="00F82E72" w:rsidRPr="00F82E72" w:rsidRDefault="00F82E72" w:rsidP="00F82E72"/>
                <w:p w14:paraId="5C6AB995" w14:textId="77777777" w:rsidR="00F82E72" w:rsidRPr="00F82E72" w:rsidRDefault="00F82E72" w:rsidP="00F82E72"/>
              </w:tc>
              <w:tc>
                <w:tcPr>
                  <w:tcW w:w="5854" w:type="dxa"/>
                </w:tcPr>
                <w:p w14:paraId="055E6AD7" w14:textId="77777777" w:rsidR="00FB763A" w:rsidRPr="00712B66" w:rsidRDefault="007B1787" w:rsidP="007B1787">
                  <w:pPr>
                    <w:pStyle w:val="naiskr"/>
                    <w:spacing w:before="0" w:after="0"/>
                    <w:ind w:left="-32"/>
                  </w:pPr>
                  <w:r>
                    <w:t xml:space="preserve">Tieslietu ministrija, </w:t>
                  </w:r>
                  <w:r w:rsidRPr="007B1787">
                    <w:t>Latvijas Brīvo arodbiedrību savienība</w:t>
                  </w:r>
                </w:p>
              </w:tc>
              <w:tc>
                <w:tcPr>
                  <w:tcW w:w="249" w:type="dxa"/>
                  <w:tcBorders>
                    <w:left w:val="nil"/>
                  </w:tcBorders>
                </w:tcPr>
                <w:p w14:paraId="12356831" w14:textId="77777777" w:rsidR="00F82E72" w:rsidRPr="00712B66" w:rsidRDefault="00F82E72" w:rsidP="00B02A6D">
                  <w:pPr>
                    <w:pStyle w:val="naiskr"/>
                    <w:spacing w:before="0" w:after="0"/>
                    <w:ind w:firstLine="12"/>
                  </w:pPr>
                </w:p>
              </w:tc>
            </w:tr>
            <w:tr w:rsidR="00F82E72" w:rsidRPr="00712B66" w14:paraId="14ED25C7" w14:textId="77777777" w:rsidTr="00524C26">
              <w:trPr>
                <w:trHeight w:val="853"/>
              </w:trPr>
              <w:tc>
                <w:tcPr>
                  <w:tcW w:w="6271" w:type="dxa"/>
                </w:tcPr>
                <w:p w14:paraId="3B0BCFBC" w14:textId="77777777" w:rsidR="00F82E72" w:rsidRPr="00712B66" w:rsidRDefault="00F82E72" w:rsidP="00B02A6D">
                  <w:pPr>
                    <w:pStyle w:val="naiskr"/>
                    <w:spacing w:before="0" w:after="0"/>
                  </w:pPr>
                  <w:r w:rsidRPr="00712B66">
                    <w:t>Ministrijas (citas institūcijas), kuras nav ieradušās uz sanāksmi vai kuras nav atbildējušas uz uzaicinājumu piedal</w:t>
                  </w:r>
                  <w:r w:rsidR="0012405E">
                    <w:t>īties elektroniskajā saskaņošan</w:t>
                  </w:r>
                  <w:r w:rsidR="007B1787">
                    <w:t>ā</w:t>
                  </w:r>
                </w:p>
              </w:tc>
              <w:tc>
                <w:tcPr>
                  <w:tcW w:w="6103" w:type="dxa"/>
                  <w:gridSpan w:val="2"/>
                </w:tcPr>
                <w:p w14:paraId="4F2D38E9" w14:textId="02634B88" w:rsidR="00F82E72" w:rsidRPr="006B40AC" w:rsidRDefault="00DB58D5" w:rsidP="00DB58D5">
                  <w:r>
                    <w:t>Finanšu ministrija, Labklājības ministrija,</w:t>
                  </w:r>
                  <w:r w:rsidRPr="00DB58D5">
                    <w:t xml:space="preserve"> Latvijas Pašvaldību savienība </w:t>
                  </w:r>
                  <w:r w:rsidRPr="00DB58D5">
                    <w:rPr>
                      <w:i/>
                    </w:rPr>
                    <w:t>(līdz ar to uzskatāms par saskaņotu pēc noklusējuma)</w:t>
                  </w:r>
                </w:p>
              </w:tc>
            </w:tr>
            <w:tr w:rsidR="00F82E72" w:rsidRPr="00712B66" w14:paraId="603A832A" w14:textId="77777777" w:rsidTr="00524C26">
              <w:tc>
                <w:tcPr>
                  <w:tcW w:w="6271" w:type="dxa"/>
                </w:tcPr>
                <w:p w14:paraId="68CF02AE" w14:textId="77777777" w:rsidR="00F82E72" w:rsidRPr="00712B66" w:rsidRDefault="00F82E72" w:rsidP="00B02A6D">
                  <w:pPr>
                    <w:pStyle w:val="naiskr"/>
                    <w:spacing w:before="0" w:after="0"/>
                    <w:ind w:firstLine="720"/>
                  </w:pPr>
                </w:p>
              </w:tc>
              <w:tc>
                <w:tcPr>
                  <w:tcW w:w="6103" w:type="dxa"/>
                  <w:gridSpan w:val="2"/>
                </w:tcPr>
                <w:p w14:paraId="68A6C0AC" w14:textId="77777777" w:rsidR="00F82E72" w:rsidRPr="00712B66" w:rsidRDefault="00F82E72" w:rsidP="00B02A6D">
                  <w:pPr>
                    <w:pStyle w:val="naiskr"/>
                    <w:spacing w:before="0" w:after="0"/>
                  </w:pPr>
                </w:p>
              </w:tc>
            </w:tr>
          </w:tbl>
          <w:p w14:paraId="3FC6C5B0" w14:textId="77777777" w:rsidR="00F82E72" w:rsidRPr="00712B66" w:rsidRDefault="00F82E72" w:rsidP="00B02A6D">
            <w:pPr>
              <w:pStyle w:val="naisc"/>
              <w:spacing w:before="0" w:after="0"/>
              <w:ind w:left="4820" w:firstLine="720"/>
            </w:pPr>
          </w:p>
        </w:tc>
      </w:tr>
    </w:tbl>
    <w:p w14:paraId="3F99E82D" w14:textId="77777777" w:rsidR="005A12E8" w:rsidRPr="00CC526C" w:rsidRDefault="005A12E8" w:rsidP="005A12E8">
      <w:pPr>
        <w:pStyle w:val="naisf"/>
        <w:spacing w:before="0" w:after="0"/>
        <w:ind w:firstLine="0"/>
        <w:jc w:val="center"/>
        <w:rPr>
          <w:b/>
        </w:rPr>
      </w:pPr>
      <w:r w:rsidRPr="00CC526C">
        <w:rPr>
          <w:b/>
        </w:rPr>
        <w:lastRenderedPageBreak/>
        <w:t>II. Jautājumi, par kuriem saskaņošanā vienošanās ir panākta</w:t>
      </w:r>
    </w:p>
    <w:p w14:paraId="0E6CCA76" w14:textId="77777777" w:rsidR="005A12E8" w:rsidRPr="00CC526C" w:rsidRDefault="005A12E8" w:rsidP="005A12E8">
      <w:pPr>
        <w:rPr>
          <w:b/>
        </w:rPr>
      </w:pPr>
      <w:r w:rsidRPr="00CC526C">
        <w:tab/>
      </w:r>
      <w:r w:rsidRPr="00CC526C">
        <w:tab/>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4020"/>
        <w:gridCol w:w="3805"/>
        <w:gridCol w:w="2977"/>
        <w:gridCol w:w="2977"/>
      </w:tblGrid>
      <w:tr w:rsidR="005A12E8" w:rsidRPr="00CC526C" w14:paraId="595C5015" w14:textId="77777777" w:rsidTr="0025470B">
        <w:trPr>
          <w:trHeight w:val="1920"/>
        </w:trPr>
        <w:tc>
          <w:tcPr>
            <w:tcW w:w="930" w:type="dxa"/>
            <w:tcBorders>
              <w:top w:val="single" w:sz="4" w:space="0" w:color="000000"/>
              <w:left w:val="single" w:sz="4" w:space="0" w:color="000000"/>
              <w:bottom w:val="single" w:sz="4" w:space="0" w:color="000000"/>
              <w:right w:val="single" w:sz="4" w:space="0" w:color="000000"/>
            </w:tcBorders>
            <w:hideMark/>
          </w:tcPr>
          <w:p w14:paraId="7E9FC89C" w14:textId="77777777" w:rsidR="005A12E8" w:rsidRPr="00CC526C" w:rsidRDefault="005A12E8">
            <w:pPr>
              <w:spacing w:before="58" w:after="58"/>
              <w:jc w:val="center"/>
            </w:pPr>
            <w:r w:rsidRPr="00CC526C">
              <w:t> Nr. p.k.</w:t>
            </w:r>
          </w:p>
        </w:tc>
        <w:tc>
          <w:tcPr>
            <w:tcW w:w="4020" w:type="dxa"/>
            <w:tcBorders>
              <w:top w:val="single" w:sz="4" w:space="0" w:color="000000"/>
              <w:left w:val="single" w:sz="4" w:space="0" w:color="000000"/>
              <w:bottom w:val="single" w:sz="4" w:space="0" w:color="000000"/>
              <w:right w:val="single" w:sz="4" w:space="0" w:color="000000"/>
            </w:tcBorders>
            <w:hideMark/>
          </w:tcPr>
          <w:p w14:paraId="52E00E45" w14:textId="77777777" w:rsidR="005A12E8" w:rsidRPr="00CC526C" w:rsidRDefault="005A12E8">
            <w:pPr>
              <w:spacing w:before="58" w:after="58"/>
            </w:pPr>
            <w:r w:rsidRPr="00CC526C">
              <w:t>Saskaņošanai nosūtītā projekta redakcija (konkrēta punkta (panta) redakcija)</w:t>
            </w:r>
          </w:p>
        </w:tc>
        <w:tc>
          <w:tcPr>
            <w:tcW w:w="3805" w:type="dxa"/>
            <w:tcBorders>
              <w:top w:val="single" w:sz="4" w:space="0" w:color="000000"/>
              <w:left w:val="single" w:sz="4" w:space="0" w:color="000000"/>
              <w:bottom w:val="single" w:sz="4" w:space="0" w:color="000000"/>
              <w:right w:val="single" w:sz="4" w:space="0" w:color="000000"/>
            </w:tcBorders>
            <w:hideMark/>
          </w:tcPr>
          <w:p w14:paraId="789041CF" w14:textId="77777777" w:rsidR="005A12E8" w:rsidRPr="00CC526C" w:rsidRDefault="005A12E8">
            <w:pPr>
              <w:spacing w:before="58" w:after="58"/>
            </w:pPr>
            <w:r w:rsidRPr="00CC526C">
              <w:t>Atzinumā norādītais ministrijas (citas institūcijas) iebildums, kā arī saskaņošanā papildus izteiktais iebildums par projekta konkrēto punktu (pantu)</w:t>
            </w:r>
          </w:p>
        </w:tc>
        <w:tc>
          <w:tcPr>
            <w:tcW w:w="2977" w:type="dxa"/>
            <w:tcBorders>
              <w:top w:val="single" w:sz="4" w:space="0" w:color="000000"/>
              <w:left w:val="single" w:sz="4" w:space="0" w:color="000000"/>
              <w:bottom w:val="single" w:sz="4" w:space="0" w:color="000000"/>
              <w:right w:val="single" w:sz="4" w:space="0" w:color="000000"/>
            </w:tcBorders>
            <w:hideMark/>
          </w:tcPr>
          <w:p w14:paraId="51398CBF" w14:textId="77777777" w:rsidR="005A12E8" w:rsidRPr="00CC526C" w:rsidRDefault="005A12E8">
            <w:pPr>
              <w:spacing w:before="58" w:after="58"/>
            </w:pPr>
            <w:r w:rsidRPr="00CC526C">
              <w:t>Atbildīgās ministrijas norāde par to, ka iebildums ir ņemts vērā, vai informācija par saskaņošanā panākto alternatīvo risinājumu</w:t>
            </w:r>
          </w:p>
        </w:tc>
        <w:tc>
          <w:tcPr>
            <w:tcW w:w="2977" w:type="dxa"/>
            <w:tcBorders>
              <w:top w:val="single" w:sz="4" w:space="0" w:color="000000"/>
              <w:left w:val="single" w:sz="4" w:space="0" w:color="000000"/>
              <w:bottom w:val="single" w:sz="4" w:space="0" w:color="000000"/>
              <w:right w:val="single" w:sz="4" w:space="0" w:color="000000"/>
            </w:tcBorders>
            <w:hideMark/>
          </w:tcPr>
          <w:p w14:paraId="27D9609E" w14:textId="77777777" w:rsidR="005A12E8" w:rsidRPr="00CC526C" w:rsidRDefault="005A12E8">
            <w:pPr>
              <w:spacing w:before="58" w:after="58"/>
              <w:jc w:val="center"/>
            </w:pPr>
            <w:r w:rsidRPr="00CC526C">
              <w:t>Projekta attiecīgā punkta (panta) galīgā redakcija</w:t>
            </w:r>
          </w:p>
        </w:tc>
      </w:tr>
      <w:tr w:rsidR="00DB58D5" w:rsidRPr="00DB58D5" w14:paraId="7E41C75A" w14:textId="77777777" w:rsidTr="00DB58D5">
        <w:trPr>
          <w:trHeight w:val="84"/>
        </w:trPr>
        <w:tc>
          <w:tcPr>
            <w:tcW w:w="930" w:type="dxa"/>
            <w:tcBorders>
              <w:top w:val="single" w:sz="4" w:space="0" w:color="000000"/>
              <w:left w:val="single" w:sz="4" w:space="0" w:color="000000"/>
              <w:bottom w:val="single" w:sz="4" w:space="0" w:color="000000"/>
              <w:right w:val="single" w:sz="4" w:space="0" w:color="000000"/>
            </w:tcBorders>
          </w:tcPr>
          <w:p w14:paraId="557FF129" w14:textId="53142556" w:rsidR="00DB58D5" w:rsidRPr="00DB58D5" w:rsidRDefault="00DB58D5" w:rsidP="00DB58D5">
            <w:pPr>
              <w:spacing w:before="58" w:after="58"/>
              <w:jc w:val="center"/>
              <w:rPr>
                <w:sz w:val="20"/>
                <w:szCs w:val="20"/>
              </w:rPr>
            </w:pPr>
            <w:r w:rsidRPr="00DB58D5">
              <w:rPr>
                <w:sz w:val="20"/>
                <w:szCs w:val="20"/>
              </w:rPr>
              <w:t>1.</w:t>
            </w:r>
          </w:p>
        </w:tc>
        <w:tc>
          <w:tcPr>
            <w:tcW w:w="4020" w:type="dxa"/>
            <w:tcBorders>
              <w:top w:val="single" w:sz="4" w:space="0" w:color="000000"/>
              <w:left w:val="single" w:sz="4" w:space="0" w:color="000000"/>
              <w:bottom w:val="single" w:sz="4" w:space="0" w:color="000000"/>
              <w:right w:val="single" w:sz="4" w:space="0" w:color="000000"/>
            </w:tcBorders>
          </w:tcPr>
          <w:p w14:paraId="2853A283" w14:textId="05209324" w:rsidR="00DB58D5" w:rsidRPr="00DB58D5" w:rsidRDefault="00DB58D5" w:rsidP="00DB58D5">
            <w:pPr>
              <w:tabs>
                <w:tab w:val="left" w:pos="1134"/>
              </w:tabs>
              <w:jc w:val="center"/>
              <w:rPr>
                <w:sz w:val="20"/>
                <w:szCs w:val="20"/>
              </w:rPr>
            </w:pPr>
            <w:r w:rsidRPr="00DB58D5">
              <w:rPr>
                <w:sz w:val="20"/>
                <w:szCs w:val="20"/>
              </w:rPr>
              <w:t>2</w:t>
            </w:r>
          </w:p>
        </w:tc>
        <w:tc>
          <w:tcPr>
            <w:tcW w:w="3805" w:type="dxa"/>
            <w:tcBorders>
              <w:top w:val="single" w:sz="4" w:space="0" w:color="000000"/>
              <w:left w:val="single" w:sz="4" w:space="0" w:color="000000"/>
              <w:bottom w:val="single" w:sz="4" w:space="0" w:color="000000"/>
              <w:right w:val="single" w:sz="4" w:space="0" w:color="000000"/>
            </w:tcBorders>
          </w:tcPr>
          <w:p w14:paraId="2B8E55A8" w14:textId="4DB983F9" w:rsidR="00DB58D5" w:rsidRPr="00DB58D5" w:rsidRDefault="00DB58D5" w:rsidP="00DB58D5">
            <w:pPr>
              <w:tabs>
                <w:tab w:val="left" w:pos="0"/>
                <w:tab w:val="left" w:pos="993"/>
              </w:tabs>
              <w:ind w:left="12"/>
              <w:jc w:val="center"/>
              <w:rPr>
                <w:sz w:val="20"/>
                <w:szCs w:val="20"/>
              </w:rPr>
            </w:pPr>
            <w:r w:rsidRPr="00DB58D5">
              <w:rPr>
                <w:sz w:val="20"/>
                <w:szCs w:val="20"/>
              </w:rPr>
              <w:t>3</w:t>
            </w:r>
          </w:p>
        </w:tc>
        <w:tc>
          <w:tcPr>
            <w:tcW w:w="2977" w:type="dxa"/>
            <w:tcBorders>
              <w:top w:val="single" w:sz="4" w:space="0" w:color="000000"/>
              <w:left w:val="single" w:sz="4" w:space="0" w:color="000000"/>
              <w:bottom w:val="single" w:sz="4" w:space="0" w:color="000000"/>
              <w:right w:val="single" w:sz="4" w:space="0" w:color="000000"/>
            </w:tcBorders>
          </w:tcPr>
          <w:p w14:paraId="0E78CE40" w14:textId="6108D4A0" w:rsidR="00DB58D5" w:rsidRPr="00DB58D5" w:rsidRDefault="00DB58D5" w:rsidP="00DB58D5">
            <w:pPr>
              <w:spacing w:before="58" w:after="58"/>
              <w:jc w:val="center"/>
              <w:rPr>
                <w:sz w:val="20"/>
                <w:szCs w:val="20"/>
              </w:rPr>
            </w:pPr>
            <w:r w:rsidRPr="00DB58D5">
              <w:rPr>
                <w:sz w:val="20"/>
                <w:szCs w:val="20"/>
              </w:rPr>
              <w:t>4</w:t>
            </w:r>
          </w:p>
        </w:tc>
        <w:tc>
          <w:tcPr>
            <w:tcW w:w="2977" w:type="dxa"/>
            <w:tcBorders>
              <w:top w:val="single" w:sz="4" w:space="0" w:color="000000"/>
              <w:left w:val="single" w:sz="4" w:space="0" w:color="000000"/>
              <w:bottom w:val="single" w:sz="4" w:space="0" w:color="000000"/>
              <w:right w:val="single" w:sz="4" w:space="0" w:color="000000"/>
            </w:tcBorders>
          </w:tcPr>
          <w:p w14:paraId="4B8D13EA" w14:textId="2AD1F0EB" w:rsidR="00DB58D5" w:rsidRPr="00DB58D5" w:rsidRDefault="00DB58D5" w:rsidP="00DB58D5">
            <w:pPr>
              <w:spacing w:before="58" w:after="58"/>
              <w:jc w:val="center"/>
              <w:rPr>
                <w:sz w:val="20"/>
                <w:szCs w:val="20"/>
              </w:rPr>
            </w:pPr>
            <w:r w:rsidRPr="00DB58D5">
              <w:rPr>
                <w:sz w:val="20"/>
                <w:szCs w:val="20"/>
              </w:rPr>
              <w:t>5</w:t>
            </w:r>
          </w:p>
        </w:tc>
      </w:tr>
      <w:tr w:rsidR="00F421E4" w:rsidRPr="004B2DDF" w14:paraId="797EB16D" w14:textId="77777777" w:rsidTr="0025470B">
        <w:trPr>
          <w:trHeight w:val="1266"/>
        </w:trPr>
        <w:tc>
          <w:tcPr>
            <w:tcW w:w="930" w:type="dxa"/>
            <w:tcBorders>
              <w:top w:val="single" w:sz="4" w:space="0" w:color="000000"/>
              <w:left w:val="single" w:sz="4" w:space="0" w:color="000000"/>
              <w:bottom w:val="single" w:sz="4" w:space="0" w:color="000000"/>
              <w:right w:val="single" w:sz="4" w:space="0" w:color="000000"/>
            </w:tcBorders>
          </w:tcPr>
          <w:p w14:paraId="457928CB" w14:textId="77777777" w:rsidR="00F421E4" w:rsidRPr="004B2DDF" w:rsidRDefault="00813003">
            <w:pPr>
              <w:spacing w:before="58" w:after="58"/>
              <w:jc w:val="center"/>
            </w:pPr>
            <w:r>
              <w:t>1.</w:t>
            </w:r>
          </w:p>
        </w:tc>
        <w:tc>
          <w:tcPr>
            <w:tcW w:w="4020" w:type="dxa"/>
            <w:tcBorders>
              <w:top w:val="single" w:sz="4" w:space="0" w:color="000000"/>
              <w:left w:val="single" w:sz="4" w:space="0" w:color="000000"/>
              <w:bottom w:val="single" w:sz="4" w:space="0" w:color="000000"/>
              <w:right w:val="single" w:sz="4" w:space="0" w:color="000000"/>
            </w:tcBorders>
          </w:tcPr>
          <w:p w14:paraId="2E327C72" w14:textId="77777777" w:rsidR="00F421E4" w:rsidRDefault="00F421E4" w:rsidP="00A86AC1">
            <w:pPr>
              <w:tabs>
                <w:tab w:val="left" w:pos="1134"/>
              </w:tabs>
              <w:jc w:val="both"/>
            </w:pPr>
            <w:r w:rsidRPr="00F421E4">
              <w:t>1. Noteikumi nosaka 2021. /2022. mācību gada un mācību semestru sākuma un beigu laiku un brīvdienu laiku izglītības iestāžu īstenotajās vispārējās izglītības programmās (izņemot pirmsskolas izglītības programmās).</w:t>
            </w:r>
          </w:p>
          <w:p w14:paraId="70AEF730" w14:textId="77777777" w:rsidR="00F64E87" w:rsidRDefault="00F64E87" w:rsidP="00A86AC1">
            <w:pPr>
              <w:tabs>
                <w:tab w:val="left" w:pos="1134"/>
              </w:tabs>
              <w:jc w:val="both"/>
            </w:pPr>
          </w:p>
          <w:p w14:paraId="541ED48D" w14:textId="67693555" w:rsidR="00F64E87" w:rsidRDefault="00F64E87" w:rsidP="00A86AC1">
            <w:pPr>
              <w:tabs>
                <w:tab w:val="left" w:pos="1134"/>
              </w:tabs>
              <w:jc w:val="both"/>
            </w:pPr>
            <w:r>
              <w:t>Noteikumu projekta anotācijas I sadaļas 2.punkts.</w:t>
            </w:r>
          </w:p>
        </w:tc>
        <w:tc>
          <w:tcPr>
            <w:tcW w:w="3805" w:type="dxa"/>
            <w:tcBorders>
              <w:top w:val="single" w:sz="4" w:space="0" w:color="000000"/>
              <w:left w:val="single" w:sz="4" w:space="0" w:color="000000"/>
              <w:bottom w:val="single" w:sz="4" w:space="0" w:color="000000"/>
              <w:right w:val="single" w:sz="4" w:space="0" w:color="000000"/>
            </w:tcBorders>
          </w:tcPr>
          <w:p w14:paraId="3DCD1923" w14:textId="77777777" w:rsidR="00F421E4" w:rsidRDefault="00F421E4" w:rsidP="004B2DDF">
            <w:pPr>
              <w:tabs>
                <w:tab w:val="left" w:pos="0"/>
                <w:tab w:val="left" w:pos="993"/>
              </w:tabs>
              <w:ind w:left="12"/>
              <w:jc w:val="both"/>
              <w:rPr>
                <w:b/>
              </w:rPr>
            </w:pPr>
            <w:r w:rsidRPr="00F421E4">
              <w:rPr>
                <w:b/>
              </w:rPr>
              <w:t>Tieslietu ministrija:</w:t>
            </w:r>
          </w:p>
          <w:p w14:paraId="004A2D7C" w14:textId="77777777" w:rsidR="00F421E4" w:rsidRPr="00F421E4" w:rsidRDefault="00F421E4" w:rsidP="004B2DDF">
            <w:pPr>
              <w:tabs>
                <w:tab w:val="left" w:pos="0"/>
                <w:tab w:val="left" w:pos="993"/>
              </w:tabs>
              <w:ind w:left="12"/>
              <w:jc w:val="both"/>
            </w:pPr>
            <w:r w:rsidRPr="00F421E4">
              <w:t>1.</w:t>
            </w:r>
            <w:r w:rsidRPr="00F421E4">
              <w:tab/>
              <w:t>Lai skaidrāk uztverams būtu projekta 1. punkts, lūdzam tajā neiekļaut izņēmumu gadījumu, bet gan konkretizēt izglītības programmas uz kurām attiecas noteikumi.  Vienlaikus precizējama arī anotācijas I sadaļas 2. punktā norādītā informācija par projekta 1. punktu.</w:t>
            </w:r>
          </w:p>
        </w:tc>
        <w:tc>
          <w:tcPr>
            <w:tcW w:w="2977" w:type="dxa"/>
            <w:tcBorders>
              <w:top w:val="single" w:sz="4" w:space="0" w:color="000000"/>
              <w:left w:val="single" w:sz="4" w:space="0" w:color="000000"/>
              <w:bottom w:val="single" w:sz="4" w:space="0" w:color="000000"/>
              <w:right w:val="single" w:sz="4" w:space="0" w:color="000000"/>
            </w:tcBorders>
          </w:tcPr>
          <w:p w14:paraId="38BF9263" w14:textId="77777777" w:rsidR="00F421E4" w:rsidRDefault="00F421E4" w:rsidP="002E20CA">
            <w:pPr>
              <w:spacing w:before="58" w:after="58"/>
              <w:jc w:val="both"/>
              <w:rPr>
                <w:b/>
              </w:rPr>
            </w:pPr>
            <w:r w:rsidRPr="00134145">
              <w:rPr>
                <w:b/>
              </w:rPr>
              <w:t>Ņemts vērā</w:t>
            </w:r>
            <w:r w:rsidR="00134145" w:rsidRPr="00134145">
              <w:rPr>
                <w:b/>
              </w:rPr>
              <w:t xml:space="preserve">. </w:t>
            </w:r>
          </w:p>
          <w:p w14:paraId="285FBD7B" w14:textId="51BB1827" w:rsidR="00BA2AB7" w:rsidRPr="003438F0" w:rsidRDefault="003438F0" w:rsidP="003438F0">
            <w:pPr>
              <w:spacing w:before="58" w:after="58"/>
              <w:jc w:val="both"/>
            </w:pPr>
            <w:r w:rsidRPr="003438F0">
              <w:t>Precizēts noteikumu</w:t>
            </w:r>
            <w:r w:rsidR="00332DE5">
              <w:t xml:space="preserve"> projekta </w:t>
            </w:r>
            <w:r w:rsidRPr="003438F0">
              <w:t xml:space="preserve"> 1.punkts un </w:t>
            </w:r>
            <w:r w:rsidR="0079370C" w:rsidRPr="003438F0">
              <w:t>precizēt</w:t>
            </w:r>
            <w:r w:rsidR="0079370C">
              <w:t>s</w:t>
            </w:r>
            <w:r w:rsidR="0079370C" w:rsidRPr="003438F0">
              <w:t xml:space="preserve"> </w:t>
            </w:r>
            <w:r w:rsidRPr="003438F0">
              <w:t>noteikumu projekta anotācijas I sadaļas 2.punkts</w:t>
            </w:r>
            <w:r w:rsidR="0079370C">
              <w:t xml:space="preserve">, II sadaļas 1.punkts un VII </w:t>
            </w:r>
            <w:r w:rsidR="00723C39">
              <w:t xml:space="preserve">sadaļas </w:t>
            </w:r>
            <w:r w:rsidR="0079370C">
              <w:t>1.punkts</w:t>
            </w:r>
            <w:r>
              <w:t>.</w:t>
            </w:r>
            <w:r w:rsidRPr="003438F0">
              <w:t xml:space="preserve"> </w:t>
            </w:r>
          </w:p>
        </w:tc>
        <w:tc>
          <w:tcPr>
            <w:tcW w:w="2977" w:type="dxa"/>
            <w:tcBorders>
              <w:top w:val="single" w:sz="4" w:space="0" w:color="000000"/>
              <w:left w:val="single" w:sz="4" w:space="0" w:color="000000"/>
              <w:bottom w:val="single" w:sz="4" w:space="0" w:color="000000"/>
              <w:right w:val="single" w:sz="4" w:space="0" w:color="000000"/>
            </w:tcBorders>
          </w:tcPr>
          <w:p w14:paraId="55E5D1CD" w14:textId="77777777" w:rsidR="00F421E4" w:rsidRDefault="00134145" w:rsidP="00EA31BC">
            <w:pPr>
              <w:spacing w:before="58" w:after="58"/>
              <w:jc w:val="both"/>
            </w:pPr>
            <w:r w:rsidRPr="00DC73EA">
              <w:t xml:space="preserve">1. Noteikumi nosaka 2021./2022. mācību gada un mācību semestru sākuma un beigu laiku un brīvdienu laiku izglītības </w:t>
            </w:r>
            <w:r w:rsidR="00EA31BC" w:rsidRPr="00DC73EA">
              <w:t>iestāžu īstenotajās v</w:t>
            </w:r>
            <w:r w:rsidRPr="00DC73EA">
              <w:t>ispārējās pamatizglītības un vispārējās vidējās izglītības programm</w:t>
            </w:r>
            <w:r w:rsidR="00EA31BC" w:rsidRPr="00DC73EA">
              <w:t>ā</w:t>
            </w:r>
            <w:r w:rsidRPr="00DC73EA">
              <w:t>s.</w:t>
            </w:r>
          </w:p>
          <w:p w14:paraId="2E618F80" w14:textId="77777777" w:rsidR="00DB58D5" w:rsidRDefault="00DB58D5" w:rsidP="00EA31BC">
            <w:pPr>
              <w:spacing w:before="58" w:after="58"/>
              <w:jc w:val="both"/>
            </w:pPr>
          </w:p>
          <w:p w14:paraId="7BF4CD8E" w14:textId="02F82C62" w:rsidR="00F64E87" w:rsidRPr="004B2DDF" w:rsidRDefault="00F64E87" w:rsidP="00EA31BC">
            <w:pPr>
              <w:spacing w:before="58" w:after="58"/>
              <w:jc w:val="both"/>
            </w:pPr>
            <w:r>
              <w:t>N</w:t>
            </w:r>
            <w:r w:rsidRPr="003438F0">
              <w:t>oteikumu projekta anotācijas I sadaļas 2.punkts</w:t>
            </w:r>
            <w:r>
              <w:t>, II sadaļas 1.punkts un VII sadaļas 1.punkts.</w:t>
            </w:r>
          </w:p>
        </w:tc>
      </w:tr>
      <w:tr w:rsidR="00F421E4" w:rsidRPr="004B2DDF" w14:paraId="5C86542D" w14:textId="77777777" w:rsidTr="0080402E">
        <w:trPr>
          <w:trHeight w:val="1266"/>
        </w:trPr>
        <w:tc>
          <w:tcPr>
            <w:tcW w:w="930" w:type="dxa"/>
            <w:tcBorders>
              <w:top w:val="single" w:sz="4" w:space="0" w:color="000000"/>
              <w:left w:val="single" w:sz="4" w:space="0" w:color="000000"/>
              <w:bottom w:val="single" w:sz="4" w:space="0" w:color="000000"/>
              <w:right w:val="single" w:sz="4" w:space="0" w:color="000000"/>
            </w:tcBorders>
          </w:tcPr>
          <w:p w14:paraId="0C6991B8" w14:textId="77777777" w:rsidR="00F421E4" w:rsidRPr="004B2DDF" w:rsidRDefault="00813003">
            <w:pPr>
              <w:spacing w:before="58" w:after="58"/>
              <w:jc w:val="center"/>
            </w:pPr>
            <w:r>
              <w:lastRenderedPageBreak/>
              <w:t>2.</w:t>
            </w:r>
          </w:p>
        </w:tc>
        <w:tc>
          <w:tcPr>
            <w:tcW w:w="4020" w:type="dxa"/>
            <w:tcBorders>
              <w:top w:val="single" w:sz="4" w:space="0" w:color="000000"/>
              <w:left w:val="single" w:sz="4" w:space="0" w:color="000000"/>
              <w:bottom w:val="single" w:sz="4" w:space="0" w:color="000000"/>
              <w:right w:val="single" w:sz="4" w:space="0" w:color="000000"/>
            </w:tcBorders>
          </w:tcPr>
          <w:p w14:paraId="2DF39F22" w14:textId="77777777" w:rsidR="00912C98" w:rsidRDefault="001E21E1" w:rsidP="001E21E1">
            <w:pPr>
              <w:tabs>
                <w:tab w:val="left" w:pos="1134"/>
              </w:tabs>
              <w:jc w:val="both"/>
            </w:pPr>
            <w:r w:rsidRPr="001E21E1">
              <w:t xml:space="preserve">3. 1.–8. klases un 10.–11. klases izglītojamiem mācību gads beidzas 2022. gada 31. </w:t>
            </w:r>
            <w:r>
              <w:t>augustā</w:t>
            </w:r>
            <w:r w:rsidRPr="001E21E1">
              <w:t>.</w:t>
            </w:r>
          </w:p>
          <w:p w14:paraId="2BBCFB26" w14:textId="77777777" w:rsidR="00F64E87" w:rsidRDefault="00F64E87" w:rsidP="001E21E1">
            <w:pPr>
              <w:tabs>
                <w:tab w:val="left" w:pos="1134"/>
              </w:tabs>
              <w:jc w:val="both"/>
            </w:pPr>
          </w:p>
          <w:p w14:paraId="490801B5" w14:textId="731BF9C3" w:rsidR="00F64E87" w:rsidRDefault="00F64E87" w:rsidP="001E21E1">
            <w:pPr>
              <w:tabs>
                <w:tab w:val="left" w:pos="1134"/>
              </w:tabs>
              <w:jc w:val="both"/>
            </w:pPr>
            <w:r>
              <w:t>Noteikumu projekta anotācijas I sadaļas 2.punkts.</w:t>
            </w:r>
          </w:p>
        </w:tc>
        <w:tc>
          <w:tcPr>
            <w:tcW w:w="3805" w:type="dxa"/>
            <w:tcBorders>
              <w:top w:val="single" w:sz="4" w:space="0" w:color="000000"/>
              <w:left w:val="single" w:sz="4" w:space="0" w:color="000000"/>
              <w:bottom w:val="single" w:sz="4" w:space="0" w:color="000000"/>
              <w:right w:val="single" w:sz="4" w:space="0" w:color="000000"/>
            </w:tcBorders>
          </w:tcPr>
          <w:p w14:paraId="533649A1" w14:textId="77777777" w:rsidR="00F421E4" w:rsidRDefault="00F421E4" w:rsidP="004B2DDF">
            <w:pPr>
              <w:tabs>
                <w:tab w:val="left" w:pos="0"/>
                <w:tab w:val="left" w:pos="993"/>
              </w:tabs>
              <w:ind w:left="12"/>
              <w:jc w:val="both"/>
              <w:rPr>
                <w:b/>
              </w:rPr>
            </w:pPr>
            <w:r w:rsidRPr="00F421E4">
              <w:rPr>
                <w:b/>
              </w:rPr>
              <w:t>Tieslietu ministrija:</w:t>
            </w:r>
          </w:p>
          <w:p w14:paraId="64B38D43" w14:textId="77777777" w:rsidR="00F421E4" w:rsidRPr="00F421E4" w:rsidRDefault="00F421E4" w:rsidP="00F421E4">
            <w:pPr>
              <w:tabs>
                <w:tab w:val="left" w:pos="0"/>
                <w:tab w:val="left" w:pos="993"/>
              </w:tabs>
              <w:ind w:left="12"/>
              <w:jc w:val="both"/>
            </w:pPr>
            <w:r w:rsidRPr="00F421E4">
              <w:t>2.</w:t>
            </w:r>
            <w:r w:rsidRPr="00F421E4">
              <w:tab/>
              <w:t>Anotācijas I sadaļas 2.punktā norādīts, ka projektā precizēts mācību gada beigu datums, jo Vispārējās izglītības likuma 36. pantā un 46. pantā noteiktajā mācību gada ilgumā neieskaita nevienu no brīvdienu laikiem.</w:t>
            </w:r>
          </w:p>
          <w:p w14:paraId="573F3322" w14:textId="77777777" w:rsidR="00F421E4" w:rsidRPr="00F421E4" w:rsidRDefault="00F421E4" w:rsidP="00F421E4">
            <w:pPr>
              <w:tabs>
                <w:tab w:val="left" w:pos="0"/>
                <w:tab w:val="left" w:pos="993"/>
              </w:tabs>
              <w:ind w:left="12"/>
              <w:jc w:val="both"/>
              <w:rPr>
                <w:b/>
              </w:rPr>
            </w:pPr>
            <w:r w:rsidRPr="00F421E4">
              <w:t xml:space="preserve">Lūdzam sniegt skaidrojumu tam, kāpēc mācību gada ilgumā neieskaita nevienu no brīvdienu laikiem. Kā arī lūdzam precizēt </w:t>
            </w:r>
            <w:r w:rsidRPr="001E21E1">
              <w:t>projekta 3. punktā</w:t>
            </w:r>
            <w:r w:rsidRPr="00F421E4">
              <w:t xml:space="preserve"> norādīto mēnesi, kurā beidzas mācību gads, jo tas nonāk pretrunā ar projekta 6.2.1. apakšpunktu, kas paredz, ka otrais semestris ilgst līdz 2022. gada 31. maijam. Proti, projekta 3. punkts paredz, ka mācību gads beidzas 2022. gada 31. augustā, nevis maijā.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E99797E" w14:textId="77777777" w:rsidR="00DC73EA" w:rsidRPr="0080402E" w:rsidRDefault="00DC73EA" w:rsidP="002E20CA">
            <w:pPr>
              <w:spacing w:before="58" w:after="58"/>
              <w:jc w:val="both"/>
              <w:rPr>
                <w:b/>
              </w:rPr>
            </w:pPr>
            <w:r w:rsidRPr="0080402E">
              <w:rPr>
                <w:b/>
              </w:rPr>
              <w:t xml:space="preserve">Ņemts vērā: </w:t>
            </w:r>
          </w:p>
          <w:p w14:paraId="50D69DF4" w14:textId="592AC5D7" w:rsidR="00E358EB" w:rsidRPr="0080402E" w:rsidRDefault="00DC73EA" w:rsidP="002E20CA">
            <w:pPr>
              <w:spacing w:before="58" w:after="58"/>
              <w:jc w:val="both"/>
            </w:pPr>
            <w:r w:rsidRPr="0080402E">
              <w:t xml:space="preserve">Precizēts noteikumu projekta </w:t>
            </w:r>
            <w:r w:rsidR="001E21E1">
              <w:t>3</w:t>
            </w:r>
            <w:r w:rsidRPr="0080402E">
              <w:t>.pun</w:t>
            </w:r>
            <w:r w:rsidR="009654E6" w:rsidRPr="0080402E">
              <w:t xml:space="preserve">kts </w:t>
            </w:r>
            <w:r w:rsidR="003438F0" w:rsidRPr="0080402E">
              <w:t xml:space="preserve"> un  </w:t>
            </w:r>
            <w:r w:rsidR="009654E6" w:rsidRPr="0080402E">
              <w:t xml:space="preserve">papildināts noteikumu projekta anotācijas I sadaļas 2.punkts. </w:t>
            </w:r>
            <w:r w:rsidRPr="0080402E">
              <w:t xml:space="preserve"> </w:t>
            </w:r>
          </w:p>
          <w:p w14:paraId="547688E9" w14:textId="77777777" w:rsidR="00F421E4" w:rsidRPr="0080402E" w:rsidRDefault="00F421E4" w:rsidP="002E20CA">
            <w:pPr>
              <w:spacing w:before="58" w:after="58"/>
              <w:jc w:val="both"/>
            </w:pPr>
          </w:p>
        </w:tc>
        <w:tc>
          <w:tcPr>
            <w:tcW w:w="2977" w:type="dxa"/>
            <w:tcBorders>
              <w:top w:val="single" w:sz="4" w:space="0" w:color="000000"/>
              <w:left w:val="single" w:sz="4" w:space="0" w:color="000000"/>
              <w:bottom w:val="single" w:sz="4" w:space="0" w:color="000000"/>
              <w:right w:val="single" w:sz="4" w:space="0" w:color="000000"/>
            </w:tcBorders>
          </w:tcPr>
          <w:p w14:paraId="6F724A6C" w14:textId="77777777" w:rsidR="00F421E4" w:rsidRDefault="001E21E1" w:rsidP="00E358EB">
            <w:pPr>
              <w:spacing w:before="58" w:after="58"/>
              <w:jc w:val="both"/>
            </w:pPr>
            <w:r w:rsidRPr="001E21E1">
              <w:t>3. 1.–8. klases un 10.–11. klases izglītojamiem mācību gads beidzas 2022. gada 31. maijā.</w:t>
            </w:r>
          </w:p>
          <w:p w14:paraId="5CB75968" w14:textId="77777777" w:rsidR="00F64E87" w:rsidRDefault="00F64E87" w:rsidP="00E358EB">
            <w:pPr>
              <w:spacing w:before="58" w:after="58"/>
              <w:jc w:val="both"/>
            </w:pPr>
          </w:p>
          <w:p w14:paraId="626F225E" w14:textId="1349A893" w:rsidR="00F64E87" w:rsidRPr="00DC73EA" w:rsidRDefault="00F64E87" w:rsidP="00E358EB">
            <w:pPr>
              <w:spacing w:before="58" w:after="58"/>
              <w:jc w:val="both"/>
            </w:pPr>
            <w:r>
              <w:t>Noteikumu projekta anotācijas I sadaļas 2.punkts.</w:t>
            </w:r>
          </w:p>
        </w:tc>
      </w:tr>
      <w:tr w:rsidR="00F421E4" w:rsidRPr="004B2DDF" w14:paraId="249659BD" w14:textId="77777777" w:rsidTr="0025470B">
        <w:trPr>
          <w:trHeight w:val="1266"/>
        </w:trPr>
        <w:tc>
          <w:tcPr>
            <w:tcW w:w="930" w:type="dxa"/>
            <w:tcBorders>
              <w:top w:val="single" w:sz="4" w:space="0" w:color="000000"/>
              <w:left w:val="single" w:sz="4" w:space="0" w:color="000000"/>
              <w:bottom w:val="single" w:sz="4" w:space="0" w:color="000000"/>
              <w:right w:val="single" w:sz="4" w:space="0" w:color="000000"/>
            </w:tcBorders>
          </w:tcPr>
          <w:p w14:paraId="28582EFF" w14:textId="77777777" w:rsidR="00F421E4" w:rsidRPr="004B2DDF" w:rsidRDefault="00813003">
            <w:pPr>
              <w:spacing w:before="58" w:after="58"/>
              <w:jc w:val="center"/>
            </w:pPr>
            <w:r>
              <w:t>3.</w:t>
            </w:r>
          </w:p>
        </w:tc>
        <w:tc>
          <w:tcPr>
            <w:tcW w:w="4020" w:type="dxa"/>
            <w:tcBorders>
              <w:top w:val="single" w:sz="4" w:space="0" w:color="000000"/>
              <w:left w:val="single" w:sz="4" w:space="0" w:color="000000"/>
              <w:bottom w:val="single" w:sz="4" w:space="0" w:color="000000"/>
              <w:right w:val="single" w:sz="4" w:space="0" w:color="000000"/>
            </w:tcBorders>
          </w:tcPr>
          <w:p w14:paraId="5A0FAEA6" w14:textId="55CA3201" w:rsidR="00F421E4" w:rsidRDefault="00890398" w:rsidP="00A86AC1">
            <w:pPr>
              <w:tabs>
                <w:tab w:val="left" w:pos="1134"/>
              </w:tabs>
              <w:jc w:val="both"/>
            </w:pPr>
            <w:r>
              <w:t>Noteikumu projekta anotācijas I sadaļas 2.punkts.</w:t>
            </w:r>
          </w:p>
        </w:tc>
        <w:tc>
          <w:tcPr>
            <w:tcW w:w="3805" w:type="dxa"/>
            <w:tcBorders>
              <w:top w:val="single" w:sz="4" w:space="0" w:color="000000"/>
              <w:left w:val="single" w:sz="4" w:space="0" w:color="000000"/>
              <w:bottom w:val="single" w:sz="4" w:space="0" w:color="000000"/>
              <w:right w:val="single" w:sz="4" w:space="0" w:color="000000"/>
            </w:tcBorders>
          </w:tcPr>
          <w:p w14:paraId="26ABF11F" w14:textId="77777777" w:rsidR="00F421E4" w:rsidRDefault="00F421E4" w:rsidP="004B2DDF">
            <w:pPr>
              <w:tabs>
                <w:tab w:val="left" w:pos="0"/>
                <w:tab w:val="left" w:pos="993"/>
              </w:tabs>
              <w:ind w:left="12"/>
              <w:jc w:val="both"/>
              <w:rPr>
                <w:b/>
              </w:rPr>
            </w:pPr>
            <w:r w:rsidRPr="00F421E4">
              <w:rPr>
                <w:b/>
              </w:rPr>
              <w:t>Tieslietu ministrija:</w:t>
            </w:r>
          </w:p>
          <w:p w14:paraId="2D4DEB6F" w14:textId="77777777" w:rsidR="00F421E4" w:rsidRPr="00F421E4" w:rsidRDefault="00F421E4" w:rsidP="00F421E4">
            <w:pPr>
              <w:tabs>
                <w:tab w:val="left" w:pos="0"/>
                <w:tab w:val="left" w:pos="993"/>
              </w:tabs>
              <w:ind w:left="12"/>
              <w:jc w:val="both"/>
            </w:pPr>
            <w:r w:rsidRPr="00F421E4">
              <w:t>3.</w:t>
            </w:r>
            <w:r w:rsidRPr="00F421E4">
              <w:tab/>
              <w:t xml:space="preserve">Ministru kabineta 2013. gada 17. decembra noteikumu Nr. 1510 "Valsts pārbaudījumu norises kārtība" 17. punkts paredz, ka izglītojamais, kurš iegūst vispārējo vidējo izglītību vispārējās vidējās izglītības iestādē vai profesionālās vidējās izglītības iestādē, eksāmenu </w:t>
            </w:r>
            <w:r w:rsidRPr="00F421E4">
              <w:lastRenderedPageBreak/>
              <w:t xml:space="preserve">attiecīgajā mācību gadā kārto vienu reizi. No normas izriet, ka valsts pārbaudījumiem jānotiek mācību gada laika ietvarā. </w:t>
            </w:r>
          </w:p>
          <w:p w14:paraId="214DCB81" w14:textId="77777777" w:rsidR="00F421E4" w:rsidRPr="00F421E4" w:rsidRDefault="00F421E4" w:rsidP="00F421E4">
            <w:pPr>
              <w:tabs>
                <w:tab w:val="left" w:pos="0"/>
                <w:tab w:val="left" w:pos="993"/>
              </w:tabs>
              <w:ind w:left="12"/>
              <w:jc w:val="both"/>
            </w:pPr>
            <w:r w:rsidRPr="00F421E4">
              <w:t>Norādām, ka 2020. gada 3. decembrī Valsts sekretāru sanāksmē tika izsludināts Ministru kabineta noteikumu projektu „Noteikumi par valsts pārbaudes darbu norises laiku 2021./2022. mācību gadā” (turpmāk – projekts VSS-1047). Ar projektu VSS-1047 tiek paredzēts noteikt, ka 9. un 12. klašu izglītojamiem, kuri attaisnojošu iemeslu dēļ nevar kārtot eksāmenus noteiktajā laikā, valsts pārbaudījums kārtos vēlāk. Proti, 9. klases izglītojamie, kuri attaisnojošu iemeslu dēļ nevar kārtot eksāmenus noteiktajā laikā, Latvijas vēsturē eksāmenu kārtos 2022. gada 21. jūnijā, kas ir pēc projekta 4.punktā noteiktā mācību gada beigām. Savukārt 12. klases izglītojamie, kuri attaisnojošu iemeslu dēļ nevar kārtot eksāmenus noteiktajā laikā, eksāmenu ģeogrāfijā kārtos 2022. gada 1. jūlijā, kas arī ir pēc projekta 5.punktā noteiktā mācību gada beigām.</w:t>
            </w:r>
          </w:p>
          <w:p w14:paraId="4084E6F6" w14:textId="77777777" w:rsidR="00F421E4" w:rsidRPr="00F421E4" w:rsidRDefault="00F421E4" w:rsidP="00F421E4">
            <w:pPr>
              <w:tabs>
                <w:tab w:val="left" w:pos="0"/>
                <w:tab w:val="left" w:pos="993"/>
              </w:tabs>
              <w:ind w:left="12"/>
              <w:jc w:val="both"/>
            </w:pPr>
            <w:r w:rsidRPr="00F421E4">
              <w:lastRenderedPageBreak/>
              <w:tab/>
              <w:t>Vēršam uzmanību, ka mācību gada sākuma un beigu laika noteikšanai ir tiesiskas sekas ne tikai mācību procesa organizēšanā, bet arī normatīvi noteiktais mācību gada sākuma un beigu laiks tiek plaši lietots kā laika nosacījums izglītojamo tiesību īstenošanā, piemēram:</w:t>
            </w:r>
          </w:p>
          <w:p w14:paraId="459D2FB4" w14:textId="77777777" w:rsidR="00F421E4" w:rsidRPr="00F421E4" w:rsidRDefault="00F421E4" w:rsidP="00F421E4">
            <w:pPr>
              <w:tabs>
                <w:tab w:val="left" w:pos="0"/>
                <w:tab w:val="left" w:pos="993"/>
              </w:tabs>
              <w:ind w:left="12"/>
              <w:jc w:val="both"/>
            </w:pPr>
            <w:r w:rsidRPr="00F421E4">
              <w:tab/>
            </w:r>
          </w:p>
          <w:p w14:paraId="3A3BD90B" w14:textId="77777777" w:rsidR="00F421E4" w:rsidRPr="00F421E4" w:rsidRDefault="00F421E4" w:rsidP="00F421E4">
            <w:pPr>
              <w:tabs>
                <w:tab w:val="left" w:pos="0"/>
                <w:tab w:val="left" w:pos="993"/>
              </w:tabs>
              <w:ind w:left="12"/>
              <w:jc w:val="both"/>
            </w:pPr>
            <w:r w:rsidRPr="00F421E4">
              <w:t>-</w:t>
            </w:r>
            <w:r w:rsidRPr="00F421E4">
              <w:tab/>
              <w:t>izglītojamajam ir tiesības saņemt braukšanas maksas atvieglojumus tikai mācību gada ietvaros (Ministru kabineta 2017. gada 27. jūnija noteikumi Nr. 371 "Braukšanas maksas atvieglojumu noteikumi");</w:t>
            </w:r>
          </w:p>
          <w:p w14:paraId="25024DDE" w14:textId="77777777" w:rsidR="00F421E4" w:rsidRPr="00F421E4" w:rsidRDefault="00F421E4" w:rsidP="00F421E4">
            <w:pPr>
              <w:tabs>
                <w:tab w:val="left" w:pos="0"/>
                <w:tab w:val="left" w:pos="993"/>
              </w:tabs>
              <w:ind w:left="12"/>
              <w:jc w:val="both"/>
            </w:pPr>
            <w:r w:rsidRPr="00F421E4">
              <w:t>-</w:t>
            </w:r>
            <w:r w:rsidRPr="00F421E4">
              <w:tab/>
              <w:t>ja izglītojamais ir persona ar invaliditāti, tad viņam ir tiesības uz sociālo pakalpojumu – asistenta pakalpojumu izglītības iestādē tikai līdz mācību gada beigām arī pēc 18 gadu vecuma sasniegšanas (Invaliditātes likuma 12. panta 2.2 daļa);</w:t>
            </w:r>
          </w:p>
          <w:p w14:paraId="64721370" w14:textId="77777777" w:rsidR="00F421E4" w:rsidRPr="00F421E4" w:rsidRDefault="00F421E4" w:rsidP="00F421E4">
            <w:pPr>
              <w:tabs>
                <w:tab w:val="left" w:pos="0"/>
                <w:tab w:val="left" w:pos="993"/>
              </w:tabs>
              <w:ind w:left="12"/>
              <w:jc w:val="both"/>
            </w:pPr>
            <w:r w:rsidRPr="00F421E4">
              <w:t>-</w:t>
            </w:r>
            <w:r w:rsidRPr="00F421E4">
              <w:tab/>
              <w:t xml:space="preserve">ja izglītojamais saņem apgādnieka zaudējuma pensiju un mācās, tad, kļūstot pilngadīgs, šo pensiju ir tiesīgs turpināt saņemt tikai līdz mācību gada beigām (Ministru </w:t>
            </w:r>
            <w:r w:rsidRPr="00F421E4">
              <w:lastRenderedPageBreak/>
              <w:t>kabineta 2016. gada 5. jūlija noteikumu Nr. 427 "Noteikumi par valsts pensijas piešķiršanas, pārrēķināšanas un izmaksas nosacījumiem un kārtību" 26. un 27. punkts);</w:t>
            </w:r>
          </w:p>
          <w:p w14:paraId="0760AF12" w14:textId="77777777" w:rsidR="00F421E4" w:rsidRPr="00F421E4" w:rsidRDefault="00F421E4" w:rsidP="00F421E4">
            <w:pPr>
              <w:tabs>
                <w:tab w:val="left" w:pos="0"/>
                <w:tab w:val="left" w:pos="993"/>
              </w:tabs>
              <w:ind w:left="12"/>
              <w:jc w:val="both"/>
            </w:pPr>
            <w:r w:rsidRPr="00F421E4">
              <w:t>-</w:t>
            </w:r>
            <w:r w:rsidRPr="00F421E4">
              <w:tab/>
              <w:t>izglītojamajam tikai mācību gada laikā ir tiesības uz surdotulka pakalpojumu (Ministru kabineta 2009. gada 15. decembra noteikumu Nr. 1472 "Kārtība, kādā Latvijas Neredzīgo biedrība un Latvijas Nedzirdīgo savienība sniedz sociālās rehabilitācijas pakalpojumus un nodrošina tehniskos palīglīdzekļus – tiflotehniku un surdotehniku" 23.1 punkts);</w:t>
            </w:r>
          </w:p>
          <w:p w14:paraId="2328F0ED" w14:textId="77777777" w:rsidR="00F421E4" w:rsidRPr="00F421E4" w:rsidRDefault="00F421E4" w:rsidP="00F421E4">
            <w:pPr>
              <w:tabs>
                <w:tab w:val="left" w:pos="0"/>
                <w:tab w:val="left" w:pos="993"/>
              </w:tabs>
              <w:ind w:left="12"/>
              <w:jc w:val="both"/>
            </w:pPr>
            <w:r w:rsidRPr="00F421E4">
              <w:t>-</w:t>
            </w:r>
            <w:r w:rsidRPr="00F421E4">
              <w:tab/>
              <w:t>izglītojamam ir tiesības uz īpašu cenu par kopmītnēm mācību gada ietvaros (izglītības iestāžu maksas pakalpojumu cenrāži).</w:t>
            </w:r>
          </w:p>
          <w:p w14:paraId="74AF6E17" w14:textId="77777777" w:rsidR="00F421E4" w:rsidRPr="00F421E4" w:rsidRDefault="00F421E4" w:rsidP="00F421E4">
            <w:pPr>
              <w:tabs>
                <w:tab w:val="left" w:pos="0"/>
                <w:tab w:val="left" w:pos="993"/>
              </w:tabs>
              <w:ind w:left="12"/>
              <w:jc w:val="both"/>
              <w:rPr>
                <w:b/>
              </w:rPr>
            </w:pPr>
            <w:r w:rsidRPr="00BA2AB7">
              <w:rPr>
                <w:color w:val="FF0000"/>
              </w:rPr>
              <w:tab/>
            </w:r>
            <w:r w:rsidRPr="00DC73EA">
              <w:t>Ievērojot minēto, lūdzam precizēt projektu un anotāciju, paredzot tādu mācību gada beigu laiku 9. klases un 12. klases izglītojamiem, kuri attaisnojošu iemeslu dēļ nevarēs kārtot eksāmenus noteiktajā laikā, kas ir vienāds ar valsts pārbaudes darbu norises beigu laiku.</w:t>
            </w:r>
          </w:p>
        </w:tc>
        <w:tc>
          <w:tcPr>
            <w:tcW w:w="2977" w:type="dxa"/>
            <w:tcBorders>
              <w:top w:val="single" w:sz="4" w:space="0" w:color="000000"/>
              <w:left w:val="single" w:sz="4" w:space="0" w:color="000000"/>
              <w:bottom w:val="single" w:sz="4" w:space="0" w:color="000000"/>
              <w:right w:val="single" w:sz="4" w:space="0" w:color="000000"/>
            </w:tcBorders>
          </w:tcPr>
          <w:p w14:paraId="091F58D4" w14:textId="77777777" w:rsidR="00912C98" w:rsidRPr="00846927" w:rsidRDefault="00912C98" w:rsidP="00912C98">
            <w:pPr>
              <w:spacing w:before="58" w:after="58"/>
              <w:jc w:val="both"/>
            </w:pPr>
            <w:r w:rsidRPr="00846927">
              <w:lastRenderedPageBreak/>
              <w:t xml:space="preserve">Skaidrojam, ka mācību gada ilgumu nedēļās pamatizglītības iestādēs un vispārējās vidējās izglītības iestādēs nosaka </w:t>
            </w:r>
            <w:bookmarkStart w:id="1" w:name="_Hlk61960785"/>
            <w:r w:rsidRPr="00846927">
              <w:t xml:space="preserve">Vispārējās izglītības likuma 36.pants un 46.pants, un tādējādi Ministru kabineta noteikumos nevar tikt </w:t>
            </w:r>
            <w:r w:rsidRPr="00846927">
              <w:lastRenderedPageBreak/>
              <w:t xml:space="preserve">noteikts garāks mācību gads tiem izglītojamajiem, kuri attaisnojoša iemesla dēļ nevarēs kārtot eksāmenus noteiktajā laikā mācību gada ietvaros, piemēram, slimības dēļ. </w:t>
            </w:r>
            <w:bookmarkEnd w:id="1"/>
            <w:r w:rsidRPr="00846927">
              <w:t>Turklāt tas nebūtu arī taisnīgi, jo var būt gadījumi, kad izglītojamais attaisnojošu iemeslu dēļ mācību gada laikā nevar kārtot tikai vienu eksāmenu.</w:t>
            </w:r>
          </w:p>
          <w:p w14:paraId="129F62DC" w14:textId="77777777" w:rsidR="00912C98" w:rsidRPr="00846927" w:rsidRDefault="00912C98" w:rsidP="00912C98">
            <w:pPr>
              <w:spacing w:before="58" w:after="58"/>
              <w:jc w:val="both"/>
            </w:pPr>
            <w:r w:rsidRPr="00846927">
              <w:t xml:space="preserve">Izglītojamajiem, kuri attaisnojoša iemesla dēļ nevar kārtot eksāmenus mācību gada laikā, tiek nodrošināta iespēja kārtot eksāmenus ārpus noteiktā mācību gada laika (turpmāk – papildlaiks). </w:t>
            </w:r>
          </w:p>
          <w:p w14:paraId="07A03AFD" w14:textId="77777777" w:rsidR="003438F0" w:rsidRDefault="00912C98" w:rsidP="003438F0">
            <w:pPr>
              <w:spacing w:before="58" w:after="58"/>
              <w:jc w:val="both"/>
            </w:pPr>
            <w:r w:rsidRPr="00846927">
              <w:t xml:space="preserve">Attiecībā uz Ministru kabineta 2013.gada 17.decembra noteikumu Nr.1510 “Valsts pārbaudījumu norises kārtība” 17.punktu paskaidrojam, ka tā pirmais teikums skatāms kopsakarā ar otro teikumu, un šī norma </w:t>
            </w:r>
            <w:r w:rsidRPr="00846927">
              <w:lastRenderedPageBreak/>
              <w:t>neierobežo izglītojamo, kuri attaisnojošu iemeslu dēļ nav kārtojuši eksāmenus mācību gada laikā, tiesības kārtot eksāmenus papildlaikā. Taču, ja izglītojamais ir kārtojis eksāmenu mācību gadā un eksāmena vērtējums to neapmierina, viņš nav tiesīgs kārtot eksāmenu papildlaikā.</w:t>
            </w:r>
            <w:r w:rsidR="00846927">
              <w:t xml:space="preserve"> </w:t>
            </w:r>
          </w:p>
          <w:p w14:paraId="1B0BCCFD" w14:textId="55AF0A4F" w:rsidR="00C24DFD" w:rsidRDefault="00C24DFD" w:rsidP="003438F0">
            <w:pPr>
              <w:spacing w:before="58" w:after="58"/>
              <w:jc w:val="both"/>
            </w:pPr>
            <w:r w:rsidRPr="00C24DFD">
              <w:t>Izglītības un zinātnes ministrija izvērtēs nepieciešamību veikt precizējumus minēto noteikumu Nr.1510 17.punktā, kad būs nepieciešams veikt grozījumus noteikumos Nr.1510 pēc būtības</w:t>
            </w:r>
            <w:r>
              <w:t>.</w:t>
            </w:r>
          </w:p>
          <w:p w14:paraId="0AC5D929" w14:textId="119A6A4F" w:rsidR="003438F0" w:rsidRPr="0080402E" w:rsidRDefault="003438F0" w:rsidP="0080402E">
            <w:pPr>
              <w:shd w:val="clear" w:color="auto" w:fill="FFFFFF" w:themeFill="background1"/>
              <w:spacing w:before="58" w:after="58"/>
              <w:jc w:val="both"/>
              <w:rPr>
                <w:b/>
              </w:rPr>
            </w:pPr>
            <w:r w:rsidRPr="0080402E">
              <w:rPr>
                <w:b/>
              </w:rPr>
              <w:t>Precizēt</w:t>
            </w:r>
            <w:r w:rsidR="00D936FE">
              <w:rPr>
                <w:b/>
              </w:rPr>
              <w:t>s</w:t>
            </w:r>
            <w:r w:rsidRPr="0080402E">
              <w:rPr>
                <w:b/>
              </w:rPr>
              <w:t xml:space="preserve"> noteikumu projekta anotācijas I sadaļas 2.punkts</w:t>
            </w:r>
          </w:p>
          <w:p w14:paraId="6328BA68" w14:textId="77777777" w:rsidR="003438F0" w:rsidRDefault="003438F0" w:rsidP="00912C98">
            <w:pPr>
              <w:spacing w:before="58" w:after="58"/>
              <w:jc w:val="both"/>
              <w:rPr>
                <w:b/>
                <w:color w:val="FF0000"/>
              </w:rPr>
            </w:pPr>
          </w:p>
          <w:p w14:paraId="2C8410AF" w14:textId="77777777" w:rsidR="00F421E4" w:rsidRPr="00846927" w:rsidRDefault="00F421E4" w:rsidP="003438F0">
            <w:pPr>
              <w:spacing w:before="58" w:after="58"/>
              <w:jc w:val="both"/>
            </w:pPr>
          </w:p>
        </w:tc>
        <w:tc>
          <w:tcPr>
            <w:tcW w:w="2977" w:type="dxa"/>
            <w:tcBorders>
              <w:top w:val="single" w:sz="4" w:space="0" w:color="000000"/>
              <w:left w:val="single" w:sz="4" w:space="0" w:color="000000"/>
              <w:bottom w:val="single" w:sz="4" w:space="0" w:color="000000"/>
              <w:right w:val="single" w:sz="4" w:space="0" w:color="000000"/>
            </w:tcBorders>
          </w:tcPr>
          <w:p w14:paraId="6180C870" w14:textId="48ED2C9A" w:rsidR="00F421E4" w:rsidRPr="004B2DDF" w:rsidRDefault="00890398" w:rsidP="00147BAC">
            <w:pPr>
              <w:spacing w:before="58" w:after="58"/>
              <w:jc w:val="both"/>
            </w:pPr>
            <w:r>
              <w:lastRenderedPageBreak/>
              <w:t>Noteikumu projekta anotācijas I sadaļas 2.punkts.</w:t>
            </w:r>
          </w:p>
        </w:tc>
      </w:tr>
      <w:tr w:rsidR="00E10DD2" w:rsidRPr="004B2DDF" w14:paraId="5833187A" w14:textId="77777777" w:rsidTr="00843BF4">
        <w:trPr>
          <w:trHeight w:val="1266"/>
        </w:trPr>
        <w:tc>
          <w:tcPr>
            <w:tcW w:w="930" w:type="dxa"/>
            <w:tcBorders>
              <w:top w:val="single" w:sz="4" w:space="0" w:color="000000"/>
              <w:left w:val="single" w:sz="4" w:space="0" w:color="000000"/>
              <w:bottom w:val="single" w:sz="4" w:space="0" w:color="000000"/>
              <w:right w:val="single" w:sz="4" w:space="0" w:color="000000"/>
            </w:tcBorders>
          </w:tcPr>
          <w:p w14:paraId="36FD7476" w14:textId="77777777" w:rsidR="00E10DD2" w:rsidRPr="004B2DDF" w:rsidRDefault="00813003" w:rsidP="00E10DD2">
            <w:pPr>
              <w:spacing w:before="58" w:after="58"/>
              <w:jc w:val="center"/>
            </w:pPr>
            <w:r>
              <w:lastRenderedPageBreak/>
              <w:t>4.</w:t>
            </w:r>
          </w:p>
        </w:tc>
        <w:tc>
          <w:tcPr>
            <w:tcW w:w="4020" w:type="dxa"/>
            <w:tcBorders>
              <w:top w:val="single" w:sz="4" w:space="0" w:color="000000"/>
              <w:left w:val="single" w:sz="4" w:space="0" w:color="000000"/>
              <w:bottom w:val="single" w:sz="4" w:space="0" w:color="000000"/>
              <w:right w:val="single" w:sz="4" w:space="0" w:color="000000"/>
            </w:tcBorders>
          </w:tcPr>
          <w:p w14:paraId="3469B3AD" w14:textId="77777777" w:rsidR="00E10DD2" w:rsidRDefault="00E10DD2" w:rsidP="00461C62">
            <w:pPr>
              <w:tabs>
                <w:tab w:val="left" w:pos="1134"/>
              </w:tabs>
              <w:jc w:val="both"/>
            </w:pPr>
            <w:r>
              <w:t>9. Ja mācību gada laikā iestājas situācijas, kuras iepriekš nevar paredzēt un kuru izraisīto apstākļu dēļ vismaz vienu nedēļu nav iespējams pilnvērtīgi nodrošināt mācību procesu, izglītības iestādes vadītājs, saskaņojot ar dibinātāju,  ir tiesīgs pieņemt lēmumu par mācību gada pagarinājumu 1. – 8. klases un 10. – 11. klases izglītojamiem.</w:t>
            </w:r>
          </w:p>
        </w:tc>
        <w:tc>
          <w:tcPr>
            <w:tcW w:w="3805" w:type="dxa"/>
            <w:tcBorders>
              <w:top w:val="single" w:sz="4" w:space="0" w:color="000000"/>
              <w:left w:val="single" w:sz="4" w:space="0" w:color="000000"/>
              <w:bottom w:val="single" w:sz="4" w:space="0" w:color="000000"/>
              <w:right w:val="single" w:sz="4" w:space="0" w:color="000000"/>
            </w:tcBorders>
          </w:tcPr>
          <w:p w14:paraId="561EC166" w14:textId="77777777" w:rsidR="00E10DD2" w:rsidRPr="00543D66" w:rsidRDefault="00E10DD2" w:rsidP="00E10DD2">
            <w:pPr>
              <w:tabs>
                <w:tab w:val="left" w:pos="0"/>
                <w:tab w:val="left" w:pos="993"/>
              </w:tabs>
              <w:ind w:left="12"/>
              <w:jc w:val="both"/>
              <w:rPr>
                <w:b/>
              </w:rPr>
            </w:pPr>
            <w:r w:rsidRPr="00543D66">
              <w:rPr>
                <w:b/>
              </w:rPr>
              <w:t>Tieslietu ministrija:</w:t>
            </w:r>
          </w:p>
          <w:p w14:paraId="74EE3FD1" w14:textId="77777777" w:rsidR="00E10DD2" w:rsidRPr="00543D66" w:rsidRDefault="00E10DD2" w:rsidP="00E10DD2">
            <w:pPr>
              <w:tabs>
                <w:tab w:val="left" w:pos="0"/>
                <w:tab w:val="left" w:pos="993"/>
              </w:tabs>
              <w:ind w:left="12"/>
              <w:jc w:val="both"/>
            </w:pPr>
            <w:r w:rsidRPr="00543D66">
              <w:rPr>
                <w:b/>
              </w:rPr>
              <w:t xml:space="preserve"> </w:t>
            </w:r>
            <w:r w:rsidRPr="00543D66">
              <w:t>4.</w:t>
            </w:r>
            <w:r w:rsidRPr="00543D66">
              <w:tab/>
              <w:t xml:space="preserve">Projekta 9. punkts paredz, ka, ja mācību gada laikā iestājas situācijas, kuras iepriekš nevar paredzēt un kuru izraisīto apstākļu dēļ vismaz vienu nedēļu nav iespējams pilnvērtīgi nodrošināt mācību procesu, izglītības iestādes vadītājs, saskaņojot ar dibinātāju, ir tiesīgs pieņemt lēmumu par mācību gada pagarinājumu 1. – 8. klases un 10. – 11. klases izglītojamiem. </w:t>
            </w:r>
          </w:p>
          <w:p w14:paraId="731325FD" w14:textId="77777777" w:rsidR="00E10DD2" w:rsidRPr="00543D66" w:rsidRDefault="00E10DD2" w:rsidP="00E10DD2">
            <w:pPr>
              <w:tabs>
                <w:tab w:val="left" w:pos="0"/>
                <w:tab w:val="left" w:pos="993"/>
              </w:tabs>
              <w:ind w:left="12"/>
              <w:jc w:val="both"/>
            </w:pPr>
            <w:r w:rsidRPr="00543D66">
              <w:tab/>
              <w:t xml:space="preserve">Vēršam uzmanību, ka termins "vismaz viena nedēļa" liecina par apstākļu nepārtrauktību. Taču mācību programmas pilnvērtīgu īstenošanu var kavēt arī apstākļi, kas atkārtojas mācību gada laikā un summējas tādā apjomā, kas ietekmē mācību vielas veiksmīgu apguvi. Ievērojot minēto, ierosinām apsvērt iespēju izteikt šo termiņu dienās, kā arī izvērtēt nepieciešamību pagarināt mācību gadu ne tikai 1.–8. klases un 10.–11. klases izglītojamiem, bet arī 9. klases un 12. klases izglītojamiem. </w:t>
            </w:r>
          </w:p>
          <w:p w14:paraId="40A55EDC" w14:textId="77777777" w:rsidR="00E10DD2" w:rsidRPr="00543D66" w:rsidRDefault="00E10DD2" w:rsidP="00E10DD2">
            <w:pPr>
              <w:tabs>
                <w:tab w:val="left" w:pos="0"/>
                <w:tab w:val="left" w:pos="993"/>
              </w:tabs>
              <w:ind w:left="12"/>
              <w:jc w:val="both"/>
              <w:rPr>
                <w:b/>
              </w:rPr>
            </w:pPr>
            <w:r w:rsidRPr="00543D66">
              <w:tab/>
              <w:t xml:space="preserve">Vienlaikus ierosinām izvērtēt, vai lēmumu par mācību gada pagarinājumu varētu pieņemt izglītības iestādes vadītājs, </w:t>
            </w:r>
            <w:r w:rsidRPr="00543D66">
              <w:lastRenderedPageBreak/>
              <w:t>piemēram, balstoties uz izglītības iestādes padomes un pedagoģiskās padomes viedokli. Vienlaikus, pieņemot šādu lēmumu, jāņem vērā jau 3. iebildumā minēto par mācību gada beigu laika noteikšanas tiesiskajām sekām uz izglītojamā tiesību īstenošanu, kā arī šādam lēmumam būtu jābūt pieejamam personām, kuras nodrošina izglītojamā tiesību īstenošanu.</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ABBF32" w14:textId="20A9F5EE" w:rsidR="003931B3" w:rsidRPr="00843BF4" w:rsidRDefault="00461C62" w:rsidP="003438F0">
            <w:pPr>
              <w:spacing w:before="58" w:after="58"/>
              <w:jc w:val="both"/>
            </w:pPr>
            <w:r w:rsidRPr="00843BF4">
              <w:lastRenderedPageBreak/>
              <w:t>Ska</w:t>
            </w:r>
            <w:r w:rsidR="000353ED">
              <w:t>i</w:t>
            </w:r>
            <w:r w:rsidRPr="00843BF4">
              <w:t xml:space="preserve">drojam, ka arī šobrīd izglītības iestādes vadītājs var </w:t>
            </w:r>
            <w:r w:rsidR="001E538F" w:rsidRPr="00843BF4">
              <w:t>izglītības iestādes padomes un pedagoģiskās padomes sēdē izskatīt dažādus jautājumus jautājumus, t.sk. arī par mācību gada pagarinājumu 1.-8.klasēm un 10. un 11</w:t>
            </w:r>
            <w:r w:rsidR="00346BB8" w:rsidRPr="00843BF4">
              <w:t>.klases izglītojamiem. Uz</w:t>
            </w:r>
            <w:r w:rsidR="00BC2A52" w:rsidRPr="00843BF4">
              <w:t>s</w:t>
            </w:r>
            <w:r w:rsidR="00346BB8" w:rsidRPr="00843BF4">
              <w:t>katām, ka lēmums ir jāsas</w:t>
            </w:r>
            <w:r w:rsidR="00BC2A52" w:rsidRPr="00843BF4">
              <w:t>k</w:t>
            </w:r>
            <w:r w:rsidR="00346BB8" w:rsidRPr="00843BF4">
              <w:t xml:space="preserve">aņo ar </w:t>
            </w:r>
            <w:r w:rsidR="003931B3" w:rsidRPr="00843BF4">
              <w:t xml:space="preserve">izglītības iestādes </w:t>
            </w:r>
            <w:r w:rsidR="00346BB8" w:rsidRPr="00843BF4">
              <w:t>dibinātāju, jo</w:t>
            </w:r>
            <w:r w:rsidR="003931B3" w:rsidRPr="00843BF4">
              <w:t xml:space="preserve"> saskaņā ar Izglītības likuma 29.pantā noteikto - iestādes dibinātājs nodrošina izglītības iestādes nepārtrauktai darbībai nepieciešamos finanšu un materiālos līdzekļus. </w:t>
            </w:r>
            <w:r w:rsidR="00843BF4">
              <w:t xml:space="preserve">Papildus skaidrojam, </w:t>
            </w:r>
            <w:r w:rsidR="00843BF4" w:rsidRPr="00843BF4">
              <w:t xml:space="preserve">ka par būtisku ir uzskatāms gadījums, kad vismaz vienu nepārtrauktu nedēļu nav iespējams pilnvērtīgi nodrošināt mācību procesu. Savukārt gadījumos, ja mācību process ir bijis traucēts īsāku laiku, tostarp </w:t>
            </w:r>
            <w:r w:rsidR="00843BF4" w:rsidRPr="00843BF4">
              <w:lastRenderedPageBreak/>
              <w:t>vairāk kā vienu reizi mācību gadā, izglītības iestādei ir iespējams elastīgāk pielāgoties, lai nodrošinātu attiecīgā mācību satura apguvi mācību gada ietvaros</w:t>
            </w:r>
            <w:r w:rsidR="00C24DFD">
              <w:t>.</w:t>
            </w:r>
          </w:p>
          <w:p w14:paraId="1A8548B6" w14:textId="77777777" w:rsidR="00461C62" w:rsidRPr="00843BF4" w:rsidRDefault="00461C62" w:rsidP="00843BF4">
            <w:pPr>
              <w:jc w:val="both"/>
            </w:pPr>
          </w:p>
        </w:tc>
        <w:tc>
          <w:tcPr>
            <w:tcW w:w="2977" w:type="dxa"/>
            <w:tcBorders>
              <w:top w:val="single" w:sz="4" w:space="0" w:color="000000"/>
              <w:left w:val="single" w:sz="4" w:space="0" w:color="000000"/>
              <w:bottom w:val="single" w:sz="4" w:space="0" w:color="000000"/>
              <w:right w:val="single" w:sz="4" w:space="0" w:color="000000"/>
            </w:tcBorders>
          </w:tcPr>
          <w:p w14:paraId="06432019" w14:textId="686A63C0" w:rsidR="00051F81" w:rsidRPr="00543D66" w:rsidRDefault="00C24DFD" w:rsidP="00051F81">
            <w:pPr>
              <w:tabs>
                <w:tab w:val="left" w:pos="1134"/>
              </w:tabs>
              <w:jc w:val="both"/>
            </w:pPr>
            <w:r w:rsidRPr="00C24DFD">
              <w:lastRenderedPageBreak/>
              <w:t>9. Ja mācību gada laikā iestājas situācijas, kuras iepriekš nevar paredzēt un kuru izraisīto apstākļu dēļ vismaz vienu nedēļu nav iespējams pilnvērtīgi nodrošināt mācību procesu, izglītības iestādes vadītājs, saskaņojot ar dibinātāju,  ir tiesīgs pieņemt lēmumu par mācību gada pagarinājumu 1. – 8. klases un 10. – 11. klases izglītojamiem</w:t>
            </w:r>
            <w:r w:rsidRPr="00C24DFD" w:rsidDel="00C24DFD">
              <w:t xml:space="preserve"> </w:t>
            </w:r>
          </w:p>
        </w:tc>
      </w:tr>
      <w:tr w:rsidR="00E10DD2" w:rsidRPr="004B2DDF" w14:paraId="22C3EB28" w14:textId="77777777" w:rsidTr="0025470B">
        <w:trPr>
          <w:trHeight w:val="1266"/>
        </w:trPr>
        <w:tc>
          <w:tcPr>
            <w:tcW w:w="930" w:type="dxa"/>
            <w:tcBorders>
              <w:top w:val="single" w:sz="4" w:space="0" w:color="000000"/>
              <w:left w:val="single" w:sz="4" w:space="0" w:color="000000"/>
              <w:bottom w:val="single" w:sz="4" w:space="0" w:color="000000"/>
              <w:right w:val="single" w:sz="4" w:space="0" w:color="000000"/>
            </w:tcBorders>
          </w:tcPr>
          <w:p w14:paraId="3B3EDF68" w14:textId="282B20B1" w:rsidR="00E10DD2" w:rsidRPr="004B2DDF" w:rsidRDefault="00813003" w:rsidP="00E10DD2">
            <w:pPr>
              <w:spacing w:before="58" w:after="58"/>
              <w:jc w:val="center"/>
            </w:pPr>
            <w:r>
              <w:lastRenderedPageBreak/>
              <w:t>5.</w:t>
            </w:r>
          </w:p>
        </w:tc>
        <w:tc>
          <w:tcPr>
            <w:tcW w:w="4020" w:type="dxa"/>
            <w:tcBorders>
              <w:top w:val="single" w:sz="4" w:space="0" w:color="000000"/>
              <w:left w:val="single" w:sz="4" w:space="0" w:color="000000"/>
              <w:bottom w:val="single" w:sz="4" w:space="0" w:color="000000"/>
              <w:right w:val="single" w:sz="4" w:space="0" w:color="000000"/>
            </w:tcBorders>
          </w:tcPr>
          <w:p w14:paraId="760D5F83" w14:textId="77777777" w:rsidR="00E10DD2" w:rsidRDefault="00E10DD2" w:rsidP="00E10DD2">
            <w:pPr>
              <w:tabs>
                <w:tab w:val="left" w:pos="1134"/>
              </w:tabs>
              <w:jc w:val="both"/>
            </w:pPr>
            <w:r w:rsidRPr="00134145">
              <w:t>7. Izglītojamiem ir šādas brīvdienas:</w:t>
            </w:r>
          </w:p>
        </w:tc>
        <w:tc>
          <w:tcPr>
            <w:tcW w:w="3805" w:type="dxa"/>
            <w:tcBorders>
              <w:top w:val="single" w:sz="4" w:space="0" w:color="000000"/>
              <w:left w:val="single" w:sz="4" w:space="0" w:color="000000"/>
              <w:bottom w:val="single" w:sz="4" w:space="0" w:color="000000"/>
              <w:right w:val="single" w:sz="4" w:space="0" w:color="000000"/>
            </w:tcBorders>
          </w:tcPr>
          <w:p w14:paraId="7A161069" w14:textId="77777777" w:rsidR="00E10DD2" w:rsidRDefault="00E10DD2" w:rsidP="00E10DD2">
            <w:pPr>
              <w:tabs>
                <w:tab w:val="left" w:pos="0"/>
                <w:tab w:val="left" w:pos="993"/>
              </w:tabs>
              <w:ind w:left="12"/>
              <w:jc w:val="both"/>
              <w:rPr>
                <w:b/>
              </w:rPr>
            </w:pPr>
            <w:r w:rsidRPr="00F421E4">
              <w:rPr>
                <w:b/>
              </w:rPr>
              <w:t>Tieslietu ministrija:</w:t>
            </w:r>
          </w:p>
          <w:p w14:paraId="3B8074AC" w14:textId="77777777" w:rsidR="00E10DD2" w:rsidRPr="00134145" w:rsidRDefault="00E10DD2" w:rsidP="00E10DD2">
            <w:pPr>
              <w:tabs>
                <w:tab w:val="left" w:pos="0"/>
                <w:tab w:val="left" w:pos="993"/>
              </w:tabs>
              <w:ind w:left="12"/>
              <w:jc w:val="both"/>
            </w:pPr>
            <w:r w:rsidRPr="00134145">
              <w:t>5.</w:t>
            </w:r>
            <w:r w:rsidRPr="00134145">
              <w:tab/>
              <w:t>Ņemot vērā to, ka brīvdienas iekrīt gan mācību gada periodā, gan arī pēc mācību gada beigām (piemēram, vasaras brīvdienas), lūdzam precizēt projekta 7. punkta ievaddaļas teksta "Izglītojamiem ir šādas brīvdienas" redakciju. Jo Vispārējās izglītības likuma  4. panta 16. punktā ietvertais pilnvarojums paredz Ministru kabinetam noteikt brīvdienu laiku.</w:t>
            </w:r>
          </w:p>
        </w:tc>
        <w:tc>
          <w:tcPr>
            <w:tcW w:w="2977" w:type="dxa"/>
            <w:tcBorders>
              <w:top w:val="single" w:sz="4" w:space="0" w:color="000000"/>
              <w:left w:val="single" w:sz="4" w:space="0" w:color="000000"/>
              <w:bottom w:val="single" w:sz="4" w:space="0" w:color="000000"/>
              <w:right w:val="single" w:sz="4" w:space="0" w:color="000000"/>
            </w:tcBorders>
          </w:tcPr>
          <w:p w14:paraId="479BA119" w14:textId="77777777" w:rsidR="00E10DD2" w:rsidRDefault="004C0B33" w:rsidP="00E10DD2">
            <w:pPr>
              <w:spacing w:before="58" w:after="58"/>
              <w:jc w:val="both"/>
              <w:rPr>
                <w:b/>
              </w:rPr>
            </w:pPr>
            <w:r w:rsidRPr="00AB52C2">
              <w:rPr>
                <w:b/>
              </w:rPr>
              <w:t>Ņemts vērā.</w:t>
            </w:r>
          </w:p>
          <w:p w14:paraId="388007FC" w14:textId="77777777" w:rsidR="00785A0C" w:rsidRDefault="00785A0C" w:rsidP="00E10DD2">
            <w:pPr>
              <w:spacing w:before="58" w:after="58"/>
              <w:jc w:val="both"/>
              <w:rPr>
                <w:b/>
              </w:rPr>
            </w:pPr>
          </w:p>
          <w:p w14:paraId="22BF2877" w14:textId="77777777" w:rsidR="00785A0C" w:rsidRDefault="00785A0C" w:rsidP="00E10DD2">
            <w:pPr>
              <w:spacing w:before="58" w:after="58"/>
              <w:jc w:val="both"/>
              <w:rPr>
                <w:b/>
              </w:rPr>
            </w:pPr>
          </w:p>
          <w:p w14:paraId="1A800F83" w14:textId="77777777" w:rsidR="00785A0C" w:rsidRDefault="00785A0C" w:rsidP="00E10DD2">
            <w:pPr>
              <w:spacing w:before="58" w:after="58"/>
              <w:jc w:val="both"/>
              <w:rPr>
                <w:b/>
              </w:rPr>
            </w:pPr>
          </w:p>
          <w:p w14:paraId="4A08ACF2" w14:textId="3DDFC37F" w:rsidR="00785A0C" w:rsidRPr="00AB52C2" w:rsidRDefault="00785A0C" w:rsidP="00785A0C">
            <w:pPr>
              <w:spacing w:before="58" w:after="58"/>
              <w:jc w:val="both"/>
              <w:rPr>
                <w:b/>
              </w:rPr>
            </w:pPr>
          </w:p>
        </w:tc>
        <w:tc>
          <w:tcPr>
            <w:tcW w:w="2977" w:type="dxa"/>
            <w:tcBorders>
              <w:top w:val="single" w:sz="4" w:space="0" w:color="000000"/>
              <w:left w:val="single" w:sz="4" w:space="0" w:color="000000"/>
              <w:bottom w:val="single" w:sz="4" w:space="0" w:color="000000"/>
              <w:right w:val="single" w:sz="4" w:space="0" w:color="000000"/>
            </w:tcBorders>
          </w:tcPr>
          <w:p w14:paraId="49DF9E2C" w14:textId="050C00FE" w:rsidR="00E10DD2" w:rsidRPr="00E5111B" w:rsidRDefault="0080402E" w:rsidP="00813003">
            <w:pPr>
              <w:spacing w:before="58" w:after="58"/>
              <w:jc w:val="both"/>
            </w:pPr>
            <w:r w:rsidRPr="0080402E">
              <w:t>7. Izglītojamiem ir šādi brīvdienu laiki:</w:t>
            </w:r>
          </w:p>
        </w:tc>
      </w:tr>
      <w:tr w:rsidR="00E10DD2" w:rsidRPr="004B2DDF" w14:paraId="258646E6" w14:textId="77777777" w:rsidTr="0025470B">
        <w:trPr>
          <w:trHeight w:val="1266"/>
        </w:trPr>
        <w:tc>
          <w:tcPr>
            <w:tcW w:w="930" w:type="dxa"/>
            <w:tcBorders>
              <w:top w:val="single" w:sz="4" w:space="0" w:color="000000"/>
              <w:left w:val="single" w:sz="4" w:space="0" w:color="000000"/>
              <w:bottom w:val="single" w:sz="4" w:space="0" w:color="000000"/>
              <w:right w:val="single" w:sz="4" w:space="0" w:color="000000"/>
            </w:tcBorders>
          </w:tcPr>
          <w:p w14:paraId="512129F5" w14:textId="77777777" w:rsidR="00E10DD2" w:rsidRPr="004B2DDF" w:rsidRDefault="00813003" w:rsidP="00E10DD2">
            <w:pPr>
              <w:spacing w:before="58" w:after="58"/>
              <w:jc w:val="center"/>
            </w:pPr>
            <w:r>
              <w:t>6.</w:t>
            </w:r>
          </w:p>
        </w:tc>
        <w:tc>
          <w:tcPr>
            <w:tcW w:w="4020" w:type="dxa"/>
            <w:tcBorders>
              <w:top w:val="single" w:sz="4" w:space="0" w:color="000000"/>
              <w:left w:val="single" w:sz="4" w:space="0" w:color="000000"/>
              <w:bottom w:val="single" w:sz="4" w:space="0" w:color="000000"/>
              <w:right w:val="single" w:sz="4" w:space="0" w:color="000000"/>
            </w:tcBorders>
          </w:tcPr>
          <w:p w14:paraId="00538056" w14:textId="0937094F" w:rsidR="00E10DD2" w:rsidRPr="00134145" w:rsidRDefault="00890398" w:rsidP="00E10DD2">
            <w:pPr>
              <w:tabs>
                <w:tab w:val="left" w:pos="1134"/>
              </w:tabs>
              <w:jc w:val="both"/>
            </w:pPr>
            <w:r>
              <w:t>Noteikumu projekta anotācijas I sadaļas 2.punkts.</w:t>
            </w:r>
          </w:p>
        </w:tc>
        <w:tc>
          <w:tcPr>
            <w:tcW w:w="3805" w:type="dxa"/>
            <w:tcBorders>
              <w:top w:val="single" w:sz="4" w:space="0" w:color="000000"/>
              <w:left w:val="single" w:sz="4" w:space="0" w:color="000000"/>
              <w:bottom w:val="single" w:sz="4" w:space="0" w:color="000000"/>
              <w:right w:val="single" w:sz="4" w:space="0" w:color="000000"/>
            </w:tcBorders>
          </w:tcPr>
          <w:p w14:paraId="1E6F1F0A" w14:textId="55DA1E86" w:rsidR="00E10DD2" w:rsidRPr="00F421E4" w:rsidRDefault="00813003" w:rsidP="00813003">
            <w:pPr>
              <w:tabs>
                <w:tab w:val="left" w:pos="0"/>
                <w:tab w:val="left" w:pos="993"/>
              </w:tabs>
              <w:ind w:left="12"/>
              <w:jc w:val="both"/>
              <w:rPr>
                <w:b/>
              </w:rPr>
            </w:pPr>
            <w:r w:rsidRPr="00813003">
              <w:rPr>
                <w:b/>
              </w:rPr>
              <w:t>Latvijas Brīvo arodbiedrību savienība:</w:t>
            </w:r>
            <w:r w:rsidRPr="0012405E">
              <w:rPr>
                <w:b/>
              </w:rPr>
              <w:t xml:space="preserve"> </w:t>
            </w:r>
            <w:r w:rsidR="00E10DD2">
              <w:t xml:space="preserve"> kategoriski iebilst pret tālāku dokumenta virzību, ja netiks precizēta anotācija, kurā nor</w:t>
            </w:r>
            <w:r w:rsidR="0054033B">
              <w:t>ā</w:t>
            </w:r>
            <w:r w:rsidR="00E10DD2">
              <w:t xml:space="preserve">dīts, ka mācību gads tiek pagarināts, ja ir noticis nodarbināto streiks. Tas ir </w:t>
            </w:r>
            <w:r w:rsidR="00E10DD2">
              <w:lastRenderedPageBreak/>
              <w:t>pretrunā ar Latvijas Republikas Satversmi</w:t>
            </w:r>
            <w:r w:rsidR="0054033B">
              <w:t xml:space="preserve"> un</w:t>
            </w:r>
            <w:r w:rsidR="00E10DD2">
              <w:t xml:space="preserve"> Streika likumu.</w:t>
            </w:r>
          </w:p>
        </w:tc>
        <w:tc>
          <w:tcPr>
            <w:tcW w:w="2977" w:type="dxa"/>
            <w:tcBorders>
              <w:top w:val="single" w:sz="4" w:space="0" w:color="000000"/>
              <w:left w:val="single" w:sz="4" w:space="0" w:color="000000"/>
              <w:bottom w:val="single" w:sz="4" w:space="0" w:color="000000"/>
              <w:right w:val="single" w:sz="4" w:space="0" w:color="000000"/>
            </w:tcBorders>
          </w:tcPr>
          <w:p w14:paraId="2806742A" w14:textId="77777777" w:rsidR="00E10DD2" w:rsidRPr="00AB52C2" w:rsidRDefault="00E10DD2" w:rsidP="00E10DD2">
            <w:pPr>
              <w:spacing w:before="58" w:after="58"/>
              <w:jc w:val="both"/>
              <w:rPr>
                <w:b/>
              </w:rPr>
            </w:pPr>
            <w:r w:rsidRPr="00AB52C2">
              <w:rPr>
                <w:b/>
              </w:rPr>
              <w:lastRenderedPageBreak/>
              <w:t xml:space="preserve">Ņemts vērā. </w:t>
            </w:r>
          </w:p>
          <w:p w14:paraId="1AA33398" w14:textId="0C131E2B" w:rsidR="00E10DD2" w:rsidRDefault="00890398" w:rsidP="00E10DD2">
            <w:pPr>
              <w:spacing w:before="58" w:after="58"/>
              <w:jc w:val="both"/>
            </w:pPr>
            <w:r>
              <w:t>Precizēts noteikumu projekta anotācijas I sadaļas 2.punkts, svītrojot vārdu “nodarbināto streiki”</w:t>
            </w:r>
            <w:r w:rsidR="00E10DD2" w:rsidRPr="009A22A2">
              <w:t>.</w:t>
            </w:r>
          </w:p>
          <w:p w14:paraId="01FF1AE0" w14:textId="633C0BDF" w:rsidR="00E10DD2" w:rsidRPr="009A22A2" w:rsidRDefault="00E10DD2" w:rsidP="00E10DD2">
            <w:pPr>
              <w:spacing w:before="58" w:after="58"/>
              <w:jc w:val="both"/>
              <w:rPr>
                <w:color w:val="FF0000"/>
              </w:rPr>
            </w:pPr>
          </w:p>
        </w:tc>
        <w:tc>
          <w:tcPr>
            <w:tcW w:w="2977" w:type="dxa"/>
            <w:tcBorders>
              <w:top w:val="single" w:sz="4" w:space="0" w:color="000000"/>
              <w:left w:val="single" w:sz="4" w:space="0" w:color="000000"/>
              <w:bottom w:val="single" w:sz="4" w:space="0" w:color="000000"/>
              <w:right w:val="single" w:sz="4" w:space="0" w:color="000000"/>
            </w:tcBorders>
          </w:tcPr>
          <w:p w14:paraId="32B6AFE2" w14:textId="70DBC68C" w:rsidR="00E10DD2" w:rsidRPr="00912C98" w:rsidRDefault="00890398" w:rsidP="00E10DD2">
            <w:pPr>
              <w:spacing w:before="58" w:after="58"/>
              <w:jc w:val="both"/>
              <w:rPr>
                <w:b/>
                <w:color w:val="FF0000"/>
              </w:rPr>
            </w:pPr>
            <w:r>
              <w:t>Noteikumu projekta anotācijas I sadaļas 2.punkts.</w:t>
            </w:r>
          </w:p>
        </w:tc>
      </w:tr>
    </w:tbl>
    <w:p w14:paraId="2B5AAF36" w14:textId="77777777" w:rsidR="005A12E8" w:rsidRPr="004B2DDF" w:rsidRDefault="005A12E8" w:rsidP="005A12E8">
      <w:pPr>
        <w:jc w:val="both"/>
      </w:pPr>
    </w:p>
    <w:p w14:paraId="5100734C" w14:textId="77777777" w:rsidR="00F71617" w:rsidRPr="00CC526C" w:rsidRDefault="00F71617" w:rsidP="005A12E8">
      <w:pPr>
        <w:jc w:val="both"/>
      </w:pPr>
    </w:p>
    <w:p w14:paraId="19540BCB" w14:textId="77777777" w:rsidR="00FB763A" w:rsidRPr="00FB763A" w:rsidRDefault="00FB763A" w:rsidP="00FB763A">
      <w:pPr>
        <w:ind w:firstLine="720"/>
        <w:jc w:val="both"/>
      </w:pPr>
      <w:r w:rsidRPr="00FB763A">
        <w:t>Piezīme. * Dokumenta rekvizītu "paraksts" neaizpilda, ja elektroniskais dokuments ir sagatavots atbilstoši normatīvajiem aktiem par elektronisko dokumentu noformēšanu.</w:t>
      </w:r>
    </w:p>
    <w:p w14:paraId="485534C6" w14:textId="77777777" w:rsidR="00FB763A" w:rsidRPr="00FB763A" w:rsidRDefault="00FB763A" w:rsidP="00FB763A">
      <w:pPr>
        <w:ind w:firstLine="720"/>
        <w:jc w:val="both"/>
      </w:pPr>
    </w:p>
    <w:p w14:paraId="07D67B75" w14:textId="77777777" w:rsidR="00FB763A" w:rsidRPr="00FB763A" w:rsidRDefault="00FB763A" w:rsidP="00FB763A">
      <w:pPr>
        <w:ind w:firstLine="720"/>
        <w:jc w:val="both"/>
      </w:pPr>
    </w:p>
    <w:p w14:paraId="4A4ADDB8" w14:textId="77777777" w:rsidR="00FB763A" w:rsidRPr="00FB763A" w:rsidRDefault="00FB763A" w:rsidP="00FB763A">
      <w:pPr>
        <w:jc w:val="both"/>
      </w:pPr>
      <w:r>
        <w:t xml:space="preserve">  </w:t>
      </w:r>
      <w:r w:rsidRPr="00FB763A">
        <w:t>Līga Buceniece</w:t>
      </w:r>
    </w:p>
    <w:tbl>
      <w:tblPr>
        <w:tblW w:w="0" w:type="auto"/>
        <w:tblLook w:val="00A0" w:firstRow="1" w:lastRow="0" w:firstColumn="1" w:lastColumn="0" w:noHBand="0" w:noVBand="0"/>
      </w:tblPr>
      <w:tblGrid>
        <w:gridCol w:w="8268"/>
      </w:tblGrid>
      <w:tr w:rsidR="00FB763A" w:rsidRPr="00FB763A" w14:paraId="73B8244C" w14:textId="77777777" w:rsidTr="00B02A6D">
        <w:tc>
          <w:tcPr>
            <w:tcW w:w="8268" w:type="dxa"/>
            <w:tcBorders>
              <w:top w:val="single" w:sz="4" w:space="0" w:color="000000"/>
            </w:tcBorders>
          </w:tcPr>
          <w:p w14:paraId="3528A7BF" w14:textId="77777777" w:rsidR="00FB763A" w:rsidRPr="00FB763A" w:rsidRDefault="00FB763A" w:rsidP="00FB763A">
            <w:pPr>
              <w:jc w:val="center"/>
            </w:pPr>
          </w:p>
        </w:tc>
      </w:tr>
      <w:tr w:rsidR="00FB763A" w:rsidRPr="00FB763A" w14:paraId="3BB43A61" w14:textId="77777777" w:rsidTr="00B02A6D">
        <w:tc>
          <w:tcPr>
            <w:tcW w:w="8268" w:type="dxa"/>
            <w:tcBorders>
              <w:bottom w:val="single" w:sz="4" w:space="0" w:color="000000"/>
            </w:tcBorders>
          </w:tcPr>
          <w:p w14:paraId="7A55769C" w14:textId="77777777" w:rsidR="00FB763A" w:rsidRPr="00FB763A" w:rsidRDefault="00FB763A" w:rsidP="00FB763A">
            <w:r w:rsidRPr="00FB763A">
              <w:t>Izglītības un zinātnes ministrijas Izglītības departamenta direktore</w:t>
            </w:r>
          </w:p>
        </w:tc>
      </w:tr>
      <w:tr w:rsidR="00FB763A" w:rsidRPr="00FB763A" w14:paraId="3967592E" w14:textId="77777777" w:rsidTr="00B02A6D">
        <w:tc>
          <w:tcPr>
            <w:tcW w:w="8268" w:type="dxa"/>
            <w:tcBorders>
              <w:top w:val="single" w:sz="4" w:space="0" w:color="000000"/>
            </w:tcBorders>
          </w:tcPr>
          <w:p w14:paraId="0C3070E3" w14:textId="77777777" w:rsidR="00FB763A" w:rsidRPr="00FB763A" w:rsidRDefault="00FB763A" w:rsidP="00FB763A">
            <w:pPr>
              <w:jc w:val="center"/>
            </w:pPr>
          </w:p>
        </w:tc>
      </w:tr>
      <w:tr w:rsidR="00FB763A" w:rsidRPr="00FB763A" w14:paraId="256199A3" w14:textId="77777777" w:rsidTr="00B02A6D">
        <w:tc>
          <w:tcPr>
            <w:tcW w:w="8268" w:type="dxa"/>
            <w:tcBorders>
              <w:bottom w:val="single" w:sz="4" w:space="0" w:color="000000"/>
            </w:tcBorders>
          </w:tcPr>
          <w:p w14:paraId="4CD513B3" w14:textId="77777777" w:rsidR="00FB763A" w:rsidRPr="00FB763A" w:rsidRDefault="00FB763A" w:rsidP="00FB763A">
            <w:r w:rsidRPr="00FB763A">
              <w:t>Tālrunis 67047830</w:t>
            </w:r>
          </w:p>
        </w:tc>
      </w:tr>
      <w:tr w:rsidR="00FB763A" w:rsidRPr="00FB763A" w14:paraId="0D6C65C3" w14:textId="77777777" w:rsidTr="00B02A6D">
        <w:tc>
          <w:tcPr>
            <w:tcW w:w="8268" w:type="dxa"/>
            <w:tcBorders>
              <w:top w:val="single" w:sz="4" w:space="0" w:color="000000"/>
            </w:tcBorders>
          </w:tcPr>
          <w:p w14:paraId="2C4FD35D" w14:textId="77777777" w:rsidR="00FB763A" w:rsidRPr="00FB763A" w:rsidRDefault="00FB763A" w:rsidP="00FB763A">
            <w:pPr>
              <w:jc w:val="center"/>
            </w:pPr>
          </w:p>
        </w:tc>
      </w:tr>
      <w:tr w:rsidR="00FB763A" w:rsidRPr="00FB763A" w14:paraId="209D205B" w14:textId="77777777" w:rsidTr="00FB763A">
        <w:tc>
          <w:tcPr>
            <w:tcW w:w="8268" w:type="dxa"/>
          </w:tcPr>
          <w:p w14:paraId="1288AE8D" w14:textId="77777777" w:rsidR="00FB763A" w:rsidRPr="00FB763A" w:rsidRDefault="00FB763A" w:rsidP="00FB763A">
            <w:r w:rsidRPr="00FB763A">
              <w:t xml:space="preserve">liga.buceniece@izm.gov.lv </w:t>
            </w:r>
          </w:p>
        </w:tc>
      </w:tr>
      <w:tr w:rsidR="00FB763A" w:rsidRPr="00FB763A" w14:paraId="5A12A4D1" w14:textId="77777777" w:rsidTr="00B02A6D">
        <w:tc>
          <w:tcPr>
            <w:tcW w:w="8268" w:type="dxa"/>
            <w:tcBorders>
              <w:bottom w:val="single" w:sz="4" w:space="0" w:color="000000"/>
            </w:tcBorders>
          </w:tcPr>
          <w:p w14:paraId="46EF0153" w14:textId="77777777" w:rsidR="00FB763A" w:rsidRPr="00FB763A" w:rsidRDefault="00FB763A" w:rsidP="00FB763A"/>
        </w:tc>
      </w:tr>
    </w:tbl>
    <w:p w14:paraId="1849D3B3" w14:textId="77777777" w:rsidR="00847571" w:rsidRDefault="00847571" w:rsidP="00FB763A"/>
    <w:p w14:paraId="634B3179" w14:textId="77777777" w:rsidR="00FB763A" w:rsidRPr="00CC526C" w:rsidRDefault="00FB763A" w:rsidP="00FB763A"/>
    <w:p w14:paraId="56B5D8AE" w14:textId="77777777" w:rsidR="005A12E8" w:rsidRPr="000F3334" w:rsidRDefault="005A12E8" w:rsidP="005A12E8">
      <w:pPr>
        <w:jc w:val="both"/>
      </w:pPr>
      <w:r w:rsidRPr="000F3334">
        <w:t>Dz.Mergupe-Kutraite</w:t>
      </w:r>
    </w:p>
    <w:p w14:paraId="1946705E" w14:textId="77777777" w:rsidR="005A12E8" w:rsidRPr="000F3334" w:rsidRDefault="005A12E8" w:rsidP="005A12E8">
      <w:pPr>
        <w:jc w:val="both"/>
      </w:pPr>
      <w:r w:rsidRPr="000F3334">
        <w:t xml:space="preserve">Izglītības un zinātnes ministrijas </w:t>
      </w:r>
    </w:p>
    <w:p w14:paraId="3E5181DE" w14:textId="77777777" w:rsidR="005A12E8" w:rsidRPr="000F3334" w:rsidRDefault="005A12E8" w:rsidP="005A12E8">
      <w:pPr>
        <w:jc w:val="both"/>
      </w:pPr>
      <w:r w:rsidRPr="000F3334">
        <w:t xml:space="preserve">Izglītības departamenta </w:t>
      </w:r>
      <w:r w:rsidR="0025470B" w:rsidRPr="000F3334">
        <w:t xml:space="preserve">eksperte </w:t>
      </w:r>
    </w:p>
    <w:p w14:paraId="57EFF292" w14:textId="77777777" w:rsidR="00847571" w:rsidRPr="000F3334" w:rsidRDefault="00F3197F" w:rsidP="00FC4709">
      <w:pPr>
        <w:tabs>
          <w:tab w:val="left" w:pos="5055"/>
        </w:tabs>
      </w:pPr>
      <w:bookmarkStart w:id="2" w:name="OLE_LINK1"/>
      <w:bookmarkStart w:id="3" w:name="OLE_LINK2"/>
      <w:r w:rsidRPr="000F3334">
        <w:t xml:space="preserve">67047817, </w:t>
      </w:r>
      <w:hyperlink r:id="rId8" w:history="1"/>
      <w:hyperlink r:id="rId9" w:history="1">
        <w:r w:rsidR="0025470B" w:rsidRPr="000F3334">
          <w:rPr>
            <w:rStyle w:val="Hyperlink"/>
            <w:color w:val="auto"/>
            <w:u w:val="none"/>
          </w:rPr>
          <w:t>Dzintra.Mergupe-Kutraite@izm.gov.lv</w:t>
        </w:r>
      </w:hyperlink>
      <w:bookmarkEnd w:id="2"/>
      <w:bookmarkEnd w:id="3"/>
    </w:p>
    <w:sectPr w:rsidR="00847571" w:rsidRPr="000F3334" w:rsidSect="00861F96">
      <w:headerReference w:type="default" r:id="rId10"/>
      <w:footerReference w:type="default" r:id="rId11"/>
      <w:footerReference w:type="first" r:id="rId12"/>
      <w:pgSz w:w="16838" w:h="11906" w:orient="landscape"/>
      <w:pgMar w:top="1800" w:right="1440" w:bottom="180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8172" w16cex:dateUtc="2021-02-17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E7F01C" w16cid:durableId="23D781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8F43A" w14:textId="77777777" w:rsidR="00B57ED8" w:rsidRDefault="00B57ED8" w:rsidP="005A12E8">
      <w:r>
        <w:separator/>
      </w:r>
    </w:p>
  </w:endnote>
  <w:endnote w:type="continuationSeparator" w:id="0">
    <w:p w14:paraId="7B3FD6C8" w14:textId="77777777" w:rsidR="00B57ED8" w:rsidRDefault="00B57ED8" w:rsidP="005A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8019C" w14:textId="77777777" w:rsidR="00FD58B0" w:rsidRDefault="00FD58B0" w:rsidP="00FD58B0">
    <w:pPr>
      <w:jc w:val="both"/>
    </w:pPr>
  </w:p>
  <w:p w14:paraId="26517F71" w14:textId="77777777" w:rsidR="00FD58B0" w:rsidRDefault="00FD58B0" w:rsidP="00FD58B0">
    <w:pPr>
      <w:jc w:val="both"/>
    </w:pPr>
  </w:p>
  <w:p w14:paraId="7E73FCEA" w14:textId="6F7BB0AB" w:rsidR="005A12E8" w:rsidRPr="00BA2AB7" w:rsidRDefault="00FD58B0" w:rsidP="00BA2AB7">
    <w:pPr>
      <w:pStyle w:val="Footer"/>
    </w:pPr>
    <w:r w:rsidRPr="00FD58B0">
      <w:t>IZMIzz_</w:t>
    </w:r>
    <w:r w:rsidR="00524C26">
      <w:t>17</w:t>
    </w:r>
    <w:r w:rsidR="004635CA" w:rsidRPr="00FD58B0">
      <w:t>0221</w:t>
    </w:r>
    <w:r w:rsidRPr="00FD58B0">
      <w:t>_macibug;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EFBAE" w14:textId="66FE9452" w:rsidR="00204F9A" w:rsidRDefault="00204F9A" w:rsidP="002416E2">
    <w:pPr>
      <w:jc w:val="both"/>
    </w:pPr>
    <w:r w:rsidRPr="000748E5">
      <w:t>IZMIzz_</w:t>
    </w:r>
    <w:r w:rsidR="00524C26">
      <w:t>17</w:t>
    </w:r>
    <w:r w:rsidR="004635CA">
      <w:t>0221</w:t>
    </w:r>
    <w:r w:rsidRPr="000748E5">
      <w:t>_</w:t>
    </w:r>
    <w:r w:rsidR="00D138B7">
      <w:t xml:space="preserve">macibug; </w:t>
    </w:r>
  </w:p>
  <w:p w14:paraId="55E9F204" w14:textId="77777777" w:rsidR="00204F9A" w:rsidRDefault="00204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9C68F" w14:textId="77777777" w:rsidR="00B57ED8" w:rsidRDefault="00B57ED8" w:rsidP="005A12E8">
      <w:r>
        <w:separator/>
      </w:r>
    </w:p>
  </w:footnote>
  <w:footnote w:type="continuationSeparator" w:id="0">
    <w:p w14:paraId="0C8CA3E3" w14:textId="77777777" w:rsidR="00B57ED8" w:rsidRDefault="00B57ED8" w:rsidP="005A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14C23" w14:textId="77777777" w:rsidR="00861F96" w:rsidRDefault="00F23BED">
    <w:pPr>
      <w:pStyle w:val="Header"/>
      <w:jc w:val="center"/>
    </w:pPr>
    <w:r>
      <w:fldChar w:fldCharType="begin"/>
    </w:r>
    <w:r>
      <w:instrText xml:space="preserve"> PAGE   \* MERGEFORMAT </w:instrText>
    </w:r>
    <w:r>
      <w:fldChar w:fldCharType="separate"/>
    </w:r>
    <w:r w:rsidR="00F22BA5">
      <w:rPr>
        <w:noProof/>
      </w:rPr>
      <w:t>3</w:t>
    </w:r>
    <w:r>
      <w:rPr>
        <w:noProof/>
      </w:rPr>
      <w:fldChar w:fldCharType="end"/>
    </w:r>
  </w:p>
  <w:p w14:paraId="2E22B874" w14:textId="77777777" w:rsidR="00861F96" w:rsidRDefault="00861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F0C93"/>
    <w:multiLevelType w:val="hybridMultilevel"/>
    <w:tmpl w:val="3438A73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0CC23269"/>
    <w:multiLevelType w:val="hybridMultilevel"/>
    <w:tmpl w:val="CF160782"/>
    <w:lvl w:ilvl="0" w:tplc="14B265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C104868"/>
    <w:multiLevelType w:val="hybridMultilevel"/>
    <w:tmpl w:val="1CD0D74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nsid w:val="1C995F0A"/>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335C1DD1"/>
    <w:multiLevelType w:val="hybridMultilevel"/>
    <w:tmpl w:val="EB20C55C"/>
    <w:lvl w:ilvl="0" w:tplc="0512DB3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C1D6028"/>
    <w:multiLevelType w:val="hybridMultilevel"/>
    <w:tmpl w:val="79006E7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4398615B"/>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4D631297"/>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52C05727"/>
    <w:multiLevelType w:val="hybridMultilevel"/>
    <w:tmpl w:val="8A1842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0DC7E44"/>
    <w:multiLevelType w:val="hybridMultilevel"/>
    <w:tmpl w:val="06D0C1FC"/>
    <w:lvl w:ilvl="0" w:tplc="EBE8C93E">
      <w:start w:val="2019"/>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763227D1"/>
    <w:multiLevelType w:val="hybridMultilevel"/>
    <w:tmpl w:val="F5E289E4"/>
    <w:lvl w:ilvl="0" w:tplc="3072F5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0"/>
  </w:num>
  <w:num w:numId="2">
    <w:abstractNumId w:val="2"/>
  </w:num>
  <w:num w:numId="3">
    <w:abstractNumId w:val="8"/>
  </w:num>
  <w:num w:numId="4">
    <w:abstractNumId w:val="0"/>
  </w:num>
  <w:num w:numId="5">
    <w:abstractNumId w:val="3"/>
  </w:num>
  <w:num w:numId="6">
    <w:abstractNumId w:val="7"/>
  </w:num>
  <w:num w:numId="7">
    <w:abstractNumId w:val="6"/>
  </w:num>
  <w:num w:numId="8">
    <w:abstractNumId w:val="5"/>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E8"/>
    <w:rsid w:val="00006416"/>
    <w:rsid w:val="00011FBD"/>
    <w:rsid w:val="00016789"/>
    <w:rsid w:val="000248F7"/>
    <w:rsid w:val="000340B9"/>
    <w:rsid w:val="00034FC9"/>
    <w:rsid w:val="000353ED"/>
    <w:rsid w:val="00037D54"/>
    <w:rsid w:val="00040033"/>
    <w:rsid w:val="00040900"/>
    <w:rsid w:val="00051F81"/>
    <w:rsid w:val="00054C4B"/>
    <w:rsid w:val="0006038A"/>
    <w:rsid w:val="00060667"/>
    <w:rsid w:val="000706D0"/>
    <w:rsid w:val="000727DD"/>
    <w:rsid w:val="000748E5"/>
    <w:rsid w:val="000B0C4B"/>
    <w:rsid w:val="000C3FF0"/>
    <w:rsid w:val="000D0C2A"/>
    <w:rsid w:val="000D1FAE"/>
    <w:rsid w:val="000E09CE"/>
    <w:rsid w:val="000F3334"/>
    <w:rsid w:val="000F3540"/>
    <w:rsid w:val="001137FB"/>
    <w:rsid w:val="0012405E"/>
    <w:rsid w:val="001331B9"/>
    <w:rsid w:val="00134145"/>
    <w:rsid w:val="00147BAC"/>
    <w:rsid w:val="001541B6"/>
    <w:rsid w:val="00167693"/>
    <w:rsid w:val="00173AC4"/>
    <w:rsid w:val="0018066F"/>
    <w:rsid w:val="001A50D4"/>
    <w:rsid w:val="001C0035"/>
    <w:rsid w:val="001D2166"/>
    <w:rsid w:val="001D577A"/>
    <w:rsid w:val="001E21E1"/>
    <w:rsid w:val="001E538F"/>
    <w:rsid w:val="00204F9A"/>
    <w:rsid w:val="002054B5"/>
    <w:rsid w:val="002125FA"/>
    <w:rsid w:val="002146EE"/>
    <w:rsid w:val="00217E62"/>
    <w:rsid w:val="002372B1"/>
    <w:rsid w:val="002416E2"/>
    <w:rsid w:val="002535BD"/>
    <w:rsid w:val="0025470B"/>
    <w:rsid w:val="002822CB"/>
    <w:rsid w:val="002924AC"/>
    <w:rsid w:val="00293225"/>
    <w:rsid w:val="002A0FEC"/>
    <w:rsid w:val="002B5FD8"/>
    <w:rsid w:val="002D25F9"/>
    <w:rsid w:val="002D6F36"/>
    <w:rsid w:val="002D7AC5"/>
    <w:rsid w:val="002E20CA"/>
    <w:rsid w:val="002E5DDF"/>
    <w:rsid w:val="00331C39"/>
    <w:rsid w:val="00332DE5"/>
    <w:rsid w:val="003438F0"/>
    <w:rsid w:val="0034560E"/>
    <w:rsid w:val="003461C9"/>
    <w:rsid w:val="00346BB8"/>
    <w:rsid w:val="00365000"/>
    <w:rsid w:val="0036501C"/>
    <w:rsid w:val="00365626"/>
    <w:rsid w:val="0037555C"/>
    <w:rsid w:val="00392B9E"/>
    <w:rsid w:val="003931B3"/>
    <w:rsid w:val="00397770"/>
    <w:rsid w:val="003A1346"/>
    <w:rsid w:val="003A38EE"/>
    <w:rsid w:val="003C3BA8"/>
    <w:rsid w:val="003C669F"/>
    <w:rsid w:val="003E2167"/>
    <w:rsid w:val="003E797A"/>
    <w:rsid w:val="003F6E75"/>
    <w:rsid w:val="0040010E"/>
    <w:rsid w:val="004007BF"/>
    <w:rsid w:val="0040473C"/>
    <w:rsid w:val="00405F9E"/>
    <w:rsid w:val="0040607D"/>
    <w:rsid w:val="0041485F"/>
    <w:rsid w:val="00423E45"/>
    <w:rsid w:val="00461C62"/>
    <w:rsid w:val="004635CA"/>
    <w:rsid w:val="00467CC8"/>
    <w:rsid w:val="0047040E"/>
    <w:rsid w:val="00484EC9"/>
    <w:rsid w:val="004908C9"/>
    <w:rsid w:val="004B2DDF"/>
    <w:rsid w:val="004C0B33"/>
    <w:rsid w:val="004E698A"/>
    <w:rsid w:val="004F2130"/>
    <w:rsid w:val="00511A0F"/>
    <w:rsid w:val="00512712"/>
    <w:rsid w:val="00524C26"/>
    <w:rsid w:val="00530DCF"/>
    <w:rsid w:val="0054033B"/>
    <w:rsid w:val="00543D66"/>
    <w:rsid w:val="00544975"/>
    <w:rsid w:val="00555B7A"/>
    <w:rsid w:val="00561E34"/>
    <w:rsid w:val="00565749"/>
    <w:rsid w:val="005740D1"/>
    <w:rsid w:val="00581DCF"/>
    <w:rsid w:val="005927DD"/>
    <w:rsid w:val="00594AC9"/>
    <w:rsid w:val="00595FC7"/>
    <w:rsid w:val="00596C48"/>
    <w:rsid w:val="00597D5A"/>
    <w:rsid w:val="005A12E8"/>
    <w:rsid w:val="005B2FA7"/>
    <w:rsid w:val="005C5FB9"/>
    <w:rsid w:val="005D31F8"/>
    <w:rsid w:val="005D40D1"/>
    <w:rsid w:val="005F7BF8"/>
    <w:rsid w:val="00606867"/>
    <w:rsid w:val="006409FE"/>
    <w:rsid w:val="006468D3"/>
    <w:rsid w:val="00653CC2"/>
    <w:rsid w:val="00661346"/>
    <w:rsid w:val="0066216B"/>
    <w:rsid w:val="00667EDD"/>
    <w:rsid w:val="00675934"/>
    <w:rsid w:val="006B5D62"/>
    <w:rsid w:val="006B76F8"/>
    <w:rsid w:val="006E4503"/>
    <w:rsid w:val="00706048"/>
    <w:rsid w:val="00712984"/>
    <w:rsid w:val="007235F5"/>
    <w:rsid w:val="00723C39"/>
    <w:rsid w:val="00740AC7"/>
    <w:rsid w:val="00766784"/>
    <w:rsid w:val="00785A0C"/>
    <w:rsid w:val="0078722F"/>
    <w:rsid w:val="0079370C"/>
    <w:rsid w:val="007A10A0"/>
    <w:rsid w:val="007B1787"/>
    <w:rsid w:val="0080402E"/>
    <w:rsid w:val="00813003"/>
    <w:rsid w:val="00830A1E"/>
    <w:rsid w:val="00835CE7"/>
    <w:rsid w:val="00843BF4"/>
    <w:rsid w:val="00846056"/>
    <w:rsid w:val="00846927"/>
    <w:rsid w:val="00847571"/>
    <w:rsid w:val="00847F45"/>
    <w:rsid w:val="00861F96"/>
    <w:rsid w:val="0088337D"/>
    <w:rsid w:val="00890398"/>
    <w:rsid w:val="008A1798"/>
    <w:rsid w:val="008B45E8"/>
    <w:rsid w:val="008C23A5"/>
    <w:rsid w:val="008E775C"/>
    <w:rsid w:val="008E79CF"/>
    <w:rsid w:val="008F5D17"/>
    <w:rsid w:val="00902954"/>
    <w:rsid w:val="00903869"/>
    <w:rsid w:val="009113E8"/>
    <w:rsid w:val="00912C98"/>
    <w:rsid w:val="00920D98"/>
    <w:rsid w:val="00922455"/>
    <w:rsid w:val="009328F5"/>
    <w:rsid w:val="00933C1C"/>
    <w:rsid w:val="0093555E"/>
    <w:rsid w:val="009654E6"/>
    <w:rsid w:val="00970164"/>
    <w:rsid w:val="009A22A2"/>
    <w:rsid w:val="009A5E65"/>
    <w:rsid w:val="009A5F66"/>
    <w:rsid w:val="009D681C"/>
    <w:rsid w:val="009F4C5D"/>
    <w:rsid w:val="009F4CA4"/>
    <w:rsid w:val="00A110BF"/>
    <w:rsid w:val="00A12B2C"/>
    <w:rsid w:val="00A50710"/>
    <w:rsid w:val="00A51318"/>
    <w:rsid w:val="00A52BDA"/>
    <w:rsid w:val="00A57285"/>
    <w:rsid w:val="00A608DF"/>
    <w:rsid w:val="00A6744F"/>
    <w:rsid w:val="00A86AC1"/>
    <w:rsid w:val="00AB52C2"/>
    <w:rsid w:val="00AC30BE"/>
    <w:rsid w:val="00AC3839"/>
    <w:rsid w:val="00AD3FB8"/>
    <w:rsid w:val="00AE0A40"/>
    <w:rsid w:val="00AE2F5D"/>
    <w:rsid w:val="00AF78D9"/>
    <w:rsid w:val="00B0317A"/>
    <w:rsid w:val="00B138C8"/>
    <w:rsid w:val="00B170F7"/>
    <w:rsid w:val="00B2372F"/>
    <w:rsid w:val="00B36AD2"/>
    <w:rsid w:val="00B51CCC"/>
    <w:rsid w:val="00B57ED8"/>
    <w:rsid w:val="00B67234"/>
    <w:rsid w:val="00B74657"/>
    <w:rsid w:val="00B77209"/>
    <w:rsid w:val="00B87C75"/>
    <w:rsid w:val="00B93EE9"/>
    <w:rsid w:val="00BA2AB7"/>
    <w:rsid w:val="00BA53C0"/>
    <w:rsid w:val="00BB40FD"/>
    <w:rsid w:val="00BB59A0"/>
    <w:rsid w:val="00BB7397"/>
    <w:rsid w:val="00BC2A52"/>
    <w:rsid w:val="00BC3995"/>
    <w:rsid w:val="00BE3675"/>
    <w:rsid w:val="00BE593E"/>
    <w:rsid w:val="00BF159A"/>
    <w:rsid w:val="00BF42C1"/>
    <w:rsid w:val="00C024E3"/>
    <w:rsid w:val="00C24DFD"/>
    <w:rsid w:val="00C352B2"/>
    <w:rsid w:val="00C36161"/>
    <w:rsid w:val="00C369F3"/>
    <w:rsid w:val="00C52817"/>
    <w:rsid w:val="00C54539"/>
    <w:rsid w:val="00C57382"/>
    <w:rsid w:val="00C73EBC"/>
    <w:rsid w:val="00C90CA4"/>
    <w:rsid w:val="00CB248C"/>
    <w:rsid w:val="00CC0F0D"/>
    <w:rsid w:val="00CC526C"/>
    <w:rsid w:val="00CD5EB0"/>
    <w:rsid w:val="00D06358"/>
    <w:rsid w:val="00D138B7"/>
    <w:rsid w:val="00D15B72"/>
    <w:rsid w:val="00D26372"/>
    <w:rsid w:val="00D3767F"/>
    <w:rsid w:val="00D44B4D"/>
    <w:rsid w:val="00D936FE"/>
    <w:rsid w:val="00DA6DEA"/>
    <w:rsid w:val="00DB0634"/>
    <w:rsid w:val="00DB58D5"/>
    <w:rsid w:val="00DC7293"/>
    <w:rsid w:val="00DC73EA"/>
    <w:rsid w:val="00DE1890"/>
    <w:rsid w:val="00DE3565"/>
    <w:rsid w:val="00E01785"/>
    <w:rsid w:val="00E03EB1"/>
    <w:rsid w:val="00E06E5B"/>
    <w:rsid w:val="00E10DD2"/>
    <w:rsid w:val="00E12334"/>
    <w:rsid w:val="00E257C6"/>
    <w:rsid w:val="00E2761B"/>
    <w:rsid w:val="00E358EB"/>
    <w:rsid w:val="00E5111B"/>
    <w:rsid w:val="00E95F2B"/>
    <w:rsid w:val="00EA31BC"/>
    <w:rsid w:val="00EC1BBD"/>
    <w:rsid w:val="00EF49CF"/>
    <w:rsid w:val="00F22BA5"/>
    <w:rsid w:val="00F23BED"/>
    <w:rsid w:val="00F3197F"/>
    <w:rsid w:val="00F3270C"/>
    <w:rsid w:val="00F347BF"/>
    <w:rsid w:val="00F421E4"/>
    <w:rsid w:val="00F50E5B"/>
    <w:rsid w:val="00F56039"/>
    <w:rsid w:val="00F64E87"/>
    <w:rsid w:val="00F65FC9"/>
    <w:rsid w:val="00F71617"/>
    <w:rsid w:val="00F75A11"/>
    <w:rsid w:val="00F82E72"/>
    <w:rsid w:val="00F85637"/>
    <w:rsid w:val="00F93624"/>
    <w:rsid w:val="00F97D11"/>
    <w:rsid w:val="00FB763A"/>
    <w:rsid w:val="00FC4709"/>
    <w:rsid w:val="00FC6EAD"/>
    <w:rsid w:val="00FD23F6"/>
    <w:rsid w:val="00FD2AA8"/>
    <w:rsid w:val="00FD4D62"/>
    <w:rsid w:val="00FD58B0"/>
    <w:rsid w:val="00FE381E"/>
    <w:rsid w:val="00FE4064"/>
    <w:rsid w:val="00FE48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67A4E"/>
  <w15:docId w15:val="{4DC6C6A2-F6C0-4AD2-A6DB-BEEC1D3E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2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A12E8"/>
    <w:pPr>
      <w:spacing w:before="75" w:after="75"/>
      <w:ind w:firstLine="375"/>
      <w:jc w:val="both"/>
    </w:pPr>
  </w:style>
  <w:style w:type="character" w:styleId="Hyperlink">
    <w:name w:val="Hyperlink"/>
    <w:uiPriority w:val="99"/>
    <w:unhideWhenUsed/>
    <w:rsid w:val="005A12E8"/>
    <w:rPr>
      <w:color w:val="0000FF"/>
      <w:u w:val="single"/>
    </w:rPr>
  </w:style>
  <w:style w:type="paragraph" w:styleId="Header">
    <w:name w:val="header"/>
    <w:basedOn w:val="Normal"/>
    <w:link w:val="HeaderChar"/>
    <w:uiPriority w:val="99"/>
    <w:unhideWhenUsed/>
    <w:rsid w:val="005A12E8"/>
    <w:pPr>
      <w:tabs>
        <w:tab w:val="center" w:pos="4153"/>
        <w:tab w:val="right" w:pos="8306"/>
      </w:tabs>
    </w:pPr>
  </w:style>
  <w:style w:type="character" w:customStyle="1" w:styleId="HeaderChar">
    <w:name w:val="Header Char"/>
    <w:link w:val="Header"/>
    <w:uiPriority w:val="99"/>
    <w:rsid w:val="005A12E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A12E8"/>
    <w:pPr>
      <w:tabs>
        <w:tab w:val="center" w:pos="4153"/>
        <w:tab w:val="right" w:pos="8306"/>
      </w:tabs>
    </w:pPr>
  </w:style>
  <w:style w:type="character" w:customStyle="1" w:styleId="FooterChar">
    <w:name w:val="Footer Char"/>
    <w:link w:val="Footer"/>
    <w:uiPriority w:val="99"/>
    <w:rsid w:val="005A12E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A12E8"/>
    <w:pPr>
      <w:suppressAutoHyphens/>
      <w:ind w:left="720"/>
      <w:contextualSpacing/>
    </w:pPr>
    <w:rPr>
      <w:lang w:eastAsia="zh-CN"/>
    </w:rPr>
  </w:style>
  <w:style w:type="paragraph" w:customStyle="1" w:styleId="tv2131">
    <w:name w:val="tv2131"/>
    <w:basedOn w:val="Normal"/>
    <w:rsid w:val="00DE1890"/>
    <w:pPr>
      <w:spacing w:line="360" w:lineRule="auto"/>
      <w:ind w:firstLine="300"/>
    </w:pPr>
    <w:rPr>
      <w:color w:val="414142"/>
      <w:sz w:val="20"/>
      <w:szCs w:val="20"/>
    </w:rPr>
  </w:style>
  <w:style w:type="paragraph" w:styleId="NoSpacing">
    <w:name w:val="No Spacing"/>
    <w:uiPriority w:val="1"/>
    <w:qFormat/>
    <w:rsid w:val="000748E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06358"/>
    <w:rPr>
      <w:rFonts w:ascii="Segoe UI" w:hAnsi="Segoe UI" w:cs="Segoe UI"/>
      <w:sz w:val="18"/>
      <w:szCs w:val="18"/>
    </w:rPr>
  </w:style>
  <w:style w:type="character" w:customStyle="1" w:styleId="BalloonTextChar">
    <w:name w:val="Balloon Text Char"/>
    <w:link w:val="BalloonText"/>
    <w:uiPriority w:val="99"/>
    <w:semiHidden/>
    <w:rsid w:val="00D06358"/>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4B2DDF"/>
    <w:pPr>
      <w:widowControl w:val="0"/>
      <w:jc w:val="both"/>
    </w:pPr>
    <w:rPr>
      <w:rFonts w:eastAsia="Calibri"/>
      <w:sz w:val="20"/>
      <w:szCs w:val="20"/>
      <w:lang w:eastAsia="en-US"/>
    </w:rPr>
  </w:style>
  <w:style w:type="character" w:customStyle="1" w:styleId="FootnoteTextChar">
    <w:name w:val="Footnote Text Char"/>
    <w:link w:val="FootnoteText"/>
    <w:uiPriority w:val="99"/>
    <w:semiHidden/>
    <w:rsid w:val="004B2DDF"/>
    <w:rPr>
      <w:rFonts w:ascii="Times New Roman" w:hAnsi="Times New Roman"/>
      <w:lang w:eastAsia="en-US"/>
    </w:rPr>
  </w:style>
  <w:style w:type="character" w:styleId="FootnoteReference">
    <w:name w:val="footnote reference"/>
    <w:uiPriority w:val="99"/>
    <w:semiHidden/>
    <w:unhideWhenUsed/>
    <w:rsid w:val="004B2DDF"/>
    <w:rPr>
      <w:vertAlign w:val="superscript"/>
    </w:rPr>
  </w:style>
  <w:style w:type="paragraph" w:styleId="NormalWeb">
    <w:name w:val="Normal (Web)"/>
    <w:basedOn w:val="Normal"/>
    <w:uiPriority w:val="99"/>
    <w:rsid w:val="00F82E72"/>
    <w:pPr>
      <w:spacing w:before="100" w:beforeAutospacing="1" w:after="100" w:afterAutospacing="1"/>
    </w:pPr>
  </w:style>
  <w:style w:type="paragraph" w:customStyle="1" w:styleId="naiskr">
    <w:name w:val="naiskr"/>
    <w:basedOn w:val="Normal"/>
    <w:rsid w:val="00F82E72"/>
    <w:pPr>
      <w:spacing w:before="75" w:after="75"/>
    </w:pPr>
  </w:style>
  <w:style w:type="paragraph" w:customStyle="1" w:styleId="naisc">
    <w:name w:val="naisc"/>
    <w:basedOn w:val="Normal"/>
    <w:rsid w:val="00F82E72"/>
    <w:pPr>
      <w:spacing w:before="75" w:after="75"/>
      <w:jc w:val="center"/>
    </w:pPr>
  </w:style>
  <w:style w:type="character" w:styleId="CommentReference">
    <w:name w:val="annotation reference"/>
    <w:basedOn w:val="DefaultParagraphFont"/>
    <w:uiPriority w:val="99"/>
    <w:semiHidden/>
    <w:unhideWhenUsed/>
    <w:rsid w:val="0079370C"/>
    <w:rPr>
      <w:sz w:val="16"/>
      <w:szCs w:val="16"/>
    </w:rPr>
  </w:style>
  <w:style w:type="paragraph" w:styleId="CommentText">
    <w:name w:val="annotation text"/>
    <w:basedOn w:val="Normal"/>
    <w:link w:val="CommentTextChar"/>
    <w:uiPriority w:val="99"/>
    <w:unhideWhenUsed/>
    <w:rsid w:val="0079370C"/>
    <w:rPr>
      <w:sz w:val="20"/>
      <w:szCs w:val="20"/>
    </w:rPr>
  </w:style>
  <w:style w:type="character" w:customStyle="1" w:styleId="CommentTextChar">
    <w:name w:val="Comment Text Char"/>
    <w:basedOn w:val="DefaultParagraphFont"/>
    <w:link w:val="CommentText"/>
    <w:uiPriority w:val="99"/>
    <w:rsid w:val="0079370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9370C"/>
    <w:rPr>
      <w:b/>
      <w:bCs/>
    </w:rPr>
  </w:style>
  <w:style w:type="character" w:customStyle="1" w:styleId="CommentSubjectChar">
    <w:name w:val="Comment Subject Char"/>
    <w:basedOn w:val="CommentTextChar"/>
    <w:link w:val="CommentSubject"/>
    <w:uiPriority w:val="99"/>
    <w:semiHidden/>
    <w:rsid w:val="0079370C"/>
    <w:rPr>
      <w:rFonts w:ascii="Times New Roman" w:eastAsia="Times New Roman" w:hAnsi="Times New Roman"/>
      <w:b/>
      <w:bCs/>
    </w:rPr>
  </w:style>
  <w:style w:type="paragraph" w:customStyle="1" w:styleId="tv213">
    <w:name w:val="tv213"/>
    <w:basedOn w:val="Normal"/>
    <w:rsid w:val="001D21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14405">
      <w:bodyDiv w:val="1"/>
      <w:marLeft w:val="0"/>
      <w:marRight w:val="0"/>
      <w:marTop w:val="0"/>
      <w:marBottom w:val="0"/>
      <w:divBdr>
        <w:top w:val="none" w:sz="0" w:space="0" w:color="auto"/>
        <w:left w:val="none" w:sz="0" w:space="0" w:color="auto"/>
        <w:bottom w:val="none" w:sz="0" w:space="0" w:color="auto"/>
        <w:right w:val="none" w:sz="0" w:space="0" w:color="auto"/>
      </w:divBdr>
    </w:div>
    <w:div w:id="698313320">
      <w:bodyDiv w:val="1"/>
      <w:marLeft w:val="0"/>
      <w:marRight w:val="0"/>
      <w:marTop w:val="0"/>
      <w:marBottom w:val="0"/>
      <w:divBdr>
        <w:top w:val="none" w:sz="0" w:space="0" w:color="auto"/>
        <w:left w:val="none" w:sz="0" w:space="0" w:color="auto"/>
        <w:bottom w:val="none" w:sz="0" w:space="0" w:color="auto"/>
        <w:right w:val="none" w:sz="0" w:space="0" w:color="auto"/>
      </w:divBdr>
    </w:div>
    <w:div w:id="184254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zintra.Mergupe-Kutrait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4EFA7-A12C-47A7-A139-A205E2D1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1948</Words>
  <Characters>11109</Characters>
  <Application>Microsoft Office Word</Application>
  <DocSecurity>0</DocSecurity>
  <Lines>92</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2013./2014.mācību gada un mācību semestru sākuma un beigu laiku” (VSS-84)</vt:lpstr>
      <vt:lpstr>Ministru kabineta noteikumu projekts „Noteikumi par 2013./2014.mācību gada un mācību semestru sākuma un beigu laiku” (VSS-84)</vt:lpstr>
    </vt:vector>
  </TitlesOfParts>
  <Company> </Company>
  <LinksUpToDate>false</LinksUpToDate>
  <CharactersWithSpaces>13031</CharactersWithSpaces>
  <SharedDoc>false</SharedDoc>
  <HLinks>
    <vt:vector size="18" baseType="variant">
      <vt:variant>
        <vt:i4>655406</vt:i4>
      </vt:variant>
      <vt:variant>
        <vt:i4>6</vt:i4>
      </vt:variant>
      <vt:variant>
        <vt:i4>0</vt:i4>
      </vt:variant>
      <vt:variant>
        <vt:i4>5</vt:i4>
      </vt:variant>
      <vt:variant>
        <vt:lpwstr>mailto:Guntra.Kuske@izm.gov.lv</vt:lpwstr>
      </vt:variant>
      <vt:variant>
        <vt:lpwstr/>
      </vt:variant>
      <vt:variant>
        <vt:i4>6029359</vt:i4>
      </vt:variant>
      <vt:variant>
        <vt:i4>3</vt:i4>
      </vt:variant>
      <vt:variant>
        <vt:i4>0</vt:i4>
      </vt:variant>
      <vt:variant>
        <vt:i4>5</vt:i4>
      </vt:variant>
      <vt:variant>
        <vt:lpwstr>mailto:Dzintra.Mergupe-Kutraite@izm.gov.lv</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2013./2014.mācību gada un mācību semestru sākuma un beigu laiku” (VSS-84)</dc:title>
  <dc:subject>Izziņa</dc:subject>
  <dc:creator>dmergupe</dc:creator>
  <cp:keywords/>
  <dc:description>67047817, dzintra.mergupe@izm.gov.lv</dc:description>
  <cp:lastModifiedBy>Dzintra Mergupe-Kutraite</cp:lastModifiedBy>
  <cp:revision>2</cp:revision>
  <cp:lastPrinted>2015-11-03T08:02:00Z</cp:lastPrinted>
  <dcterms:created xsi:type="dcterms:W3CDTF">2021-02-17T11:14:00Z</dcterms:created>
  <dcterms:modified xsi:type="dcterms:W3CDTF">2021-02-17T11:14:00Z</dcterms:modified>
</cp:coreProperties>
</file>