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3FCB" w14:textId="77777777" w:rsidR="008D5C37" w:rsidRDefault="009F35AE" w:rsidP="008D5C37">
      <w:pPr>
        <w:pStyle w:val="naislab"/>
        <w:spacing w:before="0" w:after="0"/>
        <w:jc w:val="center"/>
        <w:rPr>
          <w:b/>
          <w:sz w:val="22"/>
          <w:szCs w:val="22"/>
        </w:rPr>
      </w:pPr>
      <w:r w:rsidRPr="008D5C37">
        <w:rPr>
          <w:b/>
          <w:sz w:val="22"/>
          <w:szCs w:val="22"/>
        </w:rPr>
        <w:t xml:space="preserve">Izziņa par atzinumos sniegtajiem iebildumiem </w:t>
      </w:r>
    </w:p>
    <w:p w14:paraId="23EC31CE" w14:textId="77777777" w:rsidR="008D5C37" w:rsidRDefault="009F35AE" w:rsidP="008D5C37">
      <w:pPr>
        <w:pStyle w:val="naislab"/>
        <w:spacing w:before="0" w:after="0"/>
        <w:jc w:val="center"/>
        <w:rPr>
          <w:b/>
          <w:sz w:val="22"/>
          <w:szCs w:val="22"/>
        </w:rPr>
      </w:pPr>
      <w:r w:rsidRPr="008D5C37">
        <w:rPr>
          <w:b/>
          <w:sz w:val="22"/>
          <w:szCs w:val="22"/>
        </w:rPr>
        <w:t xml:space="preserve">par informatīvo </w:t>
      </w:r>
      <w:r w:rsidRPr="008D5C37">
        <w:rPr>
          <w:b/>
          <w:color w:val="000000"/>
          <w:sz w:val="22"/>
          <w:szCs w:val="22"/>
        </w:rPr>
        <w:t xml:space="preserve">ziņojumu </w:t>
      </w:r>
      <w:r w:rsidR="00685FBB" w:rsidRPr="008D5C37">
        <w:rPr>
          <w:b/>
          <w:sz w:val="22"/>
          <w:szCs w:val="22"/>
        </w:rPr>
        <w:t xml:space="preserve">„Par </w:t>
      </w:r>
      <w:r w:rsidR="00685FBB" w:rsidRPr="008D5C37">
        <w:rPr>
          <w:b/>
          <w:bCs/>
          <w:sz w:val="22"/>
          <w:szCs w:val="22"/>
        </w:rPr>
        <w:t xml:space="preserve">projekta </w:t>
      </w:r>
      <w:r w:rsidR="00685FBB" w:rsidRPr="008D5C37">
        <w:rPr>
          <w:bCs/>
          <w:sz w:val="22"/>
          <w:szCs w:val="22"/>
        </w:rPr>
        <w:t>„</w:t>
      </w:r>
      <w:r w:rsidR="00EB1F90" w:rsidRPr="008D5C37">
        <w:rPr>
          <w:b/>
          <w:bCs/>
          <w:sz w:val="22"/>
          <w:szCs w:val="22"/>
        </w:rPr>
        <w:t>Latvijas romu platforma V</w:t>
      </w:r>
      <w:r w:rsidR="0077608C">
        <w:rPr>
          <w:b/>
          <w:bCs/>
          <w:sz w:val="22"/>
          <w:szCs w:val="22"/>
        </w:rPr>
        <w:t>I</w:t>
      </w:r>
      <w:r w:rsidR="00685FBB" w:rsidRPr="008D5C37">
        <w:rPr>
          <w:b/>
          <w:bCs/>
          <w:sz w:val="22"/>
          <w:szCs w:val="22"/>
        </w:rPr>
        <w:t xml:space="preserve">” </w:t>
      </w:r>
      <w:r w:rsidR="00685FBB" w:rsidRPr="008D5C37">
        <w:rPr>
          <w:b/>
          <w:sz w:val="22"/>
          <w:szCs w:val="22"/>
        </w:rPr>
        <w:t xml:space="preserve">īstenošanu Eiropas Savienības programmas </w:t>
      </w:r>
    </w:p>
    <w:p w14:paraId="373F6442" w14:textId="77777777" w:rsidR="009F35AE" w:rsidRPr="008D5C37" w:rsidRDefault="00685FBB" w:rsidP="008D5C37">
      <w:pPr>
        <w:pStyle w:val="naislab"/>
        <w:spacing w:before="0" w:after="0"/>
        <w:jc w:val="center"/>
        <w:rPr>
          <w:b/>
          <w:sz w:val="22"/>
          <w:szCs w:val="22"/>
        </w:rPr>
      </w:pPr>
      <w:r w:rsidRPr="008D5C37">
        <w:rPr>
          <w:b/>
          <w:sz w:val="22"/>
          <w:szCs w:val="22"/>
        </w:rPr>
        <w:t>„</w:t>
      </w:r>
      <w:r w:rsidRPr="008D5C37">
        <w:rPr>
          <w:rStyle w:val="st"/>
          <w:b/>
          <w:sz w:val="22"/>
          <w:szCs w:val="22"/>
        </w:rPr>
        <w:t>Tiesības, vienlīdzība un pilsonība</w:t>
      </w:r>
      <w:r w:rsidRPr="008D5C37">
        <w:rPr>
          <w:b/>
          <w:sz w:val="22"/>
          <w:szCs w:val="22"/>
        </w:rPr>
        <w:t>” ietvaros”</w:t>
      </w:r>
    </w:p>
    <w:p w14:paraId="15F60934" w14:textId="64CB5FFD" w:rsidR="009F35AE" w:rsidRDefault="009F35AE" w:rsidP="008D5C37">
      <w:pPr>
        <w:pStyle w:val="naisf"/>
        <w:tabs>
          <w:tab w:val="left" w:pos="3705"/>
        </w:tabs>
        <w:spacing w:before="0" w:after="0"/>
        <w:ind w:firstLine="0"/>
        <w:rPr>
          <w:bCs/>
          <w:sz w:val="22"/>
          <w:szCs w:val="22"/>
        </w:rPr>
      </w:pPr>
    </w:p>
    <w:p w14:paraId="268EB660" w14:textId="77777777" w:rsidR="002B3481" w:rsidRPr="006C10D7" w:rsidRDefault="002B3481" w:rsidP="002B3481">
      <w:pPr>
        <w:numPr>
          <w:ilvl w:val="0"/>
          <w:numId w:val="5"/>
        </w:numPr>
        <w:ind w:left="567" w:hanging="207"/>
        <w:jc w:val="center"/>
        <w:rPr>
          <w:b/>
          <w:bCs/>
          <w:sz w:val="22"/>
          <w:szCs w:val="22"/>
        </w:rPr>
      </w:pPr>
      <w:r w:rsidRPr="006C10D7">
        <w:rPr>
          <w:b/>
          <w:bCs/>
          <w:sz w:val="22"/>
          <w:szCs w:val="22"/>
        </w:rPr>
        <w:t>Jautājumi, par kuriem saskaņošanā vienošanās nav panākta</w:t>
      </w:r>
    </w:p>
    <w:p w14:paraId="4BF73DCB" w14:textId="77777777" w:rsidR="002B3481" w:rsidRPr="006C10D7" w:rsidRDefault="002B3481" w:rsidP="002B3481">
      <w:pPr>
        <w:rPr>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6"/>
        <w:gridCol w:w="2386"/>
        <w:gridCol w:w="2963"/>
        <w:gridCol w:w="3105"/>
        <w:gridCol w:w="2591"/>
        <w:gridCol w:w="2628"/>
      </w:tblGrid>
      <w:tr w:rsidR="002B3481" w:rsidRPr="006F3902" w14:paraId="555CC4FD" w14:textId="77777777" w:rsidTr="001C4413">
        <w:tc>
          <w:tcPr>
            <w:tcW w:w="192" w:type="pct"/>
            <w:tcBorders>
              <w:top w:val="single" w:sz="6" w:space="0" w:color="000000"/>
              <w:left w:val="single" w:sz="6" w:space="0" w:color="000000"/>
              <w:bottom w:val="single" w:sz="6" w:space="0" w:color="000000"/>
              <w:right w:val="single" w:sz="6" w:space="0" w:color="000000"/>
            </w:tcBorders>
            <w:vAlign w:val="center"/>
            <w:hideMark/>
          </w:tcPr>
          <w:p w14:paraId="670A6212" w14:textId="77777777" w:rsidR="002B3481" w:rsidRPr="006F3902" w:rsidRDefault="002B3481" w:rsidP="001C4413">
            <w:pPr>
              <w:pStyle w:val="naisc"/>
              <w:spacing w:before="0" w:after="0"/>
              <w:rPr>
                <w:lang w:eastAsia="en-US"/>
              </w:rPr>
            </w:pPr>
            <w:r w:rsidRPr="006F3902">
              <w:rPr>
                <w:sz w:val="22"/>
                <w:szCs w:val="22"/>
                <w:lang w:eastAsia="en-US"/>
              </w:rPr>
              <w:t>Nr. p.k.</w:t>
            </w:r>
          </w:p>
        </w:tc>
        <w:tc>
          <w:tcPr>
            <w:tcW w:w="839" w:type="pct"/>
            <w:tcBorders>
              <w:top w:val="single" w:sz="6" w:space="0" w:color="000000"/>
              <w:left w:val="single" w:sz="6" w:space="0" w:color="000000"/>
              <w:bottom w:val="single" w:sz="6" w:space="0" w:color="000000"/>
              <w:right w:val="single" w:sz="6" w:space="0" w:color="000000"/>
            </w:tcBorders>
            <w:vAlign w:val="center"/>
            <w:hideMark/>
          </w:tcPr>
          <w:p w14:paraId="146137C4" w14:textId="77777777" w:rsidR="002B3481" w:rsidRPr="006F3902" w:rsidRDefault="002B3481" w:rsidP="001C4413">
            <w:pPr>
              <w:pStyle w:val="naisc"/>
              <w:spacing w:before="0" w:after="0"/>
              <w:ind w:firstLine="12"/>
              <w:rPr>
                <w:lang w:eastAsia="en-US"/>
              </w:rPr>
            </w:pPr>
            <w:r w:rsidRPr="006F3902">
              <w:rPr>
                <w:sz w:val="22"/>
                <w:szCs w:val="22"/>
                <w:lang w:eastAsia="en-US"/>
              </w:rPr>
              <w:t>Saskaņošanai nosūtītā projekta redakcija (konkrēta punkta (panta) redakcija)</w:t>
            </w:r>
          </w:p>
        </w:tc>
        <w:tc>
          <w:tcPr>
            <w:tcW w:w="1042" w:type="pct"/>
            <w:tcBorders>
              <w:top w:val="single" w:sz="6" w:space="0" w:color="000000"/>
              <w:left w:val="single" w:sz="6" w:space="0" w:color="000000"/>
              <w:bottom w:val="single" w:sz="6" w:space="0" w:color="000000"/>
              <w:right w:val="single" w:sz="6" w:space="0" w:color="000000"/>
            </w:tcBorders>
            <w:vAlign w:val="center"/>
            <w:hideMark/>
          </w:tcPr>
          <w:p w14:paraId="70A50AE7" w14:textId="77777777" w:rsidR="002B3481" w:rsidRPr="006F3902" w:rsidRDefault="002B3481" w:rsidP="001C4413">
            <w:pPr>
              <w:pStyle w:val="naisc"/>
              <w:spacing w:before="0" w:after="0"/>
              <w:ind w:right="3"/>
              <w:rPr>
                <w:lang w:eastAsia="en-US"/>
              </w:rPr>
            </w:pPr>
            <w:r w:rsidRPr="006F3902">
              <w:rPr>
                <w:sz w:val="22"/>
                <w:szCs w:val="22"/>
                <w:lang w:eastAsia="en-US"/>
              </w:rPr>
              <w:t>Atzinumā norādītais ministrijas (citas institūcijas) iebildums, kā arī saskaņošanā papildus izteiktais iebildums par projekta konkrēto punktu (pantu)</w:t>
            </w:r>
          </w:p>
        </w:tc>
        <w:tc>
          <w:tcPr>
            <w:tcW w:w="1092" w:type="pct"/>
            <w:tcBorders>
              <w:top w:val="single" w:sz="6" w:space="0" w:color="000000"/>
              <w:left w:val="single" w:sz="6" w:space="0" w:color="000000"/>
              <w:bottom w:val="single" w:sz="6" w:space="0" w:color="000000"/>
              <w:right w:val="single" w:sz="6" w:space="0" w:color="000000"/>
            </w:tcBorders>
            <w:vAlign w:val="center"/>
            <w:hideMark/>
          </w:tcPr>
          <w:p w14:paraId="06A042AC" w14:textId="77777777" w:rsidR="002B3481" w:rsidRPr="006F3902" w:rsidRDefault="002B3481" w:rsidP="001C4413">
            <w:pPr>
              <w:pStyle w:val="naisc"/>
              <w:spacing w:before="0" w:after="0"/>
              <w:ind w:firstLine="21"/>
              <w:rPr>
                <w:lang w:eastAsia="en-US"/>
              </w:rPr>
            </w:pPr>
            <w:r w:rsidRPr="006F3902">
              <w:rPr>
                <w:sz w:val="22"/>
                <w:szCs w:val="22"/>
                <w:lang w:eastAsia="en-US"/>
              </w:rPr>
              <w:t>Atbildīgās ministrijas pamatojums iebilduma noraidījumam</w:t>
            </w:r>
          </w:p>
        </w:tc>
        <w:tc>
          <w:tcPr>
            <w:tcW w:w="911" w:type="pct"/>
            <w:tcBorders>
              <w:top w:val="single" w:sz="4" w:space="0" w:color="auto"/>
              <w:left w:val="single" w:sz="4" w:space="0" w:color="auto"/>
              <w:bottom w:val="single" w:sz="4" w:space="0" w:color="auto"/>
              <w:right w:val="single" w:sz="4" w:space="0" w:color="auto"/>
            </w:tcBorders>
            <w:vAlign w:val="center"/>
            <w:hideMark/>
          </w:tcPr>
          <w:p w14:paraId="4D2A729C" w14:textId="77777777" w:rsidR="002B3481" w:rsidRPr="006F3902" w:rsidRDefault="002B3481" w:rsidP="001C4413">
            <w:pPr>
              <w:jc w:val="center"/>
              <w:rPr>
                <w:lang w:eastAsia="en-US"/>
              </w:rPr>
            </w:pPr>
            <w:r w:rsidRPr="006F3902">
              <w:rPr>
                <w:sz w:val="22"/>
                <w:szCs w:val="22"/>
                <w:lang w:eastAsia="en-US"/>
              </w:rPr>
              <w:t>Atzinuma sniedzēja uzturētais iebildums, ja tas atšķiras no atzinumā norādītā iebilduma pamatojuma</w:t>
            </w:r>
          </w:p>
        </w:tc>
        <w:tc>
          <w:tcPr>
            <w:tcW w:w="924" w:type="pct"/>
            <w:tcBorders>
              <w:top w:val="single" w:sz="4" w:space="0" w:color="auto"/>
              <w:left w:val="single" w:sz="4" w:space="0" w:color="auto"/>
              <w:bottom w:val="single" w:sz="4" w:space="0" w:color="auto"/>
              <w:right w:val="single" w:sz="4" w:space="0" w:color="auto"/>
            </w:tcBorders>
            <w:vAlign w:val="center"/>
            <w:hideMark/>
          </w:tcPr>
          <w:p w14:paraId="707BB85D" w14:textId="77777777" w:rsidR="002B3481" w:rsidRPr="006F3902" w:rsidRDefault="002B3481" w:rsidP="001C4413">
            <w:pPr>
              <w:jc w:val="center"/>
              <w:rPr>
                <w:lang w:eastAsia="en-US"/>
              </w:rPr>
            </w:pPr>
            <w:r w:rsidRPr="006F3902">
              <w:rPr>
                <w:sz w:val="22"/>
                <w:szCs w:val="22"/>
                <w:lang w:eastAsia="en-US"/>
              </w:rPr>
              <w:t>Projekta attiecīgā punkta (panta) galīgā redakcija</w:t>
            </w:r>
          </w:p>
        </w:tc>
      </w:tr>
      <w:tr w:rsidR="002B3481" w:rsidRPr="006F3902" w14:paraId="40656364" w14:textId="77777777" w:rsidTr="001C4413">
        <w:tc>
          <w:tcPr>
            <w:tcW w:w="192" w:type="pct"/>
            <w:tcBorders>
              <w:top w:val="single" w:sz="6" w:space="0" w:color="000000"/>
              <w:left w:val="single" w:sz="6" w:space="0" w:color="000000"/>
              <w:bottom w:val="single" w:sz="6" w:space="0" w:color="000000"/>
              <w:right w:val="single" w:sz="6" w:space="0" w:color="000000"/>
            </w:tcBorders>
            <w:hideMark/>
          </w:tcPr>
          <w:p w14:paraId="62FE0BD4" w14:textId="77777777" w:rsidR="002B3481" w:rsidRPr="006F3902" w:rsidRDefault="002B3481" w:rsidP="001C4413">
            <w:pPr>
              <w:pStyle w:val="naisc"/>
              <w:spacing w:before="0" w:after="0"/>
              <w:rPr>
                <w:lang w:eastAsia="en-US"/>
              </w:rPr>
            </w:pPr>
            <w:r w:rsidRPr="006F3902">
              <w:rPr>
                <w:sz w:val="22"/>
                <w:szCs w:val="22"/>
                <w:lang w:eastAsia="en-US"/>
              </w:rPr>
              <w:t>1</w:t>
            </w:r>
          </w:p>
        </w:tc>
        <w:tc>
          <w:tcPr>
            <w:tcW w:w="839" w:type="pct"/>
            <w:tcBorders>
              <w:top w:val="single" w:sz="6" w:space="0" w:color="000000"/>
              <w:left w:val="single" w:sz="6" w:space="0" w:color="000000"/>
              <w:bottom w:val="single" w:sz="6" w:space="0" w:color="000000"/>
              <w:right w:val="single" w:sz="6" w:space="0" w:color="000000"/>
            </w:tcBorders>
            <w:hideMark/>
          </w:tcPr>
          <w:p w14:paraId="4718AFC3" w14:textId="77777777" w:rsidR="002B3481" w:rsidRPr="006F3902" w:rsidRDefault="002B3481" w:rsidP="001C4413">
            <w:pPr>
              <w:pStyle w:val="naisc"/>
              <w:spacing w:before="0" w:after="0"/>
              <w:ind w:hanging="11"/>
              <w:rPr>
                <w:lang w:eastAsia="en-US"/>
              </w:rPr>
            </w:pPr>
            <w:r w:rsidRPr="006F3902">
              <w:rPr>
                <w:sz w:val="22"/>
                <w:szCs w:val="22"/>
                <w:lang w:eastAsia="en-US"/>
              </w:rPr>
              <w:t>2</w:t>
            </w:r>
          </w:p>
        </w:tc>
        <w:tc>
          <w:tcPr>
            <w:tcW w:w="1042" w:type="pct"/>
            <w:tcBorders>
              <w:top w:val="single" w:sz="6" w:space="0" w:color="000000"/>
              <w:left w:val="single" w:sz="6" w:space="0" w:color="000000"/>
              <w:bottom w:val="single" w:sz="6" w:space="0" w:color="000000"/>
              <w:right w:val="single" w:sz="6" w:space="0" w:color="000000"/>
            </w:tcBorders>
            <w:hideMark/>
          </w:tcPr>
          <w:p w14:paraId="191BAD53" w14:textId="77777777" w:rsidR="002B3481" w:rsidRPr="006F3902" w:rsidRDefault="002B3481" w:rsidP="001C4413">
            <w:pPr>
              <w:pStyle w:val="naisc"/>
              <w:spacing w:before="0" w:after="0"/>
              <w:rPr>
                <w:lang w:eastAsia="en-US"/>
              </w:rPr>
            </w:pPr>
            <w:r w:rsidRPr="006F3902">
              <w:rPr>
                <w:sz w:val="22"/>
                <w:szCs w:val="22"/>
                <w:lang w:eastAsia="en-US"/>
              </w:rPr>
              <w:t>3</w:t>
            </w:r>
          </w:p>
        </w:tc>
        <w:tc>
          <w:tcPr>
            <w:tcW w:w="1092" w:type="pct"/>
            <w:tcBorders>
              <w:top w:val="single" w:sz="6" w:space="0" w:color="000000"/>
              <w:left w:val="single" w:sz="6" w:space="0" w:color="000000"/>
              <w:bottom w:val="single" w:sz="6" w:space="0" w:color="000000"/>
              <w:right w:val="single" w:sz="6" w:space="0" w:color="000000"/>
            </w:tcBorders>
            <w:hideMark/>
          </w:tcPr>
          <w:p w14:paraId="55D508B1" w14:textId="77777777" w:rsidR="002B3481" w:rsidRPr="006F3902" w:rsidRDefault="002B3481" w:rsidP="001C4413">
            <w:pPr>
              <w:pStyle w:val="naisc"/>
              <w:spacing w:before="0" w:after="0"/>
              <w:rPr>
                <w:lang w:eastAsia="en-US"/>
              </w:rPr>
            </w:pPr>
            <w:r w:rsidRPr="006F3902">
              <w:rPr>
                <w:sz w:val="22"/>
                <w:szCs w:val="22"/>
                <w:lang w:eastAsia="en-US"/>
              </w:rPr>
              <w:t>4</w:t>
            </w:r>
          </w:p>
        </w:tc>
        <w:tc>
          <w:tcPr>
            <w:tcW w:w="911" w:type="pct"/>
            <w:tcBorders>
              <w:top w:val="single" w:sz="4" w:space="0" w:color="auto"/>
              <w:left w:val="single" w:sz="4" w:space="0" w:color="auto"/>
              <w:bottom w:val="single" w:sz="4" w:space="0" w:color="auto"/>
              <w:right w:val="single" w:sz="4" w:space="0" w:color="auto"/>
            </w:tcBorders>
            <w:hideMark/>
          </w:tcPr>
          <w:p w14:paraId="68BB4956" w14:textId="77777777" w:rsidR="002B3481" w:rsidRPr="006F3902" w:rsidRDefault="002B3481" w:rsidP="001C4413">
            <w:pPr>
              <w:jc w:val="center"/>
              <w:rPr>
                <w:lang w:eastAsia="en-US"/>
              </w:rPr>
            </w:pPr>
            <w:r w:rsidRPr="006F3902">
              <w:rPr>
                <w:sz w:val="22"/>
                <w:szCs w:val="22"/>
                <w:lang w:eastAsia="en-US"/>
              </w:rPr>
              <w:t>5</w:t>
            </w:r>
          </w:p>
        </w:tc>
        <w:tc>
          <w:tcPr>
            <w:tcW w:w="924" w:type="pct"/>
            <w:tcBorders>
              <w:top w:val="single" w:sz="4" w:space="0" w:color="auto"/>
              <w:left w:val="single" w:sz="4" w:space="0" w:color="auto"/>
              <w:bottom w:val="single" w:sz="4" w:space="0" w:color="auto"/>
              <w:right w:val="single" w:sz="4" w:space="0" w:color="auto"/>
            </w:tcBorders>
            <w:hideMark/>
          </w:tcPr>
          <w:p w14:paraId="73F95CAE" w14:textId="77777777" w:rsidR="002B3481" w:rsidRPr="006F3902" w:rsidRDefault="002B3481" w:rsidP="001C4413">
            <w:pPr>
              <w:jc w:val="center"/>
              <w:rPr>
                <w:lang w:eastAsia="en-US"/>
              </w:rPr>
            </w:pPr>
            <w:r w:rsidRPr="006F3902">
              <w:rPr>
                <w:sz w:val="22"/>
                <w:szCs w:val="22"/>
                <w:lang w:eastAsia="en-US"/>
              </w:rPr>
              <w:t>6</w:t>
            </w:r>
          </w:p>
        </w:tc>
      </w:tr>
      <w:tr w:rsidR="002B3481" w:rsidRPr="006F3902" w14:paraId="525329AB" w14:textId="77777777" w:rsidTr="001C4413">
        <w:trPr>
          <w:trHeight w:val="210"/>
        </w:trPr>
        <w:tc>
          <w:tcPr>
            <w:tcW w:w="192" w:type="pct"/>
            <w:tcBorders>
              <w:top w:val="single" w:sz="6" w:space="0" w:color="000000"/>
              <w:left w:val="single" w:sz="6" w:space="0" w:color="000000"/>
              <w:bottom w:val="single" w:sz="6" w:space="0" w:color="000000"/>
              <w:right w:val="single" w:sz="6" w:space="0" w:color="000000"/>
            </w:tcBorders>
          </w:tcPr>
          <w:p w14:paraId="0CA2C7A0" w14:textId="77777777" w:rsidR="002B3481" w:rsidRPr="006F3902" w:rsidRDefault="002B3481" w:rsidP="001C4413">
            <w:pPr>
              <w:pStyle w:val="naisc"/>
              <w:spacing w:before="0" w:after="0"/>
              <w:rPr>
                <w:lang w:eastAsia="en-US"/>
              </w:rPr>
            </w:pPr>
          </w:p>
        </w:tc>
        <w:tc>
          <w:tcPr>
            <w:tcW w:w="839" w:type="pct"/>
            <w:tcBorders>
              <w:top w:val="single" w:sz="6" w:space="0" w:color="000000"/>
              <w:left w:val="single" w:sz="6" w:space="0" w:color="000000"/>
              <w:bottom w:val="single" w:sz="6" w:space="0" w:color="000000"/>
              <w:right w:val="single" w:sz="6" w:space="0" w:color="000000"/>
            </w:tcBorders>
          </w:tcPr>
          <w:p w14:paraId="5BD105DD" w14:textId="77777777" w:rsidR="002B3481" w:rsidRPr="006F3902" w:rsidRDefault="002B3481" w:rsidP="001C4413">
            <w:pPr>
              <w:jc w:val="both"/>
            </w:pPr>
          </w:p>
        </w:tc>
        <w:tc>
          <w:tcPr>
            <w:tcW w:w="1042" w:type="pct"/>
            <w:tcBorders>
              <w:top w:val="single" w:sz="6" w:space="0" w:color="000000"/>
              <w:left w:val="single" w:sz="6" w:space="0" w:color="000000"/>
              <w:bottom w:val="single" w:sz="6" w:space="0" w:color="000000"/>
              <w:right w:val="single" w:sz="6" w:space="0" w:color="000000"/>
            </w:tcBorders>
          </w:tcPr>
          <w:p w14:paraId="7CDAC6B9" w14:textId="77777777" w:rsidR="002B3481" w:rsidRPr="006F3902" w:rsidRDefault="002B3481" w:rsidP="001C4413">
            <w:pPr>
              <w:pStyle w:val="naisc"/>
              <w:spacing w:before="0" w:after="0"/>
              <w:ind w:right="31"/>
              <w:jc w:val="both"/>
              <w:rPr>
                <w:lang w:eastAsia="en-US"/>
              </w:rPr>
            </w:pPr>
          </w:p>
        </w:tc>
        <w:tc>
          <w:tcPr>
            <w:tcW w:w="1092" w:type="pct"/>
            <w:tcBorders>
              <w:top w:val="single" w:sz="6" w:space="0" w:color="000000"/>
              <w:left w:val="single" w:sz="6" w:space="0" w:color="000000"/>
              <w:bottom w:val="single" w:sz="6" w:space="0" w:color="000000"/>
              <w:right w:val="single" w:sz="6" w:space="0" w:color="000000"/>
            </w:tcBorders>
          </w:tcPr>
          <w:p w14:paraId="7006A66F" w14:textId="77777777" w:rsidR="002B3481" w:rsidRPr="006F3902" w:rsidRDefault="002B3481" w:rsidP="001C4413">
            <w:pPr>
              <w:jc w:val="both"/>
              <w:rPr>
                <w:lang w:eastAsia="en-US"/>
              </w:rPr>
            </w:pPr>
          </w:p>
        </w:tc>
        <w:tc>
          <w:tcPr>
            <w:tcW w:w="911" w:type="pct"/>
            <w:tcBorders>
              <w:top w:val="single" w:sz="4" w:space="0" w:color="auto"/>
              <w:left w:val="single" w:sz="4" w:space="0" w:color="auto"/>
              <w:bottom w:val="single" w:sz="4" w:space="0" w:color="auto"/>
              <w:right w:val="single" w:sz="4" w:space="0" w:color="auto"/>
            </w:tcBorders>
          </w:tcPr>
          <w:p w14:paraId="4A2BDAA6" w14:textId="77777777" w:rsidR="002B3481" w:rsidRPr="006F3902" w:rsidRDefault="002B3481" w:rsidP="001C4413">
            <w:pPr>
              <w:autoSpaceDE w:val="0"/>
              <w:autoSpaceDN w:val="0"/>
              <w:adjustRightInd w:val="0"/>
              <w:contextualSpacing/>
              <w:jc w:val="both"/>
            </w:pPr>
          </w:p>
        </w:tc>
        <w:tc>
          <w:tcPr>
            <w:tcW w:w="924" w:type="pct"/>
            <w:tcBorders>
              <w:top w:val="single" w:sz="4" w:space="0" w:color="auto"/>
              <w:left w:val="single" w:sz="4" w:space="0" w:color="auto"/>
              <w:bottom w:val="single" w:sz="4" w:space="0" w:color="auto"/>
              <w:right w:val="single" w:sz="4" w:space="0" w:color="auto"/>
            </w:tcBorders>
          </w:tcPr>
          <w:p w14:paraId="0F6FE28E" w14:textId="77777777" w:rsidR="002B3481" w:rsidRPr="006F3902" w:rsidRDefault="002B3481" w:rsidP="001C4413">
            <w:pPr>
              <w:pStyle w:val="naisc"/>
              <w:spacing w:before="0" w:after="0"/>
              <w:jc w:val="both"/>
            </w:pPr>
          </w:p>
        </w:tc>
      </w:tr>
    </w:tbl>
    <w:p w14:paraId="5B7254EB" w14:textId="77777777" w:rsidR="002B3481" w:rsidRPr="006F3902" w:rsidRDefault="002B3481" w:rsidP="002B3481">
      <w:pPr>
        <w:ind w:left="57" w:right="57"/>
        <w:contextualSpacing/>
        <w:rPr>
          <w:bCs/>
          <w:sz w:val="22"/>
          <w:szCs w:val="22"/>
        </w:rPr>
      </w:pPr>
    </w:p>
    <w:p w14:paraId="4C30A65E" w14:textId="77777777" w:rsidR="002B3481" w:rsidRPr="006F3902" w:rsidRDefault="002B3481" w:rsidP="002B3481">
      <w:pPr>
        <w:ind w:left="57" w:right="57"/>
        <w:contextualSpacing/>
        <w:rPr>
          <w:sz w:val="22"/>
          <w:szCs w:val="22"/>
        </w:rPr>
      </w:pPr>
      <w:r w:rsidRPr="006F3902">
        <w:rPr>
          <w:b/>
          <w:bCs/>
          <w:sz w:val="22"/>
          <w:szCs w:val="22"/>
        </w:rPr>
        <w:t>Informācija par starpministriju (starpinstitūciju) sanāksmi vai elektronisko saskaņošanu</w:t>
      </w:r>
      <w:r w:rsidRPr="006F3902">
        <w:rPr>
          <w:sz w:val="22"/>
          <w:szCs w:val="22"/>
        </w:rPr>
        <w:t> </w:t>
      </w:r>
    </w:p>
    <w:p w14:paraId="016B4CAD" w14:textId="77777777" w:rsidR="002B3481" w:rsidRPr="006F3902" w:rsidRDefault="002B3481" w:rsidP="002B3481">
      <w:pPr>
        <w:ind w:left="57" w:right="57"/>
        <w:contextualSpacing/>
        <w:rPr>
          <w:sz w:val="22"/>
          <w:szCs w:val="22"/>
        </w:rPr>
      </w:pPr>
    </w:p>
    <w:tbl>
      <w:tblPr>
        <w:tblW w:w="14207" w:type="dxa"/>
        <w:tblLook w:val="00A0" w:firstRow="1" w:lastRow="0" w:firstColumn="1" w:lastColumn="0" w:noHBand="0" w:noVBand="0"/>
      </w:tblPr>
      <w:tblGrid>
        <w:gridCol w:w="14207"/>
      </w:tblGrid>
      <w:tr w:rsidR="002B3481" w:rsidRPr="006F3902" w14:paraId="5E6F13A3" w14:textId="77777777" w:rsidTr="001C4413">
        <w:tc>
          <w:tcPr>
            <w:tcW w:w="14207" w:type="dxa"/>
            <w:hideMark/>
          </w:tcPr>
          <w:tbl>
            <w:tblPr>
              <w:tblW w:w="13707" w:type="dxa"/>
              <w:tblLook w:val="00A0" w:firstRow="1" w:lastRow="0" w:firstColumn="1" w:lastColumn="0" w:noHBand="0" w:noVBand="0"/>
            </w:tblPr>
            <w:tblGrid>
              <w:gridCol w:w="6487"/>
              <w:gridCol w:w="1651"/>
              <w:gridCol w:w="5569"/>
            </w:tblGrid>
            <w:tr w:rsidR="002B3481" w:rsidRPr="006F3902" w14:paraId="1FA78CCA" w14:textId="77777777" w:rsidTr="001C4413">
              <w:tc>
                <w:tcPr>
                  <w:tcW w:w="6487" w:type="dxa"/>
                  <w:hideMark/>
                </w:tcPr>
                <w:p w14:paraId="0C694B3D" w14:textId="77777777" w:rsidR="002B3481" w:rsidRPr="006F3902" w:rsidRDefault="002B3481" w:rsidP="001C4413">
                  <w:pPr>
                    <w:pStyle w:val="naisf"/>
                    <w:spacing w:before="0" w:after="0"/>
                    <w:ind w:firstLine="0"/>
                    <w:rPr>
                      <w:lang w:eastAsia="en-US"/>
                    </w:rPr>
                  </w:pPr>
                  <w:r w:rsidRPr="006F3902">
                    <w:rPr>
                      <w:sz w:val="22"/>
                      <w:szCs w:val="22"/>
                      <w:lang w:eastAsia="en-US"/>
                    </w:rPr>
                    <w:t>Datums</w:t>
                  </w:r>
                </w:p>
              </w:tc>
              <w:tc>
                <w:tcPr>
                  <w:tcW w:w="7220" w:type="dxa"/>
                  <w:gridSpan w:val="2"/>
                  <w:tcBorders>
                    <w:top w:val="nil"/>
                    <w:left w:val="nil"/>
                    <w:bottom w:val="single" w:sz="4" w:space="0" w:color="auto"/>
                    <w:right w:val="nil"/>
                  </w:tcBorders>
                  <w:hideMark/>
                </w:tcPr>
                <w:p w14:paraId="3E781417" w14:textId="43FCDB99" w:rsidR="002B3481" w:rsidRPr="006F3902" w:rsidRDefault="002B3481" w:rsidP="001C4413">
                  <w:pPr>
                    <w:pStyle w:val="Paraststmeklis"/>
                    <w:spacing w:before="0" w:beforeAutospacing="0" w:after="0" w:afterAutospacing="0"/>
                    <w:rPr>
                      <w:lang w:eastAsia="en-US"/>
                    </w:rPr>
                  </w:pPr>
                  <w:r w:rsidRPr="006F3902">
                    <w:rPr>
                      <w:sz w:val="22"/>
                      <w:szCs w:val="22"/>
                      <w:lang w:eastAsia="en-US"/>
                    </w:rPr>
                    <w:t xml:space="preserve">2020.gada </w:t>
                  </w:r>
                  <w:r w:rsidR="00D66AAF">
                    <w:rPr>
                      <w:sz w:val="22"/>
                      <w:szCs w:val="22"/>
                      <w:lang w:eastAsia="en-US"/>
                    </w:rPr>
                    <w:t>7</w:t>
                  </w:r>
                  <w:r>
                    <w:rPr>
                      <w:sz w:val="22"/>
                      <w:szCs w:val="22"/>
                      <w:lang w:eastAsia="en-US"/>
                    </w:rPr>
                    <w:t>.decembrī</w:t>
                  </w:r>
                </w:p>
              </w:tc>
            </w:tr>
            <w:tr w:rsidR="002B3481" w:rsidRPr="006F3902" w14:paraId="011CA67C" w14:textId="77777777" w:rsidTr="001C4413">
              <w:tc>
                <w:tcPr>
                  <w:tcW w:w="6487" w:type="dxa"/>
                </w:tcPr>
                <w:p w14:paraId="79D0D5AE" w14:textId="77777777" w:rsidR="002B3481" w:rsidRPr="006F3902" w:rsidRDefault="002B3481" w:rsidP="001C4413">
                  <w:pPr>
                    <w:pStyle w:val="naisf"/>
                    <w:spacing w:before="0" w:after="0"/>
                    <w:rPr>
                      <w:lang w:eastAsia="en-US"/>
                    </w:rPr>
                  </w:pPr>
                </w:p>
              </w:tc>
              <w:tc>
                <w:tcPr>
                  <w:tcW w:w="7220" w:type="dxa"/>
                  <w:gridSpan w:val="2"/>
                  <w:tcBorders>
                    <w:top w:val="single" w:sz="4" w:space="0" w:color="auto"/>
                    <w:left w:val="nil"/>
                    <w:bottom w:val="nil"/>
                    <w:right w:val="nil"/>
                  </w:tcBorders>
                </w:tcPr>
                <w:p w14:paraId="5BA26C2B" w14:textId="77777777" w:rsidR="002B3481" w:rsidRPr="006F3902" w:rsidRDefault="002B3481" w:rsidP="001C4413">
                  <w:pPr>
                    <w:pStyle w:val="Paraststmeklis"/>
                    <w:spacing w:before="0" w:beforeAutospacing="0" w:after="0" w:afterAutospacing="0"/>
                    <w:ind w:firstLine="720"/>
                    <w:rPr>
                      <w:lang w:eastAsia="en-US"/>
                    </w:rPr>
                  </w:pPr>
                </w:p>
              </w:tc>
            </w:tr>
            <w:tr w:rsidR="002B3481" w:rsidRPr="006F3902" w14:paraId="293BD051" w14:textId="77777777" w:rsidTr="001C4413">
              <w:tc>
                <w:tcPr>
                  <w:tcW w:w="6487" w:type="dxa"/>
                  <w:hideMark/>
                </w:tcPr>
                <w:p w14:paraId="432B9600" w14:textId="77777777" w:rsidR="002B3481" w:rsidRPr="006F3902" w:rsidRDefault="002B3481" w:rsidP="001C4413">
                  <w:pPr>
                    <w:pStyle w:val="naiskr"/>
                    <w:spacing w:before="0" w:after="0"/>
                    <w:rPr>
                      <w:lang w:eastAsia="en-US"/>
                    </w:rPr>
                  </w:pPr>
                  <w:r w:rsidRPr="006F3902">
                    <w:rPr>
                      <w:sz w:val="22"/>
                      <w:szCs w:val="22"/>
                      <w:lang w:eastAsia="en-US"/>
                    </w:rPr>
                    <w:t>Saskaņošanas dalībnieki</w:t>
                  </w:r>
                </w:p>
              </w:tc>
              <w:tc>
                <w:tcPr>
                  <w:tcW w:w="7220" w:type="dxa"/>
                  <w:gridSpan w:val="2"/>
                  <w:tcBorders>
                    <w:top w:val="nil"/>
                    <w:left w:val="nil"/>
                    <w:bottom w:val="single" w:sz="4" w:space="0" w:color="auto"/>
                    <w:right w:val="nil"/>
                  </w:tcBorders>
                  <w:hideMark/>
                </w:tcPr>
                <w:p w14:paraId="7A264541" w14:textId="3ADEB06E" w:rsidR="002B3481" w:rsidRPr="006F3902" w:rsidRDefault="002B3481" w:rsidP="001C4413">
                  <w:pPr>
                    <w:pStyle w:val="Paraststmeklis"/>
                    <w:spacing w:before="0" w:beforeAutospacing="0" w:after="0" w:afterAutospacing="0"/>
                    <w:jc w:val="both"/>
                    <w:rPr>
                      <w:lang w:eastAsia="en-US"/>
                    </w:rPr>
                  </w:pPr>
                  <w:r w:rsidRPr="006F3902">
                    <w:rPr>
                      <w:sz w:val="22"/>
                      <w:szCs w:val="22"/>
                      <w:lang w:eastAsia="en-US"/>
                    </w:rPr>
                    <w:t xml:space="preserve">Tieslietu ministrija, Finanšu ministrija, </w:t>
                  </w:r>
                  <w:r>
                    <w:rPr>
                      <w:sz w:val="22"/>
                      <w:szCs w:val="22"/>
                      <w:lang w:eastAsia="en-US"/>
                    </w:rPr>
                    <w:t>Izglītības un zinātnes</w:t>
                  </w:r>
                  <w:r w:rsidRPr="006F3902">
                    <w:rPr>
                      <w:sz w:val="22"/>
                      <w:szCs w:val="22"/>
                      <w:lang w:eastAsia="en-US"/>
                    </w:rPr>
                    <w:t xml:space="preserve"> ministrija</w:t>
                  </w:r>
                  <w:r>
                    <w:rPr>
                      <w:sz w:val="22"/>
                      <w:szCs w:val="22"/>
                      <w:lang w:eastAsia="en-US"/>
                    </w:rPr>
                    <w:t>,</w:t>
                  </w:r>
                  <w:r w:rsidRPr="006F3902">
                    <w:rPr>
                      <w:sz w:val="22"/>
                      <w:szCs w:val="22"/>
                      <w:lang w:eastAsia="en-US"/>
                    </w:rPr>
                    <w:t xml:space="preserve"> Latvijas </w:t>
                  </w:r>
                  <w:r>
                    <w:rPr>
                      <w:sz w:val="22"/>
                      <w:szCs w:val="22"/>
                      <w:lang w:eastAsia="en-US"/>
                    </w:rPr>
                    <w:t>Pašvaldību</w:t>
                  </w:r>
                  <w:r w:rsidRPr="006F3902">
                    <w:rPr>
                      <w:sz w:val="22"/>
                      <w:szCs w:val="22"/>
                      <w:lang w:eastAsia="en-US"/>
                    </w:rPr>
                    <w:t xml:space="preserve"> savienība</w:t>
                  </w:r>
                </w:p>
              </w:tc>
            </w:tr>
            <w:tr w:rsidR="002B3481" w:rsidRPr="006F3902" w14:paraId="3CE121A7" w14:textId="77777777" w:rsidTr="001C4413">
              <w:trPr>
                <w:trHeight w:val="208"/>
              </w:trPr>
              <w:tc>
                <w:tcPr>
                  <w:tcW w:w="6487" w:type="dxa"/>
                </w:tcPr>
                <w:p w14:paraId="76B37715" w14:textId="77777777" w:rsidR="002B3481" w:rsidRPr="006F3902" w:rsidRDefault="002B3481" w:rsidP="001C4413">
                  <w:pPr>
                    <w:pStyle w:val="naiskr"/>
                    <w:spacing w:before="0" w:after="0"/>
                    <w:rPr>
                      <w:lang w:eastAsia="en-US"/>
                    </w:rPr>
                  </w:pPr>
                </w:p>
              </w:tc>
              <w:tc>
                <w:tcPr>
                  <w:tcW w:w="1651" w:type="dxa"/>
                </w:tcPr>
                <w:p w14:paraId="5DEC61A7" w14:textId="77777777" w:rsidR="002B3481" w:rsidRPr="006F3902" w:rsidRDefault="002B3481" w:rsidP="001C4413">
                  <w:pPr>
                    <w:pStyle w:val="naiskr"/>
                    <w:spacing w:before="0" w:after="0"/>
                    <w:ind w:firstLine="720"/>
                    <w:rPr>
                      <w:lang w:eastAsia="en-US"/>
                    </w:rPr>
                  </w:pPr>
                </w:p>
              </w:tc>
              <w:tc>
                <w:tcPr>
                  <w:tcW w:w="5569" w:type="dxa"/>
                </w:tcPr>
                <w:p w14:paraId="506B3BC7" w14:textId="77777777" w:rsidR="002B3481" w:rsidRPr="006F3902" w:rsidRDefault="002B3481" w:rsidP="001C4413">
                  <w:pPr>
                    <w:pStyle w:val="naiskr"/>
                    <w:spacing w:before="0" w:after="0"/>
                    <w:ind w:firstLine="12"/>
                    <w:rPr>
                      <w:lang w:eastAsia="en-US"/>
                    </w:rPr>
                  </w:pPr>
                </w:p>
              </w:tc>
            </w:tr>
            <w:tr w:rsidR="002B3481" w:rsidRPr="006F3902" w14:paraId="4BEF548F" w14:textId="77777777" w:rsidTr="001C4413">
              <w:trPr>
                <w:trHeight w:val="461"/>
              </w:trPr>
              <w:tc>
                <w:tcPr>
                  <w:tcW w:w="6487" w:type="dxa"/>
                  <w:hideMark/>
                </w:tcPr>
                <w:p w14:paraId="23D4CDC6" w14:textId="77777777" w:rsidR="002B3481" w:rsidRPr="006F3902" w:rsidRDefault="002B3481" w:rsidP="001C4413">
                  <w:pPr>
                    <w:pStyle w:val="naiskr"/>
                    <w:spacing w:before="0" w:after="0"/>
                    <w:ind w:right="500"/>
                    <w:rPr>
                      <w:lang w:eastAsia="en-US"/>
                    </w:rPr>
                  </w:pPr>
                  <w:r w:rsidRPr="006F3902">
                    <w:rPr>
                      <w:sz w:val="22"/>
                      <w:szCs w:val="22"/>
                      <w:lang w:eastAsia="en-US"/>
                    </w:rPr>
                    <w:t>Saskaņošanas dalībnieki izskatīja šādu ministriju (citu institūciju) iebildumus</w:t>
                  </w:r>
                </w:p>
              </w:tc>
              <w:tc>
                <w:tcPr>
                  <w:tcW w:w="7220" w:type="dxa"/>
                  <w:gridSpan w:val="2"/>
                  <w:tcBorders>
                    <w:top w:val="nil"/>
                    <w:left w:val="nil"/>
                    <w:bottom w:val="single" w:sz="4" w:space="0" w:color="auto"/>
                    <w:right w:val="nil"/>
                  </w:tcBorders>
                  <w:hideMark/>
                </w:tcPr>
                <w:p w14:paraId="35E6F10F" w14:textId="77777777" w:rsidR="002B3481" w:rsidRPr="006F3902" w:rsidRDefault="002B3481" w:rsidP="001C4413">
                  <w:pPr>
                    <w:pStyle w:val="naiskr"/>
                    <w:tabs>
                      <w:tab w:val="left" w:pos="7004"/>
                    </w:tabs>
                    <w:spacing w:before="0" w:after="0"/>
                    <w:ind w:right="-9"/>
                    <w:jc w:val="both"/>
                    <w:rPr>
                      <w:lang w:eastAsia="en-US"/>
                    </w:rPr>
                  </w:pPr>
                </w:p>
                <w:p w14:paraId="77BA94E7" w14:textId="39E4B19D" w:rsidR="002B3481" w:rsidRPr="006F3902" w:rsidRDefault="002B3481" w:rsidP="001C4413">
                  <w:pPr>
                    <w:pStyle w:val="naiskr"/>
                    <w:tabs>
                      <w:tab w:val="left" w:pos="7004"/>
                    </w:tabs>
                    <w:spacing w:before="0" w:after="0"/>
                    <w:ind w:right="-9"/>
                    <w:jc w:val="both"/>
                    <w:rPr>
                      <w:lang w:eastAsia="en-US"/>
                    </w:rPr>
                  </w:pPr>
                  <w:r w:rsidRPr="006F3902">
                    <w:rPr>
                      <w:sz w:val="22"/>
                      <w:szCs w:val="22"/>
                      <w:lang w:eastAsia="en-US"/>
                    </w:rPr>
                    <w:t>Finanšu ministrija</w:t>
                  </w:r>
                </w:p>
              </w:tc>
            </w:tr>
            <w:tr w:rsidR="002B3481" w:rsidRPr="006F3902" w14:paraId="08975BC0" w14:textId="77777777" w:rsidTr="001C4413">
              <w:trPr>
                <w:trHeight w:val="224"/>
              </w:trPr>
              <w:tc>
                <w:tcPr>
                  <w:tcW w:w="13707" w:type="dxa"/>
                  <w:gridSpan w:val="3"/>
                </w:tcPr>
                <w:p w14:paraId="378BC87E" w14:textId="77777777" w:rsidR="002B3481" w:rsidRPr="006F3902" w:rsidRDefault="002B3481" w:rsidP="001C4413">
                  <w:pPr>
                    <w:pStyle w:val="naisc"/>
                    <w:spacing w:before="0" w:after="0"/>
                    <w:ind w:right="500"/>
                    <w:rPr>
                      <w:lang w:eastAsia="en-US"/>
                    </w:rPr>
                  </w:pPr>
                </w:p>
              </w:tc>
            </w:tr>
            <w:tr w:rsidR="002B3481" w:rsidRPr="006F3902" w14:paraId="630EF060" w14:textId="77777777" w:rsidTr="001C4413">
              <w:tc>
                <w:tcPr>
                  <w:tcW w:w="6487" w:type="dxa"/>
                  <w:hideMark/>
                </w:tcPr>
                <w:p w14:paraId="31A77D4A" w14:textId="77777777" w:rsidR="002B3481" w:rsidRPr="006F3902" w:rsidRDefault="002B3481" w:rsidP="001C4413">
                  <w:pPr>
                    <w:pStyle w:val="naiskr"/>
                    <w:spacing w:before="0" w:after="0"/>
                    <w:ind w:right="500"/>
                    <w:rPr>
                      <w:lang w:eastAsia="en-US"/>
                    </w:rPr>
                  </w:pPr>
                  <w:r w:rsidRPr="006F3902">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sz="4" w:space="0" w:color="auto"/>
                    <w:right w:val="nil"/>
                  </w:tcBorders>
                </w:tcPr>
                <w:p w14:paraId="017E3DA1" w14:textId="77777777" w:rsidR="002B3481" w:rsidRPr="006F3902" w:rsidRDefault="002B3481" w:rsidP="001C4413">
                  <w:pPr>
                    <w:pStyle w:val="naiskr"/>
                    <w:spacing w:before="0" w:after="0"/>
                    <w:ind w:right="500" w:firstLine="720"/>
                    <w:rPr>
                      <w:lang w:eastAsia="en-US"/>
                    </w:rPr>
                  </w:pPr>
                </w:p>
              </w:tc>
            </w:tr>
          </w:tbl>
          <w:p w14:paraId="4F287721" w14:textId="77777777" w:rsidR="002B3481" w:rsidRPr="006F3902" w:rsidRDefault="002B3481" w:rsidP="001C4413">
            <w:pPr>
              <w:pStyle w:val="naiskr"/>
              <w:spacing w:before="0" w:after="0"/>
              <w:ind w:right="500" w:firstLine="720"/>
              <w:rPr>
                <w:lang w:eastAsia="en-US"/>
              </w:rPr>
            </w:pPr>
            <w:r w:rsidRPr="006F3902">
              <w:rPr>
                <w:sz w:val="22"/>
                <w:szCs w:val="22"/>
                <w:lang w:eastAsia="en-US"/>
              </w:rPr>
              <w:t>  </w:t>
            </w:r>
          </w:p>
        </w:tc>
      </w:tr>
    </w:tbl>
    <w:p w14:paraId="66514E92" w14:textId="77777777" w:rsidR="002B3481" w:rsidRDefault="002B3481" w:rsidP="002B3481">
      <w:pPr>
        <w:pStyle w:val="naisnod"/>
        <w:spacing w:before="0" w:after="0"/>
        <w:ind w:left="57" w:right="57"/>
        <w:contextualSpacing/>
        <w:jc w:val="left"/>
        <w:rPr>
          <w:b w:val="0"/>
          <w:sz w:val="22"/>
          <w:szCs w:val="22"/>
        </w:rPr>
      </w:pPr>
    </w:p>
    <w:p w14:paraId="584028A1" w14:textId="77777777" w:rsidR="002B3481" w:rsidRPr="0031433B" w:rsidRDefault="002B3481" w:rsidP="002B3481">
      <w:pPr>
        <w:pStyle w:val="naisnod"/>
        <w:spacing w:before="0" w:after="0"/>
        <w:ind w:left="57" w:right="57"/>
        <w:contextualSpacing/>
        <w:jc w:val="left"/>
        <w:rPr>
          <w:b w:val="0"/>
          <w:sz w:val="22"/>
          <w:szCs w:val="22"/>
        </w:rPr>
      </w:pPr>
    </w:p>
    <w:p w14:paraId="3063906A" w14:textId="77777777" w:rsidR="002B3481" w:rsidRPr="0031433B" w:rsidRDefault="002B3481" w:rsidP="002B3481">
      <w:pPr>
        <w:pStyle w:val="naisnod"/>
        <w:spacing w:before="0" w:after="0"/>
        <w:ind w:left="57" w:right="57"/>
        <w:contextualSpacing/>
        <w:jc w:val="left"/>
        <w:rPr>
          <w:b w:val="0"/>
          <w:sz w:val="22"/>
          <w:szCs w:val="22"/>
        </w:rPr>
      </w:pPr>
    </w:p>
    <w:p w14:paraId="76A809DF" w14:textId="77777777" w:rsidR="002B3481" w:rsidRDefault="002B3481" w:rsidP="002B3481">
      <w:pPr>
        <w:pStyle w:val="naisnod"/>
        <w:spacing w:before="0" w:after="0"/>
        <w:ind w:left="57" w:right="57"/>
        <w:contextualSpacing/>
        <w:jc w:val="left"/>
        <w:rPr>
          <w:b w:val="0"/>
          <w:sz w:val="22"/>
          <w:szCs w:val="22"/>
        </w:rPr>
      </w:pPr>
    </w:p>
    <w:p w14:paraId="278FA846" w14:textId="77777777" w:rsidR="002B3481" w:rsidRDefault="002B3481" w:rsidP="002B3481">
      <w:pPr>
        <w:pStyle w:val="naisnod"/>
        <w:spacing w:before="0" w:after="0"/>
        <w:ind w:left="57" w:right="57"/>
        <w:contextualSpacing/>
        <w:jc w:val="left"/>
        <w:rPr>
          <w:b w:val="0"/>
          <w:sz w:val="22"/>
          <w:szCs w:val="22"/>
        </w:rPr>
      </w:pPr>
    </w:p>
    <w:p w14:paraId="4D374D6F" w14:textId="77777777" w:rsidR="002B3481" w:rsidRDefault="002B3481" w:rsidP="002B3481">
      <w:pPr>
        <w:pStyle w:val="naisnod"/>
        <w:spacing w:before="0" w:after="0"/>
        <w:ind w:left="57" w:right="57"/>
        <w:contextualSpacing/>
        <w:jc w:val="left"/>
        <w:rPr>
          <w:b w:val="0"/>
          <w:sz w:val="22"/>
          <w:szCs w:val="22"/>
        </w:rPr>
      </w:pPr>
    </w:p>
    <w:p w14:paraId="5DA28A84" w14:textId="77777777" w:rsidR="002B3481" w:rsidRPr="0031433B" w:rsidRDefault="002B3481" w:rsidP="002B3481">
      <w:pPr>
        <w:pStyle w:val="naisnod"/>
        <w:spacing w:before="0" w:after="0"/>
        <w:ind w:left="57" w:right="57"/>
        <w:contextualSpacing/>
        <w:jc w:val="left"/>
        <w:rPr>
          <w:b w:val="0"/>
          <w:sz w:val="22"/>
          <w:szCs w:val="22"/>
        </w:rPr>
      </w:pPr>
    </w:p>
    <w:p w14:paraId="2B7E4451" w14:textId="77777777" w:rsidR="009F35AE" w:rsidRPr="008D5C37" w:rsidRDefault="009F35AE" w:rsidP="008D5C37">
      <w:pPr>
        <w:pStyle w:val="naisf"/>
        <w:spacing w:before="0" w:after="0"/>
        <w:ind w:left="284" w:hanging="284"/>
        <w:jc w:val="center"/>
        <w:rPr>
          <w:b/>
          <w:sz w:val="22"/>
          <w:szCs w:val="22"/>
        </w:rPr>
      </w:pPr>
      <w:r w:rsidRPr="008D5C37">
        <w:rPr>
          <w:b/>
          <w:sz w:val="22"/>
          <w:szCs w:val="22"/>
        </w:rPr>
        <w:lastRenderedPageBreak/>
        <w:t>II. </w:t>
      </w:r>
      <w:r w:rsidR="008D5C37">
        <w:rPr>
          <w:b/>
          <w:sz w:val="22"/>
          <w:szCs w:val="22"/>
        </w:rPr>
        <w:t xml:space="preserve"> </w:t>
      </w:r>
      <w:r w:rsidRPr="008D5C37">
        <w:rPr>
          <w:b/>
          <w:sz w:val="22"/>
          <w:szCs w:val="22"/>
        </w:rPr>
        <w:t>Jautājumi, par kuriem saskaņošanā vienošanās ir panākta</w:t>
      </w:r>
    </w:p>
    <w:p w14:paraId="260F9CD0" w14:textId="77777777" w:rsidR="009F35AE" w:rsidRPr="008D5C37" w:rsidRDefault="009F35AE" w:rsidP="009F35AE">
      <w:pPr>
        <w:pStyle w:val="naisf"/>
        <w:spacing w:before="0" w:after="0"/>
        <w:ind w:firstLine="72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816"/>
        <w:gridCol w:w="3808"/>
        <w:gridCol w:w="3478"/>
        <w:gridCol w:w="2383"/>
        <w:gridCol w:w="3734"/>
      </w:tblGrid>
      <w:tr w:rsidR="009F35AE" w:rsidRPr="008D5C37" w14:paraId="2A95ADB9" w14:textId="77777777" w:rsidTr="0010182F">
        <w:tc>
          <w:tcPr>
            <w:tcW w:w="287" w:type="pct"/>
            <w:shd w:val="clear" w:color="auto" w:fill="FFFFFF"/>
            <w:vAlign w:val="center"/>
          </w:tcPr>
          <w:p w14:paraId="3FFF92AE" w14:textId="77777777" w:rsidR="009F35AE" w:rsidRPr="008D5C37" w:rsidRDefault="009F35AE" w:rsidP="009F35AE">
            <w:pPr>
              <w:pStyle w:val="naisc"/>
              <w:spacing w:before="0" w:after="0"/>
            </w:pPr>
            <w:r w:rsidRPr="008D5C37">
              <w:rPr>
                <w:sz w:val="22"/>
                <w:szCs w:val="22"/>
              </w:rPr>
              <w:t>Nr. p.k.</w:t>
            </w:r>
          </w:p>
        </w:tc>
        <w:tc>
          <w:tcPr>
            <w:tcW w:w="1339" w:type="pct"/>
            <w:shd w:val="clear" w:color="auto" w:fill="FFFFFF"/>
            <w:vAlign w:val="center"/>
          </w:tcPr>
          <w:p w14:paraId="4AAB031D" w14:textId="77777777" w:rsidR="009F35AE" w:rsidRPr="008D5C37" w:rsidRDefault="009F35AE" w:rsidP="009F35AE">
            <w:pPr>
              <w:pStyle w:val="naisc"/>
              <w:spacing w:before="0" w:after="0"/>
              <w:ind w:firstLine="12"/>
            </w:pPr>
            <w:r w:rsidRPr="008D5C37">
              <w:rPr>
                <w:sz w:val="22"/>
                <w:szCs w:val="22"/>
              </w:rPr>
              <w:t>Saskaņošanai nosūtītā projekta redakcija (konkrēta punkta (panta) redakcija)</w:t>
            </w:r>
          </w:p>
        </w:tc>
        <w:tc>
          <w:tcPr>
            <w:tcW w:w="1223" w:type="pct"/>
            <w:shd w:val="clear" w:color="auto" w:fill="FFFFFF"/>
            <w:vAlign w:val="center"/>
          </w:tcPr>
          <w:p w14:paraId="1DA34A93" w14:textId="77777777" w:rsidR="009F35AE" w:rsidRPr="008D5C37" w:rsidRDefault="009F35AE" w:rsidP="009F35AE">
            <w:pPr>
              <w:pStyle w:val="naisc"/>
              <w:spacing w:before="0" w:after="0"/>
              <w:ind w:right="3"/>
            </w:pPr>
            <w:r w:rsidRPr="008D5C37">
              <w:rPr>
                <w:sz w:val="22"/>
                <w:szCs w:val="22"/>
              </w:rPr>
              <w:t>Atzinumā norādītais ministrijas (citas institūcijas) iebildums, kā arī saskaņošanā papildus izteiktais iebildums par projekta konkrēto punktu (pantu)</w:t>
            </w:r>
          </w:p>
        </w:tc>
        <w:tc>
          <w:tcPr>
            <w:tcW w:w="838" w:type="pct"/>
            <w:shd w:val="clear" w:color="auto" w:fill="FFFFFF"/>
            <w:vAlign w:val="center"/>
          </w:tcPr>
          <w:p w14:paraId="1C70B77B" w14:textId="77777777" w:rsidR="009F35AE" w:rsidRPr="008D5C37" w:rsidRDefault="009F35AE" w:rsidP="009F35AE">
            <w:pPr>
              <w:pStyle w:val="naisc"/>
              <w:spacing w:before="0" w:after="0"/>
              <w:ind w:firstLine="21"/>
            </w:pPr>
            <w:r w:rsidRPr="008D5C37">
              <w:rPr>
                <w:sz w:val="22"/>
                <w:szCs w:val="22"/>
              </w:rPr>
              <w:t>Atbildīgās ministrijas norāde par to, ka iebildums ir ņemts vērā, vai informācija par saskaņošanā panākto alternatīvo risinājumu</w:t>
            </w:r>
          </w:p>
        </w:tc>
        <w:tc>
          <w:tcPr>
            <w:tcW w:w="1314" w:type="pct"/>
            <w:shd w:val="clear" w:color="auto" w:fill="FFFFFF"/>
            <w:vAlign w:val="center"/>
          </w:tcPr>
          <w:p w14:paraId="2B3BA780" w14:textId="77777777" w:rsidR="009F35AE" w:rsidRPr="008D5C37" w:rsidRDefault="009F35AE" w:rsidP="009F35AE">
            <w:pPr>
              <w:jc w:val="center"/>
            </w:pPr>
            <w:r w:rsidRPr="008D5C37">
              <w:rPr>
                <w:sz w:val="22"/>
                <w:szCs w:val="22"/>
              </w:rPr>
              <w:t>Projekta attiecīgā punkta (panta) galīgā redakcija</w:t>
            </w:r>
          </w:p>
        </w:tc>
      </w:tr>
      <w:tr w:rsidR="009F35AE" w:rsidRPr="008D5C37" w14:paraId="558D5A0C" w14:textId="77777777" w:rsidTr="0010182F">
        <w:tc>
          <w:tcPr>
            <w:tcW w:w="287" w:type="pct"/>
            <w:shd w:val="clear" w:color="auto" w:fill="FFFFFF"/>
          </w:tcPr>
          <w:p w14:paraId="4B364BFA" w14:textId="77777777" w:rsidR="009F35AE" w:rsidRPr="008D5C37" w:rsidRDefault="009F35AE" w:rsidP="00012FF6">
            <w:pPr>
              <w:pStyle w:val="naisc"/>
              <w:spacing w:before="0" w:after="0"/>
            </w:pPr>
            <w:r w:rsidRPr="008D5C37">
              <w:rPr>
                <w:sz w:val="22"/>
                <w:szCs w:val="22"/>
              </w:rPr>
              <w:t>1</w:t>
            </w:r>
          </w:p>
        </w:tc>
        <w:tc>
          <w:tcPr>
            <w:tcW w:w="1339" w:type="pct"/>
            <w:shd w:val="clear" w:color="auto" w:fill="FFFFFF"/>
          </w:tcPr>
          <w:p w14:paraId="7D0D9161" w14:textId="0F10B361" w:rsidR="009F35AE" w:rsidRPr="008D5C37" w:rsidRDefault="009F35AE" w:rsidP="00012FF6">
            <w:pPr>
              <w:pStyle w:val="naisc"/>
              <w:spacing w:before="0" w:after="0"/>
              <w:ind w:firstLine="5"/>
            </w:pPr>
            <w:r w:rsidRPr="008D5C37">
              <w:rPr>
                <w:sz w:val="22"/>
                <w:szCs w:val="22"/>
              </w:rPr>
              <w:t>2</w:t>
            </w:r>
          </w:p>
        </w:tc>
        <w:tc>
          <w:tcPr>
            <w:tcW w:w="1223" w:type="pct"/>
            <w:shd w:val="clear" w:color="auto" w:fill="FFFFFF"/>
          </w:tcPr>
          <w:p w14:paraId="0C8F3518" w14:textId="0EBE53C1" w:rsidR="009F35AE" w:rsidRPr="008D5C37" w:rsidRDefault="009F35AE" w:rsidP="00012FF6">
            <w:pPr>
              <w:pStyle w:val="naisc"/>
              <w:spacing w:before="0" w:after="0"/>
              <w:ind w:firstLine="720"/>
            </w:pPr>
            <w:r w:rsidRPr="008D5C37">
              <w:rPr>
                <w:sz w:val="22"/>
                <w:szCs w:val="22"/>
              </w:rPr>
              <w:t>3</w:t>
            </w:r>
          </w:p>
        </w:tc>
        <w:tc>
          <w:tcPr>
            <w:tcW w:w="838" w:type="pct"/>
            <w:shd w:val="clear" w:color="auto" w:fill="FFFFFF"/>
          </w:tcPr>
          <w:p w14:paraId="6CF4A11F" w14:textId="369FB97A" w:rsidR="009F35AE" w:rsidRPr="008D5C37" w:rsidRDefault="009F35AE" w:rsidP="00012FF6">
            <w:pPr>
              <w:pStyle w:val="naisc"/>
              <w:spacing w:before="0" w:after="0"/>
              <w:ind w:firstLine="720"/>
            </w:pPr>
            <w:r w:rsidRPr="008D5C37">
              <w:rPr>
                <w:sz w:val="22"/>
                <w:szCs w:val="22"/>
              </w:rPr>
              <w:t>4</w:t>
            </w:r>
          </w:p>
        </w:tc>
        <w:tc>
          <w:tcPr>
            <w:tcW w:w="1314" w:type="pct"/>
            <w:shd w:val="clear" w:color="auto" w:fill="FFFFFF"/>
          </w:tcPr>
          <w:p w14:paraId="7FD6266F" w14:textId="289B5729" w:rsidR="009F35AE" w:rsidRPr="008D5C37" w:rsidRDefault="009F35AE" w:rsidP="00012FF6">
            <w:pPr>
              <w:jc w:val="center"/>
            </w:pPr>
            <w:r w:rsidRPr="008D5C37">
              <w:rPr>
                <w:sz w:val="22"/>
                <w:szCs w:val="22"/>
              </w:rPr>
              <w:t>5</w:t>
            </w:r>
          </w:p>
        </w:tc>
      </w:tr>
      <w:tr w:rsidR="009F35AE" w:rsidRPr="00E942E6" w14:paraId="4362DCA0" w14:textId="77777777" w:rsidTr="0010182F">
        <w:tc>
          <w:tcPr>
            <w:tcW w:w="287" w:type="pct"/>
            <w:shd w:val="clear" w:color="auto" w:fill="FFFFFF"/>
          </w:tcPr>
          <w:p w14:paraId="4B2D5A8B" w14:textId="77777777" w:rsidR="009F35AE" w:rsidRPr="00E942E6" w:rsidRDefault="009F35AE" w:rsidP="00E942E6">
            <w:pPr>
              <w:jc w:val="center"/>
            </w:pPr>
            <w:r w:rsidRPr="00E942E6">
              <w:rPr>
                <w:sz w:val="22"/>
                <w:szCs w:val="22"/>
              </w:rPr>
              <w:t>1</w:t>
            </w:r>
            <w:r w:rsidR="006D3E17" w:rsidRPr="00E942E6">
              <w:rPr>
                <w:sz w:val="22"/>
                <w:szCs w:val="22"/>
              </w:rPr>
              <w:t>.</w:t>
            </w:r>
          </w:p>
        </w:tc>
        <w:tc>
          <w:tcPr>
            <w:tcW w:w="1339" w:type="pct"/>
            <w:shd w:val="clear" w:color="auto" w:fill="FFFFFF"/>
          </w:tcPr>
          <w:p w14:paraId="25F7534D" w14:textId="77777777" w:rsidR="004C42D0" w:rsidRPr="00E942E6" w:rsidRDefault="004C42D0">
            <w:pPr>
              <w:pStyle w:val="naisc"/>
              <w:spacing w:before="0" w:after="0"/>
              <w:jc w:val="both"/>
              <w:rPr>
                <w:iCs/>
                <w:lang w:bidi="lo-LA"/>
              </w:rPr>
            </w:pPr>
            <w:r w:rsidRPr="00E942E6">
              <w:rPr>
                <w:iCs/>
                <w:sz w:val="22"/>
                <w:szCs w:val="22"/>
                <w:lang w:bidi="lo-LA"/>
              </w:rPr>
              <w:t>Ministru kabineta sēdes protokollēmuma projekta „Informatīvais ziņojums „Par projekta „Latvijas romu platforma V</w:t>
            </w:r>
            <w:r w:rsidR="0077608C" w:rsidRPr="00E942E6">
              <w:rPr>
                <w:iCs/>
                <w:sz w:val="22"/>
                <w:szCs w:val="22"/>
                <w:lang w:bidi="lo-LA"/>
              </w:rPr>
              <w:t>I</w:t>
            </w:r>
            <w:r w:rsidRPr="00E942E6">
              <w:rPr>
                <w:iCs/>
                <w:sz w:val="22"/>
                <w:szCs w:val="22"/>
                <w:lang w:bidi="lo-LA"/>
              </w:rPr>
              <w:t xml:space="preserve">” īstenošanu Eiropas Savienības programmas „Tiesības, vienlīdzība un pilsonība” ietvaros”” </w:t>
            </w:r>
            <w:r w:rsidR="0077608C" w:rsidRPr="00E942E6">
              <w:rPr>
                <w:iCs/>
                <w:sz w:val="22"/>
                <w:szCs w:val="22"/>
                <w:lang w:bidi="lo-LA"/>
              </w:rPr>
              <w:t>2</w:t>
            </w:r>
            <w:r w:rsidR="009F04AD" w:rsidRPr="00E942E6">
              <w:rPr>
                <w:iCs/>
                <w:sz w:val="22"/>
                <w:szCs w:val="22"/>
                <w:lang w:bidi="lo-LA"/>
              </w:rPr>
              <w:t>.</w:t>
            </w:r>
            <w:r w:rsidR="0077608C" w:rsidRPr="00E942E6">
              <w:rPr>
                <w:iCs/>
                <w:sz w:val="22"/>
                <w:szCs w:val="22"/>
                <w:lang w:bidi="lo-LA"/>
              </w:rPr>
              <w:t xml:space="preserve"> un 3.</w:t>
            </w:r>
            <w:r w:rsidR="009F04AD" w:rsidRPr="00E942E6">
              <w:rPr>
                <w:iCs/>
                <w:sz w:val="22"/>
                <w:szCs w:val="22"/>
                <w:lang w:bidi="lo-LA"/>
              </w:rPr>
              <w:t xml:space="preserve">punkts: </w:t>
            </w:r>
          </w:p>
          <w:p w14:paraId="1C436B6B" w14:textId="77777777" w:rsidR="004C42D0" w:rsidRPr="00E942E6" w:rsidRDefault="004C42D0">
            <w:pPr>
              <w:pStyle w:val="naisc"/>
              <w:spacing w:before="0" w:after="0"/>
              <w:jc w:val="both"/>
              <w:rPr>
                <w:iCs/>
                <w:lang w:bidi="lo-LA"/>
              </w:rPr>
            </w:pPr>
          </w:p>
          <w:p w14:paraId="617CB56C" w14:textId="1A9325A5" w:rsidR="00C15ED8" w:rsidRPr="00E942E6" w:rsidRDefault="004C42D0">
            <w:pPr>
              <w:pStyle w:val="naisc"/>
              <w:spacing w:before="0" w:after="0"/>
              <w:jc w:val="both"/>
            </w:pPr>
            <w:r w:rsidRPr="00E942E6">
              <w:rPr>
                <w:sz w:val="22"/>
                <w:szCs w:val="22"/>
              </w:rPr>
              <w:t>„</w:t>
            </w:r>
            <w:r w:rsidR="00C15ED8" w:rsidRPr="00E942E6">
              <w:rPr>
                <w:sz w:val="22"/>
                <w:szCs w:val="22"/>
              </w:rPr>
              <w:t>2.</w:t>
            </w:r>
            <w:r w:rsidR="00012FF6" w:rsidRPr="00E942E6">
              <w:rPr>
                <w:sz w:val="22"/>
                <w:szCs w:val="22"/>
              </w:rPr>
              <w:t xml:space="preserve"> </w:t>
            </w:r>
            <w:r w:rsidR="00C15ED8" w:rsidRPr="00E942E6">
              <w:rPr>
                <w:sz w:val="22"/>
                <w:szCs w:val="22"/>
              </w:rPr>
              <w:t>Saskaņā ar Eiropas Parlamenta un Padomes 2013.gada 17.decembra regulu (ES) Nr.1381/2013, ar ko izveido programmu „Tiesības, vienlīdzība un pilsonība”, ņemot vērā Eiropas Komisijas Tiesiskuma un patērētāju ģenerāldirektorāta 2020.gada 2.jūlija aicinājuma vēstuli Nr.Ares(2020)3482372 par projekta izvērtēšanas rezultātiem un līguma slēgšanas iespējām minētās programmas projektu konkursa „Ierobežotais projektu konkurss nacionālajām romu platformām” („</w:t>
            </w:r>
            <w:r w:rsidR="00C15ED8" w:rsidRPr="00433285">
              <w:rPr>
                <w:sz w:val="22"/>
                <w:szCs w:val="22"/>
              </w:rPr>
              <w:t>Call for proposals limited/restricted to National Roma Platforms”</w:t>
            </w:r>
            <w:r w:rsidR="00C15ED8" w:rsidRPr="00E942E6">
              <w:rPr>
                <w:sz w:val="22"/>
                <w:szCs w:val="22"/>
              </w:rPr>
              <w:t xml:space="preserve">) (REC-RDIS-NRCP-AG-2020)  ietvaros, atļaut Kultūras ministrijai uzņemties ilgtermiņa budžeta saistības 53 006,43 euro apmērā un </w:t>
            </w:r>
            <w:r w:rsidR="00C15ED8" w:rsidRPr="00E942E6">
              <w:rPr>
                <w:sz w:val="22"/>
                <w:szCs w:val="22"/>
              </w:rPr>
              <w:lastRenderedPageBreak/>
              <w:t>īstenot projektu „Latvijas romu platforma VI”.</w:t>
            </w:r>
          </w:p>
          <w:p w14:paraId="1A17F2CD" w14:textId="77777777" w:rsidR="00012FF6" w:rsidRPr="00E942E6" w:rsidRDefault="00012FF6">
            <w:pPr>
              <w:pStyle w:val="naisc"/>
              <w:spacing w:before="0" w:after="0"/>
              <w:jc w:val="both"/>
            </w:pPr>
          </w:p>
          <w:p w14:paraId="0848CA01" w14:textId="1EDAA8E7" w:rsidR="009F35AE" w:rsidRPr="00E942E6" w:rsidRDefault="00C15ED8">
            <w:pPr>
              <w:pStyle w:val="naisc"/>
              <w:spacing w:before="0" w:after="0"/>
              <w:jc w:val="both"/>
              <w:rPr>
                <w:bCs/>
                <w:iCs/>
              </w:rPr>
            </w:pPr>
            <w:r w:rsidRPr="00E942E6">
              <w:rPr>
                <w:sz w:val="22"/>
                <w:szCs w:val="22"/>
              </w:rPr>
              <w:t>3.</w:t>
            </w:r>
            <w:r w:rsidR="0010182F" w:rsidRPr="00E942E6">
              <w:rPr>
                <w:sz w:val="22"/>
                <w:szCs w:val="22"/>
              </w:rPr>
              <w:t> </w:t>
            </w:r>
            <w:r w:rsidRPr="00E942E6">
              <w:rPr>
                <w:sz w:val="22"/>
                <w:szCs w:val="22"/>
              </w:rPr>
              <w:t>Kultūras ministrijai šī protokollēmuma 2.punktā minētā projekta īstenošanai normatīvajos aktos noteiktajā kārtībā iesniegt Finanšu ministrijā pieprasījumu finansējuma pārdalei no valsts pamatbudžeta programmas 80.00.00 „Nesadalītais finansējums Eiropas Savienības politiku instrumentu un pārējās ārvalstu finanšu palīdzības līdzfinansēto projektu un pasākumu īstenošanai.”</w:t>
            </w:r>
            <w:r w:rsidR="009F04AD" w:rsidRPr="00E942E6">
              <w:rPr>
                <w:iCs/>
                <w:sz w:val="22"/>
                <w:szCs w:val="22"/>
                <w:lang w:bidi="lo-LA"/>
              </w:rPr>
              <w:t>”</w:t>
            </w:r>
          </w:p>
        </w:tc>
        <w:tc>
          <w:tcPr>
            <w:tcW w:w="1223" w:type="pct"/>
            <w:shd w:val="clear" w:color="auto" w:fill="FFFFFF"/>
          </w:tcPr>
          <w:p w14:paraId="6B7A2CB4" w14:textId="77777777" w:rsidR="00F0196C" w:rsidRPr="00E942E6" w:rsidRDefault="00C15ED8">
            <w:pPr>
              <w:pStyle w:val="naisc"/>
              <w:spacing w:before="0" w:after="0"/>
              <w:jc w:val="both"/>
              <w:rPr>
                <w:iCs/>
                <w:lang w:bidi="lo-LA"/>
              </w:rPr>
            </w:pPr>
            <w:r w:rsidRPr="00E942E6">
              <w:rPr>
                <w:b/>
                <w:sz w:val="22"/>
                <w:szCs w:val="22"/>
              </w:rPr>
              <w:lastRenderedPageBreak/>
              <w:t>Finanšu</w:t>
            </w:r>
            <w:r w:rsidR="009F35AE" w:rsidRPr="00E942E6">
              <w:rPr>
                <w:b/>
                <w:sz w:val="22"/>
                <w:szCs w:val="22"/>
              </w:rPr>
              <w:t xml:space="preserve"> ministrija</w:t>
            </w:r>
            <w:r w:rsidR="008D5C37" w:rsidRPr="00E942E6">
              <w:rPr>
                <w:b/>
                <w:sz w:val="22"/>
                <w:szCs w:val="22"/>
              </w:rPr>
              <w:t>:</w:t>
            </w:r>
          </w:p>
          <w:p w14:paraId="4911D2E7" w14:textId="77777777" w:rsidR="00C15ED8" w:rsidRPr="00E942E6" w:rsidRDefault="00C15ED8">
            <w:pPr>
              <w:pStyle w:val="naisc"/>
              <w:spacing w:before="0" w:after="0"/>
              <w:jc w:val="both"/>
            </w:pPr>
            <w:r w:rsidRPr="00E942E6">
              <w:rPr>
                <w:sz w:val="22"/>
                <w:szCs w:val="22"/>
              </w:rPr>
              <w:t xml:space="preserve">Ministru kabineta sēdes protokollēmuma projekta 2. un 3.punkts ir precizējami, izsakot tos šādā redakcijā: </w:t>
            </w:r>
          </w:p>
          <w:p w14:paraId="4BD4B5C5" w14:textId="77777777" w:rsidR="00C15ED8" w:rsidRPr="00E942E6" w:rsidRDefault="00C15ED8">
            <w:pPr>
              <w:pStyle w:val="naisc"/>
              <w:spacing w:before="0" w:after="0"/>
              <w:jc w:val="both"/>
            </w:pPr>
            <w:r w:rsidRPr="00E942E6">
              <w:rPr>
                <w:sz w:val="22"/>
                <w:szCs w:val="22"/>
              </w:rPr>
              <w:t>“2. Saskaņā ar Eiropas Parlamenta un Padomes 2013.gada 17.decembra regulu (ES) Nr.1381/2013, ar ko izveido programmu „Tiesības, vienlīdzība un pilsonība”, ņemot vērā Eiropas Komisijas Tiesiskuma un patērētāju ģenerāldirektorāta 2020.gada 2.jūlija aicinājuma vēstuli Nr.Ares(2020)3482372 par projekta izvērtēšanas rezultātiem un līguma slēgšanas iespējām minētās programmas projektu konkursa „Ierobežotais projektu konkurss nacionālajām romu platformām” („</w:t>
            </w:r>
            <w:r w:rsidRPr="00433285">
              <w:rPr>
                <w:sz w:val="22"/>
                <w:szCs w:val="22"/>
              </w:rPr>
              <w:t>Call for proposals limited/restricted to National Roma Platforms</w:t>
            </w:r>
            <w:r w:rsidRPr="00E942E6">
              <w:rPr>
                <w:sz w:val="22"/>
                <w:szCs w:val="22"/>
              </w:rPr>
              <w:t xml:space="preserve">”) (REC-RDIS-NRCP-AG-2020) ietvaros, atļaut Kultūras ministrijai uzņemties valsts budžeta ilgtermiņa saistības projekta „Latvijas romu platforma VI” īstenošanai. Projekta kopējās </w:t>
            </w:r>
            <w:r w:rsidRPr="00E942E6">
              <w:rPr>
                <w:sz w:val="22"/>
                <w:szCs w:val="22"/>
              </w:rPr>
              <w:lastRenderedPageBreak/>
              <w:t>izmaksas ir 189 309 EUR, t.sk., Eiropas Komisijas finansējums 170 378 EUR un valsts budžeta līdzfinansējums 18 931 EUR.</w:t>
            </w:r>
          </w:p>
          <w:p w14:paraId="3A4E15D7" w14:textId="014A6665" w:rsidR="009F35AE" w:rsidRPr="00E942E6" w:rsidRDefault="00C15ED8">
            <w:pPr>
              <w:pStyle w:val="naisc"/>
              <w:spacing w:before="0" w:after="0"/>
              <w:jc w:val="both"/>
              <w:rPr>
                <w:b/>
              </w:rPr>
            </w:pPr>
            <w:r w:rsidRPr="00E942E6">
              <w:rPr>
                <w:sz w:val="22"/>
                <w:szCs w:val="22"/>
              </w:rPr>
              <w:t>3.</w:t>
            </w:r>
            <w:r w:rsidR="0010182F" w:rsidRPr="00E942E6">
              <w:rPr>
                <w:sz w:val="22"/>
                <w:szCs w:val="22"/>
              </w:rPr>
              <w:t> </w:t>
            </w:r>
            <w:r w:rsidRPr="00E942E6">
              <w:rPr>
                <w:sz w:val="22"/>
                <w:szCs w:val="22"/>
              </w:rPr>
              <w:t>Kultūras ministrijai šī protokollēmuma 2.punktā minētā projekta īstenošanai normatīvajos aktos noteiktajā kārtībā iesniegt Finanšu ministrijā valsts budžeta līdzekļu pārdales pieprasījumu priekšfinansējuma un līdzfinansējuma nodrošināšanai no budžeta 74.resora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332436" w:rsidRPr="00E942E6">
              <w:rPr>
                <w:iCs/>
                <w:sz w:val="22"/>
                <w:szCs w:val="22"/>
                <w:lang w:bidi="lo-LA"/>
              </w:rPr>
              <w:t xml:space="preserve"> </w:t>
            </w:r>
          </w:p>
        </w:tc>
        <w:tc>
          <w:tcPr>
            <w:tcW w:w="838" w:type="pct"/>
            <w:shd w:val="clear" w:color="auto" w:fill="FFFFFF"/>
          </w:tcPr>
          <w:p w14:paraId="60A8B9B0" w14:textId="77777777" w:rsidR="009F35AE" w:rsidRPr="00E942E6" w:rsidRDefault="009F35AE">
            <w:pPr>
              <w:pStyle w:val="naisc"/>
              <w:spacing w:before="0" w:after="0"/>
              <w:rPr>
                <w:b/>
              </w:rPr>
            </w:pPr>
            <w:r w:rsidRPr="00E942E6">
              <w:rPr>
                <w:b/>
                <w:sz w:val="22"/>
                <w:szCs w:val="22"/>
              </w:rPr>
              <w:lastRenderedPageBreak/>
              <w:t>Ņemts vērā</w:t>
            </w:r>
          </w:p>
        </w:tc>
        <w:tc>
          <w:tcPr>
            <w:tcW w:w="1314" w:type="pct"/>
            <w:shd w:val="clear" w:color="auto" w:fill="FFFFFF"/>
          </w:tcPr>
          <w:p w14:paraId="43E873F2" w14:textId="77777777" w:rsidR="004C42D0" w:rsidRPr="00E942E6" w:rsidRDefault="004C42D0">
            <w:pPr>
              <w:pStyle w:val="naisc"/>
              <w:spacing w:before="0" w:after="0"/>
              <w:jc w:val="both"/>
              <w:rPr>
                <w:iCs/>
                <w:lang w:bidi="lo-LA"/>
              </w:rPr>
            </w:pPr>
            <w:r w:rsidRPr="00E942E6">
              <w:rPr>
                <w:iCs/>
                <w:sz w:val="22"/>
                <w:szCs w:val="22"/>
                <w:lang w:bidi="lo-LA"/>
              </w:rPr>
              <w:t>Precizēts Ministru kabineta sēdes protokollēmuma projekta „Informatīvais ziņojums „Par projekta „Latvijas romu platforma V</w:t>
            </w:r>
            <w:r w:rsidR="003C2A83" w:rsidRPr="00E942E6">
              <w:rPr>
                <w:iCs/>
                <w:sz w:val="22"/>
                <w:szCs w:val="22"/>
                <w:lang w:bidi="lo-LA"/>
              </w:rPr>
              <w:t>I</w:t>
            </w:r>
            <w:r w:rsidRPr="00E942E6">
              <w:rPr>
                <w:iCs/>
                <w:sz w:val="22"/>
                <w:szCs w:val="22"/>
                <w:lang w:bidi="lo-LA"/>
              </w:rPr>
              <w:t>” īstenošanu Eiropas Savienības programmas „Tiesības, vienlīdzība un pilsonība” ietvaros”” 2.</w:t>
            </w:r>
            <w:r w:rsidR="003C2A83" w:rsidRPr="00E942E6">
              <w:rPr>
                <w:iCs/>
                <w:sz w:val="22"/>
                <w:szCs w:val="22"/>
                <w:lang w:bidi="lo-LA"/>
              </w:rPr>
              <w:t xml:space="preserve"> un 3.</w:t>
            </w:r>
            <w:r w:rsidRPr="00E942E6">
              <w:rPr>
                <w:iCs/>
                <w:sz w:val="22"/>
                <w:szCs w:val="22"/>
                <w:lang w:bidi="lo-LA"/>
              </w:rPr>
              <w:t xml:space="preserve">punkts šādā redakcijā: </w:t>
            </w:r>
          </w:p>
          <w:p w14:paraId="47B4F10B" w14:textId="760F37E2" w:rsidR="004C42D0" w:rsidRPr="00E942E6" w:rsidRDefault="004C42D0">
            <w:pPr>
              <w:pStyle w:val="Sarakstarindkopa"/>
              <w:ind w:left="0"/>
              <w:jc w:val="both"/>
              <w:rPr>
                <w:sz w:val="22"/>
                <w:szCs w:val="22"/>
              </w:rPr>
            </w:pPr>
          </w:p>
          <w:p w14:paraId="038FFC94" w14:textId="34182D59" w:rsidR="003C2A83" w:rsidRPr="00E942E6" w:rsidRDefault="00AF60B9">
            <w:pPr>
              <w:pStyle w:val="naisc"/>
              <w:spacing w:before="0" w:after="0"/>
              <w:jc w:val="both"/>
            </w:pPr>
            <w:r w:rsidRPr="00E942E6">
              <w:rPr>
                <w:sz w:val="22"/>
                <w:szCs w:val="22"/>
              </w:rPr>
              <w:t>„</w:t>
            </w:r>
            <w:r w:rsidR="004C42D0" w:rsidRPr="00E942E6">
              <w:rPr>
                <w:sz w:val="22"/>
                <w:szCs w:val="22"/>
              </w:rPr>
              <w:t xml:space="preserve">2. </w:t>
            </w:r>
            <w:r w:rsidR="003C2A83" w:rsidRPr="00E942E6">
              <w:rPr>
                <w:sz w:val="22"/>
                <w:szCs w:val="22"/>
              </w:rPr>
              <w:t>Saskaņā ar Eiropas Parlamenta un Padomes 2013.gada 17.decembra regulu (ES) Nr.1381/2013, ar ko izveido programmu „Tiesības, vienlīdzība un pilsonība”, ņemot vērā Eiropas Komisijas Tiesiskuma un patērētāju ģenerāldirektorāta 2020.gada 2.jūlija aicinājuma vēstuli Nr.Ares(2020)3482372 par projekta izvērtēšanas rezultātiem un līguma slēgšanas iespējām minētās programmas projektu konkursa „Ierobežotais projektu konkurss nacionālajām romu platformām” („</w:t>
            </w:r>
            <w:r w:rsidR="003C2A83" w:rsidRPr="00433285">
              <w:rPr>
                <w:sz w:val="22"/>
                <w:szCs w:val="22"/>
              </w:rPr>
              <w:t>Call for proposals limited/restricted to National Roma Platforms”</w:t>
            </w:r>
            <w:r w:rsidR="003C2A83" w:rsidRPr="00E942E6">
              <w:rPr>
                <w:sz w:val="22"/>
                <w:szCs w:val="22"/>
              </w:rPr>
              <w:t xml:space="preserve">) (REC-RDIS-NRCP-AG-2020) ietvaros, atļaut Kultūras ministrijai uzņemties valsts </w:t>
            </w:r>
            <w:r w:rsidR="003C2A83" w:rsidRPr="00E942E6">
              <w:rPr>
                <w:sz w:val="22"/>
                <w:szCs w:val="22"/>
              </w:rPr>
              <w:lastRenderedPageBreak/>
              <w:t xml:space="preserve">budžeta ilgtermiņa saistības projekta „Latvijas romu platforma VI” īstenošanai. Projekta kopējās izmaksas ir 189 309 </w:t>
            </w:r>
            <w:r w:rsidR="00F87165" w:rsidRPr="00433285">
              <w:rPr>
                <w:i/>
                <w:iCs/>
                <w:sz w:val="22"/>
                <w:szCs w:val="22"/>
              </w:rPr>
              <w:t>euro</w:t>
            </w:r>
            <w:r w:rsidR="003C2A83" w:rsidRPr="00E942E6">
              <w:rPr>
                <w:sz w:val="22"/>
                <w:szCs w:val="22"/>
              </w:rPr>
              <w:t>, t</w:t>
            </w:r>
            <w:r w:rsidR="007A0D84">
              <w:rPr>
                <w:sz w:val="22"/>
                <w:szCs w:val="22"/>
              </w:rPr>
              <w:t>ai skaitā</w:t>
            </w:r>
            <w:r w:rsidR="003C2A83" w:rsidRPr="00E942E6">
              <w:rPr>
                <w:sz w:val="22"/>
                <w:szCs w:val="22"/>
              </w:rPr>
              <w:t xml:space="preserve"> Eiropas Komisijas finansējums 170 378 </w:t>
            </w:r>
            <w:r w:rsidR="00F87165" w:rsidRPr="00433285">
              <w:rPr>
                <w:i/>
                <w:iCs/>
                <w:sz w:val="22"/>
                <w:szCs w:val="22"/>
              </w:rPr>
              <w:t>euro</w:t>
            </w:r>
            <w:r w:rsidR="003C2A83" w:rsidRPr="00E942E6">
              <w:rPr>
                <w:sz w:val="22"/>
                <w:szCs w:val="22"/>
              </w:rPr>
              <w:t xml:space="preserve"> un valsts budžeta līdzfinansējums 18</w:t>
            </w:r>
            <w:r w:rsidR="00A967C4">
              <w:rPr>
                <w:sz w:val="22"/>
                <w:szCs w:val="22"/>
              </w:rPr>
              <w:t> </w:t>
            </w:r>
            <w:r w:rsidR="003C2A83" w:rsidRPr="00E942E6">
              <w:rPr>
                <w:sz w:val="22"/>
                <w:szCs w:val="22"/>
              </w:rPr>
              <w:t>931</w:t>
            </w:r>
            <w:r w:rsidR="00F87165">
              <w:rPr>
                <w:sz w:val="22"/>
                <w:szCs w:val="22"/>
              </w:rPr>
              <w:t> </w:t>
            </w:r>
            <w:r w:rsidR="00F87165" w:rsidRPr="00433285">
              <w:rPr>
                <w:i/>
                <w:iCs/>
                <w:sz w:val="22"/>
                <w:szCs w:val="22"/>
              </w:rPr>
              <w:t>euro</w:t>
            </w:r>
            <w:r w:rsidR="003C2A83" w:rsidRPr="00E942E6">
              <w:rPr>
                <w:sz w:val="22"/>
                <w:szCs w:val="22"/>
              </w:rPr>
              <w:t>.</w:t>
            </w:r>
          </w:p>
          <w:p w14:paraId="1DE6173D" w14:textId="77777777" w:rsidR="0010182F" w:rsidRPr="00E942E6" w:rsidRDefault="0010182F">
            <w:pPr>
              <w:pStyle w:val="naisc"/>
              <w:spacing w:before="0" w:after="0"/>
              <w:jc w:val="both"/>
            </w:pPr>
          </w:p>
          <w:p w14:paraId="45D97B7A" w14:textId="3288BCE8" w:rsidR="001A7F84" w:rsidRPr="00E942E6" w:rsidRDefault="003C2A83">
            <w:pPr>
              <w:pStyle w:val="Sarakstarindkopa"/>
              <w:ind w:left="0"/>
              <w:jc w:val="both"/>
              <w:rPr>
                <w:sz w:val="22"/>
                <w:szCs w:val="22"/>
              </w:rPr>
            </w:pPr>
            <w:r w:rsidRPr="00E942E6">
              <w:rPr>
                <w:sz w:val="22"/>
                <w:szCs w:val="22"/>
              </w:rPr>
              <w:t>3.</w:t>
            </w:r>
            <w:r w:rsidR="00F87165">
              <w:rPr>
                <w:sz w:val="22"/>
                <w:szCs w:val="22"/>
              </w:rPr>
              <w:t> </w:t>
            </w:r>
            <w:r w:rsidRPr="00E942E6">
              <w:rPr>
                <w:sz w:val="22"/>
                <w:szCs w:val="22"/>
              </w:rPr>
              <w:t>Kultūras ministrijai š</w:t>
            </w:r>
            <w:r w:rsidR="007A0D84">
              <w:rPr>
                <w:sz w:val="22"/>
                <w:szCs w:val="22"/>
              </w:rPr>
              <w:t>ā</w:t>
            </w:r>
            <w:r w:rsidRPr="00E942E6">
              <w:rPr>
                <w:sz w:val="22"/>
                <w:szCs w:val="22"/>
              </w:rPr>
              <w:t xml:space="preserve"> protokollēmuma 2.punktā minētā projekta īstenošanai normatīvajos aktos noteiktajā kārtībā iesniegt Finanšu ministrijā valsts budžeta līdzekļu pārdales pieprasījumu priekšfinansējuma un līdzfinansējuma nodrošināšanai no budžeta 74.resora </w:t>
            </w:r>
            <w:r w:rsidR="00A967C4" w:rsidRPr="001C4413">
              <w:rPr>
                <w:sz w:val="22"/>
                <w:szCs w:val="22"/>
              </w:rPr>
              <w:t>„</w:t>
            </w:r>
            <w:r w:rsidRPr="00E942E6">
              <w:rPr>
                <w:sz w:val="22"/>
                <w:szCs w:val="22"/>
              </w:rPr>
              <w:t>Gadskārtējā valsts budžeta izpildes procesā pārdalāmais finansējums” programmas 80.00.00 „Nesadalītais finansējums Eiropas Savienības politiku instrumentu un pārējās ārvalstu finanšu palīdzības līdzfinansēto projektu un pasākumu īstenošanai.””</w:t>
            </w:r>
          </w:p>
        </w:tc>
      </w:tr>
      <w:tr w:rsidR="00080746" w:rsidRPr="00E2198F" w14:paraId="64C1A634" w14:textId="77777777" w:rsidTr="0010182F">
        <w:tc>
          <w:tcPr>
            <w:tcW w:w="287" w:type="pct"/>
            <w:shd w:val="clear" w:color="auto" w:fill="FFFFFF"/>
          </w:tcPr>
          <w:p w14:paraId="42B6AFC8" w14:textId="7918AF0D" w:rsidR="00080746" w:rsidRPr="00E2198F" w:rsidRDefault="0010182F" w:rsidP="00E2198F">
            <w:pPr>
              <w:pStyle w:val="naisc"/>
              <w:spacing w:before="0" w:after="0"/>
            </w:pPr>
            <w:r w:rsidRPr="00E2198F">
              <w:rPr>
                <w:sz w:val="22"/>
                <w:szCs w:val="22"/>
              </w:rPr>
              <w:lastRenderedPageBreak/>
              <w:t>2.</w:t>
            </w:r>
          </w:p>
        </w:tc>
        <w:tc>
          <w:tcPr>
            <w:tcW w:w="1339" w:type="pct"/>
            <w:shd w:val="clear" w:color="auto" w:fill="FFFFFF"/>
          </w:tcPr>
          <w:p w14:paraId="75825455" w14:textId="410971B8" w:rsidR="00080746" w:rsidRPr="00E2198F" w:rsidRDefault="00E2198F" w:rsidP="00E2198F">
            <w:pPr>
              <w:pStyle w:val="naisc"/>
              <w:spacing w:before="0" w:after="0"/>
              <w:jc w:val="both"/>
              <w:rPr>
                <w:iCs/>
                <w:lang w:bidi="lo-LA"/>
              </w:rPr>
            </w:pPr>
            <w:r>
              <w:rPr>
                <w:iCs/>
                <w:sz w:val="22"/>
                <w:szCs w:val="22"/>
                <w:lang w:bidi="lo-LA"/>
              </w:rPr>
              <w:t>I</w:t>
            </w:r>
            <w:r w:rsidRPr="00433285">
              <w:rPr>
                <w:iCs/>
                <w:sz w:val="22"/>
                <w:szCs w:val="22"/>
                <w:lang w:bidi="lo-LA"/>
              </w:rPr>
              <w:t>nformatīv</w:t>
            </w:r>
            <w:r>
              <w:rPr>
                <w:iCs/>
                <w:sz w:val="22"/>
                <w:szCs w:val="22"/>
                <w:lang w:bidi="lo-LA"/>
              </w:rPr>
              <w:t>ais</w:t>
            </w:r>
            <w:r w:rsidRPr="00433285">
              <w:rPr>
                <w:iCs/>
                <w:sz w:val="22"/>
                <w:szCs w:val="22"/>
                <w:lang w:bidi="lo-LA"/>
              </w:rPr>
              <w:t xml:space="preserve"> ziņojum</w:t>
            </w:r>
            <w:r>
              <w:rPr>
                <w:iCs/>
                <w:sz w:val="22"/>
                <w:szCs w:val="22"/>
                <w:lang w:bidi="lo-LA"/>
              </w:rPr>
              <w:t>s</w:t>
            </w:r>
            <w:r w:rsidRPr="00433285">
              <w:rPr>
                <w:iCs/>
                <w:sz w:val="22"/>
                <w:szCs w:val="22"/>
                <w:lang w:bidi="lo-LA"/>
              </w:rPr>
              <w:t xml:space="preserve"> „Par projekta „Latvijas romu platforma VI” īstenošanu Eiropas Savienības programmas „Tiesības, vienlīdzība un pilsonība” ietvaros”</w:t>
            </w:r>
            <w:r>
              <w:rPr>
                <w:iCs/>
                <w:sz w:val="22"/>
                <w:szCs w:val="22"/>
                <w:lang w:bidi="lo-LA"/>
              </w:rPr>
              <w:t>.</w:t>
            </w:r>
          </w:p>
        </w:tc>
        <w:tc>
          <w:tcPr>
            <w:tcW w:w="1223" w:type="pct"/>
            <w:shd w:val="clear" w:color="auto" w:fill="FFFFFF"/>
          </w:tcPr>
          <w:p w14:paraId="23EA486D" w14:textId="77777777" w:rsidR="00080746" w:rsidRPr="00E2198F" w:rsidRDefault="00080746">
            <w:pPr>
              <w:pStyle w:val="naisc"/>
              <w:spacing w:before="0" w:after="0"/>
              <w:jc w:val="both"/>
              <w:rPr>
                <w:b/>
              </w:rPr>
            </w:pPr>
            <w:r w:rsidRPr="00E2198F">
              <w:rPr>
                <w:b/>
                <w:sz w:val="22"/>
                <w:szCs w:val="22"/>
              </w:rPr>
              <w:t>Finanšu ministrija:</w:t>
            </w:r>
          </w:p>
          <w:p w14:paraId="6DE947B3" w14:textId="77777777" w:rsidR="00080746" w:rsidRPr="00E2198F" w:rsidRDefault="00080746">
            <w:pPr>
              <w:pStyle w:val="naisc"/>
              <w:spacing w:before="0" w:after="0"/>
              <w:jc w:val="both"/>
              <w:rPr>
                <w:bCs/>
              </w:rPr>
            </w:pPr>
            <w:r w:rsidRPr="00E2198F">
              <w:rPr>
                <w:bCs/>
                <w:sz w:val="22"/>
                <w:szCs w:val="22"/>
              </w:rPr>
              <w:t>Ņemot vērā, ka projekts “Latvijas romu platforma VI” ir iepriekšējos gados īstenoto un iesākto romu integrācijas projektu turpinājums, informatīvais ziņojums ir papildināms, norādot iepriekšējo projektu sasniegtos rezultātus, kā arī informāciju par valsts budžetā veiktajām priekšfinansējuma atmaksām.</w:t>
            </w:r>
          </w:p>
        </w:tc>
        <w:tc>
          <w:tcPr>
            <w:tcW w:w="838" w:type="pct"/>
            <w:shd w:val="clear" w:color="auto" w:fill="FFFFFF"/>
          </w:tcPr>
          <w:p w14:paraId="29709085" w14:textId="77777777" w:rsidR="00080746" w:rsidRPr="00E2198F" w:rsidRDefault="00080746">
            <w:pPr>
              <w:pStyle w:val="naisc"/>
              <w:spacing w:before="0" w:after="0"/>
              <w:rPr>
                <w:b/>
              </w:rPr>
            </w:pPr>
            <w:r w:rsidRPr="00E2198F">
              <w:rPr>
                <w:b/>
                <w:sz w:val="22"/>
                <w:szCs w:val="22"/>
              </w:rPr>
              <w:t>Ņemts vērā</w:t>
            </w:r>
          </w:p>
        </w:tc>
        <w:tc>
          <w:tcPr>
            <w:tcW w:w="1314" w:type="pct"/>
            <w:shd w:val="clear" w:color="auto" w:fill="FFFFFF"/>
          </w:tcPr>
          <w:p w14:paraId="5E6506C5" w14:textId="4BD31601" w:rsidR="001A7F84" w:rsidRPr="00E2198F" w:rsidRDefault="00986D09">
            <w:pPr>
              <w:pStyle w:val="naisc"/>
              <w:spacing w:before="0" w:after="0"/>
              <w:jc w:val="both"/>
              <w:rPr>
                <w:iCs/>
                <w:lang w:bidi="lo-LA"/>
              </w:rPr>
            </w:pPr>
            <w:r>
              <w:rPr>
                <w:iCs/>
                <w:sz w:val="22"/>
                <w:szCs w:val="22"/>
                <w:lang w:bidi="lo-LA"/>
              </w:rPr>
              <w:t>I</w:t>
            </w:r>
            <w:r w:rsidRPr="001C4413">
              <w:rPr>
                <w:iCs/>
                <w:sz w:val="22"/>
                <w:szCs w:val="22"/>
                <w:lang w:bidi="lo-LA"/>
              </w:rPr>
              <w:t>nformatīv</w:t>
            </w:r>
            <w:r>
              <w:rPr>
                <w:iCs/>
                <w:sz w:val="22"/>
                <w:szCs w:val="22"/>
                <w:lang w:bidi="lo-LA"/>
              </w:rPr>
              <w:t>ais</w:t>
            </w:r>
            <w:r w:rsidRPr="001C4413">
              <w:rPr>
                <w:iCs/>
                <w:sz w:val="22"/>
                <w:szCs w:val="22"/>
                <w:lang w:bidi="lo-LA"/>
              </w:rPr>
              <w:t xml:space="preserve"> ziņojum</w:t>
            </w:r>
            <w:r>
              <w:rPr>
                <w:iCs/>
                <w:sz w:val="22"/>
                <w:szCs w:val="22"/>
                <w:lang w:bidi="lo-LA"/>
              </w:rPr>
              <w:t>s</w:t>
            </w:r>
            <w:r w:rsidRPr="001C4413">
              <w:rPr>
                <w:iCs/>
                <w:sz w:val="22"/>
                <w:szCs w:val="22"/>
                <w:lang w:bidi="lo-LA"/>
              </w:rPr>
              <w:t xml:space="preserve"> „Par projekta „Latvijas romu platforma VI” īstenošanu Eiropas Savienības programmas „Tiesības, vienlīdzība un pilsonība” ietvaros”</w:t>
            </w:r>
            <w:r w:rsidR="002C6B40" w:rsidRPr="00E2198F">
              <w:rPr>
                <w:iCs/>
                <w:sz w:val="22"/>
                <w:szCs w:val="22"/>
                <w:lang w:bidi="lo-LA"/>
              </w:rPr>
              <w:t xml:space="preserve"> ir papildināts ar jaunu </w:t>
            </w:r>
            <w:r w:rsidR="007B3152">
              <w:rPr>
                <w:iCs/>
                <w:sz w:val="22"/>
                <w:szCs w:val="22"/>
                <w:lang w:bidi="lo-LA"/>
              </w:rPr>
              <w:t>no</w:t>
            </w:r>
            <w:r w:rsidR="002C6B40" w:rsidRPr="00E2198F">
              <w:rPr>
                <w:iCs/>
                <w:sz w:val="22"/>
                <w:szCs w:val="22"/>
                <w:lang w:bidi="lo-LA"/>
              </w:rPr>
              <w:t xml:space="preserve">daļu </w:t>
            </w:r>
            <w:r w:rsidR="007B3152" w:rsidRPr="001C4413">
              <w:rPr>
                <w:iCs/>
                <w:sz w:val="22"/>
                <w:szCs w:val="22"/>
                <w:lang w:bidi="lo-LA"/>
              </w:rPr>
              <w:t>„</w:t>
            </w:r>
            <w:r w:rsidR="002C6B40" w:rsidRPr="00E2198F">
              <w:rPr>
                <w:iCs/>
                <w:sz w:val="22"/>
                <w:szCs w:val="22"/>
                <w:lang w:bidi="lo-LA"/>
              </w:rPr>
              <w:t xml:space="preserve">II. Informācija par īstenoto projektu </w:t>
            </w:r>
            <w:r w:rsidR="007B3152" w:rsidRPr="001C4413">
              <w:rPr>
                <w:iCs/>
                <w:sz w:val="22"/>
                <w:szCs w:val="22"/>
                <w:lang w:bidi="lo-LA"/>
              </w:rPr>
              <w:t>„</w:t>
            </w:r>
            <w:r w:rsidR="002C6B40" w:rsidRPr="00E2198F">
              <w:rPr>
                <w:iCs/>
                <w:sz w:val="22"/>
                <w:szCs w:val="22"/>
                <w:lang w:bidi="lo-LA"/>
              </w:rPr>
              <w:t xml:space="preserve">Latvijas romu platforma” sasniegtajiem rezultātiem un valsts budžetā veiktajām atmaksām”, kurā ir sniegta informācija par </w:t>
            </w:r>
            <w:r w:rsidR="002C6B40" w:rsidRPr="00E2198F">
              <w:rPr>
                <w:bCs/>
                <w:sz w:val="22"/>
                <w:szCs w:val="22"/>
              </w:rPr>
              <w:t>iepriekšējo projektu sasniegtajiem rezultātiem, t</w:t>
            </w:r>
            <w:r w:rsidR="007A0D84">
              <w:rPr>
                <w:bCs/>
                <w:sz w:val="22"/>
                <w:szCs w:val="22"/>
              </w:rPr>
              <w:t>ai skaitā</w:t>
            </w:r>
            <w:r w:rsidR="002C6B40" w:rsidRPr="00E2198F">
              <w:rPr>
                <w:bCs/>
                <w:sz w:val="22"/>
                <w:szCs w:val="22"/>
              </w:rPr>
              <w:t xml:space="preserve"> īstenot</w:t>
            </w:r>
            <w:r w:rsidR="007A0D84">
              <w:rPr>
                <w:bCs/>
                <w:sz w:val="22"/>
                <w:szCs w:val="22"/>
              </w:rPr>
              <w:t>a</w:t>
            </w:r>
            <w:r w:rsidR="002C6B40" w:rsidRPr="00E2198F">
              <w:rPr>
                <w:bCs/>
                <w:sz w:val="22"/>
                <w:szCs w:val="22"/>
              </w:rPr>
              <w:t xml:space="preserve">jiem pasākumiem, kā arī informācija par </w:t>
            </w:r>
            <w:r w:rsidR="002C6B40" w:rsidRPr="00E2198F">
              <w:rPr>
                <w:bCs/>
                <w:sz w:val="22"/>
                <w:szCs w:val="22"/>
              </w:rPr>
              <w:lastRenderedPageBreak/>
              <w:t xml:space="preserve">valsts budžetā veiktajām </w:t>
            </w:r>
            <w:r w:rsidR="002C6B40" w:rsidRPr="00E2198F">
              <w:rPr>
                <w:iCs/>
                <w:sz w:val="22"/>
                <w:szCs w:val="22"/>
                <w:lang w:bidi="lo-LA"/>
              </w:rPr>
              <w:t>atmaksām</w:t>
            </w:r>
            <w:r w:rsidR="00D55DD3" w:rsidRPr="00E2198F">
              <w:rPr>
                <w:iCs/>
                <w:sz w:val="22"/>
                <w:szCs w:val="22"/>
                <w:lang w:bidi="lo-LA"/>
              </w:rPr>
              <w:t xml:space="preserve"> (</w:t>
            </w:r>
            <w:r w:rsidR="0030412F" w:rsidRPr="00E2198F">
              <w:rPr>
                <w:iCs/>
                <w:sz w:val="22"/>
                <w:szCs w:val="22"/>
                <w:lang w:bidi="lo-LA"/>
              </w:rPr>
              <w:t>3.</w:t>
            </w:r>
            <w:r w:rsidR="007A0D84">
              <w:rPr>
                <w:iCs/>
                <w:sz w:val="22"/>
                <w:szCs w:val="22"/>
                <w:lang w:bidi="lo-LA"/>
              </w:rPr>
              <w:t xml:space="preserve"> –</w:t>
            </w:r>
            <w:r w:rsidR="0030412F" w:rsidRPr="00E2198F">
              <w:rPr>
                <w:iCs/>
                <w:sz w:val="22"/>
                <w:szCs w:val="22"/>
                <w:lang w:bidi="lo-LA"/>
              </w:rPr>
              <w:t xml:space="preserve"> 7.lp.</w:t>
            </w:r>
            <w:r w:rsidR="00D55DD3" w:rsidRPr="00E2198F">
              <w:rPr>
                <w:iCs/>
                <w:sz w:val="22"/>
                <w:szCs w:val="22"/>
                <w:lang w:bidi="lo-LA"/>
              </w:rPr>
              <w:t>)</w:t>
            </w:r>
            <w:r w:rsidR="002C6B40" w:rsidRPr="00E2198F">
              <w:rPr>
                <w:iCs/>
                <w:sz w:val="22"/>
                <w:szCs w:val="22"/>
                <w:lang w:bidi="lo-LA"/>
              </w:rPr>
              <w:t>.</w:t>
            </w:r>
          </w:p>
        </w:tc>
      </w:tr>
      <w:tr w:rsidR="00080746" w:rsidRPr="008D5C37" w14:paraId="450A846E" w14:textId="77777777" w:rsidTr="00433285">
        <w:tc>
          <w:tcPr>
            <w:tcW w:w="287" w:type="pct"/>
            <w:shd w:val="clear" w:color="auto" w:fill="FFFFFF"/>
          </w:tcPr>
          <w:p w14:paraId="741215A5" w14:textId="190732AE" w:rsidR="00080746" w:rsidRPr="008D5C37" w:rsidRDefault="0010182F">
            <w:pPr>
              <w:pStyle w:val="naisc"/>
              <w:spacing w:before="0" w:after="0"/>
              <w:ind w:firstLine="720"/>
            </w:pPr>
            <w:r>
              <w:lastRenderedPageBreak/>
              <w:t>3</w:t>
            </w:r>
            <w:r w:rsidRPr="0010182F">
              <w:rPr>
                <w:sz w:val="22"/>
                <w:szCs w:val="22"/>
              </w:rPr>
              <w:t>3.</w:t>
            </w:r>
          </w:p>
        </w:tc>
        <w:tc>
          <w:tcPr>
            <w:tcW w:w="1339" w:type="pct"/>
            <w:shd w:val="clear" w:color="auto" w:fill="FFFFFF"/>
          </w:tcPr>
          <w:p w14:paraId="74D54556" w14:textId="0298052C" w:rsidR="00080746" w:rsidRPr="004C42D0" w:rsidRDefault="00D22AEB">
            <w:pPr>
              <w:pStyle w:val="naisc"/>
              <w:spacing w:before="0" w:after="0"/>
              <w:jc w:val="both"/>
              <w:rPr>
                <w:iCs/>
                <w:lang w:bidi="lo-LA"/>
              </w:rPr>
            </w:pPr>
            <w:r>
              <w:rPr>
                <w:iCs/>
                <w:sz w:val="22"/>
                <w:szCs w:val="22"/>
                <w:lang w:bidi="lo-LA"/>
              </w:rPr>
              <w:t>I</w:t>
            </w:r>
            <w:r w:rsidRPr="001C4413">
              <w:rPr>
                <w:iCs/>
                <w:sz w:val="22"/>
                <w:szCs w:val="22"/>
                <w:lang w:bidi="lo-LA"/>
              </w:rPr>
              <w:t>nformatīv</w:t>
            </w:r>
            <w:r>
              <w:rPr>
                <w:iCs/>
                <w:sz w:val="22"/>
                <w:szCs w:val="22"/>
                <w:lang w:bidi="lo-LA"/>
              </w:rPr>
              <w:t>ais</w:t>
            </w:r>
            <w:r w:rsidRPr="001C4413">
              <w:rPr>
                <w:iCs/>
                <w:sz w:val="22"/>
                <w:szCs w:val="22"/>
                <w:lang w:bidi="lo-LA"/>
              </w:rPr>
              <w:t xml:space="preserve"> ziņojum</w:t>
            </w:r>
            <w:r>
              <w:rPr>
                <w:iCs/>
                <w:sz w:val="22"/>
                <w:szCs w:val="22"/>
                <w:lang w:bidi="lo-LA"/>
              </w:rPr>
              <w:t>s</w:t>
            </w:r>
            <w:r w:rsidRPr="001C4413">
              <w:rPr>
                <w:iCs/>
                <w:sz w:val="22"/>
                <w:szCs w:val="22"/>
                <w:lang w:bidi="lo-LA"/>
              </w:rPr>
              <w:t xml:space="preserve"> „Par projekta „Latvijas romu platforma VI” īstenošanu Eiropas Savienības programmas „Tiesības, vienlīdzība un pilsonība” ietvaros”</w:t>
            </w:r>
            <w:r>
              <w:rPr>
                <w:iCs/>
                <w:sz w:val="22"/>
                <w:szCs w:val="22"/>
                <w:lang w:bidi="lo-LA"/>
              </w:rPr>
              <w:t xml:space="preserve"> no</w:t>
            </w:r>
            <w:r w:rsidR="001A7F84" w:rsidRPr="0030412F">
              <w:rPr>
                <w:iCs/>
                <w:sz w:val="22"/>
                <w:szCs w:val="22"/>
                <w:lang w:bidi="lo-LA"/>
              </w:rPr>
              <w:t>daļ</w:t>
            </w:r>
            <w:r w:rsidR="00693101">
              <w:rPr>
                <w:iCs/>
                <w:sz w:val="22"/>
                <w:szCs w:val="22"/>
                <w:lang w:bidi="lo-LA"/>
              </w:rPr>
              <w:t>a</w:t>
            </w:r>
            <w:r>
              <w:rPr>
                <w:iCs/>
                <w:sz w:val="22"/>
                <w:szCs w:val="22"/>
                <w:lang w:bidi="lo-LA"/>
              </w:rPr>
              <w:t>s</w:t>
            </w:r>
            <w:r w:rsidR="001A7F84" w:rsidRPr="0030412F">
              <w:rPr>
                <w:iCs/>
                <w:sz w:val="22"/>
                <w:szCs w:val="22"/>
                <w:lang w:bidi="lo-LA"/>
              </w:rPr>
              <w:t xml:space="preserve"> </w:t>
            </w:r>
            <w:r w:rsidRPr="001C4413">
              <w:rPr>
                <w:iCs/>
                <w:sz w:val="22"/>
                <w:szCs w:val="22"/>
                <w:lang w:bidi="lo-LA"/>
              </w:rPr>
              <w:t>„</w:t>
            </w:r>
            <w:r w:rsidR="001A7F84" w:rsidRPr="0030412F">
              <w:rPr>
                <w:iCs/>
                <w:sz w:val="22"/>
                <w:szCs w:val="22"/>
                <w:lang w:bidi="lo-LA"/>
              </w:rPr>
              <w:t>V.</w:t>
            </w:r>
            <w:r>
              <w:rPr>
                <w:iCs/>
                <w:sz w:val="22"/>
                <w:szCs w:val="22"/>
                <w:lang w:bidi="lo-LA"/>
              </w:rPr>
              <w:t> </w:t>
            </w:r>
            <w:r w:rsidR="001A7F84" w:rsidRPr="0030412F">
              <w:rPr>
                <w:iCs/>
                <w:sz w:val="22"/>
                <w:szCs w:val="22"/>
                <w:lang w:bidi="lo-LA"/>
              </w:rPr>
              <w:t>Projekta finansēšana”</w:t>
            </w:r>
            <w:r w:rsidR="001A7F84">
              <w:rPr>
                <w:iCs/>
                <w:sz w:val="22"/>
                <w:szCs w:val="22"/>
                <w:lang w:bidi="lo-LA"/>
              </w:rPr>
              <w:t xml:space="preserve"> tabul</w:t>
            </w:r>
            <w:r>
              <w:rPr>
                <w:iCs/>
                <w:sz w:val="22"/>
                <w:szCs w:val="22"/>
                <w:lang w:bidi="lo-LA"/>
              </w:rPr>
              <w:t>a</w:t>
            </w:r>
            <w:r w:rsidR="001A7F84">
              <w:rPr>
                <w:iCs/>
                <w:sz w:val="22"/>
                <w:szCs w:val="22"/>
                <w:lang w:bidi="lo-LA"/>
              </w:rPr>
              <w:t xml:space="preserve"> </w:t>
            </w:r>
            <w:r w:rsidRPr="001C4413">
              <w:rPr>
                <w:iCs/>
                <w:sz w:val="22"/>
                <w:szCs w:val="22"/>
                <w:lang w:bidi="lo-LA"/>
              </w:rPr>
              <w:t>„</w:t>
            </w:r>
            <w:r w:rsidR="001A7F84" w:rsidRPr="001A7F84">
              <w:rPr>
                <w:iCs/>
                <w:sz w:val="22"/>
                <w:szCs w:val="22"/>
                <w:lang w:bidi="lo-LA"/>
              </w:rPr>
              <w:t>Projekta īstenošanai nepieciešamā finansējuma sadalījums pa gadiem</w:t>
            </w:r>
            <w:r w:rsidR="001A7F84">
              <w:rPr>
                <w:iCs/>
                <w:sz w:val="22"/>
                <w:szCs w:val="22"/>
                <w:lang w:bidi="lo-LA"/>
              </w:rPr>
              <w:t>”</w:t>
            </w:r>
            <w:r>
              <w:rPr>
                <w:iCs/>
                <w:sz w:val="22"/>
                <w:szCs w:val="22"/>
                <w:lang w:bidi="lo-LA"/>
              </w:rPr>
              <w:t>.</w:t>
            </w:r>
          </w:p>
        </w:tc>
        <w:tc>
          <w:tcPr>
            <w:tcW w:w="1223" w:type="pct"/>
            <w:shd w:val="clear" w:color="auto" w:fill="FFFFFF"/>
          </w:tcPr>
          <w:p w14:paraId="34D1F1C0" w14:textId="77777777" w:rsidR="00080746" w:rsidRDefault="00080746">
            <w:pPr>
              <w:pStyle w:val="naisc"/>
              <w:spacing w:before="0" w:after="0"/>
              <w:jc w:val="both"/>
              <w:rPr>
                <w:b/>
              </w:rPr>
            </w:pPr>
            <w:r>
              <w:rPr>
                <w:b/>
                <w:sz w:val="22"/>
                <w:szCs w:val="22"/>
              </w:rPr>
              <w:t>Finanšu</w:t>
            </w:r>
            <w:r w:rsidRPr="008D5C37">
              <w:rPr>
                <w:b/>
                <w:sz w:val="22"/>
                <w:szCs w:val="22"/>
              </w:rPr>
              <w:t xml:space="preserve"> ministrija</w:t>
            </w:r>
            <w:r>
              <w:rPr>
                <w:b/>
                <w:sz w:val="22"/>
                <w:szCs w:val="22"/>
              </w:rPr>
              <w:t>:</w:t>
            </w:r>
          </w:p>
          <w:p w14:paraId="75340FD0" w14:textId="77777777" w:rsidR="00080746" w:rsidRPr="00080746" w:rsidRDefault="00080746">
            <w:pPr>
              <w:pStyle w:val="naisc"/>
              <w:spacing w:before="0" w:after="0"/>
              <w:jc w:val="both"/>
              <w:rPr>
                <w:bCs/>
              </w:rPr>
            </w:pPr>
            <w:r w:rsidRPr="00080746">
              <w:rPr>
                <w:bCs/>
                <w:sz w:val="22"/>
                <w:szCs w:val="22"/>
              </w:rPr>
              <w:t>Ņemot vērā, ka finansējums valsts budžetā tiek plānots pilnos euro, attiecīgi ir precizējams informatīvais ziņojums.</w:t>
            </w:r>
          </w:p>
        </w:tc>
        <w:tc>
          <w:tcPr>
            <w:tcW w:w="838" w:type="pct"/>
            <w:shd w:val="clear" w:color="auto" w:fill="FFFFFF"/>
          </w:tcPr>
          <w:p w14:paraId="694FA030" w14:textId="77777777" w:rsidR="00080746" w:rsidRPr="008D5C37" w:rsidRDefault="00080746">
            <w:pPr>
              <w:pStyle w:val="naisc"/>
              <w:spacing w:before="0" w:after="0"/>
              <w:rPr>
                <w:b/>
              </w:rPr>
            </w:pPr>
            <w:r w:rsidRPr="008D5C37">
              <w:rPr>
                <w:b/>
                <w:sz w:val="22"/>
                <w:szCs w:val="22"/>
              </w:rPr>
              <w:t>Ņemts vērā</w:t>
            </w:r>
          </w:p>
        </w:tc>
        <w:tc>
          <w:tcPr>
            <w:tcW w:w="1314" w:type="pct"/>
            <w:shd w:val="clear" w:color="auto" w:fill="FFFFFF"/>
          </w:tcPr>
          <w:p w14:paraId="2EC13492" w14:textId="5DACDF7F" w:rsidR="00080746" w:rsidRPr="0030412F" w:rsidRDefault="00E942E6">
            <w:pPr>
              <w:pStyle w:val="naisc"/>
              <w:spacing w:before="0" w:after="0"/>
              <w:jc w:val="both"/>
              <w:rPr>
                <w:iCs/>
                <w:lang w:bidi="lo-LA"/>
              </w:rPr>
            </w:pPr>
            <w:r>
              <w:rPr>
                <w:iCs/>
                <w:sz w:val="22"/>
                <w:szCs w:val="22"/>
                <w:lang w:bidi="lo-LA"/>
              </w:rPr>
              <w:t>I</w:t>
            </w:r>
            <w:r w:rsidRPr="001C4413">
              <w:rPr>
                <w:iCs/>
                <w:sz w:val="22"/>
                <w:szCs w:val="22"/>
                <w:lang w:bidi="lo-LA"/>
              </w:rPr>
              <w:t>nformatīv</w:t>
            </w:r>
            <w:r>
              <w:rPr>
                <w:iCs/>
                <w:sz w:val="22"/>
                <w:szCs w:val="22"/>
                <w:lang w:bidi="lo-LA"/>
              </w:rPr>
              <w:t>ā</w:t>
            </w:r>
            <w:r w:rsidRPr="001C4413">
              <w:rPr>
                <w:iCs/>
                <w:sz w:val="22"/>
                <w:szCs w:val="22"/>
                <w:lang w:bidi="lo-LA"/>
              </w:rPr>
              <w:t xml:space="preserve"> ziņojum</w:t>
            </w:r>
            <w:r>
              <w:rPr>
                <w:iCs/>
                <w:sz w:val="22"/>
                <w:szCs w:val="22"/>
                <w:lang w:bidi="lo-LA"/>
              </w:rPr>
              <w:t>a</w:t>
            </w:r>
            <w:r w:rsidRPr="001C4413">
              <w:rPr>
                <w:iCs/>
                <w:sz w:val="22"/>
                <w:szCs w:val="22"/>
                <w:lang w:bidi="lo-LA"/>
              </w:rPr>
              <w:t xml:space="preserve"> „Par projekta „Latvijas romu platforma VI” īstenošanu Eiropas Savienības programmas „Tiesības, vienlīdzība un pilsonība” ietvaros”</w:t>
            </w:r>
            <w:r>
              <w:rPr>
                <w:iCs/>
                <w:sz w:val="22"/>
                <w:szCs w:val="22"/>
                <w:lang w:bidi="lo-LA"/>
              </w:rPr>
              <w:t xml:space="preserve"> no</w:t>
            </w:r>
            <w:r w:rsidRPr="0030412F">
              <w:rPr>
                <w:iCs/>
                <w:sz w:val="22"/>
                <w:szCs w:val="22"/>
                <w:lang w:bidi="lo-LA"/>
              </w:rPr>
              <w:t>daļ</w:t>
            </w:r>
            <w:r>
              <w:rPr>
                <w:iCs/>
                <w:sz w:val="22"/>
                <w:szCs w:val="22"/>
                <w:lang w:bidi="lo-LA"/>
              </w:rPr>
              <w:t>as</w:t>
            </w:r>
            <w:r w:rsidRPr="0030412F">
              <w:rPr>
                <w:iCs/>
                <w:sz w:val="22"/>
                <w:szCs w:val="22"/>
                <w:lang w:bidi="lo-LA"/>
              </w:rPr>
              <w:t xml:space="preserve"> </w:t>
            </w:r>
            <w:r w:rsidRPr="001C4413">
              <w:rPr>
                <w:iCs/>
                <w:sz w:val="22"/>
                <w:szCs w:val="22"/>
                <w:lang w:bidi="lo-LA"/>
              </w:rPr>
              <w:t>„</w:t>
            </w:r>
            <w:r w:rsidRPr="0030412F">
              <w:rPr>
                <w:iCs/>
                <w:sz w:val="22"/>
                <w:szCs w:val="22"/>
                <w:lang w:bidi="lo-LA"/>
              </w:rPr>
              <w:t>V.</w:t>
            </w:r>
            <w:r>
              <w:rPr>
                <w:iCs/>
                <w:sz w:val="22"/>
                <w:szCs w:val="22"/>
                <w:lang w:bidi="lo-LA"/>
              </w:rPr>
              <w:t> </w:t>
            </w:r>
            <w:r w:rsidRPr="0030412F">
              <w:rPr>
                <w:iCs/>
                <w:sz w:val="22"/>
                <w:szCs w:val="22"/>
                <w:lang w:bidi="lo-LA"/>
              </w:rPr>
              <w:t>Projekta finansēšana”</w:t>
            </w:r>
            <w:r>
              <w:rPr>
                <w:iCs/>
                <w:sz w:val="22"/>
                <w:szCs w:val="22"/>
                <w:lang w:bidi="lo-LA"/>
              </w:rPr>
              <w:t xml:space="preserve"> tabula </w:t>
            </w:r>
            <w:r w:rsidRPr="001C4413">
              <w:rPr>
                <w:iCs/>
                <w:sz w:val="22"/>
                <w:szCs w:val="22"/>
                <w:lang w:bidi="lo-LA"/>
              </w:rPr>
              <w:t>„</w:t>
            </w:r>
            <w:r w:rsidRPr="001A7F84">
              <w:rPr>
                <w:iCs/>
                <w:sz w:val="22"/>
                <w:szCs w:val="22"/>
                <w:lang w:bidi="lo-LA"/>
              </w:rPr>
              <w:t>Projekta īstenošanai nepieciešamā finansējuma sadalījums pa gadiem</w:t>
            </w:r>
            <w:r>
              <w:rPr>
                <w:iCs/>
                <w:sz w:val="22"/>
                <w:szCs w:val="22"/>
                <w:lang w:bidi="lo-LA"/>
              </w:rPr>
              <w:t xml:space="preserve">” </w:t>
            </w:r>
            <w:r w:rsidR="0030412F" w:rsidRPr="0030412F">
              <w:rPr>
                <w:iCs/>
                <w:sz w:val="22"/>
                <w:szCs w:val="22"/>
                <w:lang w:bidi="lo-LA"/>
              </w:rPr>
              <w:t>ir p</w:t>
            </w:r>
            <w:r w:rsidR="00D55DD3" w:rsidRPr="0030412F">
              <w:rPr>
                <w:iCs/>
                <w:sz w:val="22"/>
                <w:szCs w:val="22"/>
                <w:lang w:bidi="lo-LA"/>
              </w:rPr>
              <w:t>recizēt</w:t>
            </w:r>
            <w:r>
              <w:rPr>
                <w:iCs/>
                <w:sz w:val="22"/>
                <w:szCs w:val="22"/>
                <w:lang w:bidi="lo-LA"/>
              </w:rPr>
              <w:t>a, norādot</w:t>
            </w:r>
            <w:r w:rsidR="00D55DD3" w:rsidRPr="0030412F">
              <w:rPr>
                <w:iCs/>
                <w:sz w:val="22"/>
                <w:szCs w:val="22"/>
                <w:lang w:bidi="lo-LA"/>
              </w:rPr>
              <w:t xml:space="preserve"> </w:t>
            </w:r>
            <w:r w:rsidR="0030412F" w:rsidRPr="0030412F">
              <w:rPr>
                <w:iCs/>
                <w:sz w:val="22"/>
                <w:szCs w:val="22"/>
                <w:lang w:bidi="lo-LA"/>
              </w:rPr>
              <w:t xml:space="preserve">projekta </w:t>
            </w:r>
            <w:r w:rsidR="00D55DD3" w:rsidRPr="0030412F">
              <w:rPr>
                <w:iCs/>
                <w:sz w:val="22"/>
                <w:szCs w:val="22"/>
                <w:lang w:bidi="lo-LA"/>
              </w:rPr>
              <w:t>plānot</w:t>
            </w:r>
            <w:r>
              <w:rPr>
                <w:iCs/>
                <w:sz w:val="22"/>
                <w:szCs w:val="22"/>
                <w:lang w:bidi="lo-LA"/>
              </w:rPr>
              <w:t>o</w:t>
            </w:r>
            <w:r w:rsidR="00D55DD3" w:rsidRPr="0030412F">
              <w:rPr>
                <w:iCs/>
                <w:sz w:val="22"/>
                <w:szCs w:val="22"/>
                <w:lang w:bidi="lo-LA"/>
              </w:rPr>
              <w:t xml:space="preserve"> </w:t>
            </w:r>
            <w:r w:rsidR="00D55DD3" w:rsidRPr="0030412F">
              <w:rPr>
                <w:bCs/>
                <w:sz w:val="22"/>
                <w:szCs w:val="22"/>
              </w:rPr>
              <w:t>finansējum</w:t>
            </w:r>
            <w:r>
              <w:rPr>
                <w:bCs/>
                <w:sz w:val="22"/>
                <w:szCs w:val="22"/>
              </w:rPr>
              <w:t>u</w:t>
            </w:r>
            <w:r w:rsidR="00D55DD3" w:rsidRPr="0030412F">
              <w:rPr>
                <w:bCs/>
                <w:sz w:val="22"/>
                <w:szCs w:val="22"/>
              </w:rPr>
              <w:t xml:space="preserve"> pilnos </w:t>
            </w:r>
            <w:r w:rsidR="00D55DD3" w:rsidRPr="00433285">
              <w:rPr>
                <w:bCs/>
                <w:i/>
                <w:iCs/>
                <w:sz w:val="22"/>
                <w:szCs w:val="22"/>
              </w:rPr>
              <w:t>euro</w:t>
            </w:r>
            <w:r w:rsidR="0030412F">
              <w:rPr>
                <w:bCs/>
                <w:sz w:val="22"/>
                <w:szCs w:val="22"/>
              </w:rPr>
              <w:t xml:space="preserve"> </w:t>
            </w:r>
            <w:r w:rsidR="0030412F">
              <w:rPr>
                <w:iCs/>
                <w:sz w:val="22"/>
                <w:szCs w:val="22"/>
                <w:lang w:bidi="lo-LA"/>
              </w:rPr>
              <w:t>(11.lp.).</w:t>
            </w:r>
          </w:p>
        </w:tc>
      </w:tr>
    </w:tbl>
    <w:p w14:paraId="04C39223" w14:textId="2075E75B" w:rsidR="006575B9" w:rsidRDefault="006575B9">
      <w:pPr>
        <w:rPr>
          <w:sz w:val="22"/>
          <w:szCs w:val="22"/>
        </w:rPr>
      </w:pPr>
    </w:p>
    <w:p w14:paraId="66393FCF" w14:textId="3D51D96B" w:rsidR="00012FF6" w:rsidRDefault="00012FF6">
      <w:pPr>
        <w:rPr>
          <w:sz w:val="22"/>
          <w:szCs w:val="22"/>
        </w:rPr>
      </w:pPr>
    </w:p>
    <w:p w14:paraId="080EA2F5" w14:textId="348E569D" w:rsidR="00012FF6" w:rsidRDefault="00012FF6">
      <w:pPr>
        <w:rPr>
          <w:sz w:val="22"/>
          <w:szCs w:val="22"/>
        </w:rPr>
      </w:pPr>
    </w:p>
    <w:p w14:paraId="55F97B12" w14:textId="5EF34B69" w:rsidR="00012FF6" w:rsidRDefault="00012FF6">
      <w:pPr>
        <w:rPr>
          <w:sz w:val="22"/>
          <w:szCs w:val="22"/>
        </w:rPr>
      </w:pPr>
      <w:bookmarkStart w:id="0" w:name="_GoBack"/>
      <w:bookmarkEnd w:id="0"/>
    </w:p>
    <w:p w14:paraId="36A0EE3C" w14:textId="77777777" w:rsidR="00012FF6" w:rsidRPr="008D5C37" w:rsidRDefault="00012FF6">
      <w:pPr>
        <w:rPr>
          <w:sz w:val="22"/>
          <w:szCs w:val="22"/>
        </w:rPr>
      </w:pPr>
    </w:p>
    <w:p w14:paraId="5DCA057B" w14:textId="77777777" w:rsidR="006D3E17" w:rsidRPr="008D5C37" w:rsidRDefault="006D3E17">
      <w:pPr>
        <w:rPr>
          <w:sz w:val="22"/>
          <w:szCs w:val="22"/>
        </w:rPr>
      </w:pPr>
    </w:p>
    <w:p w14:paraId="2A412570" w14:textId="77777777" w:rsidR="00993229" w:rsidRPr="008D5C37" w:rsidRDefault="00537BBC" w:rsidP="00993229">
      <w:pPr>
        <w:pStyle w:val="naisf"/>
        <w:spacing w:before="0" w:after="0"/>
        <w:ind w:firstLine="0"/>
        <w:rPr>
          <w:sz w:val="20"/>
          <w:szCs w:val="20"/>
        </w:rPr>
      </w:pPr>
      <w:r w:rsidRPr="008D5C37">
        <w:rPr>
          <w:sz w:val="20"/>
          <w:szCs w:val="20"/>
        </w:rPr>
        <w:t>Deniss Kretalovs</w:t>
      </w:r>
    </w:p>
    <w:p w14:paraId="204606CA" w14:textId="77777777" w:rsidR="006D3E17" w:rsidRPr="008D5C37" w:rsidRDefault="00993229" w:rsidP="00993229">
      <w:pPr>
        <w:shd w:val="clear" w:color="auto" w:fill="FFFFFF"/>
        <w:rPr>
          <w:color w:val="000000"/>
          <w:sz w:val="20"/>
          <w:szCs w:val="20"/>
        </w:rPr>
      </w:pPr>
      <w:r w:rsidRPr="008D5C37">
        <w:rPr>
          <w:color w:val="000000"/>
          <w:sz w:val="20"/>
          <w:szCs w:val="20"/>
        </w:rPr>
        <w:t xml:space="preserve">Kultūras ministrijas </w:t>
      </w:r>
    </w:p>
    <w:p w14:paraId="397F49B3" w14:textId="77777777" w:rsidR="00537BBC" w:rsidRPr="008D5C37" w:rsidRDefault="00537BBC" w:rsidP="00993229">
      <w:pPr>
        <w:shd w:val="clear" w:color="auto" w:fill="FFFFFF"/>
        <w:rPr>
          <w:color w:val="000000"/>
          <w:sz w:val="20"/>
          <w:szCs w:val="20"/>
        </w:rPr>
      </w:pPr>
      <w:r w:rsidRPr="008D5C37">
        <w:rPr>
          <w:color w:val="000000"/>
          <w:sz w:val="20"/>
          <w:szCs w:val="20"/>
        </w:rPr>
        <w:t xml:space="preserve">Sabiedrības integrācijas departamenta </w:t>
      </w:r>
    </w:p>
    <w:p w14:paraId="633B3B75" w14:textId="77777777" w:rsidR="00B76F07" w:rsidRDefault="00537BBC" w:rsidP="00993229">
      <w:pPr>
        <w:shd w:val="clear" w:color="auto" w:fill="FFFFFF"/>
        <w:rPr>
          <w:color w:val="000000"/>
          <w:sz w:val="20"/>
          <w:szCs w:val="20"/>
        </w:rPr>
      </w:pPr>
      <w:r w:rsidRPr="008D5C37">
        <w:rPr>
          <w:color w:val="000000"/>
          <w:sz w:val="20"/>
          <w:szCs w:val="20"/>
        </w:rPr>
        <w:t xml:space="preserve">Sabiedrības integrācijas un pilsoniskās sabiedrības </w:t>
      </w:r>
    </w:p>
    <w:p w14:paraId="7264D2C4" w14:textId="77777777" w:rsidR="00993229" w:rsidRPr="008D5C37" w:rsidRDefault="00537BBC" w:rsidP="00993229">
      <w:pPr>
        <w:shd w:val="clear" w:color="auto" w:fill="FFFFFF"/>
        <w:rPr>
          <w:color w:val="000000"/>
          <w:sz w:val="20"/>
          <w:szCs w:val="20"/>
        </w:rPr>
      </w:pPr>
      <w:r w:rsidRPr="008D5C37">
        <w:rPr>
          <w:color w:val="000000"/>
          <w:sz w:val="20"/>
          <w:szCs w:val="20"/>
        </w:rPr>
        <w:t>attīstības nodaļas vecākais referents</w:t>
      </w:r>
    </w:p>
    <w:p w14:paraId="20F68C30" w14:textId="77777777" w:rsidR="00993229" w:rsidRPr="008D5C37" w:rsidRDefault="00993229" w:rsidP="004C42D0">
      <w:pPr>
        <w:pStyle w:val="Galvene"/>
        <w:rPr>
          <w:sz w:val="20"/>
          <w:szCs w:val="20"/>
        </w:rPr>
      </w:pPr>
      <w:r w:rsidRPr="008D5C37">
        <w:rPr>
          <w:sz w:val="20"/>
          <w:szCs w:val="20"/>
        </w:rPr>
        <w:t>Tālr.</w:t>
      </w:r>
      <w:fldSimple w:instr=" COMMENTS   \* MERGEFORMAT ">
        <w:r w:rsidRPr="008D5C37">
          <w:rPr>
            <w:sz w:val="20"/>
            <w:szCs w:val="20"/>
          </w:rPr>
          <w:t xml:space="preserve"> </w:t>
        </w:r>
        <w:r w:rsidR="00537BBC" w:rsidRPr="008D5C37">
          <w:rPr>
            <w:color w:val="000000"/>
            <w:sz w:val="20"/>
            <w:szCs w:val="20"/>
          </w:rPr>
          <w:t>67330312</w:t>
        </w:r>
        <w:r w:rsidRPr="008D5C37">
          <w:rPr>
            <w:sz w:val="20"/>
            <w:szCs w:val="20"/>
          </w:rPr>
          <w:t xml:space="preserve">; </w:t>
        </w:r>
      </w:fldSimple>
      <w:hyperlink r:id="rId8" w:history="1">
        <w:r w:rsidR="00537BBC" w:rsidRPr="008D5C37">
          <w:rPr>
            <w:rStyle w:val="Hipersaite"/>
            <w:sz w:val="20"/>
            <w:szCs w:val="20"/>
          </w:rPr>
          <w:t>Deniss.Kretalovs@km.gov.lv</w:t>
        </w:r>
      </w:hyperlink>
    </w:p>
    <w:sectPr w:rsidR="00993229" w:rsidRPr="008D5C37" w:rsidSect="006D3E17">
      <w:headerReference w:type="default" r:id="rId9"/>
      <w:footerReference w:type="default" r:id="rId10"/>
      <w:footerReference w:type="first" r:id="rId11"/>
      <w:pgSz w:w="16838" w:h="11906" w:orient="landscape"/>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BE93" w14:textId="77777777" w:rsidR="00310176" w:rsidRDefault="00310176" w:rsidP="009F35AE">
      <w:r>
        <w:separator/>
      </w:r>
    </w:p>
  </w:endnote>
  <w:endnote w:type="continuationSeparator" w:id="0">
    <w:p w14:paraId="285F9A73" w14:textId="77777777" w:rsidR="00310176" w:rsidRDefault="00310176" w:rsidP="009F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5C13" w14:textId="6B9D593F" w:rsidR="00012FF6" w:rsidRPr="008D5C37" w:rsidRDefault="00012FF6" w:rsidP="008D5C37">
    <w:pPr>
      <w:pStyle w:val="Kjene"/>
    </w:pPr>
    <w:r w:rsidRPr="008D5C37">
      <w:rPr>
        <w:sz w:val="20"/>
        <w:szCs w:val="20"/>
      </w:rPr>
      <w:t>KMIzz_0</w:t>
    </w:r>
    <w:r w:rsidR="00EF1094">
      <w:rPr>
        <w:sz w:val="20"/>
        <w:szCs w:val="20"/>
      </w:rPr>
      <w:t>8</w:t>
    </w:r>
    <w:r>
      <w:rPr>
        <w:sz w:val="20"/>
        <w:szCs w:val="20"/>
      </w:rPr>
      <w:t>12</w:t>
    </w:r>
    <w:r w:rsidRPr="008D5C37">
      <w:rPr>
        <w:sz w:val="20"/>
        <w:szCs w:val="20"/>
      </w:rPr>
      <w:t>20_NRP</w:t>
    </w:r>
    <w:r>
      <w:rPr>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30A5" w14:textId="13BB91DC" w:rsidR="00012FF6" w:rsidRPr="008D5C37" w:rsidRDefault="00012FF6" w:rsidP="008D5C37">
    <w:pPr>
      <w:pStyle w:val="Kjene"/>
      <w:rPr>
        <w:szCs w:val="20"/>
      </w:rPr>
    </w:pPr>
    <w:r w:rsidRPr="008D5C37">
      <w:rPr>
        <w:sz w:val="20"/>
        <w:szCs w:val="20"/>
      </w:rPr>
      <w:t>KMIzz_0</w:t>
    </w:r>
    <w:r w:rsidR="00EF1094">
      <w:rPr>
        <w:sz w:val="20"/>
        <w:szCs w:val="20"/>
      </w:rPr>
      <w:t>8</w:t>
    </w:r>
    <w:r>
      <w:rPr>
        <w:sz w:val="20"/>
        <w:szCs w:val="20"/>
      </w:rPr>
      <w:t>12</w:t>
    </w:r>
    <w:r w:rsidRPr="008D5C37">
      <w:rPr>
        <w:sz w:val="20"/>
        <w:szCs w:val="20"/>
      </w:rPr>
      <w:t>20_NRP</w:t>
    </w:r>
    <w:r>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D3BC1" w14:textId="77777777" w:rsidR="00310176" w:rsidRDefault="00310176" w:rsidP="009F35AE">
      <w:r>
        <w:separator/>
      </w:r>
    </w:p>
  </w:footnote>
  <w:footnote w:type="continuationSeparator" w:id="0">
    <w:p w14:paraId="2B105A00" w14:textId="77777777" w:rsidR="00310176" w:rsidRDefault="00310176" w:rsidP="009F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0075"/>
      <w:docPartObj>
        <w:docPartGallery w:val="Page Numbers (Top of Page)"/>
        <w:docPartUnique/>
      </w:docPartObj>
    </w:sdtPr>
    <w:sdtEndPr/>
    <w:sdtContent>
      <w:p w14:paraId="302310B7" w14:textId="77777777" w:rsidR="00012FF6" w:rsidRDefault="00012FF6">
        <w:pPr>
          <w:pStyle w:val="Galvene"/>
          <w:jc w:val="center"/>
        </w:pPr>
        <w:r w:rsidRPr="00012FF6">
          <w:rPr>
            <w:sz w:val="22"/>
            <w:szCs w:val="22"/>
          </w:rPr>
          <w:fldChar w:fldCharType="begin"/>
        </w:r>
        <w:r w:rsidRPr="00012FF6">
          <w:rPr>
            <w:sz w:val="22"/>
            <w:szCs w:val="22"/>
          </w:rPr>
          <w:instrText xml:space="preserve"> PAGE   \* MERGEFORMAT </w:instrText>
        </w:r>
        <w:r w:rsidRPr="00012FF6">
          <w:rPr>
            <w:sz w:val="22"/>
            <w:szCs w:val="22"/>
          </w:rPr>
          <w:fldChar w:fldCharType="separate"/>
        </w:r>
        <w:r w:rsidRPr="00012FF6">
          <w:rPr>
            <w:noProof/>
            <w:sz w:val="22"/>
            <w:szCs w:val="22"/>
          </w:rPr>
          <w:t>3</w:t>
        </w:r>
        <w:r w:rsidRPr="00012FF6">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572F"/>
    <w:multiLevelType w:val="hybridMultilevel"/>
    <w:tmpl w:val="B4686A2A"/>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52A5A63"/>
    <w:multiLevelType w:val="hybridMultilevel"/>
    <w:tmpl w:val="B22E0A50"/>
    <w:lvl w:ilvl="0" w:tplc="C6CADA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5AE"/>
    <w:rsid w:val="00000A7C"/>
    <w:rsid w:val="00012FF6"/>
    <w:rsid w:val="00050B2F"/>
    <w:rsid w:val="00080746"/>
    <w:rsid w:val="000A01DC"/>
    <w:rsid w:val="0010182F"/>
    <w:rsid w:val="00122863"/>
    <w:rsid w:val="0012496B"/>
    <w:rsid w:val="00152C65"/>
    <w:rsid w:val="00164D13"/>
    <w:rsid w:val="00175EFF"/>
    <w:rsid w:val="001A1A19"/>
    <w:rsid w:val="001A7F84"/>
    <w:rsid w:val="001B1ED2"/>
    <w:rsid w:val="001B412D"/>
    <w:rsid w:val="001C2537"/>
    <w:rsid w:val="002100E6"/>
    <w:rsid w:val="002107D9"/>
    <w:rsid w:val="00224452"/>
    <w:rsid w:val="00230A5B"/>
    <w:rsid w:val="00233FF5"/>
    <w:rsid w:val="00265566"/>
    <w:rsid w:val="002A1835"/>
    <w:rsid w:val="002B3481"/>
    <w:rsid w:val="002C6B40"/>
    <w:rsid w:val="002D7528"/>
    <w:rsid w:val="002E091C"/>
    <w:rsid w:val="002E66B7"/>
    <w:rsid w:val="002E7F1A"/>
    <w:rsid w:val="00303018"/>
    <w:rsid w:val="0030412F"/>
    <w:rsid w:val="00310176"/>
    <w:rsid w:val="00310CC8"/>
    <w:rsid w:val="00325E93"/>
    <w:rsid w:val="00327EEF"/>
    <w:rsid w:val="00330E2D"/>
    <w:rsid w:val="00332436"/>
    <w:rsid w:val="003751DB"/>
    <w:rsid w:val="00376850"/>
    <w:rsid w:val="003C1F2E"/>
    <w:rsid w:val="003C2A83"/>
    <w:rsid w:val="003E7309"/>
    <w:rsid w:val="0040448D"/>
    <w:rsid w:val="00414F6B"/>
    <w:rsid w:val="004252FD"/>
    <w:rsid w:val="00433285"/>
    <w:rsid w:val="00442929"/>
    <w:rsid w:val="00450687"/>
    <w:rsid w:val="0048658F"/>
    <w:rsid w:val="004A6BD5"/>
    <w:rsid w:val="004C42D0"/>
    <w:rsid w:val="004D2826"/>
    <w:rsid w:val="004F3276"/>
    <w:rsid w:val="005034E9"/>
    <w:rsid w:val="00524282"/>
    <w:rsid w:val="00537BBC"/>
    <w:rsid w:val="00543484"/>
    <w:rsid w:val="00570214"/>
    <w:rsid w:val="005A3AE0"/>
    <w:rsid w:val="005A78C1"/>
    <w:rsid w:val="005B447B"/>
    <w:rsid w:val="005C347E"/>
    <w:rsid w:val="005E0BFF"/>
    <w:rsid w:val="005E43CA"/>
    <w:rsid w:val="006575B9"/>
    <w:rsid w:val="00662DA6"/>
    <w:rsid w:val="00685A7C"/>
    <w:rsid w:val="00685FBB"/>
    <w:rsid w:val="0068775F"/>
    <w:rsid w:val="00693101"/>
    <w:rsid w:val="006A11ED"/>
    <w:rsid w:val="006D3E17"/>
    <w:rsid w:val="006D46C1"/>
    <w:rsid w:val="006E380D"/>
    <w:rsid w:val="0071171D"/>
    <w:rsid w:val="007168F6"/>
    <w:rsid w:val="007362C4"/>
    <w:rsid w:val="0077608C"/>
    <w:rsid w:val="00791523"/>
    <w:rsid w:val="007A0D84"/>
    <w:rsid w:val="007A5465"/>
    <w:rsid w:val="007B3152"/>
    <w:rsid w:val="007E090C"/>
    <w:rsid w:val="007E2EF8"/>
    <w:rsid w:val="008054D1"/>
    <w:rsid w:val="0080663A"/>
    <w:rsid w:val="008B56D4"/>
    <w:rsid w:val="008C3012"/>
    <w:rsid w:val="008D5C37"/>
    <w:rsid w:val="008F2E36"/>
    <w:rsid w:val="00907220"/>
    <w:rsid w:val="00986A20"/>
    <w:rsid w:val="00986D09"/>
    <w:rsid w:val="00993229"/>
    <w:rsid w:val="00993247"/>
    <w:rsid w:val="009A206A"/>
    <w:rsid w:val="009D2CB6"/>
    <w:rsid w:val="009F04AD"/>
    <w:rsid w:val="009F35AE"/>
    <w:rsid w:val="009F38E0"/>
    <w:rsid w:val="00A15118"/>
    <w:rsid w:val="00A156A3"/>
    <w:rsid w:val="00A24579"/>
    <w:rsid w:val="00A318F7"/>
    <w:rsid w:val="00A4086B"/>
    <w:rsid w:val="00A623A7"/>
    <w:rsid w:val="00A857DC"/>
    <w:rsid w:val="00A9504E"/>
    <w:rsid w:val="00A967C4"/>
    <w:rsid w:val="00AC4F8F"/>
    <w:rsid w:val="00AE2314"/>
    <w:rsid w:val="00AF60B9"/>
    <w:rsid w:val="00B15983"/>
    <w:rsid w:val="00B16715"/>
    <w:rsid w:val="00B52791"/>
    <w:rsid w:val="00B6631B"/>
    <w:rsid w:val="00B76F07"/>
    <w:rsid w:val="00B84752"/>
    <w:rsid w:val="00B91FFF"/>
    <w:rsid w:val="00BA17EB"/>
    <w:rsid w:val="00BD3483"/>
    <w:rsid w:val="00BF0FC7"/>
    <w:rsid w:val="00BF29EC"/>
    <w:rsid w:val="00BF70D3"/>
    <w:rsid w:val="00BF774C"/>
    <w:rsid w:val="00C15ED8"/>
    <w:rsid w:val="00C238D5"/>
    <w:rsid w:val="00C3620D"/>
    <w:rsid w:val="00C51827"/>
    <w:rsid w:val="00C85486"/>
    <w:rsid w:val="00CC25FD"/>
    <w:rsid w:val="00CD2E73"/>
    <w:rsid w:val="00D10AAD"/>
    <w:rsid w:val="00D221A0"/>
    <w:rsid w:val="00D22AEB"/>
    <w:rsid w:val="00D31072"/>
    <w:rsid w:val="00D55DD3"/>
    <w:rsid w:val="00D6400A"/>
    <w:rsid w:val="00D66AAF"/>
    <w:rsid w:val="00D90346"/>
    <w:rsid w:val="00DB47BF"/>
    <w:rsid w:val="00DB60B2"/>
    <w:rsid w:val="00DD5324"/>
    <w:rsid w:val="00E00F51"/>
    <w:rsid w:val="00E2198F"/>
    <w:rsid w:val="00E2730E"/>
    <w:rsid w:val="00E45E84"/>
    <w:rsid w:val="00E611B0"/>
    <w:rsid w:val="00E66B7A"/>
    <w:rsid w:val="00E942E6"/>
    <w:rsid w:val="00EB1F90"/>
    <w:rsid w:val="00ED7E34"/>
    <w:rsid w:val="00EE28B8"/>
    <w:rsid w:val="00EF1094"/>
    <w:rsid w:val="00F0196C"/>
    <w:rsid w:val="00F02358"/>
    <w:rsid w:val="00F1044B"/>
    <w:rsid w:val="00F30FCF"/>
    <w:rsid w:val="00F43D33"/>
    <w:rsid w:val="00F87165"/>
    <w:rsid w:val="00F97F49"/>
    <w:rsid w:val="00FA3761"/>
    <w:rsid w:val="00FA64AC"/>
    <w:rsid w:val="00FE20D0"/>
    <w:rsid w:val="00FE57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DF0F7"/>
  <w15:docId w15:val="{82E26AF9-AD23-4F34-A2CB-9ADDE597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35A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uiPriority w:val="99"/>
    <w:rsid w:val="009F35AE"/>
    <w:pPr>
      <w:spacing w:before="75" w:after="75"/>
      <w:ind w:firstLine="375"/>
      <w:jc w:val="both"/>
    </w:pPr>
  </w:style>
  <w:style w:type="paragraph" w:customStyle="1" w:styleId="naislab">
    <w:name w:val="naislab"/>
    <w:basedOn w:val="Parasts"/>
    <w:uiPriority w:val="99"/>
    <w:rsid w:val="009F35AE"/>
    <w:pPr>
      <w:spacing w:before="75" w:after="75"/>
      <w:jc w:val="right"/>
    </w:pPr>
  </w:style>
  <w:style w:type="paragraph" w:customStyle="1" w:styleId="naisc">
    <w:name w:val="naisc"/>
    <w:basedOn w:val="Parasts"/>
    <w:rsid w:val="009F35AE"/>
    <w:pPr>
      <w:spacing w:before="75" w:after="75"/>
      <w:jc w:val="center"/>
    </w:pPr>
  </w:style>
  <w:style w:type="paragraph" w:styleId="Sarakstarindkopa">
    <w:name w:val="List Paragraph"/>
    <w:basedOn w:val="Parasts"/>
    <w:uiPriority w:val="34"/>
    <w:qFormat/>
    <w:rsid w:val="009F35AE"/>
    <w:pPr>
      <w:ind w:left="720"/>
      <w:contextualSpacing/>
    </w:pPr>
    <w:rPr>
      <w:sz w:val="20"/>
      <w:szCs w:val="20"/>
      <w:lang w:eastAsia="en-US"/>
    </w:rPr>
  </w:style>
  <w:style w:type="character" w:customStyle="1" w:styleId="hps">
    <w:name w:val="hps"/>
    <w:rsid w:val="009F35AE"/>
    <w:rPr>
      <w:rFonts w:cs="Times New Roman"/>
    </w:rPr>
  </w:style>
  <w:style w:type="paragraph" w:styleId="Galvene">
    <w:name w:val="header"/>
    <w:basedOn w:val="Parasts"/>
    <w:link w:val="GalveneRakstz"/>
    <w:uiPriority w:val="99"/>
    <w:unhideWhenUsed/>
    <w:rsid w:val="009F35AE"/>
    <w:pPr>
      <w:tabs>
        <w:tab w:val="center" w:pos="4153"/>
        <w:tab w:val="right" w:pos="8306"/>
      </w:tabs>
    </w:pPr>
  </w:style>
  <w:style w:type="character" w:customStyle="1" w:styleId="GalveneRakstz">
    <w:name w:val="Galvene Rakstz."/>
    <w:basedOn w:val="Noklusjumarindkopasfonts"/>
    <w:link w:val="Galvene"/>
    <w:uiPriority w:val="99"/>
    <w:rsid w:val="009F35A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F35AE"/>
    <w:pPr>
      <w:tabs>
        <w:tab w:val="center" w:pos="4153"/>
        <w:tab w:val="right" w:pos="8306"/>
      </w:tabs>
    </w:pPr>
  </w:style>
  <w:style w:type="character" w:customStyle="1" w:styleId="KjeneRakstz">
    <w:name w:val="Kājene Rakstz."/>
    <w:basedOn w:val="Noklusjumarindkopasfonts"/>
    <w:link w:val="Kjene"/>
    <w:uiPriority w:val="99"/>
    <w:rsid w:val="009F35AE"/>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F35AE"/>
    <w:rPr>
      <w:b/>
      <w:bCs/>
    </w:rPr>
  </w:style>
  <w:style w:type="character" w:styleId="Hipersaite">
    <w:name w:val="Hyperlink"/>
    <w:basedOn w:val="Noklusjumarindkopasfonts"/>
    <w:uiPriority w:val="99"/>
    <w:unhideWhenUsed/>
    <w:rsid w:val="009F35AE"/>
    <w:rPr>
      <w:color w:val="0000FF" w:themeColor="hyperlink"/>
      <w:u w:val="single"/>
    </w:rPr>
  </w:style>
  <w:style w:type="paragraph" w:styleId="Pamattekstsaratkpi">
    <w:name w:val="Body Text Indent"/>
    <w:basedOn w:val="Parasts"/>
    <w:link w:val="PamattekstsaratkpiRakstz"/>
    <w:unhideWhenUsed/>
    <w:rsid w:val="00993229"/>
    <w:pPr>
      <w:spacing w:after="120"/>
      <w:ind w:left="283"/>
    </w:pPr>
  </w:style>
  <w:style w:type="character" w:customStyle="1" w:styleId="PamattekstsaratkpiRakstz">
    <w:name w:val="Pamatteksts ar atkāpi Rakstz."/>
    <w:basedOn w:val="Noklusjumarindkopasfonts"/>
    <w:link w:val="Pamattekstsaratkpi"/>
    <w:rsid w:val="00993229"/>
    <w:rPr>
      <w:rFonts w:ascii="Times New Roman" w:eastAsia="Times New Roman" w:hAnsi="Times New Roman" w:cs="Times New Roman"/>
      <w:sz w:val="24"/>
      <w:szCs w:val="24"/>
      <w:lang w:eastAsia="lv-LV"/>
    </w:rPr>
  </w:style>
  <w:style w:type="paragraph" w:styleId="Paraststmeklis">
    <w:name w:val="Normal (Web)"/>
    <w:basedOn w:val="Parasts"/>
    <w:uiPriority w:val="99"/>
    <w:rsid w:val="006575B9"/>
    <w:pPr>
      <w:spacing w:before="100" w:beforeAutospacing="1" w:after="100" w:afterAutospacing="1"/>
    </w:pPr>
  </w:style>
  <w:style w:type="paragraph" w:customStyle="1" w:styleId="naiskr">
    <w:name w:val="naiskr"/>
    <w:basedOn w:val="Parasts"/>
    <w:uiPriority w:val="99"/>
    <w:rsid w:val="006575B9"/>
    <w:pPr>
      <w:spacing w:before="75" w:after="75"/>
    </w:pPr>
  </w:style>
  <w:style w:type="character" w:styleId="Lappusesnumurs">
    <w:name w:val="page number"/>
    <w:rsid w:val="001C2537"/>
    <w:rPr>
      <w:rFonts w:ascii="Times New Roman" w:hAnsi="Times New Roman"/>
    </w:rPr>
  </w:style>
  <w:style w:type="character" w:customStyle="1" w:styleId="st">
    <w:name w:val="st"/>
    <w:basedOn w:val="Noklusjumarindkopasfonts"/>
    <w:rsid w:val="009F04AD"/>
  </w:style>
  <w:style w:type="character" w:styleId="Izclums">
    <w:name w:val="Emphasis"/>
    <w:basedOn w:val="Noklusjumarindkopasfonts"/>
    <w:uiPriority w:val="20"/>
    <w:qFormat/>
    <w:rsid w:val="00BF29EC"/>
    <w:rPr>
      <w:b/>
      <w:bCs/>
      <w:i w:val="0"/>
      <w:iCs w:val="0"/>
    </w:rPr>
  </w:style>
  <w:style w:type="character" w:customStyle="1" w:styleId="st1">
    <w:name w:val="st1"/>
    <w:basedOn w:val="Noklusjumarindkopasfonts"/>
    <w:rsid w:val="00BF29EC"/>
  </w:style>
  <w:style w:type="character" w:customStyle="1" w:styleId="Apakvirsraksts1">
    <w:name w:val="Apakšvirsraksts1"/>
    <w:basedOn w:val="Noklusjumarindkopasfonts"/>
    <w:rsid w:val="00B6631B"/>
  </w:style>
  <w:style w:type="paragraph" w:customStyle="1" w:styleId="naisnod">
    <w:name w:val="naisnod"/>
    <w:basedOn w:val="Parasts"/>
    <w:uiPriority w:val="99"/>
    <w:rsid w:val="002B3481"/>
    <w:pPr>
      <w:spacing w:before="150" w:after="150"/>
      <w:jc w:val="center"/>
    </w:pPr>
    <w:rPr>
      <w:b/>
      <w:bCs/>
    </w:rPr>
  </w:style>
  <w:style w:type="paragraph" w:styleId="Balonteksts">
    <w:name w:val="Balloon Text"/>
    <w:basedOn w:val="Parasts"/>
    <w:link w:val="BalontekstsRakstz"/>
    <w:uiPriority w:val="99"/>
    <w:semiHidden/>
    <w:unhideWhenUsed/>
    <w:rsid w:val="00F8716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716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s.Kretalov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572D3-F07F-459D-A9F2-30D06A3E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Pages>
  <Words>5180</Words>
  <Characters>2954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Izziņa par atzinumos sniegtajiem iebildumiem par Ministru kabineta sēdes protokollēmuma projektu un informatīvo ziņojumu „Par projekta „Latvijas romu platforma I: dialogs, sadarbība un iesaistīšana” īstenošanu Eiropas Savienības programmas „Tiesības, vien</vt:lpstr>
    </vt:vector>
  </TitlesOfParts>
  <Company>LR Kultūras Ministrija</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sēdes protokollēmuma projektu un informatīvo ziņojumu „Par projekta „Latvijas romu platforma I: dialogs, sadarbība un iesaistīšana” īstenošanu Eiropas Savienības programmas „Tiesības, vienlīdzība un pilsonība 2014 – 2020” sadaļas „Dotācijas nacionālo romu platformu izveides atbalstam” ietvaros”</dc:title>
  <dc:subject>Izziņa par atzinumos sniegtajiem iebildumiem par Ministru kabineta sēdes protokollēmuma projektu un informatīvo ziņojumu „Par projekta „Latvijas romu platforma I: dialogs, sadarbība un iesaistīšana” īstenošanu Eiropas Savienības programmas „Tiesības, vienlīdzība un pilsonība 2014 – 2020” sadaļas „Dotācijas nacionālo romu platformu izveides atbalstam” ietvaros”</dc:subject>
  <dc:creator>Deniss Kretalovs</dc:creator>
  <cp:keywords>Latvijas romu platforma </cp:keywords>
  <dc:description>Deniss.Kretalovs@km.gov.lv
67330312</dc:description>
  <cp:lastModifiedBy>Inese Duļķe</cp:lastModifiedBy>
  <cp:revision>104</cp:revision>
  <dcterms:created xsi:type="dcterms:W3CDTF">2014-08-05T11:14:00Z</dcterms:created>
  <dcterms:modified xsi:type="dcterms:W3CDTF">2020-12-08T13:43:00Z</dcterms:modified>
</cp:coreProperties>
</file>