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EEF0E" w14:textId="56903016" w:rsidR="00894C55" w:rsidRPr="00F363B6" w:rsidRDefault="00EC6E12" w:rsidP="00EC6E12">
      <w:pPr>
        <w:pStyle w:val="NoSpacing"/>
        <w:jc w:val="center"/>
        <w:rPr>
          <w:rFonts w:ascii="Times New Roman" w:hAnsi="Times New Roman" w:cs="Times New Roman"/>
          <w:b/>
          <w:sz w:val="28"/>
          <w:szCs w:val="24"/>
          <w:lang w:eastAsia="lv-LV"/>
        </w:rPr>
      </w:pPr>
      <w:r w:rsidRPr="00F363B6">
        <w:rPr>
          <w:rFonts w:ascii="Times New Roman" w:hAnsi="Times New Roman" w:cs="Times New Roman"/>
          <w:b/>
          <w:sz w:val="28"/>
          <w:szCs w:val="24"/>
          <w:lang w:eastAsia="lv-LV"/>
        </w:rPr>
        <w:t>Ministru kabineta rīkojuma projekt</w:t>
      </w:r>
      <w:r w:rsidR="00502E46" w:rsidRPr="00F363B6">
        <w:rPr>
          <w:rFonts w:ascii="Times New Roman" w:hAnsi="Times New Roman" w:cs="Times New Roman"/>
          <w:b/>
          <w:sz w:val="28"/>
          <w:szCs w:val="24"/>
          <w:lang w:eastAsia="lv-LV"/>
        </w:rPr>
        <w:t>a</w:t>
      </w:r>
      <w:r w:rsidRPr="00F363B6">
        <w:rPr>
          <w:rFonts w:ascii="Times New Roman" w:hAnsi="Times New Roman" w:cs="Times New Roman"/>
          <w:b/>
          <w:sz w:val="28"/>
          <w:szCs w:val="24"/>
          <w:lang w:eastAsia="lv-LV"/>
        </w:rPr>
        <w:t xml:space="preserve"> “</w:t>
      </w:r>
      <w:r w:rsidR="00502E46" w:rsidRPr="00F363B6">
        <w:rPr>
          <w:rFonts w:ascii="Times New Roman" w:hAnsi="Times New Roman" w:cs="Times New Roman"/>
          <w:b/>
          <w:bCs/>
          <w:sz w:val="28"/>
          <w:szCs w:val="28"/>
        </w:rPr>
        <w:t>Grozījums Ministru kabineta 2021.gada 11.janvāra rīkojumā Nr.11 “</w:t>
      </w:r>
      <w:r w:rsidR="00502E46" w:rsidRPr="00F363B6">
        <w:rPr>
          <w:rFonts w:ascii="Times New Roman" w:hAnsi="Times New Roman" w:cs="Times New Roman"/>
          <w:b/>
          <w:color w:val="414142"/>
          <w:sz w:val="28"/>
          <w:szCs w:val="28"/>
        </w:rPr>
        <w:t>Par finanšu līdzekļu piešķiršanu no valsts budžeta programmas “Līdzekļi neparedzētiem gadījumiem”</w:t>
      </w:r>
      <w:r w:rsidR="00502E46" w:rsidRPr="00F363B6">
        <w:rPr>
          <w:rFonts w:ascii="Times New Roman" w:hAnsi="Times New Roman" w:cs="Times New Roman"/>
          <w:b/>
          <w:bCs/>
          <w:sz w:val="28"/>
          <w:szCs w:val="28"/>
        </w:rPr>
        <w:t>”</w:t>
      </w:r>
      <w:r w:rsidRPr="00F363B6">
        <w:rPr>
          <w:rFonts w:ascii="Times New Roman" w:hAnsi="Times New Roman" w:cs="Times New Roman"/>
          <w:b/>
          <w:sz w:val="28"/>
          <w:szCs w:val="24"/>
          <w:lang w:eastAsia="lv-LV"/>
        </w:rPr>
        <w:t xml:space="preserve"> </w:t>
      </w:r>
      <w:r w:rsidR="00894C55" w:rsidRPr="00F363B6">
        <w:rPr>
          <w:rFonts w:ascii="Times New Roman" w:hAnsi="Times New Roman" w:cs="Times New Roman"/>
          <w:b/>
          <w:sz w:val="28"/>
          <w:szCs w:val="24"/>
          <w:lang w:eastAsia="lv-LV"/>
        </w:rPr>
        <w:t>sākotnējās ietekmes novērtējuma ziņojums (anotācija)</w:t>
      </w:r>
    </w:p>
    <w:p w14:paraId="5D559B11"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128"/>
        <w:gridCol w:w="7228"/>
      </w:tblGrid>
      <w:tr w:rsidR="006F193F" w:rsidRPr="006F193F" w14:paraId="58CB537F"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82AB0BF"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32B6BEEF" w14:textId="77777777" w:rsidTr="001B6740">
        <w:trPr>
          <w:trHeight w:val="324"/>
        </w:trPr>
        <w:tc>
          <w:tcPr>
            <w:tcW w:w="1137" w:type="pct"/>
            <w:tcBorders>
              <w:top w:val="outset" w:sz="6" w:space="0" w:color="414142"/>
              <w:left w:val="outset" w:sz="6" w:space="0" w:color="414142"/>
              <w:bottom w:val="outset" w:sz="6" w:space="0" w:color="414142"/>
              <w:right w:val="outset" w:sz="6" w:space="0" w:color="414142"/>
            </w:tcBorders>
            <w:hideMark/>
          </w:tcPr>
          <w:p w14:paraId="0B4F0D40" w14:textId="77777777" w:rsidR="006F193F" w:rsidRPr="003905A5" w:rsidRDefault="006F193F" w:rsidP="006F193F">
            <w:pPr>
              <w:spacing w:before="100" w:beforeAutospacing="1" w:after="100" w:afterAutospacing="1" w:line="293" w:lineRule="atLeast"/>
              <w:rPr>
                <w:iCs/>
              </w:rPr>
            </w:pPr>
            <w:r w:rsidRPr="006F193F">
              <w:rPr>
                <w:iCs/>
              </w:rPr>
              <w:t>Mērķis, risinājums un projekta spēkā stāšanās laiks (500 zīmes bez atstarpēm)</w:t>
            </w:r>
          </w:p>
        </w:tc>
        <w:tc>
          <w:tcPr>
            <w:tcW w:w="3863" w:type="pct"/>
            <w:tcBorders>
              <w:top w:val="outset" w:sz="6" w:space="0" w:color="414142"/>
              <w:left w:val="outset" w:sz="6" w:space="0" w:color="414142"/>
              <w:bottom w:val="outset" w:sz="6" w:space="0" w:color="414142"/>
              <w:right w:val="outset" w:sz="6" w:space="0" w:color="414142"/>
            </w:tcBorders>
          </w:tcPr>
          <w:p w14:paraId="72BC091E" w14:textId="1D4C8095" w:rsidR="006F193F" w:rsidRPr="003905A5" w:rsidRDefault="002E2C6E" w:rsidP="003905A5">
            <w:pPr>
              <w:pStyle w:val="tv213"/>
              <w:tabs>
                <w:tab w:val="left" w:pos="0"/>
              </w:tabs>
              <w:spacing w:before="0" w:beforeAutospacing="0" w:after="0" w:afterAutospacing="0"/>
              <w:ind w:left="57"/>
              <w:jc w:val="both"/>
              <w:rPr>
                <w:iCs/>
              </w:rPr>
            </w:pPr>
            <w:r w:rsidRPr="003905A5">
              <w:rPr>
                <w:iCs/>
              </w:rPr>
              <w:t>Saskaņā ar Ministru kabineta 2009. gada 15. decembra instrukcijas Nr. 19 "Tiesību akta projekta sākotnējās ietekmes izvērtēšanas kārtība" 5.</w:t>
            </w:r>
            <w:r w:rsidRPr="00A948BF">
              <w:rPr>
                <w:iCs/>
                <w:vertAlign w:val="superscript"/>
              </w:rPr>
              <w:t>1</w:t>
            </w:r>
            <w:r w:rsidRPr="003905A5">
              <w:rPr>
                <w:iCs/>
              </w:rPr>
              <w:t> punktu anotācijas kopsavilkums nav aizpildāms</w:t>
            </w:r>
            <w:r w:rsidR="003905A5" w:rsidRPr="003905A5">
              <w:rPr>
                <w:iCs/>
              </w:rPr>
              <w:t>.</w:t>
            </w:r>
          </w:p>
        </w:tc>
      </w:tr>
    </w:tbl>
    <w:p w14:paraId="27C79431" w14:textId="77777777"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14:paraId="6F5C95E5" w14:textId="77777777" w:rsidTr="0079260F">
        <w:tc>
          <w:tcPr>
            <w:tcW w:w="9356" w:type="dxa"/>
            <w:gridSpan w:val="3"/>
          </w:tcPr>
          <w:p w14:paraId="2E8CEC93"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31440490" w14:textId="77777777" w:rsidTr="0079260F">
        <w:tc>
          <w:tcPr>
            <w:tcW w:w="568" w:type="dxa"/>
          </w:tcPr>
          <w:p w14:paraId="4DEF71DE"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14:paraId="75F03F44"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14:paraId="0DDDF31F" w14:textId="0719BEE3" w:rsidR="00116F95" w:rsidRDefault="006B6400" w:rsidP="00A05CE6">
            <w:pPr>
              <w:pStyle w:val="NoSpacing"/>
              <w:jc w:val="both"/>
              <w:rPr>
                <w:rFonts w:ascii="Times New Roman" w:hAnsi="Times New Roman" w:cs="Times New Roman"/>
                <w:sz w:val="24"/>
              </w:rPr>
            </w:pPr>
            <w:bookmarkStart w:id="0" w:name="_GoBack"/>
            <w:bookmarkEnd w:id="0"/>
            <w:r w:rsidRPr="006B6400">
              <w:rPr>
                <w:rFonts w:ascii="Times New Roman" w:hAnsi="Times New Roman" w:cs="Times New Roman"/>
                <w:sz w:val="24"/>
              </w:rPr>
              <w:t>Ministru kabineta rīkojuma projekt</w:t>
            </w:r>
            <w:r w:rsidR="00083AAF">
              <w:rPr>
                <w:rFonts w:ascii="Times New Roman" w:hAnsi="Times New Roman" w:cs="Times New Roman"/>
                <w:sz w:val="24"/>
              </w:rPr>
              <w:t>s</w:t>
            </w:r>
            <w:r w:rsidRPr="006B6400">
              <w:rPr>
                <w:rFonts w:ascii="Times New Roman" w:hAnsi="Times New Roman" w:cs="Times New Roman"/>
                <w:sz w:val="24"/>
              </w:rPr>
              <w:t xml:space="preserve"> “</w:t>
            </w:r>
            <w:r w:rsidR="00F363B6" w:rsidRPr="00F363B6">
              <w:rPr>
                <w:rFonts w:ascii="Times New Roman" w:hAnsi="Times New Roman" w:cs="Times New Roman"/>
                <w:sz w:val="24"/>
              </w:rPr>
              <w:t>Grozījums Ministru kabineta 2021.gada 11.janvāra rīkojumā Nr.11 “Par finanšu līdzekļu piešķiršanu no valsts budžeta programmas “Līdzekļi neparedzētiem gadījumiem””</w:t>
            </w:r>
            <w:r>
              <w:rPr>
                <w:rFonts w:ascii="Times New Roman" w:hAnsi="Times New Roman" w:cs="Times New Roman"/>
                <w:sz w:val="24"/>
              </w:rPr>
              <w:t xml:space="preserve"> (turpmāk - </w:t>
            </w:r>
            <w:r w:rsidR="0079260F" w:rsidRPr="0079260F">
              <w:rPr>
                <w:rFonts w:ascii="Times New Roman" w:hAnsi="Times New Roman" w:cs="Times New Roman"/>
                <w:sz w:val="24"/>
              </w:rPr>
              <w:t xml:space="preserve"> projekts</w:t>
            </w:r>
            <w:r>
              <w:rPr>
                <w:rFonts w:ascii="Times New Roman" w:hAnsi="Times New Roman" w:cs="Times New Roman"/>
                <w:sz w:val="24"/>
              </w:rPr>
              <w:t>)</w:t>
            </w:r>
            <w:r w:rsidR="0079260F" w:rsidRPr="0079260F">
              <w:rPr>
                <w:rFonts w:ascii="Times New Roman" w:hAnsi="Times New Roman" w:cs="Times New Roman"/>
                <w:sz w:val="24"/>
              </w:rPr>
              <w:t xml:space="preserve"> izstrādāts, pamatojoties uz: </w:t>
            </w:r>
          </w:p>
          <w:p w14:paraId="09773733" w14:textId="701831A8" w:rsidR="00F363B6" w:rsidRPr="00F363B6" w:rsidRDefault="00F363B6" w:rsidP="00A05CE6">
            <w:pPr>
              <w:pStyle w:val="NoSpacing"/>
              <w:numPr>
                <w:ilvl w:val="0"/>
                <w:numId w:val="27"/>
              </w:numPr>
              <w:ind w:left="-114" w:firstLine="0"/>
              <w:jc w:val="both"/>
              <w:rPr>
                <w:rFonts w:ascii="Times New Roman" w:eastAsia="Times New Roman" w:hAnsi="Times New Roman" w:cs="Times New Roman"/>
                <w:sz w:val="24"/>
                <w:szCs w:val="24"/>
                <w:shd w:val="clear" w:color="auto" w:fill="FFFFFF"/>
                <w:lang w:eastAsia="lv-LV"/>
              </w:rPr>
            </w:pPr>
            <w:bookmarkStart w:id="1" w:name="_Hlk35876954"/>
            <w:r>
              <w:rPr>
                <w:rFonts w:ascii="Times New Roman" w:hAnsi="Times New Roman" w:cs="Times New Roman"/>
                <w:sz w:val="24"/>
                <w:szCs w:val="24"/>
              </w:rPr>
              <w:t>2021.gada 14.janvārī finanšu ministra darba grupā pieņemto lēmumu;</w:t>
            </w:r>
          </w:p>
          <w:p w14:paraId="200825C9" w14:textId="026C9953" w:rsidR="002A7926" w:rsidRPr="004D350F" w:rsidRDefault="00F363B6" w:rsidP="00A05CE6">
            <w:pPr>
              <w:pStyle w:val="NoSpacing"/>
              <w:numPr>
                <w:ilvl w:val="0"/>
                <w:numId w:val="27"/>
              </w:numPr>
              <w:ind w:left="-114" w:firstLine="0"/>
              <w:jc w:val="both"/>
              <w:rPr>
                <w:rFonts w:ascii="Times New Roman" w:eastAsia="Times New Roman" w:hAnsi="Times New Roman" w:cs="Times New Roman"/>
                <w:sz w:val="24"/>
                <w:szCs w:val="24"/>
                <w:shd w:val="clear" w:color="auto" w:fill="FFFFFF"/>
                <w:lang w:eastAsia="lv-LV"/>
              </w:rPr>
            </w:pPr>
            <w:r w:rsidRPr="009B0207">
              <w:rPr>
                <w:rFonts w:ascii="Times New Roman" w:hAnsi="Times New Roman" w:cs="Times New Roman"/>
                <w:sz w:val="24"/>
              </w:rPr>
              <w:t>2021.gada 18.februār</w:t>
            </w:r>
            <w:r w:rsidR="00D86311" w:rsidRPr="009B0207">
              <w:rPr>
                <w:rFonts w:ascii="Times New Roman" w:hAnsi="Times New Roman" w:cs="Times New Roman"/>
                <w:sz w:val="24"/>
              </w:rPr>
              <w:t>ī Saeimā pieņemto</w:t>
            </w:r>
            <w:r w:rsidRPr="009B0207">
              <w:rPr>
                <w:rFonts w:ascii="Times New Roman" w:hAnsi="Times New Roman" w:cs="Times New Roman"/>
                <w:sz w:val="24"/>
              </w:rPr>
              <w:t xml:space="preserve"> likumu</w:t>
            </w:r>
            <w:r>
              <w:rPr>
                <w:rFonts w:ascii="Times New Roman" w:hAnsi="Times New Roman" w:cs="Times New Roman"/>
                <w:sz w:val="24"/>
              </w:rPr>
              <w:t xml:space="preserve"> “Grozījumi </w:t>
            </w:r>
            <w:r w:rsidR="006A7C70" w:rsidRPr="009B5D17">
              <w:rPr>
                <w:rFonts w:ascii="Times New Roman" w:hAnsi="Times New Roman" w:cs="Times New Roman"/>
                <w:sz w:val="24"/>
              </w:rPr>
              <w:t>Sociālo pakalpojumu un sociālās palīdzības likum</w:t>
            </w:r>
            <w:r>
              <w:rPr>
                <w:rFonts w:ascii="Times New Roman" w:hAnsi="Times New Roman" w:cs="Times New Roman"/>
                <w:sz w:val="24"/>
              </w:rPr>
              <w:t>ā”</w:t>
            </w:r>
            <w:r w:rsidR="009B0207">
              <w:rPr>
                <w:rFonts w:ascii="Times New Roman" w:hAnsi="Times New Roman" w:cs="Times New Roman"/>
                <w:sz w:val="24"/>
              </w:rPr>
              <w:t>, kurš stājas spēkā 2021.gada 25.februārī</w:t>
            </w:r>
            <w:r w:rsidR="002A7926">
              <w:rPr>
                <w:rFonts w:ascii="Times New Roman" w:hAnsi="Times New Roman" w:cs="Times New Roman"/>
                <w:sz w:val="24"/>
              </w:rPr>
              <w:t>;</w:t>
            </w:r>
          </w:p>
          <w:p w14:paraId="5E170D5C" w14:textId="77B783FB" w:rsidR="00272C29" w:rsidRPr="00812AC0" w:rsidRDefault="00272C29" w:rsidP="009930D6">
            <w:pPr>
              <w:pStyle w:val="Heading3"/>
              <w:numPr>
                <w:ilvl w:val="0"/>
                <w:numId w:val="27"/>
              </w:numPr>
              <w:shd w:val="clear" w:color="auto" w:fill="FFFFFF"/>
              <w:ind w:left="-114" w:firstLine="0"/>
              <w:jc w:val="both"/>
              <w:outlineLvl w:val="2"/>
              <w:rPr>
                <w:rFonts w:ascii="Times New Roman" w:eastAsia="Times New Roman" w:hAnsi="Times New Roman" w:cs="Times New Roman"/>
                <w:color w:val="auto"/>
                <w:shd w:val="clear" w:color="auto" w:fill="FFFFFF"/>
              </w:rPr>
            </w:pPr>
            <w:r w:rsidRPr="00812AC0">
              <w:rPr>
                <w:rFonts w:ascii="Times New Roman" w:eastAsia="Times New Roman" w:hAnsi="Times New Roman" w:cs="Times New Roman"/>
                <w:color w:val="auto"/>
                <w:shd w:val="clear" w:color="auto" w:fill="FFFFFF"/>
              </w:rPr>
              <w:t>Ministru kabineta 2021.gada 28.janvāra rīkojumu Nr.53 “Grozījumi Ministru kabineta 2020. gada 6. novembra rīkojumā Nr. 655 "</w:t>
            </w:r>
            <w:hyperlink r:id="rId8" w:tgtFrame="_blank" w:history="1">
              <w:r w:rsidRPr="00812AC0">
                <w:rPr>
                  <w:rFonts w:ascii="Times New Roman" w:eastAsia="Times New Roman" w:hAnsi="Times New Roman" w:cs="Times New Roman"/>
                  <w:color w:val="auto"/>
                  <w:shd w:val="clear" w:color="auto" w:fill="FFFFFF"/>
                </w:rPr>
                <w:t>Par ārkārtējās situācijas izsludināšanu</w:t>
              </w:r>
            </w:hyperlink>
            <w:r w:rsidRPr="00812AC0">
              <w:rPr>
                <w:rFonts w:ascii="Times New Roman" w:eastAsia="Times New Roman" w:hAnsi="Times New Roman" w:cs="Times New Roman"/>
                <w:color w:val="auto"/>
                <w:shd w:val="clear" w:color="auto" w:fill="FFFFFF"/>
              </w:rPr>
              <w:t>";</w:t>
            </w:r>
          </w:p>
          <w:p w14:paraId="03C4D5A0" w14:textId="4D2831BA" w:rsidR="006A7C70" w:rsidRPr="00842113" w:rsidRDefault="002A7926" w:rsidP="004C0364">
            <w:pPr>
              <w:pStyle w:val="ListParagraph"/>
              <w:numPr>
                <w:ilvl w:val="0"/>
                <w:numId w:val="27"/>
              </w:numPr>
              <w:ind w:left="-114" w:firstLine="0"/>
              <w:rPr>
                <w:shd w:val="clear" w:color="auto" w:fill="FFFFFF"/>
              </w:rPr>
            </w:pPr>
            <w:r>
              <w:t>Covid-19 infekcijas izplatības seku pārvarēšanas likuma 24. un 25. pant</w:t>
            </w:r>
            <w:r w:rsidR="004C0364">
              <w:t>u</w:t>
            </w:r>
            <w:r>
              <w:t>.</w:t>
            </w:r>
            <w:bookmarkEnd w:id="1"/>
          </w:p>
        </w:tc>
      </w:tr>
      <w:tr w:rsidR="0079260F" w14:paraId="69E5DBB5" w14:textId="77777777" w:rsidTr="0079260F">
        <w:tc>
          <w:tcPr>
            <w:tcW w:w="568" w:type="dxa"/>
          </w:tcPr>
          <w:p w14:paraId="196FCCF3"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14:paraId="71164870" w14:textId="77777777"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7EE5D96F" w14:textId="0F4897BC" w:rsidR="001807D1" w:rsidRDefault="001807D1" w:rsidP="00152501">
            <w:pPr>
              <w:jc w:val="center"/>
            </w:pPr>
          </w:p>
          <w:p w14:paraId="062E8B68" w14:textId="77777777" w:rsidR="001807D1" w:rsidRPr="001807D1" w:rsidRDefault="001807D1" w:rsidP="001807D1"/>
          <w:p w14:paraId="1509AA62" w14:textId="77777777" w:rsidR="001807D1" w:rsidRPr="001807D1" w:rsidRDefault="001807D1" w:rsidP="001807D1"/>
          <w:p w14:paraId="01B3631B" w14:textId="77777777" w:rsidR="001807D1" w:rsidRPr="001807D1" w:rsidRDefault="001807D1" w:rsidP="001807D1"/>
          <w:p w14:paraId="0F34C32C" w14:textId="77777777" w:rsidR="001807D1" w:rsidRPr="001807D1" w:rsidRDefault="001807D1" w:rsidP="001807D1"/>
          <w:p w14:paraId="2FFD16A9" w14:textId="77777777" w:rsidR="001807D1" w:rsidRPr="001807D1" w:rsidRDefault="001807D1" w:rsidP="001807D1"/>
          <w:p w14:paraId="123D7DFE" w14:textId="77777777" w:rsidR="001807D1" w:rsidRPr="001807D1" w:rsidRDefault="001807D1" w:rsidP="001807D1"/>
          <w:p w14:paraId="7F6A5B70" w14:textId="77777777" w:rsidR="001807D1" w:rsidRPr="001807D1" w:rsidRDefault="001807D1" w:rsidP="001807D1"/>
          <w:p w14:paraId="535BAEDA" w14:textId="77777777" w:rsidR="001807D1" w:rsidRPr="001807D1" w:rsidRDefault="001807D1" w:rsidP="001807D1"/>
          <w:p w14:paraId="33AF9872" w14:textId="77777777" w:rsidR="001807D1" w:rsidRPr="001807D1" w:rsidRDefault="001807D1" w:rsidP="001807D1"/>
          <w:p w14:paraId="077DEF2B" w14:textId="77777777" w:rsidR="001807D1" w:rsidRPr="001807D1" w:rsidRDefault="001807D1" w:rsidP="001807D1"/>
          <w:p w14:paraId="7366B94E" w14:textId="77777777" w:rsidR="001807D1" w:rsidRPr="001807D1" w:rsidRDefault="001807D1" w:rsidP="001807D1"/>
          <w:p w14:paraId="14F48236" w14:textId="77777777" w:rsidR="001807D1" w:rsidRPr="001807D1" w:rsidRDefault="001807D1" w:rsidP="001807D1"/>
          <w:p w14:paraId="00F2F605" w14:textId="77777777" w:rsidR="001807D1" w:rsidRPr="001807D1" w:rsidRDefault="001807D1" w:rsidP="001807D1"/>
          <w:p w14:paraId="161AB6AB" w14:textId="77777777" w:rsidR="001807D1" w:rsidRPr="001807D1" w:rsidRDefault="001807D1" w:rsidP="001807D1"/>
          <w:p w14:paraId="07D75BD9" w14:textId="77777777" w:rsidR="001807D1" w:rsidRPr="001807D1" w:rsidRDefault="001807D1" w:rsidP="001807D1"/>
          <w:p w14:paraId="3BE41DDC" w14:textId="77777777" w:rsidR="001807D1" w:rsidRPr="001807D1" w:rsidRDefault="001807D1" w:rsidP="001807D1"/>
          <w:p w14:paraId="5C1EE814" w14:textId="77777777" w:rsidR="001807D1" w:rsidRPr="001807D1" w:rsidRDefault="001807D1" w:rsidP="001807D1"/>
          <w:p w14:paraId="6EF1CD47" w14:textId="28BA21B5" w:rsidR="001807D1" w:rsidRDefault="001807D1" w:rsidP="001807D1"/>
          <w:p w14:paraId="07ABD973" w14:textId="77777777" w:rsidR="0079260F" w:rsidRPr="001807D1" w:rsidRDefault="0079260F" w:rsidP="001807D1">
            <w:pPr>
              <w:jc w:val="center"/>
            </w:pPr>
          </w:p>
        </w:tc>
        <w:tc>
          <w:tcPr>
            <w:tcW w:w="7229" w:type="dxa"/>
          </w:tcPr>
          <w:p w14:paraId="112B53B3" w14:textId="58E9A8B5" w:rsidR="00EE33A5" w:rsidRPr="005555B9" w:rsidRDefault="00EE33A5" w:rsidP="007A0BF7">
            <w:pPr>
              <w:pStyle w:val="tv213"/>
              <w:tabs>
                <w:tab w:val="left" w:pos="709"/>
                <w:tab w:val="left" w:pos="993"/>
              </w:tabs>
              <w:spacing w:before="0" w:beforeAutospacing="0" w:after="0" w:afterAutospacing="0"/>
              <w:jc w:val="both"/>
            </w:pPr>
            <w:r w:rsidRPr="009B0207">
              <w:lastRenderedPageBreak/>
              <w:t>202</w:t>
            </w:r>
            <w:r w:rsidR="00163704" w:rsidRPr="009B0207">
              <w:t>1</w:t>
            </w:r>
            <w:r w:rsidRPr="009B0207">
              <w:t xml:space="preserve">.gada </w:t>
            </w:r>
            <w:r w:rsidR="00163704" w:rsidRPr="009B0207">
              <w:t>18</w:t>
            </w:r>
            <w:r w:rsidRPr="009B0207">
              <w:t>.</w:t>
            </w:r>
            <w:r w:rsidR="00163704" w:rsidRPr="009B0207">
              <w:t>februārī</w:t>
            </w:r>
            <w:r w:rsidRPr="009B0207">
              <w:t xml:space="preserve"> Saeima pieņēma likumu “Grozījum</w:t>
            </w:r>
            <w:r w:rsidR="00163704" w:rsidRPr="009B0207">
              <w:t>i</w:t>
            </w:r>
            <w:r w:rsidRPr="009B0207">
              <w:t xml:space="preserve"> Sociālo pakalpojumu un sociālās palīdzības likumā” (stājas spēkā 202</w:t>
            </w:r>
            <w:r w:rsidR="00163704" w:rsidRPr="009B0207">
              <w:t>1</w:t>
            </w:r>
            <w:r w:rsidRPr="009B0207">
              <w:t>.gada 2</w:t>
            </w:r>
            <w:r w:rsidR="009B0207" w:rsidRPr="009B0207">
              <w:t>5</w:t>
            </w:r>
            <w:r w:rsidRPr="009B0207">
              <w:t>.</w:t>
            </w:r>
            <w:r w:rsidR="00163704" w:rsidRPr="009B0207">
              <w:t>februārī</w:t>
            </w:r>
            <w:r w:rsidRPr="009B0207">
              <w:t>),</w:t>
            </w:r>
            <w:r w:rsidRPr="005555B9">
              <w:t xml:space="preserve"> ar kuru Sociālo pakalpojumu un sociālās palīdzības likums (turpmāk – likums) </w:t>
            </w:r>
            <w:r w:rsidR="009B0207">
              <w:t xml:space="preserve">ir papildināts ar </w:t>
            </w:r>
            <w:r w:rsidRPr="005555B9">
              <w:t>pārejas noteikumu 37.</w:t>
            </w:r>
            <w:r w:rsidR="009B0207" w:rsidRPr="00FB2782">
              <w:rPr>
                <w:vertAlign w:val="superscript"/>
              </w:rPr>
              <w:t>1</w:t>
            </w:r>
            <w:r w:rsidR="00FB2782">
              <w:t xml:space="preserve"> </w:t>
            </w:r>
            <w:r w:rsidRPr="005555B9">
              <w:t>punkt</w:t>
            </w:r>
            <w:r w:rsidR="009B0207">
              <w:t>u</w:t>
            </w:r>
            <w:r w:rsidRPr="005555B9">
              <w:t>.</w:t>
            </w:r>
          </w:p>
          <w:p w14:paraId="0D77420C" w14:textId="16FA142E" w:rsidR="007A0BF7" w:rsidRPr="007A0BF7" w:rsidRDefault="000E3A4C" w:rsidP="007A0BF7">
            <w:pPr>
              <w:pStyle w:val="tv213"/>
              <w:tabs>
                <w:tab w:val="left" w:pos="709"/>
                <w:tab w:val="left" w:pos="993"/>
              </w:tabs>
              <w:spacing w:before="0" w:beforeAutospacing="0" w:after="0" w:afterAutospacing="0"/>
              <w:jc w:val="both"/>
            </w:pPr>
            <w:r w:rsidRPr="000E3A4C">
              <w:t>Likuma</w:t>
            </w:r>
            <w:r w:rsidR="003C4E40" w:rsidRPr="000E3A4C">
              <w:t xml:space="preserve"> </w:t>
            </w:r>
            <w:r w:rsidR="009734B2" w:rsidRPr="000E3A4C">
              <w:t xml:space="preserve">pārejas noteikumu </w:t>
            </w:r>
            <w:r w:rsidR="007A0BF7" w:rsidRPr="005555B9">
              <w:t>37.</w:t>
            </w:r>
            <w:r w:rsidR="007A0BF7" w:rsidRPr="00893971">
              <w:rPr>
                <w:vertAlign w:val="superscript"/>
              </w:rPr>
              <w:t>1</w:t>
            </w:r>
            <w:r w:rsidR="00FB2782">
              <w:rPr>
                <w:vertAlign w:val="superscript"/>
              </w:rPr>
              <w:t xml:space="preserve"> </w:t>
            </w:r>
            <w:r w:rsidR="009734B2" w:rsidRPr="000E3A4C">
              <w:t>punkt</w:t>
            </w:r>
            <w:r w:rsidR="007A0BF7">
              <w:t xml:space="preserve">s nosaka, ka </w:t>
            </w:r>
            <w:r w:rsidR="007A0BF7" w:rsidRPr="007A0BF7">
              <w:t>laikposmā no 2021. gada 25. februāra līdz 2021. gada 30. jūnijam:</w:t>
            </w:r>
          </w:p>
          <w:p w14:paraId="332D763D" w14:textId="77777777" w:rsidR="007A0BF7" w:rsidRPr="007A0BF7" w:rsidRDefault="007A0BF7" w:rsidP="007A0BF7">
            <w:pPr>
              <w:pStyle w:val="ListParagraph"/>
              <w:shd w:val="clear" w:color="auto" w:fill="FFFFFF"/>
              <w:ind w:left="0" w:firstLine="567"/>
              <w:jc w:val="both"/>
            </w:pPr>
            <w:r w:rsidRPr="007A0BF7">
              <w:t xml:space="preserve">1) pašvaldība piešķir un izmaksā no pašvaldības budžeta līdzekļiem mājsaimniecībai vai atsevišķai personai mājsaimniecībā šā likuma </w:t>
            </w:r>
            <w:hyperlink r:id="rId9" w:anchor="p35" w:history="1">
              <w:r w:rsidRPr="007A0BF7">
                <w:t>35.</w:t>
              </w:r>
            </w:hyperlink>
            <w:r w:rsidRPr="007A0BF7">
              <w:t> panta otrās daļas 2. punktā noteikto pabalstu krīzes situācijā pašvaldības saistošajos noteikumos noteiktajā apmērā. Pabalstu krīzes situācijā, izvērtējot valsts un pašvaldību informācijas sistēmās pieejamo informāciju, piešķir mājsaimniecībai vai atsevišķai personai mājsaimniecībā, kurai ievērojami samazinājušies vai ir zaudēti ienākumi saistībā ar Covid-19 izplatību izsludinātās ārkārtējās situācijas dēļ. Pašvaldība palielina izmaksājamā pabalsta apmēru par 50 </w:t>
            </w:r>
            <w:proofErr w:type="spellStart"/>
            <w:r w:rsidRPr="00E21457">
              <w:rPr>
                <w:i/>
              </w:rPr>
              <w:t>euro</w:t>
            </w:r>
            <w:proofErr w:type="spellEnd"/>
            <w:r w:rsidRPr="00E21457">
              <w:rPr>
                <w:i/>
              </w:rPr>
              <w:t xml:space="preserve"> </w:t>
            </w:r>
            <w:r w:rsidRPr="007A0BF7">
              <w:t>mēnesī katram bērnam, ja mājsaimniecības, tai skaitā audžuģimenes un aizbildņa, kam ir tiesības uz pabalstu krīzes situācijā, aprūpē ir bērns līdz 18 gadu vecumam;</w:t>
            </w:r>
          </w:p>
          <w:p w14:paraId="721DDE9E" w14:textId="77777777" w:rsidR="007A0BF7" w:rsidRPr="007A0BF7" w:rsidRDefault="007A0BF7" w:rsidP="007A0BF7">
            <w:pPr>
              <w:pStyle w:val="ListParagraph"/>
              <w:shd w:val="clear" w:color="auto" w:fill="FFFFFF"/>
              <w:ind w:left="0" w:firstLine="567"/>
              <w:jc w:val="both"/>
            </w:pPr>
            <w:r w:rsidRPr="007A0BF7">
              <w:t xml:space="preserve">2) pabalstu krīzes situācijā pašvaldība nepiešķir atsevišķi dzīvojošai personai vai par atsevišķu personu mājsaimniecībā, kurai atbilstoši normatīvajiem aktiem ir piešķirts dīkstāves atbalsts. Pašvaldība nepalielina izmaksājamo pabalstu krīzes situācijā vai samazina to par attiecīgo daļu par laikposmu, kad personai, kura saņem dīkstāves atbalstu, </w:t>
            </w:r>
            <w:r w:rsidRPr="007A0BF7">
              <w:lastRenderedPageBreak/>
              <w:t>atbilstoši normatīvajiem aktiem ir piešķirta piemaksa par apgādībā esošu bērnu;</w:t>
            </w:r>
          </w:p>
          <w:p w14:paraId="7EF25924" w14:textId="77777777" w:rsidR="007A0BF7" w:rsidRPr="007A0BF7" w:rsidRDefault="007A0BF7" w:rsidP="007A0BF7">
            <w:pPr>
              <w:pStyle w:val="ListParagraph"/>
              <w:shd w:val="clear" w:color="auto" w:fill="FFFFFF"/>
              <w:ind w:left="0" w:firstLine="567"/>
              <w:jc w:val="both"/>
            </w:pPr>
            <w:r w:rsidRPr="007A0BF7">
              <w:t>3) lai daļēji kompensētu pašvaldību izdevumus par pabalstu krīzes situācijā nodrošināšanu, valsts nodrošina pašvaldībām mērķdotāciju izdevumu segšanai 50 procentu apmērā no laikposmā no 2021. gada 1. februāra līdz 2021. gada 30. jūnijam mājsaimniecībai izmaksātā pabalsta apmēra, bet ne vairāk kā 75 </w:t>
            </w:r>
            <w:proofErr w:type="spellStart"/>
            <w:r w:rsidRPr="00E21457">
              <w:rPr>
                <w:i/>
              </w:rPr>
              <w:t>euro</w:t>
            </w:r>
            <w:proofErr w:type="spellEnd"/>
            <w:r w:rsidRPr="00E21457">
              <w:rPr>
                <w:i/>
              </w:rPr>
              <w:t xml:space="preserve"> </w:t>
            </w:r>
            <w:r w:rsidRPr="007A0BF7">
              <w:t>vienai personai mēnesī. Lai kompensētu pašvaldībām izdevumus par izmaksājamo pabalstu apmēra palielināšanu par 50 </w:t>
            </w:r>
            <w:proofErr w:type="spellStart"/>
            <w:r w:rsidRPr="00E21457">
              <w:rPr>
                <w:i/>
              </w:rPr>
              <w:t>euro</w:t>
            </w:r>
            <w:proofErr w:type="spellEnd"/>
            <w:r w:rsidRPr="007A0BF7">
              <w:t xml:space="preserve"> mēnesī par katru aprūpē esošu bērnu līdz 18 gadu vecumam, valsts nodrošina pašvaldībām mērķdotāciju izdevumu segšanai 100 procentu apmērā no mājsaimniecībai, tai skaitā audžuģimenei un aizbildnim, kam ir tiesības uz pabalstu krīzes situācijā, izmaksātā pabalsta palielinājuma — 50 </w:t>
            </w:r>
            <w:proofErr w:type="spellStart"/>
            <w:r w:rsidRPr="00E21457">
              <w:rPr>
                <w:i/>
              </w:rPr>
              <w:t>euro</w:t>
            </w:r>
            <w:proofErr w:type="spellEnd"/>
            <w:r w:rsidRPr="007A0BF7">
              <w:t xml:space="preserve"> mēnesī par katru aprūpē esošu bērnu līdz 18 gadu vecumam;</w:t>
            </w:r>
          </w:p>
          <w:p w14:paraId="3252C320" w14:textId="63A0DB0D" w:rsidR="007A0BF7" w:rsidRPr="007A0BF7" w:rsidRDefault="007A0BF7" w:rsidP="007A0BF7">
            <w:pPr>
              <w:pStyle w:val="tv213"/>
              <w:shd w:val="clear" w:color="auto" w:fill="FFFFFF"/>
              <w:spacing w:before="0" w:beforeAutospacing="0" w:after="0" w:afterAutospacing="0"/>
              <w:ind w:firstLine="567"/>
              <w:jc w:val="both"/>
            </w:pPr>
            <w:r w:rsidRPr="007A0BF7">
              <w:t>4) piemērojams šo pārejas noteikumu 37. punkta 3. un 4. apakšpunktā noteiktais, kā arī šo pārejas noteikumu 39. punktā noteiktais attiecībā uz pārskatā norādāmo to bērnu skaitu, par kuriem izmaksāts pabalsts krīzes situācijā.</w:t>
            </w:r>
          </w:p>
          <w:p w14:paraId="39C7914A" w14:textId="2DC67CB9" w:rsidR="00566A2A" w:rsidRPr="005555B9" w:rsidRDefault="009734B2" w:rsidP="007A0BF7">
            <w:pPr>
              <w:pStyle w:val="tv213"/>
              <w:tabs>
                <w:tab w:val="left" w:pos="709"/>
                <w:tab w:val="left" w:pos="993"/>
              </w:tabs>
              <w:spacing w:before="0" w:beforeAutospacing="0" w:after="0" w:afterAutospacing="0"/>
              <w:jc w:val="both"/>
            </w:pPr>
            <w:r w:rsidRPr="005555B9">
              <w:t xml:space="preserve">Līdz ar to, lai </w:t>
            </w:r>
            <w:r w:rsidR="00885514" w:rsidRPr="005555B9">
              <w:t xml:space="preserve">valsts </w:t>
            </w:r>
            <w:r w:rsidRPr="005555B9">
              <w:t xml:space="preserve">varētu nodrošināt </w:t>
            </w:r>
            <w:r w:rsidR="007306E2" w:rsidRPr="005555B9">
              <w:t>līdzfinansējumu</w:t>
            </w:r>
            <w:r w:rsidR="00885514" w:rsidRPr="005555B9">
              <w:t xml:space="preserve"> daļējai </w:t>
            </w:r>
            <w:r w:rsidR="00FA45D1" w:rsidRPr="005555B9">
              <w:t>pašvaldību</w:t>
            </w:r>
            <w:r w:rsidR="00885514" w:rsidRPr="005555B9">
              <w:t xml:space="preserve"> izdevumu segšanai</w:t>
            </w:r>
            <w:r w:rsidR="00FA45D1" w:rsidRPr="005555B9">
              <w:t xml:space="preserve"> par izmaksātajiem pabalstiem krīzes situācijā</w:t>
            </w:r>
            <w:r w:rsidR="009B6F3B" w:rsidRPr="005555B9">
              <w:t xml:space="preserve">, kā arī 100 procentu apmērā no </w:t>
            </w:r>
            <w:r w:rsidR="000E3A4C" w:rsidRPr="005555B9">
              <w:t>mājsaimniecībai</w:t>
            </w:r>
            <w:r w:rsidR="009B6F3B" w:rsidRPr="005555B9">
              <w:t xml:space="preserve"> izmaksātā pabalsta krīzes situācijā palielinājuma par katru bērnu (50 </w:t>
            </w:r>
            <w:proofErr w:type="spellStart"/>
            <w:r w:rsidR="009B6F3B" w:rsidRPr="00E21457">
              <w:rPr>
                <w:i/>
              </w:rPr>
              <w:t>euro</w:t>
            </w:r>
            <w:proofErr w:type="spellEnd"/>
            <w:r w:rsidR="009B6F3B" w:rsidRPr="005555B9">
              <w:t xml:space="preserve"> mēnesī) </w:t>
            </w:r>
            <w:r w:rsidR="000E3A4C" w:rsidRPr="005555B9">
              <w:t>–</w:t>
            </w:r>
            <w:r w:rsidR="00FA45D1" w:rsidRPr="005555B9">
              <w:t xml:space="preserve"> </w:t>
            </w:r>
            <w:r w:rsidR="000E3A4C" w:rsidRPr="005555B9">
              <w:t>par laikposmu no 2021.gada 1.februāra līdz 2021.gada 30.jūnijam</w:t>
            </w:r>
            <w:r w:rsidR="00885514" w:rsidRPr="005555B9">
              <w:t xml:space="preserve">, </w:t>
            </w:r>
            <w:r w:rsidRPr="005555B9">
              <w:t>ir izstrādāt</w:t>
            </w:r>
            <w:r w:rsidR="00FA45D1" w:rsidRPr="005555B9">
              <w:t>s</w:t>
            </w:r>
            <w:r w:rsidRPr="005555B9">
              <w:t xml:space="preserve"> projekt</w:t>
            </w:r>
            <w:r w:rsidR="00091323" w:rsidRPr="005555B9">
              <w:t>s</w:t>
            </w:r>
            <w:r w:rsidRPr="005555B9">
              <w:t>.</w:t>
            </w:r>
          </w:p>
          <w:p w14:paraId="37E269C6" w14:textId="60116FB1" w:rsidR="001615EC" w:rsidRPr="005555B9" w:rsidRDefault="001615EC" w:rsidP="007A0BF7">
            <w:pPr>
              <w:pStyle w:val="tv213"/>
              <w:tabs>
                <w:tab w:val="left" w:pos="709"/>
                <w:tab w:val="left" w:pos="993"/>
              </w:tabs>
              <w:spacing w:before="0" w:beforeAutospacing="0" w:after="0" w:afterAutospacing="0"/>
              <w:jc w:val="both"/>
            </w:pPr>
            <w:r w:rsidRPr="005555B9">
              <w:t>Pašvaldīb</w:t>
            </w:r>
            <w:r w:rsidR="00F7186E" w:rsidRPr="005555B9">
              <w:t>as</w:t>
            </w:r>
            <w:r w:rsidRPr="005555B9">
              <w:t>, gatavojot lēmum</w:t>
            </w:r>
            <w:r w:rsidR="00F7186E" w:rsidRPr="005555B9">
              <w:t>us</w:t>
            </w:r>
            <w:r w:rsidRPr="005555B9">
              <w:t xml:space="preserve"> par pabalstu krīzes situācijā</w:t>
            </w:r>
            <w:r w:rsidR="00F7186E" w:rsidRPr="005555B9">
              <w:t xml:space="preserve"> </w:t>
            </w:r>
            <w:r w:rsidRPr="005555B9">
              <w:t xml:space="preserve">(piešķirt, nepiešķirt, kādā apmērā) </w:t>
            </w:r>
            <w:r w:rsidR="00F7186E" w:rsidRPr="005555B9">
              <w:t xml:space="preserve">ievēros pašvaldību saistošos noteikumus par šādu pabalstu piešķiršanu, kā arī </w:t>
            </w:r>
            <w:r w:rsidRPr="005555B9">
              <w:t xml:space="preserve"> vadlīnij</w:t>
            </w:r>
            <w:r w:rsidR="00F7186E" w:rsidRPr="005555B9">
              <w:t>as</w:t>
            </w:r>
            <w:r w:rsidRPr="005555B9">
              <w:t xml:space="preserve"> un princip</w:t>
            </w:r>
            <w:r w:rsidR="00F7186E" w:rsidRPr="005555B9">
              <w:t>us</w:t>
            </w:r>
            <w:r w:rsidR="006B6400" w:rsidRPr="005555B9">
              <w:t xml:space="preserve"> par </w:t>
            </w:r>
            <w:r w:rsidRPr="005555B9">
              <w:t xml:space="preserve"> sociālās palīdzības </w:t>
            </w:r>
            <w:r w:rsidR="006B6400" w:rsidRPr="005555B9">
              <w:t>nodrošināšanu</w:t>
            </w:r>
            <w:r w:rsidRPr="005555B9">
              <w:t xml:space="preserve">, lai, vadoties no likumā noteiktās ievirzes konkrētajam pabalstam, pieņemtu taisnīgāko un atbilstošāko lēmumu konkrētas personas situācijā. </w:t>
            </w:r>
            <w:r w:rsidR="00642945" w:rsidRPr="005555B9">
              <w:t xml:space="preserve"> </w:t>
            </w:r>
          </w:p>
          <w:p w14:paraId="48A24C5D" w14:textId="25919F49" w:rsidR="00642945" w:rsidRPr="005555B9" w:rsidRDefault="00642945" w:rsidP="007A0BF7">
            <w:pPr>
              <w:pStyle w:val="tv213"/>
              <w:tabs>
                <w:tab w:val="left" w:pos="709"/>
                <w:tab w:val="left" w:pos="993"/>
              </w:tabs>
              <w:spacing w:before="0" w:beforeAutospacing="0" w:after="0" w:afterAutospacing="0"/>
              <w:jc w:val="both"/>
            </w:pPr>
            <w:r w:rsidRPr="005555B9">
              <w:t>Lai saņemtu mērķdotāciju, pašvaldība līdz pārskata mēnesim sekojošā mēneša desmitajam datumam, atbilstoši normatīvajiem aktiem par kārtību, kādā Valsts kase nodrošina elektronisko informācijas apmaiņu, izmantojot  Valsts kases informācijas sistēmu "Ministriju, centrālo valsts iestāžu un pašvaldību budžeta pārskatu informācijas sistēma", iesniedz pārskatu “Pārskats par mērķdotācijas izlietojumu krīzes pabalstam” (Veidlapa Nr. 18_KrīzP</w:t>
            </w:r>
            <w:r w:rsidR="00811D08" w:rsidRPr="005555B9">
              <w:t>)</w:t>
            </w:r>
            <w:r w:rsidR="00566A2A" w:rsidRPr="005555B9">
              <w:t xml:space="preserve"> (turpmāk - pārskats)</w:t>
            </w:r>
            <w:r w:rsidRPr="005555B9">
              <w:t xml:space="preserve">, </w:t>
            </w:r>
            <w:r w:rsidRPr="00642945">
              <w:t xml:space="preserve"> tajā iekļaujot šādas ziņas:</w:t>
            </w:r>
          </w:p>
          <w:p w14:paraId="15585BD0" w14:textId="46E1D7E9" w:rsidR="00642945" w:rsidRPr="00642945" w:rsidRDefault="00642945" w:rsidP="007A0BF7">
            <w:pPr>
              <w:pStyle w:val="tv213"/>
              <w:tabs>
                <w:tab w:val="left" w:pos="709"/>
                <w:tab w:val="left" w:pos="993"/>
              </w:tabs>
              <w:spacing w:before="0" w:beforeAutospacing="0" w:after="0" w:afterAutospacing="0"/>
              <w:jc w:val="both"/>
            </w:pPr>
            <w:r w:rsidRPr="00642945">
              <w:t>a) pašvaldības izmaksātais finansējums pabalstiem krīzes situācijā pilnā apmērā kopā</w:t>
            </w:r>
            <w:r w:rsidR="00566A2A">
              <w:t>;</w:t>
            </w:r>
          </w:p>
          <w:p w14:paraId="79C6EDBC" w14:textId="1D17D83C" w:rsidR="00642945" w:rsidRPr="00642945" w:rsidRDefault="00642945" w:rsidP="007A0BF7">
            <w:pPr>
              <w:pStyle w:val="tv213"/>
              <w:tabs>
                <w:tab w:val="left" w:pos="709"/>
                <w:tab w:val="left" w:pos="993"/>
              </w:tabs>
              <w:spacing w:before="0" w:beforeAutospacing="0" w:after="0" w:afterAutospacing="0"/>
              <w:jc w:val="both"/>
            </w:pPr>
            <w:r w:rsidRPr="00642945">
              <w:t>b) to personu skaits, par kurām izmaksāts pabalsts krīzes situācijā</w:t>
            </w:r>
            <w:r w:rsidR="00566A2A">
              <w:t>;</w:t>
            </w:r>
          </w:p>
          <w:p w14:paraId="5F9B47D2" w14:textId="74A72F9B" w:rsidR="00642945" w:rsidRDefault="00642945" w:rsidP="007A0BF7">
            <w:pPr>
              <w:pStyle w:val="tv213"/>
              <w:tabs>
                <w:tab w:val="left" w:pos="709"/>
                <w:tab w:val="left" w:pos="993"/>
              </w:tabs>
              <w:spacing w:before="0" w:beforeAutospacing="0" w:after="0" w:afterAutospacing="0"/>
              <w:jc w:val="both"/>
            </w:pPr>
            <w:r w:rsidRPr="00642945">
              <w:t>c) pašvaldības konts Valsts kasē vai kredītiestādē mērķdotācijas saņemšanai un izdevumu veikšanai;</w:t>
            </w:r>
          </w:p>
          <w:p w14:paraId="4CDA50BB" w14:textId="20BB8DCD" w:rsidR="00E3015C" w:rsidRPr="00642945" w:rsidRDefault="00E3015C" w:rsidP="007A0BF7">
            <w:pPr>
              <w:pStyle w:val="tv213"/>
              <w:tabs>
                <w:tab w:val="left" w:pos="709"/>
                <w:tab w:val="left" w:pos="993"/>
              </w:tabs>
              <w:spacing w:before="0" w:beforeAutospacing="0" w:after="0" w:afterAutospacing="0"/>
              <w:jc w:val="both"/>
            </w:pPr>
            <w:r>
              <w:t>d) bērnu skaits, par kuriem izmaksāts pabalsts krīzes situācijā.</w:t>
            </w:r>
          </w:p>
          <w:p w14:paraId="631F2D50" w14:textId="275B8DC6" w:rsidR="00642945" w:rsidRPr="00642945" w:rsidRDefault="00642945" w:rsidP="007A0BF7">
            <w:pPr>
              <w:pStyle w:val="tv213"/>
              <w:tabs>
                <w:tab w:val="left" w:pos="709"/>
                <w:tab w:val="left" w:pos="993"/>
              </w:tabs>
              <w:spacing w:before="0" w:beforeAutospacing="0" w:after="0" w:afterAutospacing="0"/>
              <w:jc w:val="both"/>
            </w:pPr>
            <w:r w:rsidRPr="00642945">
              <w:t xml:space="preserve">Labklājības ministrija 10 darbdienu laikā pēc pārskata izvērtēšanas un atzīšanas par atbilstošu veiks mērķdotācijas maksājumu pašvaldībai, saglabājot tiesības izlases kārtībā veikt mērķdotācijas izlietojuma kontroli, pieprasot no pašvaldības papildu informāciju. Ja Labklājības ministrija konstatēs kļūdas pārskatā vai pārkāpumus pabalsta krīzes situācijā piešķiršanā un izmaksā, mērķdotācijas izmaksa tiks pārtraukta līdz pārskata precizēšanai vai pārkāpumu novēršanai; pēc pārskata precizēšanas vai pārkāpumu novēršanas. Labklājības ministrija izdarīs pārrēķinu un veiks maksājumus par iepriekšējo periodu un nepamatoti </w:t>
            </w:r>
            <w:r w:rsidRPr="00642945">
              <w:lastRenderedPageBreak/>
              <w:t>izmaksātos līdzekļus ieturēs no nākamajā mēnesī pašvaldībai paredzētajiem līdzekļiem.</w:t>
            </w:r>
          </w:p>
          <w:p w14:paraId="4A51808F" w14:textId="7380DB43" w:rsidR="007C7E14" w:rsidRPr="005555B9" w:rsidRDefault="007E08C0" w:rsidP="007A0BF7">
            <w:pPr>
              <w:pStyle w:val="tv213"/>
              <w:tabs>
                <w:tab w:val="left" w:pos="709"/>
                <w:tab w:val="left" w:pos="993"/>
              </w:tabs>
              <w:spacing w:before="0" w:beforeAutospacing="0" w:after="0" w:afterAutospacing="0"/>
              <w:jc w:val="both"/>
            </w:pPr>
            <w:r w:rsidRPr="005555B9">
              <w:t>P</w:t>
            </w:r>
            <w:r w:rsidR="004B02EB" w:rsidRPr="005555B9">
              <w:t xml:space="preserve">rojekts paredz </w:t>
            </w:r>
            <w:r w:rsidR="00E071CE">
              <w:t xml:space="preserve">precizēt </w:t>
            </w:r>
            <w:r w:rsidR="00E071CE" w:rsidRPr="00F363B6">
              <w:t>Ministru kabineta 2021.gada 11.janvāra rīkojum</w:t>
            </w:r>
            <w:r w:rsidR="007C7E14">
              <w:t>a</w:t>
            </w:r>
            <w:r w:rsidR="00E071CE" w:rsidRPr="00F363B6">
              <w:t xml:space="preserve"> Nr.11 “Par finanšu līdzekļu piešķiršanu no valsts budžeta programmas “Līdzekļi neparedzētiem gadījumiem””</w:t>
            </w:r>
            <w:r w:rsidR="007C7E14">
              <w:t xml:space="preserve"> 1.punktu, atbilstoši </w:t>
            </w:r>
            <w:r w:rsidR="007C7E14" w:rsidRPr="009B0207">
              <w:t>2021.gada 18.februārī Saeim</w:t>
            </w:r>
            <w:r w:rsidR="00E92B1F">
              <w:t>ā</w:t>
            </w:r>
            <w:r w:rsidR="007C7E14" w:rsidRPr="009B0207">
              <w:t xml:space="preserve"> pieņ</w:t>
            </w:r>
            <w:r w:rsidR="007C7E14">
              <w:t>emtaja</w:t>
            </w:r>
            <w:r w:rsidR="006E4870">
              <w:t>m</w:t>
            </w:r>
            <w:r w:rsidR="007C7E14" w:rsidRPr="009B0207">
              <w:t xml:space="preserve"> likum</w:t>
            </w:r>
            <w:r w:rsidR="007C7E14">
              <w:t>a</w:t>
            </w:r>
            <w:r w:rsidR="006E4870">
              <w:t>m</w:t>
            </w:r>
            <w:r w:rsidR="007C7E14" w:rsidRPr="009B0207">
              <w:t xml:space="preserve"> “Grozījumi Sociālo pakalpojumu un sociālās palīdzības likumā” (stājas spēkā 2021.gada 25.februārī),</w:t>
            </w:r>
            <w:r w:rsidR="007C7E14" w:rsidRPr="005555B9">
              <w:t xml:space="preserve"> ar kuru likums </w:t>
            </w:r>
            <w:r w:rsidR="007C7E14">
              <w:t xml:space="preserve">ir papildināts ar </w:t>
            </w:r>
            <w:r w:rsidR="007C7E14" w:rsidRPr="005555B9">
              <w:t>pārejas noteikumu 37.</w:t>
            </w:r>
            <w:r w:rsidR="007C7E14" w:rsidRPr="00893971">
              <w:rPr>
                <w:vertAlign w:val="superscript"/>
              </w:rPr>
              <w:t>1</w:t>
            </w:r>
            <w:r w:rsidR="007C7E14" w:rsidRPr="005555B9">
              <w:t>punkt</w:t>
            </w:r>
            <w:r w:rsidR="007C7E14">
              <w:t>u</w:t>
            </w:r>
            <w:r w:rsidR="007C7E14" w:rsidRPr="005555B9">
              <w:t>.</w:t>
            </w:r>
          </w:p>
          <w:p w14:paraId="295F69C0" w14:textId="60DB6E18" w:rsidR="00E071CE" w:rsidRDefault="007A0BF7" w:rsidP="007A0BF7">
            <w:pPr>
              <w:pStyle w:val="tv213"/>
              <w:tabs>
                <w:tab w:val="left" w:pos="709"/>
                <w:tab w:val="left" w:pos="993"/>
              </w:tabs>
              <w:spacing w:before="0" w:beforeAutospacing="0" w:after="0" w:afterAutospacing="0"/>
              <w:jc w:val="both"/>
            </w:pPr>
            <w:r w:rsidRPr="007A0BF7">
              <w:t xml:space="preserve">Ņemot vērā, ka nav iespējams precīzi prognozēt faktiskos izdevumus, kurus būs jākompensē pašvaldībām no valsts budžeta līdzekļiem, kā arī lai mazinātu administratīvo slogu, nepieprasot finansējumu par katru pašvaldības pieprasījumu, gadījumā, ja, atbilstoši Ministru kabineta 2021.gada 11.janvāra rīkojumam Nr.11 “Par finanšu līdzekļu piešķiršanu no valsts budžeta programmas "Līdzekļi neparedzētiem gadījumiem"”  (prot. Nr. 2 34. §),  piešķirto līdzekļu 375 000 </w:t>
            </w:r>
            <w:proofErr w:type="spellStart"/>
            <w:r w:rsidRPr="00E21457">
              <w:rPr>
                <w:i/>
              </w:rPr>
              <w:t>euro</w:t>
            </w:r>
            <w:proofErr w:type="spellEnd"/>
            <w:r w:rsidRPr="007A0BF7">
              <w:t xml:space="preserve"> apmērā ietvaros, nebūs iespējams nodrošināt pašvaldībām izdevumu kompensēšanu par pabalstu krīzes situācijā nodrošināšanu atbilstoši  likuma pārejas noteikumu</w:t>
            </w:r>
            <w:r w:rsidR="00893971">
              <w:t xml:space="preserve"> </w:t>
            </w:r>
            <w:r w:rsidR="00893971" w:rsidRPr="005555B9">
              <w:t>37.</w:t>
            </w:r>
            <w:r w:rsidR="00893971" w:rsidRPr="00893971">
              <w:rPr>
                <w:vertAlign w:val="superscript"/>
              </w:rPr>
              <w:t>1</w:t>
            </w:r>
            <w:r w:rsidRPr="007A0BF7">
              <w:t xml:space="preserve"> punktam, Labklājības ministrija normatīvajos aktos noteiktajā kārtībā iesniegs priekšlikumus līdzekļu pārdalei no 74.resora „Gadskārtējā valsts budžeta izpildes procesā pārdalāmais finansējums” programmas 02.00.00 „Līdzekļi neparedzētiem gadījumiem”, ne vairāk kā </w:t>
            </w:r>
            <w:r w:rsidR="00272C29">
              <w:t>133 510</w:t>
            </w:r>
            <w:r w:rsidRPr="007A0BF7">
              <w:t xml:space="preserve"> </w:t>
            </w:r>
            <w:proofErr w:type="spellStart"/>
            <w:r w:rsidRPr="00E21457">
              <w:rPr>
                <w:i/>
              </w:rPr>
              <w:t>euro</w:t>
            </w:r>
            <w:proofErr w:type="spellEnd"/>
            <w:r w:rsidRPr="007A0BF7">
              <w:t xml:space="preserve"> apmērā, lai </w:t>
            </w:r>
            <w:r w:rsidR="007C18EA" w:rsidRPr="005555B9">
              <w:t>laikposmā no 2021.gada 1.februāra līdz 2021.gada 30.jūnijam</w:t>
            </w:r>
            <w:r w:rsidRPr="007A0BF7">
              <w:t>, atbilstoši likuma pārejas noteikumu 37.</w:t>
            </w:r>
            <w:r w:rsidR="00893971">
              <w:rPr>
                <w:vertAlign w:val="superscript"/>
              </w:rPr>
              <w:t xml:space="preserve">1 </w:t>
            </w:r>
            <w:r w:rsidRPr="007A0BF7">
              <w:t>punktam</w:t>
            </w:r>
            <w:r w:rsidR="00E56936">
              <w:t>,</w:t>
            </w:r>
            <w:r w:rsidRPr="007A0BF7">
              <w:t xml:space="preserve"> kompensētu pašvaldībām izdevumus 50 procentu apmērā no mājsaimniecībai izmaksātā pabalsta krīzes situācijā apmēra, bet ne vairāk kā 75 </w:t>
            </w:r>
            <w:proofErr w:type="spellStart"/>
            <w:r w:rsidRPr="00E21457">
              <w:rPr>
                <w:i/>
              </w:rPr>
              <w:t>euro</w:t>
            </w:r>
            <w:proofErr w:type="spellEnd"/>
            <w:r w:rsidRPr="007A0BF7">
              <w:t xml:space="preserve"> mēnesī vienai personai, un 100 procentu apmērā no mājsaimniecībai, tai skaitā audžuģimenei un aizbildnim, kam ir tiesības uz pabalstu krīzes situācijā, izmaksātā pabalsta </w:t>
            </w:r>
            <w:r w:rsidR="00893971">
              <w:t xml:space="preserve">palielinājuma - </w:t>
            </w:r>
            <w:r w:rsidRPr="007A0BF7">
              <w:t xml:space="preserve">50 </w:t>
            </w:r>
            <w:proofErr w:type="spellStart"/>
            <w:r w:rsidRPr="00E21457">
              <w:rPr>
                <w:i/>
              </w:rPr>
              <w:t>euro</w:t>
            </w:r>
            <w:proofErr w:type="spellEnd"/>
            <w:r w:rsidRPr="007A0BF7">
              <w:t xml:space="preserve"> mēnesī par katru aprūpē esošu bērnu līdz 18 gadu vecumam.</w:t>
            </w:r>
          </w:p>
          <w:p w14:paraId="5ED69A2F" w14:textId="55B05657" w:rsidR="00D606CA" w:rsidRPr="007A0BF7" w:rsidRDefault="00641138" w:rsidP="007A0BF7">
            <w:pPr>
              <w:pStyle w:val="Heading3"/>
              <w:shd w:val="clear" w:color="auto" w:fill="FFFFFF"/>
              <w:spacing w:before="0"/>
              <w:jc w:val="both"/>
              <w:outlineLvl w:val="2"/>
              <w:rPr>
                <w:rFonts w:ascii="Times New Roman" w:eastAsia="Times New Roman" w:hAnsi="Times New Roman" w:cs="Times New Roman"/>
                <w:color w:val="auto"/>
              </w:rPr>
            </w:pPr>
            <w:r w:rsidRPr="007A0BF7">
              <w:rPr>
                <w:rFonts w:ascii="Times New Roman" w:eastAsia="Times New Roman" w:hAnsi="Times New Roman" w:cs="Times New Roman"/>
                <w:color w:val="auto"/>
              </w:rPr>
              <w:t>Vienlaicīgi</w:t>
            </w:r>
            <w:r w:rsidR="001B3E9C" w:rsidRPr="007A0BF7">
              <w:rPr>
                <w:rFonts w:ascii="Times New Roman" w:eastAsia="Times New Roman" w:hAnsi="Times New Roman" w:cs="Times New Roman"/>
                <w:color w:val="auto"/>
              </w:rPr>
              <w:t>,</w:t>
            </w:r>
            <w:r w:rsidRPr="007A0BF7">
              <w:rPr>
                <w:rFonts w:ascii="Times New Roman" w:eastAsia="Times New Roman" w:hAnsi="Times New Roman" w:cs="Times New Roman"/>
                <w:color w:val="auto"/>
              </w:rPr>
              <w:t xml:space="preserve"> piešķirtā finansējuma</w:t>
            </w:r>
            <w:r w:rsidR="005555B9" w:rsidRPr="007A0BF7">
              <w:rPr>
                <w:rFonts w:ascii="Times New Roman" w:eastAsia="Times New Roman" w:hAnsi="Times New Roman" w:cs="Times New Roman"/>
                <w:color w:val="auto"/>
              </w:rPr>
              <w:t xml:space="preserve"> </w:t>
            </w:r>
            <w:r w:rsidR="001B3E9C" w:rsidRPr="007A0BF7">
              <w:rPr>
                <w:rFonts w:ascii="Times New Roman" w:eastAsia="Times New Roman" w:hAnsi="Times New Roman" w:cs="Times New Roman"/>
                <w:color w:val="auto"/>
              </w:rPr>
              <w:t xml:space="preserve">ietvaros, </w:t>
            </w:r>
            <w:r w:rsidR="00D1104D" w:rsidRPr="007A0BF7">
              <w:rPr>
                <w:rFonts w:ascii="Times New Roman" w:eastAsia="Times New Roman" w:hAnsi="Times New Roman" w:cs="Times New Roman"/>
                <w:color w:val="auto"/>
              </w:rPr>
              <w:t xml:space="preserve">pašvaldībām tiks kompensēti izdevumi </w:t>
            </w:r>
            <w:r w:rsidR="007E0D9D" w:rsidRPr="007A0BF7">
              <w:rPr>
                <w:rFonts w:ascii="Times New Roman" w:eastAsia="Times New Roman" w:hAnsi="Times New Roman" w:cs="Times New Roman"/>
                <w:color w:val="auto"/>
              </w:rPr>
              <w:t xml:space="preserve">100 procentu apmērā </w:t>
            </w:r>
            <w:r w:rsidR="003E0F91" w:rsidRPr="007A0BF7">
              <w:rPr>
                <w:rFonts w:ascii="Times New Roman" w:eastAsia="Times New Roman" w:hAnsi="Times New Roman" w:cs="Times New Roman"/>
                <w:color w:val="auto"/>
              </w:rPr>
              <w:t>no ieslodzītajam, kurš tiek atbrīvots no ieslodzījuma vietas un kuram apstiprināta Covid-19 infekcija vai kurš noteikts par kontaktpersonu, ja viņam nav dzīvesvietas, bet jāturpina izolācija vai mājas karantīna, izmaksātā pabalsta krīzes situācijā</w:t>
            </w:r>
            <w:r w:rsidR="007E0D9D" w:rsidRPr="007A0BF7">
              <w:rPr>
                <w:rFonts w:ascii="Times New Roman" w:eastAsia="Times New Roman" w:hAnsi="Times New Roman" w:cs="Times New Roman"/>
                <w:color w:val="auto"/>
              </w:rPr>
              <w:t xml:space="preserve"> (Ministru kabineta 2020. gada 6. novembra rīkojuma Nr. 655 "</w:t>
            </w:r>
            <w:hyperlink r:id="rId10" w:tgtFrame="_blank" w:history="1">
              <w:r w:rsidR="007E0D9D" w:rsidRPr="007A0BF7">
                <w:rPr>
                  <w:rFonts w:ascii="Times New Roman" w:eastAsia="Times New Roman" w:hAnsi="Times New Roman" w:cs="Times New Roman"/>
                  <w:color w:val="auto"/>
                </w:rPr>
                <w:t>Par ārkārtējās situācijas izsludināšanu</w:t>
              </w:r>
            </w:hyperlink>
            <w:r w:rsidR="007E0D9D" w:rsidRPr="007A0BF7">
              <w:rPr>
                <w:rFonts w:ascii="Times New Roman" w:eastAsia="Times New Roman" w:hAnsi="Times New Roman" w:cs="Times New Roman"/>
                <w:color w:val="auto"/>
              </w:rPr>
              <w:t xml:space="preserve">" </w:t>
            </w:r>
            <w:r w:rsidR="00142118" w:rsidRPr="007A0BF7">
              <w:rPr>
                <w:rFonts w:ascii="Times New Roman" w:eastAsia="Times New Roman" w:hAnsi="Times New Roman" w:cs="Times New Roman"/>
                <w:color w:val="auto"/>
              </w:rPr>
              <w:t>5.30.</w:t>
            </w:r>
            <w:r w:rsidR="00142118">
              <w:rPr>
                <w:rFonts w:ascii="Times New Roman" w:eastAsia="Times New Roman" w:hAnsi="Times New Roman" w:cs="Times New Roman"/>
                <w:color w:val="auto"/>
                <w:vertAlign w:val="superscript"/>
              </w:rPr>
              <w:t>1</w:t>
            </w:r>
            <w:r w:rsidR="00142118">
              <w:rPr>
                <w:rFonts w:ascii="Times New Roman" w:eastAsia="Times New Roman" w:hAnsi="Times New Roman" w:cs="Times New Roman"/>
                <w:color w:val="auto"/>
              </w:rPr>
              <w:t>,</w:t>
            </w:r>
            <w:r w:rsidR="00142118">
              <w:rPr>
                <w:rFonts w:ascii="Times New Roman" w:eastAsia="Times New Roman" w:hAnsi="Times New Roman" w:cs="Times New Roman"/>
                <w:color w:val="auto"/>
                <w:vertAlign w:val="superscript"/>
              </w:rPr>
              <w:t xml:space="preserve"> </w:t>
            </w:r>
            <w:r w:rsidR="007E0D9D" w:rsidRPr="007A0BF7">
              <w:rPr>
                <w:rFonts w:ascii="Times New Roman" w:eastAsia="Times New Roman" w:hAnsi="Times New Roman" w:cs="Times New Roman"/>
                <w:color w:val="auto"/>
              </w:rPr>
              <w:t>5.30.</w:t>
            </w:r>
            <w:r w:rsidR="007E0D9D" w:rsidRPr="00E56936">
              <w:rPr>
                <w:rFonts w:ascii="Times New Roman" w:eastAsia="Times New Roman" w:hAnsi="Times New Roman" w:cs="Times New Roman"/>
                <w:color w:val="auto"/>
                <w:vertAlign w:val="superscript"/>
              </w:rPr>
              <w:t>4</w:t>
            </w:r>
            <w:r w:rsidR="007E0D9D" w:rsidRPr="007A0BF7">
              <w:rPr>
                <w:rFonts w:ascii="Times New Roman" w:eastAsia="Times New Roman" w:hAnsi="Times New Roman" w:cs="Times New Roman"/>
                <w:color w:val="auto"/>
              </w:rPr>
              <w:t xml:space="preserve"> un 5.30.</w:t>
            </w:r>
            <w:r w:rsidR="00E56936">
              <w:rPr>
                <w:rFonts w:ascii="Times New Roman" w:eastAsia="Times New Roman" w:hAnsi="Times New Roman" w:cs="Times New Roman"/>
                <w:color w:val="auto"/>
                <w:vertAlign w:val="superscript"/>
              </w:rPr>
              <w:t xml:space="preserve">5 </w:t>
            </w:r>
            <w:r w:rsidR="007E0D9D" w:rsidRPr="007A0BF7">
              <w:rPr>
                <w:rFonts w:ascii="Times New Roman" w:eastAsia="Times New Roman" w:hAnsi="Times New Roman" w:cs="Times New Roman"/>
                <w:color w:val="auto"/>
              </w:rPr>
              <w:t>apakšpunkts).</w:t>
            </w:r>
          </w:p>
        </w:tc>
      </w:tr>
      <w:tr w:rsidR="00130487" w14:paraId="78E6C159" w14:textId="77777777" w:rsidTr="0079260F">
        <w:tc>
          <w:tcPr>
            <w:tcW w:w="568" w:type="dxa"/>
          </w:tcPr>
          <w:p w14:paraId="322A9867"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14:paraId="2725859B"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65834B25" w14:textId="0982663E" w:rsidR="00130487" w:rsidRDefault="001B674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r w:rsidR="00130487" w14:paraId="760CA46E" w14:textId="77777777" w:rsidTr="0079260F">
        <w:tc>
          <w:tcPr>
            <w:tcW w:w="568" w:type="dxa"/>
          </w:tcPr>
          <w:p w14:paraId="47947DA6"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14:paraId="26A52F22"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14:paraId="2A0DFF6C" w14:textId="6A89C563" w:rsidR="00DF2BB9"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p w14:paraId="42665988" w14:textId="77777777" w:rsidR="00130487" w:rsidRPr="00DF2BB9" w:rsidRDefault="00130487" w:rsidP="00DF2BB9"/>
        </w:tc>
      </w:tr>
    </w:tbl>
    <w:p w14:paraId="5E0CF3C4" w14:textId="0B52624D" w:rsidR="00EC6E12" w:rsidRDefault="00EC6E12" w:rsidP="00EC6E12">
      <w:pPr>
        <w:pStyle w:val="NoSpacing"/>
        <w:jc w:val="center"/>
        <w:rPr>
          <w:rFonts w:ascii="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
        <w:gridCol w:w="3048"/>
        <w:gridCol w:w="30"/>
        <w:gridCol w:w="5370"/>
      </w:tblGrid>
      <w:tr w:rsidR="00462D25" w:rsidRPr="00462D25" w14:paraId="6C588299" w14:textId="77777777" w:rsidTr="00A6642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6253469" w14:textId="77777777" w:rsidR="00462D25" w:rsidRPr="00462D25" w:rsidRDefault="00462D25" w:rsidP="00462D25">
            <w:pPr>
              <w:pStyle w:val="NoSpacing"/>
              <w:jc w:val="both"/>
              <w:rPr>
                <w:rFonts w:ascii="Times New Roman" w:hAnsi="Times New Roman" w:cs="Times New Roman"/>
                <w:b/>
                <w:sz w:val="24"/>
                <w:szCs w:val="24"/>
              </w:rPr>
            </w:pPr>
            <w:r w:rsidRPr="00462D25">
              <w:rPr>
                <w:rFonts w:ascii="Times New Roman" w:hAnsi="Times New Roman" w:cs="Times New Roman"/>
                <w:b/>
                <w:sz w:val="24"/>
                <w:szCs w:val="24"/>
              </w:rPr>
              <w:t>II. Tiesību akta projekta ietekme uz sabiedrību, tautsaimniecības attīstību un administratīvo slogu</w:t>
            </w:r>
          </w:p>
        </w:tc>
      </w:tr>
      <w:tr w:rsidR="00462D25" w:rsidRPr="00462D25" w14:paraId="654DA3E1" w14:textId="77777777" w:rsidTr="00A6642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971B59"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lastRenderedPageBreak/>
              <w:t>1.</w:t>
            </w:r>
          </w:p>
        </w:tc>
        <w:tc>
          <w:tcPr>
            <w:tcW w:w="1678" w:type="pct"/>
            <w:gridSpan w:val="2"/>
            <w:tcBorders>
              <w:top w:val="outset" w:sz="6" w:space="0" w:color="auto"/>
              <w:left w:val="outset" w:sz="6" w:space="0" w:color="auto"/>
              <w:bottom w:val="outset" w:sz="6" w:space="0" w:color="auto"/>
              <w:right w:val="outset" w:sz="6" w:space="0" w:color="auto"/>
            </w:tcBorders>
            <w:hideMark/>
          </w:tcPr>
          <w:p w14:paraId="3200F13C"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Sabiedrības mērķgrupas, kuras tiesiskais regulējums ietekmē vai varētu ietekmēt</w:t>
            </w:r>
          </w:p>
        </w:tc>
        <w:tc>
          <w:tcPr>
            <w:tcW w:w="2960" w:type="pct"/>
            <w:gridSpan w:val="2"/>
            <w:tcBorders>
              <w:top w:val="outset" w:sz="6" w:space="0" w:color="auto"/>
              <w:left w:val="outset" w:sz="6" w:space="0" w:color="auto"/>
              <w:bottom w:val="outset" w:sz="6" w:space="0" w:color="auto"/>
              <w:right w:val="outset" w:sz="6" w:space="0" w:color="auto"/>
            </w:tcBorders>
            <w:hideMark/>
          </w:tcPr>
          <w:p w14:paraId="693364B5" w14:textId="77777777" w:rsidR="00462D25" w:rsidRPr="00462D25" w:rsidRDefault="00462D25" w:rsidP="00462D25">
            <w:pPr>
              <w:pStyle w:val="NoSpacing"/>
              <w:numPr>
                <w:ilvl w:val="0"/>
                <w:numId w:val="28"/>
              </w:numPr>
              <w:ind w:left="0" w:firstLine="0"/>
              <w:rPr>
                <w:rFonts w:ascii="Times New Roman" w:hAnsi="Times New Roman" w:cs="Times New Roman"/>
                <w:sz w:val="24"/>
                <w:szCs w:val="24"/>
              </w:rPr>
            </w:pPr>
            <w:r w:rsidRPr="00462D25">
              <w:rPr>
                <w:rFonts w:ascii="Times New Roman" w:hAnsi="Times New Roman" w:cs="Times New Roman"/>
                <w:sz w:val="24"/>
                <w:szCs w:val="24"/>
              </w:rPr>
              <w:t>iedzīvotāji, kuriem radīsies krīzes situācija ārkārtējās situācijas dēļ;</w:t>
            </w:r>
          </w:p>
          <w:p w14:paraId="73AB72C1" w14:textId="77777777" w:rsidR="00462D25" w:rsidRPr="00462D25" w:rsidRDefault="00462D25" w:rsidP="00462D25">
            <w:pPr>
              <w:pStyle w:val="NoSpacing"/>
              <w:numPr>
                <w:ilvl w:val="0"/>
                <w:numId w:val="28"/>
              </w:numPr>
              <w:ind w:left="-34" w:firstLine="0"/>
              <w:rPr>
                <w:rFonts w:ascii="Times New Roman" w:hAnsi="Times New Roman" w:cs="Times New Roman"/>
                <w:sz w:val="24"/>
                <w:szCs w:val="24"/>
              </w:rPr>
            </w:pPr>
            <w:r w:rsidRPr="00462D25">
              <w:rPr>
                <w:rFonts w:ascii="Times New Roman" w:hAnsi="Times New Roman" w:cs="Times New Roman"/>
                <w:sz w:val="24"/>
                <w:szCs w:val="24"/>
              </w:rPr>
              <w:t xml:space="preserve">pašvaldību 119 sociālajos dienestos strādā </w:t>
            </w:r>
          </w:p>
          <w:p w14:paraId="135E51BF" w14:textId="1FABFD29" w:rsidR="00462D25" w:rsidRPr="00462D25" w:rsidRDefault="00462D25" w:rsidP="009F572A">
            <w:pPr>
              <w:pStyle w:val="NoSpacing"/>
              <w:jc w:val="both"/>
              <w:rPr>
                <w:rFonts w:ascii="Times New Roman" w:hAnsi="Times New Roman" w:cs="Times New Roman"/>
                <w:sz w:val="24"/>
                <w:szCs w:val="24"/>
              </w:rPr>
            </w:pPr>
            <w:r w:rsidRPr="00462D25">
              <w:rPr>
                <w:rFonts w:ascii="Times New Roman" w:hAnsi="Times New Roman" w:cs="Times New Roman"/>
                <w:sz w:val="24"/>
                <w:szCs w:val="24"/>
              </w:rPr>
              <w:t xml:space="preserve">1 </w:t>
            </w:r>
            <w:r w:rsidR="00E157B2">
              <w:rPr>
                <w:rFonts w:ascii="Times New Roman" w:hAnsi="Times New Roman" w:cs="Times New Roman"/>
                <w:sz w:val="24"/>
                <w:szCs w:val="24"/>
              </w:rPr>
              <w:t>436</w:t>
            </w:r>
            <w:r w:rsidRPr="00462D25">
              <w:rPr>
                <w:rFonts w:ascii="Times New Roman" w:hAnsi="Times New Roman" w:cs="Times New Roman"/>
                <w:sz w:val="24"/>
                <w:szCs w:val="24"/>
              </w:rPr>
              <w:t xml:space="preserve"> sociālā darba speciālisti, kuru darbs tieši saistīts ar klientu</w:t>
            </w:r>
            <w:r w:rsidR="009F572A">
              <w:rPr>
                <w:rFonts w:ascii="Times New Roman" w:hAnsi="Times New Roman" w:cs="Times New Roman"/>
                <w:sz w:val="24"/>
                <w:szCs w:val="24"/>
              </w:rPr>
              <w:t>,</w:t>
            </w:r>
            <w:r w:rsidR="009F572A" w:rsidRPr="00462D25">
              <w:rPr>
                <w:rFonts w:ascii="Times New Roman" w:hAnsi="Times New Roman" w:cs="Times New Roman"/>
                <w:sz w:val="24"/>
                <w:szCs w:val="24"/>
              </w:rPr>
              <w:t xml:space="preserve"> jo būs jāizvērtē </w:t>
            </w:r>
            <w:r w:rsidR="003E0F91">
              <w:rPr>
                <w:rFonts w:ascii="Times New Roman" w:hAnsi="Times New Roman" w:cs="Times New Roman"/>
                <w:sz w:val="24"/>
                <w:szCs w:val="24"/>
              </w:rPr>
              <w:t>mājsaimniecību</w:t>
            </w:r>
            <w:r w:rsidR="009F572A" w:rsidRPr="00462D25">
              <w:rPr>
                <w:rFonts w:ascii="Times New Roman" w:hAnsi="Times New Roman" w:cs="Times New Roman"/>
                <w:sz w:val="24"/>
                <w:szCs w:val="24"/>
              </w:rPr>
              <w:t xml:space="preserve"> iesniegumi un jā</w:t>
            </w:r>
            <w:r w:rsidR="009F572A">
              <w:rPr>
                <w:rFonts w:ascii="Times New Roman" w:hAnsi="Times New Roman" w:cs="Times New Roman"/>
                <w:sz w:val="24"/>
                <w:szCs w:val="24"/>
              </w:rPr>
              <w:t>pieņem lēmums</w:t>
            </w:r>
            <w:r w:rsidR="009F572A" w:rsidRPr="00462D25">
              <w:rPr>
                <w:rFonts w:ascii="Times New Roman" w:hAnsi="Times New Roman" w:cs="Times New Roman"/>
                <w:sz w:val="24"/>
                <w:szCs w:val="24"/>
              </w:rPr>
              <w:t xml:space="preserve"> pabalsta </w:t>
            </w:r>
            <w:r w:rsidR="00A93DEF" w:rsidRPr="00A93DEF">
              <w:rPr>
                <w:rFonts w:ascii="Times New Roman" w:hAnsi="Times New Roman" w:cs="Times New Roman"/>
                <w:sz w:val="24"/>
                <w:szCs w:val="24"/>
              </w:rPr>
              <w:t>krīzes situācijā</w:t>
            </w:r>
            <w:r w:rsidR="00A93DEF">
              <w:t xml:space="preserve"> </w:t>
            </w:r>
            <w:r w:rsidR="009F572A" w:rsidRPr="00462D25">
              <w:rPr>
                <w:rFonts w:ascii="Times New Roman" w:hAnsi="Times New Roman" w:cs="Times New Roman"/>
                <w:sz w:val="24"/>
                <w:szCs w:val="24"/>
              </w:rPr>
              <w:t>piešķiršanai</w:t>
            </w:r>
            <w:r w:rsidR="009F572A">
              <w:rPr>
                <w:rFonts w:ascii="Times New Roman" w:hAnsi="Times New Roman" w:cs="Times New Roman"/>
                <w:sz w:val="24"/>
                <w:szCs w:val="24"/>
              </w:rPr>
              <w:t xml:space="preserve"> vai nepiešķiršanai</w:t>
            </w:r>
            <w:r w:rsidR="009F572A" w:rsidRPr="00462D25">
              <w:rPr>
                <w:rFonts w:ascii="Times New Roman" w:hAnsi="Times New Roman" w:cs="Times New Roman"/>
                <w:sz w:val="24"/>
                <w:szCs w:val="24"/>
              </w:rPr>
              <w:t>.</w:t>
            </w:r>
          </w:p>
          <w:p w14:paraId="2472DB23" w14:textId="77777777" w:rsidR="00462D25" w:rsidRPr="00462D25" w:rsidRDefault="00462D25" w:rsidP="00462D25">
            <w:pPr>
              <w:pStyle w:val="NoSpacing"/>
              <w:rPr>
                <w:rFonts w:ascii="Times New Roman" w:hAnsi="Times New Roman" w:cs="Times New Roman"/>
                <w:sz w:val="24"/>
                <w:szCs w:val="24"/>
              </w:rPr>
            </w:pPr>
          </w:p>
        </w:tc>
      </w:tr>
      <w:tr w:rsidR="00462D25" w:rsidRPr="00462D25" w14:paraId="423D8D0D" w14:textId="77777777" w:rsidTr="00A6642B">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6E94EA98"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2.</w:t>
            </w:r>
          </w:p>
        </w:tc>
        <w:tc>
          <w:tcPr>
            <w:tcW w:w="1678" w:type="pct"/>
            <w:gridSpan w:val="2"/>
            <w:tcBorders>
              <w:top w:val="outset" w:sz="6" w:space="0" w:color="auto"/>
              <w:left w:val="outset" w:sz="6" w:space="0" w:color="auto"/>
              <w:bottom w:val="outset" w:sz="6" w:space="0" w:color="auto"/>
              <w:right w:val="outset" w:sz="6" w:space="0" w:color="auto"/>
            </w:tcBorders>
            <w:hideMark/>
          </w:tcPr>
          <w:p w14:paraId="61F8ACB9"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1C071771"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Projektam nebūs būtiska ietekme uz tautsaimniecību, kā arī uz kopējo administratīvo slogu.</w:t>
            </w:r>
          </w:p>
          <w:p w14:paraId="571B028C" w14:textId="77777777" w:rsidR="00462D25" w:rsidRPr="00462D25" w:rsidRDefault="00462D25" w:rsidP="00462D25">
            <w:pPr>
              <w:pStyle w:val="NoSpacing"/>
              <w:rPr>
                <w:rFonts w:ascii="Times New Roman" w:hAnsi="Times New Roman" w:cs="Times New Roman"/>
                <w:sz w:val="24"/>
                <w:szCs w:val="24"/>
              </w:rPr>
            </w:pPr>
          </w:p>
        </w:tc>
      </w:tr>
      <w:tr w:rsidR="00462D25" w:rsidRPr="00462D25" w14:paraId="1D04C4DB" w14:textId="77777777" w:rsidTr="00A6642B">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4E58FD8B"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3.</w:t>
            </w:r>
          </w:p>
        </w:tc>
        <w:tc>
          <w:tcPr>
            <w:tcW w:w="1678" w:type="pct"/>
            <w:gridSpan w:val="2"/>
            <w:tcBorders>
              <w:top w:val="outset" w:sz="6" w:space="0" w:color="auto"/>
              <w:left w:val="outset" w:sz="6" w:space="0" w:color="auto"/>
              <w:bottom w:val="outset" w:sz="6" w:space="0" w:color="auto"/>
              <w:right w:val="outset" w:sz="6" w:space="0" w:color="auto"/>
            </w:tcBorders>
            <w:hideMark/>
          </w:tcPr>
          <w:p w14:paraId="4703A4D2"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1D6F8A2"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Projektam nebūs papildu administratīvās izmaksas.</w:t>
            </w:r>
          </w:p>
          <w:p w14:paraId="5F0D51B7" w14:textId="77777777" w:rsidR="00462D25" w:rsidRPr="00462D25" w:rsidRDefault="00462D25" w:rsidP="00462D25">
            <w:pPr>
              <w:pStyle w:val="NoSpacing"/>
              <w:rPr>
                <w:rFonts w:ascii="Times New Roman" w:hAnsi="Times New Roman" w:cs="Times New Roman"/>
                <w:sz w:val="24"/>
                <w:szCs w:val="24"/>
              </w:rPr>
            </w:pPr>
          </w:p>
        </w:tc>
      </w:tr>
      <w:tr w:rsidR="00462D25" w:rsidRPr="00462D25" w14:paraId="07958EFE" w14:textId="77777777" w:rsidTr="00A6642B">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5B00C433"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4.</w:t>
            </w:r>
          </w:p>
        </w:tc>
        <w:tc>
          <w:tcPr>
            <w:tcW w:w="1678" w:type="pct"/>
            <w:gridSpan w:val="2"/>
            <w:tcBorders>
              <w:top w:val="outset" w:sz="6" w:space="0" w:color="auto"/>
              <w:left w:val="outset" w:sz="6" w:space="0" w:color="auto"/>
              <w:bottom w:val="outset" w:sz="6" w:space="0" w:color="auto"/>
              <w:right w:val="outset" w:sz="6" w:space="0" w:color="auto"/>
            </w:tcBorders>
            <w:hideMark/>
          </w:tcPr>
          <w:p w14:paraId="4773ACAC"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3BB41BA6"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 xml:space="preserve">Projektā noteiktās izmaiņas neuzliek papildus pienākumus fiziskām vai juridiskām personām. </w:t>
            </w:r>
          </w:p>
        </w:tc>
      </w:tr>
      <w:tr w:rsidR="00462D25" w:rsidRPr="00462D25" w14:paraId="2FB8C7B0" w14:textId="77777777" w:rsidTr="00A6642B">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0F9B5807"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5.</w:t>
            </w:r>
          </w:p>
        </w:tc>
        <w:tc>
          <w:tcPr>
            <w:tcW w:w="1678" w:type="pct"/>
            <w:gridSpan w:val="2"/>
            <w:tcBorders>
              <w:top w:val="outset" w:sz="6" w:space="0" w:color="auto"/>
              <w:left w:val="outset" w:sz="6" w:space="0" w:color="auto"/>
              <w:bottom w:val="outset" w:sz="6" w:space="0" w:color="auto"/>
              <w:right w:val="outset" w:sz="6" w:space="0" w:color="auto"/>
            </w:tcBorders>
            <w:hideMark/>
          </w:tcPr>
          <w:p w14:paraId="558CCF65"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5FD4124"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Nav</w:t>
            </w:r>
          </w:p>
        </w:tc>
      </w:tr>
    </w:tbl>
    <w:p w14:paraId="0FCCFF12" w14:textId="77777777" w:rsidR="009B5D17" w:rsidRPr="00EC6E12" w:rsidRDefault="009B5D17" w:rsidP="00EC6E12">
      <w:pPr>
        <w:pStyle w:val="NoSpacing"/>
        <w:jc w:val="center"/>
        <w:rPr>
          <w:rFonts w:ascii="Times New Roman" w:hAnsi="Times New Roman" w:cs="Times New Roman"/>
          <w:sz w:val="24"/>
          <w:szCs w:val="24"/>
          <w:lang w:eastAsia="lv-LV"/>
        </w:rPr>
      </w:pPr>
    </w:p>
    <w:p w14:paraId="7E7C9637"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W w:w="516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71"/>
        <w:gridCol w:w="976"/>
        <w:gridCol w:w="975"/>
        <w:gridCol w:w="855"/>
        <w:gridCol w:w="1052"/>
        <w:gridCol w:w="656"/>
        <w:gridCol w:w="1170"/>
        <w:gridCol w:w="1601"/>
      </w:tblGrid>
      <w:tr w:rsidR="00432F98" w:rsidRPr="00432F98" w14:paraId="4BE16D3C" w14:textId="77777777" w:rsidTr="00432F98">
        <w:trPr>
          <w:cantSplit/>
        </w:trPr>
        <w:tc>
          <w:tcPr>
            <w:tcW w:w="9356" w:type="dxa"/>
            <w:gridSpan w:val="8"/>
            <w:shd w:val="clear" w:color="auto" w:fill="auto"/>
            <w:vAlign w:val="center"/>
            <w:hideMark/>
          </w:tcPr>
          <w:p w14:paraId="5AFD8B9A" w14:textId="77777777" w:rsidR="00432F98" w:rsidRPr="00432F98" w:rsidRDefault="00432F98" w:rsidP="00432F98">
            <w:pPr>
              <w:jc w:val="center"/>
              <w:rPr>
                <w:rFonts w:eastAsiaTheme="minorHAnsi" w:cstheme="minorBidi"/>
                <w:b/>
                <w:lang w:eastAsia="en-US"/>
              </w:rPr>
            </w:pPr>
            <w:r w:rsidRPr="00432F98">
              <w:rPr>
                <w:rFonts w:eastAsiaTheme="minorHAnsi" w:cstheme="minorBidi"/>
                <w:b/>
                <w:lang w:eastAsia="en-US"/>
              </w:rPr>
              <w:t>III. Tiesību akta projekta ietekme uz valsts budžetu un pašvaldību budžetiem</w:t>
            </w:r>
          </w:p>
        </w:tc>
      </w:tr>
      <w:tr w:rsidR="00432F98" w:rsidRPr="00432F98" w14:paraId="43880A02" w14:textId="77777777" w:rsidTr="00432F98">
        <w:trPr>
          <w:cantSplit/>
        </w:trPr>
        <w:tc>
          <w:tcPr>
            <w:tcW w:w="2071" w:type="dxa"/>
            <w:vMerge w:val="restart"/>
            <w:shd w:val="clear" w:color="auto" w:fill="FFFFFF"/>
            <w:vAlign w:val="center"/>
          </w:tcPr>
          <w:p w14:paraId="22286BEB"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Rādītāji</w:t>
            </w:r>
          </w:p>
        </w:tc>
        <w:tc>
          <w:tcPr>
            <w:tcW w:w="1951" w:type="dxa"/>
            <w:gridSpan w:val="2"/>
            <w:vMerge w:val="restart"/>
            <w:shd w:val="clear" w:color="auto" w:fill="FFFFFF"/>
            <w:vAlign w:val="center"/>
            <w:hideMark/>
          </w:tcPr>
          <w:p w14:paraId="03C0D70A" w14:textId="77777777" w:rsidR="00432F98" w:rsidRPr="00432F98" w:rsidRDefault="00432F98" w:rsidP="00432F98">
            <w:pPr>
              <w:jc w:val="center"/>
              <w:rPr>
                <w:rFonts w:eastAsiaTheme="minorHAnsi" w:cstheme="minorBidi"/>
                <w:sz w:val="20"/>
                <w:szCs w:val="20"/>
                <w:lang w:eastAsia="en-US"/>
              </w:rPr>
            </w:pPr>
            <w:r w:rsidRPr="00432F98">
              <w:rPr>
                <w:rFonts w:eastAsiaTheme="minorHAnsi" w:cstheme="minorBidi"/>
                <w:sz w:val="20"/>
                <w:szCs w:val="20"/>
                <w:lang w:eastAsia="en-US"/>
              </w:rPr>
              <w:t>2021.gads</w:t>
            </w:r>
          </w:p>
        </w:tc>
        <w:tc>
          <w:tcPr>
            <w:tcW w:w="5334" w:type="dxa"/>
            <w:gridSpan w:val="5"/>
            <w:shd w:val="clear" w:color="auto" w:fill="FFFFFF"/>
            <w:vAlign w:val="center"/>
            <w:hideMark/>
          </w:tcPr>
          <w:p w14:paraId="180644BF" w14:textId="77777777" w:rsidR="00432F98" w:rsidRPr="00432F98" w:rsidRDefault="00432F98" w:rsidP="00432F98">
            <w:pPr>
              <w:jc w:val="center"/>
              <w:rPr>
                <w:rFonts w:eastAsiaTheme="minorHAnsi" w:cstheme="minorBidi"/>
                <w:sz w:val="20"/>
                <w:szCs w:val="20"/>
                <w:lang w:eastAsia="en-US"/>
              </w:rPr>
            </w:pPr>
            <w:r w:rsidRPr="00432F98">
              <w:rPr>
                <w:rFonts w:eastAsiaTheme="minorHAnsi" w:cstheme="minorBidi"/>
                <w:sz w:val="20"/>
                <w:szCs w:val="20"/>
                <w:lang w:eastAsia="en-US"/>
              </w:rPr>
              <w:t>Turpmākie trīs gadi (</w:t>
            </w:r>
            <w:proofErr w:type="spellStart"/>
            <w:r w:rsidRPr="00024B64">
              <w:rPr>
                <w:rFonts w:eastAsiaTheme="minorHAnsi" w:cstheme="minorBidi"/>
                <w:i/>
                <w:sz w:val="20"/>
                <w:szCs w:val="20"/>
                <w:lang w:eastAsia="en-US"/>
              </w:rPr>
              <w:t>euro</w:t>
            </w:r>
            <w:proofErr w:type="spellEnd"/>
            <w:r w:rsidRPr="00432F98">
              <w:rPr>
                <w:rFonts w:eastAsiaTheme="minorHAnsi" w:cstheme="minorBidi"/>
                <w:sz w:val="20"/>
                <w:szCs w:val="20"/>
                <w:lang w:eastAsia="en-US"/>
              </w:rPr>
              <w:t>)</w:t>
            </w:r>
          </w:p>
        </w:tc>
      </w:tr>
      <w:tr w:rsidR="00432F98" w:rsidRPr="00432F98" w14:paraId="27EAAA30" w14:textId="77777777" w:rsidTr="00432F98">
        <w:trPr>
          <w:cantSplit/>
        </w:trPr>
        <w:tc>
          <w:tcPr>
            <w:tcW w:w="2071" w:type="dxa"/>
            <w:vMerge/>
            <w:shd w:val="clear" w:color="auto" w:fill="auto"/>
            <w:vAlign w:val="center"/>
            <w:hideMark/>
          </w:tcPr>
          <w:p w14:paraId="54F4D886" w14:textId="77777777" w:rsidR="00432F98" w:rsidRPr="00432F98" w:rsidRDefault="00432F98" w:rsidP="00432F98">
            <w:pPr>
              <w:jc w:val="both"/>
              <w:rPr>
                <w:rFonts w:eastAsiaTheme="minorHAnsi" w:cstheme="minorBidi"/>
                <w:sz w:val="20"/>
                <w:szCs w:val="20"/>
                <w:lang w:eastAsia="en-US"/>
              </w:rPr>
            </w:pPr>
          </w:p>
        </w:tc>
        <w:tc>
          <w:tcPr>
            <w:tcW w:w="1951" w:type="dxa"/>
            <w:gridSpan w:val="2"/>
            <w:vMerge/>
            <w:shd w:val="clear" w:color="auto" w:fill="auto"/>
            <w:vAlign w:val="center"/>
            <w:hideMark/>
          </w:tcPr>
          <w:p w14:paraId="502378CD" w14:textId="77777777" w:rsidR="00432F98" w:rsidRPr="00432F98" w:rsidRDefault="00432F98" w:rsidP="00432F98">
            <w:pPr>
              <w:jc w:val="both"/>
              <w:rPr>
                <w:rFonts w:eastAsiaTheme="minorHAnsi" w:cstheme="minorBidi"/>
                <w:sz w:val="20"/>
                <w:szCs w:val="20"/>
                <w:lang w:eastAsia="en-US"/>
              </w:rPr>
            </w:pPr>
          </w:p>
        </w:tc>
        <w:tc>
          <w:tcPr>
            <w:tcW w:w="1907" w:type="dxa"/>
            <w:gridSpan w:val="2"/>
            <w:shd w:val="clear" w:color="auto" w:fill="FFFFFF"/>
            <w:vAlign w:val="center"/>
            <w:hideMark/>
          </w:tcPr>
          <w:p w14:paraId="7BDE2E6E" w14:textId="77777777" w:rsidR="00432F98" w:rsidRPr="00432F98" w:rsidRDefault="00432F98" w:rsidP="00432F98">
            <w:pPr>
              <w:jc w:val="center"/>
              <w:rPr>
                <w:rFonts w:eastAsiaTheme="minorHAnsi" w:cstheme="minorBidi"/>
                <w:sz w:val="20"/>
                <w:szCs w:val="20"/>
                <w:lang w:eastAsia="en-US"/>
              </w:rPr>
            </w:pPr>
            <w:r w:rsidRPr="00432F98">
              <w:rPr>
                <w:rFonts w:eastAsiaTheme="minorHAnsi" w:cstheme="minorBidi"/>
                <w:sz w:val="20"/>
                <w:szCs w:val="20"/>
                <w:lang w:eastAsia="en-US"/>
              </w:rPr>
              <w:t>2022</w:t>
            </w:r>
          </w:p>
        </w:tc>
        <w:tc>
          <w:tcPr>
            <w:tcW w:w="1826" w:type="dxa"/>
            <w:gridSpan w:val="2"/>
            <w:shd w:val="clear" w:color="auto" w:fill="FFFFFF"/>
            <w:vAlign w:val="center"/>
            <w:hideMark/>
          </w:tcPr>
          <w:p w14:paraId="15A829A0" w14:textId="77777777" w:rsidR="00432F98" w:rsidRPr="00432F98" w:rsidRDefault="00432F98" w:rsidP="00432F98">
            <w:pPr>
              <w:jc w:val="center"/>
              <w:rPr>
                <w:rFonts w:eastAsiaTheme="minorHAnsi" w:cstheme="minorBidi"/>
                <w:sz w:val="20"/>
                <w:szCs w:val="20"/>
                <w:lang w:eastAsia="en-US"/>
              </w:rPr>
            </w:pPr>
            <w:r w:rsidRPr="00432F98">
              <w:rPr>
                <w:rFonts w:eastAsiaTheme="minorHAnsi" w:cstheme="minorBidi"/>
                <w:sz w:val="20"/>
                <w:szCs w:val="20"/>
                <w:lang w:eastAsia="en-US"/>
              </w:rPr>
              <w:t>2023</w:t>
            </w:r>
          </w:p>
        </w:tc>
        <w:tc>
          <w:tcPr>
            <w:tcW w:w="1601" w:type="dxa"/>
            <w:shd w:val="clear" w:color="auto" w:fill="FFFFFF"/>
            <w:vAlign w:val="center"/>
            <w:hideMark/>
          </w:tcPr>
          <w:p w14:paraId="6F5195BF" w14:textId="77777777" w:rsidR="00432F98" w:rsidRPr="00432F98" w:rsidRDefault="00432F98" w:rsidP="00432F98">
            <w:pPr>
              <w:jc w:val="center"/>
              <w:rPr>
                <w:rFonts w:eastAsiaTheme="minorHAnsi" w:cstheme="minorBidi"/>
                <w:sz w:val="20"/>
                <w:szCs w:val="20"/>
                <w:lang w:eastAsia="en-US"/>
              </w:rPr>
            </w:pPr>
            <w:r w:rsidRPr="00432F98">
              <w:rPr>
                <w:rFonts w:eastAsiaTheme="minorHAnsi" w:cstheme="minorBidi"/>
                <w:sz w:val="20"/>
                <w:szCs w:val="20"/>
                <w:lang w:eastAsia="en-US"/>
              </w:rPr>
              <w:t>2024</w:t>
            </w:r>
          </w:p>
        </w:tc>
      </w:tr>
      <w:tr w:rsidR="00432F98" w:rsidRPr="00432F98" w14:paraId="09DA7341" w14:textId="77777777" w:rsidTr="00432F98">
        <w:trPr>
          <w:cantSplit/>
        </w:trPr>
        <w:tc>
          <w:tcPr>
            <w:tcW w:w="2071" w:type="dxa"/>
            <w:vMerge/>
            <w:shd w:val="clear" w:color="auto" w:fill="auto"/>
            <w:vAlign w:val="center"/>
            <w:hideMark/>
          </w:tcPr>
          <w:p w14:paraId="708FB931" w14:textId="77777777" w:rsidR="00432F98" w:rsidRPr="00432F98" w:rsidRDefault="00432F98" w:rsidP="00432F98">
            <w:pPr>
              <w:jc w:val="both"/>
              <w:rPr>
                <w:rFonts w:eastAsiaTheme="minorHAnsi" w:cstheme="minorBidi"/>
                <w:sz w:val="20"/>
                <w:szCs w:val="20"/>
                <w:lang w:eastAsia="en-US"/>
              </w:rPr>
            </w:pPr>
          </w:p>
        </w:tc>
        <w:tc>
          <w:tcPr>
            <w:tcW w:w="976" w:type="dxa"/>
            <w:shd w:val="clear" w:color="auto" w:fill="FFFFFF"/>
            <w:vAlign w:val="center"/>
            <w:hideMark/>
          </w:tcPr>
          <w:p w14:paraId="54C09120"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saskaņā ar valsts budžetu kārtējam gadam</w:t>
            </w:r>
          </w:p>
        </w:tc>
        <w:tc>
          <w:tcPr>
            <w:tcW w:w="975" w:type="dxa"/>
            <w:shd w:val="clear" w:color="auto" w:fill="FFFFFF"/>
            <w:vAlign w:val="center"/>
            <w:hideMark/>
          </w:tcPr>
          <w:p w14:paraId="7A8C4A12"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izmaiņas kārtējā gadā, salīdzinot ar valsts budžetu kārtējam gadam</w:t>
            </w:r>
          </w:p>
        </w:tc>
        <w:tc>
          <w:tcPr>
            <w:tcW w:w="855" w:type="dxa"/>
            <w:shd w:val="clear" w:color="auto" w:fill="FFFFFF"/>
            <w:vAlign w:val="center"/>
            <w:hideMark/>
          </w:tcPr>
          <w:p w14:paraId="73027F62"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saskaņā ar vidēja termiņa budžeta ietvaru</w:t>
            </w:r>
          </w:p>
        </w:tc>
        <w:tc>
          <w:tcPr>
            <w:tcW w:w="1052" w:type="dxa"/>
            <w:shd w:val="clear" w:color="auto" w:fill="FFFFFF"/>
            <w:vAlign w:val="center"/>
            <w:hideMark/>
          </w:tcPr>
          <w:p w14:paraId="41DDD3B4"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izmaiņas, salīdzinot ar vidēja termiņa budžeta ietvaru 2022. gadam</w:t>
            </w:r>
          </w:p>
        </w:tc>
        <w:tc>
          <w:tcPr>
            <w:tcW w:w="656" w:type="dxa"/>
            <w:shd w:val="clear" w:color="auto" w:fill="FFFFFF"/>
            <w:vAlign w:val="center"/>
            <w:hideMark/>
          </w:tcPr>
          <w:p w14:paraId="760F7907"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saskaņā ar vidēja termiņa budžeta ietvaru</w:t>
            </w:r>
          </w:p>
        </w:tc>
        <w:tc>
          <w:tcPr>
            <w:tcW w:w="1170" w:type="dxa"/>
            <w:shd w:val="clear" w:color="auto" w:fill="FFFFFF"/>
            <w:vAlign w:val="center"/>
            <w:hideMark/>
          </w:tcPr>
          <w:p w14:paraId="4AA2FD2D"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izmaiņas, salīdzinot ar vidēja termiņa budžeta ietvaru 2023. gadam</w:t>
            </w:r>
          </w:p>
        </w:tc>
        <w:tc>
          <w:tcPr>
            <w:tcW w:w="1601" w:type="dxa"/>
            <w:shd w:val="clear" w:color="auto" w:fill="FFFFFF"/>
            <w:vAlign w:val="center"/>
            <w:hideMark/>
          </w:tcPr>
          <w:p w14:paraId="69D77618"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 xml:space="preserve">izmaiņas, salīdzinot ar vidēja termiņa budžeta ietvaru </w:t>
            </w:r>
            <w:r w:rsidRPr="00432F98">
              <w:rPr>
                <w:rFonts w:eastAsiaTheme="minorHAnsi" w:cstheme="minorBidi"/>
                <w:sz w:val="20"/>
                <w:szCs w:val="20"/>
                <w:lang w:eastAsia="en-US"/>
              </w:rPr>
              <w:br/>
              <w:t>2023. gadam</w:t>
            </w:r>
          </w:p>
        </w:tc>
      </w:tr>
      <w:tr w:rsidR="00432F98" w:rsidRPr="00432F98" w14:paraId="307B4290" w14:textId="77777777" w:rsidTr="00432F98">
        <w:trPr>
          <w:cantSplit/>
        </w:trPr>
        <w:tc>
          <w:tcPr>
            <w:tcW w:w="2071" w:type="dxa"/>
            <w:shd w:val="clear" w:color="auto" w:fill="FFFFFF"/>
            <w:vAlign w:val="center"/>
            <w:hideMark/>
          </w:tcPr>
          <w:p w14:paraId="1C8433BF"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1</w:t>
            </w:r>
          </w:p>
        </w:tc>
        <w:tc>
          <w:tcPr>
            <w:tcW w:w="976" w:type="dxa"/>
            <w:shd w:val="clear" w:color="auto" w:fill="FFFFFF"/>
            <w:vAlign w:val="center"/>
            <w:hideMark/>
          </w:tcPr>
          <w:p w14:paraId="16C1E388"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2</w:t>
            </w:r>
          </w:p>
        </w:tc>
        <w:tc>
          <w:tcPr>
            <w:tcW w:w="975" w:type="dxa"/>
            <w:shd w:val="clear" w:color="auto" w:fill="FFFFFF"/>
            <w:vAlign w:val="center"/>
            <w:hideMark/>
          </w:tcPr>
          <w:p w14:paraId="27429447"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3</w:t>
            </w:r>
          </w:p>
        </w:tc>
        <w:tc>
          <w:tcPr>
            <w:tcW w:w="855" w:type="dxa"/>
            <w:shd w:val="clear" w:color="auto" w:fill="FFFFFF"/>
            <w:vAlign w:val="center"/>
            <w:hideMark/>
          </w:tcPr>
          <w:p w14:paraId="403F204A"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4</w:t>
            </w:r>
          </w:p>
        </w:tc>
        <w:tc>
          <w:tcPr>
            <w:tcW w:w="1052" w:type="dxa"/>
            <w:shd w:val="clear" w:color="auto" w:fill="FFFFFF"/>
            <w:vAlign w:val="center"/>
            <w:hideMark/>
          </w:tcPr>
          <w:p w14:paraId="50C68F13"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5</w:t>
            </w:r>
          </w:p>
        </w:tc>
        <w:tc>
          <w:tcPr>
            <w:tcW w:w="656" w:type="dxa"/>
            <w:shd w:val="clear" w:color="auto" w:fill="FFFFFF"/>
            <w:vAlign w:val="center"/>
            <w:hideMark/>
          </w:tcPr>
          <w:p w14:paraId="6C6B9DB9"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6</w:t>
            </w:r>
          </w:p>
        </w:tc>
        <w:tc>
          <w:tcPr>
            <w:tcW w:w="1170" w:type="dxa"/>
            <w:shd w:val="clear" w:color="auto" w:fill="FFFFFF"/>
            <w:vAlign w:val="center"/>
            <w:hideMark/>
          </w:tcPr>
          <w:p w14:paraId="778EA988"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7</w:t>
            </w:r>
          </w:p>
        </w:tc>
        <w:tc>
          <w:tcPr>
            <w:tcW w:w="1601" w:type="dxa"/>
            <w:shd w:val="clear" w:color="auto" w:fill="FFFFFF"/>
            <w:vAlign w:val="center"/>
            <w:hideMark/>
          </w:tcPr>
          <w:p w14:paraId="370AB2D4"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8</w:t>
            </w:r>
          </w:p>
        </w:tc>
      </w:tr>
      <w:tr w:rsidR="00432F98" w:rsidRPr="00432F98" w14:paraId="521CD7AD" w14:textId="77777777" w:rsidTr="00432F98">
        <w:trPr>
          <w:cantSplit/>
        </w:trPr>
        <w:tc>
          <w:tcPr>
            <w:tcW w:w="2071" w:type="dxa"/>
            <w:shd w:val="clear" w:color="auto" w:fill="FFFFFF"/>
            <w:hideMark/>
          </w:tcPr>
          <w:p w14:paraId="03B55619"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1. Budžeta ieņēmumi</w:t>
            </w:r>
          </w:p>
        </w:tc>
        <w:tc>
          <w:tcPr>
            <w:tcW w:w="976" w:type="dxa"/>
            <w:shd w:val="clear" w:color="auto" w:fill="FFFFFF"/>
            <w:vAlign w:val="center"/>
            <w:hideMark/>
          </w:tcPr>
          <w:p w14:paraId="5EB4B101"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375 000*</w:t>
            </w:r>
          </w:p>
        </w:tc>
        <w:tc>
          <w:tcPr>
            <w:tcW w:w="975" w:type="dxa"/>
            <w:shd w:val="clear" w:color="auto" w:fill="FFFFFF"/>
            <w:vAlign w:val="center"/>
            <w:hideMark/>
          </w:tcPr>
          <w:p w14:paraId="54F76ED8"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855" w:type="dxa"/>
            <w:shd w:val="clear" w:color="auto" w:fill="FFFFFF"/>
            <w:vAlign w:val="center"/>
            <w:hideMark/>
          </w:tcPr>
          <w:p w14:paraId="33643B7F"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1052" w:type="dxa"/>
            <w:shd w:val="clear" w:color="auto" w:fill="FFFFFF"/>
            <w:vAlign w:val="center"/>
            <w:hideMark/>
          </w:tcPr>
          <w:p w14:paraId="274B479D"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656" w:type="dxa"/>
            <w:shd w:val="clear" w:color="auto" w:fill="FFFFFF"/>
            <w:vAlign w:val="center"/>
            <w:hideMark/>
          </w:tcPr>
          <w:p w14:paraId="0E0708A9"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1170" w:type="dxa"/>
            <w:shd w:val="clear" w:color="auto" w:fill="FFFFFF"/>
            <w:vAlign w:val="center"/>
            <w:hideMark/>
          </w:tcPr>
          <w:p w14:paraId="3EE3FED5"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1601" w:type="dxa"/>
            <w:shd w:val="clear" w:color="auto" w:fill="FFFFFF"/>
            <w:vAlign w:val="center"/>
            <w:hideMark/>
          </w:tcPr>
          <w:p w14:paraId="4BB3F723"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r>
      <w:tr w:rsidR="00432F98" w:rsidRPr="00432F98" w14:paraId="77A0DF28" w14:textId="77777777" w:rsidTr="00432F98">
        <w:trPr>
          <w:cantSplit/>
        </w:trPr>
        <w:tc>
          <w:tcPr>
            <w:tcW w:w="2071" w:type="dxa"/>
            <w:shd w:val="clear" w:color="auto" w:fill="auto"/>
            <w:hideMark/>
          </w:tcPr>
          <w:p w14:paraId="378AD925"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1.1. valsts pamatbudžets, tai skaitā ieņēmumi no maksas pakalpojumiem un citi pašu ieņēmumi</w:t>
            </w:r>
          </w:p>
        </w:tc>
        <w:tc>
          <w:tcPr>
            <w:tcW w:w="976" w:type="dxa"/>
            <w:shd w:val="clear" w:color="auto" w:fill="auto"/>
            <w:vAlign w:val="center"/>
            <w:hideMark/>
          </w:tcPr>
          <w:p w14:paraId="64B93D5A"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375 000*</w:t>
            </w:r>
          </w:p>
        </w:tc>
        <w:tc>
          <w:tcPr>
            <w:tcW w:w="975" w:type="dxa"/>
            <w:shd w:val="clear" w:color="auto" w:fill="auto"/>
            <w:vAlign w:val="center"/>
            <w:hideMark/>
          </w:tcPr>
          <w:p w14:paraId="31738887"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855" w:type="dxa"/>
            <w:shd w:val="clear" w:color="auto" w:fill="auto"/>
            <w:vAlign w:val="center"/>
            <w:hideMark/>
          </w:tcPr>
          <w:p w14:paraId="38496CEC"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1052" w:type="dxa"/>
            <w:shd w:val="clear" w:color="auto" w:fill="auto"/>
            <w:vAlign w:val="center"/>
            <w:hideMark/>
          </w:tcPr>
          <w:p w14:paraId="73E47751"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656" w:type="dxa"/>
            <w:shd w:val="clear" w:color="auto" w:fill="auto"/>
            <w:vAlign w:val="center"/>
            <w:hideMark/>
          </w:tcPr>
          <w:p w14:paraId="1EC2599C"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1170" w:type="dxa"/>
            <w:shd w:val="clear" w:color="auto" w:fill="auto"/>
            <w:vAlign w:val="center"/>
            <w:hideMark/>
          </w:tcPr>
          <w:p w14:paraId="20F480D4"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1601" w:type="dxa"/>
            <w:shd w:val="clear" w:color="auto" w:fill="auto"/>
            <w:vAlign w:val="center"/>
            <w:hideMark/>
          </w:tcPr>
          <w:p w14:paraId="5EFEFF9C"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r>
      <w:tr w:rsidR="00432F98" w:rsidRPr="00432F98" w14:paraId="7D099840" w14:textId="77777777" w:rsidTr="00432F98">
        <w:trPr>
          <w:cantSplit/>
        </w:trPr>
        <w:tc>
          <w:tcPr>
            <w:tcW w:w="2071" w:type="dxa"/>
            <w:shd w:val="clear" w:color="auto" w:fill="auto"/>
            <w:hideMark/>
          </w:tcPr>
          <w:p w14:paraId="719DF96A"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1.2. valsts speciālais budžets</w:t>
            </w:r>
          </w:p>
        </w:tc>
        <w:tc>
          <w:tcPr>
            <w:tcW w:w="976" w:type="dxa"/>
            <w:shd w:val="clear" w:color="auto" w:fill="auto"/>
            <w:vAlign w:val="center"/>
            <w:hideMark/>
          </w:tcPr>
          <w:p w14:paraId="54764953"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975" w:type="dxa"/>
            <w:shd w:val="clear" w:color="auto" w:fill="auto"/>
            <w:vAlign w:val="center"/>
            <w:hideMark/>
          </w:tcPr>
          <w:p w14:paraId="58E7CBB1"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855" w:type="dxa"/>
            <w:shd w:val="clear" w:color="auto" w:fill="auto"/>
            <w:vAlign w:val="center"/>
            <w:hideMark/>
          </w:tcPr>
          <w:p w14:paraId="4F7E3DA3"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1052" w:type="dxa"/>
            <w:shd w:val="clear" w:color="auto" w:fill="auto"/>
            <w:vAlign w:val="center"/>
            <w:hideMark/>
          </w:tcPr>
          <w:p w14:paraId="390F651D"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656" w:type="dxa"/>
            <w:shd w:val="clear" w:color="auto" w:fill="auto"/>
            <w:vAlign w:val="center"/>
            <w:hideMark/>
          </w:tcPr>
          <w:p w14:paraId="1EA6EDA4"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1170" w:type="dxa"/>
            <w:shd w:val="clear" w:color="auto" w:fill="auto"/>
            <w:vAlign w:val="center"/>
            <w:hideMark/>
          </w:tcPr>
          <w:p w14:paraId="04F779D5"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1601" w:type="dxa"/>
            <w:shd w:val="clear" w:color="auto" w:fill="auto"/>
            <w:vAlign w:val="center"/>
            <w:hideMark/>
          </w:tcPr>
          <w:p w14:paraId="25099E46"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r>
      <w:tr w:rsidR="00432F98" w:rsidRPr="00432F98" w14:paraId="084E27A7" w14:textId="77777777" w:rsidTr="00432F98">
        <w:trPr>
          <w:cantSplit/>
        </w:trPr>
        <w:tc>
          <w:tcPr>
            <w:tcW w:w="2071" w:type="dxa"/>
            <w:shd w:val="clear" w:color="auto" w:fill="auto"/>
            <w:hideMark/>
          </w:tcPr>
          <w:p w14:paraId="7422D19F"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1.3. pašvaldību budžets</w:t>
            </w:r>
          </w:p>
        </w:tc>
        <w:tc>
          <w:tcPr>
            <w:tcW w:w="976" w:type="dxa"/>
            <w:shd w:val="clear" w:color="auto" w:fill="auto"/>
            <w:vAlign w:val="center"/>
            <w:hideMark/>
          </w:tcPr>
          <w:p w14:paraId="76D0C30F"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975" w:type="dxa"/>
            <w:shd w:val="clear" w:color="auto" w:fill="auto"/>
            <w:vAlign w:val="center"/>
            <w:hideMark/>
          </w:tcPr>
          <w:p w14:paraId="41D811DB"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855" w:type="dxa"/>
            <w:shd w:val="clear" w:color="auto" w:fill="auto"/>
            <w:vAlign w:val="center"/>
            <w:hideMark/>
          </w:tcPr>
          <w:p w14:paraId="1931DEB2"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1052" w:type="dxa"/>
            <w:shd w:val="clear" w:color="auto" w:fill="auto"/>
            <w:vAlign w:val="center"/>
            <w:hideMark/>
          </w:tcPr>
          <w:p w14:paraId="293907DD"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656" w:type="dxa"/>
            <w:shd w:val="clear" w:color="auto" w:fill="auto"/>
            <w:vAlign w:val="center"/>
            <w:hideMark/>
          </w:tcPr>
          <w:p w14:paraId="0BEF81C7"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1170" w:type="dxa"/>
            <w:shd w:val="clear" w:color="auto" w:fill="auto"/>
            <w:vAlign w:val="center"/>
            <w:hideMark/>
          </w:tcPr>
          <w:p w14:paraId="7E52769F"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1601" w:type="dxa"/>
            <w:shd w:val="clear" w:color="auto" w:fill="auto"/>
            <w:vAlign w:val="center"/>
            <w:hideMark/>
          </w:tcPr>
          <w:p w14:paraId="3C9DAEF8"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r>
      <w:tr w:rsidR="00432F98" w:rsidRPr="00432F98" w14:paraId="2F5D79BF" w14:textId="77777777" w:rsidTr="00432F98">
        <w:trPr>
          <w:cantSplit/>
        </w:trPr>
        <w:tc>
          <w:tcPr>
            <w:tcW w:w="2071" w:type="dxa"/>
            <w:shd w:val="clear" w:color="auto" w:fill="auto"/>
            <w:hideMark/>
          </w:tcPr>
          <w:p w14:paraId="3953F70D"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2. Budžeta izdevumi</w:t>
            </w:r>
          </w:p>
        </w:tc>
        <w:tc>
          <w:tcPr>
            <w:tcW w:w="976" w:type="dxa"/>
            <w:shd w:val="clear" w:color="auto" w:fill="FFFFFF"/>
            <w:vAlign w:val="center"/>
            <w:hideMark/>
          </w:tcPr>
          <w:p w14:paraId="65398F34"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375 000*</w:t>
            </w:r>
          </w:p>
        </w:tc>
        <w:tc>
          <w:tcPr>
            <w:tcW w:w="975" w:type="dxa"/>
            <w:shd w:val="clear" w:color="auto" w:fill="auto"/>
            <w:vAlign w:val="center"/>
            <w:hideMark/>
          </w:tcPr>
          <w:p w14:paraId="6C37A3CA" w14:textId="66B5AD69" w:rsidR="00432F98" w:rsidRPr="00E17899" w:rsidRDefault="00822B52" w:rsidP="00432F98">
            <w:pPr>
              <w:jc w:val="both"/>
              <w:rPr>
                <w:rFonts w:eastAsiaTheme="minorHAnsi" w:cstheme="minorBidi"/>
                <w:sz w:val="20"/>
                <w:szCs w:val="20"/>
                <w:highlight w:val="yellow"/>
                <w:lang w:eastAsia="en-US"/>
              </w:rPr>
            </w:pPr>
            <w:r w:rsidRPr="00C01761">
              <w:rPr>
                <w:sz w:val="20"/>
                <w:szCs w:val="20"/>
              </w:rPr>
              <w:t>0</w:t>
            </w:r>
          </w:p>
        </w:tc>
        <w:tc>
          <w:tcPr>
            <w:tcW w:w="855" w:type="dxa"/>
            <w:shd w:val="clear" w:color="auto" w:fill="auto"/>
            <w:vAlign w:val="center"/>
            <w:hideMark/>
          </w:tcPr>
          <w:p w14:paraId="2D937DC9"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1052" w:type="dxa"/>
            <w:shd w:val="clear" w:color="auto" w:fill="auto"/>
            <w:vAlign w:val="center"/>
            <w:hideMark/>
          </w:tcPr>
          <w:p w14:paraId="0E4D562C"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656" w:type="dxa"/>
            <w:shd w:val="clear" w:color="auto" w:fill="auto"/>
            <w:vAlign w:val="center"/>
            <w:hideMark/>
          </w:tcPr>
          <w:p w14:paraId="47EF9AC5"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1170" w:type="dxa"/>
            <w:shd w:val="clear" w:color="auto" w:fill="auto"/>
            <w:vAlign w:val="center"/>
            <w:hideMark/>
          </w:tcPr>
          <w:p w14:paraId="4E1147AA"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1601" w:type="dxa"/>
            <w:shd w:val="clear" w:color="auto" w:fill="auto"/>
            <w:vAlign w:val="center"/>
            <w:hideMark/>
          </w:tcPr>
          <w:p w14:paraId="07F72545"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r>
      <w:tr w:rsidR="00432F98" w:rsidRPr="00432F98" w14:paraId="5DBC0423" w14:textId="77777777" w:rsidTr="00432F98">
        <w:trPr>
          <w:cantSplit/>
        </w:trPr>
        <w:tc>
          <w:tcPr>
            <w:tcW w:w="2071" w:type="dxa"/>
            <w:shd w:val="clear" w:color="auto" w:fill="auto"/>
            <w:hideMark/>
          </w:tcPr>
          <w:p w14:paraId="30145846"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2.1. valsts pamatbudžets</w:t>
            </w:r>
          </w:p>
        </w:tc>
        <w:tc>
          <w:tcPr>
            <w:tcW w:w="976" w:type="dxa"/>
            <w:shd w:val="clear" w:color="auto" w:fill="auto"/>
            <w:vAlign w:val="center"/>
            <w:hideMark/>
          </w:tcPr>
          <w:p w14:paraId="178B3EA3"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375 000*</w:t>
            </w:r>
          </w:p>
        </w:tc>
        <w:tc>
          <w:tcPr>
            <w:tcW w:w="975" w:type="dxa"/>
            <w:shd w:val="clear" w:color="auto" w:fill="auto"/>
            <w:vAlign w:val="center"/>
            <w:hideMark/>
          </w:tcPr>
          <w:p w14:paraId="53EEB873" w14:textId="0CE51624" w:rsidR="00432F98" w:rsidRPr="008732E6" w:rsidRDefault="00822B52" w:rsidP="00432F98">
            <w:pPr>
              <w:jc w:val="both"/>
              <w:rPr>
                <w:rFonts w:eastAsiaTheme="minorHAnsi" w:cstheme="minorBidi"/>
                <w:sz w:val="20"/>
                <w:szCs w:val="20"/>
                <w:lang w:eastAsia="en-US"/>
              </w:rPr>
            </w:pPr>
            <w:r w:rsidRPr="008732E6">
              <w:rPr>
                <w:sz w:val="20"/>
                <w:szCs w:val="20"/>
              </w:rPr>
              <w:t>0</w:t>
            </w:r>
          </w:p>
        </w:tc>
        <w:tc>
          <w:tcPr>
            <w:tcW w:w="855" w:type="dxa"/>
            <w:shd w:val="clear" w:color="auto" w:fill="auto"/>
            <w:vAlign w:val="center"/>
            <w:hideMark/>
          </w:tcPr>
          <w:p w14:paraId="0826E753"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1052" w:type="dxa"/>
            <w:shd w:val="clear" w:color="auto" w:fill="auto"/>
            <w:vAlign w:val="center"/>
            <w:hideMark/>
          </w:tcPr>
          <w:p w14:paraId="578522EF"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656" w:type="dxa"/>
            <w:shd w:val="clear" w:color="auto" w:fill="auto"/>
            <w:vAlign w:val="center"/>
            <w:hideMark/>
          </w:tcPr>
          <w:p w14:paraId="299A051D"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1170" w:type="dxa"/>
            <w:shd w:val="clear" w:color="auto" w:fill="auto"/>
            <w:vAlign w:val="center"/>
            <w:hideMark/>
          </w:tcPr>
          <w:p w14:paraId="14C2FEA8"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1601" w:type="dxa"/>
            <w:shd w:val="clear" w:color="auto" w:fill="auto"/>
            <w:vAlign w:val="center"/>
            <w:hideMark/>
          </w:tcPr>
          <w:p w14:paraId="17B033B2"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r>
      <w:tr w:rsidR="00432F98" w:rsidRPr="00432F98" w14:paraId="06EDAD3E" w14:textId="77777777" w:rsidTr="00432F98">
        <w:trPr>
          <w:cantSplit/>
        </w:trPr>
        <w:tc>
          <w:tcPr>
            <w:tcW w:w="2071" w:type="dxa"/>
            <w:shd w:val="clear" w:color="auto" w:fill="auto"/>
            <w:hideMark/>
          </w:tcPr>
          <w:p w14:paraId="10F78FB4"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2.2. valsts speciālais budžets</w:t>
            </w:r>
          </w:p>
        </w:tc>
        <w:tc>
          <w:tcPr>
            <w:tcW w:w="976" w:type="dxa"/>
            <w:shd w:val="clear" w:color="auto" w:fill="auto"/>
            <w:vAlign w:val="center"/>
            <w:hideMark/>
          </w:tcPr>
          <w:p w14:paraId="0450AFD4"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975" w:type="dxa"/>
            <w:shd w:val="clear" w:color="auto" w:fill="auto"/>
            <w:vAlign w:val="center"/>
            <w:hideMark/>
          </w:tcPr>
          <w:p w14:paraId="26761DC7" w14:textId="77777777" w:rsidR="00432F98" w:rsidRPr="008732E6" w:rsidRDefault="00432F98" w:rsidP="00432F98">
            <w:pPr>
              <w:jc w:val="both"/>
              <w:rPr>
                <w:rFonts w:eastAsiaTheme="minorHAnsi" w:cstheme="minorBidi"/>
                <w:sz w:val="20"/>
                <w:szCs w:val="20"/>
                <w:lang w:eastAsia="en-US"/>
              </w:rPr>
            </w:pPr>
            <w:r w:rsidRPr="008732E6">
              <w:rPr>
                <w:rFonts w:eastAsiaTheme="minorHAnsi" w:cstheme="minorBidi"/>
                <w:sz w:val="20"/>
                <w:szCs w:val="20"/>
                <w:lang w:eastAsia="en-US"/>
              </w:rPr>
              <w:t>0</w:t>
            </w:r>
          </w:p>
        </w:tc>
        <w:tc>
          <w:tcPr>
            <w:tcW w:w="855" w:type="dxa"/>
            <w:shd w:val="clear" w:color="auto" w:fill="auto"/>
            <w:vAlign w:val="center"/>
            <w:hideMark/>
          </w:tcPr>
          <w:p w14:paraId="1C6112E4"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1052" w:type="dxa"/>
            <w:shd w:val="clear" w:color="auto" w:fill="auto"/>
            <w:vAlign w:val="center"/>
            <w:hideMark/>
          </w:tcPr>
          <w:p w14:paraId="531E8620"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656" w:type="dxa"/>
            <w:shd w:val="clear" w:color="auto" w:fill="auto"/>
            <w:vAlign w:val="center"/>
            <w:hideMark/>
          </w:tcPr>
          <w:p w14:paraId="550C5689"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1170" w:type="dxa"/>
            <w:shd w:val="clear" w:color="auto" w:fill="auto"/>
            <w:vAlign w:val="center"/>
            <w:hideMark/>
          </w:tcPr>
          <w:p w14:paraId="5560A899"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1601" w:type="dxa"/>
            <w:shd w:val="clear" w:color="auto" w:fill="auto"/>
            <w:vAlign w:val="center"/>
            <w:hideMark/>
          </w:tcPr>
          <w:p w14:paraId="7830E5D2"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r>
      <w:tr w:rsidR="00432F98" w:rsidRPr="00432F98" w14:paraId="3E4E0CF9" w14:textId="77777777" w:rsidTr="00432F98">
        <w:trPr>
          <w:cantSplit/>
        </w:trPr>
        <w:tc>
          <w:tcPr>
            <w:tcW w:w="2071" w:type="dxa"/>
            <w:shd w:val="clear" w:color="auto" w:fill="auto"/>
            <w:hideMark/>
          </w:tcPr>
          <w:p w14:paraId="671BD20D"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2.3. pašvaldību budžets</w:t>
            </w:r>
          </w:p>
        </w:tc>
        <w:tc>
          <w:tcPr>
            <w:tcW w:w="976" w:type="dxa"/>
            <w:shd w:val="clear" w:color="auto" w:fill="auto"/>
            <w:vAlign w:val="center"/>
            <w:hideMark/>
          </w:tcPr>
          <w:p w14:paraId="31563535"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975" w:type="dxa"/>
            <w:shd w:val="clear" w:color="auto" w:fill="auto"/>
            <w:vAlign w:val="center"/>
            <w:hideMark/>
          </w:tcPr>
          <w:p w14:paraId="53440F17" w14:textId="77777777" w:rsidR="00432F98" w:rsidRPr="008732E6" w:rsidRDefault="00432F98" w:rsidP="00432F98">
            <w:pPr>
              <w:jc w:val="both"/>
              <w:rPr>
                <w:rFonts w:eastAsiaTheme="minorHAnsi" w:cstheme="minorBidi"/>
                <w:sz w:val="20"/>
                <w:szCs w:val="20"/>
                <w:lang w:eastAsia="en-US"/>
              </w:rPr>
            </w:pPr>
            <w:r w:rsidRPr="008732E6">
              <w:rPr>
                <w:rFonts w:eastAsiaTheme="minorHAnsi" w:cstheme="minorBidi"/>
                <w:sz w:val="20"/>
                <w:szCs w:val="20"/>
                <w:lang w:eastAsia="en-US"/>
              </w:rPr>
              <w:t>0</w:t>
            </w:r>
          </w:p>
        </w:tc>
        <w:tc>
          <w:tcPr>
            <w:tcW w:w="855" w:type="dxa"/>
            <w:shd w:val="clear" w:color="auto" w:fill="auto"/>
            <w:vAlign w:val="center"/>
            <w:hideMark/>
          </w:tcPr>
          <w:p w14:paraId="7503C137"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1052" w:type="dxa"/>
            <w:shd w:val="clear" w:color="auto" w:fill="auto"/>
            <w:vAlign w:val="center"/>
            <w:hideMark/>
          </w:tcPr>
          <w:p w14:paraId="2C184F58"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656" w:type="dxa"/>
            <w:shd w:val="clear" w:color="auto" w:fill="auto"/>
            <w:vAlign w:val="center"/>
            <w:hideMark/>
          </w:tcPr>
          <w:p w14:paraId="3BA8C041"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1170" w:type="dxa"/>
            <w:shd w:val="clear" w:color="auto" w:fill="auto"/>
            <w:vAlign w:val="center"/>
            <w:hideMark/>
          </w:tcPr>
          <w:p w14:paraId="53E45CEC"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1601" w:type="dxa"/>
            <w:shd w:val="clear" w:color="auto" w:fill="auto"/>
            <w:vAlign w:val="center"/>
            <w:hideMark/>
          </w:tcPr>
          <w:p w14:paraId="7ACDA55E"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r>
      <w:tr w:rsidR="00432F98" w:rsidRPr="00432F98" w14:paraId="5B9EE2A7" w14:textId="77777777" w:rsidTr="00432F98">
        <w:trPr>
          <w:cantSplit/>
        </w:trPr>
        <w:tc>
          <w:tcPr>
            <w:tcW w:w="2071" w:type="dxa"/>
            <w:shd w:val="clear" w:color="auto" w:fill="auto"/>
            <w:hideMark/>
          </w:tcPr>
          <w:p w14:paraId="53546FD1"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3. Finansiālā ietekme</w:t>
            </w:r>
          </w:p>
        </w:tc>
        <w:tc>
          <w:tcPr>
            <w:tcW w:w="976" w:type="dxa"/>
            <w:shd w:val="clear" w:color="auto" w:fill="auto"/>
            <w:vAlign w:val="center"/>
            <w:hideMark/>
          </w:tcPr>
          <w:p w14:paraId="69528A14" w14:textId="4E215793" w:rsidR="00432F98" w:rsidRPr="00432F98" w:rsidRDefault="00822B52" w:rsidP="00432F98">
            <w:pPr>
              <w:jc w:val="both"/>
              <w:rPr>
                <w:rFonts w:eastAsiaTheme="minorHAnsi" w:cstheme="minorBidi"/>
                <w:sz w:val="20"/>
                <w:szCs w:val="20"/>
                <w:lang w:eastAsia="en-US"/>
              </w:rPr>
            </w:pPr>
            <w:r>
              <w:rPr>
                <w:rFonts w:eastAsiaTheme="minorHAnsi" w:cstheme="minorBidi"/>
                <w:sz w:val="20"/>
                <w:szCs w:val="20"/>
                <w:lang w:eastAsia="en-US"/>
              </w:rPr>
              <w:t>0</w:t>
            </w:r>
          </w:p>
        </w:tc>
        <w:tc>
          <w:tcPr>
            <w:tcW w:w="975" w:type="dxa"/>
            <w:shd w:val="clear" w:color="auto" w:fill="auto"/>
            <w:vAlign w:val="center"/>
            <w:hideMark/>
          </w:tcPr>
          <w:p w14:paraId="1E880359" w14:textId="11C9066B" w:rsidR="00432F98" w:rsidRPr="008732E6" w:rsidRDefault="00822B52" w:rsidP="00432F98">
            <w:pPr>
              <w:jc w:val="both"/>
              <w:rPr>
                <w:rFonts w:eastAsiaTheme="minorHAnsi" w:cstheme="minorBidi"/>
                <w:sz w:val="20"/>
                <w:szCs w:val="20"/>
                <w:lang w:eastAsia="en-US"/>
              </w:rPr>
            </w:pPr>
            <w:r w:rsidRPr="008732E6">
              <w:rPr>
                <w:rFonts w:eastAsiaTheme="minorHAnsi" w:cstheme="minorBidi"/>
                <w:sz w:val="20"/>
                <w:szCs w:val="20"/>
                <w:lang w:eastAsia="en-US"/>
              </w:rPr>
              <w:t>0</w:t>
            </w:r>
          </w:p>
        </w:tc>
        <w:tc>
          <w:tcPr>
            <w:tcW w:w="855" w:type="dxa"/>
            <w:shd w:val="clear" w:color="auto" w:fill="auto"/>
            <w:vAlign w:val="center"/>
            <w:hideMark/>
          </w:tcPr>
          <w:p w14:paraId="62F53E41"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1052" w:type="dxa"/>
            <w:shd w:val="clear" w:color="auto" w:fill="auto"/>
            <w:vAlign w:val="center"/>
            <w:hideMark/>
          </w:tcPr>
          <w:p w14:paraId="7562240B"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656" w:type="dxa"/>
            <w:shd w:val="clear" w:color="auto" w:fill="auto"/>
            <w:vAlign w:val="center"/>
            <w:hideMark/>
          </w:tcPr>
          <w:p w14:paraId="510DB16E"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1170" w:type="dxa"/>
            <w:shd w:val="clear" w:color="auto" w:fill="auto"/>
            <w:vAlign w:val="center"/>
            <w:hideMark/>
          </w:tcPr>
          <w:p w14:paraId="155CB77C"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1601" w:type="dxa"/>
            <w:shd w:val="clear" w:color="auto" w:fill="auto"/>
            <w:vAlign w:val="center"/>
            <w:hideMark/>
          </w:tcPr>
          <w:p w14:paraId="20F7C074"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r>
      <w:tr w:rsidR="00432F98" w:rsidRPr="00432F98" w14:paraId="754D47F9" w14:textId="77777777" w:rsidTr="00432F98">
        <w:trPr>
          <w:cantSplit/>
        </w:trPr>
        <w:tc>
          <w:tcPr>
            <w:tcW w:w="2071" w:type="dxa"/>
            <w:shd w:val="clear" w:color="auto" w:fill="auto"/>
            <w:hideMark/>
          </w:tcPr>
          <w:p w14:paraId="796A0990"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3.1. valsts pamatbudžets</w:t>
            </w:r>
          </w:p>
        </w:tc>
        <w:tc>
          <w:tcPr>
            <w:tcW w:w="976" w:type="dxa"/>
            <w:shd w:val="clear" w:color="auto" w:fill="auto"/>
            <w:vAlign w:val="center"/>
            <w:hideMark/>
          </w:tcPr>
          <w:p w14:paraId="73FDE4E7" w14:textId="00AA5E0E" w:rsidR="00432F98" w:rsidRPr="00432F98" w:rsidRDefault="00822B52" w:rsidP="00432F98">
            <w:pPr>
              <w:jc w:val="both"/>
              <w:rPr>
                <w:rFonts w:eastAsiaTheme="minorHAnsi" w:cstheme="minorBidi"/>
                <w:sz w:val="20"/>
                <w:szCs w:val="20"/>
                <w:lang w:eastAsia="en-US"/>
              </w:rPr>
            </w:pPr>
            <w:r>
              <w:rPr>
                <w:rFonts w:eastAsiaTheme="minorHAnsi" w:cstheme="minorBidi"/>
                <w:sz w:val="20"/>
                <w:szCs w:val="20"/>
                <w:lang w:eastAsia="en-US"/>
              </w:rPr>
              <w:t>0</w:t>
            </w:r>
          </w:p>
        </w:tc>
        <w:tc>
          <w:tcPr>
            <w:tcW w:w="975" w:type="dxa"/>
            <w:shd w:val="clear" w:color="auto" w:fill="auto"/>
            <w:vAlign w:val="center"/>
            <w:hideMark/>
          </w:tcPr>
          <w:p w14:paraId="6E435B0A" w14:textId="14A8E392" w:rsidR="00432F98" w:rsidRPr="008732E6" w:rsidRDefault="00822B52" w:rsidP="00432F98">
            <w:pPr>
              <w:jc w:val="both"/>
              <w:rPr>
                <w:rFonts w:eastAsiaTheme="minorHAnsi" w:cstheme="minorBidi"/>
                <w:sz w:val="20"/>
                <w:szCs w:val="20"/>
                <w:lang w:eastAsia="en-US"/>
              </w:rPr>
            </w:pPr>
            <w:r w:rsidRPr="008732E6">
              <w:rPr>
                <w:rFonts w:eastAsiaTheme="minorHAnsi" w:cstheme="minorBidi"/>
                <w:sz w:val="20"/>
                <w:szCs w:val="20"/>
                <w:lang w:eastAsia="en-US"/>
              </w:rPr>
              <w:t>0</w:t>
            </w:r>
          </w:p>
        </w:tc>
        <w:tc>
          <w:tcPr>
            <w:tcW w:w="855" w:type="dxa"/>
            <w:shd w:val="clear" w:color="auto" w:fill="auto"/>
            <w:vAlign w:val="center"/>
            <w:hideMark/>
          </w:tcPr>
          <w:p w14:paraId="290888D8"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1052" w:type="dxa"/>
            <w:shd w:val="clear" w:color="auto" w:fill="auto"/>
            <w:vAlign w:val="center"/>
            <w:hideMark/>
          </w:tcPr>
          <w:p w14:paraId="477683D6"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656" w:type="dxa"/>
            <w:shd w:val="clear" w:color="auto" w:fill="auto"/>
            <w:vAlign w:val="center"/>
            <w:hideMark/>
          </w:tcPr>
          <w:p w14:paraId="28AC7984"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1170" w:type="dxa"/>
            <w:shd w:val="clear" w:color="auto" w:fill="auto"/>
            <w:vAlign w:val="center"/>
            <w:hideMark/>
          </w:tcPr>
          <w:p w14:paraId="7BBE8F72"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1601" w:type="dxa"/>
            <w:shd w:val="clear" w:color="auto" w:fill="auto"/>
            <w:vAlign w:val="center"/>
            <w:hideMark/>
          </w:tcPr>
          <w:p w14:paraId="58920817"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r>
      <w:tr w:rsidR="00432F98" w:rsidRPr="00432F98" w14:paraId="623EB871" w14:textId="77777777" w:rsidTr="00432F98">
        <w:trPr>
          <w:cantSplit/>
        </w:trPr>
        <w:tc>
          <w:tcPr>
            <w:tcW w:w="2071" w:type="dxa"/>
            <w:shd w:val="clear" w:color="auto" w:fill="auto"/>
            <w:hideMark/>
          </w:tcPr>
          <w:p w14:paraId="30CF11B2"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3.2. speciālais budžets</w:t>
            </w:r>
          </w:p>
        </w:tc>
        <w:tc>
          <w:tcPr>
            <w:tcW w:w="976" w:type="dxa"/>
            <w:shd w:val="clear" w:color="auto" w:fill="auto"/>
            <w:vAlign w:val="center"/>
            <w:hideMark/>
          </w:tcPr>
          <w:p w14:paraId="12E6A56B"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975" w:type="dxa"/>
            <w:shd w:val="clear" w:color="auto" w:fill="auto"/>
            <w:vAlign w:val="center"/>
            <w:hideMark/>
          </w:tcPr>
          <w:p w14:paraId="3564C5D9" w14:textId="77777777" w:rsidR="00432F98" w:rsidRPr="008732E6" w:rsidRDefault="00432F98" w:rsidP="00432F98">
            <w:pPr>
              <w:jc w:val="both"/>
              <w:rPr>
                <w:rFonts w:eastAsiaTheme="minorHAnsi" w:cstheme="minorBidi"/>
                <w:sz w:val="20"/>
                <w:szCs w:val="20"/>
                <w:lang w:eastAsia="en-US"/>
              </w:rPr>
            </w:pPr>
            <w:r w:rsidRPr="008732E6">
              <w:rPr>
                <w:rFonts w:eastAsiaTheme="minorHAnsi" w:cstheme="minorBidi"/>
                <w:sz w:val="20"/>
                <w:szCs w:val="20"/>
                <w:lang w:eastAsia="en-US"/>
              </w:rPr>
              <w:t>0</w:t>
            </w:r>
          </w:p>
        </w:tc>
        <w:tc>
          <w:tcPr>
            <w:tcW w:w="855" w:type="dxa"/>
            <w:shd w:val="clear" w:color="auto" w:fill="auto"/>
            <w:vAlign w:val="center"/>
            <w:hideMark/>
          </w:tcPr>
          <w:p w14:paraId="7606F6B6"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1052" w:type="dxa"/>
            <w:shd w:val="clear" w:color="auto" w:fill="auto"/>
            <w:vAlign w:val="center"/>
            <w:hideMark/>
          </w:tcPr>
          <w:p w14:paraId="04339F01"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656" w:type="dxa"/>
            <w:shd w:val="clear" w:color="auto" w:fill="auto"/>
            <w:vAlign w:val="center"/>
            <w:hideMark/>
          </w:tcPr>
          <w:p w14:paraId="4B6798A5"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1170" w:type="dxa"/>
            <w:shd w:val="clear" w:color="auto" w:fill="auto"/>
            <w:vAlign w:val="center"/>
            <w:hideMark/>
          </w:tcPr>
          <w:p w14:paraId="6057BD05"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1601" w:type="dxa"/>
            <w:shd w:val="clear" w:color="auto" w:fill="auto"/>
            <w:vAlign w:val="center"/>
            <w:hideMark/>
          </w:tcPr>
          <w:p w14:paraId="20FB42CF"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r>
      <w:tr w:rsidR="00432F98" w:rsidRPr="00432F98" w14:paraId="64DC9441" w14:textId="77777777" w:rsidTr="00432F98">
        <w:trPr>
          <w:cantSplit/>
        </w:trPr>
        <w:tc>
          <w:tcPr>
            <w:tcW w:w="2071" w:type="dxa"/>
            <w:shd w:val="clear" w:color="auto" w:fill="auto"/>
            <w:hideMark/>
          </w:tcPr>
          <w:p w14:paraId="1B36BE90"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3.3. pašvaldību budžets</w:t>
            </w:r>
          </w:p>
        </w:tc>
        <w:tc>
          <w:tcPr>
            <w:tcW w:w="976" w:type="dxa"/>
            <w:shd w:val="clear" w:color="auto" w:fill="auto"/>
            <w:vAlign w:val="center"/>
            <w:hideMark/>
          </w:tcPr>
          <w:p w14:paraId="1E39694A"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975" w:type="dxa"/>
            <w:shd w:val="clear" w:color="auto" w:fill="auto"/>
            <w:vAlign w:val="center"/>
            <w:hideMark/>
          </w:tcPr>
          <w:p w14:paraId="1B890098" w14:textId="77777777" w:rsidR="00432F98" w:rsidRPr="008732E6" w:rsidRDefault="00432F98" w:rsidP="00432F98">
            <w:pPr>
              <w:jc w:val="both"/>
              <w:rPr>
                <w:rFonts w:eastAsiaTheme="minorHAnsi" w:cstheme="minorBidi"/>
                <w:sz w:val="20"/>
                <w:szCs w:val="20"/>
                <w:lang w:eastAsia="en-US"/>
              </w:rPr>
            </w:pPr>
            <w:r w:rsidRPr="008732E6">
              <w:rPr>
                <w:rFonts w:eastAsiaTheme="minorHAnsi" w:cstheme="minorBidi"/>
                <w:sz w:val="20"/>
                <w:szCs w:val="20"/>
                <w:lang w:eastAsia="en-US"/>
              </w:rPr>
              <w:t>0</w:t>
            </w:r>
          </w:p>
        </w:tc>
        <w:tc>
          <w:tcPr>
            <w:tcW w:w="855" w:type="dxa"/>
            <w:shd w:val="clear" w:color="auto" w:fill="auto"/>
            <w:vAlign w:val="center"/>
            <w:hideMark/>
          </w:tcPr>
          <w:p w14:paraId="71E89059"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1052" w:type="dxa"/>
            <w:shd w:val="clear" w:color="auto" w:fill="auto"/>
            <w:vAlign w:val="center"/>
            <w:hideMark/>
          </w:tcPr>
          <w:p w14:paraId="01F68AF7"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656" w:type="dxa"/>
            <w:shd w:val="clear" w:color="auto" w:fill="auto"/>
            <w:vAlign w:val="center"/>
            <w:hideMark/>
          </w:tcPr>
          <w:p w14:paraId="6A3DD71B"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1170" w:type="dxa"/>
            <w:shd w:val="clear" w:color="auto" w:fill="auto"/>
            <w:vAlign w:val="center"/>
            <w:hideMark/>
          </w:tcPr>
          <w:p w14:paraId="61721B8C"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1601" w:type="dxa"/>
            <w:shd w:val="clear" w:color="auto" w:fill="auto"/>
            <w:vAlign w:val="center"/>
            <w:hideMark/>
          </w:tcPr>
          <w:p w14:paraId="7197BA8C"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r>
      <w:tr w:rsidR="00432F98" w:rsidRPr="00432F98" w14:paraId="4E33C962" w14:textId="77777777" w:rsidTr="00432F98">
        <w:trPr>
          <w:cantSplit/>
        </w:trPr>
        <w:tc>
          <w:tcPr>
            <w:tcW w:w="2071" w:type="dxa"/>
            <w:shd w:val="clear" w:color="auto" w:fill="auto"/>
            <w:hideMark/>
          </w:tcPr>
          <w:p w14:paraId="7D306424"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lastRenderedPageBreak/>
              <w:t>4. Finanšu līdzekļi papildu izdevumu finansēšanai (kompensējošu izdevumu samazinājumu norāda ar "+" zīmi)</w:t>
            </w:r>
          </w:p>
        </w:tc>
        <w:tc>
          <w:tcPr>
            <w:tcW w:w="976" w:type="dxa"/>
            <w:shd w:val="clear" w:color="auto" w:fill="auto"/>
            <w:vAlign w:val="center"/>
            <w:hideMark/>
          </w:tcPr>
          <w:p w14:paraId="447EB3D0"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975" w:type="dxa"/>
            <w:shd w:val="clear" w:color="auto" w:fill="auto"/>
            <w:vAlign w:val="center"/>
            <w:hideMark/>
          </w:tcPr>
          <w:p w14:paraId="4BC4FA6B" w14:textId="5CFC4295" w:rsidR="00432F98" w:rsidRPr="008732E6" w:rsidRDefault="00822B52" w:rsidP="00432F98">
            <w:pPr>
              <w:jc w:val="both"/>
              <w:rPr>
                <w:rFonts w:eastAsiaTheme="minorHAnsi" w:cstheme="minorBidi"/>
                <w:sz w:val="20"/>
                <w:szCs w:val="20"/>
                <w:lang w:eastAsia="en-US"/>
              </w:rPr>
            </w:pPr>
            <w:r w:rsidRPr="008732E6">
              <w:rPr>
                <w:sz w:val="20"/>
                <w:szCs w:val="20"/>
              </w:rPr>
              <w:t>0</w:t>
            </w:r>
          </w:p>
        </w:tc>
        <w:tc>
          <w:tcPr>
            <w:tcW w:w="855" w:type="dxa"/>
            <w:shd w:val="clear" w:color="auto" w:fill="auto"/>
            <w:vAlign w:val="center"/>
            <w:hideMark/>
          </w:tcPr>
          <w:p w14:paraId="5EC7BC20"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1052" w:type="dxa"/>
            <w:shd w:val="clear" w:color="auto" w:fill="auto"/>
            <w:vAlign w:val="center"/>
            <w:hideMark/>
          </w:tcPr>
          <w:p w14:paraId="2F890EFD"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656" w:type="dxa"/>
            <w:shd w:val="clear" w:color="auto" w:fill="auto"/>
            <w:vAlign w:val="center"/>
            <w:hideMark/>
          </w:tcPr>
          <w:p w14:paraId="3810C0F3"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1170" w:type="dxa"/>
            <w:shd w:val="clear" w:color="auto" w:fill="auto"/>
            <w:vAlign w:val="center"/>
            <w:hideMark/>
          </w:tcPr>
          <w:p w14:paraId="75C6F73A"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1601" w:type="dxa"/>
            <w:shd w:val="clear" w:color="auto" w:fill="auto"/>
            <w:vAlign w:val="center"/>
            <w:hideMark/>
          </w:tcPr>
          <w:p w14:paraId="6D075AD0"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r>
      <w:tr w:rsidR="00432F98" w:rsidRPr="00432F98" w14:paraId="02EA75A7" w14:textId="77777777" w:rsidTr="00432F98">
        <w:trPr>
          <w:cantSplit/>
        </w:trPr>
        <w:tc>
          <w:tcPr>
            <w:tcW w:w="2071" w:type="dxa"/>
            <w:shd w:val="clear" w:color="auto" w:fill="auto"/>
            <w:hideMark/>
          </w:tcPr>
          <w:p w14:paraId="33C19D21"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5. Precizēta finansiālā ietekme</w:t>
            </w:r>
          </w:p>
        </w:tc>
        <w:tc>
          <w:tcPr>
            <w:tcW w:w="976" w:type="dxa"/>
            <w:vMerge w:val="restart"/>
            <w:shd w:val="clear" w:color="auto" w:fill="auto"/>
            <w:vAlign w:val="center"/>
            <w:hideMark/>
          </w:tcPr>
          <w:p w14:paraId="25B5BD60"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x</w:t>
            </w:r>
          </w:p>
        </w:tc>
        <w:tc>
          <w:tcPr>
            <w:tcW w:w="975" w:type="dxa"/>
            <w:shd w:val="clear" w:color="auto" w:fill="auto"/>
            <w:vAlign w:val="center"/>
            <w:hideMark/>
          </w:tcPr>
          <w:p w14:paraId="482EE32B"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855" w:type="dxa"/>
            <w:vMerge w:val="restart"/>
            <w:shd w:val="clear" w:color="auto" w:fill="auto"/>
            <w:vAlign w:val="center"/>
            <w:hideMark/>
          </w:tcPr>
          <w:p w14:paraId="49CDB38D"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x</w:t>
            </w:r>
          </w:p>
        </w:tc>
        <w:tc>
          <w:tcPr>
            <w:tcW w:w="1052" w:type="dxa"/>
            <w:shd w:val="clear" w:color="auto" w:fill="auto"/>
            <w:vAlign w:val="center"/>
            <w:hideMark/>
          </w:tcPr>
          <w:p w14:paraId="736DF446"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656" w:type="dxa"/>
            <w:vMerge w:val="restart"/>
            <w:shd w:val="clear" w:color="auto" w:fill="auto"/>
            <w:vAlign w:val="center"/>
            <w:hideMark/>
          </w:tcPr>
          <w:p w14:paraId="5C410947"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x</w:t>
            </w:r>
          </w:p>
        </w:tc>
        <w:tc>
          <w:tcPr>
            <w:tcW w:w="1170" w:type="dxa"/>
            <w:shd w:val="clear" w:color="auto" w:fill="auto"/>
            <w:vAlign w:val="center"/>
            <w:hideMark/>
          </w:tcPr>
          <w:p w14:paraId="460DDFB4"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1601" w:type="dxa"/>
            <w:shd w:val="clear" w:color="auto" w:fill="auto"/>
            <w:vAlign w:val="center"/>
            <w:hideMark/>
          </w:tcPr>
          <w:p w14:paraId="1D4BE059"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r>
      <w:tr w:rsidR="00432F98" w:rsidRPr="00432F98" w14:paraId="0662D97D" w14:textId="77777777" w:rsidTr="00432F98">
        <w:trPr>
          <w:cantSplit/>
        </w:trPr>
        <w:tc>
          <w:tcPr>
            <w:tcW w:w="2071" w:type="dxa"/>
            <w:shd w:val="clear" w:color="auto" w:fill="auto"/>
            <w:hideMark/>
          </w:tcPr>
          <w:p w14:paraId="77B0276F"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5.1. valsts pamatbudžets</w:t>
            </w:r>
          </w:p>
        </w:tc>
        <w:tc>
          <w:tcPr>
            <w:tcW w:w="976" w:type="dxa"/>
            <w:vMerge/>
            <w:shd w:val="clear" w:color="auto" w:fill="auto"/>
            <w:vAlign w:val="center"/>
            <w:hideMark/>
          </w:tcPr>
          <w:p w14:paraId="3BE5CE21" w14:textId="77777777" w:rsidR="00432F98" w:rsidRPr="00432F98" w:rsidRDefault="00432F98" w:rsidP="00432F98">
            <w:pPr>
              <w:jc w:val="both"/>
              <w:rPr>
                <w:rFonts w:eastAsiaTheme="minorHAnsi" w:cstheme="minorBidi"/>
                <w:sz w:val="20"/>
                <w:szCs w:val="20"/>
                <w:lang w:eastAsia="en-US"/>
              </w:rPr>
            </w:pPr>
          </w:p>
        </w:tc>
        <w:tc>
          <w:tcPr>
            <w:tcW w:w="975" w:type="dxa"/>
            <w:shd w:val="clear" w:color="auto" w:fill="auto"/>
            <w:vAlign w:val="center"/>
            <w:hideMark/>
          </w:tcPr>
          <w:p w14:paraId="7A219BAE"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855" w:type="dxa"/>
            <w:vMerge/>
            <w:shd w:val="clear" w:color="auto" w:fill="auto"/>
            <w:vAlign w:val="center"/>
            <w:hideMark/>
          </w:tcPr>
          <w:p w14:paraId="765E5E4A" w14:textId="77777777" w:rsidR="00432F98" w:rsidRPr="00432F98" w:rsidRDefault="00432F98" w:rsidP="00432F98">
            <w:pPr>
              <w:jc w:val="both"/>
              <w:rPr>
                <w:rFonts w:eastAsiaTheme="minorHAnsi" w:cstheme="minorBidi"/>
                <w:sz w:val="20"/>
                <w:szCs w:val="20"/>
                <w:lang w:eastAsia="en-US"/>
              </w:rPr>
            </w:pPr>
          </w:p>
        </w:tc>
        <w:tc>
          <w:tcPr>
            <w:tcW w:w="1052" w:type="dxa"/>
            <w:shd w:val="clear" w:color="auto" w:fill="auto"/>
            <w:vAlign w:val="center"/>
            <w:hideMark/>
          </w:tcPr>
          <w:p w14:paraId="1D54354C"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656" w:type="dxa"/>
            <w:vMerge/>
            <w:shd w:val="clear" w:color="auto" w:fill="auto"/>
            <w:vAlign w:val="center"/>
            <w:hideMark/>
          </w:tcPr>
          <w:p w14:paraId="428D5430" w14:textId="77777777" w:rsidR="00432F98" w:rsidRPr="00432F98" w:rsidRDefault="00432F98" w:rsidP="00432F98">
            <w:pPr>
              <w:jc w:val="both"/>
              <w:rPr>
                <w:rFonts w:eastAsiaTheme="minorHAnsi" w:cstheme="minorBidi"/>
                <w:sz w:val="20"/>
                <w:szCs w:val="20"/>
                <w:lang w:eastAsia="en-US"/>
              </w:rPr>
            </w:pPr>
          </w:p>
        </w:tc>
        <w:tc>
          <w:tcPr>
            <w:tcW w:w="1170" w:type="dxa"/>
            <w:shd w:val="clear" w:color="auto" w:fill="auto"/>
            <w:vAlign w:val="center"/>
            <w:hideMark/>
          </w:tcPr>
          <w:p w14:paraId="42E39C64"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1601" w:type="dxa"/>
            <w:shd w:val="clear" w:color="auto" w:fill="auto"/>
            <w:vAlign w:val="center"/>
            <w:hideMark/>
          </w:tcPr>
          <w:p w14:paraId="30F371D6"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r>
      <w:tr w:rsidR="00432F98" w:rsidRPr="00432F98" w14:paraId="39E0B423" w14:textId="77777777" w:rsidTr="00432F98">
        <w:trPr>
          <w:cantSplit/>
        </w:trPr>
        <w:tc>
          <w:tcPr>
            <w:tcW w:w="2071" w:type="dxa"/>
            <w:shd w:val="clear" w:color="auto" w:fill="auto"/>
            <w:hideMark/>
          </w:tcPr>
          <w:p w14:paraId="193E5379"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5.2. speciālais budžets</w:t>
            </w:r>
          </w:p>
        </w:tc>
        <w:tc>
          <w:tcPr>
            <w:tcW w:w="976" w:type="dxa"/>
            <w:vMerge/>
            <w:shd w:val="clear" w:color="auto" w:fill="auto"/>
            <w:vAlign w:val="center"/>
            <w:hideMark/>
          </w:tcPr>
          <w:p w14:paraId="0715123E" w14:textId="77777777" w:rsidR="00432F98" w:rsidRPr="00432F98" w:rsidRDefault="00432F98" w:rsidP="00432F98">
            <w:pPr>
              <w:jc w:val="both"/>
              <w:rPr>
                <w:rFonts w:eastAsiaTheme="minorHAnsi" w:cstheme="minorBidi"/>
                <w:sz w:val="20"/>
                <w:szCs w:val="20"/>
                <w:lang w:eastAsia="en-US"/>
              </w:rPr>
            </w:pPr>
          </w:p>
        </w:tc>
        <w:tc>
          <w:tcPr>
            <w:tcW w:w="975" w:type="dxa"/>
            <w:shd w:val="clear" w:color="auto" w:fill="auto"/>
            <w:vAlign w:val="center"/>
            <w:hideMark/>
          </w:tcPr>
          <w:p w14:paraId="4E697A5D"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855" w:type="dxa"/>
            <w:vMerge/>
            <w:shd w:val="clear" w:color="auto" w:fill="auto"/>
            <w:vAlign w:val="center"/>
            <w:hideMark/>
          </w:tcPr>
          <w:p w14:paraId="3F881136" w14:textId="77777777" w:rsidR="00432F98" w:rsidRPr="00432F98" w:rsidRDefault="00432F98" w:rsidP="00432F98">
            <w:pPr>
              <w:jc w:val="both"/>
              <w:rPr>
                <w:rFonts w:eastAsiaTheme="minorHAnsi" w:cstheme="minorBidi"/>
                <w:sz w:val="20"/>
                <w:szCs w:val="20"/>
                <w:lang w:eastAsia="en-US"/>
              </w:rPr>
            </w:pPr>
          </w:p>
        </w:tc>
        <w:tc>
          <w:tcPr>
            <w:tcW w:w="1052" w:type="dxa"/>
            <w:shd w:val="clear" w:color="auto" w:fill="auto"/>
            <w:vAlign w:val="center"/>
            <w:hideMark/>
          </w:tcPr>
          <w:p w14:paraId="62090CC5"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656" w:type="dxa"/>
            <w:vMerge/>
            <w:shd w:val="clear" w:color="auto" w:fill="auto"/>
            <w:vAlign w:val="center"/>
            <w:hideMark/>
          </w:tcPr>
          <w:p w14:paraId="103BDEB3" w14:textId="77777777" w:rsidR="00432F98" w:rsidRPr="00432F98" w:rsidRDefault="00432F98" w:rsidP="00432F98">
            <w:pPr>
              <w:jc w:val="both"/>
              <w:rPr>
                <w:rFonts w:eastAsiaTheme="minorHAnsi" w:cstheme="minorBidi"/>
                <w:sz w:val="20"/>
                <w:szCs w:val="20"/>
                <w:lang w:eastAsia="en-US"/>
              </w:rPr>
            </w:pPr>
          </w:p>
        </w:tc>
        <w:tc>
          <w:tcPr>
            <w:tcW w:w="1170" w:type="dxa"/>
            <w:shd w:val="clear" w:color="auto" w:fill="auto"/>
            <w:vAlign w:val="center"/>
            <w:hideMark/>
          </w:tcPr>
          <w:p w14:paraId="63DB398A"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1601" w:type="dxa"/>
            <w:shd w:val="clear" w:color="auto" w:fill="auto"/>
            <w:vAlign w:val="center"/>
            <w:hideMark/>
          </w:tcPr>
          <w:p w14:paraId="6C3B4C08"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r>
      <w:tr w:rsidR="00432F98" w:rsidRPr="00432F98" w14:paraId="047EF076" w14:textId="77777777" w:rsidTr="00432F98">
        <w:trPr>
          <w:cantSplit/>
        </w:trPr>
        <w:tc>
          <w:tcPr>
            <w:tcW w:w="2071" w:type="dxa"/>
            <w:shd w:val="clear" w:color="auto" w:fill="auto"/>
            <w:hideMark/>
          </w:tcPr>
          <w:p w14:paraId="7C6B6579"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5.3. pašvaldību budžets</w:t>
            </w:r>
          </w:p>
        </w:tc>
        <w:tc>
          <w:tcPr>
            <w:tcW w:w="976" w:type="dxa"/>
            <w:vMerge/>
            <w:shd w:val="clear" w:color="auto" w:fill="auto"/>
            <w:vAlign w:val="center"/>
            <w:hideMark/>
          </w:tcPr>
          <w:p w14:paraId="3F20CD17" w14:textId="77777777" w:rsidR="00432F98" w:rsidRPr="00432F98" w:rsidRDefault="00432F98" w:rsidP="00432F98">
            <w:pPr>
              <w:jc w:val="both"/>
              <w:rPr>
                <w:rFonts w:eastAsiaTheme="minorHAnsi" w:cstheme="minorBidi"/>
                <w:sz w:val="20"/>
                <w:szCs w:val="20"/>
                <w:lang w:eastAsia="en-US"/>
              </w:rPr>
            </w:pPr>
          </w:p>
        </w:tc>
        <w:tc>
          <w:tcPr>
            <w:tcW w:w="975" w:type="dxa"/>
            <w:shd w:val="clear" w:color="auto" w:fill="auto"/>
            <w:vAlign w:val="center"/>
            <w:hideMark/>
          </w:tcPr>
          <w:p w14:paraId="6868C831"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855" w:type="dxa"/>
            <w:vMerge/>
            <w:shd w:val="clear" w:color="auto" w:fill="auto"/>
            <w:vAlign w:val="center"/>
            <w:hideMark/>
          </w:tcPr>
          <w:p w14:paraId="16D4DBAA" w14:textId="77777777" w:rsidR="00432F98" w:rsidRPr="00432F98" w:rsidRDefault="00432F98" w:rsidP="00432F98">
            <w:pPr>
              <w:jc w:val="both"/>
              <w:rPr>
                <w:rFonts w:eastAsiaTheme="minorHAnsi" w:cstheme="minorBidi"/>
                <w:sz w:val="20"/>
                <w:szCs w:val="20"/>
                <w:lang w:eastAsia="en-US"/>
              </w:rPr>
            </w:pPr>
          </w:p>
        </w:tc>
        <w:tc>
          <w:tcPr>
            <w:tcW w:w="1052" w:type="dxa"/>
            <w:shd w:val="clear" w:color="auto" w:fill="auto"/>
            <w:vAlign w:val="center"/>
            <w:hideMark/>
          </w:tcPr>
          <w:p w14:paraId="7EFBD6C1"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656" w:type="dxa"/>
            <w:vMerge/>
            <w:shd w:val="clear" w:color="auto" w:fill="auto"/>
            <w:vAlign w:val="center"/>
            <w:hideMark/>
          </w:tcPr>
          <w:p w14:paraId="1E6AADB1" w14:textId="77777777" w:rsidR="00432F98" w:rsidRPr="00432F98" w:rsidRDefault="00432F98" w:rsidP="00432F98">
            <w:pPr>
              <w:jc w:val="both"/>
              <w:rPr>
                <w:rFonts w:eastAsiaTheme="minorHAnsi" w:cstheme="minorBidi"/>
                <w:sz w:val="20"/>
                <w:szCs w:val="20"/>
                <w:lang w:eastAsia="en-US"/>
              </w:rPr>
            </w:pPr>
          </w:p>
        </w:tc>
        <w:tc>
          <w:tcPr>
            <w:tcW w:w="1170" w:type="dxa"/>
            <w:shd w:val="clear" w:color="auto" w:fill="auto"/>
            <w:vAlign w:val="center"/>
            <w:hideMark/>
          </w:tcPr>
          <w:p w14:paraId="7D961146"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c>
          <w:tcPr>
            <w:tcW w:w="1601" w:type="dxa"/>
            <w:shd w:val="clear" w:color="auto" w:fill="auto"/>
            <w:vAlign w:val="center"/>
            <w:hideMark/>
          </w:tcPr>
          <w:p w14:paraId="0121B08E"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0</w:t>
            </w:r>
          </w:p>
        </w:tc>
      </w:tr>
      <w:tr w:rsidR="00432F98" w:rsidRPr="00432F98" w14:paraId="1BD65F8D" w14:textId="77777777" w:rsidTr="00432F98">
        <w:trPr>
          <w:cantSplit/>
        </w:trPr>
        <w:tc>
          <w:tcPr>
            <w:tcW w:w="2071" w:type="dxa"/>
            <w:shd w:val="clear" w:color="auto" w:fill="auto"/>
            <w:hideMark/>
          </w:tcPr>
          <w:p w14:paraId="14DB8D2D"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6. Detalizēts ieņēmumu un izdevumu aprēķins (ja nepieciešams, detalizētu ieņēmumu un izdevumu aprēķinu var pievienot anotācijas pielikumā)</w:t>
            </w:r>
          </w:p>
        </w:tc>
        <w:tc>
          <w:tcPr>
            <w:tcW w:w="7285" w:type="dxa"/>
            <w:gridSpan w:val="7"/>
            <w:vMerge w:val="restart"/>
            <w:shd w:val="clear" w:color="auto" w:fill="auto"/>
            <w:vAlign w:val="center"/>
            <w:hideMark/>
          </w:tcPr>
          <w:p w14:paraId="45C3C010" w14:textId="01BBA6F1" w:rsidR="00432F98" w:rsidRPr="005F3BB2" w:rsidRDefault="00432F98" w:rsidP="00432F98">
            <w:pPr>
              <w:jc w:val="both"/>
              <w:rPr>
                <w:i/>
                <w:iCs/>
              </w:rPr>
            </w:pPr>
            <w:r w:rsidRPr="00432F98">
              <w:rPr>
                <w:i/>
                <w:iCs/>
              </w:rPr>
              <w:t xml:space="preserve">* Atbilstoši Ministru kabineta 2021.gada 11.janvāra rīkojumam Nr.11 Par finanšu līdzekļu piešķiršanu no valsts budžeta programmas "Līdzekļi neparedzētiem gadījumiem"  (prot. Nr. 2 34. §),  no valsts budžeta programmas 02.00.00 "Līdzekļi neparedzētiem gadījumiem" Labklājības ministrijai piešķirts finansējumus, kas nepārsniedz 375 000 </w:t>
            </w:r>
            <w:proofErr w:type="spellStart"/>
            <w:r w:rsidRPr="00432F98">
              <w:rPr>
                <w:i/>
                <w:iCs/>
              </w:rPr>
              <w:t>euro</w:t>
            </w:r>
            <w:proofErr w:type="spellEnd"/>
            <w:r w:rsidRPr="00432F98">
              <w:rPr>
                <w:i/>
                <w:iCs/>
              </w:rPr>
              <w:t xml:space="preserve">. Saskaņā ar FM 2021.gada 14.janvāra rīkojumu Nr.18  Labklājības ministrijai </w:t>
            </w:r>
            <w:r w:rsidRPr="00432F98">
              <w:rPr>
                <w:i/>
                <w:iCs/>
              </w:rPr>
              <w:lastRenderedPageBreak/>
              <w:t xml:space="preserve">piešķirti 125 000 </w:t>
            </w:r>
            <w:proofErr w:type="spellStart"/>
            <w:r w:rsidRPr="00432F98">
              <w:rPr>
                <w:i/>
                <w:iCs/>
              </w:rPr>
              <w:t>euro</w:t>
            </w:r>
            <w:proofErr w:type="spellEnd"/>
            <w:r w:rsidRPr="00432F98">
              <w:rPr>
                <w:i/>
                <w:iCs/>
              </w:rPr>
              <w:t xml:space="preserve"> </w:t>
            </w:r>
            <w:r w:rsidRPr="00C01761">
              <w:rPr>
                <w:i/>
                <w:iCs/>
              </w:rPr>
              <w:t>programmā</w:t>
            </w:r>
            <w:r w:rsidRPr="00432F98">
              <w:rPr>
                <w:i/>
                <w:iCs/>
              </w:rPr>
              <w:t xml:space="preserve"> 99.00.00 “Līdzekļu neparedzētiem gadījumiem izlietojums”.</w:t>
            </w:r>
            <w:r w:rsidR="00E56801">
              <w:rPr>
                <w:i/>
                <w:iCs/>
              </w:rPr>
              <w:t xml:space="preserve"> </w:t>
            </w:r>
            <w:r w:rsidR="00E56801" w:rsidRPr="008732E6">
              <w:rPr>
                <w:i/>
                <w:iCs/>
              </w:rPr>
              <w:t xml:space="preserve">Uz 21.02.2021. izlietoti līdzekļi 32 832 </w:t>
            </w:r>
            <w:proofErr w:type="spellStart"/>
            <w:r w:rsidR="00E56801" w:rsidRPr="008732E6">
              <w:rPr>
                <w:i/>
                <w:iCs/>
              </w:rPr>
              <w:t>euro</w:t>
            </w:r>
            <w:proofErr w:type="spellEnd"/>
            <w:r w:rsidR="00E56801" w:rsidRPr="008732E6">
              <w:rPr>
                <w:i/>
                <w:iCs/>
              </w:rPr>
              <w:t xml:space="preserve"> apmērā.</w:t>
            </w:r>
          </w:p>
          <w:p w14:paraId="5571C132" w14:textId="77777777" w:rsidR="005F3BB2" w:rsidRPr="00432F98" w:rsidRDefault="005F3BB2" w:rsidP="00432F98">
            <w:pPr>
              <w:jc w:val="both"/>
              <w:rPr>
                <w:i/>
                <w:iCs/>
              </w:rPr>
            </w:pPr>
          </w:p>
          <w:p w14:paraId="461094C8" w14:textId="77777777" w:rsidR="00432F98" w:rsidRPr="00432F98" w:rsidRDefault="00432F98" w:rsidP="00D46784">
            <w:pPr>
              <w:ind w:firstLine="274"/>
              <w:jc w:val="both"/>
              <w:rPr>
                <w:i/>
                <w:iCs/>
              </w:rPr>
            </w:pPr>
            <w:r w:rsidRPr="00432F98">
              <w:rPr>
                <w:i/>
                <w:iCs/>
              </w:rPr>
              <w:t>Informācija par 2020.gadā plānotajiem un veiktajiem izdevumiem minētā pabalsta izmaksu kompensēšanas nodrošināšanai:</w:t>
            </w:r>
          </w:p>
          <w:p w14:paraId="0528941A" w14:textId="77777777" w:rsidR="00432F98" w:rsidRPr="00432F98" w:rsidRDefault="00432F98" w:rsidP="00D46784">
            <w:pPr>
              <w:numPr>
                <w:ilvl w:val="0"/>
                <w:numId w:val="32"/>
              </w:numPr>
              <w:jc w:val="both"/>
              <w:rPr>
                <w:i/>
                <w:iCs/>
              </w:rPr>
            </w:pPr>
            <w:r w:rsidRPr="00432F98">
              <w:rPr>
                <w:i/>
                <w:iCs/>
              </w:rPr>
              <w:t xml:space="preserve">2020.gada ārkārtas situācijas pirmajā vilnī saskaņā ar Finanšu ministrijas 10.11.2020. rīk. Nr.453 piešķirts finansējums 342 957 </w:t>
            </w:r>
            <w:proofErr w:type="spellStart"/>
            <w:r w:rsidRPr="00432F98">
              <w:rPr>
                <w:i/>
                <w:iCs/>
              </w:rPr>
              <w:t>euro</w:t>
            </w:r>
            <w:proofErr w:type="spellEnd"/>
            <w:r w:rsidRPr="00432F98">
              <w:rPr>
                <w:i/>
                <w:iCs/>
              </w:rPr>
              <w:t xml:space="preserve"> apmērā un izlietots finansējums 342 956 </w:t>
            </w:r>
            <w:proofErr w:type="spellStart"/>
            <w:r w:rsidRPr="00432F98">
              <w:rPr>
                <w:i/>
                <w:iCs/>
              </w:rPr>
              <w:t>euro</w:t>
            </w:r>
            <w:proofErr w:type="spellEnd"/>
            <w:r w:rsidRPr="00432F98">
              <w:rPr>
                <w:i/>
                <w:iCs/>
              </w:rPr>
              <w:t xml:space="preserve"> apmērā;</w:t>
            </w:r>
          </w:p>
          <w:p w14:paraId="00C65BF3" w14:textId="3BDA8216" w:rsidR="00432F98" w:rsidRPr="00432F98" w:rsidRDefault="00432F98" w:rsidP="00D46784">
            <w:pPr>
              <w:numPr>
                <w:ilvl w:val="0"/>
                <w:numId w:val="32"/>
              </w:numPr>
              <w:jc w:val="both"/>
              <w:rPr>
                <w:i/>
                <w:iCs/>
              </w:rPr>
            </w:pPr>
            <w:r w:rsidRPr="00432F98">
              <w:rPr>
                <w:i/>
                <w:iCs/>
              </w:rPr>
              <w:t xml:space="preserve">2020.gada ārkārtas situācijas otrajā vilnī saskaņā ar Finanšu ministrijas 19.11.2020. rīk. Nr.473 piešķirts finansējums 250 000 </w:t>
            </w:r>
            <w:proofErr w:type="spellStart"/>
            <w:r w:rsidRPr="00432F98">
              <w:rPr>
                <w:i/>
                <w:iCs/>
              </w:rPr>
              <w:t>euro</w:t>
            </w:r>
            <w:proofErr w:type="spellEnd"/>
            <w:r w:rsidRPr="00432F98">
              <w:rPr>
                <w:i/>
                <w:iCs/>
              </w:rPr>
              <w:t xml:space="preserve"> apmērā un izlietots finansējums </w:t>
            </w:r>
            <w:r w:rsidR="00620025" w:rsidRPr="008732E6">
              <w:rPr>
                <w:i/>
                <w:iCs/>
              </w:rPr>
              <w:t>1 939</w:t>
            </w:r>
            <w:r w:rsidR="00620025">
              <w:rPr>
                <w:i/>
                <w:iCs/>
              </w:rPr>
              <w:t xml:space="preserve"> </w:t>
            </w:r>
            <w:r w:rsidRPr="00432F98">
              <w:rPr>
                <w:i/>
                <w:iCs/>
              </w:rPr>
              <w:t xml:space="preserve"> </w:t>
            </w:r>
            <w:proofErr w:type="spellStart"/>
            <w:r w:rsidRPr="00432F98">
              <w:rPr>
                <w:i/>
                <w:iCs/>
              </w:rPr>
              <w:t>euro</w:t>
            </w:r>
            <w:proofErr w:type="spellEnd"/>
            <w:r w:rsidRPr="00432F98">
              <w:rPr>
                <w:i/>
                <w:iCs/>
              </w:rPr>
              <w:t xml:space="preserve"> apmērā.</w:t>
            </w:r>
          </w:p>
          <w:p w14:paraId="4E496509" w14:textId="77777777" w:rsidR="00432F98" w:rsidRPr="00432F98" w:rsidRDefault="00432F98" w:rsidP="00432F98">
            <w:pPr>
              <w:ind w:firstLine="746"/>
              <w:jc w:val="both"/>
            </w:pPr>
            <w:r w:rsidRPr="00432F98">
              <w:t>Pabalstu krīzes situācijā izmaksās pašvaldību sociālie dienesti.</w:t>
            </w:r>
          </w:p>
          <w:p w14:paraId="70B5FBC9" w14:textId="77777777" w:rsidR="00432F98" w:rsidRPr="00432F98" w:rsidRDefault="00432F98" w:rsidP="00432F98">
            <w:pPr>
              <w:ind w:firstLine="746"/>
              <w:jc w:val="both"/>
            </w:pPr>
            <w:r w:rsidRPr="00432F98">
              <w:t>Labklājības ministrija 10 darbdienu laikā pēc pārskata izvērtēšanas un atzīšanas par atbilstošu veiks mērķdotācijas maksājumu pašvaldībai (50 procentu apmērā no mājsaimniecībai izmaksātā pabalsta krīzes situācijā apmēra, bet ne vairāk kā 75 </w:t>
            </w:r>
            <w:proofErr w:type="spellStart"/>
            <w:r w:rsidRPr="00C01761">
              <w:rPr>
                <w:i/>
              </w:rPr>
              <w:t>euro</w:t>
            </w:r>
            <w:proofErr w:type="spellEnd"/>
            <w:r w:rsidRPr="00432F98">
              <w:t xml:space="preserve"> mēnesī vienai personai, kā arī 100 procentu apmērā no mājsaimniecībai izmaksātā pabalsta krīzes situācijā palielinājuma par katru bērnu (50 </w:t>
            </w:r>
            <w:proofErr w:type="spellStart"/>
            <w:r w:rsidRPr="00C01761">
              <w:rPr>
                <w:i/>
              </w:rPr>
              <w:t>euro</w:t>
            </w:r>
            <w:proofErr w:type="spellEnd"/>
            <w:r w:rsidRPr="00432F98">
              <w:t xml:space="preserve"> mēnesī)).</w:t>
            </w:r>
          </w:p>
          <w:p w14:paraId="10892EFB" w14:textId="23D1B3CF" w:rsidR="00432F98" w:rsidRPr="00432F98" w:rsidRDefault="00432F98" w:rsidP="00432F98">
            <w:pPr>
              <w:ind w:firstLine="604"/>
              <w:jc w:val="both"/>
            </w:pPr>
            <w:r w:rsidRPr="00432F98">
              <w:t xml:space="preserve">Līdz ar to, lai nodrošinātu pabalstu krīzes situācijā kompensēšanu pašvaldībām par pieciem mēnešiem (2021.gada februāri (atbilstoši plānotajam valsts nodrošinātās mērķdotācijas palielinājumam no 40 </w:t>
            </w:r>
            <w:proofErr w:type="spellStart"/>
            <w:r w:rsidRPr="00C01761">
              <w:rPr>
                <w:i/>
              </w:rPr>
              <w:t>euro</w:t>
            </w:r>
            <w:proofErr w:type="spellEnd"/>
            <w:r w:rsidRPr="00432F98">
              <w:t xml:space="preserve"> uz 75 </w:t>
            </w:r>
            <w:proofErr w:type="spellStart"/>
            <w:r w:rsidRPr="00C01761">
              <w:rPr>
                <w:i/>
              </w:rPr>
              <w:t>euro</w:t>
            </w:r>
            <w:proofErr w:type="spellEnd"/>
            <w:r w:rsidRPr="00432F98">
              <w:t>) , martu, aprīli, maiju un jūniju</w:t>
            </w:r>
            <w:r w:rsidR="00620025">
              <w:t xml:space="preserve">) </w:t>
            </w:r>
            <w:r w:rsidR="00620025" w:rsidRPr="00620025">
              <w:t xml:space="preserve">no valsts budžeta līdzekļiem nepieciešams finansējums </w:t>
            </w:r>
            <w:r w:rsidR="00272C29">
              <w:t>133 510</w:t>
            </w:r>
            <w:r w:rsidR="00620025" w:rsidRPr="00620025">
              <w:t xml:space="preserve"> </w:t>
            </w:r>
            <w:proofErr w:type="spellStart"/>
            <w:r w:rsidR="00620025" w:rsidRPr="00C01761">
              <w:rPr>
                <w:i/>
              </w:rPr>
              <w:t>euro</w:t>
            </w:r>
            <w:proofErr w:type="spellEnd"/>
            <w:r w:rsidR="00620025" w:rsidRPr="00620025">
              <w:t>. Aprēķinā ņemts vērā personu skaits, kurām 202</w:t>
            </w:r>
            <w:r w:rsidR="00CC0883">
              <w:t>1</w:t>
            </w:r>
            <w:r w:rsidR="00620025" w:rsidRPr="00620025">
              <w:t xml:space="preserve">.gada </w:t>
            </w:r>
            <w:r w:rsidR="00CC0883">
              <w:t>janvāra</w:t>
            </w:r>
            <w:r w:rsidR="00CC0883" w:rsidRPr="00620025">
              <w:t xml:space="preserve"> </w:t>
            </w:r>
            <w:r w:rsidR="00620025" w:rsidRPr="00620025">
              <w:t xml:space="preserve">mēnesī izmaksāts pabalsts krīzes situācijā, t.i. </w:t>
            </w:r>
            <w:r w:rsidR="00CC0883">
              <w:t>306</w:t>
            </w:r>
            <w:r w:rsidR="00620025" w:rsidRPr="00620025">
              <w:t xml:space="preserve"> personas (t.sk. </w:t>
            </w:r>
            <w:r w:rsidR="00CC0883">
              <w:t>155</w:t>
            </w:r>
            <w:r w:rsidR="00CC0883" w:rsidRPr="00620025">
              <w:t xml:space="preserve"> </w:t>
            </w:r>
            <w:r w:rsidR="00620025" w:rsidRPr="00620025">
              <w:t>bērni)</w:t>
            </w:r>
            <w:r w:rsidRPr="00432F98">
              <w:t>:</w:t>
            </w:r>
          </w:p>
          <w:p w14:paraId="79DC0874" w14:textId="14A841F3" w:rsidR="00432F98" w:rsidRPr="00432F98" w:rsidRDefault="00432F98" w:rsidP="00432F98">
            <w:pPr>
              <w:numPr>
                <w:ilvl w:val="0"/>
                <w:numId w:val="31"/>
              </w:numPr>
              <w:spacing w:after="160" w:line="259" w:lineRule="auto"/>
              <w:contextualSpacing/>
              <w:jc w:val="both"/>
            </w:pPr>
            <w:r w:rsidRPr="00432F98">
              <w:rPr>
                <w:i/>
                <w:iCs/>
              </w:rPr>
              <w:t>Izdevumi mērķdotācijai atbilstoši likuma pārejas noteikumu 37.</w:t>
            </w:r>
            <w:r w:rsidR="00A432A8">
              <w:rPr>
                <w:i/>
                <w:iCs/>
                <w:vertAlign w:val="superscript"/>
              </w:rPr>
              <w:t>1</w:t>
            </w:r>
            <w:r w:rsidRPr="00432F98">
              <w:rPr>
                <w:i/>
                <w:iCs/>
              </w:rPr>
              <w:t>punktam (</w:t>
            </w:r>
            <w:r w:rsidRPr="00432F98">
              <w:rPr>
                <w:i/>
              </w:rPr>
              <w:t xml:space="preserve">lai daļēji kompensētu pašvaldību izdevumus par pabalstu krīzes situācijā nodrošināšanu, valstij nodrošinot mērķdotāciju pašvaldībām izdevumu segšanai 50 procentu apmērā no mājsaimniecībai izmaksātā pabalsta krīzes situācijā apmēra, bet ne vairāk kā 75 </w:t>
            </w:r>
            <w:proofErr w:type="spellStart"/>
            <w:r w:rsidRPr="00432F98">
              <w:rPr>
                <w:i/>
              </w:rPr>
              <w:t>euro</w:t>
            </w:r>
            <w:proofErr w:type="spellEnd"/>
            <w:r w:rsidRPr="00432F98">
              <w:rPr>
                <w:i/>
              </w:rPr>
              <w:t xml:space="preserve"> mēnesī vienai personai</w:t>
            </w:r>
            <w:r w:rsidRPr="00432F98">
              <w:rPr>
                <w:iCs/>
              </w:rPr>
              <w:t>)</w:t>
            </w:r>
            <w:r w:rsidRPr="00432F98">
              <w:t xml:space="preserve">: </w:t>
            </w:r>
          </w:p>
          <w:p w14:paraId="093D4FF7" w14:textId="779AA532" w:rsidR="00432F98" w:rsidRPr="00432F98" w:rsidRDefault="00272C29" w:rsidP="00432F98">
            <w:pPr>
              <w:ind w:left="964"/>
              <w:jc w:val="both"/>
            </w:pPr>
            <w:r>
              <w:t>306</w:t>
            </w:r>
            <w:r w:rsidRPr="00432F98">
              <w:t xml:space="preserve"> </w:t>
            </w:r>
            <w:r w:rsidR="00432F98" w:rsidRPr="00432F98">
              <w:t xml:space="preserve">x1 mēnesis (februāris) x 35 </w:t>
            </w:r>
            <w:proofErr w:type="spellStart"/>
            <w:r w:rsidR="00432F98" w:rsidRPr="00024B64">
              <w:rPr>
                <w:i/>
              </w:rPr>
              <w:t>euro</w:t>
            </w:r>
            <w:proofErr w:type="spellEnd"/>
            <w:r w:rsidR="00432F98" w:rsidRPr="00432F98">
              <w:t xml:space="preserve"> (75 </w:t>
            </w:r>
            <w:proofErr w:type="spellStart"/>
            <w:r w:rsidR="00432F98" w:rsidRPr="00C01761">
              <w:rPr>
                <w:i/>
              </w:rPr>
              <w:t>euro</w:t>
            </w:r>
            <w:proofErr w:type="spellEnd"/>
            <w:r w:rsidR="00432F98" w:rsidRPr="00432F98">
              <w:t xml:space="preserve"> – 40 </w:t>
            </w:r>
            <w:proofErr w:type="spellStart"/>
            <w:r w:rsidR="00432F98" w:rsidRPr="00C01761">
              <w:rPr>
                <w:i/>
              </w:rPr>
              <w:t>euro</w:t>
            </w:r>
            <w:proofErr w:type="spellEnd"/>
            <w:r w:rsidR="00432F98" w:rsidRPr="00432F98">
              <w:t xml:space="preserve">)= </w:t>
            </w:r>
            <w:r>
              <w:t>10 710</w:t>
            </w:r>
            <w:r w:rsidR="00432F98" w:rsidRPr="00432F98">
              <w:t xml:space="preserve"> </w:t>
            </w:r>
            <w:proofErr w:type="spellStart"/>
            <w:r w:rsidR="00432F98" w:rsidRPr="00C01761">
              <w:rPr>
                <w:i/>
              </w:rPr>
              <w:t>euro</w:t>
            </w:r>
            <w:proofErr w:type="spellEnd"/>
            <w:r w:rsidR="00432F98" w:rsidRPr="00432F98">
              <w:t>;</w:t>
            </w:r>
          </w:p>
          <w:p w14:paraId="10317A18" w14:textId="2866BE63" w:rsidR="00432F98" w:rsidRPr="00432F98" w:rsidRDefault="00272C29" w:rsidP="00432F98">
            <w:pPr>
              <w:ind w:left="964"/>
              <w:jc w:val="both"/>
            </w:pPr>
            <w:r>
              <w:t>306</w:t>
            </w:r>
            <w:r w:rsidRPr="00432F98">
              <w:t xml:space="preserve"> </w:t>
            </w:r>
            <w:r w:rsidR="00432F98" w:rsidRPr="00432F98">
              <w:t xml:space="preserve">personas x 4 mēneši x 75 </w:t>
            </w:r>
            <w:proofErr w:type="spellStart"/>
            <w:r w:rsidR="00432F98" w:rsidRPr="00C01761">
              <w:rPr>
                <w:i/>
              </w:rPr>
              <w:t>euro</w:t>
            </w:r>
            <w:proofErr w:type="spellEnd"/>
            <w:r w:rsidR="00432F98" w:rsidRPr="00432F98">
              <w:t xml:space="preserve"> = </w:t>
            </w:r>
            <w:r>
              <w:t>91 800</w:t>
            </w:r>
            <w:r w:rsidR="00432F98" w:rsidRPr="00432F98">
              <w:t xml:space="preserve"> </w:t>
            </w:r>
            <w:proofErr w:type="spellStart"/>
            <w:r w:rsidR="00432F98" w:rsidRPr="00C01761">
              <w:rPr>
                <w:i/>
              </w:rPr>
              <w:t>euro</w:t>
            </w:r>
            <w:proofErr w:type="spellEnd"/>
            <w:r w:rsidR="00432F98" w:rsidRPr="00432F98">
              <w:t>.</w:t>
            </w:r>
          </w:p>
          <w:p w14:paraId="5525A982" w14:textId="08A2A3C1" w:rsidR="00432F98" w:rsidRPr="00432F98" w:rsidRDefault="00432F98" w:rsidP="00432F98">
            <w:pPr>
              <w:ind w:left="964"/>
              <w:jc w:val="both"/>
            </w:pPr>
            <w:r w:rsidRPr="00432F98">
              <w:t>Kopā :</w:t>
            </w:r>
            <w:r w:rsidR="00272C29">
              <w:t xml:space="preserve"> 102 510</w:t>
            </w:r>
            <w:r w:rsidRPr="00432F98">
              <w:t xml:space="preserve">  </w:t>
            </w:r>
            <w:proofErr w:type="spellStart"/>
            <w:r w:rsidRPr="00C01761">
              <w:rPr>
                <w:i/>
              </w:rPr>
              <w:t>euro</w:t>
            </w:r>
            <w:proofErr w:type="spellEnd"/>
          </w:p>
          <w:p w14:paraId="20E4C24F" w14:textId="77777777" w:rsidR="00432F98" w:rsidRPr="00432F98" w:rsidRDefault="00432F98" w:rsidP="00432F98">
            <w:pPr>
              <w:ind w:left="964"/>
              <w:jc w:val="both"/>
              <w:rPr>
                <w:i/>
                <w:iCs/>
              </w:rPr>
            </w:pPr>
            <w:r w:rsidRPr="00432F98">
              <w:rPr>
                <w:i/>
                <w:iCs/>
              </w:rPr>
              <w:t>Ņemot vērā, ka par februāra mēnesi jau ir plānotas izmaksas saskaņā ar 2021.gada 11.janvāra rīkojumu Nr.11., februāra mēneša aprēķinā tiek ņemta vērā izmaksājamās mērķdotācijas  apmēra starpība.</w:t>
            </w:r>
          </w:p>
          <w:p w14:paraId="02FF21A0" w14:textId="77777777" w:rsidR="00432F98" w:rsidRPr="00432F98" w:rsidRDefault="00432F98" w:rsidP="00432F98">
            <w:pPr>
              <w:ind w:left="964"/>
              <w:jc w:val="both"/>
              <w:rPr>
                <w:i/>
                <w:iCs/>
              </w:rPr>
            </w:pPr>
          </w:p>
          <w:p w14:paraId="10B9B133" w14:textId="15F6BCA1" w:rsidR="00432F98" w:rsidRPr="00432F98" w:rsidRDefault="00432F98" w:rsidP="00432F98">
            <w:pPr>
              <w:numPr>
                <w:ilvl w:val="0"/>
                <w:numId w:val="31"/>
              </w:numPr>
              <w:spacing w:after="160" w:line="259" w:lineRule="auto"/>
              <w:contextualSpacing/>
              <w:jc w:val="both"/>
              <w:rPr>
                <w:i/>
                <w:iCs/>
              </w:rPr>
            </w:pPr>
            <w:r w:rsidRPr="00432F98">
              <w:rPr>
                <w:i/>
                <w:iCs/>
              </w:rPr>
              <w:t xml:space="preserve">Izdevumi mērķdotācijai atbilstoši likuma pārejas noteikumu </w:t>
            </w:r>
            <w:r w:rsidR="00A432A8" w:rsidRPr="00432F98">
              <w:rPr>
                <w:i/>
                <w:iCs/>
              </w:rPr>
              <w:t>37.</w:t>
            </w:r>
            <w:r w:rsidR="00A432A8">
              <w:rPr>
                <w:i/>
                <w:iCs/>
                <w:vertAlign w:val="superscript"/>
              </w:rPr>
              <w:t>1</w:t>
            </w:r>
            <w:r w:rsidR="00A432A8" w:rsidRPr="00432F98">
              <w:rPr>
                <w:i/>
                <w:iCs/>
              </w:rPr>
              <w:t xml:space="preserve">punktam </w:t>
            </w:r>
            <w:r w:rsidRPr="00432F98">
              <w:rPr>
                <w:i/>
                <w:iCs/>
              </w:rPr>
              <w:t xml:space="preserve">(lai kompensētu pašvaldību izdevumus par pabalstu krīzes situācijā nodrošināšanu, valstij nodrošinot mērķdotāciju pašvaldībām izdevumu segšanai 100% apmērā, par mājsaimniecībai, tai skaitā audžuģimenei un aizbildnim, kam ir tiesības uz minēto pabalstu krīzes situācijā, kura aprūpē bērnu līdz 18 gadu vecumam,  pabalsta apmēru par 50 </w:t>
            </w:r>
            <w:proofErr w:type="spellStart"/>
            <w:r w:rsidRPr="00432F98">
              <w:rPr>
                <w:i/>
                <w:iCs/>
              </w:rPr>
              <w:t>euro</w:t>
            </w:r>
            <w:proofErr w:type="spellEnd"/>
            <w:r w:rsidRPr="00432F98">
              <w:rPr>
                <w:i/>
                <w:iCs/>
              </w:rPr>
              <w:t xml:space="preserve"> mēnesī katram bērnam):</w:t>
            </w:r>
          </w:p>
          <w:p w14:paraId="3ECF9C3D" w14:textId="43C73431" w:rsidR="00432F98" w:rsidRPr="00432F98" w:rsidRDefault="00272C29" w:rsidP="00432F98">
            <w:pPr>
              <w:ind w:left="964"/>
              <w:jc w:val="both"/>
            </w:pPr>
            <w:r>
              <w:t>155</w:t>
            </w:r>
            <w:r w:rsidRPr="00432F98">
              <w:t xml:space="preserve"> </w:t>
            </w:r>
            <w:r w:rsidR="00432F98" w:rsidRPr="00432F98">
              <w:t xml:space="preserve">bērni x 4 mēneši x 50 </w:t>
            </w:r>
            <w:proofErr w:type="spellStart"/>
            <w:r w:rsidR="00432F98" w:rsidRPr="00C01761">
              <w:rPr>
                <w:i/>
              </w:rPr>
              <w:t>euro</w:t>
            </w:r>
            <w:proofErr w:type="spellEnd"/>
            <w:r w:rsidR="00432F98" w:rsidRPr="00432F98">
              <w:t xml:space="preserve"> = </w:t>
            </w:r>
            <w:r>
              <w:t>  31 000</w:t>
            </w:r>
            <w:r w:rsidR="00432F98" w:rsidRPr="00432F98">
              <w:t xml:space="preserve"> </w:t>
            </w:r>
            <w:proofErr w:type="spellStart"/>
            <w:r w:rsidR="00432F98" w:rsidRPr="00C01761">
              <w:rPr>
                <w:i/>
              </w:rPr>
              <w:t>euro</w:t>
            </w:r>
            <w:proofErr w:type="spellEnd"/>
            <w:r w:rsidR="00432F98" w:rsidRPr="00432F98">
              <w:t>;</w:t>
            </w:r>
          </w:p>
          <w:p w14:paraId="3DA9AF2B" w14:textId="77777777" w:rsidR="00432F98" w:rsidRPr="00432F98" w:rsidRDefault="00432F98" w:rsidP="00432F98">
            <w:pPr>
              <w:ind w:left="964"/>
              <w:jc w:val="both"/>
              <w:rPr>
                <w:i/>
                <w:iCs/>
              </w:rPr>
            </w:pPr>
            <w:r w:rsidRPr="00432F98">
              <w:rPr>
                <w:i/>
                <w:iCs/>
              </w:rPr>
              <w:lastRenderedPageBreak/>
              <w:t>Ņemot vērā, ka par februāra mēnesi jau ir plānotas izmaksas saskaņā ar 2021.gada 11.janvāra rīkojumu Nr.11, aprēķins tiek veikts par  4 mēnešiem.</w:t>
            </w:r>
          </w:p>
          <w:p w14:paraId="31B1EAC0" w14:textId="77777777" w:rsidR="00432F98" w:rsidRPr="00432F98" w:rsidRDefault="00432F98" w:rsidP="00432F98">
            <w:pPr>
              <w:jc w:val="both"/>
            </w:pPr>
          </w:p>
          <w:p w14:paraId="11879155" w14:textId="1A844E42" w:rsidR="00432F98" w:rsidRPr="00432F98" w:rsidRDefault="00432F98" w:rsidP="00432F98">
            <w:pPr>
              <w:ind w:left="964"/>
              <w:jc w:val="both"/>
            </w:pPr>
            <w:r w:rsidRPr="00432F98">
              <w:t xml:space="preserve"> Kopā: </w:t>
            </w:r>
            <w:r w:rsidR="00272C29">
              <w:t>102 510</w:t>
            </w:r>
            <w:r w:rsidR="00272C29" w:rsidRPr="00432F98">
              <w:t xml:space="preserve">  </w:t>
            </w:r>
            <w:r w:rsidRPr="00432F98">
              <w:t xml:space="preserve">+ </w:t>
            </w:r>
            <w:r w:rsidR="00272C29">
              <w:t>31 000</w:t>
            </w:r>
            <w:r w:rsidR="00272C29" w:rsidRPr="00432F98">
              <w:t xml:space="preserve"> </w:t>
            </w:r>
            <w:r w:rsidR="00272C29">
              <w:t> </w:t>
            </w:r>
            <w:r w:rsidRPr="00432F98">
              <w:t xml:space="preserve">= </w:t>
            </w:r>
            <w:r w:rsidR="00272C29">
              <w:t>133 510</w:t>
            </w:r>
            <w:r w:rsidRPr="00432F98">
              <w:t xml:space="preserve"> </w:t>
            </w:r>
            <w:proofErr w:type="spellStart"/>
            <w:r w:rsidRPr="00C01761">
              <w:rPr>
                <w:i/>
              </w:rPr>
              <w:t>euro</w:t>
            </w:r>
            <w:proofErr w:type="spellEnd"/>
            <w:r w:rsidRPr="00432F98">
              <w:t>.</w:t>
            </w:r>
          </w:p>
          <w:p w14:paraId="18DF2B98" w14:textId="77777777" w:rsidR="00432F98" w:rsidRPr="00432F98" w:rsidRDefault="00432F98" w:rsidP="00432F98">
            <w:pPr>
              <w:ind w:left="964"/>
              <w:jc w:val="both"/>
            </w:pPr>
          </w:p>
          <w:p w14:paraId="44982529" w14:textId="60BAF518" w:rsidR="00432F98" w:rsidRPr="00CA3E60" w:rsidRDefault="00432F98" w:rsidP="00CA3E60">
            <w:pPr>
              <w:jc w:val="both"/>
              <w:rPr>
                <w:iCs/>
              </w:rPr>
            </w:pPr>
            <w:r w:rsidRPr="00CA3E60">
              <w:rPr>
                <w:iCs/>
              </w:rPr>
              <w:t>Ņemot vērā,</w:t>
            </w:r>
            <w:r w:rsidR="00261B67" w:rsidRPr="00CA3E60">
              <w:t xml:space="preserve"> </w:t>
            </w:r>
            <w:r w:rsidR="005E4A3D" w:rsidRPr="00C01761">
              <w:t>ka</w:t>
            </w:r>
            <w:r w:rsidR="005E4A3D">
              <w:t xml:space="preserve"> </w:t>
            </w:r>
            <w:r w:rsidR="00261B67" w:rsidRPr="00CA3E60">
              <w:rPr>
                <w:iCs/>
              </w:rPr>
              <w:t xml:space="preserve">projekta sagatavošanas brīdi ir veikti izdevumi </w:t>
            </w:r>
            <w:r w:rsidR="008732E6" w:rsidRPr="00CA3E60">
              <w:rPr>
                <w:iCs/>
              </w:rPr>
              <w:t xml:space="preserve">pabalsta </w:t>
            </w:r>
            <w:r w:rsidR="00261B67" w:rsidRPr="00CA3E60">
              <w:rPr>
                <w:iCs/>
              </w:rPr>
              <w:t xml:space="preserve">krīzes </w:t>
            </w:r>
            <w:r w:rsidR="008732E6" w:rsidRPr="00CA3E60">
              <w:rPr>
                <w:iCs/>
              </w:rPr>
              <w:t>situācijā</w:t>
            </w:r>
            <w:r w:rsidR="00261B67" w:rsidRPr="00CA3E60">
              <w:rPr>
                <w:iCs/>
              </w:rPr>
              <w:t xml:space="preserve"> izmaksu kompensēšanas nodrošināšanai no jau piešķirtajiem līdzekļiem mazākā apmērā nekā sākotnēji plānots (32 832 </w:t>
            </w:r>
            <w:proofErr w:type="spellStart"/>
            <w:r w:rsidR="00261B67" w:rsidRPr="00C01761">
              <w:rPr>
                <w:i/>
                <w:iCs/>
              </w:rPr>
              <w:t>euro</w:t>
            </w:r>
            <w:proofErr w:type="spellEnd"/>
            <w:r w:rsidR="00261B67" w:rsidRPr="00CA3E60">
              <w:rPr>
                <w:iCs/>
              </w:rPr>
              <w:t xml:space="preserve"> apmērā)</w:t>
            </w:r>
            <w:r w:rsidR="008732E6" w:rsidRPr="00CA3E60">
              <w:rPr>
                <w:iCs/>
              </w:rPr>
              <w:t>, jo</w:t>
            </w:r>
            <w:r w:rsidR="00261B67" w:rsidRPr="00CA3E60">
              <w:rPr>
                <w:iCs/>
              </w:rPr>
              <w:t xml:space="preserve"> tas </w:t>
            </w:r>
            <w:r w:rsidR="008732E6" w:rsidRPr="00CA3E60">
              <w:rPr>
                <w:iCs/>
              </w:rPr>
              <w:t xml:space="preserve">varētu būt </w:t>
            </w:r>
            <w:r w:rsidR="00261B67" w:rsidRPr="00CA3E60">
              <w:rPr>
                <w:iCs/>
              </w:rPr>
              <w:t>saistīts ar dažādiem citiem pieejamiem atbalstiem</w:t>
            </w:r>
            <w:r w:rsidR="008732E6" w:rsidRPr="00CA3E60">
              <w:rPr>
                <w:iCs/>
              </w:rPr>
              <w:t xml:space="preserve"> (piemēram, </w:t>
            </w:r>
            <w:r w:rsidR="00261B67" w:rsidRPr="00CA3E60">
              <w:rPr>
                <w:iCs/>
              </w:rPr>
              <w:t xml:space="preserve">  </w:t>
            </w:r>
            <w:r w:rsidR="008732E6" w:rsidRPr="00CA3E60">
              <w:rPr>
                <w:iCs/>
              </w:rPr>
              <w:t xml:space="preserve">atbalsta par dīkstāvi apmēra </w:t>
            </w:r>
            <w:r w:rsidR="007D1420" w:rsidRPr="00CA3E60">
              <w:rPr>
                <w:iCs/>
              </w:rPr>
              <w:t>palielinājums</w:t>
            </w:r>
            <w:r w:rsidR="008732E6" w:rsidRPr="00CA3E60">
              <w:rPr>
                <w:iCs/>
              </w:rPr>
              <w:t>)</w:t>
            </w:r>
            <w:r w:rsidR="007D1420" w:rsidRPr="00CA3E60">
              <w:rPr>
                <w:iCs/>
              </w:rPr>
              <w:t xml:space="preserve">, kā arī </w:t>
            </w:r>
            <w:r w:rsidR="00CA3E60" w:rsidRPr="00CA3E60">
              <w:t xml:space="preserve">atbilstoši izmaiņām sociālas palīdzības sistēmā, kas stājās spēkā 2021.gada 1.janvārī, atbilstība noteiktam statusam nav priekšnoteikums sociālās palīdzības pabalstu saņemšanai (mājsaimniecība kvalificējas noteikta atbalsta saņemšanai pie noteikta ienākumu sliekšņa), </w:t>
            </w:r>
            <w:r w:rsidR="00261B67" w:rsidRPr="00CA3E60">
              <w:rPr>
                <w:iCs/>
              </w:rPr>
              <w:t>kā arī</w:t>
            </w:r>
            <w:r w:rsidRPr="00CA3E60">
              <w:rPr>
                <w:iCs/>
              </w:rPr>
              <w:t xml:space="preserve"> nav iespējams precīzi prognozēt faktiskos izdevumus, kurus būs jākompensē pašvaldībām no valsts budžeta līdzekļiem, kā arī lai mazinātu administratīvo slogu, nepieprasot finansējumu par katru pašvaldības pieprasījumu, gadījumā, ja, atbilstoši Ministru kabineta 2021.gada 11.janvāra rīkojumam Nr.11 “Par finanšu līdzekļu piešķiršanu no valsts budžeta programmas "Līdzekļi neparedzētiem gadījumiem"”  (prot. Nr. 2 34. §),  piešķirto līdzekļu 375 000 </w:t>
            </w:r>
            <w:proofErr w:type="spellStart"/>
            <w:r w:rsidRPr="00C01761">
              <w:rPr>
                <w:i/>
                <w:iCs/>
              </w:rPr>
              <w:t>euro</w:t>
            </w:r>
            <w:proofErr w:type="spellEnd"/>
            <w:r w:rsidRPr="00CA3E60">
              <w:rPr>
                <w:iCs/>
              </w:rPr>
              <w:t xml:space="preserve"> apmērā ietvaros, nebūs iespējams nodrošināt pašvaldībām izdevumu kompensēšanu par pabalstu krīzes situācijā nodrošināšanu atbilstoši</w:t>
            </w:r>
            <w:r w:rsidRPr="00CA3E60">
              <w:rPr>
                <w:rFonts w:asciiTheme="minorHAnsi" w:eastAsiaTheme="minorHAnsi" w:hAnsiTheme="minorHAnsi" w:cstheme="minorBidi"/>
                <w:lang w:eastAsia="en-US"/>
              </w:rPr>
              <w:t xml:space="preserve">  </w:t>
            </w:r>
            <w:r w:rsidRPr="00CA3E60">
              <w:rPr>
                <w:iCs/>
              </w:rPr>
              <w:t>likuma pārejas noteikumu 37.</w:t>
            </w:r>
            <w:r w:rsidR="00D864CF" w:rsidRPr="00CA3E60">
              <w:rPr>
                <w:iCs/>
                <w:vertAlign w:val="superscript"/>
              </w:rPr>
              <w:t>1</w:t>
            </w:r>
            <w:r w:rsidRPr="00CA3E60">
              <w:rPr>
                <w:iCs/>
              </w:rPr>
              <w:t xml:space="preserve"> punktam, Labklājības ministrija normatīvajos aktos noteiktajā kārtībā iesniegs priekšlikumus līdzekļu pārdalei no 74.resora „Gadskārtējā valsts budžeta izpildes procesā pārdalāmais finansējums” programmas 02.00.00 „Līdzekļi neparedzētiem gadījumiem”, ne vairāk kā </w:t>
            </w:r>
            <w:r w:rsidR="00272C29">
              <w:rPr>
                <w:rFonts w:eastAsiaTheme="minorHAnsi"/>
              </w:rPr>
              <w:t>133 510</w:t>
            </w:r>
            <w:r w:rsidRPr="00CA3E60">
              <w:rPr>
                <w:rFonts w:asciiTheme="minorHAnsi" w:eastAsiaTheme="minorHAnsi" w:hAnsiTheme="minorHAnsi" w:cstheme="minorBidi"/>
              </w:rPr>
              <w:t xml:space="preserve"> </w:t>
            </w:r>
            <w:proofErr w:type="spellStart"/>
            <w:r w:rsidRPr="00C01761">
              <w:rPr>
                <w:i/>
                <w:iCs/>
              </w:rPr>
              <w:t>euro</w:t>
            </w:r>
            <w:proofErr w:type="spellEnd"/>
            <w:r w:rsidRPr="00CA3E60">
              <w:rPr>
                <w:iCs/>
              </w:rPr>
              <w:t xml:space="preserve"> apmērā, lai līdz 2021.gada 30.jūnijam, atbilstoši likuma pārejas noteikumu 37.</w:t>
            </w:r>
            <w:r w:rsidR="00D864CF" w:rsidRPr="00CA3E60">
              <w:rPr>
                <w:iCs/>
                <w:vertAlign w:val="superscript"/>
              </w:rPr>
              <w:t>1</w:t>
            </w:r>
            <w:r w:rsidRPr="00CA3E60">
              <w:rPr>
                <w:iCs/>
              </w:rPr>
              <w:t xml:space="preserve">punktam kompensētu pašvaldībām izdevumus 50 procentu apmērā no mājsaimniecībai izmaksātā pabalsta krīzes situācijā apmēra, bet ne vairāk kā 75 </w:t>
            </w:r>
            <w:proofErr w:type="spellStart"/>
            <w:r w:rsidRPr="00C01761">
              <w:rPr>
                <w:i/>
                <w:iCs/>
              </w:rPr>
              <w:t>euro</w:t>
            </w:r>
            <w:proofErr w:type="spellEnd"/>
            <w:r w:rsidRPr="00CA3E60">
              <w:rPr>
                <w:iCs/>
              </w:rPr>
              <w:t xml:space="preserve"> mēnesī vienai personai, un 100 procentu apmērā no mājsaimniecībai, tai skaitā audžuģimenei un aizbildnim, kam ir tiesības uz pabalstu krīzes situācijā, izmaksātā pabalsta</w:t>
            </w:r>
            <w:r w:rsidR="00D864CF" w:rsidRPr="00CA3E60">
              <w:rPr>
                <w:iCs/>
              </w:rPr>
              <w:t xml:space="preserve"> palielinājumu -</w:t>
            </w:r>
            <w:r w:rsidRPr="00CA3E60">
              <w:rPr>
                <w:iCs/>
              </w:rPr>
              <w:t xml:space="preserve"> 50 </w:t>
            </w:r>
            <w:proofErr w:type="spellStart"/>
            <w:r w:rsidRPr="00C01761">
              <w:rPr>
                <w:i/>
                <w:iCs/>
              </w:rPr>
              <w:t>euro</w:t>
            </w:r>
            <w:proofErr w:type="spellEnd"/>
            <w:r w:rsidRPr="00CA3E60">
              <w:rPr>
                <w:iCs/>
              </w:rPr>
              <w:t xml:space="preserve"> mēnesī par katru aprūpē esošu bērnu līdz 18 gadu vecumam.</w:t>
            </w:r>
          </w:p>
        </w:tc>
      </w:tr>
      <w:tr w:rsidR="00432F98" w:rsidRPr="00432F98" w14:paraId="08389E7A" w14:textId="77777777" w:rsidTr="00432F98">
        <w:trPr>
          <w:cantSplit/>
        </w:trPr>
        <w:tc>
          <w:tcPr>
            <w:tcW w:w="2071" w:type="dxa"/>
            <w:shd w:val="clear" w:color="auto" w:fill="auto"/>
            <w:hideMark/>
          </w:tcPr>
          <w:p w14:paraId="0A1C6CE8"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6.1. detalizēts ieņēmumu aprēķins</w:t>
            </w:r>
          </w:p>
        </w:tc>
        <w:tc>
          <w:tcPr>
            <w:tcW w:w="7285" w:type="dxa"/>
            <w:gridSpan w:val="7"/>
            <w:vMerge/>
            <w:shd w:val="clear" w:color="auto" w:fill="auto"/>
            <w:vAlign w:val="center"/>
            <w:hideMark/>
          </w:tcPr>
          <w:p w14:paraId="7F8ABB19" w14:textId="77777777" w:rsidR="00432F98" w:rsidRPr="00432F98" w:rsidRDefault="00432F98" w:rsidP="00432F98">
            <w:pPr>
              <w:jc w:val="both"/>
              <w:rPr>
                <w:rFonts w:eastAsiaTheme="minorHAnsi" w:cstheme="minorBidi"/>
                <w:lang w:eastAsia="en-US"/>
              </w:rPr>
            </w:pPr>
          </w:p>
        </w:tc>
      </w:tr>
      <w:tr w:rsidR="00432F98" w:rsidRPr="00432F98" w14:paraId="21B69065" w14:textId="77777777" w:rsidTr="00432F98">
        <w:trPr>
          <w:cantSplit/>
        </w:trPr>
        <w:tc>
          <w:tcPr>
            <w:tcW w:w="2071" w:type="dxa"/>
            <w:shd w:val="clear" w:color="auto" w:fill="auto"/>
            <w:hideMark/>
          </w:tcPr>
          <w:p w14:paraId="7F24737A"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lastRenderedPageBreak/>
              <w:t>6.2. detalizēts izdevumu aprēķins</w:t>
            </w:r>
          </w:p>
        </w:tc>
        <w:tc>
          <w:tcPr>
            <w:tcW w:w="7285" w:type="dxa"/>
            <w:gridSpan w:val="7"/>
            <w:vMerge/>
            <w:shd w:val="clear" w:color="auto" w:fill="auto"/>
            <w:vAlign w:val="center"/>
            <w:hideMark/>
          </w:tcPr>
          <w:p w14:paraId="346F0243" w14:textId="77777777" w:rsidR="00432F98" w:rsidRPr="00432F98" w:rsidRDefault="00432F98" w:rsidP="00432F98">
            <w:pPr>
              <w:jc w:val="both"/>
              <w:rPr>
                <w:rFonts w:eastAsiaTheme="minorHAnsi" w:cstheme="minorBidi"/>
                <w:lang w:eastAsia="en-US"/>
              </w:rPr>
            </w:pPr>
          </w:p>
        </w:tc>
      </w:tr>
      <w:tr w:rsidR="00432F98" w:rsidRPr="00432F98" w14:paraId="53629D43" w14:textId="77777777" w:rsidTr="00432F98">
        <w:trPr>
          <w:cantSplit/>
        </w:trPr>
        <w:tc>
          <w:tcPr>
            <w:tcW w:w="2071" w:type="dxa"/>
            <w:tcBorders>
              <w:bottom w:val="single" w:sz="4" w:space="0" w:color="auto"/>
            </w:tcBorders>
            <w:shd w:val="clear" w:color="auto" w:fill="auto"/>
            <w:hideMark/>
          </w:tcPr>
          <w:p w14:paraId="73CE342D"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lastRenderedPageBreak/>
              <w:t>7. Amata vietu skaita izmaiņas</w:t>
            </w:r>
          </w:p>
        </w:tc>
        <w:tc>
          <w:tcPr>
            <w:tcW w:w="7285" w:type="dxa"/>
            <w:gridSpan w:val="7"/>
            <w:tcBorders>
              <w:bottom w:val="single" w:sz="4" w:space="0" w:color="auto"/>
            </w:tcBorders>
            <w:shd w:val="clear" w:color="auto" w:fill="auto"/>
            <w:hideMark/>
          </w:tcPr>
          <w:p w14:paraId="48B4991C" w14:textId="77777777" w:rsidR="00432F98" w:rsidRPr="00432F98" w:rsidRDefault="00432F98" w:rsidP="00432F98">
            <w:pPr>
              <w:jc w:val="both"/>
              <w:rPr>
                <w:rFonts w:eastAsiaTheme="minorHAnsi" w:cstheme="minorBidi"/>
                <w:lang w:eastAsia="en-US"/>
              </w:rPr>
            </w:pPr>
            <w:r w:rsidRPr="00432F98">
              <w:rPr>
                <w:rFonts w:eastAsiaTheme="minorHAnsi" w:cstheme="minorBidi"/>
                <w:lang w:eastAsia="en-US"/>
              </w:rPr>
              <w:t>Nav</w:t>
            </w:r>
          </w:p>
        </w:tc>
      </w:tr>
      <w:tr w:rsidR="00432F98" w:rsidRPr="00432F98" w14:paraId="39760E85" w14:textId="77777777" w:rsidTr="00432F98">
        <w:trPr>
          <w:cantSplit/>
        </w:trPr>
        <w:tc>
          <w:tcPr>
            <w:tcW w:w="2071" w:type="dxa"/>
            <w:tcBorders>
              <w:bottom w:val="single" w:sz="4" w:space="0" w:color="auto"/>
            </w:tcBorders>
            <w:shd w:val="clear" w:color="auto" w:fill="auto"/>
            <w:hideMark/>
          </w:tcPr>
          <w:p w14:paraId="0938083B" w14:textId="77777777" w:rsidR="00432F98" w:rsidRPr="00432F98" w:rsidRDefault="00432F98" w:rsidP="00432F98">
            <w:pPr>
              <w:jc w:val="both"/>
              <w:rPr>
                <w:rFonts w:eastAsiaTheme="minorHAnsi" w:cstheme="minorBidi"/>
                <w:sz w:val="20"/>
                <w:szCs w:val="20"/>
                <w:lang w:eastAsia="en-US"/>
              </w:rPr>
            </w:pPr>
            <w:r w:rsidRPr="00432F98">
              <w:rPr>
                <w:rFonts w:eastAsiaTheme="minorHAnsi" w:cstheme="minorBidi"/>
                <w:sz w:val="20"/>
                <w:szCs w:val="20"/>
                <w:lang w:eastAsia="en-US"/>
              </w:rPr>
              <w:t>8. Cita informācija</w:t>
            </w:r>
          </w:p>
        </w:tc>
        <w:tc>
          <w:tcPr>
            <w:tcW w:w="7285" w:type="dxa"/>
            <w:gridSpan w:val="7"/>
            <w:tcBorders>
              <w:bottom w:val="single" w:sz="4" w:space="0" w:color="auto"/>
            </w:tcBorders>
            <w:shd w:val="clear" w:color="auto" w:fill="auto"/>
            <w:vAlign w:val="center"/>
          </w:tcPr>
          <w:p w14:paraId="45A080B2" w14:textId="77777777" w:rsidR="00432F98" w:rsidRPr="00432F98" w:rsidRDefault="00432F98" w:rsidP="00432F98">
            <w:pPr>
              <w:jc w:val="both"/>
              <w:rPr>
                <w:rFonts w:eastAsiaTheme="minorHAnsi" w:cstheme="minorBidi"/>
                <w:color w:val="5B9BD5" w:themeColor="accent1"/>
                <w:lang w:eastAsia="en-US"/>
              </w:rPr>
            </w:pPr>
            <w:r w:rsidRPr="00432F98">
              <w:t>Izdevumi tiks veikti Labklājības ministrijas pamatbudžeta programmas 99.00.00 “Līdzekļu neparedzētiem gadījumiem izlietojums” ietvaros, līdzekļus pārdalot no 74.resora „Gadskārtējā valsts budžeta izpildes procesā pārdalāmais finansējums” programmas 02.00.00 „Līdzekļi neparedzētiem gadījumiem”.</w:t>
            </w:r>
          </w:p>
        </w:tc>
      </w:tr>
    </w:tbl>
    <w:p w14:paraId="6E49AB9A" w14:textId="1B492A02" w:rsidR="00885514" w:rsidRDefault="00885514" w:rsidP="00EC6E12">
      <w:pPr>
        <w:pStyle w:val="NoSpacing"/>
        <w:rPr>
          <w:rFonts w:ascii="Times New Roman" w:hAnsi="Times New Roman" w:cs="Times New Roman"/>
          <w:iCs/>
          <w:sz w:val="24"/>
          <w:szCs w:val="24"/>
          <w:lang w:eastAsia="lv-LV"/>
        </w:rPr>
      </w:pPr>
    </w:p>
    <w:p w14:paraId="60DD5A54" w14:textId="77777777" w:rsidR="00885514" w:rsidRDefault="00885514"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2592C926" w14:textId="77777777" w:rsidTr="006936E5">
        <w:tc>
          <w:tcPr>
            <w:tcW w:w="9356" w:type="dxa"/>
          </w:tcPr>
          <w:p w14:paraId="3B11666A"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14:paraId="06798382" w14:textId="77777777" w:rsidTr="006936E5">
        <w:tc>
          <w:tcPr>
            <w:tcW w:w="9356" w:type="dxa"/>
          </w:tcPr>
          <w:p w14:paraId="0B3B8C14"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7EB6B417"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0DF476F9" w14:textId="77777777" w:rsidTr="006936E5">
        <w:tc>
          <w:tcPr>
            <w:tcW w:w="9356" w:type="dxa"/>
          </w:tcPr>
          <w:p w14:paraId="4227DA74"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6637D8D3" w14:textId="77777777" w:rsidTr="006936E5">
        <w:tc>
          <w:tcPr>
            <w:tcW w:w="9356" w:type="dxa"/>
          </w:tcPr>
          <w:p w14:paraId="7684F855"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078611EA"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2339E10B" w14:textId="77777777" w:rsidTr="006936E5">
        <w:tc>
          <w:tcPr>
            <w:tcW w:w="9356" w:type="dxa"/>
          </w:tcPr>
          <w:p w14:paraId="3D69E9C4"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53678E23" w14:textId="77777777" w:rsidTr="006936E5">
        <w:tc>
          <w:tcPr>
            <w:tcW w:w="9356" w:type="dxa"/>
          </w:tcPr>
          <w:p w14:paraId="7E7B187E"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46C4B200"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 </w:t>
      </w:r>
    </w:p>
    <w:tbl>
      <w:tblPr>
        <w:tblStyle w:val="TableGrid"/>
        <w:tblW w:w="9356" w:type="dxa"/>
        <w:tblInd w:w="-147" w:type="dxa"/>
        <w:tblLook w:val="04A0" w:firstRow="1" w:lastRow="0" w:firstColumn="1" w:lastColumn="0" w:noHBand="0" w:noVBand="1"/>
      </w:tblPr>
      <w:tblGrid>
        <w:gridCol w:w="568"/>
        <w:gridCol w:w="3260"/>
        <w:gridCol w:w="5528"/>
      </w:tblGrid>
      <w:tr w:rsidR="007F6F87" w14:paraId="6DB97756" w14:textId="77777777" w:rsidTr="006936E5">
        <w:tc>
          <w:tcPr>
            <w:tcW w:w="9356" w:type="dxa"/>
            <w:gridSpan w:val="3"/>
          </w:tcPr>
          <w:p w14:paraId="02ED8950"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49601C" w14:paraId="0516416B" w14:textId="77777777" w:rsidTr="006936E5">
        <w:tc>
          <w:tcPr>
            <w:tcW w:w="568" w:type="dxa"/>
          </w:tcPr>
          <w:p w14:paraId="7F23FDB3"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22C8BCAE"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09FB3468" w14:textId="0C32E784" w:rsidR="0049601C" w:rsidRPr="00D65792" w:rsidRDefault="00BA3344" w:rsidP="0049601C">
            <w:pPr>
              <w:jc w:val="both"/>
            </w:pPr>
            <w:r>
              <w:t>Nav</w:t>
            </w:r>
          </w:p>
        </w:tc>
      </w:tr>
      <w:tr w:rsidR="0049601C" w14:paraId="23E71DD8" w14:textId="77777777" w:rsidTr="006936E5">
        <w:tc>
          <w:tcPr>
            <w:tcW w:w="568" w:type="dxa"/>
          </w:tcPr>
          <w:p w14:paraId="41D84BDC"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21E31449"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1F8DF470" w14:textId="3E7544E3" w:rsidR="0049601C" w:rsidRPr="00D65792" w:rsidRDefault="00BA3344" w:rsidP="0049601C">
            <w:r w:rsidRPr="003E6FFD">
              <w:t>Projekta izpildes rezultātā nav paredzēta esošu institūciju likvidācija vai reorganizācija.</w:t>
            </w:r>
          </w:p>
        </w:tc>
      </w:tr>
      <w:tr w:rsidR="0049601C" w14:paraId="2AC2224A" w14:textId="77777777" w:rsidTr="006936E5">
        <w:tc>
          <w:tcPr>
            <w:tcW w:w="568" w:type="dxa"/>
          </w:tcPr>
          <w:p w14:paraId="7470A0F0"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14:paraId="1FDAFD3E"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2F31F649"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74AA4D91" w14:textId="77777777"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446EA7F7" w14:textId="77777777" w:rsidR="008B37B7" w:rsidRDefault="008B37B7" w:rsidP="005F3BB2">
      <w:pPr>
        <w:pStyle w:val="NoSpacing"/>
        <w:jc w:val="right"/>
        <w:rPr>
          <w:rFonts w:ascii="Times New Roman" w:hAnsi="Times New Roman" w:cs="Times New Roman"/>
          <w:iCs/>
          <w:sz w:val="24"/>
          <w:szCs w:val="24"/>
          <w:lang w:eastAsia="lv-LV"/>
        </w:rPr>
      </w:pPr>
    </w:p>
    <w:p w14:paraId="643546B4" w14:textId="77777777" w:rsidR="00E7010F" w:rsidRDefault="00E7010F" w:rsidP="002109C4">
      <w:pPr>
        <w:tabs>
          <w:tab w:val="left" w:pos="2552"/>
          <w:tab w:val="left" w:pos="2694"/>
        </w:tabs>
        <w:ind w:firstLine="709"/>
        <w:rPr>
          <w:sz w:val="28"/>
          <w:szCs w:val="28"/>
        </w:rPr>
      </w:pPr>
    </w:p>
    <w:p w14:paraId="7B77DA3A" w14:textId="53E06FFE" w:rsidR="002109C4" w:rsidRPr="00E024FD" w:rsidRDefault="002109C4" w:rsidP="002109C4">
      <w:pPr>
        <w:tabs>
          <w:tab w:val="left" w:pos="2552"/>
          <w:tab w:val="left" w:pos="2694"/>
        </w:tabs>
        <w:ind w:firstLine="709"/>
        <w:rPr>
          <w:sz w:val="28"/>
          <w:szCs w:val="28"/>
        </w:rPr>
      </w:pPr>
      <w:r>
        <w:rPr>
          <w:sz w:val="28"/>
          <w:szCs w:val="28"/>
        </w:rPr>
        <w:t>Labklājības</w:t>
      </w:r>
      <w:r w:rsidRPr="00E024FD">
        <w:rPr>
          <w:sz w:val="28"/>
          <w:szCs w:val="28"/>
        </w:rPr>
        <w:t xml:space="preserve"> ministre </w:t>
      </w:r>
      <w:r w:rsidRPr="00E024FD">
        <w:rPr>
          <w:sz w:val="28"/>
          <w:szCs w:val="28"/>
        </w:rPr>
        <w:tab/>
      </w:r>
      <w:r w:rsidRPr="00E024FD">
        <w:rPr>
          <w:sz w:val="28"/>
          <w:szCs w:val="28"/>
        </w:rPr>
        <w:tab/>
      </w:r>
      <w:r w:rsidRPr="00E024FD">
        <w:rPr>
          <w:sz w:val="28"/>
          <w:szCs w:val="28"/>
        </w:rPr>
        <w:tab/>
      </w:r>
      <w:r w:rsidRPr="00E024FD">
        <w:rPr>
          <w:sz w:val="28"/>
          <w:szCs w:val="28"/>
        </w:rPr>
        <w:tab/>
        <w:t xml:space="preserve"> </w:t>
      </w:r>
      <w:r>
        <w:rPr>
          <w:sz w:val="28"/>
          <w:szCs w:val="28"/>
        </w:rPr>
        <w:tab/>
      </w:r>
      <w:r>
        <w:rPr>
          <w:sz w:val="28"/>
          <w:szCs w:val="28"/>
        </w:rPr>
        <w:tab/>
        <w:t>R.</w:t>
      </w:r>
      <w:r w:rsidR="00566A2A">
        <w:rPr>
          <w:sz w:val="28"/>
          <w:szCs w:val="28"/>
        </w:rPr>
        <w:t xml:space="preserve"> </w:t>
      </w:r>
      <w:proofErr w:type="spellStart"/>
      <w:r>
        <w:rPr>
          <w:sz w:val="28"/>
          <w:szCs w:val="28"/>
        </w:rPr>
        <w:t>Petraviča</w:t>
      </w:r>
      <w:proofErr w:type="spellEnd"/>
    </w:p>
    <w:p w14:paraId="5A35DC0E" w14:textId="77777777" w:rsidR="005F3BB2" w:rsidRDefault="005F3BB2" w:rsidP="005F3BB2">
      <w:pPr>
        <w:pStyle w:val="NormalWeb"/>
        <w:spacing w:before="0" w:beforeAutospacing="0" w:after="0" w:afterAutospacing="0"/>
        <w:rPr>
          <w:sz w:val="20"/>
          <w:szCs w:val="20"/>
        </w:rPr>
      </w:pPr>
    </w:p>
    <w:p w14:paraId="2897F3C0" w14:textId="77777777" w:rsidR="00E7010F" w:rsidRDefault="00E7010F" w:rsidP="005F3BB2">
      <w:pPr>
        <w:pStyle w:val="NormalWeb"/>
        <w:spacing w:before="0" w:beforeAutospacing="0" w:after="0" w:afterAutospacing="0"/>
        <w:rPr>
          <w:sz w:val="20"/>
          <w:szCs w:val="20"/>
        </w:rPr>
      </w:pPr>
    </w:p>
    <w:p w14:paraId="7C60FC46" w14:textId="77777777" w:rsidR="00E7010F" w:rsidRDefault="00E7010F" w:rsidP="005F3BB2">
      <w:pPr>
        <w:pStyle w:val="NormalWeb"/>
        <w:spacing w:before="0" w:beforeAutospacing="0" w:after="0" w:afterAutospacing="0"/>
        <w:rPr>
          <w:sz w:val="20"/>
          <w:szCs w:val="20"/>
        </w:rPr>
      </w:pPr>
    </w:p>
    <w:p w14:paraId="3339F6F3" w14:textId="77777777" w:rsidR="00E7010F" w:rsidRDefault="00E7010F" w:rsidP="005F3BB2">
      <w:pPr>
        <w:pStyle w:val="NormalWeb"/>
        <w:spacing w:before="0" w:beforeAutospacing="0" w:after="0" w:afterAutospacing="0"/>
        <w:rPr>
          <w:sz w:val="20"/>
          <w:szCs w:val="20"/>
        </w:rPr>
      </w:pPr>
    </w:p>
    <w:p w14:paraId="54B9FDE9" w14:textId="77777777" w:rsidR="00E7010F" w:rsidRDefault="00E7010F" w:rsidP="005F3BB2">
      <w:pPr>
        <w:pStyle w:val="NormalWeb"/>
        <w:spacing w:before="0" w:beforeAutospacing="0" w:after="0" w:afterAutospacing="0"/>
        <w:rPr>
          <w:sz w:val="20"/>
          <w:szCs w:val="20"/>
        </w:rPr>
      </w:pPr>
    </w:p>
    <w:p w14:paraId="2F0875B0" w14:textId="77777777" w:rsidR="00E7010F" w:rsidRDefault="00E7010F" w:rsidP="005F3BB2">
      <w:pPr>
        <w:pStyle w:val="NormalWeb"/>
        <w:spacing w:before="0" w:beforeAutospacing="0" w:after="0" w:afterAutospacing="0"/>
        <w:rPr>
          <w:sz w:val="20"/>
          <w:szCs w:val="20"/>
        </w:rPr>
      </w:pPr>
    </w:p>
    <w:p w14:paraId="425830CB" w14:textId="77777777" w:rsidR="00E7010F" w:rsidRDefault="00E7010F" w:rsidP="005F3BB2">
      <w:pPr>
        <w:pStyle w:val="NormalWeb"/>
        <w:spacing w:before="0" w:beforeAutospacing="0" w:after="0" w:afterAutospacing="0"/>
        <w:rPr>
          <w:sz w:val="20"/>
          <w:szCs w:val="20"/>
        </w:rPr>
      </w:pPr>
    </w:p>
    <w:p w14:paraId="6706A156" w14:textId="77777777" w:rsidR="00E7010F" w:rsidRDefault="00E7010F" w:rsidP="005F3BB2">
      <w:pPr>
        <w:pStyle w:val="NormalWeb"/>
        <w:spacing w:before="0" w:beforeAutospacing="0" w:after="0" w:afterAutospacing="0"/>
        <w:rPr>
          <w:sz w:val="20"/>
          <w:szCs w:val="20"/>
        </w:rPr>
      </w:pPr>
    </w:p>
    <w:p w14:paraId="31D317E6" w14:textId="77777777" w:rsidR="00E7010F" w:rsidRDefault="00E7010F" w:rsidP="005F3BB2">
      <w:pPr>
        <w:pStyle w:val="NormalWeb"/>
        <w:spacing w:before="0" w:beforeAutospacing="0" w:after="0" w:afterAutospacing="0"/>
        <w:rPr>
          <w:sz w:val="20"/>
          <w:szCs w:val="20"/>
        </w:rPr>
      </w:pPr>
    </w:p>
    <w:p w14:paraId="20C57378" w14:textId="77777777" w:rsidR="00E7010F" w:rsidRDefault="00E7010F" w:rsidP="005F3BB2">
      <w:pPr>
        <w:pStyle w:val="NormalWeb"/>
        <w:spacing w:before="0" w:beforeAutospacing="0" w:after="0" w:afterAutospacing="0"/>
        <w:rPr>
          <w:sz w:val="20"/>
          <w:szCs w:val="20"/>
        </w:rPr>
      </w:pPr>
    </w:p>
    <w:p w14:paraId="545EFCB5" w14:textId="77777777" w:rsidR="00E7010F" w:rsidRDefault="00E7010F" w:rsidP="005F3BB2">
      <w:pPr>
        <w:pStyle w:val="NormalWeb"/>
        <w:spacing w:before="0" w:beforeAutospacing="0" w:after="0" w:afterAutospacing="0"/>
        <w:rPr>
          <w:sz w:val="20"/>
          <w:szCs w:val="20"/>
        </w:rPr>
      </w:pPr>
    </w:p>
    <w:p w14:paraId="494D74C1" w14:textId="77777777" w:rsidR="00E7010F" w:rsidRDefault="00E7010F" w:rsidP="005F3BB2">
      <w:pPr>
        <w:pStyle w:val="NormalWeb"/>
        <w:spacing w:before="0" w:beforeAutospacing="0" w:after="0" w:afterAutospacing="0"/>
        <w:rPr>
          <w:sz w:val="20"/>
          <w:szCs w:val="20"/>
        </w:rPr>
      </w:pPr>
    </w:p>
    <w:p w14:paraId="75214689" w14:textId="77777777" w:rsidR="00E7010F" w:rsidRDefault="00E7010F" w:rsidP="005F3BB2">
      <w:pPr>
        <w:pStyle w:val="NormalWeb"/>
        <w:spacing w:before="0" w:beforeAutospacing="0" w:after="0" w:afterAutospacing="0"/>
        <w:rPr>
          <w:sz w:val="20"/>
          <w:szCs w:val="20"/>
        </w:rPr>
      </w:pPr>
    </w:p>
    <w:p w14:paraId="2E724EA9" w14:textId="77777777" w:rsidR="00E7010F" w:rsidRDefault="00E7010F" w:rsidP="005F3BB2">
      <w:pPr>
        <w:pStyle w:val="NormalWeb"/>
        <w:spacing w:before="0" w:beforeAutospacing="0" w:after="0" w:afterAutospacing="0"/>
        <w:rPr>
          <w:sz w:val="20"/>
          <w:szCs w:val="20"/>
        </w:rPr>
      </w:pPr>
    </w:p>
    <w:p w14:paraId="2BBBB73A" w14:textId="77777777" w:rsidR="00E7010F" w:rsidRDefault="00E7010F" w:rsidP="005F3BB2">
      <w:pPr>
        <w:pStyle w:val="NormalWeb"/>
        <w:spacing w:before="0" w:beforeAutospacing="0" w:after="0" w:afterAutospacing="0"/>
        <w:rPr>
          <w:sz w:val="20"/>
          <w:szCs w:val="20"/>
        </w:rPr>
      </w:pPr>
    </w:p>
    <w:p w14:paraId="170B6F34" w14:textId="77777777" w:rsidR="00E7010F" w:rsidRDefault="00E7010F" w:rsidP="005F3BB2">
      <w:pPr>
        <w:pStyle w:val="NormalWeb"/>
        <w:spacing w:before="0" w:beforeAutospacing="0" w:after="0" w:afterAutospacing="0"/>
        <w:rPr>
          <w:sz w:val="20"/>
          <w:szCs w:val="20"/>
        </w:rPr>
      </w:pPr>
    </w:p>
    <w:p w14:paraId="56F14C06" w14:textId="77777777" w:rsidR="00E7010F" w:rsidRDefault="00E7010F" w:rsidP="005F3BB2">
      <w:pPr>
        <w:pStyle w:val="NormalWeb"/>
        <w:spacing w:before="0" w:beforeAutospacing="0" w:after="0" w:afterAutospacing="0"/>
        <w:rPr>
          <w:sz w:val="20"/>
          <w:szCs w:val="20"/>
        </w:rPr>
      </w:pPr>
    </w:p>
    <w:p w14:paraId="1A0B103A" w14:textId="77777777" w:rsidR="00E7010F" w:rsidRDefault="00E7010F" w:rsidP="005F3BB2">
      <w:pPr>
        <w:pStyle w:val="NormalWeb"/>
        <w:spacing w:before="0" w:beforeAutospacing="0" w:after="0" w:afterAutospacing="0"/>
        <w:rPr>
          <w:sz w:val="20"/>
          <w:szCs w:val="20"/>
        </w:rPr>
      </w:pPr>
    </w:p>
    <w:p w14:paraId="2E7DADAC" w14:textId="77777777" w:rsidR="00E7010F" w:rsidRDefault="00E7010F" w:rsidP="005F3BB2">
      <w:pPr>
        <w:pStyle w:val="NormalWeb"/>
        <w:spacing w:before="0" w:beforeAutospacing="0" w:after="0" w:afterAutospacing="0"/>
        <w:rPr>
          <w:sz w:val="20"/>
          <w:szCs w:val="20"/>
        </w:rPr>
      </w:pPr>
    </w:p>
    <w:p w14:paraId="0C114753" w14:textId="77777777" w:rsidR="00E7010F" w:rsidRDefault="00E7010F" w:rsidP="005F3BB2">
      <w:pPr>
        <w:pStyle w:val="NormalWeb"/>
        <w:spacing w:before="0" w:beforeAutospacing="0" w:after="0" w:afterAutospacing="0"/>
        <w:rPr>
          <w:sz w:val="20"/>
          <w:szCs w:val="20"/>
        </w:rPr>
      </w:pPr>
    </w:p>
    <w:p w14:paraId="6403F62F" w14:textId="77777777" w:rsidR="00E7010F" w:rsidRDefault="00E7010F" w:rsidP="005F3BB2">
      <w:pPr>
        <w:pStyle w:val="NormalWeb"/>
        <w:spacing w:before="0" w:beforeAutospacing="0" w:after="0" w:afterAutospacing="0"/>
        <w:rPr>
          <w:sz w:val="20"/>
          <w:szCs w:val="20"/>
        </w:rPr>
      </w:pPr>
    </w:p>
    <w:p w14:paraId="634F38ED" w14:textId="77777777" w:rsidR="00E7010F" w:rsidRDefault="00E7010F" w:rsidP="005F3BB2">
      <w:pPr>
        <w:pStyle w:val="NormalWeb"/>
        <w:spacing w:before="0" w:beforeAutospacing="0" w:after="0" w:afterAutospacing="0"/>
        <w:rPr>
          <w:sz w:val="20"/>
          <w:szCs w:val="20"/>
        </w:rPr>
      </w:pPr>
    </w:p>
    <w:p w14:paraId="6C20700C" w14:textId="77777777" w:rsidR="00E7010F" w:rsidRDefault="00E7010F" w:rsidP="005F3BB2">
      <w:pPr>
        <w:pStyle w:val="NormalWeb"/>
        <w:spacing w:before="0" w:beforeAutospacing="0" w:after="0" w:afterAutospacing="0"/>
        <w:rPr>
          <w:sz w:val="20"/>
          <w:szCs w:val="20"/>
        </w:rPr>
      </w:pPr>
    </w:p>
    <w:p w14:paraId="09CA33E0" w14:textId="77777777" w:rsidR="00E7010F" w:rsidRDefault="00E7010F" w:rsidP="005F3BB2">
      <w:pPr>
        <w:pStyle w:val="NormalWeb"/>
        <w:spacing w:before="0" w:beforeAutospacing="0" w:after="0" w:afterAutospacing="0"/>
        <w:rPr>
          <w:sz w:val="20"/>
          <w:szCs w:val="20"/>
        </w:rPr>
      </w:pPr>
    </w:p>
    <w:p w14:paraId="5B9D3177" w14:textId="77777777" w:rsidR="00E7010F" w:rsidRDefault="00E7010F" w:rsidP="005F3BB2">
      <w:pPr>
        <w:pStyle w:val="NormalWeb"/>
        <w:spacing w:before="0" w:beforeAutospacing="0" w:after="0" w:afterAutospacing="0"/>
        <w:rPr>
          <w:sz w:val="20"/>
          <w:szCs w:val="20"/>
        </w:rPr>
      </w:pPr>
    </w:p>
    <w:p w14:paraId="2A672073" w14:textId="77777777" w:rsidR="00E7010F" w:rsidRDefault="00E7010F" w:rsidP="005F3BB2">
      <w:pPr>
        <w:pStyle w:val="NormalWeb"/>
        <w:spacing w:before="0" w:beforeAutospacing="0" w:after="0" w:afterAutospacing="0"/>
        <w:rPr>
          <w:sz w:val="20"/>
          <w:szCs w:val="20"/>
        </w:rPr>
      </w:pPr>
    </w:p>
    <w:p w14:paraId="39F35E22" w14:textId="77777777" w:rsidR="00E7010F" w:rsidRDefault="00E7010F" w:rsidP="005F3BB2">
      <w:pPr>
        <w:pStyle w:val="NormalWeb"/>
        <w:spacing w:before="0" w:beforeAutospacing="0" w:after="0" w:afterAutospacing="0"/>
        <w:rPr>
          <w:sz w:val="20"/>
          <w:szCs w:val="20"/>
        </w:rPr>
      </w:pPr>
    </w:p>
    <w:p w14:paraId="656AEABA" w14:textId="77777777" w:rsidR="00E7010F" w:rsidRDefault="00E7010F" w:rsidP="005F3BB2">
      <w:pPr>
        <w:pStyle w:val="NormalWeb"/>
        <w:spacing w:before="0" w:beforeAutospacing="0" w:after="0" w:afterAutospacing="0"/>
        <w:rPr>
          <w:sz w:val="20"/>
          <w:szCs w:val="20"/>
        </w:rPr>
      </w:pPr>
    </w:p>
    <w:p w14:paraId="2B8A0BE0" w14:textId="77777777" w:rsidR="00E7010F" w:rsidRDefault="00E7010F" w:rsidP="005F3BB2">
      <w:pPr>
        <w:pStyle w:val="NormalWeb"/>
        <w:spacing w:before="0" w:beforeAutospacing="0" w:after="0" w:afterAutospacing="0"/>
        <w:rPr>
          <w:sz w:val="20"/>
          <w:szCs w:val="20"/>
        </w:rPr>
      </w:pPr>
    </w:p>
    <w:p w14:paraId="2CD9F737" w14:textId="77777777" w:rsidR="00E7010F" w:rsidRDefault="00E7010F" w:rsidP="005F3BB2">
      <w:pPr>
        <w:pStyle w:val="NormalWeb"/>
        <w:spacing w:before="0" w:beforeAutospacing="0" w:after="0" w:afterAutospacing="0"/>
        <w:rPr>
          <w:sz w:val="20"/>
          <w:szCs w:val="20"/>
        </w:rPr>
      </w:pPr>
    </w:p>
    <w:p w14:paraId="7C7BCDF4" w14:textId="77777777" w:rsidR="00E7010F" w:rsidRDefault="00E7010F" w:rsidP="005F3BB2">
      <w:pPr>
        <w:pStyle w:val="NormalWeb"/>
        <w:spacing w:before="0" w:beforeAutospacing="0" w:after="0" w:afterAutospacing="0"/>
        <w:rPr>
          <w:sz w:val="20"/>
          <w:szCs w:val="20"/>
        </w:rPr>
      </w:pPr>
    </w:p>
    <w:p w14:paraId="6BB170F1" w14:textId="77777777" w:rsidR="00E7010F" w:rsidRDefault="00E7010F" w:rsidP="005F3BB2">
      <w:pPr>
        <w:pStyle w:val="NormalWeb"/>
        <w:spacing w:before="0" w:beforeAutospacing="0" w:after="0" w:afterAutospacing="0"/>
        <w:rPr>
          <w:sz w:val="20"/>
          <w:szCs w:val="20"/>
        </w:rPr>
      </w:pPr>
    </w:p>
    <w:p w14:paraId="64CBD15F" w14:textId="77777777" w:rsidR="00E7010F" w:rsidRDefault="00E7010F" w:rsidP="005F3BB2">
      <w:pPr>
        <w:pStyle w:val="NormalWeb"/>
        <w:spacing w:before="0" w:beforeAutospacing="0" w:after="0" w:afterAutospacing="0"/>
        <w:rPr>
          <w:sz w:val="20"/>
          <w:szCs w:val="20"/>
        </w:rPr>
      </w:pPr>
    </w:p>
    <w:p w14:paraId="09BF54E0" w14:textId="77777777" w:rsidR="00E7010F" w:rsidRDefault="00E7010F" w:rsidP="005F3BB2">
      <w:pPr>
        <w:pStyle w:val="NormalWeb"/>
        <w:spacing w:before="0" w:beforeAutospacing="0" w:after="0" w:afterAutospacing="0"/>
        <w:rPr>
          <w:sz w:val="20"/>
          <w:szCs w:val="20"/>
        </w:rPr>
      </w:pPr>
    </w:p>
    <w:p w14:paraId="6BA1F844" w14:textId="77777777" w:rsidR="00E7010F" w:rsidRDefault="00E7010F" w:rsidP="005F3BB2">
      <w:pPr>
        <w:pStyle w:val="NormalWeb"/>
        <w:spacing w:before="0" w:beforeAutospacing="0" w:after="0" w:afterAutospacing="0"/>
        <w:rPr>
          <w:sz w:val="20"/>
          <w:szCs w:val="20"/>
        </w:rPr>
      </w:pPr>
    </w:p>
    <w:p w14:paraId="5F2D45F9" w14:textId="77777777" w:rsidR="00E7010F" w:rsidRDefault="00E7010F" w:rsidP="005F3BB2">
      <w:pPr>
        <w:pStyle w:val="NormalWeb"/>
        <w:spacing w:before="0" w:beforeAutospacing="0" w:after="0" w:afterAutospacing="0"/>
        <w:rPr>
          <w:sz w:val="20"/>
          <w:szCs w:val="20"/>
        </w:rPr>
      </w:pPr>
    </w:p>
    <w:p w14:paraId="113776B5" w14:textId="77777777" w:rsidR="00E7010F" w:rsidRDefault="00E7010F" w:rsidP="005F3BB2">
      <w:pPr>
        <w:pStyle w:val="NormalWeb"/>
        <w:spacing w:before="0" w:beforeAutospacing="0" w:after="0" w:afterAutospacing="0"/>
        <w:rPr>
          <w:sz w:val="20"/>
          <w:szCs w:val="20"/>
        </w:rPr>
      </w:pPr>
    </w:p>
    <w:p w14:paraId="60DCA960" w14:textId="77777777" w:rsidR="00E7010F" w:rsidRDefault="00E7010F" w:rsidP="005F3BB2">
      <w:pPr>
        <w:pStyle w:val="NormalWeb"/>
        <w:spacing w:before="0" w:beforeAutospacing="0" w:after="0" w:afterAutospacing="0"/>
        <w:rPr>
          <w:sz w:val="20"/>
          <w:szCs w:val="20"/>
        </w:rPr>
      </w:pPr>
    </w:p>
    <w:p w14:paraId="0BF21B8B" w14:textId="77777777" w:rsidR="00E7010F" w:rsidRDefault="00E7010F" w:rsidP="005F3BB2">
      <w:pPr>
        <w:pStyle w:val="NormalWeb"/>
        <w:spacing w:before="0" w:beforeAutospacing="0" w:after="0" w:afterAutospacing="0"/>
        <w:rPr>
          <w:sz w:val="20"/>
          <w:szCs w:val="20"/>
        </w:rPr>
      </w:pPr>
    </w:p>
    <w:p w14:paraId="54DA096C" w14:textId="0C5AA17E" w:rsidR="005F3BB2" w:rsidRPr="009745C0" w:rsidRDefault="005F3BB2" w:rsidP="005F3BB2">
      <w:pPr>
        <w:pStyle w:val="NormalWeb"/>
        <w:spacing w:before="0" w:beforeAutospacing="0" w:after="0" w:afterAutospacing="0"/>
        <w:rPr>
          <w:sz w:val="20"/>
          <w:szCs w:val="20"/>
        </w:rPr>
      </w:pPr>
      <w:r w:rsidRPr="009745C0">
        <w:rPr>
          <w:sz w:val="20"/>
          <w:szCs w:val="20"/>
        </w:rPr>
        <w:t>Veinberga 60008558</w:t>
      </w:r>
    </w:p>
    <w:p w14:paraId="6F77F219" w14:textId="0D5D3500" w:rsidR="00E465CE" w:rsidRPr="00E7010F" w:rsidRDefault="009930D6">
      <w:pPr>
        <w:pStyle w:val="NormalWeb"/>
        <w:spacing w:before="0" w:beforeAutospacing="0" w:after="0"/>
        <w:rPr>
          <w:rFonts w:eastAsia="Calibri"/>
          <w:sz w:val="28"/>
          <w:szCs w:val="28"/>
          <w:lang w:eastAsia="en-US"/>
        </w:rPr>
      </w:pPr>
      <w:hyperlink r:id="rId11" w:history="1">
        <w:r w:rsidR="005F3BB2" w:rsidRPr="009745C0">
          <w:rPr>
            <w:rStyle w:val="Hyperlink"/>
            <w:sz w:val="20"/>
            <w:szCs w:val="20"/>
          </w:rPr>
          <w:t>Inese.Veinberga@lm.gov.lv</w:t>
        </w:r>
      </w:hyperlink>
    </w:p>
    <w:sectPr w:rsidR="00E465CE" w:rsidRPr="00E7010F" w:rsidSect="005F3BB2">
      <w:headerReference w:type="default" r:id="rId12"/>
      <w:footerReference w:type="default" r:id="rId13"/>
      <w:footerReference w:type="first" r:id="rId14"/>
      <w:pgSz w:w="11906" w:h="16838"/>
      <w:pgMar w:top="1418" w:right="1134"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75DF4" w14:textId="77777777" w:rsidR="005947F0" w:rsidRDefault="005947F0" w:rsidP="00894C55">
      <w:r>
        <w:separator/>
      </w:r>
    </w:p>
  </w:endnote>
  <w:endnote w:type="continuationSeparator" w:id="0">
    <w:p w14:paraId="6CCD12FE" w14:textId="77777777" w:rsidR="005947F0" w:rsidRDefault="005947F0"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A1FE" w14:textId="4AFBD5CD" w:rsidR="002074A4" w:rsidRPr="00770E96" w:rsidRDefault="00770E96" w:rsidP="00770E96">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9930D6">
      <w:rPr>
        <w:rFonts w:ascii="Times New Roman" w:hAnsi="Times New Roman" w:cs="Times New Roman"/>
        <w:noProof/>
        <w:sz w:val="20"/>
        <w:szCs w:val="20"/>
      </w:rPr>
      <w:t>LMAnot_020321_LNG_kp</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DD875" w14:textId="57958A89" w:rsidR="002074A4" w:rsidRPr="00DF2BB9" w:rsidRDefault="00DF2BB9" w:rsidP="00DF2BB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9930D6">
      <w:rPr>
        <w:rFonts w:ascii="Times New Roman" w:hAnsi="Times New Roman" w:cs="Times New Roman"/>
        <w:noProof/>
        <w:sz w:val="20"/>
        <w:szCs w:val="20"/>
      </w:rPr>
      <w:t>LMAnot_020321_LNG_kp</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72BE3" w14:textId="77777777" w:rsidR="005947F0" w:rsidRDefault="005947F0" w:rsidP="00894C55">
      <w:r>
        <w:separator/>
      </w:r>
    </w:p>
  </w:footnote>
  <w:footnote w:type="continuationSeparator" w:id="0">
    <w:p w14:paraId="033F88B0" w14:textId="77777777" w:rsidR="005947F0" w:rsidRDefault="005947F0"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75F19A" w14:textId="2B2E8F66"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40B68">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6D7"/>
    <w:multiLevelType w:val="hybridMultilevel"/>
    <w:tmpl w:val="4C304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541FCB"/>
    <w:multiLevelType w:val="hybridMultilevel"/>
    <w:tmpl w:val="55342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0925F3"/>
    <w:multiLevelType w:val="multilevel"/>
    <w:tmpl w:val="4040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747A8"/>
    <w:multiLevelType w:val="hybridMultilevel"/>
    <w:tmpl w:val="70BA3028"/>
    <w:lvl w:ilvl="0" w:tplc="279AB08C">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C24DD6"/>
    <w:multiLevelType w:val="hybridMultilevel"/>
    <w:tmpl w:val="96002274"/>
    <w:lvl w:ilvl="0" w:tplc="8144A06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5" w15:restartNumberingAfterBreak="0">
    <w:nsid w:val="1CF405C2"/>
    <w:multiLevelType w:val="hybridMultilevel"/>
    <w:tmpl w:val="03005230"/>
    <w:lvl w:ilvl="0" w:tplc="04260001">
      <w:start w:val="1"/>
      <w:numFmt w:val="bullet"/>
      <w:lvlText w:val=""/>
      <w:lvlJc w:val="left"/>
      <w:pPr>
        <w:ind w:left="1455" w:hanging="360"/>
      </w:pPr>
      <w:rPr>
        <w:rFonts w:ascii="Symbol" w:hAnsi="Symbol"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6" w15:restartNumberingAfterBreak="0">
    <w:nsid w:val="223A4439"/>
    <w:multiLevelType w:val="hybridMultilevel"/>
    <w:tmpl w:val="1D5A474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8"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9" w15:restartNumberingAfterBreak="0">
    <w:nsid w:val="371C7E6C"/>
    <w:multiLevelType w:val="hybridMultilevel"/>
    <w:tmpl w:val="1BF27146"/>
    <w:lvl w:ilvl="0" w:tplc="EEBC692C">
      <w:start w:val="1"/>
      <w:numFmt w:val="decimal"/>
      <w:lvlText w:val="%1."/>
      <w:lvlJc w:val="left"/>
      <w:pPr>
        <w:ind w:left="964" w:hanging="360"/>
      </w:pPr>
      <w:rPr>
        <w:rFonts w:hint="default"/>
      </w:rPr>
    </w:lvl>
    <w:lvl w:ilvl="1" w:tplc="04260019" w:tentative="1">
      <w:start w:val="1"/>
      <w:numFmt w:val="lowerLetter"/>
      <w:lvlText w:val="%2."/>
      <w:lvlJc w:val="left"/>
      <w:pPr>
        <w:ind w:left="1684" w:hanging="360"/>
      </w:pPr>
    </w:lvl>
    <w:lvl w:ilvl="2" w:tplc="0426001B" w:tentative="1">
      <w:start w:val="1"/>
      <w:numFmt w:val="lowerRoman"/>
      <w:lvlText w:val="%3."/>
      <w:lvlJc w:val="right"/>
      <w:pPr>
        <w:ind w:left="2404" w:hanging="180"/>
      </w:pPr>
    </w:lvl>
    <w:lvl w:ilvl="3" w:tplc="0426000F" w:tentative="1">
      <w:start w:val="1"/>
      <w:numFmt w:val="decimal"/>
      <w:lvlText w:val="%4."/>
      <w:lvlJc w:val="left"/>
      <w:pPr>
        <w:ind w:left="3124" w:hanging="360"/>
      </w:pPr>
    </w:lvl>
    <w:lvl w:ilvl="4" w:tplc="04260019" w:tentative="1">
      <w:start w:val="1"/>
      <w:numFmt w:val="lowerLetter"/>
      <w:lvlText w:val="%5."/>
      <w:lvlJc w:val="left"/>
      <w:pPr>
        <w:ind w:left="3844" w:hanging="360"/>
      </w:pPr>
    </w:lvl>
    <w:lvl w:ilvl="5" w:tplc="0426001B" w:tentative="1">
      <w:start w:val="1"/>
      <w:numFmt w:val="lowerRoman"/>
      <w:lvlText w:val="%6."/>
      <w:lvlJc w:val="right"/>
      <w:pPr>
        <w:ind w:left="4564" w:hanging="180"/>
      </w:pPr>
    </w:lvl>
    <w:lvl w:ilvl="6" w:tplc="0426000F" w:tentative="1">
      <w:start w:val="1"/>
      <w:numFmt w:val="decimal"/>
      <w:lvlText w:val="%7."/>
      <w:lvlJc w:val="left"/>
      <w:pPr>
        <w:ind w:left="5284" w:hanging="360"/>
      </w:pPr>
    </w:lvl>
    <w:lvl w:ilvl="7" w:tplc="04260019" w:tentative="1">
      <w:start w:val="1"/>
      <w:numFmt w:val="lowerLetter"/>
      <w:lvlText w:val="%8."/>
      <w:lvlJc w:val="left"/>
      <w:pPr>
        <w:ind w:left="6004" w:hanging="360"/>
      </w:pPr>
    </w:lvl>
    <w:lvl w:ilvl="8" w:tplc="0426001B" w:tentative="1">
      <w:start w:val="1"/>
      <w:numFmt w:val="lowerRoman"/>
      <w:lvlText w:val="%9."/>
      <w:lvlJc w:val="right"/>
      <w:pPr>
        <w:ind w:left="6724" w:hanging="180"/>
      </w:pPr>
    </w:lvl>
  </w:abstractNum>
  <w:abstractNum w:abstractNumId="10" w15:restartNumberingAfterBreak="0">
    <w:nsid w:val="37B96921"/>
    <w:multiLevelType w:val="hybridMultilevel"/>
    <w:tmpl w:val="A6D276B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1" w15:restartNumberingAfterBreak="0">
    <w:nsid w:val="387E0054"/>
    <w:multiLevelType w:val="hybridMultilevel"/>
    <w:tmpl w:val="2D301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9BD381A"/>
    <w:multiLevelType w:val="hybridMultilevel"/>
    <w:tmpl w:val="8FC0275A"/>
    <w:lvl w:ilvl="0" w:tplc="CA107CDC">
      <w:start w:val="1"/>
      <w:numFmt w:val="decimal"/>
      <w:lvlText w:val="%1)"/>
      <w:lvlJc w:val="left"/>
      <w:pPr>
        <w:ind w:left="1805" w:hanging="360"/>
      </w:pPr>
      <w:rPr>
        <w:rFonts w:hint="default"/>
      </w:rPr>
    </w:lvl>
    <w:lvl w:ilvl="1" w:tplc="04260019" w:tentative="1">
      <w:start w:val="1"/>
      <w:numFmt w:val="lowerLetter"/>
      <w:lvlText w:val="%2."/>
      <w:lvlJc w:val="left"/>
      <w:pPr>
        <w:ind w:left="2525" w:hanging="360"/>
      </w:pPr>
    </w:lvl>
    <w:lvl w:ilvl="2" w:tplc="0426001B" w:tentative="1">
      <w:start w:val="1"/>
      <w:numFmt w:val="lowerRoman"/>
      <w:lvlText w:val="%3."/>
      <w:lvlJc w:val="right"/>
      <w:pPr>
        <w:ind w:left="3245" w:hanging="180"/>
      </w:pPr>
    </w:lvl>
    <w:lvl w:ilvl="3" w:tplc="0426000F" w:tentative="1">
      <w:start w:val="1"/>
      <w:numFmt w:val="decimal"/>
      <w:lvlText w:val="%4."/>
      <w:lvlJc w:val="left"/>
      <w:pPr>
        <w:ind w:left="3965" w:hanging="360"/>
      </w:pPr>
    </w:lvl>
    <w:lvl w:ilvl="4" w:tplc="04260019" w:tentative="1">
      <w:start w:val="1"/>
      <w:numFmt w:val="lowerLetter"/>
      <w:lvlText w:val="%5."/>
      <w:lvlJc w:val="left"/>
      <w:pPr>
        <w:ind w:left="4685" w:hanging="360"/>
      </w:pPr>
    </w:lvl>
    <w:lvl w:ilvl="5" w:tplc="0426001B" w:tentative="1">
      <w:start w:val="1"/>
      <w:numFmt w:val="lowerRoman"/>
      <w:lvlText w:val="%6."/>
      <w:lvlJc w:val="right"/>
      <w:pPr>
        <w:ind w:left="5405" w:hanging="180"/>
      </w:pPr>
    </w:lvl>
    <w:lvl w:ilvl="6" w:tplc="0426000F" w:tentative="1">
      <w:start w:val="1"/>
      <w:numFmt w:val="decimal"/>
      <w:lvlText w:val="%7."/>
      <w:lvlJc w:val="left"/>
      <w:pPr>
        <w:ind w:left="6125" w:hanging="360"/>
      </w:pPr>
    </w:lvl>
    <w:lvl w:ilvl="7" w:tplc="04260019" w:tentative="1">
      <w:start w:val="1"/>
      <w:numFmt w:val="lowerLetter"/>
      <w:lvlText w:val="%8."/>
      <w:lvlJc w:val="left"/>
      <w:pPr>
        <w:ind w:left="6845" w:hanging="360"/>
      </w:pPr>
    </w:lvl>
    <w:lvl w:ilvl="8" w:tplc="0426001B" w:tentative="1">
      <w:start w:val="1"/>
      <w:numFmt w:val="lowerRoman"/>
      <w:lvlText w:val="%9."/>
      <w:lvlJc w:val="right"/>
      <w:pPr>
        <w:ind w:left="7565" w:hanging="180"/>
      </w:pPr>
    </w:lvl>
  </w:abstractNum>
  <w:abstractNum w:abstractNumId="13" w15:restartNumberingAfterBreak="0">
    <w:nsid w:val="3B61319B"/>
    <w:multiLevelType w:val="hybridMultilevel"/>
    <w:tmpl w:val="C9E25668"/>
    <w:lvl w:ilvl="0" w:tplc="CEAE6AE8">
      <w:start w:val="1"/>
      <w:numFmt w:val="bullet"/>
      <w:lvlText w:val="-"/>
      <w:lvlJc w:val="left"/>
      <w:pPr>
        <w:ind w:left="1531" w:hanging="360"/>
      </w:pPr>
      <w:rPr>
        <w:rFonts w:ascii="Times New Roman" w:eastAsia="Times New Roman" w:hAnsi="Times New Roman" w:cs="Times New Roman" w:hint="default"/>
      </w:rPr>
    </w:lvl>
    <w:lvl w:ilvl="1" w:tplc="04260003" w:tentative="1">
      <w:start w:val="1"/>
      <w:numFmt w:val="bullet"/>
      <w:lvlText w:val="o"/>
      <w:lvlJc w:val="left"/>
      <w:pPr>
        <w:ind w:left="2251" w:hanging="360"/>
      </w:pPr>
      <w:rPr>
        <w:rFonts w:ascii="Courier New" w:hAnsi="Courier New" w:cs="Courier New" w:hint="default"/>
      </w:rPr>
    </w:lvl>
    <w:lvl w:ilvl="2" w:tplc="04260005" w:tentative="1">
      <w:start w:val="1"/>
      <w:numFmt w:val="bullet"/>
      <w:lvlText w:val=""/>
      <w:lvlJc w:val="left"/>
      <w:pPr>
        <w:ind w:left="2971" w:hanging="360"/>
      </w:pPr>
      <w:rPr>
        <w:rFonts w:ascii="Wingdings" w:hAnsi="Wingdings" w:hint="default"/>
      </w:rPr>
    </w:lvl>
    <w:lvl w:ilvl="3" w:tplc="04260001" w:tentative="1">
      <w:start w:val="1"/>
      <w:numFmt w:val="bullet"/>
      <w:lvlText w:val=""/>
      <w:lvlJc w:val="left"/>
      <w:pPr>
        <w:ind w:left="3691" w:hanging="360"/>
      </w:pPr>
      <w:rPr>
        <w:rFonts w:ascii="Symbol" w:hAnsi="Symbol" w:hint="default"/>
      </w:rPr>
    </w:lvl>
    <w:lvl w:ilvl="4" w:tplc="04260003" w:tentative="1">
      <w:start w:val="1"/>
      <w:numFmt w:val="bullet"/>
      <w:lvlText w:val="o"/>
      <w:lvlJc w:val="left"/>
      <w:pPr>
        <w:ind w:left="4411" w:hanging="360"/>
      </w:pPr>
      <w:rPr>
        <w:rFonts w:ascii="Courier New" w:hAnsi="Courier New" w:cs="Courier New" w:hint="default"/>
      </w:rPr>
    </w:lvl>
    <w:lvl w:ilvl="5" w:tplc="04260005" w:tentative="1">
      <w:start w:val="1"/>
      <w:numFmt w:val="bullet"/>
      <w:lvlText w:val=""/>
      <w:lvlJc w:val="left"/>
      <w:pPr>
        <w:ind w:left="5131" w:hanging="360"/>
      </w:pPr>
      <w:rPr>
        <w:rFonts w:ascii="Wingdings" w:hAnsi="Wingdings" w:hint="default"/>
      </w:rPr>
    </w:lvl>
    <w:lvl w:ilvl="6" w:tplc="04260001" w:tentative="1">
      <w:start w:val="1"/>
      <w:numFmt w:val="bullet"/>
      <w:lvlText w:val=""/>
      <w:lvlJc w:val="left"/>
      <w:pPr>
        <w:ind w:left="5851" w:hanging="360"/>
      </w:pPr>
      <w:rPr>
        <w:rFonts w:ascii="Symbol" w:hAnsi="Symbol" w:hint="default"/>
      </w:rPr>
    </w:lvl>
    <w:lvl w:ilvl="7" w:tplc="04260003" w:tentative="1">
      <w:start w:val="1"/>
      <w:numFmt w:val="bullet"/>
      <w:lvlText w:val="o"/>
      <w:lvlJc w:val="left"/>
      <w:pPr>
        <w:ind w:left="6571" w:hanging="360"/>
      </w:pPr>
      <w:rPr>
        <w:rFonts w:ascii="Courier New" w:hAnsi="Courier New" w:cs="Courier New" w:hint="default"/>
      </w:rPr>
    </w:lvl>
    <w:lvl w:ilvl="8" w:tplc="04260005" w:tentative="1">
      <w:start w:val="1"/>
      <w:numFmt w:val="bullet"/>
      <w:lvlText w:val=""/>
      <w:lvlJc w:val="left"/>
      <w:pPr>
        <w:ind w:left="7291" w:hanging="360"/>
      </w:pPr>
      <w:rPr>
        <w:rFonts w:ascii="Wingdings" w:hAnsi="Wingdings" w:hint="default"/>
      </w:rPr>
    </w:lvl>
  </w:abstractNum>
  <w:abstractNum w:abstractNumId="14" w15:restartNumberingAfterBreak="0">
    <w:nsid w:val="3C53757D"/>
    <w:multiLevelType w:val="hybridMultilevel"/>
    <w:tmpl w:val="0C5802EC"/>
    <w:lvl w:ilvl="0" w:tplc="B5BA390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D187573"/>
    <w:multiLevelType w:val="hybridMultilevel"/>
    <w:tmpl w:val="2FA2C63C"/>
    <w:lvl w:ilvl="0" w:tplc="DBC48120">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16" w15:restartNumberingAfterBreak="0">
    <w:nsid w:val="3D8E2139"/>
    <w:multiLevelType w:val="hybridMultilevel"/>
    <w:tmpl w:val="76E6C67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0FF26FF"/>
    <w:multiLevelType w:val="hybridMultilevel"/>
    <w:tmpl w:val="955A0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F3F6150"/>
    <w:multiLevelType w:val="hybridMultilevel"/>
    <w:tmpl w:val="BE904326"/>
    <w:lvl w:ilvl="0" w:tplc="7DF20BC4">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6623B7D"/>
    <w:multiLevelType w:val="hybridMultilevel"/>
    <w:tmpl w:val="EA58F700"/>
    <w:lvl w:ilvl="0" w:tplc="04260001">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20" w15:restartNumberingAfterBreak="0">
    <w:nsid w:val="5F325E54"/>
    <w:multiLevelType w:val="hybridMultilevel"/>
    <w:tmpl w:val="1CCE61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12B7885"/>
    <w:multiLevelType w:val="hybridMultilevel"/>
    <w:tmpl w:val="5900DBE4"/>
    <w:lvl w:ilvl="0" w:tplc="A99E99A2">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23" w15:restartNumberingAfterBreak="0">
    <w:nsid w:val="62634CF4"/>
    <w:multiLevelType w:val="hybridMultilevel"/>
    <w:tmpl w:val="D6F05AB2"/>
    <w:lvl w:ilvl="0" w:tplc="04260001">
      <w:start w:val="1"/>
      <w:numFmt w:val="bullet"/>
      <w:lvlText w:val=""/>
      <w:lvlJc w:val="left"/>
      <w:pPr>
        <w:ind w:left="1391" w:hanging="360"/>
      </w:pPr>
      <w:rPr>
        <w:rFonts w:ascii="Symbol" w:hAnsi="Symbol" w:hint="default"/>
      </w:rPr>
    </w:lvl>
    <w:lvl w:ilvl="1" w:tplc="04260003" w:tentative="1">
      <w:start w:val="1"/>
      <w:numFmt w:val="bullet"/>
      <w:lvlText w:val="o"/>
      <w:lvlJc w:val="left"/>
      <w:pPr>
        <w:ind w:left="2111" w:hanging="360"/>
      </w:pPr>
      <w:rPr>
        <w:rFonts w:ascii="Courier New" w:hAnsi="Courier New" w:cs="Courier New" w:hint="default"/>
      </w:rPr>
    </w:lvl>
    <w:lvl w:ilvl="2" w:tplc="04260005" w:tentative="1">
      <w:start w:val="1"/>
      <w:numFmt w:val="bullet"/>
      <w:lvlText w:val=""/>
      <w:lvlJc w:val="left"/>
      <w:pPr>
        <w:ind w:left="2831" w:hanging="360"/>
      </w:pPr>
      <w:rPr>
        <w:rFonts w:ascii="Wingdings" w:hAnsi="Wingdings" w:hint="default"/>
      </w:rPr>
    </w:lvl>
    <w:lvl w:ilvl="3" w:tplc="04260001" w:tentative="1">
      <w:start w:val="1"/>
      <w:numFmt w:val="bullet"/>
      <w:lvlText w:val=""/>
      <w:lvlJc w:val="left"/>
      <w:pPr>
        <w:ind w:left="3551" w:hanging="360"/>
      </w:pPr>
      <w:rPr>
        <w:rFonts w:ascii="Symbol" w:hAnsi="Symbol" w:hint="default"/>
      </w:rPr>
    </w:lvl>
    <w:lvl w:ilvl="4" w:tplc="04260003" w:tentative="1">
      <w:start w:val="1"/>
      <w:numFmt w:val="bullet"/>
      <w:lvlText w:val="o"/>
      <w:lvlJc w:val="left"/>
      <w:pPr>
        <w:ind w:left="4271" w:hanging="360"/>
      </w:pPr>
      <w:rPr>
        <w:rFonts w:ascii="Courier New" w:hAnsi="Courier New" w:cs="Courier New" w:hint="default"/>
      </w:rPr>
    </w:lvl>
    <w:lvl w:ilvl="5" w:tplc="04260005" w:tentative="1">
      <w:start w:val="1"/>
      <w:numFmt w:val="bullet"/>
      <w:lvlText w:val=""/>
      <w:lvlJc w:val="left"/>
      <w:pPr>
        <w:ind w:left="4991" w:hanging="360"/>
      </w:pPr>
      <w:rPr>
        <w:rFonts w:ascii="Wingdings" w:hAnsi="Wingdings" w:hint="default"/>
      </w:rPr>
    </w:lvl>
    <w:lvl w:ilvl="6" w:tplc="04260001" w:tentative="1">
      <w:start w:val="1"/>
      <w:numFmt w:val="bullet"/>
      <w:lvlText w:val=""/>
      <w:lvlJc w:val="left"/>
      <w:pPr>
        <w:ind w:left="5711" w:hanging="360"/>
      </w:pPr>
      <w:rPr>
        <w:rFonts w:ascii="Symbol" w:hAnsi="Symbol" w:hint="default"/>
      </w:rPr>
    </w:lvl>
    <w:lvl w:ilvl="7" w:tplc="04260003" w:tentative="1">
      <w:start w:val="1"/>
      <w:numFmt w:val="bullet"/>
      <w:lvlText w:val="o"/>
      <w:lvlJc w:val="left"/>
      <w:pPr>
        <w:ind w:left="6431" w:hanging="360"/>
      </w:pPr>
      <w:rPr>
        <w:rFonts w:ascii="Courier New" w:hAnsi="Courier New" w:cs="Courier New" w:hint="default"/>
      </w:rPr>
    </w:lvl>
    <w:lvl w:ilvl="8" w:tplc="04260005" w:tentative="1">
      <w:start w:val="1"/>
      <w:numFmt w:val="bullet"/>
      <w:lvlText w:val=""/>
      <w:lvlJc w:val="left"/>
      <w:pPr>
        <w:ind w:left="7151" w:hanging="360"/>
      </w:pPr>
      <w:rPr>
        <w:rFonts w:ascii="Wingdings" w:hAnsi="Wingdings" w:hint="default"/>
      </w:rPr>
    </w:lvl>
  </w:abstractNum>
  <w:abstractNum w:abstractNumId="24" w15:restartNumberingAfterBreak="0">
    <w:nsid w:val="64445502"/>
    <w:multiLevelType w:val="hybridMultilevel"/>
    <w:tmpl w:val="31887FE4"/>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25" w15:restartNumberingAfterBreak="0">
    <w:nsid w:val="645A2F53"/>
    <w:multiLevelType w:val="hybridMultilevel"/>
    <w:tmpl w:val="63AC1AC0"/>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6" w15:restartNumberingAfterBreak="0">
    <w:nsid w:val="6493242E"/>
    <w:multiLevelType w:val="hybridMultilevel"/>
    <w:tmpl w:val="C32E6A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4BC5567"/>
    <w:multiLevelType w:val="hybridMultilevel"/>
    <w:tmpl w:val="962808AA"/>
    <w:lvl w:ilvl="0" w:tplc="F8A4375E">
      <w:start w:val="2020"/>
      <w:numFmt w:val="bullet"/>
      <w:lvlText w:val="-"/>
      <w:lvlJc w:val="left"/>
      <w:pPr>
        <w:ind w:left="634" w:hanging="360"/>
      </w:pPr>
      <w:rPr>
        <w:rFonts w:ascii="Times New Roman" w:eastAsia="Times New Roman" w:hAnsi="Times New Roman" w:cs="Times New Roman" w:hint="default"/>
      </w:rPr>
    </w:lvl>
    <w:lvl w:ilvl="1" w:tplc="04260003" w:tentative="1">
      <w:start w:val="1"/>
      <w:numFmt w:val="bullet"/>
      <w:lvlText w:val="o"/>
      <w:lvlJc w:val="left"/>
      <w:pPr>
        <w:ind w:left="1354" w:hanging="360"/>
      </w:pPr>
      <w:rPr>
        <w:rFonts w:ascii="Courier New" w:hAnsi="Courier New" w:cs="Courier New" w:hint="default"/>
      </w:rPr>
    </w:lvl>
    <w:lvl w:ilvl="2" w:tplc="04260005" w:tentative="1">
      <w:start w:val="1"/>
      <w:numFmt w:val="bullet"/>
      <w:lvlText w:val=""/>
      <w:lvlJc w:val="left"/>
      <w:pPr>
        <w:ind w:left="2074" w:hanging="360"/>
      </w:pPr>
      <w:rPr>
        <w:rFonts w:ascii="Wingdings" w:hAnsi="Wingdings" w:hint="default"/>
      </w:rPr>
    </w:lvl>
    <w:lvl w:ilvl="3" w:tplc="04260001" w:tentative="1">
      <w:start w:val="1"/>
      <w:numFmt w:val="bullet"/>
      <w:lvlText w:val=""/>
      <w:lvlJc w:val="left"/>
      <w:pPr>
        <w:ind w:left="2794" w:hanging="360"/>
      </w:pPr>
      <w:rPr>
        <w:rFonts w:ascii="Symbol" w:hAnsi="Symbol" w:hint="default"/>
      </w:rPr>
    </w:lvl>
    <w:lvl w:ilvl="4" w:tplc="04260003" w:tentative="1">
      <w:start w:val="1"/>
      <w:numFmt w:val="bullet"/>
      <w:lvlText w:val="o"/>
      <w:lvlJc w:val="left"/>
      <w:pPr>
        <w:ind w:left="3514" w:hanging="360"/>
      </w:pPr>
      <w:rPr>
        <w:rFonts w:ascii="Courier New" w:hAnsi="Courier New" w:cs="Courier New" w:hint="default"/>
      </w:rPr>
    </w:lvl>
    <w:lvl w:ilvl="5" w:tplc="04260005" w:tentative="1">
      <w:start w:val="1"/>
      <w:numFmt w:val="bullet"/>
      <w:lvlText w:val=""/>
      <w:lvlJc w:val="left"/>
      <w:pPr>
        <w:ind w:left="4234" w:hanging="360"/>
      </w:pPr>
      <w:rPr>
        <w:rFonts w:ascii="Wingdings" w:hAnsi="Wingdings" w:hint="default"/>
      </w:rPr>
    </w:lvl>
    <w:lvl w:ilvl="6" w:tplc="04260001" w:tentative="1">
      <w:start w:val="1"/>
      <w:numFmt w:val="bullet"/>
      <w:lvlText w:val=""/>
      <w:lvlJc w:val="left"/>
      <w:pPr>
        <w:ind w:left="4954" w:hanging="360"/>
      </w:pPr>
      <w:rPr>
        <w:rFonts w:ascii="Symbol" w:hAnsi="Symbol" w:hint="default"/>
      </w:rPr>
    </w:lvl>
    <w:lvl w:ilvl="7" w:tplc="04260003" w:tentative="1">
      <w:start w:val="1"/>
      <w:numFmt w:val="bullet"/>
      <w:lvlText w:val="o"/>
      <w:lvlJc w:val="left"/>
      <w:pPr>
        <w:ind w:left="5674" w:hanging="360"/>
      </w:pPr>
      <w:rPr>
        <w:rFonts w:ascii="Courier New" w:hAnsi="Courier New" w:cs="Courier New" w:hint="default"/>
      </w:rPr>
    </w:lvl>
    <w:lvl w:ilvl="8" w:tplc="04260005" w:tentative="1">
      <w:start w:val="1"/>
      <w:numFmt w:val="bullet"/>
      <w:lvlText w:val=""/>
      <w:lvlJc w:val="left"/>
      <w:pPr>
        <w:ind w:left="6394" w:hanging="360"/>
      </w:pPr>
      <w:rPr>
        <w:rFonts w:ascii="Wingdings" w:hAnsi="Wingdings" w:hint="default"/>
      </w:rPr>
    </w:lvl>
  </w:abstractNum>
  <w:abstractNum w:abstractNumId="28"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15:restartNumberingAfterBreak="0">
    <w:nsid w:val="76880620"/>
    <w:multiLevelType w:val="multilevel"/>
    <w:tmpl w:val="6F3E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FA117E"/>
    <w:multiLevelType w:val="hybridMultilevel"/>
    <w:tmpl w:val="E17A86A6"/>
    <w:lvl w:ilvl="0" w:tplc="40BE4A84">
      <w:start w:val="1"/>
      <w:numFmt w:val="decimal"/>
      <w:lvlText w:val="%1."/>
      <w:lvlJc w:val="left"/>
      <w:pPr>
        <w:ind w:left="933" w:hanging="360"/>
      </w:pPr>
      <w:rPr>
        <w:rFonts w:hint="default"/>
      </w:rPr>
    </w:lvl>
    <w:lvl w:ilvl="1" w:tplc="04260019" w:tentative="1">
      <w:start w:val="1"/>
      <w:numFmt w:val="lowerLetter"/>
      <w:lvlText w:val="%2."/>
      <w:lvlJc w:val="left"/>
      <w:pPr>
        <w:ind w:left="1653" w:hanging="360"/>
      </w:pPr>
    </w:lvl>
    <w:lvl w:ilvl="2" w:tplc="0426001B" w:tentative="1">
      <w:start w:val="1"/>
      <w:numFmt w:val="lowerRoman"/>
      <w:lvlText w:val="%3."/>
      <w:lvlJc w:val="right"/>
      <w:pPr>
        <w:ind w:left="2373" w:hanging="180"/>
      </w:pPr>
    </w:lvl>
    <w:lvl w:ilvl="3" w:tplc="0426000F" w:tentative="1">
      <w:start w:val="1"/>
      <w:numFmt w:val="decimal"/>
      <w:lvlText w:val="%4."/>
      <w:lvlJc w:val="left"/>
      <w:pPr>
        <w:ind w:left="3093" w:hanging="360"/>
      </w:pPr>
    </w:lvl>
    <w:lvl w:ilvl="4" w:tplc="04260019" w:tentative="1">
      <w:start w:val="1"/>
      <w:numFmt w:val="lowerLetter"/>
      <w:lvlText w:val="%5."/>
      <w:lvlJc w:val="left"/>
      <w:pPr>
        <w:ind w:left="3813" w:hanging="360"/>
      </w:pPr>
    </w:lvl>
    <w:lvl w:ilvl="5" w:tplc="0426001B" w:tentative="1">
      <w:start w:val="1"/>
      <w:numFmt w:val="lowerRoman"/>
      <w:lvlText w:val="%6."/>
      <w:lvlJc w:val="right"/>
      <w:pPr>
        <w:ind w:left="4533" w:hanging="180"/>
      </w:pPr>
    </w:lvl>
    <w:lvl w:ilvl="6" w:tplc="0426000F" w:tentative="1">
      <w:start w:val="1"/>
      <w:numFmt w:val="decimal"/>
      <w:lvlText w:val="%7."/>
      <w:lvlJc w:val="left"/>
      <w:pPr>
        <w:ind w:left="5253" w:hanging="360"/>
      </w:pPr>
    </w:lvl>
    <w:lvl w:ilvl="7" w:tplc="04260019" w:tentative="1">
      <w:start w:val="1"/>
      <w:numFmt w:val="lowerLetter"/>
      <w:lvlText w:val="%8."/>
      <w:lvlJc w:val="left"/>
      <w:pPr>
        <w:ind w:left="5973" w:hanging="360"/>
      </w:pPr>
    </w:lvl>
    <w:lvl w:ilvl="8" w:tplc="0426001B" w:tentative="1">
      <w:start w:val="1"/>
      <w:numFmt w:val="lowerRoman"/>
      <w:lvlText w:val="%9."/>
      <w:lvlJc w:val="right"/>
      <w:pPr>
        <w:ind w:left="6693" w:hanging="180"/>
      </w:pPr>
    </w:lvl>
  </w:abstractNum>
  <w:abstractNum w:abstractNumId="31" w15:restartNumberingAfterBreak="0">
    <w:nsid w:val="7C046809"/>
    <w:multiLevelType w:val="hybridMultilevel"/>
    <w:tmpl w:val="7F72DBA6"/>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32" w15:restartNumberingAfterBreak="0">
    <w:nsid w:val="7F7B6A01"/>
    <w:multiLevelType w:val="hybridMultilevel"/>
    <w:tmpl w:val="B9346F32"/>
    <w:lvl w:ilvl="0" w:tplc="CEA04760">
      <w:start w:val="1"/>
      <w:numFmt w:val="decimal"/>
      <w:lvlText w:val="%1)"/>
      <w:lvlJc w:val="left"/>
      <w:pPr>
        <w:ind w:left="768" w:hanging="360"/>
      </w:pPr>
      <w:rPr>
        <w:rFonts w:hint="default"/>
      </w:rPr>
    </w:lvl>
    <w:lvl w:ilvl="1" w:tplc="04260019" w:tentative="1">
      <w:start w:val="1"/>
      <w:numFmt w:val="lowerLetter"/>
      <w:lvlText w:val="%2."/>
      <w:lvlJc w:val="left"/>
      <w:pPr>
        <w:ind w:left="1488" w:hanging="360"/>
      </w:pPr>
    </w:lvl>
    <w:lvl w:ilvl="2" w:tplc="0426001B" w:tentative="1">
      <w:start w:val="1"/>
      <w:numFmt w:val="lowerRoman"/>
      <w:lvlText w:val="%3."/>
      <w:lvlJc w:val="right"/>
      <w:pPr>
        <w:ind w:left="2208" w:hanging="180"/>
      </w:pPr>
    </w:lvl>
    <w:lvl w:ilvl="3" w:tplc="0426000F" w:tentative="1">
      <w:start w:val="1"/>
      <w:numFmt w:val="decimal"/>
      <w:lvlText w:val="%4."/>
      <w:lvlJc w:val="left"/>
      <w:pPr>
        <w:ind w:left="2928" w:hanging="360"/>
      </w:pPr>
    </w:lvl>
    <w:lvl w:ilvl="4" w:tplc="04260019" w:tentative="1">
      <w:start w:val="1"/>
      <w:numFmt w:val="lowerLetter"/>
      <w:lvlText w:val="%5."/>
      <w:lvlJc w:val="left"/>
      <w:pPr>
        <w:ind w:left="3648" w:hanging="360"/>
      </w:pPr>
    </w:lvl>
    <w:lvl w:ilvl="5" w:tplc="0426001B" w:tentative="1">
      <w:start w:val="1"/>
      <w:numFmt w:val="lowerRoman"/>
      <w:lvlText w:val="%6."/>
      <w:lvlJc w:val="right"/>
      <w:pPr>
        <w:ind w:left="4368" w:hanging="180"/>
      </w:pPr>
    </w:lvl>
    <w:lvl w:ilvl="6" w:tplc="0426000F" w:tentative="1">
      <w:start w:val="1"/>
      <w:numFmt w:val="decimal"/>
      <w:lvlText w:val="%7."/>
      <w:lvlJc w:val="left"/>
      <w:pPr>
        <w:ind w:left="5088" w:hanging="360"/>
      </w:pPr>
    </w:lvl>
    <w:lvl w:ilvl="7" w:tplc="04260019" w:tentative="1">
      <w:start w:val="1"/>
      <w:numFmt w:val="lowerLetter"/>
      <w:lvlText w:val="%8."/>
      <w:lvlJc w:val="left"/>
      <w:pPr>
        <w:ind w:left="5808" w:hanging="360"/>
      </w:pPr>
    </w:lvl>
    <w:lvl w:ilvl="8" w:tplc="0426001B" w:tentative="1">
      <w:start w:val="1"/>
      <w:numFmt w:val="lowerRoman"/>
      <w:lvlText w:val="%9."/>
      <w:lvlJc w:val="right"/>
      <w:pPr>
        <w:ind w:left="6528" w:hanging="180"/>
      </w:pPr>
    </w:lvl>
  </w:abstractNum>
  <w:num w:numId="1">
    <w:abstractNumId w:val="21"/>
  </w:num>
  <w:num w:numId="2">
    <w:abstractNumId w:val="28"/>
  </w:num>
  <w:num w:numId="3">
    <w:abstractNumId w:val="7"/>
  </w:num>
  <w:num w:numId="4">
    <w:abstractNumId w:val="30"/>
  </w:num>
  <w:num w:numId="5">
    <w:abstractNumId w:val="16"/>
  </w:num>
  <w:num w:numId="6">
    <w:abstractNumId w:val="2"/>
  </w:num>
  <w:num w:numId="7">
    <w:abstractNumId w:val="29"/>
  </w:num>
  <w:num w:numId="8">
    <w:abstractNumId w:val="3"/>
  </w:num>
  <w:num w:numId="9">
    <w:abstractNumId w:val="31"/>
  </w:num>
  <w:num w:numId="10">
    <w:abstractNumId w:val="12"/>
  </w:num>
  <w:num w:numId="11">
    <w:abstractNumId w:val="24"/>
  </w:num>
  <w:num w:numId="12">
    <w:abstractNumId w:val="4"/>
  </w:num>
  <w:num w:numId="13">
    <w:abstractNumId w:val="8"/>
  </w:num>
  <w:num w:numId="14">
    <w:abstractNumId w:val="17"/>
  </w:num>
  <w:num w:numId="15">
    <w:abstractNumId w:val="25"/>
  </w:num>
  <w:num w:numId="16">
    <w:abstractNumId w:val="10"/>
  </w:num>
  <w:num w:numId="17">
    <w:abstractNumId w:val="6"/>
  </w:num>
  <w:num w:numId="18">
    <w:abstractNumId w:val="22"/>
  </w:num>
  <w:num w:numId="19">
    <w:abstractNumId w:val="23"/>
  </w:num>
  <w:num w:numId="20">
    <w:abstractNumId w:val="5"/>
  </w:num>
  <w:num w:numId="21">
    <w:abstractNumId w:val="13"/>
  </w:num>
  <w:num w:numId="22">
    <w:abstractNumId w:val="19"/>
  </w:num>
  <w:num w:numId="23">
    <w:abstractNumId w:val="20"/>
  </w:num>
  <w:num w:numId="24">
    <w:abstractNumId w:val="11"/>
  </w:num>
  <w:num w:numId="25">
    <w:abstractNumId w:val="0"/>
  </w:num>
  <w:num w:numId="26">
    <w:abstractNumId w:val="1"/>
  </w:num>
  <w:num w:numId="27">
    <w:abstractNumId w:val="15"/>
  </w:num>
  <w:num w:numId="28">
    <w:abstractNumId w:val="26"/>
  </w:num>
  <w:num w:numId="29">
    <w:abstractNumId w:val="14"/>
  </w:num>
  <w:num w:numId="30">
    <w:abstractNumId w:val="32"/>
  </w:num>
  <w:num w:numId="31">
    <w:abstractNumId w:val="9"/>
  </w:num>
  <w:num w:numId="32">
    <w:abstractNumId w:val="2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6AF"/>
    <w:rsid w:val="0000729D"/>
    <w:rsid w:val="00010109"/>
    <w:rsid w:val="00012055"/>
    <w:rsid w:val="000140B8"/>
    <w:rsid w:val="00015508"/>
    <w:rsid w:val="0002126E"/>
    <w:rsid w:val="00021774"/>
    <w:rsid w:val="000237FA"/>
    <w:rsid w:val="00024B64"/>
    <w:rsid w:val="00031925"/>
    <w:rsid w:val="00035CD5"/>
    <w:rsid w:val="00035E6E"/>
    <w:rsid w:val="00037257"/>
    <w:rsid w:val="00037CA6"/>
    <w:rsid w:val="0004022B"/>
    <w:rsid w:val="00041BCC"/>
    <w:rsid w:val="0004685C"/>
    <w:rsid w:val="00050143"/>
    <w:rsid w:val="00051EE3"/>
    <w:rsid w:val="000537C9"/>
    <w:rsid w:val="0006374D"/>
    <w:rsid w:val="00064959"/>
    <w:rsid w:val="00065CAE"/>
    <w:rsid w:val="00071359"/>
    <w:rsid w:val="0007255D"/>
    <w:rsid w:val="000746B1"/>
    <w:rsid w:val="00076EDC"/>
    <w:rsid w:val="00080BB1"/>
    <w:rsid w:val="0008249D"/>
    <w:rsid w:val="00083AAF"/>
    <w:rsid w:val="00087E40"/>
    <w:rsid w:val="00091323"/>
    <w:rsid w:val="000946D7"/>
    <w:rsid w:val="00095F9A"/>
    <w:rsid w:val="000A21B9"/>
    <w:rsid w:val="000A4002"/>
    <w:rsid w:val="000A4A1E"/>
    <w:rsid w:val="000B0F4A"/>
    <w:rsid w:val="000B32B9"/>
    <w:rsid w:val="000B54FA"/>
    <w:rsid w:val="000C4480"/>
    <w:rsid w:val="000C568F"/>
    <w:rsid w:val="000C7B38"/>
    <w:rsid w:val="000C7E9B"/>
    <w:rsid w:val="000D26B7"/>
    <w:rsid w:val="000D7BBA"/>
    <w:rsid w:val="000E0D22"/>
    <w:rsid w:val="000E2D99"/>
    <w:rsid w:val="000E3A4C"/>
    <w:rsid w:val="000E5196"/>
    <w:rsid w:val="000E6028"/>
    <w:rsid w:val="000E6D72"/>
    <w:rsid w:val="001001E8"/>
    <w:rsid w:val="00112BE7"/>
    <w:rsid w:val="00113381"/>
    <w:rsid w:val="00114A05"/>
    <w:rsid w:val="00116F95"/>
    <w:rsid w:val="00127069"/>
    <w:rsid w:val="00130487"/>
    <w:rsid w:val="00133FF1"/>
    <w:rsid w:val="001360AF"/>
    <w:rsid w:val="00140644"/>
    <w:rsid w:val="00141039"/>
    <w:rsid w:val="001412C1"/>
    <w:rsid w:val="00142118"/>
    <w:rsid w:val="0014584E"/>
    <w:rsid w:val="0015016B"/>
    <w:rsid w:val="001507E7"/>
    <w:rsid w:val="00152501"/>
    <w:rsid w:val="001525D7"/>
    <w:rsid w:val="00152B4A"/>
    <w:rsid w:val="00154A6D"/>
    <w:rsid w:val="00155578"/>
    <w:rsid w:val="001615EC"/>
    <w:rsid w:val="00163704"/>
    <w:rsid w:val="00177A29"/>
    <w:rsid w:val="001807D1"/>
    <w:rsid w:val="0018516A"/>
    <w:rsid w:val="001A2778"/>
    <w:rsid w:val="001A559D"/>
    <w:rsid w:val="001A5818"/>
    <w:rsid w:val="001A5A01"/>
    <w:rsid w:val="001A7F37"/>
    <w:rsid w:val="001B3E9C"/>
    <w:rsid w:val="001B6740"/>
    <w:rsid w:val="001B6C59"/>
    <w:rsid w:val="001C2F68"/>
    <w:rsid w:val="001C4FAF"/>
    <w:rsid w:val="001C5440"/>
    <w:rsid w:val="001C768D"/>
    <w:rsid w:val="001C797C"/>
    <w:rsid w:val="001D0F46"/>
    <w:rsid w:val="001D5E4E"/>
    <w:rsid w:val="001D66EB"/>
    <w:rsid w:val="001E37ED"/>
    <w:rsid w:val="001E62FA"/>
    <w:rsid w:val="001E7774"/>
    <w:rsid w:val="001E7EAF"/>
    <w:rsid w:val="002019D8"/>
    <w:rsid w:val="002074A4"/>
    <w:rsid w:val="002109C4"/>
    <w:rsid w:val="002119C3"/>
    <w:rsid w:val="00220B1B"/>
    <w:rsid w:val="00223CED"/>
    <w:rsid w:val="00230841"/>
    <w:rsid w:val="0023168A"/>
    <w:rsid w:val="002355FE"/>
    <w:rsid w:val="00243426"/>
    <w:rsid w:val="00247DC9"/>
    <w:rsid w:val="002549F5"/>
    <w:rsid w:val="00256091"/>
    <w:rsid w:val="00260ECD"/>
    <w:rsid w:val="00261B67"/>
    <w:rsid w:val="002702EA"/>
    <w:rsid w:val="00272C29"/>
    <w:rsid w:val="0027706F"/>
    <w:rsid w:val="00282312"/>
    <w:rsid w:val="002834FB"/>
    <w:rsid w:val="00284852"/>
    <w:rsid w:val="00284C2D"/>
    <w:rsid w:val="0028659C"/>
    <w:rsid w:val="00287A59"/>
    <w:rsid w:val="00293399"/>
    <w:rsid w:val="002948BA"/>
    <w:rsid w:val="00295316"/>
    <w:rsid w:val="002A217A"/>
    <w:rsid w:val="002A5E5F"/>
    <w:rsid w:val="002A7926"/>
    <w:rsid w:val="002B6C5A"/>
    <w:rsid w:val="002C6CE2"/>
    <w:rsid w:val="002D1E95"/>
    <w:rsid w:val="002E1C05"/>
    <w:rsid w:val="002E2C6E"/>
    <w:rsid w:val="002E6CE7"/>
    <w:rsid w:val="002F7B64"/>
    <w:rsid w:val="00303246"/>
    <w:rsid w:val="003102E6"/>
    <w:rsid w:val="00312097"/>
    <w:rsid w:val="00312466"/>
    <w:rsid w:val="00313AD3"/>
    <w:rsid w:val="003142B7"/>
    <w:rsid w:val="00320014"/>
    <w:rsid w:val="003205CD"/>
    <w:rsid w:val="003243B6"/>
    <w:rsid w:val="00334745"/>
    <w:rsid w:val="00334ED3"/>
    <w:rsid w:val="00335899"/>
    <w:rsid w:val="00340618"/>
    <w:rsid w:val="00340B68"/>
    <w:rsid w:val="00340F13"/>
    <w:rsid w:val="00341D70"/>
    <w:rsid w:val="00350806"/>
    <w:rsid w:val="00360972"/>
    <w:rsid w:val="00361916"/>
    <w:rsid w:val="00362642"/>
    <w:rsid w:val="00362E82"/>
    <w:rsid w:val="003671CE"/>
    <w:rsid w:val="00367478"/>
    <w:rsid w:val="00367AB5"/>
    <w:rsid w:val="00367E06"/>
    <w:rsid w:val="00372ACB"/>
    <w:rsid w:val="00380C6D"/>
    <w:rsid w:val="003874BB"/>
    <w:rsid w:val="003903BF"/>
    <w:rsid w:val="003905A5"/>
    <w:rsid w:val="003B0BF9"/>
    <w:rsid w:val="003C0235"/>
    <w:rsid w:val="003C16DC"/>
    <w:rsid w:val="003C2624"/>
    <w:rsid w:val="003C4E40"/>
    <w:rsid w:val="003C7AEA"/>
    <w:rsid w:val="003D23E3"/>
    <w:rsid w:val="003D4330"/>
    <w:rsid w:val="003D6DD6"/>
    <w:rsid w:val="003E0791"/>
    <w:rsid w:val="003E0F91"/>
    <w:rsid w:val="003E45CF"/>
    <w:rsid w:val="003F1938"/>
    <w:rsid w:val="003F1F2D"/>
    <w:rsid w:val="003F28AC"/>
    <w:rsid w:val="003F3598"/>
    <w:rsid w:val="003F66CA"/>
    <w:rsid w:val="00401F30"/>
    <w:rsid w:val="00403A2F"/>
    <w:rsid w:val="004124B8"/>
    <w:rsid w:val="00417A7A"/>
    <w:rsid w:val="00420133"/>
    <w:rsid w:val="00426C3D"/>
    <w:rsid w:val="00432F98"/>
    <w:rsid w:val="0043377F"/>
    <w:rsid w:val="00435568"/>
    <w:rsid w:val="00442EDE"/>
    <w:rsid w:val="004454FE"/>
    <w:rsid w:val="00451F79"/>
    <w:rsid w:val="0045268E"/>
    <w:rsid w:val="00456E40"/>
    <w:rsid w:val="004622AB"/>
    <w:rsid w:val="00462D25"/>
    <w:rsid w:val="00463B4E"/>
    <w:rsid w:val="00467DE3"/>
    <w:rsid w:val="00471F27"/>
    <w:rsid w:val="00475F37"/>
    <w:rsid w:val="004875DD"/>
    <w:rsid w:val="00493BF2"/>
    <w:rsid w:val="00494F80"/>
    <w:rsid w:val="00495760"/>
    <w:rsid w:val="0049601C"/>
    <w:rsid w:val="004B02EB"/>
    <w:rsid w:val="004B5A63"/>
    <w:rsid w:val="004C0364"/>
    <w:rsid w:val="004C1FE7"/>
    <w:rsid w:val="004D0EFD"/>
    <w:rsid w:val="004D350F"/>
    <w:rsid w:val="004D6991"/>
    <w:rsid w:val="004D7640"/>
    <w:rsid w:val="004E160D"/>
    <w:rsid w:val="004E1BA2"/>
    <w:rsid w:val="004E2356"/>
    <w:rsid w:val="004E282B"/>
    <w:rsid w:val="004E29AE"/>
    <w:rsid w:val="004F0343"/>
    <w:rsid w:val="004F1524"/>
    <w:rsid w:val="0050178F"/>
    <w:rsid w:val="00502D97"/>
    <w:rsid w:val="00502E46"/>
    <w:rsid w:val="0050461A"/>
    <w:rsid w:val="00510374"/>
    <w:rsid w:val="005169EA"/>
    <w:rsid w:val="00520FE1"/>
    <w:rsid w:val="005242EC"/>
    <w:rsid w:val="00526E2C"/>
    <w:rsid w:val="00527389"/>
    <w:rsid w:val="00527D8B"/>
    <w:rsid w:val="00533206"/>
    <w:rsid w:val="005349F0"/>
    <w:rsid w:val="00541371"/>
    <w:rsid w:val="005534E6"/>
    <w:rsid w:val="00553E16"/>
    <w:rsid w:val="005555B9"/>
    <w:rsid w:val="00564C6B"/>
    <w:rsid w:val="0056696D"/>
    <w:rsid w:val="00566A2A"/>
    <w:rsid w:val="00566AD6"/>
    <w:rsid w:val="00577052"/>
    <w:rsid w:val="00577113"/>
    <w:rsid w:val="00580732"/>
    <w:rsid w:val="005826B6"/>
    <w:rsid w:val="005856D9"/>
    <w:rsid w:val="005947F0"/>
    <w:rsid w:val="00594B91"/>
    <w:rsid w:val="005B1305"/>
    <w:rsid w:val="005B1660"/>
    <w:rsid w:val="005B5888"/>
    <w:rsid w:val="005C73E8"/>
    <w:rsid w:val="005D34DD"/>
    <w:rsid w:val="005D54F2"/>
    <w:rsid w:val="005E25B2"/>
    <w:rsid w:val="005E4A3D"/>
    <w:rsid w:val="005F3BB2"/>
    <w:rsid w:val="005F4FE2"/>
    <w:rsid w:val="005F7BA4"/>
    <w:rsid w:val="006043EA"/>
    <w:rsid w:val="00604477"/>
    <w:rsid w:val="0061155F"/>
    <w:rsid w:val="00620025"/>
    <w:rsid w:val="006232F5"/>
    <w:rsid w:val="00626AC5"/>
    <w:rsid w:val="00627631"/>
    <w:rsid w:val="006335C0"/>
    <w:rsid w:val="00635B83"/>
    <w:rsid w:val="00641138"/>
    <w:rsid w:val="0064126F"/>
    <w:rsid w:val="0064127B"/>
    <w:rsid w:val="00642945"/>
    <w:rsid w:val="00644B15"/>
    <w:rsid w:val="00646244"/>
    <w:rsid w:val="0064653C"/>
    <w:rsid w:val="00647B3D"/>
    <w:rsid w:val="006538AC"/>
    <w:rsid w:val="00654F0A"/>
    <w:rsid w:val="00655F2C"/>
    <w:rsid w:val="0065758B"/>
    <w:rsid w:val="00663AF4"/>
    <w:rsid w:val="0066594E"/>
    <w:rsid w:val="0066749E"/>
    <w:rsid w:val="0067466F"/>
    <w:rsid w:val="00681F74"/>
    <w:rsid w:val="006842C0"/>
    <w:rsid w:val="00686F58"/>
    <w:rsid w:val="006936E5"/>
    <w:rsid w:val="006A31D0"/>
    <w:rsid w:val="006A3331"/>
    <w:rsid w:val="006A4B9B"/>
    <w:rsid w:val="006A4BF8"/>
    <w:rsid w:val="006A5A9B"/>
    <w:rsid w:val="006A5DEF"/>
    <w:rsid w:val="006A7C70"/>
    <w:rsid w:val="006B221B"/>
    <w:rsid w:val="006B2242"/>
    <w:rsid w:val="006B3581"/>
    <w:rsid w:val="006B6400"/>
    <w:rsid w:val="006C12A6"/>
    <w:rsid w:val="006C219D"/>
    <w:rsid w:val="006C2DFF"/>
    <w:rsid w:val="006C7AE7"/>
    <w:rsid w:val="006D4250"/>
    <w:rsid w:val="006E0366"/>
    <w:rsid w:val="006E1081"/>
    <w:rsid w:val="006E4870"/>
    <w:rsid w:val="006E587D"/>
    <w:rsid w:val="006E71F7"/>
    <w:rsid w:val="006F09C2"/>
    <w:rsid w:val="006F0FC6"/>
    <w:rsid w:val="006F193F"/>
    <w:rsid w:val="006F4690"/>
    <w:rsid w:val="006F56B9"/>
    <w:rsid w:val="00700570"/>
    <w:rsid w:val="00701AC4"/>
    <w:rsid w:val="00702CFD"/>
    <w:rsid w:val="00707161"/>
    <w:rsid w:val="00714300"/>
    <w:rsid w:val="00720585"/>
    <w:rsid w:val="007272A8"/>
    <w:rsid w:val="007306E2"/>
    <w:rsid w:val="00740D0B"/>
    <w:rsid w:val="00740EEA"/>
    <w:rsid w:val="00742254"/>
    <w:rsid w:val="007441D5"/>
    <w:rsid w:val="00746399"/>
    <w:rsid w:val="0074680C"/>
    <w:rsid w:val="00750D89"/>
    <w:rsid w:val="00751927"/>
    <w:rsid w:val="007550B3"/>
    <w:rsid w:val="007606BC"/>
    <w:rsid w:val="007606BD"/>
    <w:rsid w:val="00765B2E"/>
    <w:rsid w:val="00766BFA"/>
    <w:rsid w:val="00770E96"/>
    <w:rsid w:val="00773AF6"/>
    <w:rsid w:val="00773EC6"/>
    <w:rsid w:val="00776EE7"/>
    <w:rsid w:val="00780184"/>
    <w:rsid w:val="00781317"/>
    <w:rsid w:val="00782C47"/>
    <w:rsid w:val="0079260F"/>
    <w:rsid w:val="00795F71"/>
    <w:rsid w:val="007A0BF7"/>
    <w:rsid w:val="007A0DA7"/>
    <w:rsid w:val="007A3F62"/>
    <w:rsid w:val="007A7695"/>
    <w:rsid w:val="007A7826"/>
    <w:rsid w:val="007B00E6"/>
    <w:rsid w:val="007B1C39"/>
    <w:rsid w:val="007B3917"/>
    <w:rsid w:val="007B7A0E"/>
    <w:rsid w:val="007C18EA"/>
    <w:rsid w:val="007C7E14"/>
    <w:rsid w:val="007D1420"/>
    <w:rsid w:val="007D22A2"/>
    <w:rsid w:val="007D23D6"/>
    <w:rsid w:val="007D632A"/>
    <w:rsid w:val="007D695F"/>
    <w:rsid w:val="007D6D57"/>
    <w:rsid w:val="007E06B4"/>
    <w:rsid w:val="007E08C0"/>
    <w:rsid w:val="007E0D9D"/>
    <w:rsid w:val="007E28F5"/>
    <w:rsid w:val="007E3A2E"/>
    <w:rsid w:val="007E3BCE"/>
    <w:rsid w:val="007E4DF3"/>
    <w:rsid w:val="007E5F7A"/>
    <w:rsid w:val="007E6AAA"/>
    <w:rsid w:val="007E73AB"/>
    <w:rsid w:val="007F2EF9"/>
    <w:rsid w:val="007F6F87"/>
    <w:rsid w:val="008043BC"/>
    <w:rsid w:val="0080508B"/>
    <w:rsid w:val="008055ED"/>
    <w:rsid w:val="00811D08"/>
    <w:rsid w:val="00812AC0"/>
    <w:rsid w:val="00816479"/>
    <w:rsid w:val="008168AC"/>
    <w:rsid w:val="00816C11"/>
    <w:rsid w:val="00822B52"/>
    <w:rsid w:val="00822C45"/>
    <w:rsid w:val="00824A17"/>
    <w:rsid w:val="00830B14"/>
    <w:rsid w:val="00831629"/>
    <w:rsid w:val="00840C14"/>
    <w:rsid w:val="00840EE9"/>
    <w:rsid w:val="00842113"/>
    <w:rsid w:val="00842AD1"/>
    <w:rsid w:val="008470F2"/>
    <w:rsid w:val="00851D8B"/>
    <w:rsid w:val="00860032"/>
    <w:rsid w:val="00861998"/>
    <w:rsid w:val="00863DCA"/>
    <w:rsid w:val="0086722A"/>
    <w:rsid w:val="00867737"/>
    <w:rsid w:val="008732E6"/>
    <w:rsid w:val="00874A6E"/>
    <w:rsid w:val="00875A9D"/>
    <w:rsid w:val="00875D91"/>
    <w:rsid w:val="00885514"/>
    <w:rsid w:val="00891AF0"/>
    <w:rsid w:val="00891CFD"/>
    <w:rsid w:val="00893971"/>
    <w:rsid w:val="00894C55"/>
    <w:rsid w:val="008954E8"/>
    <w:rsid w:val="00896510"/>
    <w:rsid w:val="00896A9B"/>
    <w:rsid w:val="00896B28"/>
    <w:rsid w:val="008A4962"/>
    <w:rsid w:val="008A66C9"/>
    <w:rsid w:val="008B37B7"/>
    <w:rsid w:val="008C1794"/>
    <w:rsid w:val="008C563B"/>
    <w:rsid w:val="008C6C08"/>
    <w:rsid w:val="008C7E5C"/>
    <w:rsid w:val="008D16B8"/>
    <w:rsid w:val="008D372B"/>
    <w:rsid w:val="008E09D7"/>
    <w:rsid w:val="008E4FC1"/>
    <w:rsid w:val="008E5CBD"/>
    <w:rsid w:val="008E61BF"/>
    <w:rsid w:val="008F5220"/>
    <w:rsid w:val="0090017B"/>
    <w:rsid w:val="00903694"/>
    <w:rsid w:val="00904B72"/>
    <w:rsid w:val="00910BAE"/>
    <w:rsid w:val="009115E9"/>
    <w:rsid w:val="0091192F"/>
    <w:rsid w:val="00912458"/>
    <w:rsid w:val="0091488A"/>
    <w:rsid w:val="0091740C"/>
    <w:rsid w:val="00922C9E"/>
    <w:rsid w:val="00922E9E"/>
    <w:rsid w:val="009239EB"/>
    <w:rsid w:val="009271C0"/>
    <w:rsid w:val="00931F74"/>
    <w:rsid w:val="009337F9"/>
    <w:rsid w:val="00934582"/>
    <w:rsid w:val="00934E0C"/>
    <w:rsid w:val="00935306"/>
    <w:rsid w:val="0094176A"/>
    <w:rsid w:val="00945CE6"/>
    <w:rsid w:val="009505DA"/>
    <w:rsid w:val="00950BF1"/>
    <w:rsid w:val="00950DF4"/>
    <w:rsid w:val="00952108"/>
    <w:rsid w:val="009547D2"/>
    <w:rsid w:val="009644BB"/>
    <w:rsid w:val="00966B5F"/>
    <w:rsid w:val="00972E35"/>
    <w:rsid w:val="009734B2"/>
    <w:rsid w:val="009741D2"/>
    <w:rsid w:val="009745C0"/>
    <w:rsid w:val="009870A7"/>
    <w:rsid w:val="009907E2"/>
    <w:rsid w:val="009930D6"/>
    <w:rsid w:val="009936B8"/>
    <w:rsid w:val="009A0037"/>
    <w:rsid w:val="009A0228"/>
    <w:rsid w:val="009A1836"/>
    <w:rsid w:val="009A2654"/>
    <w:rsid w:val="009A38DD"/>
    <w:rsid w:val="009A6794"/>
    <w:rsid w:val="009B0207"/>
    <w:rsid w:val="009B37C5"/>
    <w:rsid w:val="009B5D17"/>
    <w:rsid w:val="009B5F35"/>
    <w:rsid w:val="009B61EE"/>
    <w:rsid w:val="009B6F3B"/>
    <w:rsid w:val="009B7770"/>
    <w:rsid w:val="009C15CF"/>
    <w:rsid w:val="009C5B58"/>
    <w:rsid w:val="009E1A8B"/>
    <w:rsid w:val="009E38B2"/>
    <w:rsid w:val="009E3909"/>
    <w:rsid w:val="009E53FF"/>
    <w:rsid w:val="009F0F42"/>
    <w:rsid w:val="009F25E7"/>
    <w:rsid w:val="009F2D30"/>
    <w:rsid w:val="009F572A"/>
    <w:rsid w:val="00A0244D"/>
    <w:rsid w:val="00A02966"/>
    <w:rsid w:val="00A03A77"/>
    <w:rsid w:val="00A05CE6"/>
    <w:rsid w:val="00A10FC3"/>
    <w:rsid w:val="00A2399C"/>
    <w:rsid w:val="00A25C20"/>
    <w:rsid w:val="00A27E98"/>
    <w:rsid w:val="00A35E02"/>
    <w:rsid w:val="00A364B7"/>
    <w:rsid w:val="00A406EF"/>
    <w:rsid w:val="00A432A8"/>
    <w:rsid w:val="00A4485C"/>
    <w:rsid w:val="00A53F16"/>
    <w:rsid w:val="00A6073E"/>
    <w:rsid w:val="00A60D70"/>
    <w:rsid w:val="00A61146"/>
    <w:rsid w:val="00A772AD"/>
    <w:rsid w:val="00A80FDB"/>
    <w:rsid w:val="00A85518"/>
    <w:rsid w:val="00A92096"/>
    <w:rsid w:val="00A935DA"/>
    <w:rsid w:val="00A93640"/>
    <w:rsid w:val="00A93DEF"/>
    <w:rsid w:val="00A948BF"/>
    <w:rsid w:val="00AA4209"/>
    <w:rsid w:val="00AA4648"/>
    <w:rsid w:val="00AA55ED"/>
    <w:rsid w:val="00AB35AD"/>
    <w:rsid w:val="00AB6561"/>
    <w:rsid w:val="00AC50CF"/>
    <w:rsid w:val="00AC5884"/>
    <w:rsid w:val="00AC58B1"/>
    <w:rsid w:val="00AD0171"/>
    <w:rsid w:val="00AE1295"/>
    <w:rsid w:val="00AE5567"/>
    <w:rsid w:val="00AE73AA"/>
    <w:rsid w:val="00AF1239"/>
    <w:rsid w:val="00AF3AB8"/>
    <w:rsid w:val="00AF7C42"/>
    <w:rsid w:val="00B07343"/>
    <w:rsid w:val="00B1213A"/>
    <w:rsid w:val="00B130ED"/>
    <w:rsid w:val="00B15FDD"/>
    <w:rsid w:val="00B16192"/>
    <w:rsid w:val="00B16480"/>
    <w:rsid w:val="00B2165C"/>
    <w:rsid w:val="00B24C87"/>
    <w:rsid w:val="00B2576B"/>
    <w:rsid w:val="00B31BDD"/>
    <w:rsid w:val="00B34AB7"/>
    <w:rsid w:val="00B40D44"/>
    <w:rsid w:val="00B47986"/>
    <w:rsid w:val="00B5648E"/>
    <w:rsid w:val="00B56C2C"/>
    <w:rsid w:val="00B607CD"/>
    <w:rsid w:val="00B622AD"/>
    <w:rsid w:val="00B6729B"/>
    <w:rsid w:val="00B67377"/>
    <w:rsid w:val="00B83DE2"/>
    <w:rsid w:val="00B84835"/>
    <w:rsid w:val="00B91FC6"/>
    <w:rsid w:val="00B9226B"/>
    <w:rsid w:val="00B927DC"/>
    <w:rsid w:val="00B95045"/>
    <w:rsid w:val="00BA104A"/>
    <w:rsid w:val="00BA20AA"/>
    <w:rsid w:val="00BA3344"/>
    <w:rsid w:val="00BA4D7E"/>
    <w:rsid w:val="00BC2075"/>
    <w:rsid w:val="00BC562B"/>
    <w:rsid w:val="00BD4425"/>
    <w:rsid w:val="00BD7F5E"/>
    <w:rsid w:val="00BE7666"/>
    <w:rsid w:val="00BE7C51"/>
    <w:rsid w:val="00BE7DC1"/>
    <w:rsid w:val="00BF2A90"/>
    <w:rsid w:val="00C01761"/>
    <w:rsid w:val="00C01F9A"/>
    <w:rsid w:val="00C03C0C"/>
    <w:rsid w:val="00C05E15"/>
    <w:rsid w:val="00C07AF6"/>
    <w:rsid w:val="00C10270"/>
    <w:rsid w:val="00C200B1"/>
    <w:rsid w:val="00C20668"/>
    <w:rsid w:val="00C24A45"/>
    <w:rsid w:val="00C24D49"/>
    <w:rsid w:val="00C25B49"/>
    <w:rsid w:val="00C264A6"/>
    <w:rsid w:val="00C26520"/>
    <w:rsid w:val="00C30F18"/>
    <w:rsid w:val="00C348FC"/>
    <w:rsid w:val="00C35679"/>
    <w:rsid w:val="00C36745"/>
    <w:rsid w:val="00C36EA7"/>
    <w:rsid w:val="00C4032D"/>
    <w:rsid w:val="00C40900"/>
    <w:rsid w:val="00C42475"/>
    <w:rsid w:val="00C43873"/>
    <w:rsid w:val="00C468ED"/>
    <w:rsid w:val="00C47037"/>
    <w:rsid w:val="00C53849"/>
    <w:rsid w:val="00C54FEC"/>
    <w:rsid w:val="00C55F33"/>
    <w:rsid w:val="00C56F75"/>
    <w:rsid w:val="00C66852"/>
    <w:rsid w:val="00C676A2"/>
    <w:rsid w:val="00C722A3"/>
    <w:rsid w:val="00C77477"/>
    <w:rsid w:val="00C82691"/>
    <w:rsid w:val="00C83131"/>
    <w:rsid w:val="00C8678C"/>
    <w:rsid w:val="00C9634E"/>
    <w:rsid w:val="00CA1AEE"/>
    <w:rsid w:val="00CA3E60"/>
    <w:rsid w:val="00CA747D"/>
    <w:rsid w:val="00CB0786"/>
    <w:rsid w:val="00CB1824"/>
    <w:rsid w:val="00CB19C9"/>
    <w:rsid w:val="00CC0883"/>
    <w:rsid w:val="00CC0982"/>
    <w:rsid w:val="00CC0D2D"/>
    <w:rsid w:val="00CC4FDB"/>
    <w:rsid w:val="00CC720B"/>
    <w:rsid w:val="00CD162D"/>
    <w:rsid w:val="00CD1DC6"/>
    <w:rsid w:val="00CD2BFB"/>
    <w:rsid w:val="00CD2F04"/>
    <w:rsid w:val="00CD44BF"/>
    <w:rsid w:val="00CE5657"/>
    <w:rsid w:val="00CF262B"/>
    <w:rsid w:val="00CF3D9F"/>
    <w:rsid w:val="00CF6439"/>
    <w:rsid w:val="00CF7143"/>
    <w:rsid w:val="00D02DDA"/>
    <w:rsid w:val="00D03ADD"/>
    <w:rsid w:val="00D1104D"/>
    <w:rsid w:val="00D133F8"/>
    <w:rsid w:val="00D138E7"/>
    <w:rsid w:val="00D14A3E"/>
    <w:rsid w:val="00D21D7F"/>
    <w:rsid w:val="00D22281"/>
    <w:rsid w:val="00D24501"/>
    <w:rsid w:val="00D37AAD"/>
    <w:rsid w:val="00D4052F"/>
    <w:rsid w:val="00D46784"/>
    <w:rsid w:val="00D46DCF"/>
    <w:rsid w:val="00D50278"/>
    <w:rsid w:val="00D507E2"/>
    <w:rsid w:val="00D52A56"/>
    <w:rsid w:val="00D548C7"/>
    <w:rsid w:val="00D56A82"/>
    <w:rsid w:val="00D606CA"/>
    <w:rsid w:val="00D857CF"/>
    <w:rsid w:val="00D86311"/>
    <w:rsid w:val="00D864CF"/>
    <w:rsid w:val="00D900BB"/>
    <w:rsid w:val="00D903DA"/>
    <w:rsid w:val="00D97474"/>
    <w:rsid w:val="00DB1AB8"/>
    <w:rsid w:val="00DB50C9"/>
    <w:rsid w:val="00DB6C09"/>
    <w:rsid w:val="00DC09E9"/>
    <w:rsid w:val="00DC2DAF"/>
    <w:rsid w:val="00DC4012"/>
    <w:rsid w:val="00DC5AA3"/>
    <w:rsid w:val="00DC5EDB"/>
    <w:rsid w:val="00DC7938"/>
    <w:rsid w:val="00DD4186"/>
    <w:rsid w:val="00DD5E1F"/>
    <w:rsid w:val="00DE07F2"/>
    <w:rsid w:val="00DF027E"/>
    <w:rsid w:val="00DF2BB9"/>
    <w:rsid w:val="00DF461F"/>
    <w:rsid w:val="00DF68F8"/>
    <w:rsid w:val="00DF776E"/>
    <w:rsid w:val="00DF77D6"/>
    <w:rsid w:val="00E01657"/>
    <w:rsid w:val="00E04A9C"/>
    <w:rsid w:val="00E071CE"/>
    <w:rsid w:val="00E14CA4"/>
    <w:rsid w:val="00E157B2"/>
    <w:rsid w:val="00E17899"/>
    <w:rsid w:val="00E21304"/>
    <w:rsid w:val="00E21457"/>
    <w:rsid w:val="00E3015C"/>
    <w:rsid w:val="00E31F13"/>
    <w:rsid w:val="00E32710"/>
    <w:rsid w:val="00E3716B"/>
    <w:rsid w:val="00E4149D"/>
    <w:rsid w:val="00E465CE"/>
    <w:rsid w:val="00E5323B"/>
    <w:rsid w:val="00E53D86"/>
    <w:rsid w:val="00E560D2"/>
    <w:rsid w:val="00E56801"/>
    <w:rsid w:val="00E56936"/>
    <w:rsid w:val="00E7010F"/>
    <w:rsid w:val="00E71E92"/>
    <w:rsid w:val="00E751EA"/>
    <w:rsid w:val="00E8749E"/>
    <w:rsid w:val="00E874D8"/>
    <w:rsid w:val="00E90C01"/>
    <w:rsid w:val="00E90D0B"/>
    <w:rsid w:val="00E92B1F"/>
    <w:rsid w:val="00E96DC6"/>
    <w:rsid w:val="00EA0908"/>
    <w:rsid w:val="00EA130F"/>
    <w:rsid w:val="00EA486E"/>
    <w:rsid w:val="00EA5229"/>
    <w:rsid w:val="00EB17D4"/>
    <w:rsid w:val="00EB32C5"/>
    <w:rsid w:val="00EB3AFC"/>
    <w:rsid w:val="00EC6E12"/>
    <w:rsid w:val="00EC766A"/>
    <w:rsid w:val="00ED25EE"/>
    <w:rsid w:val="00ED2D59"/>
    <w:rsid w:val="00ED5F8C"/>
    <w:rsid w:val="00EE0AC0"/>
    <w:rsid w:val="00EE2F62"/>
    <w:rsid w:val="00EE33A5"/>
    <w:rsid w:val="00EE6183"/>
    <w:rsid w:val="00EF072A"/>
    <w:rsid w:val="00EF5D79"/>
    <w:rsid w:val="00F00B5E"/>
    <w:rsid w:val="00F01E73"/>
    <w:rsid w:val="00F04C70"/>
    <w:rsid w:val="00F12351"/>
    <w:rsid w:val="00F160EC"/>
    <w:rsid w:val="00F17FDC"/>
    <w:rsid w:val="00F26232"/>
    <w:rsid w:val="00F277CC"/>
    <w:rsid w:val="00F3460D"/>
    <w:rsid w:val="00F363B6"/>
    <w:rsid w:val="00F464CE"/>
    <w:rsid w:val="00F57AC1"/>
    <w:rsid w:val="00F57B0C"/>
    <w:rsid w:val="00F6121C"/>
    <w:rsid w:val="00F679E9"/>
    <w:rsid w:val="00F67B4B"/>
    <w:rsid w:val="00F70F88"/>
    <w:rsid w:val="00F7186E"/>
    <w:rsid w:val="00F721FA"/>
    <w:rsid w:val="00F72D88"/>
    <w:rsid w:val="00F77376"/>
    <w:rsid w:val="00F77F67"/>
    <w:rsid w:val="00F8145B"/>
    <w:rsid w:val="00F82318"/>
    <w:rsid w:val="00F855BB"/>
    <w:rsid w:val="00F85BFB"/>
    <w:rsid w:val="00F85DC5"/>
    <w:rsid w:val="00F87284"/>
    <w:rsid w:val="00F92A52"/>
    <w:rsid w:val="00F95701"/>
    <w:rsid w:val="00F97FD1"/>
    <w:rsid w:val="00FA0B11"/>
    <w:rsid w:val="00FA2114"/>
    <w:rsid w:val="00FA45D1"/>
    <w:rsid w:val="00FB2782"/>
    <w:rsid w:val="00FB4965"/>
    <w:rsid w:val="00FC3FDB"/>
    <w:rsid w:val="00FD3303"/>
    <w:rsid w:val="00FD48F3"/>
    <w:rsid w:val="00FD4D97"/>
    <w:rsid w:val="00FE01C3"/>
    <w:rsid w:val="00FE71B1"/>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FFAFDC1"/>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unhideWhenUsed/>
    <w:qFormat/>
    <w:rsid w:val="007E0D9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1A5A01"/>
    <w:rPr>
      <w:sz w:val="16"/>
      <w:szCs w:val="16"/>
    </w:rPr>
  </w:style>
  <w:style w:type="paragraph" w:styleId="CommentText">
    <w:name w:val="annotation text"/>
    <w:basedOn w:val="Normal"/>
    <w:link w:val="CommentTextChar"/>
    <w:uiPriority w:val="99"/>
    <w:semiHidden/>
    <w:unhideWhenUsed/>
    <w:rsid w:val="001A5A01"/>
    <w:rPr>
      <w:sz w:val="20"/>
      <w:szCs w:val="20"/>
    </w:rPr>
  </w:style>
  <w:style w:type="character" w:customStyle="1" w:styleId="CommentTextChar">
    <w:name w:val="Comment Text Char"/>
    <w:basedOn w:val="DefaultParagraphFont"/>
    <w:link w:val="CommentText"/>
    <w:uiPriority w:val="99"/>
    <w:semiHidden/>
    <w:rsid w:val="001A5A0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A5A01"/>
    <w:rPr>
      <w:b/>
      <w:bCs/>
    </w:rPr>
  </w:style>
  <w:style w:type="character" w:customStyle="1" w:styleId="CommentSubjectChar">
    <w:name w:val="Comment Subject Char"/>
    <w:basedOn w:val="CommentTextChar"/>
    <w:link w:val="CommentSubject"/>
    <w:uiPriority w:val="99"/>
    <w:semiHidden/>
    <w:rsid w:val="001A5A01"/>
    <w:rPr>
      <w:rFonts w:ascii="Times New Roman" w:eastAsia="Times New Roman" w:hAnsi="Times New Roman" w:cs="Times New Roman"/>
      <w:b/>
      <w:bCs/>
      <w:sz w:val="20"/>
      <w:szCs w:val="20"/>
      <w:lang w:eastAsia="lv-LV"/>
    </w:rPr>
  </w:style>
  <w:style w:type="character" w:customStyle="1" w:styleId="Heading3Char">
    <w:name w:val="Heading 3 Char"/>
    <w:basedOn w:val="DefaultParagraphFont"/>
    <w:link w:val="Heading3"/>
    <w:uiPriority w:val="9"/>
    <w:rsid w:val="007E0D9D"/>
    <w:rPr>
      <w:rFonts w:asciiTheme="majorHAnsi" w:eastAsiaTheme="majorEastAsia" w:hAnsiTheme="majorHAnsi" w:cstheme="majorBidi"/>
      <w:color w:val="1F4D78" w:themeColor="accent1" w:themeShade="7F"/>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50152809">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867138836">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23553116">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62868772">
      <w:bodyDiv w:val="1"/>
      <w:marLeft w:val="0"/>
      <w:marRight w:val="0"/>
      <w:marTop w:val="0"/>
      <w:marBottom w:val="0"/>
      <w:divBdr>
        <w:top w:val="none" w:sz="0" w:space="0" w:color="auto"/>
        <w:left w:val="none" w:sz="0" w:space="0" w:color="auto"/>
        <w:bottom w:val="none" w:sz="0" w:space="0" w:color="auto"/>
        <w:right w:val="none" w:sz="0" w:space="0" w:color="auto"/>
      </w:divBdr>
    </w:div>
    <w:div w:id="172217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8517-par-arkartejas-situacijas-izsludinasan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ese.Veinberga@l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318517-par-arkartejas-situacijas-izsludinasanu" TargetMode="External"/><Relationship Id="rId4" Type="http://schemas.openxmlformats.org/officeDocument/2006/relationships/settings" Target="settings.xml"/><Relationship Id="rId9" Type="http://schemas.openxmlformats.org/officeDocument/2006/relationships/hyperlink" Target="https://likumi.lv/ta/id/6848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3AEFF-2BC8-4661-B698-46A83853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11584</Words>
  <Characters>6603</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Labklājības ministrija</Company>
  <LinksUpToDate>false</LinksUpToDate>
  <CharactersWithSpaces>18151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I.Veinberga</dc:creator>
  <dc:description>60008558, Inese.Veinberga@lm.gov.lv,</dc:description>
  <cp:lastModifiedBy>Inese Veinberga</cp:lastModifiedBy>
  <cp:revision>3</cp:revision>
  <cp:lastPrinted>2020-12-10T13:52:00Z</cp:lastPrinted>
  <dcterms:created xsi:type="dcterms:W3CDTF">2021-03-02T08:15:00Z</dcterms:created>
  <dcterms:modified xsi:type="dcterms:W3CDTF">2021-03-02T08:16:00Z</dcterms:modified>
</cp:coreProperties>
</file>