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C6" w:rsidRDefault="00425FC6" w:rsidP="00425FC6">
      <w:pPr>
        <w:ind w:firstLine="0"/>
        <w:jc w:val="center"/>
        <w:rPr>
          <w:rFonts w:eastAsia="Times New Roman"/>
          <w:b/>
          <w:sz w:val="24"/>
          <w:szCs w:val="24"/>
          <w:lang w:eastAsia="lv-LV"/>
        </w:rPr>
      </w:pPr>
      <w:bookmarkStart w:id="0" w:name="_Hlk57113643"/>
      <w:r w:rsidRPr="00F02D0C">
        <w:rPr>
          <w:rFonts w:eastAsia="Times New Roman"/>
          <w:b/>
          <w:sz w:val="24"/>
          <w:szCs w:val="24"/>
          <w:lang w:eastAsia="lv-LV"/>
        </w:rPr>
        <w:t>Ministru kabineta noteikumu projekt</w:t>
      </w:r>
      <w:r>
        <w:rPr>
          <w:rFonts w:eastAsia="Times New Roman"/>
          <w:b/>
          <w:sz w:val="24"/>
          <w:szCs w:val="24"/>
          <w:lang w:eastAsia="lv-LV"/>
        </w:rPr>
        <w:t>u:</w:t>
      </w:r>
    </w:p>
    <w:p w:rsidR="00425FC6" w:rsidRPr="00F02D0C" w:rsidRDefault="00425FC6" w:rsidP="00425FC6">
      <w:pPr>
        <w:ind w:firstLine="0"/>
        <w:jc w:val="center"/>
        <w:rPr>
          <w:b/>
          <w:bCs/>
          <w:sz w:val="24"/>
          <w:szCs w:val="24"/>
        </w:rPr>
      </w:pPr>
      <w:r w:rsidRPr="00F02D0C">
        <w:rPr>
          <w:rFonts w:eastAsia="Times New Roman"/>
          <w:b/>
          <w:sz w:val="24"/>
          <w:szCs w:val="24"/>
          <w:lang w:eastAsia="lv-LV"/>
        </w:rPr>
        <w:t xml:space="preserve"> „</w:t>
      </w:r>
      <w:r w:rsidRPr="00F02D0C">
        <w:rPr>
          <w:b/>
          <w:bCs/>
          <w:sz w:val="24"/>
          <w:szCs w:val="24"/>
        </w:rPr>
        <w:t>Grozījum</w:t>
      </w:r>
      <w:r w:rsidR="003218B8">
        <w:rPr>
          <w:b/>
          <w:bCs/>
          <w:sz w:val="24"/>
          <w:szCs w:val="24"/>
        </w:rPr>
        <w:t>s</w:t>
      </w:r>
      <w:r w:rsidRPr="00F02D0C">
        <w:rPr>
          <w:b/>
          <w:bCs/>
          <w:sz w:val="24"/>
          <w:szCs w:val="24"/>
        </w:rPr>
        <w:t xml:space="preserve"> Ministru kabineta 2018. gada 30.oktobra noteikumos Nr. 667</w:t>
      </w:r>
    </w:p>
    <w:p w:rsidR="00425FC6" w:rsidRDefault="00425FC6" w:rsidP="00425FC6">
      <w:pPr>
        <w:pStyle w:val="BodyText"/>
        <w:spacing w:after="0"/>
        <w:jc w:val="center"/>
        <w:rPr>
          <w:b/>
          <w:szCs w:val="24"/>
        </w:rPr>
      </w:pPr>
      <w:r w:rsidRPr="00F02D0C">
        <w:rPr>
          <w:b/>
          <w:bCs/>
          <w:szCs w:val="24"/>
        </w:rPr>
        <w:t>“</w:t>
      </w:r>
      <w:proofErr w:type="spellStart"/>
      <w:r w:rsidRPr="00F02D0C">
        <w:rPr>
          <w:b/>
          <w:bCs/>
          <w:szCs w:val="24"/>
        </w:rPr>
        <w:t>Adopcijas</w:t>
      </w:r>
      <w:proofErr w:type="spellEnd"/>
      <w:r w:rsidRPr="00F02D0C">
        <w:rPr>
          <w:b/>
          <w:bCs/>
          <w:szCs w:val="24"/>
        </w:rPr>
        <w:t xml:space="preserve"> </w:t>
      </w:r>
      <w:proofErr w:type="spellStart"/>
      <w:r w:rsidRPr="00F02D0C">
        <w:rPr>
          <w:b/>
          <w:bCs/>
          <w:szCs w:val="24"/>
        </w:rPr>
        <w:t>kārtība</w:t>
      </w:r>
      <w:proofErr w:type="spellEnd"/>
      <w:r w:rsidRPr="00F02D0C">
        <w:rPr>
          <w:b/>
          <w:szCs w:val="24"/>
        </w:rPr>
        <w:t>”</w:t>
      </w:r>
      <w:r>
        <w:rPr>
          <w:b/>
          <w:szCs w:val="24"/>
        </w:rPr>
        <w:t>”;</w:t>
      </w:r>
    </w:p>
    <w:p w:rsidR="00425FC6" w:rsidRPr="00425FC6" w:rsidRDefault="00425FC6" w:rsidP="00425FC6">
      <w:pPr>
        <w:ind w:firstLine="0"/>
        <w:jc w:val="center"/>
        <w:rPr>
          <w:rFonts w:eastAsia="Times New Roman"/>
          <w:b/>
          <w:bCs/>
          <w:noProof/>
          <w:sz w:val="24"/>
          <w:szCs w:val="24"/>
        </w:rPr>
      </w:pPr>
      <w:bookmarkStart w:id="1" w:name="_Hlk52350003"/>
      <w:r w:rsidRPr="00425FC6">
        <w:rPr>
          <w:rFonts w:eastAsia="Times New Roman"/>
          <w:b/>
          <w:bCs/>
          <w:noProof/>
          <w:sz w:val="24"/>
          <w:szCs w:val="24"/>
        </w:rPr>
        <w:t>“Grozījumi Ministru kabineta 2018. gada 26.jūnija noteikumos Nr. 354</w:t>
      </w:r>
    </w:p>
    <w:p w:rsidR="00425FC6" w:rsidRPr="00425FC6" w:rsidRDefault="00425FC6" w:rsidP="00425FC6">
      <w:pPr>
        <w:shd w:val="clear" w:color="auto" w:fill="FFFFFF"/>
        <w:ind w:firstLine="0"/>
        <w:jc w:val="center"/>
        <w:rPr>
          <w:rFonts w:eastAsia="Times New Roman"/>
          <w:b/>
          <w:bCs/>
          <w:noProof/>
          <w:sz w:val="24"/>
          <w:szCs w:val="24"/>
        </w:rPr>
      </w:pPr>
      <w:r w:rsidRPr="00425FC6">
        <w:rPr>
          <w:rFonts w:eastAsia="Times New Roman"/>
          <w:b/>
          <w:bCs/>
          <w:noProof/>
          <w:sz w:val="24"/>
          <w:szCs w:val="24"/>
        </w:rPr>
        <w:t>“</w:t>
      </w:r>
      <w:r w:rsidRPr="00425FC6">
        <w:rPr>
          <w:rFonts w:eastAsia="Times New Roman"/>
          <w:b/>
          <w:bCs/>
          <w:sz w:val="24"/>
          <w:szCs w:val="24"/>
          <w:lang w:eastAsia="lv-LV"/>
        </w:rPr>
        <w:t>Audžuģimenes noteikumi</w:t>
      </w:r>
      <w:r w:rsidRPr="00425FC6">
        <w:rPr>
          <w:rFonts w:eastAsia="Times New Roman"/>
          <w:b/>
          <w:bCs/>
          <w:noProof/>
          <w:sz w:val="24"/>
          <w:szCs w:val="24"/>
        </w:rPr>
        <w:t>””;</w:t>
      </w:r>
    </w:p>
    <w:p w:rsidR="00425FC6" w:rsidRPr="00425FC6" w:rsidRDefault="00425FC6" w:rsidP="00425FC6">
      <w:pPr>
        <w:ind w:firstLine="0"/>
        <w:jc w:val="center"/>
        <w:rPr>
          <w:rFonts w:eastAsia="Times New Roman"/>
          <w:b/>
          <w:bCs/>
          <w:noProof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t>“</w:t>
      </w:r>
      <w:r w:rsidRPr="00425FC6">
        <w:rPr>
          <w:rFonts w:eastAsia="Times New Roman"/>
          <w:b/>
          <w:bCs/>
          <w:noProof/>
          <w:sz w:val="24"/>
          <w:szCs w:val="24"/>
        </w:rPr>
        <w:t>Grozījumi Ministru kabineta 2014. gada 1.aprīļa noteikumos Nr. 173</w:t>
      </w:r>
    </w:p>
    <w:p w:rsidR="00425FC6" w:rsidRPr="00425FC6" w:rsidRDefault="00425FC6" w:rsidP="00425FC6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  <w:lang w:eastAsia="lv-LV"/>
        </w:rPr>
      </w:pPr>
      <w:r w:rsidRPr="00425FC6">
        <w:rPr>
          <w:rFonts w:eastAsia="Times New Roman"/>
          <w:b/>
          <w:bCs/>
          <w:noProof/>
          <w:sz w:val="24"/>
          <w:szCs w:val="24"/>
        </w:rPr>
        <w:t>“</w:t>
      </w:r>
      <w:r w:rsidRPr="00425FC6">
        <w:rPr>
          <w:rFonts w:eastAsia="Times New Roman"/>
          <w:b/>
          <w:bCs/>
          <w:sz w:val="24"/>
          <w:szCs w:val="24"/>
          <w:lang w:eastAsia="lv-LV"/>
        </w:rPr>
        <w:t>Noteikumi par kārtību, kādā apgūst speciālās zināšanas bērnu tiesību aizsardzības jomā, šo zināšanu saturu un apjomu</w:t>
      </w:r>
      <w:r w:rsidRPr="00425FC6">
        <w:rPr>
          <w:rFonts w:eastAsia="Times New Roman"/>
          <w:b/>
          <w:bCs/>
          <w:noProof/>
          <w:sz w:val="24"/>
          <w:szCs w:val="24"/>
        </w:rPr>
        <w:t>””</w:t>
      </w:r>
      <w:bookmarkEnd w:id="1"/>
      <w:r w:rsidRPr="00425FC6">
        <w:rPr>
          <w:b/>
          <w:sz w:val="24"/>
          <w:szCs w:val="24"/>
        </w:rPr>
        <w:t xml:space="preserve"> sākotnējās ietekmes novērtējuma ziņojums (anotācija)</w:t>
      </w:r>
    </w:p>
    <w:bookmarkEnd w:id="0"/>
    <w:p w:rsidR="00425FC6" w:rsidRDefault="00425FC6" w:rsidP="00425FC6">
      <w:pPr>
        <w:pStyle w:val="BodyText"/>
        <w:spacing w:after="0"/>
        <w:jc w:val="center"/>
        <w:rPr>
          <w:b/>
          <w:bCs/>
          <w:sz w:val="26"/>
          <w:szCs w:val="26"/>
          <w:lang w:val="lv-LV"/>
        </w:rPr>
      </w:pPr>
    </w:p>
    <w:tbl>
      <w:tblPr>
        <w:tblW w:w="5000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418"/>
        <w:gridCol w:w="5920"/>
      </w:tblGrid>
      <w:tr w:rsidR="00425FC6" w:rsidTr="00944AF8">
        <w:trPr>
          <w:trHeight w:val="4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25FC6" w:rsidRDefault="00425FC6" w:rsidP="00944AF8">
            <w:pPr>
              <w:pStyle w:val="NoSpacing"/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sv-SE"/>
              </w:rPr>
              <w:t>Tiesību aka projektu anotācijas kopsavilkums</w:t>
            </w:r>
          </w:p>
        </w:tc>
      </w:tr>
      <w:tr w:rsidR="00425FC6" w:rsidTr="00944AF8">
        <w:trPr>
          <w:trHeight w:val="405"/>
        </w:trPr>
        <w:tc>
          <w:tcPr>
            <w:tcW w:w="18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25FC6" w:rsidRPr="00D21412" w:rsidRDefault="00425FC6" w:rsidP="00944AF8">
            <w:pPr>
              <w:pStyle w:val="NoSpacing"/>
            </w:pPr>
            <w:r w:rsidRPr="00D21412">
              <w:rPr>
                <w:iCs/>
              </w:rPr>
              <w:t>Mērķis, risinājums un projekta spēkā stāšanās laiks (500 zīmes bez atstarpēm)</w:t>
            </w:r>
          </w:p>
        </w:tc>
        <w:tc>
          <w:tcPr>
            <w:tcW w:w="3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218B8" w:rsidRDefault="003218B8" w:rsidP="00425FC6">
            <w:pPr>
              <w:pStyle w:val="Header"/>
              <w:jc w:val="both"/>
              <w:rPr>
                <w:iCs/>
                <w:sz w:val="24"/>
                <w:szCs w:val="24"/>
              </w:rPr>
            </w:pPr>
            <w:r w:rsidRPr="00775387">
              <w:rPr>
                <w:bCs/>
                <w:sz w:val="24"/>
                <w:szCs w:val="24"/>
              </w:rPr>
              <w:t>Ministru kabineta 2018. gada 30.oktobra noteikum</w:t>
            </w:r>
            <w:r>
              <w:rPr>
                <w:bCs/>
                <w:sz w:val="24"/>
                <w:szCs w:val="24"/>
              </w:rPr>
              <w:t>i</w:t>
            </w:r>
            <w:r w:rsidRPr="00775387">
              <w:rPr>
                <w:bCs/>
                <w:sz w:val="24"/>
                <w:szCs w:val="24"/>
              </w:rPr>
              <w:t xml:space="preserve"> Nr. 667 “Adopcijas kārtība</w:t>
            </w:r>
            <w:r w:rsidRPr="00775387">
              <w:rPr>
                <w:sz w:val="24"/>
                <w:szCs w:val="24"/>
              </w:rPr>
              <w:t xml:space="preserve">”, </w:t>
            </w:r>
            <w:r w:rsidRPr="00425FC6">
              <w:rPr>
                <w:rFonts w:eastAsia="Times New Roman"/>
                <w:bCs/>
                <w:noProof/>
                <w:sz w:val="24"/>
                <w:szCs w:val="24"/>
              </w:rPr>
              <w:t>Ministru kabineta 2018. gada 26.jūnija noteikum</w:t>
            </w:r>
            <w:r>
              <w:rPr>
                <w:rFonts w:eastAsia="Times New Roman"/>
                <w:bCs/>
                <w:noProof/>
                <w:sz w:val="24"/>
                <w:szCs w:val="24"/>
              </w:rPr>
              <w:t>i</w:t>
            </w:r>
            <w:r w:rsidRPr="00425FC6">
              <w:rPr>
                <w:rFonts w:eastAsia="Times New Roman"/>
                <w:bCs/>
                <w:noProof/>
                <w:sz w:val="24"/>
                <w:szCs w:val="24"/>
              </w:rPr>
              <w:t xml:space="preserve"> Nr. 354</w:t>
            </w:r>
            <w:r w:rsidRPr="00775387">
              <w:rPr>
                <w:rFonts w:eastAsia="Times New Roman"/>
                <w:bCs/>
                <w:noProof/>
                <w:sz w:val="24"/>
                <w:szCs w:val="24"/>
              </w:rPr>
              <w:t xml:space="preserve"> </w:t>
            </w:r>
            <w:r w:rsidRPr="00425FC6">
              <w:rPr>
                <w:rFonts w:eastAsia="Times New Roman"/>
                <w:bCs/>
                <w:noProof/>
                <w:sz w:val="24"/>
                <w:szCs w:val="24"/>
              </w:rPr>
              <w:t>“</w:t>
            </w:r>
            <w:r w:rsidRPr="00425FC6">
              <w:rPr>
                <w:rFonts w:eastAsia="Times New Roman"/>
                <w:bCs/>
                <w:sz w:val="24"/>
                <w:szCs w:val="24"/>
                <w:lang w:eastAsia="lv-LV"/>
              </w:rPr>
              <w:t>Audžuģimenes noteikumi</w:t>
            </w:r>
            <w:r w:rsidRPr="00425FC6">
              <w:rPr>
                <w:rFonts w:eastAsia="Times New Roman"/>
                <w:bCs/>
                <w:noProof/>
                <w:sz w:val="24"/>
                <w:szCs w:val="24"/>
              </w:rPr>
              <w:t>”</w:t>
            </w:r>
            <w:r w:rsidRPr="00775387">
              <w:rPr>
                <w:rFonts w:eastAsia="Times New Roman"/>
                <w:bCs/>
                <w:noProof/>
                <w:sz w:val="24"/>
                <w:szCs w:val="24"/>
              </w:rPr>
              <w:t xml:space="preserve"> un </w:t>
            </w:r>
            <w:r w:rsidRPr="00425FC6">
              <w:rPr>
                <w:rFonts w:eastAsia="Times New Roman"/>
                <w:bCs/>
                <w:noProof/>
                <w:sz w:val="24"/>
                <w:szCs w:val="24"/>
              </w:rPr>
              <w:t>Ministru kabineta 2014. gada 1.aprīļa noteikum</w:t>
            </w:r>
            <w:r>
              <w:rPr>
                <w:rFonts w:eastAsia="Times New Roman"/>
                <w:bCs/>
                <w:noProof/>
                <w:sz w:val="24"/>
                <w:szCs w:val="24"/>
              </w:rPr>
              <w:t>i</w:t>
            </w:r>
            <w:r w:rsidRPr="00425FC6">
              <w:rPr>
                <w:rFonts w:eastAsia="Times New Roman"/>
                <w:bCs/>
                <w:noProof/>
                <w:sz w:val="24"/>
                <w:szCs w:val="24"/>
              </w:rPr>
              <w:t xml:space="preserve"> Nr. 173</w:t>
            </w:r>
            <w:r w:rsidRPr="00775387">
              <w:rPr>
                <w:rFonts w:eastAsia="Times New Roman"/>
                <w:bCs/>
                <w:noProof/>
                <w:sz w:val="24"/>
                <w:szCs w:val="24"/>
              </w:rPr>
              <w:t xml:space="preserve"> </w:t>
            </w:r>
            <w:r w:rsidRPr="00425FC6">
              <w:rPr>
                <w:rFonts w:eastAsia="Times New Roman"/>
                <w:bCs/>
                <w:noProof/>
                <w:sz w:val="24"/>
                <w:szCs w:val="24"/>
              </w:rPr>
              <w:t>“</w:t>
            </w:r>
            <w:r w:rsidRPr="00425FC6">
              <w:rPr>
                <w:rFonts w:eastAsia="Times New Roman"/>
                <w:bCs/>
                <w:sz w:val="24"/>
                <w:szCs w:val="24"/>
                <w:lang w:eastAsia="lv-LV"/>
              </w:rPr>
              <w:t>Noteikumi par kārtību, kādā apgūst speciālās zināšanas bērnu tiesību aizsardzības jomā, šo zināšanu saturu un apjomu</w:t>
            </w:r>
            <w:r w:rsidRPr="00425FC6">
              <w:rPr>
                <w:rFonts w:eastAsia="Times New Roman"/>
                <w:bCs/>
                <w:noProof/>
                <w:sz w:val="24"/>
                <w:szCs w:val="24"/>
              </w:rPr>
              <w:t>”</w:t>
            </w:r>
            <w:r>
              <w:rPr>
                <w:rFonts w:eastAsia="Times New Roman"/>
                <w:bCs/>
                <w:noProof/>
                <w:sz w:val="24"/>
                <w:szCs w:val="24"/>
              </w:rPr>
              <w:t xml:space="preserve"> (turpmāk – noteikumi) paredz mācību un izglītības programmu apgūt klātienē.</w:t>
            </w:r>
          </w:p>
          <w:p w:rsidR="00034798" w:rsidRDefault="00034798" w:rsidP="00034798">
            <w:pPr>
              <w:ind w:firstLine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ab/>
            </w:r>
            <w:r w:rsidR="00425FC6" w:rsidRPr="00425FC6">
              <w:rPr>
                <w:iCs/>
                <w:sz w:val="24"/>
                <w:szCs w:val="24"/>
              </w:rPr>
              <w:t>Saistībā ar Covid-19 in</w:t>
            </w:r>
            <w:r w:rsidR="00425FC6" w:rsidRPr="00425FC6">
              <w:rPr>
                <w:bCs/>
                <w:sz w:val="24"/>
                <w:szCs w:val="24"/>
                <w:shd w:val="clear" w:color="auto" w:fill="FFFFFF"/>
              </w:rPr>
              <w:t>fekcijas izplatīb</w:t>
            </w:r>
            <w:r w:rsidR="00050712">
              <w:rPr>
                <w:bCs/>
                <w:sz w:val="24"/>
                <w:szCs w:val="24"/>
                <w:shd w:val="clear" w:color="auto" w:fill="FFFFFF"/>
              </w:rPr>
              <w:t xml:space="preserve">u </w:t>
            </w:r>
            <w:r w:rsidR="00425FC6" w:rsidRPr="00425FC6">
              <w:rPr>
                <w:bCs/>
                <w:sz w:val="24"/>
                <w:szCs w:val="24"/>
                <w:shd w:val="clear" w:color="auto" w:fill="FFFFFF"/>
              </w:rPr>
              <w:t>Latvijā un pasaulē</w:t>
            </w:r>
            <w:r w:rsidR="00425FC6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Labklājības ministrija ir pārskatījusi prasību pēc klātienes mācībām un secinājusi, ka mērķi - apgūt teorētisko daļu mācību un izglītības programmām ir iespēja sasniegt šīs zināšanas apgūstot arī attālināti. </w:t>
            </w:r>
          </w:p>
          <w:p w:rsidR="00B52436" w:rsidRDefault="00B52436" w:rsidP="00B52436">
            <w:pPr>
              <w:ind w:firstLine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ab/>
              <w:t>Turklāt uzskatāms, ka patlaban mainās izpratne par nepieciešamību klātienes kontaktiem, ja ir iespēja plānoto mērķi sasniegt attālināti.</w:t>
            </w:r>
          </w:p>
          <w:p w:rsidR="00425FC6" w:rsidRPr="00964609" w:rsidRDefault="00B52436" w:rsidP="00B52436">
            <w:pPr>
              <w:ind w:firstLine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ab/>
            </w:r>
            <w:r w:rsidR="00EA5727">
              <w:rPr>
                <w:bCs/>
                <w:sz w:val="24"/>
                <w:szCs w:val="24"/>
                <w:shd w:val="clear" w:color="auto" w:fill="FFFFFF"/>
              </w:rPr>
              <w:t xml:space="preserve">Ņemot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vērā minēto, </w:t>
            </w:r>
            <w:r w:rsidR="00704464">
              <w:rPr>
                <w:bCs/>
                <w:sz w:val="24"/>
                <w:szCs w:val="24"/>
                <w:shd w:val="clear" w:color="auto" w:fill="FFFFFF"/>
              </w:rPr>
              <w:t xml:space="preserve">ir iespēja rast veiksmīgus risinājumus </w:t>
            </w:r>
            <w:r>
              <w:rPr>
                <w:bCs/>
                <w:sz w:val="24"/>
                <w:szCs w:val="24"/>
                <w:shd w:val="clear" w:color="auto" w:fill="FFFFFF"/>
              </w:rPr>
              <w:t>klātienes mācības aizstājot ar attālinātajām mācībām</w:t>
            </w:r>
            <w:r w:rsidR="00704464">
              <w:rPr>
                <w:bCs/>
                <w:sz w:val="24"/>
                <w:szCs w:val="24"/>
                <w:shd w:val="clear" w:color="auto" w:fill="FFFFFF"/>
              </w:rPr>
              <w:t xml:space="preserve">. Līdz ar to kā obligātu </w:t>
            </w:r>
            <w:r w:rsidR="00964609">
              <w:rPr>
                <w:bCs/>
                <w:sz w:val="24"/>
                <w:szCs w:val="24"/>
                <w:shd w:val="clear" w:color="auto" w:fill="FFFFFF"/>
              </w:rPr>
              <w:t>priekšnosacījumu nav nepieciešams izvirzīt klātienes nodarbības</w:t>
            </w:r>
            <w:r w:rsidR="003218B8">
              <w:rPr>
                <w:bCs/>
                <w:sz w:val="24"/>
                <w:szCs w:val="24"/>
                <w:shd w:val="clear" w:color="auto" w:fill="FFFFFF"/>
              </w:rPr>
              <w:t>, ko patlaban paredz noteikumi un tiek rasti risinājumi mācību un izglītības programm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as </w:t>
            </w:r>
            <w:r w:rsidR="003218B8">
              <w:rPr>
                <w:bCs/>
                <w:sz w:val="24"/>
                <w:szCs w:val="24"/>
                <w:shd w:val="clear" w:color="auto" w:fill="FFFFFF"/>
              </w:rPr>
              <w:t xml:space="preserve">apgūt arī attālināti. </w:t>
            </w:r>
          </w:p>
        </w:tc>
      </w:tr>
    </w:tbl>
    <w:p w:rsidR="00425FC6" w:rsidRDefault="00425FC6" w:rsidP="00425FC6">
      <w:pPr>
        <w:shd w:val="clear" w:color="auto" w:fill="FFFFFF"/>
        <w:tabs>
          <w:tab w:val="left" w:pos="7725"/>
        </w:tabs>
        <w:ind w:firstLine="300"/>
        <w:rPr>
          <w:rFonts w:eastAsia="Times New Roman"/>
          <w:iCs/>
          <w:sz w:val="26"/>
          <w:szCs w:val="26"/>
          <w:lang w:eastAsia="lv-LV"/>
        </w:rPr>
      </w:pPr>
      <w:r>
        <w:rPr>
          <w:rFonts w:eastAsia="Times New Roman"/>
          <w:iCs/>
          <w:sz w:val="26"/>
          <w:szCs w:val="26"/>
          <w:lang w:eastAsia="lv-LV"/>
        </w:rPr>
        <w:tab/>
      </w:r>
    </w:p>
    <w:p w:rsidR="00425FC6" w:rsidRDefault="00425FC6" w:rsidP="00425FC6">
      <w:pPr>
        <w:shd w:val="clear" w:color="auto" w:fill="FFFFFF"/>
        <w:ind w:firstLine="300"/>
        <w:jc w:val="center"/>
        <w:rPr>
          <w:rFonts w:eastAsia="Times New Roman"/>
          <w:iCs/>
          <w:sz w:val="26"/>
          <w:szCs w:val="26"/>
          <w:lang w:eastAsia="lv-LV"/>
        </w:rPr>
      </w:pPr>
    </w:p>
    <w:tbl>
      <w:tblPr>
        <w:tblpPr w:leftFromText="180" w:rightFromText="180" w:vertAnchor="text" w:tblpX="-112" w:tblpY="1"/>
        <w:tblOverlap w:val="never"/>
        <w:tblW w:w="505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851"/>
        <w:gridCol w:w="6025"/>
      </w:tblGrid>
      <w:tr w:rsidR="00425FC6" w:rsidTr="00815A66">
        <w:trPr>
          <w:trHeight w:val="241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5FC6" w:rsidRDefault="00425FC6" w:rsidP="00944AF8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425FC6" w:rsidTr="00815A66">
        <w:trPr>
          <w:trHeight w:val="191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Default="00425FC6" w:rsidP="00944AF8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D21412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D21412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006142" w:rsidRDefault="00775387" w:rsidP="00944AF8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ab/>
            </w:r>
            <w:r w:rsidR="002A688A">
              <w:rPr>
                <w:rFonts w:eastAsia="Times New Roman"/>
                <w:sz w:val="24"/>
                <w:szCs w:val="24"/>
                <w:lang w:eastAsia="lv-LV"/>
              </w:rPr>
              <w:t>Labklājības ministrijas in</w:t>
            </w:r>
            <w:r w:rsidR="009B64F5">
              <w:rPr>
                <w:rFonts w:eastAsia="Times New Roman"/>
                <w:sz w:val="24"/>
                <w:szCs w:val="24"/>
                <w:lang w:eastAsia="lv-LV"/>
              </w:rPr>
              <w:t xml:space="preserve">iciatīva. </w:t>
            </w:r>
            <w:r w:rsidR="002A688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25FC6" w:rsidTr="00815A66">
        <w:trPr>
          <w:trHeight w:val="776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Default="00425FC6" w:rsidP="00944AF8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25FC6" w:rsidRPr="00D21412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D21412">
              <w:rPr>
                <w:rFonts w:eastAsia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tabs>
                <w:tab w:val="left" w:pos="1260"/>
              </w:tabs>
              <w:rPr>
                <w:rFonts w:eastAsia="Times New Roman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sz w:val="26"/>
                <w:szCs w:val="26"/>
                <w:lang w:eastAsia="lv-LV"/>
              </w:rPr>
              <w:tab/>
            </w: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</w:p>
        </w:tc>
        <w:tc>
          <w:tcPr>
            <w:tcW w:w="3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F19BB" w:rsidRDefault="00775387" w:rsidP="00050712">
            <w:pPr>
              <w:ind w:firstLine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lastRenderedPageBreak/>
              <w:tab/>
            </w:r>
            <w:r w:rsidR="003218B8">
              <w:rPr>
                <w:bCs/>
                <w:sz w:val="24"/>
                <w:szCs w:val="24"/>
              </w:rPr>
              <w:t xml:space="preserve">Noteikumi </w:t>
            </w:r>
            <w:r w:rsidR="004C63B4">
              <w:rPr>
                <w:rFonts w:eastAsia="Times New Roman"/>
                <w:bCs/>
                <w:noProof/>
                <w:sz w:val="24"/>
                <w:szCs w:val="24"/>
              </w:rPr>
              <w:t xml:space="preserve">paredz </w:t>
            </w:r>
            <w:r w:rsidR="00E84626">
              <w:rPr>
                <w:rFonts w:eastAsia="Times New Roman"/>
                <w:bCs/>
                <w:noProof/>
                <w:sz w:val="24"/>
                <w:szCs w:val="24"/>
              </w:rPr>
              <w:t xml:space="preserve">klātienes </w:t>
            </w:r>
            <w:r w:rsidR="0043055E">
              <w:rPr>
                <w:rFonts w:eastAsia="Times New Roman"/>
                <w:bCs/>
                <w:noProof/>
                <w:sz w:val="24"/>
                <w:szCs w:val="24"/>
              </w:rPr>
              <w:t>māc</w:t>
            </w:r>
            <w:r w:rsidR="00050712">
              <w:rPr>
                <w:rFonts w:eastAsia="Times New Roman"/>
                <w:bCs/>
                <w:noProof/>
                <w:sz w:val="24"/>
                <w:szCs w:val="24"/>
              </w:rPr>
              <w:t>ī</w:t>
            </w:r>
            <w:r w:rsidR="0043055E">
              <w:rPr>
                <w:rFonts w:eastAsia="Times New Roman"/>
                <w:bCs/>
                <w:noProof/>
                <w:sz w:val="24"/>
                <w:szCs w:val="24"/>
              </w:rPr>
              <w:t>bu programmu</w:t>
            </w:r>
            <w:r w:rsidR="00A62193">
              <w:rPr>
                <w:rFonts w:eastAsia="Times New Roman"/>
                <w:bCs/>
                <w:noProof/>
                <w:sz w:val="24"/>
                <w:szCs w:val="24"/>
              </w:rPr>
              <w:t xml:space="preserve"> adoptētājiem, audžuģimenēm, specializētajām audžuģimenēm un </w:t>
            </w:r>
            <w:r w:rsidR="00A62193" w:rsidRPr="00006142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="00A62193" w:rsidRPr="00006142">
              <w:rPr>
                <w:bCs/>
                <w:sz w:val="24"/>
                <w:szCs w:val="24"/>
                <w:shd w:val="clear" w:color="auto" w:fill="FFFFFF"/>
              </w:rPr>
              <w:t>ubjekt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>iem (speciālistiem)</w:t>
            </w:r>
            <w:r w:rsidR="00A62193" w:rsidRPr="00006142">
              <w:rPr>
                <w:bCs/>
                <w:sz w:val="24"/>
                <w:szCs w:val="24"/>
                <w:shd w:val="clear" w:color="auto" w:fill="FFFFFF"/>
              </w:rPr>
              <w:t>, kuriem nepieciešamas speciālās zināšanas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62193" w:rsidRPr="00006142">
              <w:rPr>
                <w:bCs/>
                <w:sz w:val="24"/>
                <w:szCs w:val="24"/>
                <w:shd w:val="clear" w:color="auto" w:fill="FFFFFF"/>
              </w:rPr>
              <w:t>bērnu tiesību aizsardzības jomā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 xml:space="preserve"> (turpmāk – </w:t>
            </w:r>
            <w:proofErr w:type="spellStart"/>
            <w:r w:rsidR="00A62193">
              <w:rPr>
                <w:bCs/>
                <w:sz w:val="24"/>
                <w:szCs w:val="24"/>
                <w:shd w:val="clear" w:color="auto" w:fill="FFFFFF"/>
              </w:rPr>
              <w:t>mērķgrupa</w:t>
            </w:r>
            <w:proofErr w:type="spellEnd"/>
            <w:r w:rsidR="00A62193">
              <w:rPr>
                <w:bCs/>
                <w:sz w:val="24"/>
                <w:szCs w:val="24"/>
                <w:shd w:val="clear" w:color="auto" w:fill="FFFFFF"/>
              </w:rPr>
              <w:t>).</w:t>
            </w:r>
            <w:r w:rsidR="0043055E">
              <w:rPr>
                <w:rFonts w:eastAsia="Times New Roman"/>
                <w:bCs/>
                <w:noProof/>
                <w:sz w:val="24"/>
                <w:szCs w:val="24"/>
              </w:rPr>
              <w:t xml:space="preserve"> </w:t>
            </w:r>
            <w:r w:rsidR="00B52436">
              <w:rPr>
                <w:rFonts w:eastAsia="Times New Roman"/>
                <w:bCs/>
                <w:noProof/>
                <w:sz w:val="24"/>
                <w:szCs w:val="24"/>
              </w:rPr>
              <w:t>Pārskatot noteikumos iekļauto prasību klātienes mācībām, Labklājības ministrija ir secināj</w:t>
            </w:r>
            <w:r w:rsidR="00BF01A0">
              <w:rPr>
                <w:rFonts w:eastAsia="Times New Roman"/>
                <w:bCs/>
                <w:noProof/>
                <w:sz w:val="24"/>
                <w:szCs w:val="24"/>
              </w:rPr>
              <w:t>a</w:t>
            </w:r>
            <w:r w:rsidR="00050712">
              <w:rPr>
                <w:bCs/>
                <w:sz w:val="24"/>
                <w:szCs w:val="24"/>
                <w:shd w:val="clear" w:color="auto" w:fill="FFFFFF"/>
              </w:rPr>
              <w:t>, ka mācību programmas teorētisko daļu var apgūt attālināti</w:t>
            </w:r>
            <w:r w:rsidR="00B52436">
              <w:rPr>
                <w:bCs/>
                <w:sz w:val="24"/>
                <w:szCs w:val="24"/>
                <w:shd w:val="clear" w:color="auto" w:fill="FFFFFF"/>
              </w:rPr>
              <w:t xml:space="preserve">, neizvirzot priekšnosacījumu tikai klātienes nodarbībām. </w:t>
            </w:r>
            <w:r w:rsidR="00050712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F01A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19D5" w:rsidRPr="00F47A49" w:rsidRDefault="009F19BB" w:rsidP="00815A66">
            <w:pPr>
              <w:ind w:firstLine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ab/>
              <w:t xml:space="preserve">Pašreizējā situācija </w:t>
            </w:r>
            <w:r w:rsidR="00815A66">
              <w:rPr>
                <w:bCs/>
                <w:sz w:val="24"/>
                <w:szCs w:val="24"/>
                <w:shd w:val="clear" w:color="auto" w:fill="FFFFFF"/>
              </w:rPr>
              <w:t>iezīmē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>, ka</w:t>
            </w:r>
            <w:r w:rsidR="00815A66">
              <w:rPr>
                <w:bCs/>
                <w:sz w:val="24"/>
                <w:szCs w:val="24"/>
                <w:shd w:val="clear" w:color="auto" w:fill="FFFFFF"/>
              </w:rPr>
              <w:t xml:space="preserve"> jau patlaban un nākotnē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 xml:space="preserve"> būs nepieciešamība</w:t>
            </w:r>
            <w:r w:rsidR="00815A6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 xml:space="preserve">steidzami </w:t>
            </w:r>
            <w:r w:rsidR="00815A66">
              <w:rPr>
                <w:bCs/>
                <w:sz w:val="24"/>
                <w:szCs w:val="24"/>
                <w:shd w:val="clear" w:color="auto" w:fill="FFFFFF"/>
              </w:rPr>
              <w:t>rast risinājumus negaidītam situācijām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 xml:space="preserve"> un</w:t>
            </w:r>
            <w:r w:rsidR="00815A66">
              <w:rPr>
                <w:bCs/>
                <w:sz w:val="24"/>
                <w:szCs w:val="24"/>
                <w:shd w:val="clear" w:color="auto" w:fill="FFFFFF"/>
              </w:rPr>
              <w:t xml:space="preserve"> attīst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>īties, lai</w:t>
            </w:r>
            <w:r w:rsidR="00815A66">
              <w:rPr>
                <w:bCs/>
                <w:sz w:val="24"/>
                <w:szCs w:val="24"/>
                <w:shd w:val="clear" w:color="auto" w:fill="FFFFFF"/>
              </w:rPr>
              <w:t xml:space="preserve"> turpināt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>u</w:t>
            </w:r>
            <w:r w:rsidR="00815A66">
              <w:rPr>
                <w:bCs/>
                <w:sz w:val="24"/>
                <w:szCs w:val="24"/>
                <w:shd w:val="clear" w:color="auto" w:fill="FFFFFF"/>
              </w:rPr>
              <w:t xml:space="preserve"> ierastos ikdienas pienākumus pēc iespējas mazāk traucējot ikdienas darbu un procesu norisi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815A6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>Tādējādi</w:t>
            </w:r>
            <w:r w:rsidR="00815A66">
              <w:rPr>
                <w:bCs/>
                <w:sz w:val="24"/>
                <w:szCs w:val="24"/>
                <w:shd w:val="clear" w:color="auto" w:fill="FFFFFF"/>
              </w:rPr>
              <w:t xml:space="preserve"> Labklājības ministrija saskata nepieciešamību turpmāk paredzēt noteikumos iekļautās </w:t>
            </w:r>
            <w:r w:rsidR="00815A66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mācības paredzēt apgūt gan klātienē, gan attālināti, lai pielāgojoties dažādām situācijām turpinātu ierasto procesu norisi – apmācīt </w:t>
            </w:r>
            <w:proofErr w:type="spellStart"/>
            <w:r w:rsidR="00A62193">
              <w:rPr>
                <w:bCs/>
                <w:sz w:val="24"/>
                <w:szCs w:val="24"/>
                <w:shd w:val="clear" w:color="auto" w:fill="FFFFFF"/>
              </w:rPr>
              <w:t>mērķgrupu</w:t>
            </w:r>
            <w:proofErr w:type="spellEnd"/>
            <w:r w:rsidR="00A62193">
              <w:rPr>
                <w:bCs/>
                <w:sz w:val="24"/>
                <w:szCs w:val="24"/>
                <w:shd w:val="clear" w:color="auto" w:fill="FFFFFF"/>
              </w:rPr>
              <w:t>, lai nodrošinātu bez vecāku gādības palikušo bērnu uzņemšanu ģimenēs, kā arī, lai nodrošinātu speci</w:t>
            </w:r>
            <w:r w:rsidR="00F47A49">
              <w:rPr>
                <w:bCs/>
                <w:sz w:val="24"/>
                <w:szCs w:val="24"/>
                <w:shd w:val="clear" w:color="auto" w:fill="FFFFFF"/>
              </w:rPr>
              <w:t>ā</w:t>
            </w:r>
            <w:r w:rsidR="00A62193">
              <w:rPr>
                <w:bCs/>
                <w:sz w:val="24"/>
                <w:szCs w:val="24"/>
                <w:shd w:val="clear" w:color="auto" w:fill="FFFFFF"/>
              </w:rPr>
              <w:t xml:space="preserve">listu </w:t>
            </w:r>
            <w:r w:rsidR="00F47A49">
              <w:rPr>
                <w:bCs/>
                <w:sz w:val="24"/>
                <w:szCs w:val="24"/>
                <w:shd w:val="clear" w:color="auto" w:fill="FFFFFF"/>
              </w:rPr>
              <w:t xml:space="preserve">speciālo zināšanu apguvi atbilstoši Bērnu tiesību aizsardzības </w:t>
            </w:r>
            <w:r w:rsidR="00F47A49" w:rsidRPr="00F47A49">
              <w:rPr>
                <w:bCs/>
                <w:sz w:val="24"/>
                <w:szCs w:val="24"/>
                <w:shd w:val="clear" w:color="auto" w:fill="FFFFFF"/>
              </w:rPr>
              <w:t>likuma</w:t>
            </w:r>
            <w:r w:rsidR="00F47A4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47A49" w:rsidRPr="00F47A49">
              <w:rPr>
                <w:bCs/>
                <w:sz w:val="24"/>
                <w:szCs w:val="24"/>
                <w:shd w:val="clear" w:color="auto" w:fill="FFFFFF"/>
              </w:rPr>
              <w:t>5.</w:t>
            </w:r>
            <w:r w:rsidR="00F47A49" w:rsidRPr="00F47A49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F47A49" w:rsidRPr="00F47A49">
              <w:rPr>
                <w:bCs/>
                <w:sz w:val="24"/>
                <w:szCs w:val="24"/>
                <w:shd w:val="clear" w:color="auto" w:fill="FFFFFF"/>
              </w:rPr>
              <w:t xml:space="preserve"> pantā noteiktajiem subjektiem. </w:t>
            </w:r>
          </w:p>
          <w:p w:rsidR="006E09F5" w:rsidRDefault="00BD19D5" w:rsidP="00815A66">
            <w:pPr>
              <w:ind w:firstLine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ab/>
            </w:r>
            <w:r w:rsidR="006E09F5" w:rsidRPr="006E09F5">
              <w:rPr>
                <w:bCs/>
                <w:sz w:val="24"/>
                <w:szCs w:val="24"/>
                <w:shd w:val="clear" w:color="auto" w:fill="FFFFFF"/>
              </w:rPr>
              <w:t>Mācību programmas saturs adoptēt</w:t>
            </w:r>
            <w:r w:rsidR="006E09F5">
              <w:rPr>
                <w:bCs/>
                <w:sz w:val="24"/>
                <w:szCs w:val="24"/>
                <w:shd w:val="clear" w:color="auto" w:fill="FFFFFF"/>
              </w:rPr>
              <w:t>ā</w:t>
            </w:r>
            <w:r w:rsidR="006E09F5" w:rsidRPr="006E09F5">
              <w:rPr>
                <w:bCs/>
                <w:sz w:val="24"/>
                <w:szCs w:val="24"/>
                <w:shd w:val="clear" w:color="auto" w:fill="FFFFFF"/>
              </w:rPr>
              <w:t>jiem</w:t>
            </w:r>
            <w:r w:rsidR="003218B8">
              <w:rPr>
                <w:bCs/>
                <w:sz w:val="24"/>
                <w:szCs w:val="24"/>
                <w:shd w:val="clear" w:color="auto" w:fill="FFFFFF"/>
              </w:rPr>
              <w:t>,</w:t>
            </w:r>
            <w:r w:rsidR="006E09F5" w:rsidRPr="006E09F5">
              <w:rPr>
                <w:bCs/>
                <w:sz w:val="24"/>
                <w:szCs w:val="24"/>
                <w:shd w:val="clear" w:color="auto" w:fill="FFFFFF"/>
              </w:rPr>
              <w:t xml:space="preserve"> audžuģimenēm</w:t>
            </w:r>
            <w:r w:rsidR="003218B8">
              <w:rPr>
                <w:bCs/>
                <w:sz w:val="24"/>
                <w:szCs w:val="24"/>
                <w:shd w:val="clear" w:color="auto" w:fill="FFFFFF"/>
              </w:rPr>
              <w:t xml:space="preserve"> un</w:t>
            </w:r>
            <w:r w:rsidR="00F47A49">
              <w:rPr>
                <w:bCs/>
                <w:sz w:val="24"/>
                <w:szCs w:val="24"/>
                <w:shd w:val="clear" w:color="auto" w:fill="FFFFFF"/>
              </w:rPr>
              <w:t xml:space="preserve"> specializētajām audžuģimenēm</w:t>
            </w:r>
            <w:r w:rsidR="006E09F5" w:rsidRPr="006E09F5">
              <w:rPr>
                <w:bCs/>
                <w:sz w:val="24"/>
                <w:szCs w:val="24"/>
                <w:shd w:val="clear" w:color="auto" w:fill="FFFFFF"/>
              </w:rPr>
              <w:t xml:space="preserve"> paredz  </w:t>
            </w:r>
            <w:r w:rsidR="006E09F5" w:rsidRPr="006E09F5">
              <w:rPr>
                <w:sz w:val="24"/>
                <w:szCs w:val="24"/>
                <w:shd w:val="clear" w:color="auto" w:fill="FFFFFF"/>
              </w:rPr>
              <w:t>teorētiskās un praktiskās nodarbības</w:t>
            </w:r>
            <w:r w:rsidR="006E09F5">
              <w:rPr>
                <w:bCs/>
                <w:sz w:val="24"/>
                <w:szCs w:val="24"/>
                <w:shd w:val="clear" w:color="auto" w:fill="FFFFFF"/>
              </w:rPr>
              <w:t xml:space="preserve">. Arī praktiskās nodarbības paredzēts organizēt attālināti, piemēram, darbs grupās, darba grupu prezentācijas, situāciju izspēle, analīze u.c., pēc nepieciešamības grupu sadalot mazākās grupās tiešsaistes platformā. </w:t>
            </w:r>
          </w:p>
          <w:p w:rsidR="00F2510D" w:rsidRPr="00F2510D" w:rsidRDefault="00F2510D" w:rsidP="00815A66">
            <w:pPr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ab/>
            </w:r>
            <w:r w:rsidRPr="00F2510D">
              <w:rPr>
                <w:sz w:val="24"/>
                <w:szCs w:val="24"/>
                <w:shd w:val="clear" w:color="auto" w:fill="FFFFFF"/>
              </w:rPr>
              <w:t>Izglītības programmas</w:t>
            </w:r>
            <w:r w:rsidRPr="00F2510D">
              <w:rPr>
                <w:bCs/>
                <w:sz w:val="24"/>
                <w:szCs w:val="24"/>
                <w:shd w:val="clear" w:color="auto" w:fill="FFFFFF"/>
              </w:rPr>
              <w:t xml:space="preserve"> subjekti</w:t>
            </w:r>
            <w:r>
              <w:rPr>
                <w:bCs/>
                <w:sz w:val="24"/>
                <w:szCs w:val="24"/>
                <w:shd w:val="clear" w:color="auto" w:fill="FFFFFF"/>
              </w:rPr>
              <w:t>em (speciālistiem)</w:t>
            </w:r>
            <w:r w:rsidRPr="00F2510D">
              <w:rPr>
                <w:bCs/>
                <w:sz w:val="24"/>
                <w:szCs w:val="24"/>
                <w:shd w:val="clear" w:color="auto" w:fill="FFFFFF"/>
              </w:rPr>
              <w:t>, kuriem nepieciešamas speciālās zināšanas bērnu tiesību aizsardzības jomā</w:t>
            </w:r>
            <w:r w:rsidR="006E33E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2510D">
              <w:rPr>
                <w:sz w:val="24"/>
                <w:szCs w:val="24"/>
                <w:shd w:val="clear" w:color="auto" w:fill="FFFFFF"/>
              </w:rPr>
              <w:t>izstrādā un pēc saskaņošanas ar Valsts bērnu tiesību aizsardzības inspekciju (turpmāk – inspekcija) īsteno izglītības iestādes un ministriju padotības iestādes, kuru nolikumos ir paredzēts veikt izglītojošu darbību.</w:t>
            </w:r>
            <w:r w:rsidR="006E33E0">
              <w:rPr>
                <w:sz w:val="24"/>
                <w:szCs w:val="24"/>
                <w:shd w:val="clear" w:color="auto" w:fill="FFFFFF"/>
              </w:rPr>
              <w:t xml:space="preserve"> Izglītības programmās paredzētās praktiskās nodarbības </w:t>
            </w:r>
            <w:r w:rsidR="006E33E0">
              <w:rPr>
                <w:bCs/>
                <w:sz w:val="24"/>
                <w:szCs w:val="24"/>
                <w:shd w:val="clear" w:color="auto" w:fill="FFFFFF"/>
              </w:rPr>
              <w:t xml:space="preserve"> paredzēts organizēt attālināti, piemēram, darbs grupās, darba grupu prezentācijas, situāciju izspēle, analīze u.c., pēc nepieciešamības grupu sadalot mazākās grupās tiešsaistes platformā.</w:t>
            </w:r>
          </w:p>
          <w:p w:rsidR="00815A66" w:rsidRPr="009B64F5" w:rsidRDefault="006E09F5" w:rsidP="009B64F5">
            <w:pPr>
              <w:ind w:firstLine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ab/>
            </w:r>
            <w:r w:rsidRPr="006E09F5">
              <w:rPr>
                <w:bCs/>
                <w:sz w:val="24"/>
                <w:szCs w:val="24"/>
                <w:shd w:val="clear" w:color="auto" w:fill="FFFFFF"/>
              </w:rPr>
              <w:t>Noteikumos paredzētā prakses daļa jāapgūst atbilstoši noteikumiem.</w:t>
            </w:r>
            <w:r w:rsidR="00F47A4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09F5">
              <w:rPr>
                <w:bCs/>
                <w:sz w:val="24"/>
                <w:szCs w:val="24"/>
                <w:shd w:val="clear" w:color="auto" w:fill="FFFFFF"/>
              </w:rPr>
              <w:t>P</w:t>
            </w:r>
            <w:r w:rsidRPr="006E09F5">
              <w:rPr>
                <w:sz w:val="24"/>
                <w:szCs w:val="24"/>
                <w:shd w:val="clear" w:color="auto" w:fill="FFFFFF"/>
              </w:rPr>
              <w:t>rakse –</w:t>
            </w:r>
            <w:r w:rsidR="00F47A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E09F5">
              <w:rPr>
                <w:sz w:val="24"/>
                <w:szCs w:val="24"/>
                <w:shd w:val="clear" w:color="auto" w:fill="FFFFFF"/>
              </w:rPr>
              <w:t xml:space="preserve">pieredze ar </w:t>
            </w:r>
            <w:proofErr w:type="spellStart"/>
            <w:r w:rsidRPr="006E09F5">
              <w:rPr>
                <w:sz w:val="24"/>
                <w:szCs w:val="24"/>
                <w:shd w:val="clear" w:color="auto" w:fill="FFFFFF"/>
              </w:rPr>
              <w:t>ārpusģimenes</w:t>
            </w:r>
            <w:proofErr w:type="spellEnd"/>
            <w:r w:rsidRPr="006E09F5">
              <w:rPr>
                <w:sz w:val="24"/>
                <w:szCs w:val="24"/>
                <w:shd w:val="clear" w:color="auto" w:fill="FFFFFF"/>
              </w:rPr>
              <w:t xml:space="preserve"> aprūpē esošiem bērniem, piemēram, brīvprātīgais darbs bērnu aprūpes iestādē, krīzes centrā, dienas centrā, bērnu nometnēs trenera pavadībā).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E09F5">
              <w:rPr>
                <w:sz w:val="24"/>
                <w:szCs w:val="24"/>
                <w:shd w:val="clear" w:color="auto" w:fill="FFFFFF"/>
              </w:rPr>
              <w:t>Prakses daļa tiek organizēta individuāli katrai ģimenei</w:t>
            </w:r>
            <w:r w:rsidR="00764F33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425FC6" w:rsidRPr="003A0D4B" w:rsidTr="00815A66">
        <w:trPr>
          <w:trHeight w:val="451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Default="00425FC6" w:rsidP="00944AF8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5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3A0D4B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3A0D4B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3A0D4B" w:rsidRDefault="00815A6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Valsts Bērnu tiesību aizsardzības inspekcija. </w:t>
            </w:r>
            <w:r w:rsidR="00425FC6" w:rsidRPr="003A0D4B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25FC6" w:rsidRPr="003A0D4B" w:rsidTr="00815A66">
        <w:trPr>
          <w:trHeight w:val="291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Default="00425FC6" w:rsidP="00944AF8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3A0D4B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3A0D4B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3A0D4B" w:rsidRDefault="00425FC6" w:rsidP="00944AF8">
            <w:pPr>
              <w:tabs>
                <w:tab w:val="left" w:pos="885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3A0D4B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425FC6" w:rsidRDefault="00425FC6" w:rsidP="00425FC6">
      <w:pPr>
        <w:pStyle w:val="naisf"/>
        <w:spacing w:before="0" w:after="0"/>
        <w:ind w:firstLine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br w:type="textWrapping" w:clear="all"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"/>
        <w:gridCol w:w="2441"/>
        <w:gridCol w:w="6082"/>
      </w:tblGrid>
      <w:tr w:rsidR="00425FC6" w:rsidTr="00944AF8">
        <w:trPr>
          <w:trHeight w:val="5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C6" w:rsidRDefault="00425FC6" w:rsidP="00944AF8">
            <w:pPr>
              <w:ind w:firstLine="300"/>
              <w:jc w:val="center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425FC6" w:rsidTr="003218B8">
        <w:trPr>
          <w:trHeight w:val="33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Default="00425FC6" w:rsidP="00944AF8">
            <w:pPr>
              <w:rPr>
                <w:rFonts w:eastAsia="Calibri"/>
                <w:iCs/>
                <w:sz w:val="26"/>
                <w:szCs w:val="26"/>
                <w:lang w:eastAsia="lv-LV"/>
              </w:rPr>
            </w:pPr>
            <w:r>
              <w:rPr>
                <w:rFonts w:eastAsia="Calibri"/>
                <w:iCs/>
                <w:sz w:val="26"/>
                <w:szCs w:val="26"/>
                <w:lang w:eastAsia="lv-LV"/>
              </w:rPr>
              <w:lastRenderedPageBreak/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Pr="003A0D4B" w:rsidRDefault="00425FC6" w:rsidP="00944AF8">
            <w:pPr>
              <w:ind w:firstLine="0"/>
              <w:rPr>
                <w:rFonts w:eastAsia="Calibri"/>
                <w:iCs/>
                <w:sz w:val="24"/>
                <w:szCs w:val="24"/>
                <w:lang w:eastAsia="lv-LV"/>
              </w:rPr>
            </w:pPr>
            <w:r w:rsidRPr="003A0D4B">
              <w:rPr>
                <w:rFonts w:eastAsia="Calibri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3A0D4B">
              <w:rPr>
                <w:rFonts w:eastAsia="Calibri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3A0D4B">
              <w:rPr>
                <w:rFonts w:eastAsia="Calibri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DF" w:rsidRPr="00BE08E9" w:rsidRDefault="002B55DF" w:rsidP="00944AF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Potenciālie adoptētāji, potenciālās un esošās audžuģimenes,</w:t>
            </w:r>
            <w:r w:rsidR="00F47A49">
              <w:rPr>
                <w:sz w:val="24"/>
                <w:szCs w:val="24"/>
              </w:rPr>
              <w:t xml:space="preserve"> specializētās audžuģimenes un</w:t>
            </w:r>
            <w:r>
              <w:rPr>
                <w:sz w:val="24"/>
                <w:szCs w:val="24"/>
              </w:rPr>
              <w:t xml:space="preserve"> </w:t>
            </w:r>
            <w:r w:rsidRPr="00BE08E9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Pr="00BE08E9">
              <w:rPr>
                <w:bCs/>
                <w:sz w:val="24"/>
                <w:szCs w:val="24"/>
                <w:shd w:val="clear" w:color="auto" w:fill="FFFFFF"/>
              </w:rPr>
              <w:t>ubjekti (speciālisti), kuriem nepieciešamas speciālās zināšanas bērnu tiesību aizsardzības jomā.</w:t>
            </w:r>
          </w:p>
          <w:p w:rsidR="00425FC6" w:rsidRDefault="00BE08E9" w:rsidP="00944AF8">
            <w:pPr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BE08E9">
              <w:rPr>
                <w:sz w:val="24"/>
                <w:szCs w:val="24"/>
                <w:shd w:val="clear" w:color="auto" w:fill="FFFFFF"/>
              </w:rPr>
              <w:t>2019.gadā ar bāriņtiesas lēmumu – 244 bāriņtiesu lēmumi (personas un laulātie) atzīti par piemērotiem adoptētāja statusam, ar bāriņtiesas lēmumu 2019.gadā audžuģimenes statuss piešķirts 712 audžuģimenēm</w:t>
            </w:r>
            <w:r>
              <w:rPr>
                <w:sz w:val="24"/>
                <w:szCs w:val="24"/>
                <w:shd w:val="clear" w:color="auto" w:fill="FFFFFF"/>
              </w:rPr>
              <w:t xml:space="preserve"> (personām un laulātie). </w:t>
            </w:r>
          </w:p>
          <w:p w:rsidR="00A46995" w:rsidRPr="00A46995" w:rsidRDefault="00BE08E9" w:rsidP="00944AF8">
            <w:pPr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A46995">
              <w:rPr>
                <w:bCs/>
                <w:sz w:val="24"/>
                <w:szCs w:val="24"/>
                <w:shd w:val="clear" w:color="auto" w:fill="FFFFFF"/>
              </w:rPr>
              <w:t>Subjekti (speciālisti), kuriem nepieciešamas speciālās zināšanas bērnu tiesību aizsardzības jom</w:t>
            </w:r>
            <w:r w:rsidR="00A46995" w:rsidRPr="00A46995">
              <w:rPr>
                <w:bCs/>
                <w:sz w:val="24"/>
                <w:szCs w:val="24"/>
                <w:shd w:val="clear" w:color="auto" w:fill="FFFFFF"/>
              </w:rPr>
              <w:t xml:space="preserve">ā  - 2019.gadā speciālo zināšanu programmu vai zināšanu pilnveides programmu apguvuši 1167 speciālisti. </w:t>
            </w:r>
          </w:p>
        </w:tc>
      </w:tr>
      <w:tr w:rsidR="00425FC6" w:rsidTr="00944AF8">
        <w:trPr>
          <w:trHeight w:val="51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Default="00425FC6" w:rsidP="00944AF8">
            <w:pPr>
              <w:rPr>
                <w:rFonts w:eastAsia="Calibri"/>
                <w:iCs/>
                <w:sz w:val="26"/>
                <w:szCs w:val="26"/>
                <w:lang w:eastAsia="lv-LV"/>
              </w:rPr>
            </w:pPr>
            <w:r>
              <w:rPr>
                <w:rFonts w:eastAsia="Calibri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Pr="003A0D4B" w:rsidRDefault="00425FC6" w:rsidP="00944AF8">
            <w:pPr>
              <w:ind w:firstLine="0"/>
              <w:rPr>
                <w:rFonts w:eastAsia="Calibri"/>
                <w:iCs/>
                <w:sz w:val="24"/>
                <w:szCs w:val="24"/>
                <w:lang w:eastAsia="lv-LV"/>
              </w:rPr>
            </w:pPr>
            <w:r w:rsidRPr="003A0D4B">
              <w:rPr>
                <w:rFonts w:eastAsia="Calibri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Default="00425FC6" w:rsidP="00944AF8">
            <w:pPr>
              <w:ind w:right="113" w:firstLine="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C06E4B">
              <w:rPr>
                <w:rFonts w:eastAsia="Times New Roman"/>
                <w:sz w:val="24"/>
                <w:szCs w:val="24"/>
                <w:lang w:eastAsia="lv-LV"/>
              </w:rPr>
              <w:t>LM veikusi administr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atīvā sloga analīzi, p</w:t>
            </w:r>
            <w:r w:rsidRPr="00C06E4B">
              <w:rPr>
                <w:rFonts w:eastAsia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25FC6" w:rsidTr="00944AF8">
        <w:trPr>
          <w:trHeight w:val="51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Pr="00203B8A" w:rsidRDefault="00425FC6" w:rsidP="00944AF8">
            <w:pPr>
              <w:ind w:firstLine="0"/>
              <w:rPr>
                <w:rFonts w:eastAsia="Calibri"/>
                <w:iCs/>
                <w:sz w:val="24"/>
                <w:szCs w:val="24"/>
                <w:lang w:eastAsia="lv-LV"/>
              </w:rPr>
            </w:pPr>
            <w:r w:rsidRPr="00203B8A">
              <w:rPr>
                <w:rFonts w:eastAsia="Calibri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6" w:rsidRDefault="00425FC6" w:rsidP="00944AF8">
            <w:pPr>
              <w:ind w:right="113" w:firstLine="0"/>
              <w:rPr>
                <w:rFonts w:eastAsia="Calibri"/>
                <w:iCs/>
                <w:sz w:val="26"/>
                <w:szCs w:val="26"/>
                <w:lang w:eastAsia="lv-LV"/>
              </w:rPr>
            </w:pPr>
            <w:r w:rsidRPr="00C06E4B">
              <w:rPr>
                <w:rFonts w:eastAsia="Times New Roman"/>
                <w:sz w:val="24"/>
                <w:szCs w:val="24"/>
                <w:lang w:eastAsia="lv-LV"/>
              </w:rPr>
              <w:t>Projekts šo jomu neskar.</w:t>
            </w:r>
          </w:p>
          <w:p w:rsidR="00425FC6" w:rsidRDefault="00425FC6" w:rsidP="00944AF8">
            <w:pPr>
              <w:ind w:right="113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</w:p>
        </w:tc>
      </w:tr>
      <w:tr w:rsidR="00425FC6" w:rsidTr="00944AF8">
        <w:trPr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Default="00425FC6" w:rsidP="00944AF8">
            <w:pPr>
              <w:rPr>
                <w:rFonts w:eastAsia="Times New Roman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Pr="00203B8A" w:rsidRDefault="00425FC6" w:rsidP="00944AF8">
            <w:pPr>
              <w:ind w:firstLine="0"/>
              <w:rPr>
                <w:rFonts w:eastAsia="Calibri"/>
                <w:iCs/>
                <w:sz w:val="24"/>
                <w:szCs w:val="24"/>
                <w:lang w:eastAsia="lv-LV"/>
              </w:rPr>
            </w:pPr>
            <w:r w:rsidRPr="00203B8A">
              <w:rPr>
                <w:rFonts w:eastAsia="Calibri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Default="00425FC6" w:rsidP="00944AF8">
            <w:pPr>
              <w:ind w:right="153" w:firstLine="0"/>
              <w:jc w:val="both"/>
              <w:rPr>
                <w:rFonts w:eastAsia="Calibri"/>
                <w:iCs/>
                <w:sz w:val="26"/>
                <w:szCs w:val="26"/>
                <w:lang w:eastAsia="lv-LV"/>
              </w:rPr>
            </w:pPr>
            <w:r>
              <w:rPr>
                <w:rFonts w:eastAsia="Calibri"/>
                <w:iCs/>
                <w:sz w:val="26"/>
                <w:szCs w:val="26"/>
                <w:lang w:eastAsia="lv-LV"/>
              </w:rPr>
              <w:t>Nav.</w:t>
            </w:r>
          </w:p>
        </w:tc>
      </w:tr>
    </w:tbl>
    <w:p w:rsidR="00425FC6" w:rsidRDefault="00425FC6" w:rsidP="00425FC6">
      <w:pPr>
        <w:ind w:firstLine="0"/>
        <w:rPr>
          <w:rFonts w:eastAsia="Times New Roman"/>
          <w:sz w:val="24"/>
          <w:szCs w:val="24"/>
          <w:lang w:eastAsia="lv-LV"/>
        </w:rPr>
      </w:pPr>
    </w:p>
    <w:p w:rsidR="00425FC6" w:rsidRPr="00E055ED" w:rsidRDefault="00425FC6" w:rsidP="00425FC6">
      <w:pPr>
        <w:ind w:firstLine="0"/>
        <w:rPr>
          <w:rFonts w:eastAsia="Times New Roman"/>
          <w:sz w:val="24"/>
          <w:szCs w:val="24"/>
          <w:lang w:eastAsia="lv-LV"/>
        </w:rPr>
      </w:pPr>
    </w:p>
    <w:tbl>
      <w:tblPr>
        <w:tblW w:w="508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9"/>
      </w:tblGrid>
      <w:tr w:rsidR="00425FC6" w:rsidRPr="00E055ED" w:rsidTr="00944AF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25FC6" w:rsidRPr="00E055ED" w:rsidRDefault="00425FC6" w:rsidP="00944AF8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 w:rsidRPr="00E055ED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425FC6" w:rsidRPr="00E055ED" w:rsidTr="00944AF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425FC6" w:rsidRPr="00F02D0C" w:rsidRDefault="00425FC6" w:rsidP="00944AF8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F02D0C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Noteikumu projekts šo jomu neskar. </w:t>
            </w:r>
          </w:p>
        </w:tc>
      </w:tr>
    </w:tbl>
    <w:p w:rsidR="00425FC6" w:rsidRDefault="00425FC6" w:rsidP="00425FC6">
      <w:pPr>
        <w:pStyle w:val="naisf"/>
        <w:spacing w:before="0" w:after="0"/>
        <w:ind w:right="57" w:firstLine="0"/>
        <w:rPr>
          <w:i/>
          <w:sz w:val="26"/>
          <w:szCs w:val="26"/>
        </w:rPr>
      </w:pPr>
    </w:p>
    <w:p w:rsidR="00425FC6" w:rsidRDefault="00425FC6" w:rsidP="00425FC6">
      <w:pPr>
        <w:pStyle w:val="NormalWeb"/>
        <w:rPr>
          <w:b/>
          <w:sz w:val="2"/>
          <w:szCs w:val="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25FC6" w:rsidTr="00944AF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Default="00425FC6" w:rsidP="00944AF8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425FC6" w:rsidTr="00944AF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Pr="007E69BF" w:rsidRDefault="00425FC6" w:rsidP="00944AF8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7E69BF">
              <w:rPr>
                <w:color w:val="000000"/>
                <w:sz w:val="24"/>
                <w:szCs w:val="24"/>
              </w:rPr>
              <w:t>Noteikumu projekts šo jomu neskar</w:t>
            </w:r>
          </w:p>
        </w:tc>
      </w:tr>
    </w:tbl>
    <w:p w:rsidR="00425FC6" w:rsidRDefault="00425FC6" w:rsidP="00425FC6">
      <w:pPr>
        <w:jc w:val="both"/>
        <w:rPr>
          <w:color w:val="000000"/>
          <w:sz w:val="26"/>
          <w:szCs w:val="26"/>
        </w:rPr>
      </w:pPr>
    </w:p>
    <w:p w:rsidR="00425FC6" w:rsidRDefault="00425FC6" w:rsidP="00425FC6">
      <w:pPr>
        <w:jc w:val="both"/>
        <w:rPr>
          <w:color w:val="000000"/>
          <w:sz w:val="26"/>
          <w:szCs w:val="2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25FC6" w:rsidTr="00944AF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Default="00425FC6" w:rsidP="00944AF8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425FC6" w:rsidTr="00944AF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6" w:rsidRPr="007E69BF" w:rsidRDefault="00425FC6" w:rsidP="00944AF8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7E69BF">
              <w:rPr>
                <w:color w:val="000000"/>
                <w:sz w:val="24"/>
                <w:szCs w:val="24"/>
              </w:rPr>
              <w:t>Noteikumu projekts šo jomu neskar</w:t>
            </w:r>
          </w:p>
        </w:tc>
      </w:tr>
    </w:tbl>
    <w:p w:rsidR="00425FC6" w:rsidRDefault="00425FC6" w:rsidP="00425FC6">
      <w:pPr>
        <w:ind w:firstLine="0"/>
        <w:jc w:val="both"/>
        <w:rPr>
          <w:color w:val="000000"/>
          <w:sz w:val="26"/>
          <w:szCs w:val="2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34"/>
        <w:gridCol w:w="6521"/>
      </w:tblGrid>
      <w:tr w:rsidR="00425FC6" w:rsidRPr="00E055ED" w:rsidTr="00944AF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E055ED" w:rsidRDefault="00425FC6" w:rsidP="00944AF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25FC6" w:rsidRPr="00E055ED" w:rsidTr="00944A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E055ED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E055ED" w:rsidRDefault="00425FC6" w:rsidP="00944AF8">
            <w:pPr>
              <w:ind w:left="57" w:right="57" w:firstLine="0"/>
              <w:rPr>
                <w:rFonts w:eastAsia="Times New Roman"/>
                <w:sz w:val="22"/>
                <w:szCs w:val="22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60029E" w:rsidRDefault="00425FC6" w:rsidP="00944AF8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Nav attiecināms. </w:t>
            </w:r>
          </w:p>
        </w:tc>
      </w:tr>
      <w:tr w:rsidR="00425FC6" w:rsidRPr="00E055ED" w:rsidTr="00944A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E055ED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E055ED" w:rsidRDefault="00425FC6" w:rsidP="00944AF8">
            <w:pPr>
              <w:ind w:left="57" w:right="57" w:firstLine="0"/>
              <w:rPr>
                <w:rFonts w:eastAsia="Times New Roman"/>
                <w:sz w:val="22"/>
                <w:szCs w:val="22"/>
                <w:lang w:eastAsia="lv-LV"/>
              </w:rPr>
            </w:pPr>
            <w:r w:rsidRPr="00E055ED">
              <w:rPr>
                <w:rFonts w:eastAsia="Times New Roman"/>
                <w:sz w:val="22"/>
                <w:szCs w:val="22"/>
                <w:lang w:eastAsia="lv-LV"/>
              </w:rPr>
              <w:t xml:space="preserve">Sabiedrības līdzdalība projekta izstrādē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BB1AD6" w:rsidRDefault="00425FC6" w:rsidP="00944AF8">
            <w:pPr>
              <w:suppressAutoHyphens/>
              <w:autoSpaceDE w:val="0"/>
              <w:autoSpaceDN w:val="0"/>
              <w:ind w:firstLine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Nav attiecināms. </w:t>
            </w:r>
          </w:p>
        </w:tc>
      </w:tr>
      <w:tr w:rsidR="00425FC6" w:rsidRPr="00E055ED" w:rsidTr="00944A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E055ED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E055ED" w:rsidRDefault="00425FC6" w:rsidP="00944AF8">
            <w:pPr>
              <w:ind w:left="57" w:right="57" w:firstLine="0"/>
              <w:rPr>
                <w:rFonts w:eastAsia="Times New Roman"/>
                <w:sz w:val="22"/>
                <w:szCs w:val="22"/>
                <w:lang w:eastAsia="lv-LV"/>
              </w:rPr>
            </w:pPr>
            <w:r w:rsidRPr="00E055ED">
              <w:rPr>
                <w:rFonts w:eastAsia="Times New Roman"/>
                <w:sz w:val="22"/>
                <w:szCs w:val="22"/>
                <w:lang w:eastAsia="lv-LV"/>
              </w:rPr>
              <w:t xml:space="preserve">Sabiedrības līdzdalības rezultāti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E055ED" w:rsidRDefault="00425FC6" w:rsidP="00944AF8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Nav attiecināms. </w:t>
            </w:r>
          </w:p>
        </w:tc>
      </w:tr>
      <w:tr w:rsidR="00425FC6" w:rsidRPr="00E055ED" w:rsidTr="00944A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E055ED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E055ED" w:rsidRDefault="00425FC6" w:rsidP="00944AF8">
            <w:pPr>
              <w:ind w:left="57" w:right="57" w:firstLine="0"/>
              <w:rPr>
                <w:rFonts w:eastAsia="Times New Roman"/>
                <w:sz w:val="22"/>
                <w:szCs w:val="22"/>
                <w:lang w:eastAsia="lv-LV"/>
              </w:rPr>
            </w:pPr>
            <w:r w:rsidRPr="00E055ED">
              <w:rPr>
                <w:rFonts w:eastAsia="Times New Roman"/>
                <w:sz w:val="22"/>
                <w:szCs w:val="22"/>
                <w:lang w:eastAsia="lv-LV"/>
              </w:rPr>
              <w:t>Cita informācija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C6" w:rsidRPr="00E055ED" w:rsidRDefault="00425FC6" w:rsidP="00944AF8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2"/>
                <w:szCs w:val="22"/>
                <w:lang w:eastAsia="lv-LV"/>
              </w:rPr>
              <w:t>Nav.</w:t>
            </w:r>
          </w:p>
        </w:tc>
      </w:tr>
    </w:tbl>
    <w:p w:rsidR="00425FC6" w:rsidRDefault="00425FC6" w:rsidP="00425FC6">
      <w:pPr>
        <w:ind w:firstLine="0"/>
        <w:jc w:val="both"/>
        <w:rPr>
          <w:color w:val="000000"/>
          <w:sz w:val="26"/>
          <w:szCs w:val="26"/>
        </w:rPr>
      </w:pPr>
    </w:p>
    <w:p w:rsidR="00425FC6" w:rsidRDefault="00425FC6" w:rsidP="00425FC6">
      <w:pPr>
        <w:ind w:firstLine="0"/>
        <w:jc w:val="both"/>
        <w:rPr>
          <w:color w:val="000000"/>
          <w:sz w:val="26"/>
          <w:szCs w:val="26"/>
        </w:rPr>
      </w:pPr>
    </w:p>
    <w:tbl>
      <w:tblPr>
        <w:tblW w:w="508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3"/>
        <w:gridCol w:w="3492"/>
        <w:gridCol w:w="5384"/>
      </w:tblGrid>
      <w:tr w:rsidR="00425FC6" w:rsidRPr="00E055ED" w:rsidTr="00944AF8">
        <w:trPr>
          <w:trHeight w:val="30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5FC6" w:rsidRPr="00E055ED" w:rsidRDefault="00425FC6" w:rsidP="00944AF8">
            <w:pPr>
              <w:spacing w:before="100" w:beforeAutospacing="1" w:after="100" w:afterAutospacing="1" w:line="315" w:lineRule="atLeast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25FC6" w:rsidRPr="00E055ED" w:rsidTr="00944AF8">
        <w:trPr>
          <w:trHeight w:val="336"/>
        </w:trPr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E055ED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E055ED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E055ED" w:rsidRDefault="00BE08E9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Valsts bērnu tiesību aizsardzības inspekcija. </w:t>
            </w:r>
          </w:p>
        </w:tc>
      </w:tr>
      <w:tr w:rsidR="00425FC6" w:rsidRPr="00E055ED" w:rsidTr="00944AF8">
        <w:trPr>
          <w:trHeight w:val="360"/>
        </w:trPr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E055ED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E055ED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425FC6" w:rsidRPr="00E055ED" w:rsidRDefault="00425FC6" w:rsidP="00944AF8">
            <w:pPr>
              <w:spacing w:before="100" w:beforeAutospacing="1" w:after="100" w:afterAutospacing="1" w:line="315" w:lineRule="atLeast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E055ED" w:rsidRDefault="00425FC6" w:rsidP="00944AF8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25FC6" w:rsidRPr="00E055ED" w:rsidTr="00944AF8">
        <w:trPr>
          <w:trHeight w:val="312"/>
        </w:trPr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E055ED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E055ED" w:rsidRDefault="00425FC6" w:rsidP="00944AF8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5FC6" w:rsidRPr="00E055ED" w:rsidRDefault="00425FC6" w:rsidP="00944AF8">
            <w:pPr>
              <w:spacing w:before="100" w:beforeAutospacing="1" w:after="100" w:afterAutospacing="1" w:line="315" w:lineRule="atLeast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E055ED"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425FC6" w:rsidRPr="00E055ED" w:rsidRDefault="00425FC6" w:rsidP="00425FC6">
      <w:pPr>
        <w:ind w:firstLine="0"/>
        <w:rPr>
          <w:rFonts w:eastAsia="Times New Roman"/>
          <w:sz w:val="24"/>
          <w:szCs w:val="24"/>
          <w:lang w:bidi="lo-LA"/>
        </w:rPr>
      </w:pPr>
    </w:p>
    <w:p w:rsidR="00425FC6" w:rsidRDefault="00425FC6" w:rsidP="00425FC6">
      <w:pPr>
        <w:ind w:firstLine="0"/>
        <w:jc w:val="both"/>
        <w:rPr>
          <w:color w:val="000000"/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ind w:firstLine="0"/>
        <w:rPr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ind w:firstLine="0"/>
        <w:rPr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ind w:firstLine="0"/>
        <w:rPr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ind w:firstLine="0"/>
        <w:rPr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Labklājības ministre</w:t>
      </w:r>
      <w:r>
        <w:rPr>
          <w:sz w:val="26"/>
          <w:szCs w:val="26"/>
        </w:rPr>
        <w:tab/>
        <w:t xml:space="preserve">                             </w:t>
      </w:r>
      <w:proofErr w:type="spellStart"/>
      <w:r>
        <w:rPr>
          <w:sz w:val="26"/>
          <w:szCs w:val="26"/>
        </w:rPr>
        <w:t>R.Petraviča</w:t>
      </w:r>
      <w:proofErr w:type="spellEnd"/>
    </w:p>
    <w:p w:rsidR="00425FC6" w:rsidRDefault="00425FC6" w:rsidP="00425FC6">
      <w:pPr>
        <w:tabs>
          <w:tab w:val="left" w:pos="6237"/>
        </w:tabs>
        <w:rPr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rPr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rPr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rPr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rPr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rPr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rPr>
          <w:sz w:val="26"/>
          <w:szCs w:val="26"/>
        </w:rPr>
      </w:pPr>
    </w:p>
    <w:p w:rsidR="00425FC6" w:rsidRDefault="00425FC6" w:rsidP="00425FC6">
      <w:pPr>
        <w:tabs>
          <w:tab w:val="left" w:pos="6237"/>
        </w:tabs>
        <w:rPr>
          <w:sz w:val="26"/>
          <w:szCs w:val="26"/>
        </w:rPr>
      </w:pPr>
    </w:p>
    <w:p w:rsidR="00425FC6" w:rsidRPr="00E055ED" w:rsidRDefault="00425FC6" w:rsidP="00425FC6">
      <w:pPr>
        <w:tabs>
          <w:tab w:val="left" w:pos="154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Krastiņa</w:t>
      </w:r>
      <w:r w:rsidRPr="00E055ED">
        <w:rPr>
          <w:color w:val="333333"/>
          <w:sz w:val="20"/>
          <w:szCs w:val="20"/>
          <w:shd w:val="clear" w:color="auto" w:fill="FFFFFF"/>
        </w:rPr>
        <w:t xml:space="preserve">, </w:t>
      </w:r>
      <w:r>
        <w:rPr>
          <w:color w:val="333333"/>
          <w:sz w:val="20"/>
          <w:szCs w:val="20"/>
          <w:shd w:val="clear" w:color="auto" w:fill="FFFFFF"/>
        </w:rPr>
        <w:t>64331820</w:t>
      </w:r>
    </w:p>
    <w:p w:rsidR="00425FC6" w:rsidRDefault="00425FC6" w:rsidP="00425FC6">
      <w:pPr>
        <w:ind w:firstLine="0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Ivita.Krastina</w:t>
      </w:r>
      <w:r w:rsidRPr="00E055ED">
        <w:rPr>
          <w:sz w:val="20"/>
          <w:szCs w:val="20"/>
          <w:shd w:val="clear" w:color="auto" w:fill="FFFFFF"/>
        </w:rPr>
        <w:t>@lm.gov.lv</w:t>
      </w:r>
    </w:p>
    <w:p w:rsidR="00425FC6" w:rsidRPr="00685611" w:rsidRDefault="00425FC6" w:rsidP="00425FC6">
      <w:pPr>
        <w:rPr>
          <w:sz w:val="20"/>
          <w:szCs w:val="20"/>
        </w:rPr>
      </w:pPr>
    </w:p>
    <w:p w:rsidR="00425FC6" w:rsidRPr="00685611" w:rsidRDefault="00425FC6" w:rsidP="00425FC6">
      <w:pPr>
        <w:ind w:firstLine="0"/>
        <w:rPr>
          <w:sz w:val="20"/>
          <w:szCs w:val="20"/>
        </w:rPr>
      </w:pPr>
    </w:p>
    <w:p w:rsidR="00E32D33" w:rsidRDefault="00325E9D"/>
    <w:sectPr w:rsidR="00E32D33" w:rsidSect="00D21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9D" w:rsidRDefault="00325E9D" w:rsidP="00BE08E9">
      <w:r>
        <w:separator/>
      </w:r>
    </w:p>
  </w:endnote>
  <w:endnote w:type="continuationSeparator" w:id="0">
    <w:p w:rsidR="00325E9D" w:rsidRDefault="00325E9D" w:rsidP="00B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C7" w:rsidRDefault="00E9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38" w:rsidRPr="00856038" w:rsidRDefault="00693767" w:rsidP="00856038">
    <w:pPr>
      <w:ind w:firstLine="0"/>
      <w:jc w:val="both"/>
      <w:rPr>
        <w:sz w:val="20"/>
        <w:szCs w:val="20"/>
      </w:rPr>
    </w:pPr>
    <w:r w:rsidRPr="00A46995">
      <w:rPr>
        <w:sz w:val="20"/>
        <w:szCs w:val="20"/>
      </w:rPr>
      <w:t>LMAnot_</w:t>
    </w:r>
    <w:r w:rsidR="00E90FC7">
      <w:rPr>
        <w:bCs/>
        <w:sz w:val="20"/>
        <w:szCs w:val="20"/>
      </w:rPr>
      <w:t>0212</w:t>
    </w:r>
    <w:bookmarkStart w:id="2" w:name="_GoBack"/>
    <w:bookmarkEnd w:id="2"/>
    <w:r w:rsidRPr="00A46995">
      <w:rPr>
        <w:bCs/>
        <w:sz w:val="20"/>
        <w:szCs w:val="20"/>
      </w:rPr>
      <w:t xml:space="preserve">20_adkart </w:t>
    </w:r>
    <w:r w:rsidR="00A46995" w:rsidRPr="00A46995">
      <w:rPr>
        <w:bCs/>
        <w:sz w:val="20"/>
        <w:szCs w:val="20"/>
      </w:rPr>
      <w:t>_</w:t>
    </w:r>
    <w:proofErr w:type="spellStart"/>
    <w:r w:rsidR="00A46995" w:rsidRPr="00A46995">
      <w:rPr>
        <w:bCs/>
        <w:sz w:val="20"/>
        <w:szCs w:val="20"/>
      </w:rPr>
      <w:t>audzugim_speczin</w:t>
    </w:r>
    <w:proofErr w:type="spellEnd"/>
    <w:r w:rsidR="00A46995" w:rsidRPr="00A46995">
      <w:rPr>
        <w:bCs/>
        <w:sz w:val="20"/>
        <w:szCs w:val="20"/>
      </w:rPr>
      <w:t xml:space="preserve"> </w:t>
    </w:r>
  </w:p>
  <w:p w:rsidR="00E055ED" w:rsidRPr="00856038" w:rsidRDefault="00325E9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C7" w:rsidRDefault="00E9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9D" w:rsidRDefault="00325E9D" w:rsidP="00BE08E9">
      <w:r>
        <w:separator/>
      </w:r>
    </w:p>
  </w:footnote>
  <w:footnote w:type="continuationSeparator" w:id="0">
    <w:p w:rsidR="00325E9D" w:rsidRDefault="00325E9D" w:rsidP="00BE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C7" w:rsidRDefault="00E90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C7" w:rsidRDefault="00E9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C7" w:rsidRDefault="00E90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C6"/>
    <w:rsid w:val="00006142"/>
    <w:rsid w:val="00015E34"/>
    <w:rsid w:val="00034798"/>
    <w:rsid w:val="00050712"/>
    <w:rsid w:val="000B3324"/>
    <w:rsid w:val="000E164B"/>
    <w:rsid w:val="002A688A"/>
    <w:rsid w:val="002B55DF"/>
    <w:rsid w:val="002C76D2"/>
    <w:rsid w:val="003218B8"/>
    <w:rsid w:val="00325E9D"/>
    <w:rsid w:val="003649B6"/>
    <w:rsid w:val="00425FC6"/>
    <w:rsid w:val="0043055E"/>
    <w:rsid w:val="00472AB2"/>
    <w:rsid w:val="004C63B4"/>
    <w:rsid w:val="00665908"/>
    <w:rsid w:val="00693767"/>
    <w:rsid w:val="00695EE7"/>
    <w:rsid w:val="006B61DE"/>
    <w:rsid w:val="006C0E51"/>
    <w:rsid w:val="006E09F5"/>
    <w:rsid w:val="006E33E0"/>
    <w:rsid w:val="00704464"/>
    <w:rsid w:val="00764F33"/>
    <w:rsid w:val="00775387"/>
    <w:rsid w:val="00815A66"/>
    <w:rsid w:val="00832699"/>
    <w:rsid w:val="00964609"/>
    <w:rsid w:val="009B64F5"/>
    <w:rsid w:val="009F19BB"/>
    <w:rsid w:val="00A46995"/>
    <w:rsid w:val="00A62193"/>
    <w:rsid w:val="00A901AA"/>
    <w:rsid w:val="00B52436"/>
    <w:rsid w:val="00BA684D"/>
    <w:rsid w:val="00BB5B19"/>
    <w:rsid w:val="00BD19D5"/>
    <w:rsid w:val="00BE08E9"/>
    <w:rsid w:val="00BF01A0"/>
    <w:rsid w:val="00C668E8"/>
    <w:rsid w:val="00CF515F"/>
    <w:rsid w:val="00E84626"/>
    <w:rsid w:val="00E90FC7"/>
    <w:rsid w:val="00EA55F4"/>
    <w:rsid w:val="00EA5727"/>
    <w:rsid w:val="00F2510D"/>
    <w:rsid w:val="00F47A49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4AA3D"/>
  <w15:chartTrackingRefBased/>
  <w15:docId w15:val="{4E43081E-ED7D-4CD2-897C-880AA83E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FC6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425FC6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425FC6"/>
    <w:pPr>
      <w:spacing w:before="100" w:beforeAutospacing="1" w:after="100" w:afterAutospacing="1"/>
      <w:ind w:firstLine="0"/>
    </w:pPr>
    <w:rPr>
      <w:rFonts w:eastAsia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25FC6"/>
    <w:pPr>
      <w:spacing w:after="120"/>
      <w:ind w:firstLine="0"/>
    </w:pPr>
    <w:rPr>
      <w:rFonts w:eastAsia="Times New Roman"/>
      <w:sz w:val="24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425FC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5FC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42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425FC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25F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FC6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5F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FC6"/>
    <w:rPr>
      <w:rFonts w:ascii="Times New Roman" w:hAnsi="Times New Roman" w:cs="Times New Roman"/>
      <w:sz w:val="28"/>
      <w:szCs w:val="28"/>
    </w:rPr>
  </w:style>
  <w:style w:type="paragraph" w:customStyle="1" w:styleId="tv213">
    <w:name w:val="tv213"/>
    <w:basedOn w:val="Normal"/>
    <w:rsid w:val="00425FC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F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9B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B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0E4F-5CF4-41F9-AD55-DA09C8E9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4302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Krastina</dc:creator>
  <cp:keywords/>
  <dc:description/>
  <cp:lastModifiedBy>Ivita Krastina</cp:lastModifiedBy>
  <cp:revision>9</cp:revision>
  <dcterms:created xsi:type="dcterms:W3CDTF">2020-11-20T11:48:00Z</dcterms:created>
  <dcterms:modified xsi:type="dcterms:W3CDTF">2020-12-02T08:48:00Z</dcterms:modified>
</cp:coreProperties>
</file>