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D98F" w14:textId="1A4ACB1F" w:rsidR="005F6E36" w:rsidRPr="00FE6D6D" w:rsidRDefault="00E477C2" w:rsidP="005516D9">
      <w:pPr>
        <w:spacing w:line="276" w:lineRule="auto"/>
        <w:jc w:val="center"/>
        <w:rPr>
          <w:b/>
        </w:rPr>
      </w:pPr>
      <w:r w:rsidRPr="00FE6D6D">
        <w:rPr>
          <w:b/>
          <w:color w:val="FF0000"/>
        </w:rPr>
        <w:t xml:space="preserve"> </w:t>
      </w:r>
      <w:r w:rsidR="005F6E36" w:rsidRPr="00FE6D6D">
        <w:rPr>
          <w:b/>
        </w:rPr>
        <w:t xml:space="preserve">Ministru kabineta noteikumu projekta </w:t>
      </w:r>
    </w:p>
    <w:p w14:paraId="2AA3087C" w14:textId="77777777" w:rsidR="005F6E36" w:rsidRPr="00FE6D6D" w:rsidRDefault="005F6E36" w:rsidP="005516D9">
      <w:pPr>
        <w:spacing w:line="276" w:lineRule="auto"/>
        <w:jc w:val="center"/>
        <w:rPr>
          <w:b/>
        </w:rPr>
      </w:pPr>
      <w:r w:rsidRPr="00FE6D6D">
        <w:rPr>
          <w:b/>
        </w:rPr>
        <w:t>„Grozījumi M</w:t>
      </w:r>
      <w:r w:rsidR="00E1162E" w:rsidRPr="00FE6D6D">
        <w:rPr>
          <w:b/>
        </w:rPr>
        <w:t>inistru kabineta 201</w:t>
      </w:r>
      <w:r w:rsidR="00CB6FD6" w:rsidRPr="00FE6D6D">
        <w:rPr>
          <w:b/>
        </w:rPr>
        <w:t>4</w:t>
      </w:r>
      <w:r w:rsidR="00E1162E" w:rsidRPr="00FE6D6D">
        <w:rPr>
          <w:b/>
        </w:rPr>
        <w:t>.</w:t>
      </w:r>
      <w:r w:rsidR="00CB6FD6" w:rsidRPr="00FE6D6D">
        <w:rPr>
          <w:b/>
        </w:rPr>
        <w:t xml:space="preserve"> </w:t>
      </w:r>
      <w:r w:rsidR="00E1162E" w:rsidRPr="00FE6D6D">
        <w:rPr>
          <w:b/>
        </w:rPr>
        <w:t>gada 25.</w:t>
      </w:r>
      <w:r w:rsidR="00CB6FD6" w:rsidRPr="00FE6D6D">
        <w:rPr>
          <w:b/>
        </w:rPr>
        <w:t xml:space="preserve"> novembra</w:t>
      </w:r>
      <w:r w:rsidRPr="00FE6D6D">
        <w:rPr>
          <w:b/>
        </w:rPr>
        <w:t xml:space="preserve"> noteikumos </w:t>
      </w:r>
    </w:p>
    <w:p w14:paraId="4B89461A" w14:textId="77777777" w:rsidR="005F6E36" w:rsidRPr="00FE6D6D" w:rsidRDefault="00E1162E" w:rsidP="005516D9">
      <w:pPr>
        <w:spacing w:line="276" w:lineRule="auto"/>
        <w:ind w:left="-284" w:right="140"/>
        <w:jc w:val="center"/>
        <w:rPr>
          <w:b/>
        </w:rPr>
      </w:pPr>
      <w:r w:rsidRPr="00FE6D6D">
        <w:rPr>
          <w:b/>
        </w:rPr>
        <w:t>Nr.</w:t>
      </w:r>
      <w:r w:rsidR="005F6E36" w:rsidRPr="00FE6D6D">
        <w:rPr>
          <w:b/>
        </w:rPr>
        <w:t>7</w:t>
      </w:r>
      <w:r w:rsidR="00CB6FD6" w:rsidRPr="00FE6D6D">
        <w:rPr>
          <w:b/>
        </w:rPr>
        <w:t>27</w:t>
      </w:r>
      <w:r w:rsidR="005F6E36" w:rsidRPr="00FE6D6D">
        <w:rPr>
          <w:b/>
        </w:rPr>
        <w:t xml:space="preserve"> „</w:t>
      </w:r>
      <w:r w:rsidR="00CB6FD6" w:rsidRPr="00FE6D6D">
        <w:rPr>
          <w:b/>
        </w:rPr>
        <w:t>Darbības programmas ”Pārtikas un pamata materiālās palīdzības sniegšana vistrūcīgākajām personām 2014.-2020. gada plānošanas periodā” īstenošanas noteikumi</w:t>
      </w:r>
      <w:r w:rsidR="005F6E36" w:rsidRPr="00FE6D6D">
        <w:rPr>
          <w:b/>
        </w:rPr>
        <w:t>””</w:t>
      </w:r>
    </w:p>
    <w:p w14:paraId="6C53311A" w14:textId="77777777" w:rsidR="00B445F0" w:rsidRPr="00FE6D6D" w:rsidRDefault="00B76D85" w:rsidP="005516D9">
      <w:pPr>
        <w:spacing w:line="276" w:lineRule="auto"/>
        <w:jc w:val="center"/>
        <w:rPr>
          <w:b/>
        </w:rPr>
      </w:pPr>
      <w:r w:rsidRPr="00FE6D6D">
        <w:rPr>
          <w:b/>
        </w:rPr>
        <w:t xml:space="preserve">sākotnējās ietekmes novērtējuma </w:t>
      </w:r>
      <w:smartTag w:uri="schemas-tilde-lv/tildestengine" w:element="veidnes">
        <w:smartTagPr>
          <w:attr w:name="text" w:val="ziņojums"/>
          <w:attr w:name="id" w:val="-1"/>
          <w:attr w:name="baseform" w:val="ziņojum|s"/>
        </w:smartTagPr>
        <w:r w:rsidRPr="00FE6D6D">
          <w:rPr>
            <w:b/>
          </w:rPr>
          <w:t>ziņojums</w:t>
        </w:r>
      </w:smartTag>
      <w:r w:rsidRPr="00FE6D6D">
        <w:rPr>
          <w:b/>
        </w:rPr>
        <w:t xml:space="preserve"> (anotācija)</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67"/>
        <w:gridCol w:w="14"/>
        <w:gridCol w:w="1858"/>
        <w:gridCol w:w="680"/>
        <w:gridCol w:w="5908"/>
        <w:gridCol w:w="20"/>
        <w:gridCol w:w="14"/>
      </w:tblGrid>
      <w:tr w:rsidR="00FE6D6D" w:rsidRPr="00FE6D6D" w14:paraId="44ECEE2C" w14:textId="77777777" w:rsidTr="00F12761">
        <w:trPr>
          <w:cantSplit/>
        </w:trPr>
        <w:tc>
          <w:tcPr>
            <w:tcW w:w="9061" w:type="dxa"/>
            <w:gridSpan w:val="7"/>
            <w:shd w:val="clear" w:color="auto" w:fill="FFFFFF"/>
            <w:vAlign w:val="center"/>
            <w:hideMark/>
          </w:tcPr>
          <w:p w14:paraId="65F6B790" w14:textId="77777777" w:rsidR="00487B6F" w:rsidRPr="00FE6D6D" w:rsidRDefault="00487B6F" w:rsidP="005516D9">
            <w:pPr>
              <w:spacing w:line="276" w:lineRule="auto"/>
              <w:jc w:val="center"/>
              <w:rPr>
                <w:b/>
                <w:iCs/>
                <w:lang w:eastAsia="en-US"/>
              </w:rPr>
            </w:pPr>
            <w:r w:rsidRPr="00FE6D6D">
              <w:rPr>
                <w:b/>
                <w:iCs/>
                <w:lang w:eastAsia="en-US"/>
              </w:rPr>
              <w:t>Tiesību akta projekta anotācijas kopsavilkums</w:t>
            </w:r>
          </w:p>
        </w:tc>
      </w:tr>
      <w:tr w:rsidR="00FE6D6D" w:rsidRPr="00FE6D6D" w14:paraId="21123EF3" w14:textId="77777777" w:rsidTr="00F12761">
        <w:trPr>
          <w:cantSplit/>
          <w:trHeight w:val="3466"/>
        </w:trPr>
        <w:tc>
          <w:tcPr>
            <w:tcW w:w="2439" w:type="dxa"/>
            <w:gridSpan w:val="3"/>
            <w:shd w:val="clear" w:color="auto" w:fill="auto"/>
            <w:hideMark/>
          </w:tcPr>
          <w:p w14:paraId="5079E62D" w14:textId="77777777" w:rsidR="00487B6F" w:rsidRPr="00FE6D6D" w:rsidRDefault="00487B6F" w:rsidP="005516D9">
            <w:pPr>
              <w:spacing w:line="276" w:lineRule="auto"/>
              <w:ind w:left="128"/>
              <w:rPr>
                <w:iCs/>
                <w:lang w:eastAsia="en-US"/>
              </w:rPr>
            </w:pPr>
            <w:r w:rsidRPr="00FE6D6D">
              <w:rPr>
                <w:iCs/>
                <w:lang w:eastAsia="en-US"/>
              </w:rPr>
              <w:t>Mērķis, risinājums un projekta spēkā stāšanās laiks (500 zīmes bez atstarpēm)</w:t>
            </w:r>
          </w:p>
        </w:tc>
        <w:tc>
          <w:tcPr>
            <w:tcW w:w="6622" w:type="dxa"/>
            <w:gridSpan w:val="4"/>
            <w:shd w:val="clear" w:color="auto" w:fill="auto"/>
            <w:hideMark/>
          </w:tcPr>
          <w:p w14:paraId="6F801E2B" w14:textId="5E043ED5" w:rsidR="00E9047A" w:rsidRPr="00056E04" w:rsidRDefault="00487B6F" w:rsidP="005516D9">
            <w:pPr>
              <w:spacing w:line="276" w:lineRule="auto"/>
              <w:ind w:left="96" w:right="110"/>
              <w:jc w:val="both"/>
              <w:rPr>
                <w:bCs/>
              </w:rPr>
            </w:pPr>
            <w:r w:rsidRPr="00FE6D6D">
              <w:rPr>
                <w:bCs/>
              </w:rPr>
              <w:t>Ministru kabineta noteikumu projekta „Grozījumi Ministru kabineta 2014.</w:t>
            </w:r>
            <w:r w:rsidR="00804D95" w:rsidRPr="00FE6D6D">
              <w:rPr>
                <w:bCs/>
              </w:rPr>
              <w:t> </w:t>
            </w:r>
            <w:r w:rsidRPr="00FE6D6D">
              <w:rPr>
                <w:bCs/>
              </w:rPr>
              <w:t>gada 25.</w:t>
            </w:r>
            <w:r w:rsidR="00804D95" w:rsidRPr="00FE6D6D">
              <w:rPr>
                <w:bCs/>
              </w:rPr>
              <w:t> </w:t>
            </w:r>
            <w:r w:rsidRPr="00FE6D6D">
              <w:rPr>
                <w:bCs/>
              </w:rPr>
              <w:t>novembra noteikumos Nr.</w:t>
            </w:r>
            <w:r w:rsidR="00804D95" w:rsidRPr="00FE6D6D">
              <w:rPr>
                <w:bCs/>
              </w:rPr>
              <w:t> </w:t>
            </w:r>
            <w:r w:rsidRPr="00FE6D6D">
              <w:rPr>
                <w:bCs/>
              </w:rPr>
              <w:t>727 „Darbības programmas ”Pārtikas un pamata materiālās palīdzības sniegšana vistrūcīgākajām personām 2014.-2020.</w:t>
            </w:r>
            <w:r w:rsidR="00804D95" w:rsidRPr="00FE6D6D">
              <w:rPr>
                <w:bCs/>
              </w:rPr>
              <w:t> </w:t>
            </w:r>
            <w:r w:rsidRPr="00FE6D6D">
              <w:rPr>
                <w:bCs/>
              </w:rPr>
              <w:t>gada plānošanas periodā”</w:t>
            </w:r>
            <w:r w:rsidR="00A66DC2" w:rsidRPr="00FE6D6D">
              <w:rPr>
                <w:bCs/>
              </w:rPr>
              <w:t xml:space="preserve"> (</w:t>
            </w:r>
            <w:r w:rsidR="00E87385" w:rsidRPr="00FE6D6D">
              <w:rPr>
                <w:bCs/>
              </w:rPr>
              <w:t>turpmāk – d</w:t>
            </w:r>
            <w:r w:rsidR="00A66DC2" w:rsidRPr="00FE6D6D">
              <w:rPr>
                <w:bCs/>
              </w:rPr>
              <w:t>arbības program</w:t>
            </w:r>
            <w:r w:rsidR="00121682" w:rsidRPr="00FE6D6D">
              <w:rPr>
                <w:bCs/>
              </w:rPr>
              <w:t>ma</w:t>
            </w:r>
            <w:r w:rsidR="00213694" w:rsidRPr="00FE6D6D">
              <w:rPr>
                <w:bCs/>
              </w:rPr>
              <w:t>)</w:t>
            </w:r>
            <w:r w:rsidRPr="00FE6D6D">
              <w:rPr>
                <w:bCs/>
              </w:rPr>
              <w:t xml:space="preserve"> īstenošanas noteikumi”” (turpmāk – Noteikumu projekts) </w:t>
            </w:r>
            <w:r w:rsidR="00B14D1D" w:rsidRPr="00E9047A">
              <w:rPr>
                <w:bCs/>
                <w:u w:val="single"/>
              </w:rPr>
              <w:t xml:space="preserve">izstrādes </w:t>
            </w:r>
            <w:r w:rsidRPr="00E9047A">
              <w:rPr>
                <w:bCs/>
                <w:u w:val="single"/>
              </w:rPr>
              <w:t>mērķis</w:t>
            </w:r>
            <w:r w:rsidR="00B14D1D" w:rsidRPr="00FE6D6D">
              <w:rPr>
                <w:bCs/>
              </w:rPr>
              <w:t xml:space="preserve"> </w:t>
            </w:r>
            <w:r w:rsidR="00B14D1D" w:rsidRPr="00E9047A">
              <w:rPr>
                <w:bCs/>
                <w:u w:val="single"/>
              </w:rPr>
              <w:t>ir</w:t>
            </w:r>
            <w:r w:rsidR="00AC7362" w:rsidRPr="00FE6D6D">
              <w:rPr>
                <w:bCs/>
              </w:rPr>
              <w:t xml:space="preserve"> </w:t>
            </w:r>
            <w:r w:rsidR="00056E04" w:rsidRPr="00056E04">
              <w:rPr>
                <w:bCs/>
                <w:u w:val="single"/>
              </w:rPr>
              <w:t xml:space="preserve">harmonizēt </w:t>
            </w:r>
            <w:r w:rsidR="002C0E1D" w:rsidRPr="002C0E1D">
              <w:rPr>
                <w:bCs/>
              </w:rPr>
              <w:t>Eiropas Atbalsta fonda vistrūcīgākajām personām (turpmāk</w:t>
            </w:r>
            <w:r w:rsidR="00B37E01">
              <w:rPr>
                <w:bCs/>
              </w:rPr>
              <w:t xml:space="preserve"> </w:t>
            </w:r>
            <w:r w:rsidR="002C0E1D" w:rsidRPr="002C0E1D">
              <w:rPr>
                <w:bCs/>
              </w:rPr>
              <w:t>- Fonds)</w:t>
            </w:r>
            <w:r w:rsidR="002C0E1D">
              <w:rPr>
                <w:bCs/>
                <w:u w:val="single"/>
              </w:rPr>
              <w:t xml:space="preserve"> </w:t>
            </w:r>
            <w:r w:rsidR="002C0E1D" w:rsidRPr="00056E04">
              <w:rPr>
                <w:bCs/>
                <w:u w:val="single"/>
              </w:rPr>
              <w:t xml:space="preserve">darbības programmas </w:t>
            </w:r>
            <w:r w:rsidR="00056E04" w:rsidRPr="00056E04">
              <w:rPr>
                <w:bCs/>
                <w:u w:val="single"/>
              </w:rPr>
              <w:t>atbalstāmo darbību īstenošanas nosacījumus</w:t>
            </w:r>
            <w:r w:rsidR="00056E04">
              <w:rPr>
                <w:bCs/>
              </w:rPr>
              <w:t xml:space="preserve"> </w:t>
            </w:r>
            <w:r w:rsidR="006F147F">
              <w:rPr>
                <w:bCs/>
              </w:rPr>
              <w:t xml:space="preserve">atbilstoši </w:t>
            </w:r>
            <w:r w:rsidR="00056E04">
              <w:rPr>
                <w:bCs/>
              </w:rPr>
              <w:t xml:space="preserve">izmaiņām </w:t>
            </w:r>
            <w:r w:rsidR="00AB3AB1">
              <w:rPr>
                <w:bCs/>
              </w:rPr>
              <w:t>normatīvaj</w:t>
            </w:r>
            <w:r w:rsidR="00056E04">
              <w:rPr>
                <w:bCs/>
              </w:rPr>
              <w:t>ā</w:t>
            </w:r>
            <w:r w:rsidR="00AB3AB1">
              <w:rPr>
                <w:bCs/>
              </w:rPr>
              <w:t xml:space="preserve"> regulējum</w:t>
            </w:r>
            <w:r w:rsidR="00056E04">
              <w:rPr>
                <w:bCs/>
              </w:rPr>
              <w:t>ā</w:t>
            </w:r>
            <w:r w:rsidR="00AB3AB1">
              <w:rPr>
                <w:bCs/>
              </w:rPr>
              <w:t xml:space="preserve"> sociālās aizsardzības jomā saistībā ar </w:t>
            </w:r>
            <w:r w:rsidR="00DB4365">
              <w:rPr>
                <w:bCs/>
              </w:rPr>
              <w:t>iespēju</w:t>
            </w:r>
            <w:r w:rsidR="00AB3AB1">
              <w:rPr>
                <w:bCs/>
              </w:rPr>
              <w:t xml:space="preserve"> </w:t>
            </w:r>
            <w:r w:rsidR="00AB3AB1" w:rsidRPr="00994E4C">
              <w:t>zemu ienākumu mājsaimniecībām</w:t>
            </w:r>
            <w:r w:rsidR="00DB4365">
              <w:t xml:space="preserve"> izmantot savas sociālās tiesības saņemt atbalstu</w:t>
            </w:r>
            <w:r w:rsidR="00056E04">
              <w:t>.</w:t>
            </w:r>
          </w:p>
        </w:tc>
      </w:tr>
      <w:tr w:rsidR="00FE6D6D" w:rsidRPr="00FE6D6D" w14:paraId="3E5D314B" w14:textId="77777777" w:rsidTr="00F12761">
        <w:tblPrEx>
          <w:shd w:val="clear" w:color="auto" w:fill="auto"/>
          <w:tblCellMar>
            <w:top w:w="30" w:type="dxa"/>
            <w:left w:w="30" w:type="dxa"/>
            <w:bottom w:w="30" w:type="dxa"/>
            <w:right w:w="30" w:type="dxa"/>
          </w:tblCellMar>
        </w:tblPrEx>
        <w:tc>
          <w:tcPr>
            <w:tcW w:w="9061" w:type="dxa"/>
            <w:gridSpan w:val="7"/>
            <w:vAlign w:val="center"/>
            <w:hideMark/>
          </w:tcPr>
          <w:p w14:paraId="7A30D4B6" w14:textId="7226101D" w:rsidR="00487B6F" w:rsidRPr="00FE6D6D" w:rsidRDefault="00487B6F" w:rsidP="005516D9">
            <w:pPr>
              <w:spacing w:line="276" w:lineRule="auto"/>
              <w:jc w:val="center"/>
              <w:rPr>
                <w:b/>
                <w:bCs/>
              </w:rPr>
            </w:pPr>
            <w:r w:rsidRPr="00FE6D6D">
              <w:rPr>
                <w:b/>
                <w:bCs/>
              </w:rPr>
              <w:t>I. Tiesību akta projekta izstrādes nepieciešamība</w:t>
            </w:r>
          </w:p>
        </w:tc>
      </w:tr>
      <w:tr w:rsidR="00FE6D6D" w:rsidRPr="00FE6D6D" w14:paraId="1927B7FA" w14:textId="77777777" w:rsidTr="00F12761">
        <w:tblPrEx>
          <w:shd w:val="clear" w:color="auto" w:fill="auto"/>
          <w:tblCellMar>
            <w:top w:w="30" w:type="dxa"/>
            <w:left w:w="30" w:type="dxa"/>
            <w:bottom w:w="30" w:type="dxa"/>
            <w:right w:w="30" w:type="dxa"/>
          </w:tblCellMar>
        </w:tblPrEx>
        <w:trPr>
          <w:trHeight w:val="3254"/>
        </w:trPr>
        <w:tc>
          <w:tcPr>
            <w:tcW w:w="581" w:type="dxa"/>
            <w:gridSpan w:val="2"/>
            <w:hideMark/>
          </w:tcPr>
          <w:p w14:paraId="1838E8BC" w14:textId="77777777" w:rsidR="00487B6F" w:rsidRPr="00FE6D6D" w:rsidRDefault="00487B6F" w:rsidP="005516D9">
            <w:pPr>
              <w:spacing w:line="276" w:lineRule="auto"/>
              <w:jc w:val="center"/>
            </w:pPr>
            <w:r w:rsidRPr="00FE6D6D">
              <w:t>1.</w:t>
            </w:r>
          </w:p>
        </w:tc>
        <w:tc>
          <w:tcPr>
            <w:tcW w:w="1858" w:type="dxa"/>
            <w:hideMark/>
          </w:tcPr>
          <w:p w14:paraId="5A4529A5" w14:textId="77777777" w:rsidR="00487B6F" w:rsidRPr="00FE6D6D" w:rsidRDefault="00487B6F" w:rsidP="005516D9">
            <w:pPr>
              <w:spacing w:line="276" w:lineRule="auto"/>
            </w:pPr>
            <w:r w:rsidRPr="00FE6D6D">
              <w:t>Pamatojums</w:t>
            </w:r>
          </w:p>
          <w:p w14:paraId="2A5B855F" w14:textId="77777777" w:rsidR="00487B6F" w:rsidRPr="00FE6D6D" w:rsidRDefault="00487B6F" w:rsidP="005516D9">
            <w:pPr>
              <w:spacing w:line="276" w:lineRule="auto"/>
            </w:pPr>
          </w:p>
        </w:tc>
        <w:tc>
          <w:tcPr>
            <w:tcW w:w="6622" w:type="dxa"/>
            <w:gridSpan w:val="4"/>
            <w:hideMark/>
          </w:tcPr>
          <w:p w14:paraId="779D2CF8" w14:textId="0CDD1C1A" w:rsidR="00B84A64" w:rsidRDefault="00821348" w:rsidP="005516D9">
            <w:pPr>
              <w:spacing w:line="276" w:lineRule="auto"/>
              <w:ind w:left="97" w:right="87"/>
              <w:jc w:val="both"/>
              <w:rPr>
                <w:bCs/>
              </w:rPr>
            </w:pPr>
            <w:r w:rsidRPr="00B84A64">
              <w:t xml:space="preserve">Noteikumu projekts </w:t>
            </w:r>
            <w:r w:rsidR="0031238C" w:rsidRPr="00B84A64">
              <w:t xml:space="preserve">izstrādāts </w:t>
            </w:r>
            <w:r w:rsidR="0031238C">
              <w:rPr>
                <w:bCs/>
              </w:rPr>
              <w:t>kā Labklājības ministrijas (turpmāk - LM)</w:t>
            </w:r>
            <w:r w:rsidR="00BC6A08">
              <w:rPr>
                <w:bCs/>
              </w:rPr>
              <w:t xml:space="preserve"> iniciatīva pildot</w:t>
            </w:r>
            <w:r w:rsidR="0031238C">
              <w:rPr>
                <w:bCs/>
              </w:rPr>
              <w:t xml:space="preserve"> </w:t>
            </w:r>
            <w:r w:rsidR="009B68F3" w:rsidRPr="00B84A64">
              <w:rPr>
                <w:bCs/>
              </w:rPr>
              <w:t xml:space="preserve">2020. gada 22. </w:t>
            </w:r>
            <w:r w:rsidR="00B84A64" w:rsidRPr="00B84A64">
              <w:rPr>
                <w:bCs/>
              </w:rPr>
              <w:t xml:space="preserve">septembra </w:t>
            </w:r>
            <w:r w:rsidR="009B68F3" w:rsidRPr="00B84A64">
              <w:rPr>
                <w:bCs/>
              </w:rPr>
              <w:t xml:space="preserve">Ministru kabineta sēdes </w:t>
            </w:r>
            <w:r w:rsidR="00B84A64" w:rsidRPr="00B84A64">
              <w:rPr>
                <w:bCs/>
              </w:rPr>
              <w:t xml:space="preserve">protokola </w:t>
            </w:r>
            <w:r w:rsidR="005C10A9">
              <w:rPr>
                <w:bCs/>
              </w:rPr>
              <w:t>N</w:t>
            </w:r>
            <w:r w:rsidR="005C10A9" w:rsidRPr="00B84A64">
              <w:rPr>
                <w:bCs/>
              </w:rPr>
              <w:t>r</w:t>
            </w:r>
            <w:r w:rsidR="0031238C">
              <w:rPr>
                <w:bCs/>
              </w:rPr>
              <w:t>.</w:t>
            </w:r>
            <w:r w:rsidR="009B68F3" w:rsidRPr="00B84A64">
              <w:rPr>
                <w:bCs/>
              </w:rPr>
              <w:t>55 38</w:t>
            </w:r>
            <w:r w:rsidR="00B84A64" w:rsidRPr="00B84A64">
              <w:rPr>
                <w:b/>
                <w:sz w:val="28"/>
                <w:szCs w:val="28"/>
              </w:rPr>
              <w:t>.</w:t>
            </w:r>
            <w:r w:rsidR="00B84A64" w:rsidRPr="00B84A64">
              <w:rPr>
                <w:sz w:val="28"/>
                <w:szCs w:val="28"/>
              </w:rPr>
              <w:t>§</w:t>
            </w:r>
            <w:r w:rsidR="0031238C">
              <w:rPr>
                <w:sz w:val="28"/>
                <w:szCs w:val="28"/>
              </w:rPr>
              <w:t xml:space="preserve"> </w:t>
            </w:r>
            <w:r w:rsidR="009B68F3" w:rsidRPr="00B84A64">
              <w:rPr>
                <w:bCs/>
              </w:rPr>
              <w:t xml:space="preserve">31.punktā </w:t>
            </w:r>
            <w:r w:rsidR="00BC6A08" w:rsidRPr="00B84A64">
              <w:rPr>
                <w:bCs/>
              </w:rPr>
              <w:t>dot</w:t>
            </w:r>
            <w:r w:rsidR="00BC6A08">
              <w:rPr>
                <w:bCs/>
              </w:rPr>
              <w:t xml:space="preserve">o </w:t>
            </w:r>
            <w:r w:rsidR="00BC6A08" w:rsidRPr="00B84A64">
              <w:rPr>
                <w:bCs/>
              </w:rPr>
              <w:t>uzdevum</w:t>
            </w:r>
            <w:r w:rsidR="00BC6A08">
              <w:rPr>
                <w:bCs/>
              </w:rPr>
              <w:t>u</w:t>
            </w:r>
            <w:r w:rsidR="00E034E4">
              <w:rPr>
                <w:bCs/>
              </w:rPr>
              <w:t xml:space="preserve"> </w:t>
            </w:r>
            <w:r w:rsidR="00E034E4" w:rsidRPr="00D80BE5">
              <w:rPr>
                <w:bCs/>
              </w:rPr>
              <w:t>(turpmāk – Ministru kabineta uzdevums)</w:t>
            </w:r>
            <w:r w:rsidR="00BC6A08" w:rsidRPr="00D80BE5">
              <w:rPr>
                <w:bCs/>
              </w:rPr>
              <w:t>:</w:t>
            </w:r>
          </w:p>
          <w:p w14:paraId="373F7992" w14:textId="63EB57BB" w:rsidR="009F7D0E" w:rsidRPr="0033427C" w:rsidRDefault="0031238C" w:rsidP="005516D9">
            <w:pPr>
              <w:spacing w:line="276" w:lineRule="auto"/>
              <w:ind w:left="97" w:right="87"/>
              <w:jc w:val="both"/>
              <w:rPr>
                <w:bCs/>
              </w:rPr>
            </w:pPr>
            <w:r>
              <w:rPr>
                <w:bCs/>
                <w:iCs/>
              </w:rPr>
              <w:t>LM</w:t>
            </w:r>
            <w:r w:rsidR="009B68F3" w:rsidRPr="00B84A64">
              <w:rPr>
                <w:bCs/>
                <w:iCs/>
              </w:rPr>
              <w:t xml:space="preserve"> mēneša laikā pēc šī </w:t>
            </w:r>
            <w:proofErr w:type="spellStart"/>
            <w:r w:rsidR="009B68F3" w:rsidRPr="00B84A64">
              <w:rPr>
                <w:bCs/>
                <w:iCs/>
              </w:rPr>
              <w:t>protokollēmuma</w:t>
            </w:r>
            <w:proofErr w:type="spellEnd"/>
            <w:r w:rsidR="009B68F3" w:rsidRPr="00B84A64">
              <w:rPr>
                <w:bCs/>
                <w:iCs/>
              </w:rPr>
              <w:t xml:space="preserve"> 30.punktā minēto likumu pieņemšanas Saeimā </w:t>
            </w:r>
            <w:r w:rsidR="00312FF5" w:rsidRPr="00B84A64">
              <w:rPr>
                <w:bCs/>
                <w:iCs/>
              </w:rPr>
              <w:t xml:space="preserve">(tostarp, “Grozījumi Sociālo pakalpojumu un sociālās palīdzības likumā” un ”Grozījumi likumā “Par sociālo drošību””, kas pieņemti Saeimā 2020. gada 24. novembrī) </w:t>
            </w:r>
            <w:r w:rsidR="009B68F3" w:rsidRPr="00B84A64">
              <w:rPr>
                <w:bCs/>
                <w:iCs/>
              </w:rPr>
              <w:t>grozījumus minēto likumu saistītajos normatīvajos aktos sagatavot un iesniegt izskatīšanai Ministru kabinetā kā Ministru kabineta lietu</w:t>
            </w:r>
            <w:r w:rsidR="009B68F3" w:rsidRPr="005C10A9">
              <w:rPr>
                <w:bCs/>
                <w:iCs/>
              </w:rPr>
              <w:t>.</w:t>
            </w:r>
          </w:p>
        </w:tc>
      </w:tr>
      <w:tr w:rsidR="00FE6D6D" w:rsidRPr="00FE6D6D" w14:paraId="6A28CE3F" w14:textId="77777777" w:rsidTr="00F12761">
        <w:tblPrEx>
          <w:tblCellMar>
            <w:top w:w="30" w:type="dxa"/>
            <w:left w:w="108" w:type="dxa"/>
            <w:bottom w:w="30" w:type="dxa"/>
            <w:right w:w="108" w:type="dxa"/>
          </w:tblCellMar>
        </w:tblPrEx>
        <w:trPr>
          <w:trHeight w:val="4497"/>
        </w:trPr>
        <w:tc>
          <w:tcPr>
            <w:tcW w:w="581" w:type="dxa"/>
            <w:gridSpan w:val="2"/>
          </w:tcPr>
          <w:p w14:paraId="23C9A573" w14:textId="791EFAE3" w:rsidR="00487B6F" w:rsidRPr="00FE6D6D" w:rsidRDefault="00487B6F" w:rsidP="005516D9">
            <w:pPr>
              <w:spacing w:line="276" w:lineRule="auto"/>
              <w:jc w:val="center"/>
            </w:pPr>
            <w:r w:rsidRPr="00FE6D6D">
              <w:t>2.</w:t>
            </w:r>
          </w:p>
        </w:tc>
        <w:tc>
          <w:tcPr>
            <w:tcW w:w="1858" w:type="dxa"/>
          </w:tcPr>
          <w:p w14:paraId="09DCE607" w14:textId="77777777" w:rsidR="00487B6F" w:rsidRPr="00FE6D6D" w:rsidRDefault="00487B6F" w:rsidP="005516D9">
            <w:pPr>
              <w:spacing w:line="276" w:lineRule="auto"/>
            </w:pPr>
            <w:r w:rsidRPr="00FE6D6D">
              <w:t>Pašreizējā situācija un problēmas, kuru risināšanai tiesību akta projekts izstrādāts, tiesiskā regulējuma mērķis un būtība</w:t>
            </w:r>
          </w:p>
        </w:tc>
        <w:tc>
          <w:tcPr>
            <w:tcW w:w="6622" w:type="dxa"/>
            <w:gridSpan w:val="4"/>
          </w:tcPr>
          <w:p w14:paraId="07B16A27" w14:textId="002972E0" w:rsidR="001F6885" w:rsidRPr="00A907D6" w:rsidRDefault="00121682" w:rsidP="00A60DFD">
            <w:pPr>
              <w:pStyle w:val="ListParagraph"/>
              <w:numPr>
                <w:ilvl w:val="0"/>
                <w:numId w:val="33"/>
              </w:numPr>
              <w:spacing w:after="0"/>
              <w:ind w:left="453" w:right="113" w:hanging="357"/>
              <w:jc w:val="both"/>
              <w:rPr>
                <w:rFonts w:ascii="Times New Roman" w:eastAsiaTheme="minorHAnsi" w:hAnsi="Times New Roman"/>
                <w:sz w:val="24"/>
                <w:szCs w:val="24"/>
              </w:rPr>
            </w:pPr>
            <w:r w:rsidRPr="00A907D6">
              <w:rPr>
                <w:rFonts w:ascii="Times New Roman" w:hAnsi="Times New Roman"/>
                <w:bCs/>
                <w:sz w:val="24"/>
                <w:szCs w:val="24"/>
              </w:rPr>
              <w:t xml:space="preserve">Darbības programmas </w:t>
            </w:r>
            <w:r w:rsidR="004552C4" w:rsidRPr="00A907D6">
              <w:rPr>
                <w:rFonts w:ascii="Times New Roman" w:eastAsiaTheme="minorHAnsi" w:hAnsi="Times New Roman"/>
                <w:sz w:val="24"/>
                <w:szCs w:val="24"/>
              </w:rPr>
              <w:t>mērķis ir – mazināt pārtikas un pamata materiālo nenodrošinātību, vienlaikus mazinot vistrūcīgāko iedzīvotāju sociālo atstumtību</w:t>
            </w:r>
            <w:r w:rsidR="00FF5B0A" w:rsidRPr="00A907D6">
              <w:rPr>
                <w:rFonts w:ascii="Times New Roman" w:eastAsiaTheme="minorHAnsi" w:hAnsi="Times New Roman"/>
                <w:sz w:val="24"/>
                <w:szCs w:val="24"/>
              </w:rPr>
              <w:t>.</w:t>
            </w:r>
          </w:p>
          <w:p w14:paraId="60232544" w14:textId="1767E762" w:rsidR="00121682" w:rsidRPr="00A907D6" w:rsidRDefault="0017416D" w:rsidP="00A60DFD">
            <w:pPr>
              <w:spacing w:line="276" w:lineRule="auto"/>
              <w:ind w:left="97" w:right="112" w:hanging="3"/>
              <w:jc w:val="both"/>
              <w:rPr>
                <w:rFonts w:eastAsiaTheme="minorHAnsi"/>
                <w:lang w:eastAsia="en-US"/>
              </w:rPr>
            </w:pPr>
            <w:r w:rsidRPr="00A907D6">
              <w:t xml:space="preserve">Labklājības ministrija </w:t>
            </w:r>
            <w:r w:rsidR="003E63ED" w:rsidRPr="00A907D6">
              <w:t xml:space="preserve">(LM) </w:t>
            </w:r>
            <w:r w:rsidRPr="00A907D6">
              <w:t xml:space="preserve">kā Fonda vadošā iestāde </w:t>
            </w:r>
            <w:r w:rsidR="00B16DF2" w:rsidRPr="00A907D6">
              <w:t xml:space="preserve">atbild par </w:t>
            </w:r>
            <w:r w:rsidR="00DD6176" w:rsidRPr="00A907D6">
              <w:t xml:space="preserve">Fonda </w:t>
            </w:r>
            <w:r w:rsidRPr="00A907D6">
              <w:t>nefinansiāl</w:t>
            </w:r>
            <w:r w:rsidR="00B16DF2" w:rsidRPr="00A907D6">
              <w:t>a</w:t>
            </w:r>
            <w:r w:rsidRPr="00A907D6">
              <w:t xml:space="preserve"> atbalst</w:t>
            </w:r>
            <w:r w:rsidR="00B16DF2" w:rsidRPr="00A907D6">
              <w:t>a</w:t>
            </w:r>
            <w:r w:rsidRPr="00A907D6">
              <w:t xml:space="preserve"> un sociālās iekļaušanas papildpasākumu </w:t>
            </w:r>
            <w:r w:rsidR="00B16DF2" w:rsidRPr="00A907D6">
              <w:t xml:space="preserve">nodrošināšanu </w:t>
            </w:r>
            <w:r w:rsidRPr="00A907D6">
              <w:t xml:space="preserve">trūcīgām, krīzes situācijā nonākušām ģimenēm (personām), kā arī </w:t>
            </w:r>
            <w:r w:rsidR="006F147F" w:rsidRPr="00A907D6">
              <w:t>no 2019.</w:t>
            </w:r>
            <w:r w:rsidR="0033427C" w:rsidRPr="00A907D6">
              <w:t> </w:t>
            </w:r>
            <w:r w:rsidR="006F147F" w:rsidRPr="00A907D6">
              <w:t>gada 1.</w:t>
            </w:r>
            <w:r w:rsidR="0033427C" w:rsidRPr="00A907D6">
              <w:t> </w:t>
            </w:r>
            <w:r w:rsidR="006F147F" w:rsidRPr="00A907D6">
              <w:t xml:space="preserve">janvāra </w:t>
            </w:r>
            <w:r w:rsidRPr="00A907D6">
              <w:t xml:space="preserve">maznodrošinātām ģimenēm (personām), </w:t>
            </w:r>
            <w:r w:rsidR="003630B8" w:rsidRPr="00A907D6">
              <w:t xml:space="preserve">kuru ienākumi personai nepārsniedz </w:t>
            </w:r>
            <w:r w:rsidRPr="00A907D6">
              <w:t>242 </w:t>
            </w:r>
            <w:proofErr w:type="spellStart"/>
            <w:r w:rsidRPr="00A907D6">
              <w:rPr>
                <w:i/>
              </w:rPr>
              <w:t>euro</w:t>
            </w:r>
            <w:proofErr w:type="spellEnd"/>
            <w:r w:rsidRPr="00A907D6">
              <w:t xml:space="preserve"> (turpmāk – atbalst</w:t>
            </w:r>
            <w:r w:rsidR="00F02EB3" w:rsidRPr="00A907D6">
              <w:t>a</w:t>
            </w:r>
            <w:r w:rsidR="00E41753" w:rsidRPr="00A907D6">
              <w:t xml:space="preserve"> saņēmēji</w:t>
            </w:r>
            <w:r w:rsidRPr="00A907D6">
              <w:t>)</w:t>
            </w:r>
            <w:r w:rsidR="00B16DF2" w:rsidRPr="00A907D6">
              <w:t xml:space="preserve"> visā </w:t>
            </w:r>
            <w:r w:rsidR="00121682" w:rsidRPr="00A907D6">
              <w:t>valstī.</w:t>
            </w:r>
            <w:r w:rsidR="00121682" w:rsidRPr="00A907D6">
              <w:rPr>
                <w:rFonts w:eastAsiaTheme="minorHAnsi"/>
                <w:lang w:eastAsia="en-US"/>
              </w:rPr>
              <w:t xml:space="preserve"> </w:t>
            </w:r>
          </w:p>
          <w:p w14:paraId="5DE028E1" w14:textId="3C566373" w:rsidR="00D14614" w:rsidRPr="00A907D6" w:rsidRDefault="00121682" w:rsidP="00A60DFD">
            <w:pPr>
              <w:spacing w:line="276" w:lineRule="auto"/>
              <w:ind w:left="102" w:right="113" w:hanging="6"/>
              <w:jc w:val="both"/>
              <w:rPr>
                <w:bCs/>
              </w:rPr>
            </w:pPr>
            <w:r w:rsidRPr="00A907D6">
              <w:rPr>
                <w:rFonts w:eastAsiaTheme="minorHAnsi"/>
                <w:lang w:eastAsia="en-US"/>
              </w:rPr>
              <w:t>Latvijā</w:t>
            </w:r>
            <w:r w:rsidR="003630B8" w:rsidRPr="00A907D6">
              <w:rPr>
                <w:rFonts w:eastAsiaTheme="minorHAnsi"/>
                <w:lang w:eastAsia="en-US"/>
              </w:rPr>
              <w:t xml:space="preserve"> Fonda atbalstu (pārtiku un pamata materiālo palīdzību) </w:t>
            </w:r>
            <w:r w:rsidR="00C64838" w:rsidRPr="00A907D6">
              <w:rPr>
                <w:rFonts w:eastAsiaTheme="minorHAnsi"/>
                <w:lang w:eastAsia="en-US"/>
              </w:rPr>
              <w:t xml:space="preserve">no </w:t>
            </w:r>
            <w:r w:rsidR="002445F8" w:rsidRPr="00A907D6">
              <w:rPr>
                <w:rFonts w:eastAsiaTheme="minorHAnsi"/>
                <w:lang w:eastAsia="en-US"/>
              </w:rPr>
              <w:t>2015</w:t>
            </w:r>
            <w:r w:rsidR="004D40B3" w:rsidRPr="00A907D6">
              <w:rPr>
                <w:rFonts w:eastAsiaTheme="minorHAnsi"/>
                <w:lang w:eastAsia="en-US"/>
              </w:rPr>
              <w:t>.</w:t>
            </w:r>
            <w:r w:rsidR="00FC2A44" w:rsidRPr="00A907D6">
              <w:rPr>
                <w:rFonts w:eastAsiaTheme="minorHAnsi"/>
                <w:lang w:eastAsia="en-US"/>
              </w:rPr>
              <w:t> </w:t>
            </w:r>
            <w:r w:rsidR="004D40B3" w:rsidRPr="00A907D6">
              <w:rPr>
                <w:rFonts w:eastAsiaTheme="minorHAnsi"/>
                <w:lang w:eastAsia="en-US"/>
              </w:rPr>
              <w:t>g</w:t>
            </w:r>
            <w:r w:rsidR="00C64838" w:rsidRPr="00A907D6">
              <w:rPr>
                <w:rFonts w:eastAsiaTheme="minorHAnsi"/>
                <w:lang w:eastAsia="en-US"/>
              </w:rPr>
              <w:t xml:space="preserve">ada </w:t>
            </w:r>
            <w:r w:rsidR="002445F8" w:rsidRPr="00A907D6">
              <w:rPr>
                <w:rFonts w:eastAsiaTheme="minorHAnsi"/>
                <w:lang w:eastAsia="en-US"/>
              </w:rPr>
              <w:t>līdz 2019.</w:t>
            </w:r>
            <w:r w:rsidR="008236F1" w:rsidRPr="00A907D6">
              <w:rPr>
                <w:rFonts w:eastAsiaTheme="minorHAnsi"/>
                <w:lang w:eastAsia="en-US"/>
              </w:rPr>
              <w:t> </w:t>
            </w:r>
            <w:r w:rsidR="002445F8" w:rsidRPr="00A907D6">
              <w:rPr>
                <w:rFonts w:eastAsiaTheme="minorHAnsi"/>
                <w:lang w:eastAsia="en-US"/>
              </w:rPr>
              <w:t>gad</w:t>
            </w:r>
            <w:r w:rsidR="00C64838" w:rsidRPr="00A907D6">
              <w:rPr>
                <w:rFonts w:eastAsiaTheme="minorHAnsi"/>
                <w:lang w:eastAsia="en-US"/>
              </w:rPr>
              <w:t xml:space="preserve">am </w:t>
            </w:r>
            <w:r w:rsidR="003630B8" w:rsidRPr="00A907D6">
              <w:rPr>
                <w:rFonts w:eastAsiaTheme="minorHAnsi"/>
                <w:lang w:eastAsia="en-US"/>
              </w:rPr>
              <w:t>ikgad</w:t>
            </w:r>
            <w:r w:rsidR="002445F8" w:rsidRPr="00A907D6">
              <w:rPr>
                <w:rFonts w:eastAsiaTheme="minorHAnsi"/>
                <w:lang w:eastAsia="en-US"/>
              </w:rPr>
              <w:t>ēji</w:t>
            </w:r>
            <w:r w:rsidR="003630B8" w:rsidRPr="00A907D6">
              <w:rPr>
                <w:rFonts w:eastAsiaTheme="minorHAnsi"/>
                <w:lang w:eastAsia="en-US"/>
              </w:rPr>
              <w:t xml:space="preserve"> </w:t>
            </w:r>
            <w:r w:rsidR="002445F8" w:rsidRPr="00A907D6">
              <w:rPr>
                <w:rFonts w:eastAsiaTheme="minorHAnsi"/>
                <w:lang w:eastAsia="en-US"/>
              </w:rPr>
              <w:t xml:space="preserve">saņēma </w:t>
            </w:r>
            <w:r w:rsidR="00C64838" w:rsidRPr="00A907D6">
              <w:rPr>
                <w:rFonts w:eastAsiaTheme="minorHAnsi"/>
                <w:lang w:eastAsia="en-US"/>
              </w:rPr>
              <w:t xml:space="preserve">vidēji </w:t>
            </w:r>
            <w:r w:rsidR="00A63470" w:rsidRPr="00A907D6">
              <w:rPr>
                <w:rFonts w:eastAsiaTheme="minorHAnsi"/>
                <w:lang w:eastAsia="en-US"/>
              </w:rPr>
              <w:t>70</w:t>
            </w:r>
            <w:r w:rsidR="003630B8" w:rsidRPr="00A907D6">
              <w:rPr>
                <w:rFonts w:eastAsiaTheme="minorHAnsi"/>
                <w:lang w:eastAsia="en-US"/>
              </w:rPr>
              <w:t> tū</w:t>
            </w:r>
            <w:r w:rsidRPr="00A907D6">
              <w:rPr>
                <w:rFonts w:eastAsiaTheme="minorHAnsi"/>
                <w:lang w:eastAsia="en-US"/>
              </w:rPr>
              <w:t>kst. unikālo atbalsta saņēmēju.</w:t>
            </w:r>
            <w:r w:rsidR="006E392E" w:rsidRPr="00A907D6">
              <w:rPr>
                <w:rFonts w:eastAsiaTheme="minorHAnsi"/>
                <w:lang w:eastAsia="en-US"/>
              </w:rPr>
              <w:t xml:space="preserve"> </w:t>
            </w:r>
            <w:r w:rsidR="00D14614" w:rsidRPr="00A907D6">
              <w:rPr>
                <w:rFonts w:eastAsiaTheme="minorHAnsi"/>
              </w:rPr>
              <w:t xml:space="preserve">Spēkā esošie MK noteikumi par </w:t>
            </w:r>
            <w:r w:rsidR="00D14614" w:rsidRPr="00A907D6">
              <w:rPr>
                <w:rFonts w:eastAsiaTheme="minorHAnsi"/>
              </w:rPr>
              <w:lastRenderedPageBreak/>
              <w:t>darbības programmas īstenošanu</w:t>
            </w:r>
            <w:r w:rsidR="00D14614" w:rsidRPr="00A907D6">
              <w:rPr>
                <w:rStyle w:val="FootnoteReference"/>
                <w:rFonts w:eastAsiaTheme="minorHAnsi"/>
                <w:lang w:eastAsia="en-US"/>
              </w:rPr>
              <w:footnoteReference w:id="1"/>
            </w:r>
            <w:r w:rsidR="00D14614" w:rsidRPr="00A907D6">
              <w:rPr>
                <w:rFonts w:eastAsiaTheme="minorHAnsi"/>
              </w:rPr>
              <w:t xml:space="preserve"> (turpmāk –</w:t>
            </w:r>
            <w:r w:rsidR="00FD5400" w:rsidRPr="00A907D6">
              <w:rPr>
                <w:rFonts w:eastAsiaTheme="minorHAnsi"/>
              </w:rPr>
              <w:t xml:space="preserve"> </w:t>
            </w:r>
            <w:r w:rsidR="008F444B" w:rsidRPr="00A907D6">
              <w:rPr>
                <w:rFonts w:eastAsiaTheme="minorHAnsi"/>
              </w:rPr>
              <w:t>N</w:t>
            </w:r>
            <w:r w:rsidR="00D14614" w:rsidRPr="00A907D6">
              <w:rPr>
                <w:rFonts w:eastAsiaTheme="minorHAnsi"/>
              </w:rPr>
              <w:t>oteikumi) ir sasaistē ar sociālās aizsardzības normatīvo regulējumu Latvijā.</w:t>
            </w:r>
            <w:r w:rsidR="00D14614" w:rsidRPr="00A907D6">
              <w:t xml:space="preserve"> </w:t>
            </w:r>
            <w:r w:rsidR="00D14614" w:rsidRPr="00A907D6">
              <w:rPr>
                <w:bCs/>
              </w:rPr>
              <w:t>Ja tiek mainīti valstī noteiktie valsts vai pašvaldību sociālā atbalsta vispārējie nosacījumi, nepieciešamas atbilstošas izmaiņas arī noteikumos.</w:t>
            </w:r>
          </w:p>
          <w:p w14:paraId="14FBC7DF" w14:textId="7202C987" w:rsidR="005279CC" w:rsidRPr="00A907D6" w:rsidRDefault="00537213" w:rsidP="00A60DFD">
            <w:pPr>
              <w:pStyle w:val="ListParagraph"/>
              <w:numPr>
                <w:ilvl w:val="0"/>
                <w:numId w:val="33"/>
              </w:numPr>
              <w:spacing w:after="0"/>
              <w:ind w:right="112"/>
              <w:jc w:val="both"/>
              <w:rPr>
                <w:rFonts w:ascii="Times New Roman" w:eastAsiaTheme="minorHAnsi" w:hAnsi="Times New Roman"/>
                <w:sz w:val="24"/>
                <w:szCs w:val="24"/>
              </w:rPr>
            </w:pPr>
            <w:r w:rsidRPr="00A907D6">
              <w:rPr>
                <w:rFonts w:ascii="Times New Roman" w:hAnsi="Times New Roman"/>
                <w:iCs/>
                <w:sz w:val="24"/>
                <w:szCs w:val="24"/>
              </w:rPr>
              <w:t xml:space="preserve">Noteikumu projekta izstrāde </w:t>
            </w:r>
            <w:r w:rsidR="00577450" w:rsidRPr="00A907D6">
              <w:rPr>
                <w:rFonts w:ascii="Times New Roman" w:hAnsi="Times New Roman"/>
                <w:iCs/>
                <w:sz w:val="24"/>
                <w:szCs w:val="24"/>
              </w:rPr>
              <w:t xml:space="preserve">ir </w:t>
            </w:r>
            <w:r w:rsidR="00BC6A08" w:rsidRPr="00A907D6">
              <w:rPr>
                <w:rFonts w:ascii="Times New Roman" w:hAnsi="Times New Roman"/>
                <w:iCs/>
                <w:sz w:val="24"/>
                <w:szCs w:val="24"/>
              </w:rPr>
              <w:t>uz Ministru kabineta uz</w:t>
            </w:r>
            <w:r w:rsidR="005C10A9" w:rsidRPr="00A907D6">
              <w:rPr>
                <w:rFonts w:ascii="Times New Roman" w:hAnsi="Times New Roman"/>
                <w:iCs/>
                <w:sz w:val="24"/>
                <w:szCs w:val="24"/>
              </w:rPr>
              <w:t>devumu</w:t>
            </w:r>
            <w:r w:rsidR="00BC6A08" w:rsidRPr="00A907D6">
              <w:rPr>
                <w:rFonts w:ascii="Times New Roman" w:hAnsi="Times New Roman"/>
                <w:iCs/>
                <w:sz w:val="24"/>
                <w:szCs w:val="24"/>
              </w:rPr>
              <w:t xml:space="preserve"> </w:t>
            </w:r>
            <w:r w:rsidR="00704A2E" w:rsidRPr="00A907D6">
              <w:rPr>
                <w:rFonts w:ascii="Times New Roman" w:hAnsi="Times New Roman"/>
                <w:iCs/>
                <w:sz w:val="24"/>
                <w:szCs w:val="24"/>
              </w:rPr>
              <w:t xml:space="preserve">balstīta </w:t>
            </w:r>
            <w:r w:rsidR="00577450" w:rsidRPr="00A907D6">
              <w:rPr>
                <w:rFonts w:ascii="Times New Roman" w:hAnsi="Times New Roman"/>
                <w:iCs/>
                <w:sz w:val="24"/>
                <w:szCs w:val="24"/>
              </w:rPr>
              <w:t xml:space="preserve">LM iniciatīva, kas </w:t>
            </w:r>
            <w:r w:rsidR="00860BCE" w:rsidRPr="00A907D6">
              <w:rPr>
                <w:rFonts w:ascii="Times New Roman" w:hAnsi="Times New Roman"/>
                <w:iCs/>
                <w:sz w:val="24"/>
                <w:szCs w:val="24"/>
              </w:rPr>
              <w:t xml:space="preserve">pamatojas </w:t>
            </w:r>
            <w:r w:rsidRPr="00A907D6">
              <w:rPr>
                <w:rFonts w:ascii="Times New Roman" w:hAnsi="Times New Roman"/>
                <w:iCs/>
                <w:sz w:val="24"/>
                <w:szCs w:val="24"/>
              </w:rPr>
              <w:t>uz</w:t>
            </w:r>
            <w:r w:rsidR="00EE1377" w:rsidRPr="00A907D6">
              <w:rPr>
                <w:rFonts w:ascii="Times New Roman" w:hAnsi="Times New Roman"/>
                <w:iCs/>
                <w:sz w:val="24"/>
                <w:szCs w:val="24"/>
              </w:rPr>
              <w:t>:</w:t>
            </w:r>
          </w:p>
          <w:p w14:paraId="40791692" w14:textId="30B48D54" w:rsidR="00AE0D64" w:rsidRPr="00A907D6" w:rsidRDefault="00B84A64" w:rsidP="00A60DFD">
            <w:pPr>
              <w:pStyle w:val="ListParagraph"/>
              <w:numPr>
                <w:ilvl w:val="0"/>
                <w:numId w:val="18"/>
              </w:numPr>
              <w:spacing w:after="0"/>
              <w:jc w:val="both"/>
              <w:rPr>
                <w:rFonts w:ascii="Times New Roman" w:hAnsi="Times New Roman"/>
                <w:sz w:val="24"/>
                <w:szCs w:val="24"/>
              </w:rPr>
            </w:pPr>
            <w:r w:rsidRPr="00A907D6">
              <w:rPr>
                <w:rFonts w:ascii="Times New Roman" w:hAnsi="Times New Roman"/>
                <w:iCs/>
                <w:sz w:val="24"/>
                <w:szCs w:val="24"/>
              </w:rPr>
              <w:t>2014. gada 30. oktobra Ministru kabineta rīkojumu Nr. 619 “Koncepcija par minimālā ienākuma līmeņa noteikšanu” (turpmāk</w:t>
            </w:r>
            <w:r w:rsidR="00C91305" w:rsidRPr="00A907D6">
              <w:rPr>
                <w:rFonts w:ascii="Times New Roman" w:hAnsi="Times New Roman"/>
                <w:iCs/>
                <w:sz w:val="24"/>
                <w:szCs w:val="24"/>
              </w:rPr>
              <w:t xml:space="preserve"> </w:t>
            </w:r>
            <w:r w:rsidRPr="00A907D6">
              <w:rPr>
                <w:rFonts w:ascii="Times New Roman" w:hAnsi="Times New Roman"/>
                <w:iCs/>
                <w:sz w:val="24"/>
                <w:szCs w:val="24"/>
              </w:rPr>
              <w:t>-</w:t>
            </w:r>
            <w:r w:rsidR="00C91305" w:rsidRPr="00A907D6">
              <w:rPr>
                <w:rFonts w:ascii="Times New Roman" w:hAnsi="Times New Roman"/>
                <w:iCs/>
                <w:sz w:val="24"/>
                <w:szCs w:val="24"/>
              </w:rPr>
              <w:t xml:space="preserve"> </w:t>
            </w:r>
            <w:r w:rsidRPr="00A907D6">
              <w:rPr>
                <w:rFonts w:ascii="Times New Roman" w:hAnsi="Times New Roman"/>
                <w:iCs/>
                <w:sz w:val="24"/>
                <w:szCs w:val="24"/>
              </w:rPr>
              <w:t>MIL koncepcija)”</w:t>
            </w:r>
            <w:r w:rsidR="005C10A9" w:rsidRPr="00A907D6">
              <w:rPr>
                <w:rFonts w:ascii="Times New Roman" w:hAnsi="Times New Roman"/>
                <w:iCs/>
                <w:sz w:val="24"/>
                <w:szCs w:val="24"/>
              </w:rPr>
              <w:t xml:space="preserve"> un tajā </w:t>
            </w:r>
            <w:r w:rsidR="00AE0D64" w:rsidRPr="00A907D6">
              <w:rPr>
                <w:rFonts w:ascii="Times New Roman" w:eastAsia="Times New Roman" w:hAnsi="Times New Roman"/>
                <w:sz w:val="24"/>
                <w:szCs w:val="24"/>
                <w:lang w:eastAsia="lv-LV"/>
              </w:rPr>
              <w:t xml:space="preserve">paredzēto </w:t>
            </w:r>
            <w:r w:rsidR="005279CC" w:rsidRPr="00A907D6">
              <w:rPr>
                <w:rFonts w:ascii="Times New Roman" w:eastAsia="Times New Roman" w:hAnsi="Times New Roman"/>
                <w:sz w:val="24"/>
                <w:szCs w:val="24"/>
                <w:lang w:eastAsia="lv-LV"/>
              </w:rPr>
              <w:t>iedzīvotāju ekvivalento ienākumu</w:t>
            </w:r>
            <w:r w:rsidR="00AE0D64" w:rsidRPr="00A907D6">
              <w:rPr>
                <w:rFonts w:ascii="Times New Roman" w:eastAsia="Times New Roman" w:hAnsi="Times New Roman"/>
                <w:sz w:val="24"/>
                <w:szCs w:val="24"/>
                <w:lang w:eastAsia="lv-LV"/>
              </w:rPr>
              <w:t xml:space="preserve"> noteikšanu</w:t>
            </w:r>
            <w:r w:rsidR="005279CC" w:rsidRPr="00A907D6">
              <w:rPr>
                <w:rFonts w:ascii="Times New Roman" w:eastAsia="Times New Roman" w:hAnsi="Times New Roman"/>
                <w:sz w:val="24"/>
                <w:szCs w:val="24"/>
                <w:lang w:eastAsia="lv-LV"/>
              </w:rPr>
              <w:t>, piemēro</w:t>
            </w:r>
            <w:r w:rsidR="00AE0D64" w:rsidRPr="00A907D6">
              <w:rPr>
                <w:rFonts w:ascii="Times New Roman" w:eastAsia="Times New Roman" w:hAnsi="Times New Roman"/>
                <w:sz w:val="24"/>
                <w:szCs w:val="24"/>
                <w:lang w:eastAsia="lv-LV"/>
              </w:rPr>
              <w:t>jo</w:t>
            </w:r>
            <w:r w:rsidR="005279CC" w:rsidRPr="00A907D6">
              <w:rPr>
                <w:rFonts w:ascii="Times New Roman" w:eastAsia="Times New Roman" w:hAnsi="Times New Roman"/>
                <w:sz w:val="24"/>
                <w:szCs w:val="24"/>
                <w:lang w:eastAsia="lv-LV"/>
              </w:rPr>
              <w:t xml:space="preserve">t </w:t>
            </w:r>
            <w:r w:rsidR="00AC6E0E" w:rsidRPr="00A907D6">
              <w:rPr>
                <w:rFonts w:ascii="Times New Roman" w:eastAsia="Times New Roman" w:hAnsi="Times New Roman"/>
                <w:sz w:val="24"/>
                <w:szCs w:val="24"/>
                <w:lang w:eastAsia="lv-LV"/>
              </w:rPr>
              <w:t xml:space="preserve">Latvijas situācijai atbilstošu </w:t>
            </w:r>
            <w:r w:rsidR="005279CC" w:rsidRPr="00A907D6">
              <w:rPr>
                <w:rFonts w:ascii="Times New Roman" w:eastAsia="Times New Roman" w:hAnsi="Times New Roman"/>
                <w:sz w:val="24"/>
                <w:szCs w:val="24"/>
                <w:lang w:eastAsia="lv-LV"/>
              </w:rPr>
              <w:t>ekvivalences skalu</w:t>
            </w:r>
            <w:r w:rsidR="00AC6E0E" w:rsidRPr="00A907D6">
              <w:rPr>
                <w:rFonts w:ascii="Times New Roman" w:eastAsia="Times New Roman" w:hAnsi="Times New Roman"/>
                <w:sz w:val="24"/>
                <w:szCs w:val="24"/>
                <w:lang w:eastAsia="lv-LV"/>
              </w:rPr>
              <w:t xml:space="preserve"> </w:t>
            </w:r>
            <w:r w:rsidR="005279CC" w:rsidRPr="00A907D6">
              <w:rPr>
                <w:rFonts w:ascii="Times New Roman" w:hAnsi="Times New Roman"/>
                <w:sz w:val="24"/>
                <w:szCs w:val="24"/>
              </w:rPr>
              <w:t>(turpmāk – Latvijas skala)</w:t>
            </w:r>
            <w:r w:rsidR="00AC6E0E" w:rsidRPr="00A907D6">
              <w:rPr>
                <w:rStyle w:val="FootnoteReference"/>
                <w:sz w:val="24"/>
                <w:szCs w:val="24"/>
              </w:rPr>
              <w:footnoteReference w:id="2"/>
            </w:r>
            <w:r w:rsidR="001D2351" w:rsidRPr="00A907D6">
              <w:rPr>
                <w:rFonts w:ascii="Times New Roman" w:hAnsi="Times New Roman"/>
                <w:sz w:val="24"/>
                <w:szCs w:val="24"/>
              </w:rPr>
              <w:t>;</w:t>
            </w:r>
          </w:p>
          <w:p w14:paraId="3B1F29A0" w14:textId="02F32B20" w:rsidR="00501815" w:rsidRPr="00A907D6" w:rsidRDefault="00AE0D64" w:rsidP="00A60DFD">
            <w:pPr>
              <w:pStyle w:val="ListParagraph"/>
              <w:numPr>
                <w:ilvl w:val="0"/>
                <w:numId w:val="18"/>
              </w:numPr>
              <w:spacing w:after="0"/>
              <w:jc w:val="both"/>
              <w:rPr>
                <w:rFonts w:ascii="Times New Roman" w:hAnsi="Times New Roman"/>
                <w:sz w:val="24"/>
                <w:szCs w:val="24"/>
              </w:rPr>
            </w:pPr>
            <w:r w:rsidRPr="00A907D6">
              <w:rPr>
                <w:rFonts w:ascii="Times New Roman" w:hAnsi="Times New Roman"/>
                <w:sz w:val="24"/>
                <w:szCs w:val="24"/>
              </w:rPr>
              <w:t xml:space="preserve">Centrālās statistikas pārvaldes </w:t>
            </w:r>
            <w:r w:rsidR="001D2351" w:rsidRPr="00A907D6">
              <w:rPr>
                <w:rFonts w:ascii="Times New Roman" w:hAnsi="Times New Roman"/>
                <w:sz w:val="24"/>
                <w:szCs w:val="24"/>
              </w:rPr>
              <w:t>(</w:t>
            </w:r>
            <w:r w:rsidRPr="00A907D6">
              <w:rPr>
                <w:rFonts w:ascii="Times New Roman" w:hAnsi="Times New Roman"/>
                <w:sz w:val="24"/>
                <w:szCs w:val="24"/>
              </w:rPr>
              <w:t>CSP</w:t>
            </w:r>
            <w:r w:rsidR="001D2351" w:rsidRPr="00A907D6">
              <w:rPr>
                <w:rFonts w:ascii="Times New Roman" w:hAnsi="Times New Roman"/>
                <w:sz w:val="24"/>
                <w:szCs w:val="24"/>
              </w:rPr>
              <w:t>)</w:t>
            </w:r>
            <w:r w:rsidRPr="00A907D6">
              <w:rPr>
                <w:rFonts w:ascii="Times New Roman" w:hAnsi="Times New Roman"/>
                <w:sz w:val="24"/>
                <w:szCs w:val="24"/>
              </w:rPr>
              <w:t xml:space="preserve"> </w:t>
            </w:r>
            <w:r w:rsidR="001D2351" w:rsidRPr="00A907D6">
              <w:rPr>
                <w:rFonts w:ascii="Times New Roman" w:hAnsi="Times New Roman"/>
                <w:sz w:val="24"/>
                <w:szCs w:val="24"/>
              </w:rPr>
              <w:t xml:space="preserve">aktuālo </w:t>
            </w:r>
            <w:r w:rsidRPr="00A907D6">
              <w:rPr>
                <w:rFonts w:ascii="Times New Roman" w:hAnsi="Times New Roman"/>
                <w:sz w:val="24"/>
                <w:szCs w:val="24"/>
              </w:rPr>
              <w:t xml:space="preserve">tīmekļa vietnē publicēto </w:t>
            </w:r>
            <w:r w:rsidR="00AA7D96" w:rsidRPr="00A907D6">
              <w:rPr>
                <w:rFonts w:ascii="Times New Roman" w:hAnsi="Times New Roman"/>
                <w:iCs/>
                <w:sz w:val="24"/>
                <w:szCs w:val="24"/>
              </w:rPr>
              <w:t>mājsaimniecību rīcībā esošo ienākumu mediānu uz vienu ekvivalento patērētāju</w:t>
            </w:r>
            <w:r w:rsidR="00AA7D96" w:rsidRPr="00A907D6">
              <w:rPr>
                <w:rFonts w:ascii="Times New Roman" w:hAnsi="Times New Roman"/>
                <w:sz w:val="24"/>
                <w:szCs w:val="24"/>
              </w:rPr>
              <w:t xml:space="preserve"> (turpmāk</w:t>
            </w:r>
            <w:r w:rsidR="00501815" w:rsidRPr="00A907D6">
              <w:rPr>
                <w:rFonts w:ascii="Times New Roman" w:hAnsi="Times New Roman"/>
                <w:sz w:val="24"/>
                <w:szCs w:val="24"/>
              </w:rPr>
              <w:t xml:space="preserve"> </w:t>
            </w:r>
            <w:r w:rsidR="00AA7D96" w:rsidRPr="00A907D6">
              <w:rPr>
                <w:rFonts w:ascii="Times New Roman" w:hAnsi="Times New Roman"/>
                <w:sz w:val="24"/>
                <w:szCs w:val="24"/>
              </w:rPr>
              <w:t xml:space="preserve">- </w:t>
            </w:r>
            <w:r w:rsidR="005279CC" w:rsidRPr="00A907D6">
              <w:rPr>
                <w:rFonts w:ascii="Times New Roman" w:hAnsi="Times New Roman"/>
                <w:sz w:val="24"/>
                <w:szCs w:val="24"/>
              </w:rPr>
              <w:t>ienākumu mediān</w:t>
            </w:r>
            <w:r w:rsidR="00501815" w:rsidRPr="00A907D6">
              <w:rPr>
                <w:rFonts w:ascii="Times New Roman" w:hAnsi="Times New Roman"/>
                <w:sz w:val="24"/>
                <w:szCs w:val="24"/>
              </w:rPr>
              <w:t>a)</w:t>
            </w:r>
            <w:r w:rsidR="00AC6E0E" w:rsidRPr="00A907D6">
              <w:rPr>
                <w:rStyle w:val="FootnoteReference"/>
                <w:sz w:val="24"/>
                <w:szCs w:val="24"/>
              </w:rPr>
              <w:footnoteReference w:id="3"/>
            </w:r>
            <w:r w:rsidR="005279CC" w:rsidRPr="00A907D6">
              <w:rPr>
                <w:rFonts w:ascii="Times New Roman" w:hAnsi="Times New Roman"/>
                <w:sz w:val="24"/>
                <w:szCs w:val="24"/>
              </w:rPr>
              <w:t xml:space="preserve"> pēc Latvijas skalas</w:t>
            </w:r>
            <w:r w:rsidR="001D2351" w:rsidRPr="00A907D6">
              <w:rPr>
                <w:rFonts w:ascii="Times New Roman" w:hAnsi="Times New Roman"/>
                <w:sz w:val="24"/>
                <w:szCs w:val="24"/>
              </w:rPr>
              <w:t>;</w:t>
            </w:r>
          </w:p>
          <w:p w14:paraId="747D905F" w14:textId="30D6E679" w:rsidR="00AA7D96" w:rsidRPr="00A907D6" w:rsidRDefault="00FD5400" w:rsidP="00A60DFD">
            <w:pPr>
              <w:pStyle w:val="ListParagraph"/>
              <w:numPr>
                <w:ilvl w:val="0"/>
                <w:numId w:val="18"/>
              </w:numPr>
              <w:spacing w:after="0"/>
              <w:jc w:val="both"/>
              <w:rPr>
                <w:rFonts w:ascii="Times New Roman" w:hAnsi="Times New Roman"/>
                <w:sz w:val="24"/>
                <w:szCs w:val="24"/>
              </w:rPr>
            </w:pPr>
            <w:r w:rsidRPr="00A907D6">
              <w:rPr>
                <w:rFonts w:ascii="Times New Roman" w:hAnsi="Times New Roman"/>
                <w:bCs/>
                <w:sz w:val="24"/>
                <w:szCs w:val="24"/>
              </w:rPr>
              <w:t xml:space="preserve">Saeimā </w:t>
            </w:r>
            <w:proofErr w:type="gramStart"/>
            <w:r w:rsidR="005B75EF" w:rsidRPr="00A907D6">
              <w:rPr>
                <w:rFonts w:ascii="Times New Roman" w:hAnsi="Times New Roman"/>
                <w:bCs/>
                <w:sz w:val="24"/>
                <w:szCs w:val="24"/>
              </w:rPr>
              <w:t>2020.gada</w:t>
            </w:r>
            <w:proofErr w:type="gramEnd"/>
            <w:r w:rsidR="005B75EF" w:rsidRPr="00A907D6">
              <w:rPr>
                <w:rFonts w:ascii="Times New Roman" w:hAnsi="Times New Roman"/>
                <w:bCs/>
                <w:sz w:val="24"/>
                <w:szCs w:val="24"/>
              </w:rPr>
              <w:t xml:space="preserve"> </w:t>
            </w:r>
            <w:r w:rsidR="00034962" w:rsidRPr="00A907D6">
              <w:rPr>
                <w:rFonts w:ascii="Times New Roman" w:hAnsi="Times New Roman"/>
                <w:bCs/>
                <w:sz w:val="24"/>
                <w:szCs w:val="24"/>
              </w:rPr>
              <w:t>24</w:t>
            </w:r>
            <w:r w:rsidRPr="00A907D6">
              <w:rPr>
                <w:rFonts w:ascii="Times New Roman" w:hAnsi="Times New Roman"/>
                <w:bCs/>
                <w:sz w:val="24"/>
                <w:szCs w:val="24"/>
              </w:rPr>
              <w:t>.</w:t>
            </w:r>
            <w:r w:rsidR="00034962" w:rsidRPr="00A907D6">
              <w:rPr>
                <w:rFonts w:ascii="Times New Roman" w:hAnsi="Times New Roman"/>
                <w:bCs/>
                <w:sz w:val="24"/>
                <w:szCs w:val="24"/>
              </w:rPr>
              <w:t xml:space="preserve"> </w:t>
            </w:r>
            <w:r w:rsidRPr="00A907D6">
              <w:rPr>
                <w:rFonts w:ascii="Times New Roman" w:hAnsi="Times New Roman"/>
                <w:bCs/>
                <w:sz w:val="24"/>
                <w:szCs w:val="24"/>
              </w:rPr>
              <w:t>novembrī pieņemtā likuma “Grozījumi Sociālās drošības likumā” anotācijas ienākumu sliekšņu noteikšanas metodikā norādīto, ka iedzīvotāji, kuru ekvivalentie rīcībā esošie ienākumi ir zemāki par 60</w:t>
            </w:r>
            <w:r w:rsidR="006A2099" w:rsidRPr="00A907D6">
              <w:rPr>
                <w:rFonts w:ascii="Times New Roman" w:hAnsi="Times New Roman"/>
                <w:bCs/>
                <w:sz w:val="24"/>
                <w:szCs w:val="24"/>
              </w:rPr>
              <w:t> </w:t>
            </w:r>
            <w:r w:rsidRPr="00A907D6">
              <w:rPr>
                <w:rFonts w:ascii="Times New Roman" w:hAnsi="Times New Roman"/>
                <w:bCs/>
                <w:sz w:val="24"/>
                <w:szCs w:val="24"/>
              </w:rPr>
              <w:t xml:space="preserve">% no mājsaimniecību rīcībā esošās ienākumu mediānas (noapaļotas līdz veseliem </w:t>
            </w:r>
            <w:proofErr w:type="spellStart"/>
            <w:r w:rsidRPr="00A907D6">
              <w:rPr>
                <w:rFonts w:ascii="Times New Roman" w:hAnsi="Times New Roman"/>
                <w:bCs/>
                <w:i/>
                <w:sz w:val="24"/>
                <w:szCs w:val="24"/>
              </w:rPr>
              <w:t>euro</w:t>
            </w:r>
            <w:proofErr w:type="spellEnd"/>
            <w:r w:rsidRPr="00A907D6">
              <w:rPr>
                <w:rFonts w:ascii="Times New Roman" w:hAnsi="Times New Roman"/>
                <w:bCs/>
                <w:sz w:val="24"/>
                <w:szCs w:val="24"/>
              </w:rPr>
              <w:t>), tiek uzskatīti par pakļautiem nabadzības riskam</w:t>
            </w:r>
            <w:r w:rsidR="00501815" w:rsidRPr="00A907D6">
              <w:rPr>
                <w:rFonts w:ascii="Times New Roman" w:eastAsia="Times New Roman" w:hAnsi="Times New Roman"/>
                <w:iCs/>
                <w:sz w:val="24"/>
                <w:szCs w:val="24"/>
                <w:lang w:eastAsia="lv-LV"/>
              </w:rPr>
              <w:t>;</w:t>
            </w:r>
          </w:p>
          <w:p w14:paraId="4CBF1EF5" w14:textId="3F54715F" w:rsidR="00891775" w:rsidRPr="00A907D6" w:rsidRDefault="00AC6E0E" w:rsidP="00A60DFD">
            <w:pPr>
              <w:pStyle w:val="ListParagraph"/>
              <w:numPr>
                <w:ilvl w:val="0"/>
                <w:numId w:val="18"/>
              </w:numPr>
              <w:shd w:val="clear" w:color="auto" w:fill="FFFFFF"/>
              <w:spacing w:after="0"/>
              <w:contextualSpacing w:val="0"/>
              <w:jc w:val="both"/>
              <w:rPr>
                <w:rFonts w:ascii="Times New Roman" w:eastAsiaTheme="minorHAnsi" w:hAnsi="Times New Roman"/>
                <w:bCs/>
                <w:sz w:val="24"/>
                <w:szCs w:val="24"/>
              </w:rPr>
            </w:pPr>
            <w:r w:rsidRPr="00A907D6">
              <w:rPr>
                <w:rFonts w:ascii="Times New Roman" w:hAnsi="Times New Roman"/>
                <w:sz w:val="24"/>
                <w:szCs w:val="24"/>
              </w:rPr>
              <w:t>Saeimā</w:t>
            </w:r>
            <w:r w:rsidR="00034962" w:rsidRPr="00A907D6">
              <w:rPr>
                <w:rFonts w:ascii="Times New Roman" w:hAnsi="Times New Roman"/>
                <w:sz w:val="24"/>
                <w:szCs w:val="24"/>
              </w:rPr>
              <w:t xml:space="preserve"> </w:t>
            </w:r>
            <w:proofErr w:type="gramStart"/>
            <w:r w:rsidR="005B75EF" w:rsidRPr="00A907D6">
              <w:rPr>
                <w:rFonts w:ascii="Times New Roman" w:hAnsi="Times New Roman"/>
                <w:sz w:val="24"/>
                <w:szCs w:val="24"/>
              </w:rPr>
              <w:t>2020.gada</w:t>
            </w:r>
            <w:proofErr w:type="gramEnd"/>
            <w:r w:rsidR="005B75EF" w:rsidRPr="00A907D6">
              <w:rPr>
                <w:rFonts w:ascii="Times New Roman" w:hAnsi="Times New Roman"/>
                <w:sz w:val="24"/>
                <w:szCs w:val="24"/>
              </w:rPr>
              <w:t xml:space="preserve"> </w:t>
            </w:r>
            <w:r w:rsidR="00034962" w:rsidRPr="00A907D6">
              <w:rPr>
                <w:rFonts w:ascii="Times New Roman" w:hAnsi="Times New Roman"/>
                <w:sz w:val="24"/>
                <w:szCs w:val="24"/>
              </w:rPr>
              <w:t>24</w:t>
            </w:r>
            <w:r w:rsidRPr="00A907D6">
              <w:rPr>
                <w:rFonts w:ascii="Times New Roman" w:hAnsi="Times New Roman"/>
                <w:sz w:val="24"/>
                <w:szCs w:val="24"/>
              </w:rPr>
              <w:t>.</w:t>
            </w:r>
            <w:r w:rsidR="00034962" w:rsidRPr="00A907D6">
              <w:rPr>
                <w:rFonts w:ascii="Times New Roman" w:hAnsi="Times New Roman"/>
                <w:sz w:val="24"/>
                <w:szCs w:val="24"/>
              </w:rPr>
              <w:t xml:space="preserve"> </w:t>
            </w:r>
            <w:r w:rsidRPr="00A907D6">
              <w:rPr>
                <w:rFonts w:ascii="Times New Roman" w:hAnsi="Times New Roman"/>
                <w:sz w:val="24"/>
                <w:szCs w:val="24"/>
              </w:rPr>
              <w:t>novembrī pieņemtā likuma “</w:t>
            </w:r>
            <w:r w:rsidRPr="00A907D6">
              <w:rPr>
                <w:rFonts w:ascii="Times New Roman" w:eastAsiaTheme="minorHAnsi" w:hAnsi="Times New Roman"/>
                <w:bCs/>
                <w:sz w:val="24"/>
                <w:szCs w:val="24"/>
              </w:rPr>
              <w:t>Grozījumi Sociālo pakalpojum</w:t>
            </w:r>
            <w:r w:rsidRPr="00A907D6">
              <w:rPr>
                <w:rFonts w:ascii="Times New Roman" w:hAnsi="Times New Roman"/>
                <w:bCs/>
                <w:sz w:val="24"/>
                <w:szCs w:val="24"/>
              </w:rPr>
              <w:t>u un sociālās palīdzības likumā” (turpmāk</w:t>
            </w:r>
            <w:r w:rsidR="006A2099" w:rsidRPr="00A907D6">
              <w:rPr>
                <w:rFonts w:ascii="Times New Roman" w:hAnsi="Times New Roman"/>
                <w:bCs/>
                <w:sz w:val="24"/>
                <w:szCs w:val="24"/>
              </w:rPr>
              <w:t xml:space="preserve"> </w:t>
            </w:r>
            <w:r w:rsidRPr="00A907D6">
              <w:rPr>
                <w:rFonts w:ascii="Times New Roman" w:hAnsi="Times New Roman"/>
                <w:bCs/>
                <w:sz w:val="24"/>
                <w:szCs w:val="24"/>
              </w:rPr>
              <w:t>- SPSP likums) 33.</w:t>
            </w:r>
            <w:r w:rsidR="006A2099" w:rsidRPr="00A907D6">
              <w:rPr>
                <w:rFonts w:ascii="Times New Roman" w:hAnsi="Times New Roman"/>
                <w:bCs/>
                <w:sz w:val="24"/>
                <w:szCs w:val="24"/>
              </w:rPr>
              <w:t> </w:t>
            </w:r>
            <w:r w:rsidRPr="00A907D6">
              <w:rPr>
                <w:rFonts w:ascii="Times New Roman" w:hAnsi="Times New Roman"/>
                <w:bCs/>
                <w:sz w:val="24"/>
                <w:szCs w:val="24"/>
              </w:rPr>
              <w:t>pantā noteikto garantēto minimālo ienākumu un trūcīgas mājsaimniecības ienākumu slieksni un katras pašvaldības tiesībām pašvaldību saistošajos noteikumos noteikt maznodrošinātas mājsaimniecības ienākumu slieksni, kas būtu augstāks</w:t>
            </w:r>
            <w:r w:rsidRPr="00A907D6">
              <w:rPr>
                <w:rFonts w:ascii="Times New Roman" w:hAnsi="Times New Roman"/>
                <w:sz w:val="24"/>
                <w:szCs w:val="24"/>
              </w:rPr>
              <w:t xml:space="preserve"> </w:t>
            </w:r>
            <w:r w:rsidR="00723557" w:rsidRPr="00A907D6">
              <w:rPr>
                <w:rFonts w:ascii="Times New Roman" w:hAnsi="Times New Roman"/>
                <w:sz w:val="24"/>
                <w:szCs w:val="24"/>
              </w:rPr>
              <w:t>ne</w:t>
            </w:r>
            <w:r w:rsidRPr="00A907D6">
              <w:rPr>
                <w:rFonts w:ascii="Times New Roman" w:hAnsi="Times New Roman"/>
                <w:bCs/>
                <w:sz w:val="24"/>
                <w:szCs w:val="24"/>
              </w:rPr>
              <w:t>kā trūcīgas mājsaimniecības ienākumu slieksnis (272</w:t>
            </w:r>
            <w:r w:rsidR="00E8499D" w:rsidRPr="00A907D6">
              <w:rPr>
                <w:rFonts w:ascii="Times New Roman" w:hAnsi="Times New Roman"/>
                <w:bCs/>
                <w:sz w:val="24"/>
                <w:szCs w:val="24"/>
              </w:rPr>
              <w:t> </w:t>
            </w:r>
            <w:proofErr w:type="spellStart"/>
            <w:r w:rsidRPr="00A907D6">
              <w:rPr>
                <w:rFonts w:ascii="Times New Roman" w:hAnsi="Times New Roman"/>
                <w:bCs/>
                <w:i/>
                <w:sz w:val="24"/>
                <w:szCs w:val="24"/>
              </w:rPr>
              <w:t>euro</w:t>
            </w:r>
            <w:proofErr w:type="spellEnd"/>
            <w:r w:rsidRPr="00A907D6">
              <w:rPr>
                <w:rFonts w:ascii="Times New Roman" w:hAnsi="Times New Roman"/>
                <w:bCs/>
                <w:sz w:val="24"/>
                <w:szCs w:val="24"/>
              </w:rPr>
              <w:t xml:space="preserve"> pirmajai vai vienīgajai personai mājsaimniecībā un 190</w:t>
            </w:r>
            <w:r w:rsidR="006A2099" w:rsidRPr="00A907D6">
              <w:rPr>
                <w:rFonts w:ascii="Times New Roman" w:hAnsi="Times New Roman"/>
                <w:bCs/>
                <w:sz w:val="24"/>
                <w:szCs w:val="24"/>
              </w:rPr>
              <w:t> </w:t>
            </w:r>
            <w:proofErr w:type="spellStart"/>
            <w:r w:rsidRPr="00A907D6">
              <w:rPr>
                <w:rFonts w:ascii="Times New Roman" w:hAnsi="Times New Roman"/>
                <w:bCs/>
                <w:i/>
                <w:sz w:val="24"/>
                <w:szCs w:val="24"/>
              </w:rPr>
              <w:t>euro</w:t>
            </w:r>
            <w:proofErr w:type="spellEnd"/>
            <w:r w:rsidRPr="00A907D6">
              <w:rPr>
                <w:rFonts w:ascii="Times New Roman" w:hAnsi="Times New Roman"/>
                <w:bCs/>
                <w:sz w:val="24"/>
                <w:szCs w:val="24"/>
              </w:rPr>
              <w:t xml:space="preserve"> pārējām personām mājsaimniecībā)</w:t>
            </w:r>
            <w:r w:rsidR="008F444B" w:rsidRPr="00A907D6">
              <w:rPr>
                <w:rFonts w:ascii="Times New Roman" w:hAnsi="Times New Roman"/>
                <w:bCs/>
                <w:sz w:val="24"/>
                <w:szCs w:val="24"/>
              </w:rPr>
              <w:t>,</w:t>
            </w:r>
            <w:r w:rsidRPr="00A907D6">
              <w:rPr>
                <w:rFonts w:ascii="Times New Roman" w:hAnsi="Times New Roman"/>
                <w:bCs/>
                <w:sz w:val="24"/>
                <w:szCs w:val="24"/>
              </w:rPr>
              <w:t xml:space="preserve"> bet nepārsniegtu 436</w:t>
            </w:r>
            <w:r w:rsidR="006A2099" w:rsidRPr="00A907D6">
              <w:rPr>
                <w:rFonts w:ascii="Times New Roman" w:hAnsi="Times New Roman"/>
                <w:bCs/>
                <w:sz w:val="24"/>
                <w:szCs w:val="24"/>
              </w:rPr>
              <w:t> </w:t>
            </w:r>
            <w:proofErr w:type="spellStart"/>
            <w:r w:rsidRPr="00A907D6">
              <w:rPr>
                <w:rFonts w:ascii="Times New Roman" w:hAnsi="Times New Roman"/>
                <w:bCs/>
                <w:i/>
                <w:sz w:val="24"/>
                <w:szCs w:val="24"/>
              </w:rPr>
              <w:t>euro</w:t>
            </w:r>
            <w:proofErr w:type="spellEnd"/>
            <w:r w:rsidRPr="00A907D6">
              <w:rPr>
                <w:rFonts w:ascii="Times New Roman" w:hAnsi="Times New Roman"/>
                <w:bCs/>
                <w:sz w:val="24"/>
                <w:szCs w:val="24"/>
              </w:rPr>
              <w:t xml:space="preserve"> pirmajai vai vienīgajai personai mājsaimniecībā un 305</w:t>
            </w:r>
            <w:r w:rsidR="006A2099" w:rsidRPr="00A907D6">
              <w:rPr>
                <w:rFonts w:ascii="Times New Roman" w:hAnsi="Times New Roman"/>
                <w:bCs/>
                <w:sz w:val="24"/>
                <w:szCs w:val="24"/>
              </w:rPr>
              <w:t> </w:t>
            </w:r>
            <w:proofErr w:type="spellStart"/>
            <w:r w:rsidRPr="00A907D6">
              <w:rPr>
                <w:rFonts w:ascii="Times New Roman" w:hAnsi="Times New Roman"/>
                <w:bCs/>
                <w:i/>
                <w:sz w:val="24"/>
                <w:szCs w:val="24"/>
              </w:rPr>
              <w:t>euro</w:t>
            </w:r>
            <w:proofErr w:type="spellEnd"/>
            <w:r w:rsidRPr="00A907D6">
              <w:rPr>
                <w:rFonts w:ascii="Times New Roman" w:hAnsi="Times New Roman"/>
                <w:bCs/>
                <w:sz w:val="24"/>
                <w:szCs w:val="24"/>
              </w:rPr>
              <w:t xml:space="preserve"> pārējām personām mājsaimniecībā;</w:t>
            </w:r>
          </w:p>
          <w:p w14:paraId="494DA061" w14:textId="5B5E7AA5" w:rsidR="00D03B4A" w:rsidRPr="00A907D6" w:rsidRDefault="00860BCE" w:rsidP="00A60DFD">
            <w:pPr>
              <w:pStyle w:val="ListParagraph"/>
              <w:numPr>
                <w:ilvl w:val="0"/>
                <w:numId w:val="18"/>
              </w:numPr>
              <w:spacing w:after="0"/>
              <w:jc w:val="both"/>
              <w:rPr>
                <w:rFonts w:ascii="Times New Roman" w:hAnsi="Times New Roman"/>
                <w:bCs/>
                <w:sz w:val="24"/>
                <w:szCs w:val="24"/>
              </w:rPr>
            </w:pPr>
            <w:r w:rsidRPr="00A907D6">
              <w:rPr>
                <w:rFonts w:ascii="Times New Roman" w:hAnsi="Times New Roman"/>
                <w:bCs/>
                <w:sz w:val="24"/>
                <w:szCs w:val="24"/>
              </w:rPr>
              <w:lastRenderedPageBreak/>
              <w:t>s</w:t>
            </w:r>
            <w:r w:rsidR="003E1F98" w:rsidRPr="00A907D6">
              <w:rPr>
                <w:rFonts w:ascii="Times New Roman" w:hAnsi="Times New Roman"/>
                <w:bCs/>
                <w:sz w:val="24"/>
                <w:szCs w:val="24"/>
              </w:rPr>
              <w:t xml:space="preserve">pēkā esošajos </w:t>
            </w:r>
            <w:r w:rsidR="008F444B" w:rsidRPr="00A907D6">
              <w:rPr>
                <w:rFonts w:ascii="Times New Roman" w:hAnsi="Times New Roman"/>
                <w:bCs/>
                <w:sz w:val="24"/>
                <w:szCs w:val="24"/>
              </w:rPr>
              <w:t xml:space="preserve">Noteikumos paredzēto </w:t>
            </w:r>
            <w:r w:rsidR="004F1BEB" w:rsidRPr="00A907D6">
              <w:rPr>
                <w:rFonts w:ascii="Times New Roman" w:hAnsi="Times New Roman"/>
                <w:bCs/>
                <w:sz w:val="24"/>
                <w:szCs w:val="24"/>
              </w:rPr>
              <w:t>iespēju</w:t>
            </w:r>
            <w:r w:rsidR="003E1F98" w:rsidRPr="00A907D6">
              <w:rPr>
                <w:rFonts w:ascii="Times New Roman" w:hAnsi="Times New Roman"/>
                <w:bCs/>
                <w:sz w:val="24"/>
                <w:szCs w:val="24"/>
              </w:rPr>
              <w:t xml:space="preserve"> Fonda atbalsta saņemšanai </w:t>
            </w:r>
            <w:r w:rsidR="00891775" w:rsidRPr="00A907D6">
              <w:rPr>
                <w:rFonts w:ascii="Times New Roman" w:hAnsi="Times New Roman"/>
                <w:bCs/>
                <w:sz w:val="24"/>
                <w:szCs w:val="24"/>
              </w:rPr>
              <w:t>pašvaldības saistošajos noteikumos</w:t>
            </w:r>
            <w:r w:rsidR="00D03B4A" w:rsidRPr="00A907D6">
              <w:rPr>
                <w:rFonts w:ascii="Times New Roman" w:hAnsi="Times New Roman"/>
                <w:bCs/>
                <w:sz w:val="24"/>
                <w:szCs w:val="24"/>
              </w:rPr>
              <w:t xml:space="preserve"> </w:t>
            </w:r>
            <w:r w:rsidR="00891775" w:rsidRPr="00A907D6">
              <w:rPr>
                <w:rFonts w:ascii="Times New Roman" w:hAnsi="Times New Roman"/>
                <w:bCs/>
                <w:sz w:val="24"/>
                <w:szCs w:val="24"/>
              </w:rPr>
              <w:t xml:space="preserve">noteikt </w:t>
            </w:r>
            <w:r w:rsidR="00D03B4A" w:rsidRPr="00A907D6">
              <w:rPr>
                <w:rFonts w:ascii="Times New Roman" w:hAnsi="Times New Roman"/>
                <w:bCs/>
                <w:sz w:val="24"/>
                <w:szCs w:val="24"/>
              </w:rPr>
              <w:t>atsevišķu</w:t>
            </w:r>
            <w:r w:rsidR="003E1F98" w:rsidRPr="00A907D6">
              <w:rPr>
                <w:rFonts w:ascii="Times New Roman" w:hAnsi="Times New Roman"/>
                <w:bCs/>
                <w:sz w:val="24"/>
                <w:szCs w:val="24"/>
              </w:rPr>
              <w:t xml:space="preserve"> (</w:t>
            </w:r>
            <w:r w:rsidR="006B0187" w:rsidRPr="00A907D6">
              <w:rPr>
                <w:rFonts w:ascii="Times New Roman" w:hAnsi="Times New Roman"/>
                <w:bCs/>
                <w:sz w:val="24"/>
                <w:szCs w:val="24"/>
              </w:rPr>
              <w:t>labvēlīgāku</w:t>
            </w:r>
            <w:r w:rsidR="003E1F98" w:rsidRPr="00A907D6">
              <w:rPr>
                <w:rFonts w:ascii="Times New Roman" w:hAnsi="Times New Roman"/>
                <w:bCs/>
                <w:sz w:val="24"/>
                <w:szCs w:val="24"/>
              </w:rPr>
              <w:t xml:space="preserve"> nekā vispārējā gadījumā),</w:t>
            </w:r>
            <w:r w:rsidR="00D03B4A" w:rsidRPr="00A907D6">
              <w:rPr>
                <w:rFonts w:ascii="Times New Roman" w:hAnsi="Times New Roman"/>
                <w:bCs/>
                <w:sz w:val="24"/>
                <w:szCs w:val="24"/>
              </w:rPr>
              <w:t xml:space="preserve"> maznodrošinātas </w:t>
            </w:r>
            <w:r w:rsidR="003E1F98" w:rsidRPr="00A907D6">
              <w:rPr>
                <w:rFonts w:ascii="Times New Roman" w:hAnsi="Times New Roman"/>
                <w:bCs/>
                <w:sz w:val="24"/>
                <w:szCs w:val="24"/>
              </w:rPr>
              <w:t xml:space="preserve">ģimenes (personas) </w:t>
            </w:r>
            <w:r w:rsidR="00D03B4A" w:rsidRPr="00A907D6">
              <w:rPr>
                <w:rFonts w:ascii="Times New Roman" w:hAnsi="Times New Roman"/>
                <w:bCs/>
                <w:sz w:val="24"/>
                <w:szCs w:val="24"/>
              </w:rPr>
              <w:t>statusam atbilstošu ienākumu slieksni</w:t>
            </w:r>
            <w:r w:rsidR="00704A2E" w:rsidRPr="00A907D6">
              <w:rPr>
                <w:rFonts w:ascii="Times New Roman" w:hAnsi="Times New Roman"/>
                <w:bCs/>
                <w:sz w:val="24"/>
                <w:szCs w:val="24"/>
              </w:rPr>
              <w:t>.</w:t>
            </w:r>
          </w:p>
          <w:p w14:paraId="5E335F62" w14:textId="0C1EA578" w:rsidR="00704A2E" w:rsidRPr="00A907D6" w:rsidRDefault="00704A2E" w:rsidP="00A60DFD">
            <w:pPr>
              <w:pStyle w:val="ListParagraph"/>
              <w:spacing w:after="0"/>
              <w:ind w:left="97"/>
              <w:jc w:val="both"/>
              <w:rPr>
                <w:rFonts w:ascii="Times New Roman" w:hAnsi="Times New Roman"/>
                <w:bCs/>
                <w:sz w:val="24"/>
                <w:szCs w:val="24"/>
              </w:rPr>
            </w:pPr>
            <w:r w:rsidRPr="00A907D6">
              <w:rPr>
                <w:rFonts w:ascii="Times New Roman" w:hAnsi="Times New Roman"/>
                <w:bCs/>
                <w:sz w:val="24"/>
                <w:szCs w:val="24"/>
              </w:rPr>
              <w:t>Vienlaikus Noteikumu projektā iekļauti grozījumi, kas pamatojas uz:</w:t>
            </w:r>
          </w:p>
          <w:p w14:paraId="6BDCC1D6" w14:textId="27344C05" w:rsidR="007146A2" w:rsidRPr="00A907D6" w:rsidRDefault="000779FE" w:rsidP="00A60DFD">
            <w:pPr>
              <w:pStyle w:val="ListParagraph"/>
              <w:numPr>
                <w:ilvl w:val="0"/>
                <w:numId w:val="18"/>
              </w:numPr>
              <w:spacing w:after="0"/>
              <w:ind w:right="87"/>
              <w:jc w:val="both"/>
              <w:rPr>
                <w:rFonts w:ascii="Times New Roman" w:hAnsi="Times New Roman"/>
                <w:bCs/>
                <w:sz w:val="24"/>
                <w:szCs w:val="24"/>
              </w:rPr>
            </w:pPr>
            <w:r w:rsidRPr="00A907D6">
              <w:rPr>
                <w:rFonts w:ascii="Times New Roman" w:hAnsi="Times New Roman"/>
                <w:sz w:val="24"/>
                <w:szCs w:val="24"/>
              </w:rPr>
              <w:t xml:space="preserve">Saeimā </w:t>
            </w:r>
            <w:r w:rsidR="005B75EF" w:rsidRPr="00A907D6">
              <w:rPr>
                <w:rFonts w:ascii="Times New Roman" w:hAnsi="Times New Roman"/>
                <w:sz w:val="24"/>
                <w:szCs w:val="24"/>
              </w:rPr>
              <w:t>2020.</w:t>
            </w:r>
            <w:r w:rsidR="006C1A1F" w:rsidRPr="00A907D6">
              <w:rPr>
                <w:rFonts w:ascii="Times New Roman" w:hAnsi="Times New Roman"/>
                <w:sz w:val="24"/>
                <w:szCs w:val="24"/>
              </w:rPr>
              <w:t> </w:t>
            </w:r>
            <w:r w:rsidR="005B75EF" w:rsidRPr="00A907D6">
              <w:rPr>
                <w:rFonts w:ascii="Times New Roman" w:hAnsi="Times New Roman"/>
                <w:sz w:val="24"/>
                <w:szCs w:val="24"/>
              </w:rPr>
              <w:t xml:space="preserve">gada </w:t>
            </w:r>
            <w:r w:rsidRPr="00A907D6">
              <w:rPr>
                <w:rFonts w:ascii="Times New Roman" w:hAnsi="Times New Roman"/>
                <w:sz w:val="24"/>
                <w:szCs w:val="24"/>
              </w:rPr>
              <w:t>10. jūnijā pieņemt</w:t>
            </w:r>
            <w:r w:rsidR="0016704D" w:rsidRPr="00A907D6">
              <w:rPr>
                <w:rFonts w:ascii="Times New Roman" w:hAnsi="Times New Roman"/>
                <w:sz w:val="24"/>
                <w:szCs w:val="24"/>
              </w:rPr>
              <w:t>ajā</w:t>
            </w:r>
            <w:r w:rsidR="00BC6A08" w:rsidRPr="00A907D6">
              <w:rPr>
                <w:rFonts w:ascii="Times New Roman" w:hAnsi="Times New Roman"/>
                <w:sz w:val="24"/>
                <w:szCs w:val="24"/>
              </w:rPr>
              <w:t xml:space="preserve"> likumā</w:t>
            </w:r>
            <w:r w:rsidRPr="00A907D6">
              <w:rPr>
                <w:rFonts w:ascii="Times New Roman" w:hAnsi="Times New Roman"/>
                <w:sz w:val="24"/>
                <w:szCs w:val="24"/>
              </w:rPr>
              <w:t xml:space="preserve"> </w:t>
            </w:r>
            <w:r w:rsidRPr="00A907D6">
              <w:rPr>
                <w:rFonts w:ascii="Times New Roman" w:hAnsi="Times New Roman"/>
                <w:bCs/>
                <w:sz w:val="24"/>
                <w:szCs w:val="24"/>
              </w:rPr>
              <w:t xml:space="preserve">“Administratīvo teritoriju un apdzīvoto vietu likums” </w:t>
            </w:r>
            <w:r w:rsidR="00BC6A08" w:rsidRPr="00A907D6">
              <w:rPr>
                <w:rFonts w:ascii="Times New Roman" w:hAnsi="Times New Roman"/>
                <w:bCs/>
                <w:sz w:val="24"/>
                <w:szCs w:val="24"/>
              </w:rPr>
              <w:t xml:space="preserve">noteikto izmaiņu </w:t>
            </w:r>
            <w:r w:rsidR="003924F5" w:rsidRPr="00A907D6">
              <w:rPr>
                <w:rFonts w:ascii="Times New Roman" w:hAnsi="Times New Roman"/>
                <w:bCs/>
                <w:sz w:val="24"/>
                <w:szCs w:val="24"/>
              </w:rPr>
              <w:t xml:space="preserve">pašvaldību teritoriju nosaukumos </w:t>
            </w:r>
            <w:r w:rsidR="006310AA" w:rsidRPr="00A907D6">
              <w:rPr>
                <w:rFonts w:ascii="Times New Roman" w:hAnsi="Times New Roman"/>
                <w:bCs/>
                <w:sz w:val="24"/>
                <w:szCs w:val="24"/>
              </w:rPr>
              <w:t xml:space="preserve">saistībā </w:t>
            </w:r>
            <w:r w:rsidR="00346EC7" w:rsidRPr="00A907D6">
              <w:rPr>
                <w:rFonts w:ascii="Times New Roman" w:hAnsi="Times New Roman"/>
                <w:bCs/>
                <w:sz w:val="24"/>
                <w:szCs w:val="24"/>
              </w:rPr>
              <w:t>ar A</w:t>
            </w:r>
            <w:r w:rsidR="006310AA" w:rsidRPr="00A907D6">
              <w:rPr>
                <w:rFonts w:ascii="Times New Roman" w:hAnsi="Times New Roman"/>
                <w:bCs/>
                <w:sz w:val="24"/>
                <w:szCs w:val="24"/>
              </w:rPr>
              <w:t xml:space="preserve">dministratīvi </w:t>
            </w:r>
            <w:r w:rsidRPr="00A907D6">
              <w:rPr>
                <w:rFonts w:ascii="Times New Roman" w:hAnsi="Times New Roman"/>
                <w:bCs/>
                <w:sz w:val="24"/>
                <w:szCs w:val="24"/>
              </w:rPr>
              <w:t>t</w:t>
            </w:r>
            <w:r w:rsidR="006310AA" w:rsidRPr="00A907D6">
              <w:rPr>
                <w:rFonts w:ascii="Times New Roman" w:hAnsi="Times New Roman"/>
                <w:bCs/>
                <w:sz w:val="24"/>
                <w:szCs w:val="24"/>
              </w:rPr>
              <w:t xml:space="preserve">eritoriālo </w:t>
            </w:r>
            <w:r w:rsidRPr="00A907D6">
              <w:rPr>
                <w:rFonts w:ascii="Times New Roman" w:hAnsi="Times New Roman"/>
                <w:bCs/>
                <w:sz w:val="24"/>
                <w:szCs w:val="24"/>
              </w:rPr>
              <w:t>r</w:t>
            </w:r>
            <w:r w:rsidR="006310AA" w:rsidRPr="00A907D6">
              <w:rPr>
                <w:rFonts w:ascii="Times New Roman" w:hAnsi="Times New Roman"/>
                <w:bCs/>
                <w:sz w:val="24"/>
                <w:szCs w:val="24"/>
              </w:rPr>
              <w:t>eformu</w:t>
            </w:r>
            <w:r w:rsidR="00BC6A08" w:rsidRPr="00A907D6">
              <w:rPr>
                <w:rFonts w:ascii="Times New Roman" w:hAnsi="Times New Roman"/>
                <w:bCs/>
                <w:sz w:val="24"/>
                <w:szCs w:val="24"/>
              </w:rPr>
              <w:t xml:space="preserve"> stāšanos spēkā 2021.</w:t>
            </w:r>
            <w:r w:rsidR="0031238C" w:rsidRPr="00A907D6">
              <w:rPr>
                <w:rFonts w:ascii="Times New Roman" w:hAnsi="Times New Roman"/>
                <w:bCs/>
                <w:sz w:val="24"/>
                <w:szCs w:val="24"/>
              </w:rPr>
              <w:t xml:space="preserve"> </w:t>
            </w:r>
            <w:r w:rsidR="00BC6A08" w:rsidRPr="00A907D6">
              <w:rPr>
                <w:rFonts w:ascii="Times New Roman" w:hAnsi="Times New Roman"/>
                <w:bCs/>
                <w:sz w:val="24"/>
                <w:szCs w:val="24"/>
              </w:rPr>
              <w:t>gada 1.</w:t>
            </w:r>
            <w:r w:rsidR="00647BF7" w:rsidRPr="00A907D6">
              <w:rPr>
                <w:rFonts w:ascii="Times New Roman" w:hAnsi="Times New Roman"/>
                <w:bCs/>
                <w:sz w:val="24"/>
                <w:szCs w:val="24"/>
              </w:rPr>
              <w:t xml:space="preserve"> </w:t>
            </w:r>
            <w:r w:rsidR="00BC6A08" w:rsidRPr="00A907D6">
              <w:rPr>
                <w:rFonts w:ascii="Times New Roman" w:hAnsi="Times New Roman"/>
                <w:bCs/>
                <w:sz w:val="24"/>
                <w:szCs w:val="24"/>
              </w:rPr>
              <w:t>jūlijā</w:t>
            </w:r>
            <w:r w:rsidR="005C10A9" w:rsidRPr="00A907D6">
              <w:rPr>
                <w:rFonts w:ascii="Times New Roman" w:hAnsi="Times New Roman"/>
                <w:bCs/>
                <w:sz w:val="24"/>
                <w:szCs w:val="24"/>
              </w:rPr>
              <w:t>;</w:t>
            </w:r>
            <w:r w:rsidR="00346EC7" w:rsidRPr="00A907D6">
              <w:rPr>
                <w:rFonts w:ascii="Times New Roman" w:hAnsi="Times New Roman"/>
                <w:bCs/>
                <w:sz w:val="24"/>
                <w:szCs w:val="24"/>
              </w:rPr>
              <w:t xml:space="preserve"> </w:t>
            </w:r>
          </w:p>
          <w:p w14:paraId="5635F154" w14:textId="77777777" w:rsidR="006C1A1F" w:rsidRPr="00A907D6" w:rsidRDefault="006C1A1F" w:rsidP="00A60DFD">
            <w:pPr>
              <w:pStyle w:val="ListParagraph"/>
              <w:numPr>
                <w:ilvl w:val="0"/>
                <w:numId w:val="18"/>
              </w:numPr>
              <w:spacing w:after="0"/>
              <w:jc w:val="both"/>
              <w:rPr>
                <w:rFonts w:ascii="Times New Roman" w:hAnsi="Times New Roman"/>
                <w:sz w:val="24"/>
                <w:szCs w:val="24"/>
              </w:rPr>
            </w:pPr>
            <w:r w:rsidRPr="00A907D6">
              <w:rPr>
                <w:rFonts w:ascii="Times New Roman" w:hAnsi="Times New Roman"/>
                <w:sz w:val="24"/>
                <w:szCs w:val="24"/>
              </w:rPr>
              <w:t xml:space="preserve">spēkā esošās 2020. gada 23. aprīļa Eiropas Parlamenta un Padomes regulas (ES) 2020/559 ar ko Regulu (ES) Nr. 223/2014 groza attiecībā uz īpašu pasākumu ieviešanu </w:t>
            </w:r>
            <w:proofErr w:type="spellStart"/>
            <w:proofErr w:type="gramStart"/>
            <w:r w:rsidRPr="00A907D6">
              <w:rPr>
                <w:rFonts w:ascii="Times New Roman" w:hAnsi="Times New Roman"/>
                <w:sz w:val="24"/>
                <w:szCs w:val="24"/>
              </w:rPr>
              <w:t>Covid</w:t>
            </w:r>
            <w:proofErr w:type="spellEnd"/>
            <w:r w:rsidRPr="00A907D6">
              <w:rPr>
                <w:rFonts w:ascii="Times New Roman" w:hAnsi="Times New Roman"/>
                <w:sz w:val="24"/>
                <w:szCs w:val="24"/>
              </w:rPr>
              <w:t xml:space="preserve"> -1</w:t>
            </w:r>
            <w:proofErr w:type="gramEnd"/>
            <w:r w:rsidRPr="00A907D6">
              <w:rPr>
                <w:rFonts w:ascii="Times New Roman" w:hAnsi="Times New Roman"/>
                <w:sz w:val="24"/>
                <w:szCs w:val="24"/>
              </w:rPr>
              <w:t>9 uzliesmojuma risināšanai 1. panta 6) a) punkta ieviešanas nodrošināšanu. Noteikumu projektā paredzot individuālo aizsargmateriālu un aizsarglīdzekļu kvalitātes kritērijus iepirkumu veikšanai;</w:t>
            </w:r>
          </w:p>
          <w:p w14:paraId="0B021B15" w14:textId="77D9DA1F" w:rsidR="00D755CF" w:rsidRPr="00A907D6" w:rsidRDefault="00BA371A" w:rsidP="00A60DFD">
            <w:pPr>
              <w:pStyle w:val="ListParagraph"/>
              <w:numPr>
                <w:ilvl w:val="0"/>
                <w:numId w:val="18"/>
              </w:numPr>
              <w:spacing w:after="0"/>
              <w:jc w:val="both"/>
              <w:rPr>
                <w:rFonts w:ascii="Times New Roman" w:hAnsi="Times New Roman"/>
                <w:bCs/>
                <w:sz w:val="24"/>
                <w:szCs w:val="24"/>
              </w:rPr>
            </w:pPr>
            <w:r w:rsidRPr="00A907D6">
              <w:rPr>
                <w:rFonts w:ascii="Times New Roman" w:hAnsi="Times New Roman"/>
                <w:bCs/>
                <w:sz w:val="24"/>
                <w:szCs w:val="24"/>
              </w:rPr>
              <w:t>Fonda</w:t>
            </w:r>
            <w:r w:rsidR="003A30C7" w:rsidRPr="00A907D6">
              <w:rPr>
                <w:rFonts w:ascii="Times New Roman" w:hAnsi="Times New Roman"/>
                <w:bCs/>
                <w:sz w:val="24"/>
                <w:szCs w:val="24"/>
              </w:rPr>
              <w:t xml:space="preserve"> ieviešanas</w:t>
            </w:r>
            <w:r w:rsidR="0079749B" w:rsidRPr="00A907D6">
              <w:rPr>
                <w:rFonts w:ascii="Times New Roman" w:hAnsi="Times New Roman"/>
                <w:bCs/>
                <w:sz w:val="24"/>
                <w:szCs w:val="24"/>
              </w:rPr>
              <w:t xml:space="preserve"> novērtēšanas ziņojuma par </w:t>
            </w:r>
            <w:proofErr w:type="gramStart"/>
            <w:r w:rsidR="0079749B" w:rsidRPr="00A907D6">
              <w:rPr>
                <w:rFonts w:ascii="Times New Roman" w:hAnsi="Times New Roman"/>
                <w:bCs/>
                <w:sz w:val="24"/>
                <w:szCs w:val="24"/>
              </w:rPr>
              <w:t>2019.gadu</w:t>
            </w:r>
            <w:proofErr w:type="gramEnd"/>
            <w:r w:rsidR="003A30C7" w:rsidRPr="00A907D6">
              <w:rPr>
                <w:rStyle w:val="FootnoteReference"/>
                <w:bCs/>
                <w:sz w:val="24"/>
                <w:szCs w:val="24"/>
              </w:rPr>
              <w:footnoteReference w:id="4"/>
            </w:r>
            <w:r w:rsidR="0079749B" w:rsidRPr="00A907D6">
              <w:rPr>
                <w:rFonts w:ascii="Times New Roman" w:hAnsi="Times New Roman"/>
                <w:bCs/>
                <w:sz w:val="24"/>
                <w:szCs w:val="24"/>
              </w:rPr>
              <w:t xml:space="preserve"> </w:t>
            </w:r>
            <w:r w:rsidR="00D755CF" w:rsidRPr="00A907D6">
              <w:rPr>
                <w:rFonts w:ascii="Times New Roman" w:hAnsi="Times New Roman"/>
                <w:bCs/>
                <w:sz w:val="24"/>
                <w:szCs w:val="24"/>
              </w:rPr>
              <w:t xml:space="preserve">ieteikumiem un </w:t>
            </w:r>
            <w:r w:rsidRPr="00A907D6">
              <w:rPr>
                <w:rFonts w:ascii="Times New Roman" w:hAnsi="Times New Roman"/>
                <w:bCs/>
                <w:sz w:val="24"/>
                <w:szCs w:val="24"/>
              </w:rPr>
              <w:t xml:space="preserve">atbalsta </w:t>
            </w:r>
            <w:r w:rsidR="00D755CF" w:rsidRPr="00A907D6">
              <w:rPr>
                <w:rFonts w:ascii="Times New Roman" w:hAnsi="Times New Roman"/>
                <w:bCs/>
                <w:sz w:val="24"/>
                <w:szCs w:val="24"/>
              </w:rPr>
              <w:t>saņēmēju aptaujas rezultātiem</w:t>
            </w:r>
            <w:r w:rsidR="003A30C7" w:rsidRPr="00A907D6">
              <w:rPr>
                <w:rFonts w:ascii="Times New Roman" w:hAnsi="Times New Roman"/>
                <w:bCs/>
                <w:sz w:val="24"/>
                <w:szCs w:val="24"/>
              </w:rPr>
              <w:t>,</w:t>
            </w:r>
            <w:r w:rsidR="006C6A57" w:rsidRPr="00A907D6">
              <w:rPr>
                <w:rFonts w:ascii="Times New Roman" w:hAnsi="Times New Roman"/>
                <w:sz w:val="24"/>
                <w:szCs w:val="24"/>
              </w:rPr>
              <w:t xml:space="preserve"> paplašin</w:t>
            </w:r>
            <w:r w:rsidR="003924F5" w:rsidRPr="00A907D6">
              <w:rPr>
                <w:rFonts w:ascii="Times New Roman" w:hAnsi="Times New Roman"/>
                <w:sz w:val="24"/>
                <w:szCs w:val="24"/>
              </w:rPr>
              <w:t>ot</w:t>
            </w:r>
            <w:r w:rsidR="006C6A57" w:rsidRPr="00A907D6">
              <w:rPr>
                <w:rFonts w:ascii="Times New Roman" w:hAnsi="Times New Roman"/>
                <w:sz w:val="24"/>
                <w:szCs w:val="24"/>
              </w:rPr>
              <w:t xml:space="preserve"> </w:t>
            </w:r>
            <w:r w:rsidR="003A30C7" w:rsidRPr="00A907D6">
              <w:rPr>
                <w:rFonts w:ascii="Times New Roman" w:hAnsi="Times New Roman"/>
                <w:sz w:val="24"/>
                <w:szCs w:val="24"/>
              </w:rPr>
              <w:t>un precizē</w:t>
            </w:r>
            <w:r w:rsidR="003924F5" w:rsidRPr="00A907D6">
              <w:rPr>
                <w:rFonts w:ascii="Times New Roman" w:hAnsi="Times New Roman"/>
                <w:sz w:val="24"/>
                <w:szCs w:val="24"/>
              </w:rPr>
              <w:t>jot</w:t>
            </w:r>
            <w:r w:rsidR="003A30C7" w:rsidRPr="00A907D6">
              <w:rPr>
                <w:rFonts w:ascii="Times New Roman" w:hAnsi="Times New Roman"/>
                <w:sz w:val="24"/>
                <w:szCs w:val="24"/>
              </w:rPr>
              <w:t xml:space="preserve"> </w:t>
            </w:r>
            <w:r w:rsidR="006C6A57" w:rsidRPr="00A907D6">
              <w:rPr>
                <w:rFonts w:ascii="Times New Roman" w:hAnsi="Times New Roman"/>
                <w:sz w:val="24"/>
                <w:szCs w:val="24"/>
              </w:rPr>
              <w:t xml:space="preserve">pārtikas </w:t>
            </w:r>
            <w:r w:rsidR="003A30C7" w:rsidRPr="00A907D6">
              <w:rPr>
                <w:rFonts w:ascii="Times New Roman" w:hAnsi="Times New Roman"/>
                <w:sz w:val="24"/>
                <w:szCs w:val="24"/>
              </w:rPr>
              <w:t xml:space="preserve">preču </w:t>
            </w:r>
            <w:r w:rsidR="006C6A57" w:rsidRPr="00A907D6">
              <w:rPr>
                <w:rFonts w:ascii="Times New Roman" w:hAnsi="Times New Roman"/>
                <w:sz w:val="24"/>
                <w:szCs w:val="24"/>
              </w:rPr>
              <w:t>komplektos iekļaujamo preču kvalitātes kritērij</w:t>
            </w:r>
            <w:r w:rsidR="003924F5" w:rsidRPr="00A907D6">
              <w:rPr>
                <w:rFonts w:ascii="Times New Roman" w:hAnsi="Times New Roman"/>
                <w:sz w:val="24"/>
                <w:szCs w:val="24"/>
              </w:rPr>
              <w:t>us</w:t>
            </w:r>
            <w:r w:rsidR="003A30C7" w:rsidRPr="00A907D6">
              <w:rPr>
                <w:rFonts w:ascii="Times New Roman" w:hAnsi="Times New Roman"/>
                <w:sz w:val="24"/>
                <w:szCs w:val="24"/>
              </w:rPr>
              <w:t>.</w:t>
            </w:r>
          </w:p>
          <w:p w14:paraId="439F43A5" w14:textId="51B34ABA" w:rsidR="00305008" w:rsidRPr="00A907D6" w:rsidRDefault="000551A6" w:rsidP="00A60DFD">
            <w:pPr>
              <w:spacing w:line="276" w:lineRule="auto"/>
              <w:ind w:left="238" w:right="87" w:hanging="238"/>
              <w:jc w:val="both"/>
            </w:pPr>
            <w:r w:rsidRPr="00A907D6">
              <w:t xml:space="preserve">3. </w:t>
            </w:r>
            <w:r w:rsidR="00305008" w:rsidRPr="00A907D6">
              <w:t xml:space="preserve">Noteikumu </w:t>
            </w:r>
            <w:r w:rsidR="003924F5" w:rsidRPr="00A907D6">
              <w:t xml:space="preserve">projekta pamatmērķis ir </w:t>
            </w:r>
            <w:r w:rsidR="00305008" w:rsidRPr="00A907D6">
              <w:t>veikt</w:t>
            </w:r>
            <w:r w:rsidR="003924F5" w:rsidRPr="00A907D6">
              <w:t xml:space="preserve"> </w:t>
            </w:r>
            <w:r w:rsidR="00305008" w:rsidRPr="00A907D6">
              <w:t xml:space="preserve">izmaiņas </w:t>
            </w:r>
            <w:r w:rsidR="00305008" w:rsidRPr="00A907D6">
              <w:rPr>
                <w:bCs/>
              </w:rPr>
              <w:t>Fonda darbības programmas atbalstāmo darbību īstenošanas nosacījumos</w:t>
            </w:r>
            <w:r w:rsidR="009460FC" w:rsidRPr="00A907D6">
              <w:rPr>
                <w:bCs/>
              </w:rPr>
              <w:t>,</w:t>
            </w:r>
            <w:r w:rsidR="00305008" w:rsidRPr="00A907D6">
              <w:rPr>
                <w:bCs/>
              </w:rPr>
              <w:t xml:space="preserve"> atbilstoši grozījumiem normatīvajā regulējumā sociālās aizsardzības jomā</w:t>
            </w:r>
            <w:r w:rsidR="003924F5" w:rsidRPr="00A907D6">
              <w:rPr>
                <w:bCs/>
              </w:rPr>
              <w:t>,</w:t>
            </w:r>
            <w:r w:rsidR="00305008" w:rsidRPr="00A907D6">
              <w:rPr>
                <w:bCs/>
              </w:rPr>
              <w:t xml:space="preserve"> saistībā </w:t>
            </w:r>
            <w:r w:rsidR="00305008" w:rsidRPr="00A907D6">
              <w:t>ar tajā noteiktajiem minimālo ienākumu sliekšņ</w:t>
            </w:r>
            <w:r w:rsidR="003924F5" w:rsidRPr="00A907D6">
              <w:t>iem, kā arī</w:t>
            </w:r>
            <w:r w:rsidR="009460FC" w:rsidRPr="00A907D6">
              <w:t xml:space="preserve"> precizē</w:t>
            </w:r>
            <w:r w:rsidR="008275B7" w:rsidRPr="00A907D6">
              <w:t>t vai papildināt nosacījumus</w:t>
            </w:r>
            <w:r w:rsidR="009460FC" w:rsidRPr="00A907D6">
              <w:t xml:space="preserve"> atbilstoši </w:t>
            </w:r>
            <w:r w:rsidR="008275B7" w:rsidRPr="00A907D6">
              <w:t xml:space="preserve">citām </w:t>
            </w:r>
            <w:r w:rsidR="009460FC" w:rsidRPr="00A907D6">
              <w:t>likumdošanas izmaiņām</w:t>
            </w:r>
            <w:r w:rsidR="008275B7" w:rsidRPr="00A907D6">
              <w:t>.</w:t>
            </w:r>
          </w:p>
          <w:p w14:paraId="784531A1" w14:textId="408ADCE0" w:rsidR="00577450" w:rsidRPr="00A907D6" w:rsidRDefault="000551A6" w:rsidP="00A60DFD">
            <w:pPr>
              <w:spacing w:line="276" w:lineRule="auto"/>
              <w:jc w:val="both"/>
              <w:rPr>
                <w:bCs/>
              </w:rPr>
            </w:pPr>
            <w:r w:rsidRPr="00A907D6">
              <w:rPr>
                <w:bCs/>
              </w:rPr>
              <w:t xml:space="preserve">4. </w:t>
            </w:r>
            <w:r w:rsidR="00AB10F2" w:rsidRPr="00A907D6">
              <w:rPr>
                <w:bCs/>
              </w:rPr>
              <w:t>Noteikumu projektā</w:t>
            </w:r>
            <w:r w:rsidR="00577450" w:rsidRPr="00A907D6">
              <w:rPr>
                <w:bCs/>
              </w:rPr>
              <w:t>:</w:t>
            </w:r>
          </w:p>
          <w:p w14:paraId="00EA1F7C" w14:textId="53C59D3F" w:rsidR="008F37E2" w:rsidRPr="00A907D6" w:rsidRDefault="00AB10F2" w:rsidP="00A60DFD">
            <w:pPr>
              <w:spacing w:line="276" w:lineRule="auto"/>
              <w:ind w:left="586" w:hanging="284"/>
              <w:jc w:val="both"/>
              <w:rPr>
                <w:bCs/>
              </w:rPr>
            </w:pPr>
            <w:r w:rsidRPr="00A907D6">
              <w:rPr>
                <w:bCs/>
              </w:rPr>
              <w:t>4.1.</w:t>
            </w:r>
            <w:r w:rsidR="006D2C67" w:rsidRPr="00A907D6">
              <w:rPr>
                <w:bCs/>
              </w:rPr>
              <w:t xml:space="preserve"> </w:t>
            </w:r>
            <w:r w:rsidR="00452C2B" w:rsidRPr="00A907D6">
              <w:rPr>
                <w:bCs/>
              </w:rPr>
              <w:t>ņemot vērā</w:t>
            </w:r>
            <w:r w:rsidR="00B867C0" w:rsidRPr="00A907D6">
              <w:rPr>
                <w:bCs/>
              </w:rPr>
              <w:t xml:space="preserve"> </w:t>
            </w:r>
            <w:r w:rsidR="008F37E2" w:rsidRPr="00A907D6">
              <w:rPr>
                <w:bCs/>
              </w:rPr>
              <w:t>SPSP likumā definēto “mājsaimniecības” jēdzienu un noteikto</w:t>
            </w:r>
            <w:r w:rsidR="008F37E2" w:rsidRPr="00A907D6">
              <w:t xml:space="preserve"> “</w:t>
            </w:r>
            <w:r w:rsidR="008F37E2" w:rsidRPr="00A907D6">
              <w:rPr>
                <w:bCs/>
              </w:rPr>
              <w:t xml:space="preserve">trūcīgas vai maznodrošinātas mājsaimniecības” statusa </w:t>
            </w:r>
            <w:r w:rsidR="00134A43" w:rsidRPr="00A907D6">
              <w:rPr>
                <w:bCs/>
              </w:rPr>
              <w:t>piemēro</w:t>
            </w:r>
            <w:r w:rsidR="008F37E2" w:rsidRPr="00A907D6">
              <w:rPr>
                <w:bCs/>
              </w:rPr>
              <w:t xml:space="preserve">šanu atbalsta saņemšanai, </w:t>
            </w:r>
            <w:r w:rsidR="00134A43" w:rsidRPr="00A907D6">
              <w:rPr>
                <w:bCs/>
              </w:rPr>
              <w:t>ieviesta</w:t>
            </w:r>
            <w:r w:rsidR="008F37E2" w:rsidRPr="00A907D6">
              <w:rPr>
                <w:bCs/>
              </w:rPr>
              <w:t xml:space="preserve"> </w:t>
            </w:r>
            <w:r w:rsidRPr="00A907D6">
              <w:rPr>
                <w:bCs/>
              </w:rPr>
              <w:t xml:space="preserve">minētajam likumam atbilstoša </w:t>
            </w:r>
            <w:r w:rsidR="008F37E2" w:rsidRPr="00A907D6">
              <w:rPr>
                <w:bCs/>
              </w:rPr>
              <w:t>terminoloģija</w:t>
            </w:r>
            <w:r w:rsidR="00134A43" w:rsidRPr="00A907D6">
              <w:rPr>
                <w:bCs/>
              </w:rPr>
              <w:t>;</w:t>
            </w:r>
          </w:p>
          <w:p w14:paraId="626100E7" w14:textId="26A14C09" w:rsidR="000F1FFD" w:rsidRPr="00A907D6" w:rsidRDefault="00577450" w:rsidP="00A60DFD">
            <w:pPr>
              <w:pStyle w:val="ListParagraph"/>
              <w:spacing w:after="0"/>
              <w:ind w:left="361" w:hanging="284"/>
              <w:jc w:val="both"/>
              <w:rPr>
                <w:rFonts w:ascii="Times New Roman" w:hAnsi="Times New Roman"/>
                <w:bCs/>
                <w:sz w:val="24"/>
                <w:szCs w:val="24"/>
              </w:rPr>
            </w:pPr>
            <w:r w:rsidRPr="00A907D6">
              <w:rPr>
                <w:rFonts w:ascii="Times New Roman" w:hAnsi="Times New Roman"/>
                <w:iCs/>
                <w:sz w:val="24"/>
                <w:szCs w:val="24"/>
              </w:rPr>
              <w:t>(</w:t>
            </w:r>
            <w:r w:rsidR="009A5385" w:rsidRPr="00A907D6">
              <w:rPr>
                <w:rFonts w:ascii="Times New Roman" w:hAnsi="Times New Roman"/>
                <w:iCs/>
                <w:sz w:val="24"/>
                <w:szCs w:val="24"/>
              </w:rPr>
              <w:t>N</w:t>
            </w:r>
            <w:r w:rsidRPr="00A907D6">
              <w:rPr>
                <w:rFonts w:ascii="Times New Roman" w:hAnsi="Times New Roman"/>
                <w:iCs/>
                <w:sz w:val="24"/>
                <w:szCs w:val="24"/>
              </w:rPr>
              <w:t>oteikumu projekt</w:t>
            </w:r>
            <w:r w:rsidR="009A5385" w:rsidRPr="00A907D6">
              <w:rPr>
                <w:rFonts w:ascii="Times New Roman" w:hAnsi="Times New Roman"/>
                <w:iCs/>
                <w:sz w:val="24"/>
                <w:szCs w:val="24"/>
              </w:rPr>
              <w:t xml:space="preserve">a </w:t>
            </w:r>
            <w:r w:rsidR="00950533">
              <w:rPr>
                <w:rFonts w:ascii="Times New Roman" w:hAnsi="Times New Roman"/>
                <w:iCs/>
                <w:sz w:val="24"/>
                <w:szCs w:val="24"/>
              </w:rPr>
              <w:t>1.1., 1.2</w:t>
            </w:r>
            <w:r w:rsidR="009A5385" w:rsidRPr="00A907D6">
              <w:rPr>
                <w:rFonts w:ascii="Times New Roman" w:hAnsi="Times New Roman"/>
                <w:iCs/>
                <w:sz w:val="24"/>
                <w:szCs w:val="24"/>
              </w:rPr>
              <w:t>.</w:t>
            </w:r>
            <w:r w:rsidR="00CC0D04" w:rsidRPr="00A907D6">
              <w:rPr>
                <w:rFonts w:ascii="Times New Roman" w:hAnsi="Times New Roman"/>
                <w:iCs/>
                <w:sz w:val="24"/>
                <w:szCs w:val="24"/>
              </w:rPr>
              <w:t xml:space="preserve"> un</w:t>
            </w:r>
            <w:r w:rsidR="009A5385" w:rsidRPr="00A907D6">
              <w:rPr>
                <w:rFonts w:ascii="Times New Roman" w:hAnsi="Times New Roman"/>
                <w:iCs/>
                <w:sz w:val="24"/>
                <w:szCs w:val="24"/>
              </w:rPr>
              <w:t xml:space="preserve"> </w:t>
            </w:r>
            <w:r w:rsidR="00950533">
              <w:rPr>
                <w:rFonts w:ascii="Times New Roman" w:hAnsi="Times New Roman"/>
                <w:iCs/>
                <w:sz w:val="24"/>
                <w:szCs w:val="24"/>
              </w:rPr>
              <w:t>1.7</w:t>
            </w:r>
            <w:r w:rsidR="009A5385" w:rsidRPr="00A907D6">
              <w:rPr>
                <w:rFonts w:ascii="Times New Roman" w:hAnsi="Times New Roman"/>
                <w:iCs/>
                <w:sz w:val="24"/>
                <w:szCs w:val="24"/>
              </w:rPr>
              <w:t>.</w:t>
            </w:r>
            <w:r w:rsidR="00950533">
              <w:rPr>
                <w:rFonts w:ascii="Times New Roman" w:hAnsi="Times New Roman"/>
                <w:iCs/>
                <w:sz w:val="24"/>
                <w:szCs w:val="24"/>
              </w:rPr>
              <w:t>apakš</w:t>
            </w:r>
            <w:r w:rsidR="009A5385" w:rsidRPr="00A907D6">
              <w:rPr>
                <w:rFonts w:ascii="Times New Roman" w:hAnsi="Times New Roman"/>
                <w:iCs/>
                <w:sz w:val="24"/>
                <w:szCs w:val="24"/>
              </w:rPr>
              <w:t>punkts)</w:t>
            </w:r>
            <w:r w:rsidR="007146A2" w:rsidRPr="00A907D6">
              <w:rPr>
                <w:rFonts w:ascii="Times New Roman" w:hAnsi="Times New Roman"/>
                <w:iCs/>
                <w:sz w:val="24"/>
                <w:szCs w:val="24"/>
              </w:rPr>
              <w:t xml:space="preserve"> </w:t>
            </w:r>
          </w:p>
          <w:p w14:paraId="7E9EE640" w14:textId="7D922E13" w:rsidR="00745845" w:rsidRPr="00A907D6" w:rsidRDefault="00AB10F2" w:rsidP="00A60DFD">
            <w:pPr>
              <w:spacing w:line="276" w:lineRule="auto"/>
              <w:ind w:left="586" w:right="106" w:hanging="284"/>
              <w:jc w:val="both"/>
              <w:rPr>
                <w:iCs/>
              </w:rPr>
            </w:pPr>
            <w:r w:rsidRPr="00A907D6">
              <w:rPr>
                <w:bCs/>
              </w:rPr>
              <w:t>4.2.</w:t>
            </w:r>
            <w:r w:rsidR="00DE41C7" w:rsidRPr="00A907D6">
              <w:rPr>
                <w:bCs/>
              </w:rPr>
              <w:t xml:space="preserve"> </w:t>
            </w:r>
            <w:r w:rsidR="006D2C67" w:rsidRPr="00A907D6">
              <w:rPr>
                <w:bCs/>
              </w:rPr>
              <w:t xml:space="preserve">pamatojoties uz </w:t>
            </w:r>
            <w:r w:rsidRPr="00A907D6">
              <w:rPr>
                <w:bCs/>
              </w:rPr>
              <w:t>4.</w:t>
            </w:r>
            <w:r w:rsidR="006D2C67" w:rsidRPr="00A907D6">
              <w:rPr>
                <w:bCs/>
              </w:rPr>
              <w:t>1.punktā minēt</w:t>
            </w:r>
            <w:r w:rsidRPr="00A907D6">
              <w:rPr>
                <w:bCs/>
              </w:rPr>
              <w:t>o</w:t>
            </w:r>
            <w:r w:rsidR="006D2C67" w:rsidRPr="00A907D6">
              <w:rPr>
                <w:bCs/>
              </w:rPr>
              <w:t xml:space="preserve">, </w:t>
            </w:r>
            <w:r w:rsidR="006D2C67" w:rsidRPr="00A907D6">
              <w:rPr>
                <w:iCs/>
              </w:rPr>
              <w:t xml:space="preserve">mainīts Fonda atbalsta saņemšanai nepieciešamās sociālā dienesta izsniegtās izziņas nosaukums un noteikti </w:t>
            </w:r>
            <w:r w:rsidR="00745845" w:rsidRPr="00A907D6">
              <w:rPr>
                <w:iCs/>
              </w:rPr>
              <w:t xml:space="preserve">ienākumu sliekšņi, kurus </w:t>
            </w:r>
            <w:r w:rsidR="005A28B6" w:rsidRPr="00A907D6">
              <w:rPr>
                <w:iCs/>
              </w:rPr>
              <w:t>nepārsniedzot mājsaimniecībām,</w:t>
            </w:r>
            <w:r w:rsidR="00745845" w:rsidRPr="00A907D6">
              <w:rPr>
                <w:iCs/>
              </w:rPr>
              <w:t xml:space="preserve"> ir iespēja saņemt Fonda atbalstu.</w:t>
            </w:r>
          </w:p>
          <w:p w14:paraId="71289798" w14:textId="1C001DAC" w:rsidR="000935E3" w:rsidRPr="00A907D6" w:rsidRDefault="000935E3" w:rsidP="00A60DFD">
            <w:pPr>
              <w:spacing w:line="276" w:lineRule="auto"/>
              <w:ind w:left="361" w:right="106" w:firstLine="19"/>
              <w:jc w:val="both"/>
              <w:rPr>
                <w:i/>
                <w:iCs/>
              </w:rPr>
            </w:pPr>
            <w:r w:rsidRPr="00A907D6">
              <w:rPr>
                <w:bCs/>
              </w:rPr>
              <w:t>Ienākumu sliekšņu aprēķinā</w:t>
            </w:r>
            <w:r w:rsidR="006D2C67" w:rsidRPr="00A907D6">
              <w:rPr>
                <w:bCs/>
              </w:rPr>
              <w:t xml:space="preserve"> </w:t>
            </w:r>
            <w:r w:rsidR="000D7680" w:rsidRPr="00A907D6">
              <w:rPr>
                <w:bCs/>
              </w:rPr>
              <w:t>izmantot</w:t>
            </w:r>
            <w:r w:rsidRPr="00A907D6">
              <w:rPr>
                <w:bCs/>
              </w:rPr>
              <w:t>a</w:t>
            </w:r>
            <w:r w:rsidR="000D7680" w:rsidRPr="00A907D6">
              <w:rPr>
                <w:bCs/>
              </w:rPr>
              <w:t xml:space="preserve"> </w:t>
            </w:r>
            <w:r w:rsidR="00B266E4" w:rsidRPr="00A907D6">
              <w:rPr>
                <w:bCs/>
              </w:rPr>
              <w:t>CSP publicēt</w:t>
            </w:r>
            <w:r w:rsidRPr="00A907D6">
              <w:rPr>
                <w:bCs/>
              </w:rPr>
              <w:t>ā</w:t>
            </w:r>
            <w:r w:rsidR="00B266E4" w:rsidRPr="00A907D6">
              <w:rPr>
                <w:bCs/>
              </w:rPr>
              <w:t xml:space="preserve"> ienākumu mediān</w:t>
            </w:r>
            <w:r w:rsidRPr="00A907D6">
              <w:rPr>
                <w:bCs/>
              </w:rPr>
              <w:t>a</w:t>
            </w:r>
            <w:r w:rsidR="005279CC" w:rsidRPr="00A907D6">
              <w:t xml:space="preserve"> </w:t>
            </w:r>
            <w:r w:rsidR="000D7680" w:rsidRPr="00A907D6">
              <w:t>(</w:t>
            </w:r>
            <w:r w:rsidR="005279CC" w:rsidRPr="00A907D6">
              <w:t>2018</w:t>
            </w:r>
            <w:r w:rsidR="000D7680" w:rsidRPr="00A907D6">
              <w:t>)</w:t>
            </w:r>
            <w:r w:rsidR="005279CC" w:rsidRPr="00A907D6">
              <w:t xml:space="preserve"> 544,41</w:t>
            </w:r>
            <w:r w:rsidR="006A2099" w:rsidRPr="00A907D6">
              <w:t> </w:t>
            </w:r>
            <w:proofErr w:type="spellStart"/>
            <w:r w:rsidR="005279CC" w:rsidRPr="00A907D6">
              <w:rPr>
                <w:i/>
                <w:iCs/>
              </w:rPr>
              <w:t>euro</w:t>
            </w:r>
            <w:proofErr w:type="spellEnd"/>
            <w:r w:rsidR="005279CC" w:rsidRPr="00A907D6">
              <w:t xml:space="preserve">, </w:t>
            </w:r>
            <w:r w:rsidR="00B266E4" w:rsidRPr="00A907D6">
              <w:t xml:space="preserve">izrietoši piemērojot Latvijas skalu un </w:t>
            </w:r>
            <w:r w:rsidR="00B266E4" w:rsidRPr="00A907D6">
              <w:rPr>
                <w:iCs/>
              </w:rPr>
              <w:t xml:space="preserve">noapaļojot summas līdz veseliem </w:t>
            </w:r>
            <w:proofErr w:type="spellStart"/>
            <w:r w:rsidR="00B266E4" w:rsidRPr="00A907D6">
              <w:rPr>
                <w:i/>
                <w:iCs/>
              </w:rPr>
              <w:t>euro</w:t>
            </w:r>
            <w:proofErr w:type="spellEnd"/>
            <w:r w:rsidRPr="00A907D6">
              <w:rPr>
                <w:i/>
                <w:iCs/>
              </w:rPr>
              <w:t>.</w:t>
            </w:r>
          </w:p>
          <w:p w14:paraId="47D1C021" w14:textId="588DFC08" w:rsidR="00B266E4" w:rsidRPr="00A907D6" w:rsidRDefault="000935E3" w:rsidP="00A60DFD">
            <w:pPr>
              <w:spacing w:line="276" w:lineRule="auto"/>
              <w:ind w:left="361" w:right="106" w:firstLine="19"/>
              <w:jc w:val="both"/>
              <w:rPr>
                <w:iCs/>
              </w:rPr>
            </w:pPr>
            <w:r w:rsidRPr="00A907D6">
              <w:rPr>
                <w:iCs/>
              </w:rPr>
              <w:lastRenderedPageBreak/>
              <w:t>N</w:t>
            </w:r>
            <w:r w:rsidR="00B266E4" w:rsidRPr="00A907D6">
              <w:rPr>
                <w:iCs/>
              </w:rPr>
              <w:t>o 2021.</w:t>
            </w:r>
            <w:r w:rsidR="0033427C" w:rsidRPr="00A907D6">
              <w:rPr>
                <w:iCs/>
              </w:rPr>
              <w:t> </w:t>
            </w:r>
            <w:r w:rsidR="00367DFB" w:rsidRPr="00A907D6">
              <w:rPr>
                <w:iCs/>
              </w:rPr>
              <w:t>gada 1.</w:t>
            </w:r>
            <w:r w:rsidR="0033427C" w:rsidRPr="00A907D6">
              <w:rPr>
                <w:iCs/>
              </w:rPr>
              <w:t> </w:t>
            </w:r>
            <w:r w:rsidR="00B266E4" w:rsidRPr="00A907D6">
              <w:rPr>
                <w:iCs/>
              </w:rPr>
              <w:t>janvāra</w:t>
            </w:r>
            <w:r w:rsidR="005516D9" w:rsidRPr="00A907D6">
              <w:rPr>
                <w:iCs/>
              </w:rPr>
              <w:t xml:space="preserve"> </w:t>
            </w:r>
            <w:r w:rsidR="003D55D0" w:rsidRPr="00A907D6">
              <w:rPr>
                <w:iCs/>
              </w:rPr>
              <w:t>Fonda atbalstu tiesīgas saņemt mājsaimniecības, kuras atbilst</w:t>
            </w:r>
            <w:r w:rsidR="000D7680" w:rsidRPr="00A907D6">
              <w:rPr>
                <w:iCs/>
              </w:rPr>
              <w:t>:</w:t>
            </w:r>
            <w:r w:rsidR="00B266E4" w:rsidRPr="00A907D6">
              <w:rPr>
                <w:iCs/>
              </w:rPr>
              <w:t xml:space="preserve"> </w:t>
            </w:r>
          </w:p>
          <w:p w14:paraId="657D9A9A" w14:textId="040E134E" w:rsidR="00405DF5" w:rsidRPr="00A907D6" w:rsidRDefault="0087214F" w:rsidP="00A60DFD">
            <w:pPr>
              <w:pStyle w:val="ListParagraph"/>
              <w:spacing w:after="0"/>
              <w:ind w:left="664"/>
              <w:jc w:val="both"/>
              <w:rPr>
                <w:rFonts w:ascii="Times New Roman" w:hAnsi="Times New Roman"/>
                <w:iCs/>
                <w:sz w:val="24"/>
                <w:szCs w:val="24"/>
              </w:rPr>
            </w:pPr>
            <w:r w:rsidRPr="00A907D6">
              <w:rPr>
                <w:rFonts w:ascii="Times New Roman" w:hAnsi="Times New Roman"/>
                <w:iCs/>
                <w:sz w:val="24"/>
                <w:szCs w:val="24"/>
              </w:rPr>
              <w:t xml:space="preserve">- </w:t>
            </w:r>
            <w:r w:rsidR="00B266E4" w:rsidRPr="00A907D6">
              <w:rPr>
                <w:rFonts w:ascii="Times New Roman" w:hAnsi="Times New Roman"/>
                <w:iCs/>
                <w:sz w:val="24"/>
                <w:szCs w:val="24"/>
              </w:rPr>
              <w:t>trūc</w:t>
            </w:r>
            <w:r w:rsidR="00405DF5" w:rsidRPr="00A907D6">
              <w:rPr>
                <w:rFonts w:ascii="Times New Roman" w:hAnsi="Times New Roman"/>
                <w:iCs/>
                <w:sz w:val="24"/>
                <w:szCs w:val="24"/>
              </w:rPr>
              <w:t>īgas mājsaimniecības statusam</w:t>
            </w:r>
            <w:r w:rsidR="00E061E8" w:rsidRPr="00A907D6">
              <w:rPr>
                <w:rFonts w:ascii="Times New Roman" w:hAnsi="Times New Roman"/>
                <w:iCs/>
                <w:sz w:val="24"/>
                <w:szCs w:val="24"/>
              </w:rPr>
              <w:t xml:space="preserve"> (</w:t>
            </w:r>
            <w:r w:rsidR="00405DF5" w:rsidRPr="00A907D6">
              <w:rPr>
                <w:rFonts w:ascii="Times New Roman" w:hAnsi="Times New Roman"/>
                <w:iCs/>
                <w:sz w:val="24"/>
                <w:szCs w:val="24"/>
              </w:rPr>
              <w:t>mājsaimniecības</w:t>
            </w:r>
            <w:r w:rsidR="00C92DB5" w:rsidRPr="00A907D6">
              <w:rPr>
                <w:rFonts w:ascii="Times New Roman" w:hAnsi="Times New Roman"/>
                <w:iCs/>
                <w:sz w:val="24"/>
                <w:szCs w:val="24"/>
              </w:rPr>
              <w:t xml:space="preserve">, </w:t>
            </w:r>
            <w:r w:rsidR="00405DF5" w:rsidRPr="00A907D6">
              <w:rPr>
                <w:rFonts w:ascii="Times New Roman" w:hAnsi="Times New Roman"/>
                <w:iCs/>
                <w:sz w:val="24"/>
                <w:szCs w:val="24"/>
              </w:rPr>
              <w:t>kurās ienākumi nepārsniegs 272</w:t>
            </w:r>
            <w:r w:rsidR="006A2099" w:rsidRPr="00A907D6">
              <w:rPr>
                <w:rFonts w:ascii="Times New Roman" w:hAnsi="Times New Roman"/>
                <w:iCs/>
                <w:sz w:val="24"/>
                <w:szCs w:val="24"/>
              </w:rPr>
              <w:t> </w:t>
            </w:r>
            <w:proofErr w:type="spellStart"/>
            <w:r w:rsidR="00B266E4" w:rsidRPr="00A907D6">
              <w:rPr>
                <w:rFonts w:ascii="Times New Roman" w:hAnsi="Times New Roman"/>
                <w:i/>
                <w:iCs/>
                <w:sz w:val="24"/>
                <w:szCs w:val="24"/>
              </w:rPr>
              <w:t>euro</w:t>
            </w:r>
            <w:proofErr w:type="spellEnd"/>
            <w:r w:rsidR="00B266E4" w:rsidRPr="00A907D6">
              <w:rPr>
                <w:rFonts w:ascii="Times New Roman" w:hAnsi="Times New Roman"/>
                <w:iCs/>
                <w:sz w:val="24"/>
                <w:szCs w:val="24"/>
              </w:rPr>
              <w:t xml:space="preserve"> pirmajai vai vienīgajai personai mājsaimniecīb</w:t>
            </w:r>
            <w:r w:rsidR="00405DF5" w:rsidRPr="00A907D6">
              <w:rPr>
                <w:rFonts w:ascii="Times New Roman" w:hAnsi="Times New Roman"/>
                <w:iCs/>
                <w:sz w:val="24"/>
                <w:szCs w:val="24"/>
              </w:rPr>
              <w:t>ā</w:t>
            </w:r>
            <w:r w:rsidR="00B266E4" w:rsidRPr="00A907D6">
              <w:rPr>
                <w:rFonts w:ascii="Times New Roman" w:hAnsi="Times New Roman"/>
                <w:iCs/>
                <w:sz w:val="24"/>
                <w:szCs w:val="24"/>
              </w:rPr>
              <w:t>,</w:t>
            </w:r>
            <w:r w:rsidR="00405DF5" w:rsidRPr="00A907D6">
              <w:rPr>
                <w:rFonts w:ascii="Times New Roman" w:hAnsi="Times New Roman"/>
                <w:iCs/>
                <w:sz w:val="24"/>
                <w:szCs w:val="24"/>
              </w:rPr>
              <w:t xml:space="preserve"> bet</w:t>
            </w:r>
            <w:r w:rsidR="00B266E4" w:rsidRPr="00A907D6">
              <w:rPr>
                <w:rFonts w:ascii="Times New Roman" w:hAnsi="Times New Roman"/>
                <w:iCs/>
                <w:sz w:val="24"/>
                <w:szCs w:val="24"/>
              </w:rPr>
              <w:t xml:space="preserve"> katrai nākamai personai mājsaimniecībā </w:t>
            </w:r>
            <w:r w:rsidR="00405DF5" w:rsidRPr="00A907D6">
              <w:rPr>
                <w:rFonts w:ascii="Times New Roman" w:hAnsi="Times New Roman"/>
                <w:iCs/>
                <w:sz w:val="24"/>
                <w:szCs w:val="24"/>
              </w:rPr>
              <w:t>190</w:t>
            </w:r>
            <w:r w:rsidR="006A2099" w:rsidRPr="00A907D6">
              <w:rPr>
                <w:rFonts w:ascii="Times New Roman" w:hAnsi="Times New Roman"/>
                <w:iCs/>
                <w:sz w:val="24"/>
                <w:szCs w:val="24"/>
              </w:rPr>
              <w:t> </w:t>
            </w:r>
            <w:proofErr w:type="spellStart"/>
            <w:r w:rsidR="00B266E4" w:rsidRPr="00A907D6">
              <w:rPr>
                <w:rFonts w:ascii="Times New Roman" w:hAnsi="Times New Roman"/>
                <w:i/>
                <w:iCs/>
                <w:sz w:val="24"/>
                <w:szCs w:val="24"/>
              </w:rPr>
              <w:t>euro</w:t>
            </w:r>
            <w:proofErr w:type="spellEnd"/>
            <w:r w:rsidR="00E061E8" w:rsidRPr="00A907D6">
              <w:rPr>
                <w:rFonts w:ascii="Times New Roman" w:hAnsi="Times New Roman"/>
                <w:iCs/>
                <w:sz w:val="24"/>
                <w:szCs w:val="24"/>
              </w:rPr>
              <w:t>)</w:t>
            </w:r>
            <w:r w:rsidR="00405DF5" w:rsidRPr="00A907D6">
              <w:rPr>
                <w:rFonts w:ascii="Times New Roman" w:hAnsi="Times New Roman"/>
                <w:iCs/>
                <w:sz w:val="24"/>
                <w:szCs w:val="24"/>
              </w:rPr>
              <w:t>;</w:t>
            </w:r>
          </w:p>
          <w:p w14:paraId="50FB0AA3" w14:textId="3E86ADF8" w:rsidR="005279CC" w:rsidRPr="00A907D6" w:rsidRDefault="0087214F" w:rsidP="00A60DFD">
            <w:pPr>
              <w:pStyle w:val="ListParagraph"/>
              <w:spacing w:after="0"/>
              <w:ind w:left="664"/>
              <w:jc w:val="both"/>
              <w:rPr>
                <w:rFonts w:ascii="Times New Roman" w:hAnsi="Times New Roman"/>
                <w:iCs/>
                <w:sz w:val="24"/>
                <w:szCs w:val="24"/>
              </w:rPr>
            </w:pPr>
            <w:r w:rsidRPr="00A907D6">
              <w:rPr>
                <w:rFonts w:ascii="Times New Roman" w:hAnsi="Times New Roman"/>
                <w:sz w:val="24"/>
                <w:szCs w:val="24"/>
              </w:rPr>
              <w:t xml:space="preserve">- </w:t>
            </w:r>
            <w:r w:rsidR="00405DF5" w:rsidRPr="00A907D6">
              <w:rPr>
                <w:rFonts w:ascii="Times New Roman" w:hAnsi="Times New Roman"/>
                <w:sz w:val="24"/>
                <w:szCs w:val="24"/>
              </w:rPr>
              <w:t xml:space="preserve">maznodrošinātas (zem </w:t>
            </w:r>
            <w:r w:rsidR="005279CC" w:rsidRPr="00A907D6">
              <w:rPr>
                <w:rFonts w:ascii="Times New Roman" w:hAnsi="Times New Roman"/>
                <w:sz w:val="24"/>
                <w:szCs w:val="24"/>
              </w:rPr>
              <w:t>nabadzības riska sliek</w:t>
            </w:r>
            <w:r w:rsidR="00405DF5" w:rsidRPr="00A907D6">
              <w:rPr>
                <w:rFonts w:ascii="Times New Roman" w:hAnsi="Times New Roman"/>
                <w:sz w:val="24"/>
                <w:szCs w:val="24"/>
              </w:rPr>
              <w:t>šņa) mājsaimniecības</w:t>
            </w:r>
            <w:r w:rsidR="005279CC" w:rsidRPr="00A907D6">
              <w:rPr>
                <w:rFonts w:ascii="Times New Roman" w:hAnsi="Times New Roman"/>
                <w:sz w:val="24"/>
                <w:szCs w:val="24"/>
              </w:rPr>
              <w:t xml:space="preserve"> </w:t>
            </w:r>
            <w:r w:rsidR="00405DF5" w:rsidRPr="00A907D6">
              <w:rPr>
                <w:rFonts w:ascii="Times New Roman" w:hAnsi="Times New Roman"/>
                <w:iCs/>
                <w:sz w:val="24"/>
                <w:szCs w:val="24"/>
              </w:rPr>
              <w:t xml:space="preserve">statusam </w:t>
            </w:r>
            <w:r w:rsidR="00E061E8" w:rsidRPr="00A907D6">
              <w:rPr>
                <w:rFonts w:ascii="Times New Roman" w:hAnsi="Times New Roman"/>
                <w:iCs/>
                <w:sz w:val="24"/>
                <w:szCs w:val="24"/>
              </w:rPr>
              <w:t>(</w:t>
            </w:r>
            <w:r w:rsidR="00405DF5" w:rsidRPr="00A907D6">
              <w:rPr>
                <w:rFonts w:ascii="Times New Roman" w:hAnsi="Times New Roman"/>
                <w:iCs/>
                <w:sz w:val="24"/>
                <w:szCs w:val="24"/>
              </w:rPr>
              <w:t>mājsaimniecības</w:t>
            </w:r>
            <w:r w:rsidR="00367DFB" w:rsidRPr="00A907D6">
              <w:rPr>
                <w:rFonts w:ascii="Times New Roman" w:hAnsi="Times New Roman"/>
                <w:iCs/>
                <w:sz w:val="24"/>
                <w:szCs w:val="24"/>
              </w:rPr>
              <w:t>,</w:t>
            </w:r>
            <w:r w:rsidR="00405DF5" w:rsidRPr="00A907D6">
              <w:rPr>
                <w:rFonts w:ascii="Times New Roman" w:hAnsi="Times New Roman"/>
                <w:iCs/>
                <w:sz w:val="24"/>
                <w:szCs w:val="24"/>
              </w:rPr>
              <w:t xml:space="preserve"> kurās ienākumi nepārsniegs 327</w:t>
            </w:r>
            <w:r w:rsidR="006A2099" w:rsidRPr="00A907D6">
              <w:rPr>
                <w:rFonts w:ascii="Times New Roman" w:hAnsi="Times New Roman"/>
                <w:iCs/>
                <w:sz w:val="24"/>
                <w:szCs w:val="24"/>
              </w:rPr>
              <w:t> </w:t>
            </w:r>
            <w:proofErr w:type="spellStart"/>
            <w:r w:rsidR="00405DF5" w:rsidRPr="00A907D6">
              <w:rPr>
                <w:rFonts w:ascii="Times New Roman" w:hAnsi="Times New Roman"/>
                <w:i/>
                <w:iCs/>
                <w:sz w:val="24"/>
                <w:szCs w:val="24"/>
              </w:rPr>
              <w:t>euro</w:t>
            </w:r>
            <w:proofErr w:type="spellEnd"/>
            <w:r w:rsidR="00405DF5" w:rsidRPr="00A907D6">
              <w:rPr>
                <w:rFonts w:ascii="Times New Roman" w:hAnsi="Times New Roman"/>
                <w:iCs/>
                <w:sz w:val="24"/>
                <w:szCs w:val="24"/>
              </w:rPr>
              <w:t xml:space="preserve"> pirmajai vai vienīgajai personai mājsaimniecībā, bet katrai nākamai personai mājsaimniecībā 229</w:t>
            </w:r>
            <w:r w:rsidR="006A2099" w:rsidRPr="00A907D6">
              <w:rPr>
                <w:rFonts w:ascii="Times New Roman" w:hAnsi="Times New Roman"/>
                <w:iCs/>
                <w:sz w:val="24"/>
                <w:szCs w:val="24"/>
              </w:rPr>
              <w:t> </w:t>
            </w:r>
            <w:proofErr w:type="spellStart"/>
            <w:r w:rsidR="00405DF5" w:rsidRPr="00A907D6">
              <w:rPr>
                <w:rFonts w:ascii="Times New Roman" w:hAnsi="Times New Roman"/>
                <w:i/>
                <w:iCs/>
                <w:sz w:val="24"/>
                <w:szCs w:val="24"/>
              </w:rPr>
              <w:t>euro</w:t>
            </w:r>
            <w:proofErr w:type="spellEnd"/>
            <w:r w:rsidR="00E061E8" w:rsidRPr="00A907D6">
              <w:rPr>
                <w:rFonts w:ascii="Times New Roman" w:hAnsi="Times New Roman"/>
                <w:iCs/>
                <w:sz w:val="24"/>
                <w:szCs w:val="24"/>
              </w:rPr>
              <w:t>)</w:t>
            </w:r>
            <w:r w:rsidR="00405DF5" w:rsidRPr="00A907D6">
              <w:rPr>
                <w:rFonts w:ascii="Times New Roman" w:hAnsi="Times New Roman"/>
                <w:iCs/>
                <w:sz w:val="24"/>
                <w:szCs w:val="24"/>
              </w:rPr>
              <w:t>;</w:t>
            </w:r>
          </w:p>
          <w:p w14:paraId="258C9208" w14:textId="4EDE4637" w:rsidR="000D7680" w:rsidRPr="00A907D6" w:rsidRDefault="000D7680" w:rsidP="00A60DFD">
            <w:pPr>
              <w:pStyle w:val="ListParagraph"/>
              <w:spacing w:after="0"/>
              <w:ind w:left="301"/>
              <w:jc w:val="both"/>
              <w:rPr>
                <w:rFonts w:ascii="Times New Roman" w:hAnsi="Times New Roman"/>
                <w:iCs/>
                <w:sz w:val="24"/>
                <w:szCs w:val="24"/>
              </w:rPr>
            </w:pPr>
            <w:r w:rsidRPr="00A907D6">
              <w:rPr>
                <w:rFonts w:ascii="Times New Roman" w:hAnsi="Times New Roman"/>
                <w:iCs/>
                <w:sz w:val="24"/>
                <w:szCs w:val="24"/>
              </w:rPr>
              <w:t>(</w:t>
            </w:r>
            <w:r w:rsidR="00970AB6" w:rsidRPr="00A907D6">
              <w:rPr>
                <w:rFonts w:ascii="Times New Roman" w:hAnsi="Times New Roman"/>
                <w:iCs/>
                <w:sz w:val="24"/>
                <w:szCs w:val="24"/>
              </w:rPr>
              <w:t>Noteikumu projekta</w:t>
            </w:r>
            <w:r w:rsidR="00996798">
              <w:rPr>
                <w:rFonts w:ascii="Times New Roman" w:hAnsi="Times New Roman"/>
                <w:iCs/>
                <w:sz w:val="24"/>
                <w:szCs w:val="24"/>
              </w:rPr>
              <w:t xml:space="preserve"> 1.3</w:t>
            </w:r>
            <w:r w:rsidR="00CC0D04" w:rsidRPr="00A907D6">
              <w:rPr>
                <w:rFonts w:ascii="Times New Roman" w:hAnsi="Times New Roman"/>
                <w:iCs/>
                <w:sz w:val="24"/>
                <w:szCs w:val="24"/>
              </w:rPr>
              <w:t xml:space="preserve">., </w:t>
            </w:r>
            <w:r w:rsidR="00996798">
              <w:rPr>
                <w:rFonts w:ascii="Times New Roman" w:hAnsi="Times New Roman"/>
                <w:iCs/>
                <w:sz w:val="24"/>
                <w:szCs w:val="24"/>
              </w:rPr>
              <w:t>1.4</w:t>
            </w:r>
            <w:r w:rsidR="00CC0D04" w:rsidRPr="00A907D6">
              <w:rPr>
                <w:rFonts w:ascii="Times New Roman" w:hAnsi="Times New Roman"/>
                <w:iCs/>
                <w:sz w:val="24"/>
                <w:szCs w:val="24"/>
              </w:rPr>
              <w:t xml:space="preserve">., </w:t>
            </w:r>
            <w:r w:rsidR="00996798">
              <w:rPr>
                <w:rFonts w:ascii="Times New Roman" w:hAnsi="Times New Roman"/>
                <w:iCs/>
                <w:sz w:val="24"/>
                <w:szCs w:val="24"/>
              </w:rPr>
              <w:t>1.5</w:t>
            </w:r>
            <w:r w:rsidR="004E408E" w:rsidRPr="00A907D6">
              <w:rPr>
                <w:rFonts w:ascii="Times New Roman" w:hAnsi="Times New Roman"/>
                <w:iCs/>
                <w:sz w:val="24"/>
                <w:szCs w:val="24"/>
              </w:rPr>
              <w:t xml:space="preserve">. un </w:t>
            </w:r>
            <w:r w:rsidR="00996798">
              <w:rPr>
                <w:rFonts w:ascii="Times New Roman" w:hAnsi="Times New Roman"/>
                <w:iCs/>
                <w:sz w:val="24"/>
                <w:szCs w:val="24"/>
              </w:rPr>
              <w:t>1.6</w:t>
            </w:r>
            <w:r w:rsidR="004E408E" w:rsidRPr="00A907D6">
              <w:rPr>
                <w:rFonts w:ascii="Times New Roman" w:hAnsi="Times New Roman"/>
                <w:iCs/>
                <w:sz w:val="24"/>
                <w:szCs w:val="24"/>
              </w:rPr>
              <w:t>.</w:t>
            </w:r>
            <w:r w:rsidR="00E414D8">
              <w:rPr>
                <w:rFonts w:ascii="Times New Roman" w:hAnsi="Times New Roman"/>
                <w:iCs/>
                <w:sz w:val="24"/>
                <w:szCs w:val="24"/>
              </w:rPr>
              <w:t>apakš</w:t>
            </w:r>
            <w:r w:rsidR="004E408E" w:rsidRPr="00A907D6">
              <w:rPr>
                <w:rFonts w:ascii="Times New Roman" w:hAnsi="Times New Roman"/>
                <w:iCs/>
                <w:sz w:val="24"/>
                <w:szCs w:val="24"/>
              </w:rPr>
              <w:t>punkts)</w:t>
            </w:r>
            <w:r w:rsidRPr="00A907D6">
              <w:rPr>
                <w:rFonts w:ascii="Times New Roman" w:hAnsi="Times New Roman"/>
                <w:iCs/>
                <w:sz w:val="24"/>
                <w:szCs w:val="24"/>
              </w:rPr>
              <w:t xml:space="preserve"> </w:t>
            </w:r>
          </w:p>
          <w:p w14:paraId="05881D0C" w14:textId="576941DF" w:rsidR="00C40442" w:rsidRPr="00996798" w:rsidRDefault="00C40442" w:rsidP="00A60DFD">
            <w:pPr>
              <w:spacing w:line="276" w:lineRule="auto"/>
              <w:jc w:val="both"/>
              <w:rPr>
                <w:iCs/>
              </w:rPr>
            </w:pPr>
            <w:r w:rsidRPr="00996798">
              <w:rPr>
                <w:iCs/>
              </w:rPr>
              <w:t>Atzīmējams, ka Fonda atbalsta saņēmēju loks netiek sašaurināts</w:t>
            </w:r>
            <w:r w:rsidR="009403DB" w:rsidRPr="00996798">
              <w:rPr>
                <w:iCs/>
              </w:rPr>
              <w:t>.</w:t>
            </w:r>
            <w:r w:rsidRPr="00996798">
              <w:rPr>
                <w:iCs/>
              </w:rPr>
              <w:t xml:space="preserve"> </w:t>
            </w:r>
            <w:r w:rsidR="009403DB" w:rsidRPr="00996798">
              <w:rPr>
                <w:iCs/>
              </w:rPr>
              <w:t>M</w:t>
            </w:r>
            <w:r w:rsidRPr="00996798">
              <w:rPr>
                <w:iCs/>
              </w:rPr>
              <w:t>ājsaimniecība</w:t>
            </w:r>
            <w:r w:rsidR="009403DB" w:rsidRPr="00996798">
              <w:rPr>
                <w:iCs/>
              </w:rPr>
              <w:t>i</w:t>
            </w:r>
            <w:r w:rsidRPr="00996798">
              <w:rPr>
                <w:iCs/>
              </w:rPr>
              <w:t>, kurai bija tiesības saņemt atbalstu un kuras situācija nav mainījusies, Noteikumu projekta pieņemšanas rezultātā nesamazināsies tiesības saņemt Fonda atbalstu. Tieši pretēji, vienas vai divu personu mājsaimniecībām būs lielākas iespējas tikt atbalstītiem. Šeit akcentējamas atsevišķi dzīvojoši vecuma vai invaliditātes pensiju saņēmēji un viena vecāka ģimenes</w:t>
            </w:r>
            <w:r w:rsidR="0084016F" w:rsidRPr="00996798">
              <w:rPr>
                <w:iCs/>
              </w:rPr>
              <w:t xml:space="preserve"> (skatīt 1.</w:t>
            </w:r>
            <w:r w:rsidR="00D94150" w:rsidRPr="00996798">
              <w:rPr>
                <w:iCs/>
              </w:rPr>
              <w:t>attēlu</w:t>
            </w:r>
            <w:r w:rsidR="0084016F" w:rsidRPr="00996798">
              <w:rPr>
                <w:iCs/>
              </w:rPr>
              <w:t>)</w:t>
            </w:r>
            <w:r w:rsidR="00FB3250" w:rsidRPr="00996798">
              <w:rPr>
                <w:iCs/>
              </w:rPr>
              <w:t>.</w:t>
            </w:r>
            <w:r w:rsidR="003D55D0" w:rsidRPr="00996798">
              <w:rPr>
                <w:iCs/>
              </w:rPr>
              <w:t xml:space="preserve"> Atbalsts mājsaimniecībām, kuras nonākušas krīzes situācijā, tiek saglabāts.</w:t>
            </w:r>
          </w:p>
          <w:p w14:paraId="6EB84B90" w14:textId="11093AE3" w:rsidR="0084016F" w:rsidRPr="00A907D6" w:rsidRDefault="0084016F" w:rsidP="00A60DFD">
            <w:pPr>
              <w:pStyle w:val="ListParagraph"/>
              <w:spacing w:after="0"/>
              <w:ind w:left="300"/>
              <w:jc w:val="right"/>
              <w:rPr>
                <w:rFonts w:ascii="Times New Roman" w:hAnsi="Times New Roman"/>
                <w:iCs/>
                <w:sz w:val="24"/>
                <w:szCs w:val="24"/>
              </w:rPr>
            </w:pPr>
            <w:r w:rsidRPr="00A907D6">
              <w:rPr>
                <w:rFonts w:ascii="Times New Roman" w:hAnsi="Times New Roman"/>
                <w:iCs/>
                <w:sz w:val="24"/>
                <w:szCs w:val="24"/>
              </w:rPr>
              <w:t xml:space="preserve">1. </w:t>
            </w:r>
            <w:r w:rsidR="006A725E" w:rsidRPr="00A907D6">
              <w:rPr>
                <w:rFonts w:ascii="Times New Roman" w:hAnsi="Times New Roman"/>
                <w:iCs/>
                <w:sz w:val="24"/>
                <w:szCs w:val="24"/>
              </w:rPr>
              <w:t>attēls</w:t>
            </w:r>
          </w:p>
          <w:p w14:paraId="6E80FF3D" w14:textId="3AAF8F18" w:rsidR="004E408E" w:rsidRPr="00A907D6" w:rsidRDefault="004E408E" w:rsidP="00A60DFD">
            <w:pPr>
              <w:pStyle w:val="ListParagraph"/>
              <w:spacing w:after="0"/>
              <w:ind w:left="-123"/>
              <w:jc w:val="center"/>
              <w:rPr>
                <w:rFonts w:ascii="Times New Roman" w:hAnsi="Times New Roman"/>
                <w:iCs/>
                <w:sz w:val="24"/>
                <w:szCs w:val="24"/>
                <w:u w:val="single"/>
              </w:rPr>
            </w:pPr>
            <w:r w:rsidRPr="00A907D6">
              <w:rPr>
                <w:rFonts w:ascii="Times New Roman" w:hAnsi="Times New Roman"/>
                <w:iCs/>
                <w:sz w:val="24"/>
                <w:szCs w:val="24"/>
                <w:u w:val="single"/>
              </w:rPr>
              <w:t>Fonda atbalsta saņemšana</w:t>
            </w:r>
            <w:r w:rsidR="000569A9" w:rsidRPr="00A907D6">
              <w:rPr>
                <w:rFonts w:ascii="Times New Roman" w:hAnsi="Times New Roman"/>
                <w:iCs/>
                <w:sz w:val="24"/>
                <w:szCs w:val="24"/>
                <w:u w:val="single"/>
              </w:rPr>
              <w:t>s nosacījumu</w:t>
            </w:r>
            <w:r w:rsidRPr="00A907D6">
              <w:rPr>
                <w:rFonts w:ascii="Times New Roman" w:hAnsi="Times New Roman"/>
                <w:iCs/>
                <w:sz w:val="24"/>
                <w:szCs w:val="24"/>
                <w:u w:val="single"/>
              </w:rPr>
              <w:t xml:space="preserve"> izmaiņu izvērtējums</w:t>
            </w:r>
            <w:r w:rsidR="000569A9" w:rsidRPr="00A907D6">
              <w:rPr>
                <w:rFonts w:ascii="Times New Roman" w:hAnsi="Times New Roman"/>
                <w:iCs/>
                <w:sz w:val="24"/>
                <w:szCs w:val="24"/>
                <w:u w:val="single"/>
              </w:rPr>
              <w:t xml:space="preserve"> pēc personu skaita mājsaimniecībā</w:t>
            </w:r>
            <w:r w:rsidR="00497F4E" w:rsidRPr="00A907D6">
              <w:rPr>
                <w:rFonts w:ascii="Times New Roman" w:hAnsi="Times New Roman"/>
                <w:iCs/>
                <w:sz w:val="24"/>
                <w:szCs w:val="24"/>
                <w:u w:val="single"/>
              </w:rPr>
              <w:t xml:space="preserve"> un ienākumiem uz vienu personu mājsaimniecībā</w:t>
            </w:r>
            <w:r w:rsidR="007E6E22" w:rsidRPr="00A907D6">
              <w:rPr>
                <w:rFonts w:ascii="Times New Roman" w:hAnsi="Times New Roman"/>
                <w:iCs/>
                <w:sz w:val="24"/>
                <w:szCs w:val="24"/>
                <w:u w:val="single"/>
              </w:rPr>
              <w:t xml:space="preserve"> (</w:t>
            </w:r>
            <w:proofErr w:type="spellStart"/>
            <w:r w:rsidR="007E6E22" w:rsidRPr="00A907D6">
              <w:rPr>
                <w:rFonts w:ascii="Times New Roman" w:hAnsi="Times New Roman"/>
                <w:iCs/>
                <w:sz w:val="24"/>
                <w:szCs w:val="24"/>
                <w:u w:val="single"/>
              </w:rPr>
              <w:t>euro</w:t>
            </w:r>
            <w:proofErr w:type="spellEnd"/>
            <w:r w:rsidR="007E6E22" w:rsidRPr="00A907D6">
              <w:rPr>
                <w:rFonts w:ascii="Times New Roman" w:hAnsi="Times New Roman"/>
                <w:iCs/>
                <w:sz w:val="24"/>
                <w:szCs w:val="24"/>
                <w:u w:val="single"/>
              </w:rPr>
              <w:t>)</w:t>
            </w:r>
          </w:p>
          <w:p w14:paraId="3D2CB361" w14:textId="01787FFC" w:rsidR="00497F4E" w:rsidRPr="00A907D6" w:rsidRDefault="00E63920" w:rsidP="00A60DFD">
            <w:pPr>
              <w:pStyle w:val="ListParagraph"/>
              <w:spacing w:after="0"/>
              <w:ind w:left="-123"/>
              <w:jc w:val="center"/>
              <w:rPr>
                <w:rFonts w:ascii="Times New Roman" w:hAnsi="Times New Roman"/>
                <w:iCs/>
                <w:sz w:val="24"/>
                <w:szCs w:val="24"/>
              </w:rPr>
            </w:pPr>
            <w:r w:rsidRPr="00A907D6">
              <w:rPr>
                <w:rFonts w:ascii="Times New Roman" w:hAnsi="Times New Roman"/>
                <w:iCs/>
                <w:noProof/>
                <w:sz w:val="24"/>
                <w:szCs w:val="24"/>
                <w:lang w:eastAsia="lv-LV"/>
              </w:rPr>
              <w:drawing>
                <wp:inline distT="0" distB="0" distL="0" distR="0" wp14:anchorId="5229E466" wp14:editId="3F1A56C6">
                  <wp:extent cx="3838575" cy="2101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579" cy="2102400"/>
                          </a:xfrm>
                          <a:prstGeom prst="rect">
                            <a:avLst/>
                          </a:prstGeom>
                          <a:noFill/>
                        </pic:spPr>
                      </pic:pic>
                    </a:graphicData>
                  </a:graphic>
                </wp:inline>
              </w:drawing>
            </w:r>
          </w:p>
          <w:p w14:paraId="7615DE23" w14:textId="291FC0E8" w:rsidR="000D7680" w:rsidRPr="00A907D6" w:rsidRDefault="00B10F64" w:rsidP="00A60DFD">
            <w:pPr>
              <w:spacing w:line="276" w:lineRule="auto"/>
              <w:ind w:left="238"/>
              <w:jc w:val="both"/>
              <w:rPr>
                <w:bCs/>
              </w:rPr>
            </w:pPr>
            <w:r w:rsidRPr="00A907D6">
              <w:t>4.3</w:t>
            </w:r>
            <w:r w:rsidR="001745E7" w:rsidRPr="00A907D6">
              <w:t>. Atbilstoši SPSP likuma pārejas noteikumu 41.puntam, arī Noteikumu projektā paredzēts, ka</w:t>
            </w:r>
            <w:r w:rsidR="000D7680" w:rsidRPr="00A907D6">
              <w:t xml:space="preserve">, ja trūcīgas vai maznodrošinātas ģimenes (personas) izziņa izsniegta </w:t>
            </w:r>
            <w:r w:rsidR="00101C7E" w:rsidRPr="00A907D6">
              <w:t xml:space="preserve">līdz </w:t>
            </w:r>
            <w:r w:rsidR="000D7680" w:rsidRPr="00A907D6">
              <w:t>20</w:t>
            </w:r>
            <w:r w:rsidR="00101C7E" w:rsidRPr="00A907D6">
              <w:t>20</w:t>
            </w:r>
            <w:r w:rsidR="000D7680" w:rsidRPr="00A907D6">
              <w:t>.</w:t>
            </w:r>
            <w:r w:rsidR="006A2099" w:rsidRPr="00A907D6">
              <w:t> </w:t>
            </w:r>
            <w:r w:rsidR="000D7680" w:rsidRPr="00A907D6">
              <w:t>gada 1.</w:t>
            </w:r>
            <w:r w:rsidR="006A2099" w:rsidRPr="00A907D6">
              <w:t> </w:t>
            </w:r>
            <w:r w:rsidR="00101C7E" w:rsidRPr="00A907D6">
              <w:t>decembrim un uz i</w:t>
            </w:r>
            <w:r w:rsidR="000D7680" w:rsidRPr="00A907D6">
              <w:t xml:space="preserve">zziņas izsniegšanas brīdi ģimene (persona) atbilda Fonda atbalsta nosacījumiem, </w:t>
            </w:r>
            <w:r w:rsidR="00101C7E" w:rsidRPr="00A907D6">
              <w:t>tā ir spēkā visā izziņā minētajā termiņā</w:t>
            </w:r>
            <w:r w:rsidR="00785955" w:rsidRPr="00A907D6">
              <w:t xml:space="preserve">, </w:t>
            </w:r>
            <w:r w:rsidR="00101C7E" w:rsidRPr="00A907D6">
              <w:t xml:space="preserve">ienākumu izvērtējums nav jāveic </w:t>
            </w:r>
            <w:r w:rsidR="000D7680" w:rsidRPr="00A907D6">
              <w:t>atkārtoti</w:t>
            </w:r>
            <w:r w:rsidR="000D7680" w:rsidRPr="00A907D6">
              <w:rPr>
                <w:bCs/>
              </w:rPr>
              <w:t>.</w:t>
            </w:r>
          </w:p>
          <w:p w14:paraId="0748A6BD" w14:textId="1ABACC56" w:rsidR="00101C7E" w:rsidRPr="00A907D6" w:rsidRDefault="00101C7E" w:rsidP="00A60DFD">
            <w:pPr>
              <w:spacing w:line="276" w:lineRule="auto"/>
              <w:ind w:left="361"/>
              <w:jc w:val="both"/>
              <w:rPr>
                <w:bCs/>
              </w:rPr>
            </w:pPr>
            <w:r w:rsidRPr="00A907D6">
              <w:rPr>
                <w:bCs/>
              </w:rPr>
              <w:t>(</w:t>
            </w:r>
            <w:r w:rsidR="004E408E" w:rsidRPr="00A907D6">
              <w:rPr>
                <w:bCs/>
              </w:rPr>
              <w:t xml:space="preserve">Noteikumu projekta </w:t>
            </w:r>
            <w:r w:rsidR="00E414D8">
              <w:rPr>
                <w:bCs/>
              </w:rPr>
              <w:t>1.10</w:t>
            </w:r>
            <w:r w:rsidR="00D755CF" w:rsidRPr="00A907D6">
              <w:rPr>
                <w:bCs/>
              </w:rPr>
              <w:t>.</w:t>
            </w:r>
            <w:r w:rsidR="00E414D8">
              <w:rPr>
                <w:bCs/>
              </w:rPr>
              <w:t>apakš</w:t>
            </w:r>
            <w:r w:rsidRPr="00A907D6">
              <w:rPr>
                <w:bCs/>
              </w:rPr>
              <w:t>punkts)</w:t>
            </w:r>
          </w:p>
          <w:p w14:paraId="73649D03" w14:textId="66CCB793" w:rsidR="00101C7E" w:rsidRPr="00A907D6" w:rsidRDefault="00A907D6" w:rsidP="00A60DFD">
            <w:pPr>
              <w:spacing w:line="276" w:lineRule="auto"/>
              <w:ind w:left="97" w:right="87"/>
              <w:jc w:val="both"/>
            </w:pPr>
            <w:r w:rsidRPr="00A907D6">
              <w:rPr>
                <w:bCs/>
              </w:rPr>
              <w:t>4.4.</w:t>
            </w:r>
            <w:r w:rsidR="000F1FFD" w:rsidRPr="00A907D6">
              <w:rPr>
                <w:bCs/>
              </w:rPr>
              <w:t xml:space="preserve"> </w:t>
            </w:r>
            <w:r w:rsidR="0087214F" w:rsidRPr="00A907D6">
              <w:rPr>
                <w:bCs/>
              </w:rPr>
              <w:t>S</w:t>
            </w:r>
            <w:r w:rsidR="00101C7E" w:rsidRPr="00A907D6">
              <w:rPr>
                <w:bCs/>
              </w:rPr>
              <w:t xml:space="preserve">aistībā ar </w:t>
            </w:r>
            <w:r w:rsidR="000779FE" w:rsidRPr="00A907D6">
              <w:rPr>
                <w:bCs/>
              </w:rPr>
              <w:t xml:space="preserve">Administratīvo teritoriju un apdzīvoto vietu </w:t>
            </w:r>
            <w:r w:rsidR="00101C7E" w:rsidRPr="00A907D6">
              <w:rPr>
                <w:bCs/>
              </w:rPr>
              <w:t>likum</w:t>
            </w:r>
            <w:r w:rsidR="000779FE" w:rsidRPr="00A907D6">
              <w:rPr>
                <w:bCs/>
              </w:rPr>
              <w:t>ā</w:t>
            </w:r>
            <w:r w:rsidR="00101C7E" w:rsidRPr="00A907D6">
              <w:rPr>
                <w:bCs/>
              </w:rPr>
              <w:t xml:space="preserve"> </w:t>
            </w:r>
            <w:r w:rsidR="000779FE" w:rsidRPr="00A907D6">
              <w:rPr>
                <w:bCs/>
              </w:rPr>
              <w:t>noteikto administratīvi teritoriālo izmaiņu</w:t>
            </w:r>
            <w:r w:rsidR="00101C7E" w:rsidRPr="00A907D6">
              <w:rPr>
                <w:bCs/>
              </w:rPr>
              <w:t xml:space="preserve"> stāšanos spēkā 2021.</w:t>
            </w:r>
            <w:r w:rsidR="006A2099" w:rsidRPr="00A907D6">
              <w:rPr>
                <w:bCs/>
              </w:rPr>
              <w:t> </w:t>
            </w:r>
            <w:r w:rsidR="00101C7E" w:rsidRPr="00A907D6">
              <w:rPr>
                <w:bCs/>
              </w:rPr>
              <w:t>gada 1</w:t>
            </w:r>
            <w:r w:rsidR="00855356" w:rsidRPr="00A907D6">
              <w:rPr>
                <w:bCs/>
              </w:rPr>
              <w:t>.</w:t>
            </w:r>
            <w:r w:rsidR="006A2099" w:rsidRPr="00A907D6">
              <w:rPr>
                <w:bCs/>
              </w:rPr>
              <w:t> </w:t>
            </w:r>
            <w:r w:rsidR="00101C7E" w:rsidRPr="00A907D6">
              <w:rPr>
                <w:bCs/>
              </w:rPr>
              <w:t>jūlijā, veikti precizējumi pašvaldību teritoriju nosaukumos, aizstājot ter</w:t>
            </w:r>
            <w:r w:rsidR="00882F96" w:rsidRPr="00A907D6">
              <w:rPr>
                <w:bCs/>
              </w:rPr>
              <w:t>m</w:t>
            </w:r>
            <w:r w:rsidR="00101C7E" w:rsidRPr="00A907D6">
              <w:rPr>
                <w:bCs/>
              </w:rPr>
              <w:t xml:space="preserve">inu “republikas pilsēta” ar </w:t>
            </w:r>
            <w:r w:rsidR="00882F96" w:rsidRPr="00A907D6">
              <w:rPr>
                <w:bCs/>
              </w:rPr>
              <w:t>vārdu “</w:t>
            </w:r>
            <w:proofErr w:type="spellStart"/>
            <w:r w:rsidR="00101C7E" w:rsidRPr="00A907D6">
              <w:rPr>
                <w:bCs/>
              </w:rPr>
              <w:t>valstspilsēt</w:t>
            </w:r>
            <w:r w:rsidR="00882F96" w:rsidRPr="00A907D6">
              <w:rPr>
                <w:bCs/>
              </w:rPr>
              <w:t>a</w:t>
            </w:r>
            <w:proofErr w:type="spellEnd"/>
            <w:r w:rsidR="00882F96" w:rsidRPr="00A907D6">
              <w:rPr>
                <w:bCs/>
              </w:rPr>
              <w:t>”</w:t>
            </w:r>
            <w:r w:rsidR="00101C7E" w:rsidRPr="00A907D6">
              <w:rPr>
                <w:bCs/>
              </w:rPr>
              <w:t xml:space="preserve"> </w:t>
            </w:r>
          </w:p>
          <w:p w14:paraId="5225BE95" w14:textId="6C99A196" w:rsidR="000D7680" w:rsidRPr="00A907D6" w:rsidRDefault="00882F96" w:rsidP="00A60DFD">
            <w:pPr>
              <w:pStyle w:val="ListParagraph"/>
              <w:spacing w:after="0"/>
              <w:ind w:left="96"/>
              <w:jc w:val="both"/>
              <w:rPr>
                <w:rFonts w:ascii="Times New Roman" w:hAnsi="Times New Roman"/>
                <w:iCs/>
                <w:sz w:val="24"/>
                <w:szCs w:val="24"/>
              </w:rPr>
            </w:pPr>
            <w:r w:rsidRPr="00A907D6">
              <w:rPr>
                <w:rFonts w:ascii="Times New Roman" w:hAnsi="Times New Roman"/>
                <w:iCs/>
                <w:sz w:val="24"/>
                <w:szCs w:val="24"/>
              </w:rPr>
              <w:t>(</w:t>
            </w:r>
            <w:r w:rsidR="0087214F" w:rsidRPr="00A907D6">
              <w:rPr>
                <w:rFonts w:ascii="Times New Roman" w:hAnsi="Times New Roman"/>
                <w:iCs/>
                <w:sz w:val="24"/>
                <w:szCs w:val="24"/>
              </w:rPr>
              <w:t xml:space="preserve">Noteikumu projekta </w:t>
            </w:r>
            <w:r w:rsidR="00CC0F98">
              <w:rPr>
                <w:rFonts w:ascii="Times New Roman" w:hAnsi="Times New Roman"/>
                <w:iCs/>
                <w:sz w:val="24"/>
                <w:szCs w:val="24"/>
              </w:rPr>
              <w:t>1.8</w:t>
            </w:r>
            <w:r w:rsidR="0087214F" w:rsidRPr="00A907D6">
              <w:rPr>
                <w:rFonts w:ascii="Times New Roman" w:hAnsi="Times New Roman"/>
                <w:iCs/>
                <w:sz w:val="24"/>
                <w:szCs w:val="24"/>
              </w:rPr>
              <w:t>.</w:t>
            </w:r>
            <w:r w:rsidR="000B1B30" w:rsidRPr="00A907D6">
              <w:rPr>
                <w:rFonts w:ascii="Times New Roman" w:hAnsi="Times New Roman"/>
                <w:iCs/>
                <w:sz w:val="24"/>
                <w:szCs w:val="24"/>
              </w:rPr>
              <w:t xml:space="preserve">, </w:t>
            </w:r>
            <w:r w:rsidR="00CC0F98">
              <w:rPr>
                <w:rFonts w:ascii="Times New Roman" w:hAnsi="Times New Roman"/>
                <w:iCs/>
                <w:sz w:val="24"/>
                <w:szCs w:val="24"/>
              </w:rPr>
              <w:t>1.17., 1.18</w:t>
            </w:r>
            <w:r w:rsidR="0087214F" w:rsidRPr="00A907D6">
              <w:rPr>
                <w:rFonts w:ascii="Times New Roman" w:hAnsi="Times New Roman"/>
                <w:iCs/>
                <w:sz w:val="24"/>
                <w:szCs w:val="24"/>
              </w:rPr>
              <w:t>.</w:t>
            </w:r>
            <w:r w:rsidR="00C0516F" w:rsidRPr="00A907D6">
              <w:rPr>
                <w:rFonts w:ascii="Times New Roman" w:hAnsi="Times New Roman"/>
                <w:iCs/>
                <w:sz w:val="24"/>
                <w:szCs w:val="24"/>
              </w:rPr>
              <w:t xml:space="preserve"> un </w:t>
            </w:r>
            <w:r w:rsidR="00CC0F98">
              <w:rPr>
                <w:rFonts w:ascii="Times New Roman" w:hAnsi="Times New Roman"/>
                <w:iCs/>
                <w:sz w:val="24"/>
                <w:szCs w:val="24"/>
              </w:rPr>
              <w:t>1.</w:t>
            </w:r>
            <w:r w:rsidR="00C0516F" w:rsidRPr="00A907D6">
              <w:rPr>
                <w:rFonts w:ascii="Times New Roman" w:hAnsi="Times New Roman"/>
                <w:iCs/>
                <w:sz w:val="24"/>
                <w:szCs w:val="24"/>
              </w:rPr>
              <w:t>19</w:t>
            </w:r>
            <w:r w:rsidR="000B1B30" w:rsidRPr="00A907D6">
              <w:rPr>
                <w:rFonts w:ascii="Times New Roman" w:hAnsi="Times New Roman"/>
                <w:iCs/>
                <w:sz w:val="24"/>
                <w:szCs w:val="24"/>
              </w:rPr>
              <w:t>.</w:t>
            </w:r>
            <w:r w:rsidR="00CC0F98">
              <w:rPr>
                <w:rFonts w:ascii="Times New Roman" w:hAnsi="Times New Roman"/>
                <w:iCs/>
                <w:sz w:val="24"/>
                <w:szCs w:val="24"/>
              </w:rPr>
              <w:t>apakš</w:t>
            </w:r>
            <w:r w:rsidR="0087214F" w:rsidRPr="00A907D6">
              <w:rPr>
                <w:rFonts w:ascii="Times New Roman" w:hAnsi="Times New Roman"/>
                <w:iCs/>
                <w:sz w:val="24"/>
                <w:szCs w:val="24"/>
              </w:rPr>
              <w:t>punkts</w:t>
            </w:r>
            <w:r w:rsidRPr="00A907D6">
              <w:rPr>
                <w:rFonts w:ascii="Times New Roman" w:hAnsi="Times New Roman"/>
                <w:iCs/>
                <w:sz w:val="24"/>
                <w:szCs w:val="24"/>
              </w:rPr>
              <w:t>)</w:t>
            </w:r>
          </w:p>
          <w:p w14:paraId="1F2F7DEE" w14:textId="07AB0071" w:rsidR="00E16C3D" w:rsidRPr="00A907D6" w:rsidRDefault="00A907D6" w:rsidP="00A60DFD">
            <w:pPr>
              <w:spacing w:line="276" w:lineRule="auto"/>
              <w:ind w:left="238" w:right="87" w:hanging="238"/>
              <w:jc w:val="both"/>
            </w:pPr>
            <w:r w:rsidRPr="00A907D6">
              <w:t>4.5</w:t>
            </w:r>
            <w:r w:rsidR="000B1B30" w:rsidRPr="00A907D6">
              <w:t>.</w:t>
            </w:r>
            <w:r w:rsidR="0087214F" w:rsidRPr="00A907D6">
              <w:t xml:space="preserve"> </w:t>
            </w:r>
            <w:r w:rsidR="00882F96" w:rsidRPr="00A907D6">
              <w:t xml:space="preserve">Atbilstoši </w:t>
            </w:r>
            <w:r w:rsidR="00210BB1" w:rsidRPr="00A907D6">
              <w:t>Fonda ieviešanas novērtēšanas ziņojuma par 2019.</w:t>
            </w:r>
            <w:r w:rsidR="0084016F" w:rsidRPr="00A907D6">
              <w:t> </w:t>
            </w:r>
            <w:r w:rsidR="00210BB1" w:rsidRPr="00A907D6">
              <w:t>gadu</w:t>
            </w:r>
            <w:r w:rsidR="0084016F" w:rsidRPr="00A907D6">
              <w:t xml:space="preserve"> </w:t>
            </w:r>
            <w:r w:rsidR="00210BB1" w:rsidRPr="00A907D6">
              <w:t>ieteikumiem un atbalsta saņēmēju aptaujas rezultātiem,</w:t>
            </w:r>
            <w:r w:rsidR="00E16C3D" w:rsidRPr="00A907D6">
              <w:t xml:space="preserve"> </w:t>
            </w:r>
            <w:r w:rsidR="00D20198" w:rsidRPr="00A907D6">
              <w:t>nolūkā uzlabot pārtikas preču komplektu saturu,</w:t>
            </w:r>
            <w:r w:rsidR="00E16C3D" w:rsidRPr="00A907D6">
              <w:t xml:space="preserve"> </w:t>
            </w:r>
            <w:r w:rsidR="00D20198" w:rsidRPr="00A907D6">
              <w:t xml:space="preserve">un vienlaikus nepieļaujot Fonda atbalsta sniegšanas pārtraukšanu </w:t>
            </w:r>
            <w:r w:rsidR="00E16C3D" w:rsidRPr="00A907D6">
              <w:t>(iepirkuma</w:t>
            </w:r>
            <w:r w:rsidR="00BB1316" w:rsidRPr="00A907D6">
              <w:t xml:space="preserve"> uzsākšana</w:t>
            </w:r>
            <w:r w:rsidR="00E16C3D" w:rsidRPr="00A907D6">
              <w:t xml:space="preserve"> 2021. gada 1.ceturksnī),</w:t>
            </w:r>
            <w:r w:rsidR="00210BB1" w:rsidRPr="00A907D6">
              <w:t xml:space="preserve"> </w:t>
            </w:r>
            <w:r w:rsidR="00882F96" w:rsidRPr="00A907D6">
              <w:t>paplašināti</w:t>
            </w:r>
            <w:r w:rsidR="0087214F" w:rsidRPr="00A907D6">
              <w:t xml:space="preserve"> un precizēti</w:t>
            </w:r>
            <w:r w:rsidR="00882F96" w:rsidRPr="00A907D6">
              <w:t xml:space="preserve"> pārtikas komplektos iekļaujamo preču kvalitātes kritēriji</w:t>
            </w:r>
            <w:r w:rsidR="00E16C3D" w:rsidRPr="00A907D6">
              <w:t>.</w:t>
            </w:r>
            <w:r w:rsidR="00D20198" w:rsidRPr="00A907D6">
              <w:t xml:space="preserve"> </w:t>
            </w:r>
          </w:p>
          <w:p w14:paraId="521AB0D3" w14:textId="454F18DC" w:rsidR="00882F96" w:rsidRPr="00A907D6" w:rsidRDefault="00E21237" w:rsidP="00A60DFD">
            <w:pPr>
              <w:spacing w:line="276" w:lineRule="auto"/>
              <w:ind w:left="238" w:right="87" w:hanging="238"/>
              <w:jc w:val="both"/>
            </w:pPr>
            <w:r w:rsidRPr="00A907D6">
              <w:t xml:space="preserve"> </w:t>
            </w:r>
            <w:r w:rsidR="0087214F" w:rsidRPr="00A907D6">
              <w:t>(Noteikumu projekta</w:t>
            </w:r>
            <w:r w:rsidR="00490EB6" w:rsidRPr="00A907D6">
              <w:t xml:space="preserve"> </w:t>
            </w:r>
            <w:r w:rsidR="003A3822">
              <w:t>1.11</w:t>
            </w:r>
            <w:r w:rsidR="00490EB6" w:rsidRPr="00A907D6">
              <w:t>.,</w:t>
            </w:r>
            <w:r w:rsidR="003A3822">
              <w:t xml:space="preserve"> 1.12</w:t>
            </w:r>
            <w:r w:rsidR="00D755CF" w:rsidRPr="00A907D6">
              <w:t>.</w:t>
            </w:r>
            <w:r w:rsidR="00490EB6" w:rsidRPr="00A907D6">
              <w:t xml:space="preserve"> un 1</w:t>
            </w:r>
            <w:r w:rsidR="003A3822">
              <w:t>.13</w:t>
            </w:r>
            <w:r w:rsidR="00490EB6" w:rsidRPr="00A907D6">
              <w:t>.</w:t>
            </w:r>
            <w:r w:rsidR="003A3822">
              <w:t>apakš</w:t>
            </w:r>
            <w:r w:rsidR="00D755CF" w:rsidRPr="00A907D6">
              <w:t>punkts</w:t>
            </w:r>
            <w:r w:rsidR="0087214F" w:rsidRPr="00A907D6">
              <w:t>)</w:t>
            </w:r>
          </w:p>
          <w:p w14:paraId="120C37DD" w14:textId="58CA0974" w:rsidR="0087214F" w:rsidRPr="00A907D6" w:rsidRDefault="00A907D6" w:rsidP="00A60DFD">
            <w:pPr>
              <w:spacing w:line="276" w:lineRule="auto"/>
              <w:ind w:left="238" w:right="87" w:hanging="238"/>
              <w:jc w:val="both"/>
            </w:pPr>
            <w:r w:rsidRPr="00A907D6">
              <w:t>4.6.</w:t>
            </w:r>
            <w:r w:rsidR="00D227A8" w:rsidRPr="00A907D6">
              <w:t xml:space="preserve"> </w:t>
            </w:r>
            <w:r w:rsidR="00882F96" w:rsidRPr="00A907D6">
              <w:t xml:space="preserve">Atbilstoši </w:t>
            </w:r>
            <w:r w:rsidR="00544EC7" w:rsidRPr="00A907D6">
              <w:t>Regulā 2020/559 noteiktajam</w:t>
            </w:r>
            <w:r w:rsidR="00882F96" w:rsidRPr="00A907D6">
              <w:t xml:space="preserve"> </w:t>
            </w:r>
            <w:r w:rsidR="00544EC7" w:rsidRPr="00A907D6">
              <w:t xml:space="preserve">saistībā ar </w:t>
            </w:r>
            <w:proofErr w:type="spellStart"/>
            <w:r w:rsidR="00544EC7" w:rsidRPr="00A907D6">
              <w:t>Covid-19</w:t>
            </w:r>
            <w:proofErr w:type="spellEnd"/>
            <w:r w:rsidR="00544EC7" w:rsidRPr="00A907D6">
              <w:t xml:space="preserve"> uzliesmojumu, </w:t>
            </w:r>
            <w:r w:rsidR="00882F96" w:rsidRPr="00A907D6">
              <w:t>paplašināti higiēnas</w:t>
            </w:r>
            <w:r w:rsidR="001D7800" w:rsidRPr="00A907D6">
              <w:t xml:space="preserve"> un saimniecības preču</w:t>
            </w:r>
            <w:r w:rsidR="00882F96" w:rsidRPr="00A907D6">
              <w:t xml:space="preserve"> komplektos iekļaujamo </w:t>
            </w:r>
            <w:r w:rsidR="00691B65" w:rsidRPr="00A907D6">
              <w:t xml:space="preserve">vai partnerorganizācijām drošas vides nodrošināšanai paredzēto </w:t>
            </w:r>
            <w:r w:rsidR="00882F96" w:rsidRPr="00A907D6">
              <w:t>individuālo aizsardzības līdzekļu un materiālu kvalitātes kritēriji</w:t>
            </w:r>
            <w:r w:rsidR="00D227A8" w:rsidRPr="00A907D6">
              <w:t>.</w:t>
            </w:r>
            <w:r w:rsidR="00DB13F0" w:rsidRPr="00A907D6">
              <w:t xml:space="preserve"> </w:t>
            </w:r>
          </w:p>
          <w:p w14:paraId="54B484AA" w14:textId="507B3262" w:rsidR="00DD7539" w:rsidRPr="00A907D6" w:rsidRDefault="00DD7539" w:rsidP="00A60DFD">
            <w:pPr>
              <w:pStyle w:val="ListParagraph"/>
              <w:spacing w:after="0"/>
              <w:ind w:left="300" w:hanging="204"/>
              <w:jc w:val="both"/>
              <w:rPr>
                <w:rFonts w:ascii="Times New Roman" w:hAnsi="Times New Roman"/>
                <w:iCs/>
                <w:sz w:val="24"/>
                <w:szCs w:val="24"/>
              </w:rPr>
            </w:pPr>
            <w:r w:rsidRPr="00A907D6">
              <w:rPr>
                <w:rFonts w:ascii="Times New Roman" w:hAnsi="Times New Roman"/>
                <w:iCs/>
                <w:sz w:val="24"/>
                <w:szCs w:val="24"/>
              </w:rPr>
              <w:t>(</w:t>
            </w:r>
            <w:r w:rsidR="00210BB1" w:rsidRPr="00A907D6">
              <w:rPr>
                <w:rFonts w:ascii="Times New Roman" w:hAnsi="Times New Roman"/>
                <w:iCs/>
                <w:sz w:val="24"/>
                <w:szCs w:val="24"/>
              </w:rPr>
              <w:t xml:space="preserve">Noteikumu projekta </w:t>
            </w:r>
            <w:r w:rsidR="00F86F71">
              <w:rPr>
                <w:rFonts w:ascii="Times New Roman" w:hAnsi="Times New Roman"/>
                <w:iCs/>
                <w:sz w:val="24"/>
                <w:szCs w:val="24"/>
              </w:rPr>
              <w:t>1.15</w:t>
            </w:r>
            <w:r w:rsidR="00172CC3" w:rsidRPr="00A907D6">
              <w:rPr>
                <w:rFonts w:ascii="Times New Roman" w:hAnsi="Times New Roman"/>
                <w:iCs/>
                <w:sz w:val="24"/>
                <w:szCs w:val="24"/>
              </w:rPr>
              <w:t>.</w:t>
            </w:r>
            <w:r w:rsidR="00F86F71">
              <w:rPr>
                <w:rFonts w:ascii="Times New Roman" w:hAnsi="Times New Roman"/>
                <w:iCs/>
                <w:sz w:val="24"/>
                <w:szCs w:val="24"/>
              </w:rPr>
              <w:t>apakš</w:t>
            </w:r>
            <w:r w:rsidR="00172CC3" w:rsidRPr="00A907D6">
              <w:rPr>
                <w:rFonts w:ascii="Times New Roman" w:hAnsi="Times New Roman"/>
                <w:iCs/>
                <w:sz w:val="24"/>
                <w:szCs w:val="24"/>
              </w:rPr>
              <w:t>punkts)</w:t>
            </w:r>
          </w:p>
          <w:p w14:paraId="233D9DA7" w14:textId="0A947392" w:rsidR="00DD7539" w:rsidRPr="00A907D6" w:rsidRDefault="00A907D6" w:rsidP="00A60DFD">
            <w:pPr>
              <w:pStyle w:val="ListParagraph"/>
              <w:spacing w:after="0"/>
              <w:ind w:left="301" w:hanging="301"/>
              <w:jc w:val="both"/>
              <w:rPr>
                <w:rFonts w:ascii="Times New Roman" w:hAnsi="Times New Roman"/>
                <w:iCs/>
                <w:sz w:val="24"/>
                <w:szCs w:val="24"/>
              </w:rPr>
            </w:pPr>
            <w:r w:rsidRPr="00A907D6">
              <w:rPr>
                <w:rFonts w:ascii="Times New Roman" w:hAnsi="Times New Roman"/>
                <w:iCs/>
                <w:sz w:val="24"/>
                <w:szCs w:val="24"/>
              </w:rPr>
              <w:t>4.7</w:t>
            </w:r>
            <w:r w:rsidR="00DD7539" w:rsidRPr="00A907D6">
              <w:rPr>
                <w:rFonts w:ascii="Times New Roman" w:hAnsi="Times New Roman"/>
                <w:iCs/>
                <w:sz w:val="24"/>
                <w:szCs w:val="24"/>
              </w:rPr>
              <w:t>. Veikti citi redakcionāli uzlabojumi.</w:t>
            </w:r>
          </w:p>
          <w:p w14:paraId="0BDB60EA" w14:textId="5856B681" w:rsidR="00DB13F0" w:rsidRPr="00A907D6" w:rsidRDefault="00A907D6" w:rsidP="00A60DFD">
            <w:pPr>
              <w:pStyle w:val="ListParagraph"/>
              <w:spacing w:after="0"/>
              <w:ind w:left="664" w:right="228" w:hanging="567"/>
              <w:jc w:val="both"/>
              <w:rPr>
                <w:rFonts w:ascii="Times New Roman" w:hAnsi="Times New Roman"/>
                <w:iCs/>
                <w:sz w:val="24"/>
                <w:szCs w:val="24"/>
              </w:rPr>
            </w:pPr>
            <w:r w:rsidRPr="00A907D6">
              <w:rPr>
                <w:rFonts w:ascii="Times New Roman" w:hAnsi="Times New Roman"/>
                <w:sz w:val="24"/>
                <w:szCs w:val="24"/>
              </w:rPr>
              <w:t>4.7.1.</w:t>
            </w:r>
            <w:r w:rsidR="00172CC3" w:rsidRPr="00A907D6">
              <w:rPr>
                <w:rFonts w:ascii="Times New Roman" w:hAnsi="Times New Roman"/>
                <w:sz w:val="24"/>
                <w:szCs w:val="24"/>
              </w:rPr>
              <w:t xml:space="preserve"> </w:t>
            </w:r>
            <w:r w:rsidR="00EC24A6" w:rsidRPr="00A907D6">
              <w:rPr>
                <w:rFonts w:ascii="Times New Roman" w:hAnsi="Times New Roman"/>
                <w:sz w:val="24"/>
                <w:szCs w:val="24"/>
              </w:rPr>
              <w:t xml:space="preserve">atbilstoši </w:t>
            </w:r>
            <w:r w:rsidR="00755E7B" w:rsidRPr="00A907D6">
              <w:rPr>
                <w:rFonts w:ascii="Times New Roman" w:hAnsi="Times New Roman"/>
                <w:sz w:val="24"/>
                <w:szCs w:val="24"/>
              </w:rPr>
              <w:t>MK 27.12.</w:t>
            </w:r>
            <w:proofErr w:type="gramStart"/>
            <w:r w:rsidR="00755E7B" w:rsidRPr="00A907D6">
              <w:rPr>
                <w:rFonts w:ascii="Times New Roman" w:hAnsi="Times New Roman"/>
                <w:sz w:val="24"/>
                <w:szCs w:val="24"/>
              </w:rPr>
              <w:t>2005.</w:t>
            </w:r>
            <w:r w:rsidR="0084016F" w:rsidRPr="00A907D6">
              <w:rPr>
                <w:rFonts w:ascii="Times New Roman" w:hAnsi="Times New Roman"/>
                <w:sz w:val="24"/>
                <w:szCs w:val="24"/>
              </w:rPr>
              <w:t> </w:t>
            </w:r>
            <w:r w:rsidR="00755E7B" w:rsidRPr="00A907D6">
              <w:rPr>
                <w:rFonts w:ascii="Times New Roman" w:hAnsi="Times New Roman"/>
                <w:sz w:val="24"/>
                <w:szCs w:val="24"/>
              </w:rPr>
              <w:t>noteikum</w:t>
            </w:r>
            <w:r w:rsidR="00EC24A6" w:rsidRPr="00A907D6">
              <w:rPr>
                <w:rFonts w:ascii="Times New Roman" w:hAnsi="Times New Roman"/>
                <w:sz w:val="24"/>
                <w:szCs w:val="24"/>
              </w:rPr>
              <w:t>os</w:t>
            </w:r>
            <w:proofErr w:type="gramEnd"/>
            <w:r w:rsidR="00755E7B" w:rsidRPr="00A907D6">
              <w:rPr>
                <w:rFonts w:ascii="Times New Roman" w:hAnsi="Times New Roman"/>
                <w:sz w:val="24"/>
                <w:szCs w:val="24"/>
              </w:rPr>
              <w:t xml:space="preserve"> Nr.1031  "Noteikumi par budžetu izdevumu klasifikāciju atbilstoši ekonomiskajām kategorijām"</w:t>
            </w:r>
            <w:r w:rsidR="00EC24A6" w:rsidRPr="00A907D6">
              <w:rPr>
                <w:rFonts w:ascii="Times New Roman" w:hAnsi="Times New Roman"/>
                <w:sz w:val="24"/>
                <w:szCs w:val="24"/>
              </w:rPr>
              <w:t xml:space="preserve"> noteiktajam par </w:t>
            </w:r>
            <w:r w:rsidR="00EC24A6" w:rsidRPr="00A907D6">
              <w:rPr>
                <w:rFonts w:ascii="Times New Roman" w:hAnsi="Times New Roman"/>
                <w:iCs/>
                <w:sz w:val="24"/>
                <w:szCs w:val="24"/>
              </w:rPr>
              <w:t>i</w:t>
            </w:r>
            <w:r w:rsidR="00172CC3" w:rsidRPr="00A907D6">
              <w:rPr>
                <w:rFonts w:ascii="Times New Roman" w:hAnsi="Times New Roman"/>
                <w:iCs/>
                <w:sz w:val="24"/>
                <w:szCs w:val="24"/>
              </w:rPr>
              <w:t>estādes darbības nodrošināšanai nepieciešamā inventāra un to priekšmetu iegādes un norakstīšanas izdevum</w:t>
            </w:r>
            <w:r w:rsidR="00EC24A6" w:rsidRPr="00A907D6">
              <w:rPr>
                <w:rFonts w:ascii="Times New Roman" w:hAnsi="Times New Roman"/>
                <w:iCs/>
                <w:sz w:val="24"/>
                <w:szCs w:val="24"/>
              </w:rPr>
              <w:t>u</w:t>
            </w:r>
            <w:r w:rsidR="00172CC3" w:rsidRPr="00A907D6">
              <w:rPr>
                <w:rFonts w:ascii="Times New Roman" w:hAnsi="Times New Roman"/>
                <w:iCs/>
                <w:sz w:val="24"/>
                <w:szCs w:val="24"/>
              </w:rPr>
              <w:t>, kuru kalpošanas laiks ir mazāks par vienu gadu</w:t>
            </w:r>
            <w:r w:rsidR="00EC24A6" w:rsidRPr="00A907D6">
              <w:rPr>
                <w:rFonts w:ascii="Times New Roman" w:hAnsi="Times New Roman"/>
                <w:iCs/>
                <w:sz w:val="24"/>
                <w:szCs w:val="24"/>
              </w:rPr>
              <w:t xml:space="preserve"> </w:t>
            </w:r>
            <w:r w:rsidR="00172CC3" w:rsidRPr="00A907D6">
              <w:rPr>
                <w:rFonts w:ascii="Times New Roman" w:hAnsi="Times New Roman"/>
                <w:iCs/>
                <w:sz w:val="24"/>
                <w:szCs w:val="24"/>
              </w:rPr>
              <w:t>vērtīb</w:t>
            </w:r>
            <w:r w:rsidR="00EC24A6" w:rsidRPr="00A907D6">
              <w:rPr>
                <w:rFonts w:ascii="Times New Roman" w:hAnsi="Times New Roman"/>
                <w:iCs/>
                <w:sz w:val="24"/>
                <w:szCs w:val="24"/>
              </w:rPr>
              <w:t>u</w:t>
            </w:r>
            <w:r w:rsidR="00172CC3" w:rsidRPr="00A907D6">
              <w:rPr>
                <w:rFonts w:ascii="Times New Roman" w:hAnsi="Times New Roman"/>
                <w:iCs/>
                <w:sz w:val="24"/>
                <w:szCs w:val="24"/>
              </w:rPr>
              <w:t xml:space="preserve"> </w:t>
            </w:r>
            <w:r w:rsidR="0084016F" w:rsidRPr="00A907D6">
              <w:rPr>
                <w:rFonts w:ascii="Times New Roman" w:hAnsi="Times New Roman"/>
                <w:iCs/>
                <w:sz w:val="24"/>
                <w:szCs w:val="24"/>
              </w:rPr>
              <w:t xml:space="preserve">par vienību </w:t>
            </w:r>
            <w:r w:rsidR="00EC24A6" w:rsidRPr="00A907D6">
              <w:rPr>
                <w:rFonts w:ascii="Times New Roman" w:hAnsi="Times New Roman"/>
                <w:iCs/>
                <w:sz w:val="24"/>
                <w:szCs w:val="24"/>
              </w:rPr>
              <w:t>-</w:t>
            </w:r>
            <w:r w:rsidR="00172CC3" w:rsidRPr="00A907D6">
              <w:rPr>
                <w:rFonts w:ascii="Times New Roman" w:hAnsi="Times New Roman"/>
                <w:iCs/>
                <w:sz w:val="24"/>
                <w:szCs w:val="24"/>
              </w:rPr>
              <w:t xml:space="preserve"> līdz 500 </w:t>
            </w:r>
            <w:proofErr w:type="spellStart"/>
            <w:r w:rsidR="00172CC3" w:rsidRPr="00C721C9">
              <w:rPr>
                <w:rFonts w:ascii="Times New Roman" w:hAnsi="Times New Roman"/>
                <w:i/>
                <w:iCs/>
                <w:sz w:val="24"/>
                <w:szCs w:val="24"/>
              </w:rPr>
              <w:t>euro</w:t>
            </w:r>
            <w:proofErr w:type="spellEnd"/>
            <w:r w:rsidR="00172CC3" w:rsidRPr="00A907D6">
              <w:rPr>
                <w:rFonts w:ascii="Times New Roman" w:hAnsi="Times New Roman"/>
                <w:iCs/>
                <w:sz w:val="24"/>
                <w:szCs w:val="24"/>
              </w:rPr>
              <w:t xml:space="preserve"> (ieskaitot), </w:t>
            </w:r>
            <w:r w:rsidR="00EC24A6" w:rsidRPr="00A907D6">
              <w:rPr>
                <w:rFonts w:ascii="Times New Roman" w:hAnsi="Times New Roman"/>
                <w:iCs/>
                <w:sz w:val="24"/>
                <w:szCs w:val="24"/>
              </w:rPr>
              <w:t xml:space="preserve">veikti grozījumi Fonda tehniskās palīdzības attiecināmajos izdevumos mainot iekārtu un izmaksu vērtību no “līdz 213 </w:t>
            </w:r>
            <w:proofErr w:type="spellStart"/>
            <w:r w:rsidR="00EC24A6" w:rsidRPr="00C721C9">
              <w:rPr>
                <w:rFonts w:ascii="Times New Roman" w:hAnsi="Times New Roman"/>
                <w:i/>
                <w:iCs/>
                <w:sz w:val="24"/>
                <w:szCs w:val="24"/>
              </w:rPr>
              <w:t>euro</w:t>
            </w:r>
            <w:proofErr w:type="spellEnd"/>
            <w:r w:rsidR="00EC24A6" w:rsidRPr="00A907D6">
              <w:rPr>
                <w:rFonts w:ascii="Times New Roman" w:hAnsi="Times New Roman"/>
                <w:iCs/>
                <w:sz w:val="24"/>
                <w:szCs w:val="24"/>
              </w:rPr>
              <w:t xml:space="preserve">” uz “līdz 500 </w:t>
            </w:r>
            <w:proofErr w:type="spellStart"/>
            <w:r w:rsidR="00EC24A6" w:rsidRPr="00C721C9">
              <w:rPr>
                <w:rFonts w:ascii="Times New Roman" w:hAnsi="Times New Roman"/>
                <w:i/>
                <w:iCs/>
                <w:sz w:val="24"/>
                <w:szCs w:val="24"/>
              </w:rPr>
              <w:t>euro</w:t>
            </w:r>
            <w:proofErr w:type="spellEnd"/>
            <w:r w:rsidR="00EC24A6" w:rsidRPr="00A907D6">
              <w:rPr>
                <w:rFonts w:ascii="Times New Roman" w:hAnsi="Times New Roman"/>
                <w:iCs/>
                <w:sz w:val="24"/>
                <w:szCs w:val="24"/>
              </w:rPr>
              <w:t>”.</w:t>
            </w:r>
          </w:p>
          <w:p w14:paraId="3F1BA88E" w14:textId="624BE60F" w:rsidR="006964DD" w:rsidRPr="00A907D6" w:rsidRDefault="00DD7539" w:rsidP="00A60DFD">
            <w:pPr>
              <w:pStyle w:val="ListParagraph"/>
              <w:spacing w:after="0"/>
              <w:ind w:left="300" w:hanging="203"/>
              <w:jc w:val="both"/>
              <w:rPr>
                <w:rFonts w:ascii="Times New Roman" w:hAnsi="Times New Roman"/>
                <w:iCs/>
                <w:sz w:val="24"/>
                <w:szCs w:val="24"/>
              </w:rPr>
            </w:pPr>
            <w:r w:rsidRPr="00A907D6">
              <w:rPr>
                <w:rFonts w:ascii="Times New Roman" w:hAnsi="Times New Roman"/>
                <w:iCs/>
                <w:sz w:val="24"/>
                <w:szCs w:val="24"/>
              </w:rPr>
              <w:t>(</w:t>
            </w:r>
            <w:r w:rsidR="00EC24A6" w:rsidRPr="00A907D6">
              <w:rPr>
                <w:rFonts w:ascii="Times New Roman" w:hAnsi="Times New Roman"/>
                <w:iCs/>
                <w:sz w:val="24"/>
                <w:szCs w:val="24"/>
              </w:rPr>
              <w:t xml:space="preserve">Noteikumu projekta </w:t>
            </w:r>
            <w:r w:rsidR="00580EB5">
              <w:rPr>
                <w:rFonts w:ascii="Times New Roman" w:hAnsi="Times New Roman"/>
                <w:iCs/>
                <w:sz w:val="24"/>
                <w:szCs w:val="24"/>
              </w:rPr>
              <w:t>1.9</w:t>
            </w:r>
            <w:r w:rsidR="00EC24A6" w:rsidRPr="00A907D6">
              <w:rPr>
                <w:rFonts w:ascii="Times New Roman" w:hAnsi="Times New Roman"/>
                <w:iCs/>
                <w:sz w:val="24"/>
                <w:szCs w:val="24"/>
              </w:rPr>
              <w:t>.</w:t>
            </w:r>
            <w:r w:rsidR="00580EB5">
              <w:rPr>
                <w:rFonts w:ascii="Times New Roman" w:hAnsi="Times New Roman"/>
                <w:iCs/>
                <w:sz w:val="24"/>
                <w:szCs w:val="24"/>
              </w:rPr>
              <w:t>apakš</w:t>
            </w:r>
            <w:r w:rsidR="00EC24A6" w:rsidRPr="00A907D6">
              <w:rPr>
                <w:rFonts w:ascii="Times New Roman" w:hAnsi="Times New Roman"/>
                <w:iCs/>
                <w:sz w:val="24"/>
                <w:szCs w:val="24"/>
              </w:rPr>
              <w:t>punkts)</w:t>
            </w:r>
          </w:p>
          <w:p w14:paraId="53347315" w14:textId="32802274" w:rsidR="00172CC3" w:rsidRPr="00A907D6" w:rsidRDefault="00A907D6" w:rsidP="00A60DFD">
            <w:pPr>
              <w:spacing w:line="276" w:lineRule="auto"/>
              <w:ind w:left="664" w:hanging="426"/>
              <w:jc w:val="both"/>
            </w:pPr>
            <w:r w:rsidRPr="00A907D6">
              <w:t>4.7.2.</w:t>
            </w:r>
            <w:r w:rsidR="00AC7C22" w:rsidRPr="00A907D6">
              <w:t xml:space="preserve"> </w:t>
            </w:r>
            <w:r w:rsidR="00490EB6" w:rsidRPr="00A907D6">
              <w:t xml:space="preserve">Interpretācijas nepieļaušanas nolūkā </w:t>
            </w:r>
            <w:r w:rsidR="000940A3" w:rsidRPr="00A907D6">
              <w:t>Noteikumu</w:t>
            </w:r>
            <w:r w:rsidR="00AC7C22" w:rsidRPr="00A907D6">
              <w:t xml:space="preserve"> </w:t>
            </w:r>
            <w:r w:rsidR="00490EB6" w:rsidRPr="00A907D6">
              <w:t>projektā</w:t>
            </w:r>
            <w:r w:rsidR="00AC7C22" w:rsidRPr="00A907D6">
              <w:t xml:space="preserve"> precizēt</w:t>
            </w:r>
            <w:r w:rsidR="000940A3" w:rsidRPr="00A907D6">
              <w:t xml:space="preserve">s </w:t>
            </w:r>
            <w:r w:rsidR="0084016F" w:rsidRPr="00A907D6">
              <w:t>zobu pastas maziem bērniem kvalitātes kritērija raksturojums</w:t>
            </w:r>
            <w:r w:rsidR="000940A3" w:rsidRPr="00A907D6">
              <w:t>.</w:t>
            </w:r>
            <w:r w:rsidR="00AC7C22" w:rsidRPr="00A907D6">
              <w:t xml:space="preserve"> </w:t>
            </w:r>
          </w:p>
          <w:p w14:paraId="251D2533" w14:textId="7698D549" w:rsidR="00172CC3" w:rsidRPr="00A907D6" w:rsidRDefault="00172CC3" w:rsidP="00A60DFD">
            <w:pPr>
              <w:pStyle w:val="ListParagraph"/>
              <w:spacing w:after="0"/>
              <w:ind w:left="301" w:hanging="301"/>
              <w:jc w:val="both"/>
              <w:rPr>
                <w:rFonts w:ascii="Times New Roman" w:hAnsi="Times New Roman"/>
                <w:sz w:val="24"/>
                <w:szCs w:val="24"/>
              </w:rPr>
            </w:pPr>
            <w:r w:rsidRPr="00A907D6">
              <w:rPr>
                <w:rFonts w:ascii="Times New Roman" w:hAnsi="Times New Roman"/>
                <w:iCs/>
                <w:sz w:val="24"/>
                <w:szCs w:val="24"/>
              </w:rPr>
              <w:t>(</w:t>
            </w:r>
            <w:r w:rsidR="00AC7C22" w:rsidRPr="00A907D6">
              <w:rPr>
                <w:rFonts w:ascii="Times New Roman" w:hAnsi="Times New Roman"/>
                <w:iCs/>
                <w:sz w:val="24"/>
                <w:szCs w:val="24"/>
              </w:rPr>
              <w:t xml:space="preserve">Noteikumu projekta </w:t>
            </w:r>
            <w:r w:rsidR="0001050E">
              <w:rPr>
                <w:rFonts w:ascii="Times New Roman" w:hAnsi="Times New Roman"/>
                <w:iCs/>
                <w:sz w:val="24"/>
                <w:szCs w:val="24"/>
              </w:rPr>
              <w:t>1.14</w:t>
            </w:r>
            <w:r w:rsidR="00AC7C22" w:rsidRPr="00A907D6">
              <w:rPr>
                <w:rFonts w:ascii="Times New Roman" w:hAnsi="Times New Roman"/>
                <w:iCs/>
                <w:sz w:val="24"/>
                <w:szCs w:val="24"/>
              </w:rPr>
              <w:t>.</w:t>
            </w:r>
            <w:r w:rsidR="0001050E">
              <w:rPr>
                <w:rFonts w:ascii="Times New Roman" w:hAnsi="Times New Roman"/>
                <w:iCs/>
                <w:sz w:val="24"/>
                <w:szCs w:val="24"/>
              </w:rPr>
              <w:t>apakš</w:t>
            </w:r>
            <w:r w:rsidR="00AC7C22" w:rsidRPr="00A907D6">
              <w:rPr>
                <w:rFonts w:ascii="Times New Roman" w:hAnsi="Times New Roman"/>
                <w:iCs/>
                <w:sz w:val="24"/>
                <w:szCs w:val="24"/>
              </w:rPr>
              <w:t>punkts)</w:t>
            </w:r>
          </w:p>
        </w:tc>
      </w:tr>
      <w:tr w:rsidR="00FE6D6D" w:rsidRPr="00FE6D6D" w14:paraId="3D1AB37F" w14:textId="77777777" w:rsidTr="00F12761">
        <w:tblPrEx>
          <w:shd w:val="clear" w:color="auto" w:fill="auto"/>
          <w:tblCellMar>
            <w:top w:w="30" w:type="dxa"/>
            <w:left w:w="30" w:type="dxa"/>
            <w:bottom w:w="30" w:type="dxa"/>
            <w:right w:w="30" w:type="dxa"/>
          </w:tblCellMar>
        </w:tblPrEx>
        <w:trPr>
          <w:trHeight w:val="528"/>
        </w:trPr>
        <w:tc>
          <w:tcPr>
            <w:tcW w:w="581" w:type="dxa"/>
            <w:gridSpan w:val="2"/>
            <w:hideMark/>
          </w:tcPr>
          <w:p w14:paraId="3A7D33FC" w14:textId="033C4E35" w:rsidR="00487B6F" w:rsidRPr="00FE6D6D" w:rsidRDefault="00487B6F" w:rsidP="005516D9">
            <w:pPr>
              <w:spacing w:line="276" w:lineRule="auto"/>
              <w:jc w:val="center"/>
            </w:pPr>
            <w:r w:rsidRPr="00FE6D6D">
              <w:lastRenderedPageBreak/>
              <w:t>3.</w:t>
            </w:r>
          </w:p>
        </w:tc>
        <w:tc>
          <w:tcPr>
            <w:tcW w:w="1858" w:type="dxa"/>
            <w:hideMark/>
          </w:tcPr>
          <w:p w14:paraId="70401001" w14:textId="77777777" w:rsidR="00487B6F" w:rsidRPr="00FE6D6D" w:rsidRDefault="00487B6F" w:rsidP="00F16666">
            <w:pPr>
              <w:spacing w:line="276" w:lineRule="auto"/>
            </w:pPr>
            <w:r w:rsidRPr="00FE6D6D">
              <w:t>Projekta izstrādē iesaistītās institūcijas un publiskas personas kapitālsabiedrības</w:t>
            </w:r>
          </w:p>
        </w:tc>
        <w:tc>
          <w:tcPr>
            <w:tcW w:w="6622" w:type="dxa"/>
            <w:gridSpan w:val="4"/>
            <w:hideMark/>
          </w:tcPr>
          <w:p w14:paraId="34D0811C" w14:textId="2F78F737" w:rsidR="00487B6F" w:rsidRDefault="00F21DDE" w:rsidP="00F16666">
            <w:pPr>
              <w:spacing w:line="276" w:lineRule="auto"/>
              <w:jc w:val="both"/>
              <w:rPr>
                <w:bCs/>
              </w:rPr>
            </w:pPr>
            <w:r w:rsidRPr="00785955">
              <w:rPr>
                <w:bCs/>
              </w:rPr>
              <w:t>Sabiedrības integrācijas fonds</w:t>
            </w:r>
            <w:r w:rsidR="001F1EE8">
              <w:rPr>
                <w:bCs/>
              </w:rPr>
              <w:t xml:space="preserve"> (turpmāk – SIF)</w:t>
            </w:r>
            <w:r w:rsidR="00172CC3">
              <w:rPr>
                <w:bCs/>
              </w:rPr>
              <w:t>, Pārtikas un veterinārais dienests, Patērētāju tiesību aizsardzības centrs.</w:t>
            </w:r>
          </w:p>
          <w:p w14:paraId="64B2DED0" w14:textId="6B1491DA" w:rsidR="00B80A27" w:rsidRPr="00785955" w:rsidRDefault="00B80A27">
            <w:pPr>
              <w:spacing w:line="276" w:lineRule="auto"/>
              <w:jc w:val="both"/>
            </w:pPr>
          </w:p>
        </w:tc>
      </w:tr>
      <w:tr w:rsidR="00217B31" w:rsidRPr="00217B31" w14:paraId="524B8AA3" w14:textId="77777777" w:rsidTr="00F12761">
        <w:tblPrEx>
          <w:shd w:val="clear" w:color="auto" w:fill="auto"/>
          <w:tblCellMar>
            <w:top w:w="30" w:type="dxa"/>
            <w:left w:w="30" w:type="dxa"/>
            <w:bottom w:w="30" w:type="dxa"/>
            <w:right w:w="30" w:type="dxa"/>
          </w:tblCellMar>
        </w:tblPrEx>
        <w:tc>
          <w:tcPr>
            <w:tcW w:w="581" w:type="dxa"/>
            <w:gridSpan w:val="2"/>
            <w:hideMark/>
          </w:tcPr>
          <w:p w14:paraId="4464D21F" w14:textId="77777777" w:rsidR="00487B6F" w:rsidRPr="00217B31" w:rsidRDefault="00487B6F" w:rsidP="005516D9">
            <w:pPr>
              <w:spacing w:line="276" w:lineRule="auto"/>
              <w:jc w:val="center"/>
            </w:pPr>
            <w:r w:rsidRPr="00217B31">
              <w:t>4.</w:t>
            </w:r>
          </w:p>
        </w:tc>
        <w:tc>
          <w:tcPr>
            <w:tcW w:w="1858" w:type="dxa"/>
            <w:hideMark/>
          </w:tcPr>
          <w:p w14:paraId="6ADDD7EF" w14:textId="77777777" w:rsidR="00487B6F" w:rsidRPr="00217B31" w:rsidRDefault="00487B6F" w:rsidP="00F16666">
            <w:pPr>
              <w:spacing w:line="276" w:lineRule="auto"/>
            </w:pPr>
            <w:r w:rsidRPr="00217B31">
              <w:t>Cita informācija</w:t>
            </w:r>
          </w:p>
        </w:tc>
        <w:tc>
          <w:tcPr>
            <w:tcW w:w="6622" w:type="dxa"/>
            <w:gridSpan w:val="4"/>
            <w:hideMark/>
          </w:tcPr>
          <w:p w14:paraId="5BB1E282" w14:textId="71869DC8" w:rsidR="00487B6F" w:rsidRPr="00217B31" w:rsidRDefault="00487B6F" w:rsidP="00F16666">
            <w:pPr>
              <w:spacing w:line="276" w:lineRule="auto"/>
            </w:pPr>
            <w:r w:rsidRPr="00217B31">
              <w:t>Nav</w:t>
            </w:r>
          </w:p>
        </w:tc>
      </w:tr>
      <w:tr w:rsidR="00217B31" w:rsidRPr="00217B31" w14:paraId="10B111A3" w14:textId="77777777" w:rsidTr="00F12761">
        <w:tblPrEx>
          <w:shd w:val="clear" w:color="auto" w:fill="auto"/>
          <w:tblCellMar>
            <w:top w:w="30" w:type="dxa"/>
            <w:left w:w="30" w:type="dxa"/>
            <w:bottom w:w="30" w:type="dxa"/>
            <w:right w:w="30" w:type="dxa"/>
          </w:tblCellMar>
        </w:tblPrEx>
        <w:trPr>
          <w:gridAfter w:val="1"/>
          <w:wAfter w:w="14" w:type="dxa"/>
          <w:cantSplit/>
          <w:trHeight w:val="527"/>
        </w:trPr>
        <w:tc>
          <w:tcPr>
            <w:tcW w:w="9047" w:type="dxa"/>
            <w:gridSpan w:val="6"/>
            <w:vAlign w:val="center"/>
            <w:hideMark/>
          </w:tcPr>
          <w:p w14:paraId="509574DD" w14:textId="77777777" w:rsidR="00956B8A" w:rsidRPr="00217B31" w:rsidRDefault="00956B8A" w:rsidP="005516D9">
            <w:pPr>
              <w:spacing w:line="276" w:lineRule="auto"/>
              <w:ind w:left="-313"/>
              <w:jc w:val="center"/>
              <w:rPr>
                <w:b/>
                <w:bCs/>
              </w:rPr>
            </w:pPr>
            <w:r w:rsidRPr="00217B31">
              <w:rPr>
                <w:b/>
                <w:bCs/>
              </w:rPr>
              <w:t>II. Tiesību akta projekta ietekme uz sabiedrību, tautsaimniecības attīstību un administratīvo slogu</w:t>
            </w:r>
          </w:p>
        </w:tc>
      </w:tr>
      <w:tr w:rsidR="00FE6D6D" w:rsidRPr="00FE6D6D" w14:paraId="10B9B95C" w14:textId="77777777" w:rsidTr="00F12761">
        <w:tblPrEx>
          <w:shd w:val="clear" w:color="auto" w:fill="auto"/>
          <w:tblCellMar>
            <w:top w:w="30" w:type="dxa"/>
            <w:left w:w="30" w:type="dxa"/>
            <w:bottom w:w="30" w:type="dxa"/>
            <w:right w:w="30" w:type="dxa"/>
          </w:tblCellMar>
        </w:tblPrEx>
        <w:trPr>
          <w:gridAfter w:val="1"/>
          <w:wAfter w:w="14" w:type="dxa"/>
          <w:cantSplit/>
          <w:trHeight w:val="527"/>
        </w:trPr>
        <w:tc>
          <w:tcPr>
            <w:tcW w:w="567" w:type="dxa"/>
          </w:tcPr>
          <w:p w14:paraId="4F7BE298" w14:textId="4AA3E2C2" w:rsidR="009F4A5C" w:rsidRPr="00FE6D6D" w:rsidRDefault="009F4A5C" w:rsidP="005516D9">
            <w:pPr>
              <w:spacing w:line="276" w:lineRule="auto"/>
              <w:ind w:left="-313"/>
              <w:jc w:val="center"/>
              <w:rPr>
                <w:b/>
                <w:bCs/>
              </w:rPr>
            </w:pPr>
            <w:r w:rsidRPr="00FE6D6D">
              <w:rPr>
                <w:bCs/>
              </w:rPr>
              <w:t>1.</w:t>
            </w:r>
          </w:p>
        </w:tc>
        <w:tc>
          <w:tcPr>
            <w:tcW w:w="2552" w:type="dxa"/>
            <w:gridSpan w:val="3"/>
          </w:tcPr>
          <w:p w14:paraId="5EB0AE78" w14:textId="0C3EFAA2" w:rsidR="009F4A5C" w:rsidRPr="00FE6D6D" w:rsidRDefault="009F4A5C" w:rsidP="00F16666">
            <w:pPr>
              <w:spacing w:line="276" w:lineRule="auto"/>
              <w:ind w:left="112"/>
              <w:rPr>
                <w:b/>
                <w:bCs/>
              </w:rPr>
            </w:pPr>
            <w:r w:rsidRPr="00FE6D6D">
              <w:t>Sabiedrības mērķgrupas, kuras tiesiskais regulējums ietekmē vai varētu ietekmēt</w:t>
            </w:r>
          </w:p>
        </w:tc>
        <w:tc>
          <w:tcPr>
            <w:tcW w:w="5928" w:type="dxa"/>
            <w:gridSpan w:val="2"/>
            <w:vAlign w:val="center"/>
          </w:tcPr>
          <w:p w14:paraId="6FE2CBAE" w14:textId="77777777" w:rsidR="009F4A5C" w:rsidRPr="00FE6D6D" w:rsidRDefault="009F4A5C" w:rsidP="00F16666">
            <w:pPr>
              <w:pStyle w:val="ListParagraph"/>
              <w:spacing w:after="0"/>
              <w:ind w:left="318" w:right="113" w:hanging="318"/>
              <w:jc w:val="both"/>
              <w:rPr>
                <w:rFonts w:ascii="Times New Roman" w:hAnsi="Times New Roman"/>
                <w:sz w:val="24"/>
                <w:szCs w:val="24"/>
              </w:rPr>
            </w:pPr>
            <w:r w:rsidRPr="00FE6D6D">
              <w:rPr>
                <w:rFonts w:ascii="Times New Roman" w:hAnsi="Times New Roman"/>
                <w:sz w:val="24"/>
                <w:szCs w:val="24"/>
              </w:rPr>
              <w:t>Tiešās mērķgrupas:</w:t>
            </w:r>
          </w:p>
          <w:p w14:paraId="6AACC107" w14:textId="3564ABBD" w:rsidR="009F4A5C" w:rsidRPr="00FE6D6D" w:rsidRDefault="00FF5B0A">
            <w:pPr>
              <w:pStyle w:val="ListParagraph"/>
              <w:numPr>
                <w:ilvl w:val="0"/>
                <w:numId w:val="1"/>
              </w:numPr>
              <w:spacing w:after="0"/>
              <w:ind w:left="360" w:right="112" w:hanging="283"/>
              <w:jc w:val="both"/>
              <w:rPr>
                <w:rFonts w:ascii="Times New Roman" w:hAnsi="Times New Roman"/>
                <w:sz w:val="24"/>
                <w:szCs w:val="24"/>
              </w:rPr>
            </w:pPr>
            <w:r>
              <w:rPr>
                <w:rFonts w:ascii="Times New Roman" w:hAnsi="Times New Roman"/>
                <w:sz w:val="24"/>
                <w:szCs w:val="24"/>
              </w:rPr>
              <w:t>mājsaimniecības</w:t>
            </w:r>
            <w:r w:rsidR="009F4A5C" w:rsidRPr="00FE6D6D">
              <w:rPr>
                <w:rFonts w:ascii="Times New Roman" w:hAnsi="Times New Roman"/>
                <w:sz w:val="24"/>
                <w:szCs w:val="24"/>
              </w:rPr>
              <w:t>, kuras</w:t>
            </w:r>
          </w:p>
          <w:p w14:paraId="00761C43" w14:textId="77777777" w:rsidR="009F4A5C" w:rsidRPr="00FE6D6D" w:rsidRDefault="009F4A5C" w:rsidP="006B62FE">
            <w:pPr>
              <w:pStyle w:val="ListParagraph"/>
              <w:numPr>
                <w:ilvl w:val="0"/>
                <w:numId w:val="8"/>
              </w:numPr>
              <w:spacing w:after="0"/>
              <w:ind w:left="360" w:right="113" w:hanging="217"/>
              <w:jc w:val="both"/>
              <w:rPr>
                <w:rFonts w:ascii="Times New Roman" w:hAnsi="Times New Roman"/>
                <w:sz w:val="24"/>
                <w:szCs w:val="24"/>
              </w:rPr>
            </w:pPr>
            <w:r w:rsidRPr="00FE6D6D">
              <w:rPr>
                <w:rFonts w:ascii="Times New Roman" w:hAnsi="Times New Roman"/>
                <w:sz w:val="24"/>
                <w:szCs w:val="24"/>
              </w:rPr>
              <w:t>atzītas par trūcīgām;</w:t>
            </w:r>
          </w:p>
          <w:p w14:paraId="4E26ED56" w14:textId="77777777" w:rsidR="009F4A5C" w:rsidRPr="00FE6D6D" w:rsidRDefault="009F4A5C" w:rsidP="006B62FE">
            <w:pPr>
              <w:pStyle w:val="ListParagraph"/>
              <w:numPr>
                <w:ilvl w:val="0"/>
                <w:numId w:val="8"/>
              </w:numPr>
              <w:spacing w:after="0"/>
              <w:ind w:left="360" w:right="113" w:hanging="217"/>
              <w:jc w:val="both"/>
              <w:rPr>
                <w:rFonts w:ascii="Times New Roman" w:hAnsi="Times New Roman"/>
                <w:sz w:val="24"/>
                <w:szCs w:val="24"/>
              </w:rPr>
            </w:pPr>
            <w:r w:rsidRPr="00FE6D6D">
              <w:rPr>
                <w:rFonts w:ascii="Times New Roman" w:hAnsi="Times New Roman"/>
                <w:sz w:val="24"/>
                <w:szCs w:val="24"/>
              </w:rPr>
              <w:t>atzītas par maznodrošinātām un atbilstošām Fonda atbalsta saņemšanai;</w:t>
            </w:r>
          </w:p>
          <w:p w14:paraId="466BE285" w14:textId="77777777" w:rsidR="009F4A5C" w:rsidRPr="00FE6D6D" w:rsidRDefault="009F4A5C" w:rsidP="006B62FE">
            <w:pPr>
              <w:pStyle w:val="ListParagraph"/>
              <w:numPr>
                <w:ilvl w:val="0"/>
                <w:numId w:val="8"/>
              </w:numPr>
              <w:spacing w:after="0"/>
              <w:ind w:left="360" w:right="113" w:hanging="217"/>
              <w:jc w:val="both"/>
              <w:rPr>
                <w:rFonts w:ascii="Times New Roman" w:hAnsi="Times New Roman"/>
                <w:sz w:val="24"/>
                <w:szCs w:val="24"/>
              </w:rPr>
            </w:pPr>
            <w:r w:rsidRPr="00FE6D6D">
              <w:rPr>
                <w:rFonts w:ascii="Times New Roman" w:hAnsi="Times New Roman"/>
                <w:sz w:val="24"/>
                <w:szCs w:val="24"/>
              </w:rPr>
              <w:t>nonākušas krīzes situācijā;</w:t>
            </w:r>
          </w:p>
          <w:p w14:paraId="5F9A7F5B" w14:textId="66781529" w:rsidR="009F4A5C" w:rsidRPr="00FE6D6D" w:rsidRDefault="009F4A5C" w:rsidP="005516D9">
            <w:pPr>
              <w:pStyle w:val="ListParagraph"/>
              <w:numPr>
                <w:ilvl w:val="0"/>
                <w:numId w:val="1"/>
              </w:numPr>
              <w:spacing w:after="0"/>
              <w:ind w:left="360" w:right="112" w:hanging="283"/>
              <w:jc w:val="both"/>
              <w:rPr>
                <w:b/>
                <w:bCs/>
              </w:rPr>
            </w:pPr>
            <w:r w:rsidRPr="00FE6D6D">
              <w:rPr>
                <w:rFonts w:ascii="Times New Roman" w:hAnsi="Times New Roman"/>
                <w:sz w:val="24"/>
                <w:szCs w:val="24"/>
              </w:rPr>
              <w:t xml:space="preserve">pašvaldību sociālie dienesti, kuri izsniedz izziņu par trūcīgas </w:t>
            </w:r>
            <w:r w:rsidR="00FF5B0A">
              <w:rPr>
                <w:rFonts w:ascii="Times New Roman" w:hAnsi="Times New Roman"/>
                <w:sz w:val="24"/>
                <w:szCs w:val="24"/>
              </w:rPr>
              <w:t>mājsaimniecības</w:t>
            </w:r>
            <w:r w:rsidRPr="00FE6D6D">
              <w:rPr>
                <w:rFonts w:ascii="Times New Roman" w:hAnsi="Times New Roman"/>
                <w:sz w:val="24"/>
                <w:szCs w:val="24"/>
              </w:rPr>
              <w:t xml:space="preserve"> statusu, maznodrošinātas </w:t>
            </w:r>
            <w:r w:rsidR="00FF5B0A">
              <w:rPr>
                <w:rFonts w:ascii="Times New Roman" w:hAnsi="Times New Roman"/>
                <w:sz w:val="24"/>
                <w:szCs w:val="24"/>
              </w:rPr>
              <w:t>mājsaimniecības</w:t>
            </w:r>
            <w:r w:rsidRPr="00FE6D6D">
              <w:rPr>
                <w:rFonts w:ascii="Times New Roman" w:hAnsi="Times New Roman"/>
                <w:sz w:val="24"/>
                <w:szCs w:val="24"/>
              </w:rPr>
              <w:t xml:space="preserve"> statusu </w:t>
            </w:r>
            <w:r w:rsidR="0085321D">
              <w:rPr>
                <w:rFonts w:ascii="Times New Roman" w:hAnsi="Times New Roman"/>
                <w:sz w:val="24"/>
                <w:szCs w:val="24"/>
              </w:rPr>
              <w:t>ar</w:t>
            </w:r>
            <w:r w:rsidR="0085321D" w:rsidRPr="00FE6D6D">
              <w:rPr>
                <w:rFonts w:ascii="Times New Roman" w:hAnsi="Times New Roman"/>
                <w:sz w:val="24"/>
                <w:szCs w:val="24"/>
              </w:rPr>
              <w:t xml:space="preserve"> </w:t>
            </w:r>
            <w:r w:rsidRPr="00FE6D6D">
              <w:rPr>
                <w:rFonts w:ascii="Times New Roman" w:hAnsi="Times New Roman"/>
                <w:sz w:val="24"/>
                <w:szCs w:val="24"/>
              </w:rPr>
              <w:t xml:space="preserve">atbilstību Fonda atbalsta saņemšanai vai </w:t>
            </w:r>
            <w:r w:rsidR="00BB1316">
              <w:rPr>
                <w:rFonts w:ascii="Times New Roman" w:hAnsi="Times New Roman"/>
                <w:sz w:val="24"/>
                <w:szCs w:val="24"/>
              </w:rPr>
              <w:t xml:space="preserve">mājsaimniecību </w:t>
            </w:r>
            <w:r w:rsidRPr="00FE6D6D">
              <w:rPr>
                <w:rFonts w:ascii="Times New Roman" w:hAnsi="Times New Roman"/>
                <w:sz w:val="24"/>
                <w:szCs w:val="24"/>
              </w:rPr>
              <w:t>krīzes situācij</w:t>
            </w:r>
            <w:r w:rsidR="00BB1316">
              <w:rPr>
                <w:rFonts w:ascii="Times New Roman" w:hAnsi="Times New Roman"/>
                <w:sz w:val="24"/>
                <w:szCs w:val="24"/>
              </w:rPr>
              <w:t>ā</w:t>
            </w:r>
            <w:r w:rsidRPr="00FE6D6D">
              <w:rPr>
                <w:rFonts w:ascii="Times New Roman" w:hAnsi="Times New Roman"/>
                <w:sz w:val="24"/>
                <w:szCs w:val="24"/>
              </w:rPr>
              <w:t>;</w:t>
            </w:r>
          </w:p>
          <w:p w14:paraId="5F4C6489" w14:textId="4514B387" w:rsidR="009F4A5C" w:rsidRPr="00FE6D6D" w:rsidRDefault="009F4A5C" w:rsidP="00F16666">
            <w:pPr>
              <w:pStyle w:val="ListParagraph"/>
              <w:numPr>
                <w:ilvl w:val="0"/>
                <w:numId w:val="1"/>
              </w:numPr>
              <w:spacing w:after="0"/>
              <w:ind w:left="360" w:right="112" w:hanging="283"/>
              <w:jc w:val="both"/>
              <w:rPr>
                <w:b/>
                <w:bCs/>
              </w:rPr>
            </w:pPr>
            <w:r w:rsidRPr="00FE6D6D">
              <w:rPr>
                <w:rFonts w:ascii="Times New Roman" w:hAnsi="Times New Roman"/>
                <w:sz w:val="24"/>
                <w:szCs w:val="24"/>
              </w:rPr>
              <w:t>nevalstiskas un reliģiskas</w:t>
            </w:r>
            <w:r w:rsidRPr="00FE6D6D">
              <w:rPr>
                <w:rFonts w:ascii="Times New Roman" w:hAnsi="Times New Roman"/>
              </w:rPr>
              <w:t xml:space="preserve"> organizācijas</w:t>
            </w:r>
            <w:r w:rsidRPr="00FE6D6D">
              <w:rPr>
                <w:rFonts w:ascii="Times New Roman" w:hAnsi="Times New Roman"/>
                <w:sz w:val="24"/>
                <w:szCs w:val="24"/>
              </w:rPr>
              <w:t xml:space="preserve"> pašvaldības vai pašvaldību iestādes,</w:t>
            </w:r>
            <w:r w:rsidRPr="00FE6D6D">
              <w:t xml:space="preserve"> </w:t>
            </w:r>
            <w:r w:rsidRPr="00FE6D6D">
              <w:rPr>
                <w:rFonts w:ascii="Times New Roman" w:hAnsi="Times New Roman"/>
                <w:sz w:val="24"/>
                <w:szCs w:val="24"/>
              </w:rPr>
              <w:t>kuras ir partnerorganizācijas.</w:t>
            </w:r>
          </w:p>
        </w:tc>
      </w:tr>
      <w:tr w:rsidR="00FE6D6D" w:rsidRPr="00FE6D6D" w14:paraId="44BCEAB9" w14:textId="77777777" w:rsidTr="00F12761">
        <w:tblPrEx>
          <w:shd w:val="clear" w:color="auto" w:fill="auto"/>
          <w:tblCellMar>
            <w:top w:w="30" w:type="dxa"/>
            <w:left w:w="30" w:type="dxa"/>
            <w:bottom w:w="30" w:type="dxa"/>
            <w:right w:w="30" w:type="dxa"/>
          </w:tblCellMar>
        </w:tblPrEx>
        <w:trPr>
          <w:gridAfter w:val="1"/>
          <w:wAfter w:w="14" w:type="dxa"/>
          <w:cantSplit/>
          <w:trHeight w:val="527"/>
        </w:trPr>
        <w:tc>
          <w:tcPr>
            <w:tcW w:w="567" w:type="dxa"/>
          </w:tcPr>
          <w:p w14:paraId="3227693E" w14:textId="4F7F2C35" w:rsidR="009F4A5C" w:rsidRPr="00FE6D6D" w:rsidRDefault="009F4A5C" w:rsidP="005516D9">
            <w:pPr>
              <w:spacing w:line="276" w:lineRule="auto"/>
              <w:ind w:left="-65"/>
              <w:jc w:val="center"/>
              <w:rPr>
                <w:bCs/>
              </w:rPr>
            </w:pPr>
          </w:p>
        </w:tc>
        <w:tc>
          <w:tcPr>
            <w:tcW w:w="2552" w:type="dxa"/>
            <w:gridSpan w:val="3"/>
          </w:tcPr>
          <w:p w14:paraId="2CFD32F6" w14:textId="2A8871B6" w:rsidR="009F4A5C" w:rsidRPr="00FE6D6D" w:rsidRDefault="009F4A5C" w:rsidP="00F16666">
            <w:pPr>
              <w:spacing w:line="276" w:lineRule="auto"/>
              <w:ind w:left="112"/>
              <w:rPr>
                <w:bCs/>
              </w:rPr>
            </w:pPr>
          </w:p>
        </w:tc>
        <w:tc>
          <w:tcPr>
            <w:tcW w:w="5928" w:type="dxa"/>
            <w:gridSpan w:val="2"/>
            <w:vAlign w:val="center"/>
          </w:tcPr>
          <w:p w14:paraId="0FE44F25" w14:textId="7F7CC8BF" w:rsidR="004B1409" w:rsidRPr="00FE6D6D" w:rsidRDefault="009F4A5C" w:rsidP="00F16666">
            <w:pPr>
              <w:spacing w:line="276" w:lineRule="auto"/>
              <w:ind w:left="169" w:right="112"/>
              <w:jc w:val="both"/>
            </w:pPr>
            <w:r w:rsidRPr="00FE6D6D">
              <w:t>Netiešā mērķgrupa – pārtikas vai pamata materiālās palīdzības preču piegādātāji, kuri izvēlēti atbilstoši publisko iepirkumu normatīvam regulējumam.</w:t>
            </w:r>
          </w:p>
        </w:tc>
      </w:tr>
      <w:tr w:rsidR="00F10A1D" w:rsidRPr="00FE6D6D" w14:paraId="2BE4F79A" w14:textId="77777777" w:rsidTr="00F12761">
        <w:tblPrEx>
          <w:shd w:val="clear" w:color="auto" w:fill="auto"/>
          <w:tblCellMar>
            <w:top w:w="30" w:type="dxa"/>
            <w:left w:w="30" w:type="dxa"/>
            <w:bottom w:w="30" w:type="dxa"/>
            <w:right w:w="30" w:type="dxa"/>
          </w:tblCellMar>
        </w:tblPrEx>
        <w:trPr>
          <w:gridAfter w:val="1"/>
          <w:wAfter w:w="14" w:type="dxa"/>
          <w:cantSplit/>
          <w:trHeight w:val="527"/>
        </w:trPr>
        <w:tc>
          <w:tcPr>
            <w:tcW w:w="567" w:type="dxa"/>
          </w:tcPr>
          <w:p w14:paraId="594EDD9D" w14:textId="43E51202" w:rsidR="00F10A1D" w:rsidRPr="00FE6D6D" w:rsidRDefault="00F10A1D" w:rsidP="005516D9">
            <w:pPr>
              <w:spacing w:line="276" w:lineRule="auto"/>
              <w:ind w:left="-65"/>
              <w:jc w:val="center"/>
              <w:rPr>
                <w:bCs/>
              </w:rPr>
            </w:pPr>
            <w:r>
              <w:rPr>
                <w:bCs/>
              </w:rPr>
              <w:t>2.</w:t>
            </w:r>
          </w:p>
        </w:tc>
        <w:tc>
          <w:tcPr>
            <w:tcW w:w="2552" w:type="dxa"/>
            <w:gridSpan w:val="3"/>
          </w:tcPr>
          <w:p w14:paraId="4198B650" w14:textId="32E4CDF2" w:rsidR="00F10A1D" w:rsidRPr="00FE6D6D" w:rsidRDefault="00F10A1D" w:rsidP="00F16666">
            <w:pPr>
              <w:spacing w:line="276" w:lineRule="auto"/>
              <w:ind w:left="112"/>
              <w:rPr>
                <w:bCs/>
              </w:rPr>
            </w:pPr>
            <w:r w:rsidRPr="009403DB">
              <w:t>Tiesiskā regulējuma ietekme uz tautsaimniecību un administratīvo slogu</w:t>
            </w:r>
          </w:p>
        </w:tc>
        <w:tc>
          <w:tcPr>
            <w:tcW w:w="5928" w:type="dxa"/>
            <w:gridSpan w:val="2"/>
            <w:vAlign w:val="center"/>
          </w:tcPr>
          <w:p w14:paraId="1CBF6B1C" w14:textId="77777777" w:rsidR="00F10A1D" w:rsidRPr="00EE3A57" w:rsidRDefault="00F10A1D" w:rsidP="00F10A1D">
            <w:pPr>
              <w:pStyle w:val="ListParagraph"/>
              <w:spacing w:after="0"/>
              <w:ind w:left="135" w:right="112"/>
              <w:jc w:val="both"/>
              <w:rPr>
                <w:rFonts w:ascii="Times New Roman" w:hAnsi="Times New Roman"/>
                <w:sz w:val="24"/>
                <w:szCs w:val="24"/>
              </w:rPr>
            </w:pPr>
            <w:r>
              <w:rPr>
                <w:rFonts w:ascii="Times New Roman" w:hAnsi="Times New Roman"/>
                <w:sz w:val="24"/>
                <w:szCs w:val="24"/>
              </w:rPr>
              <w:t>1.</w:t>
            </w:r>
            <w:r w:rsidRPr="00EE3A57">
              <w:rPr>
                <w:rFonts w:ascii="Times New Roman" w:hAnsi="Times New Roman"/>
                <w:sz w:val="24"/>
                <w:szCs w:val="24"/>
              </w:rPr>
              <w:t xml:space="preserve">Tiesiskais regulējums neparedz tiešu ietekmi uz tautsaimniecību, bet tas saistīts ar ieguldījumiem nabadzības mazināšanas un sociālās iekļaušanas jomā. </w:t>
            </w:r>
          </w:p>
          <w:p w14:paraId="767CC95D" w14:textId="77777777" w:rsidR="00F10A1D" w:rsidRDefault="00F10A1D" w:rsidP="00F10A1D">
            <w:pPr>
              <w:pStyle w:val="ListParagraph"/>
              <w:spacing w:after="0"/>
              <w:ind w:left="135" w:right="112"/>
              <w:jc w:val="both"/>
              <w:rPr>
                <w:rFonts w:ascii="Times New Roman" w:hAnsi="Times New Roman"/>
                <w:sz w:val="24"/>
                <w:szCs w:val="24"/>
              </w:rPr>
            </w:pPr>
            <w:r w:rsidRPr="00EE3A57">
              <w:rPr>
                <w:rFonts w:ascii="Times New Roman" w:hAnsi="Times New Roman"/>
                <w:sz w:val="24"/>
                <w:szCs w:val="24"/>
              </w:rPr>
              <w:t xml:space="preserve">Saistībā ar normatīvā regulējumā noteikto, ka sociālās palīdzības nodrošināšana ir pašvaldību autonomā </w:t>
            </w:r>
            <w:r w:rsidRPr="00A36C2F">
              <w:rPr>
                <w:rFonts w:ascii="Times New Roman" w:hAnsi="Times New Roman"/>
                <w:sz w:val="24"/>
                <w:szCs w:val="24"/>
              </w:rPr>
              <w:t>funkcija</w:t>
            </w:r>
            <w:r w:rsidRPr="00A36C2F">
              <w:rPr>
                <w:rFonts w:ascii="Times New Roman" w:hAnsi="Times New Roman"/>
                <w:sz w:val="24"/>
                <w:szCs w:val="24"/>
                <w:vertAlign w:val="superscript"/>
              </w:rPr>
              <w:footnoteReference w:id="5"/>
            </w:r>
            <w:r w:rsidRPr="00A36C2F">
              <w:rPr>
                <w:rFonts w:ascii="Times New Roman" w:hAnsi="Times New Roman"/>
                <w:sz w:val="24"/>
                <w:szCs w:val="24"/>
              </w:rPr>
              <w:t>, mājsaimniecības</w:t>
            </w:r>
            <w:r>
              <w:rPr>
                <w:rFonts w:ascii="Times New Roman" w:hAnsi="Times New Roman"/>
                <w:sz w:val="24"/>
                <w:szCs w:val="24"/>
              </w:rPr>
              <w:t xml:space="preserve"> </w:t>
            </w:r>
            <w:r w:rsidRPr="00EE3A57">
              <w:rPr>
                <w:rFonts w:ascii="Times New Roman" w:hAnsi="Times New Roman"/>
                <w:sz w:val="24"/>
                <w:szCs w:val="24"/>
              </w:rPr>
              <w:t xml:space="preserve">atbilstību Fonda atbalsta saņemšanai apliecina pašvaldības sociālā dienesta (turpmāk – sociālais dienests) izziņa. Sociālie dienesti </w:t>
            </w:r>
            <w:r w:rsidRPr="00105FC6">
              <w:rPr>
                <w:rFonts w:ascii="Times New Roman" w:hAnsi="Times New Roman"/>
                <w:sz w:val="24"/>
                <w:szCs w:val="24"/>
              </w:rPr>
              <w:t xml:space="preserve">vērtē </w:t>
            </w:r>
            <w:r>
              <w:rPr>
                <w:rFonts w:ascii="Times New Roman" w:hAnsi="Times New Roman"/>
                <w:sz w:val="24"/>
                <w:szCs w:val="24"/>
              </w:rPr>
              <w:t>mājsaimniecības</w:t>
            </w:r>
            <w:r w:rsidRPr="00EE3A57">
              <w:rPr>
                <w:rFonts w:ascii="Times New Roman" w:hAnsi="Times New Roman"/>
                <w:sz w:val="24"/>
                <w:szCs w:val="24"/>
              </w:rPr>
              <w:t xml:space="preserve"> ienākumus saskaņā ar normatīvajiem aktiem sociālo pakalpojumu un sociālās palīdzības jomā un izsniedz izziņu par </w:t>
            </w:r>
            <w:r>
              <w:rPr>
                <w:rFonts w:ascii="Times New Roman" w:hAnsi="Times New Roman"/>
                <w:sz w:val="24"/>
                <w:szCs w:val="24"/>
              </w:rPr>
              <w:t>mājsaimniecību</w:t>
            </w:r>
            <w:r w:rsidRPr="00EE3A57">
              <w:rPr>
                <w:rFonts w:ascii="Times New Roman" w:hAnsi="Times New Roman"/>
                <w:sz w:val="24"/>
                <w:szCs w:val="24"/>
              </w:rPr>
              <w:t xml:space="preserve"> atbilstī</w:t>
            </w:r>
            <w:r>
              <w:rPr>
                <w:rFonts w:ascii="Times New Roman" w:hAnsi="Times New Roman"/>
                <w:sz w:val="24"/>
                <w:szCs w:val="24"/>
              </w:rPr>
              <w:t xml:space="preserve">bu trūcīgas vai maznodrošinātas (līdz nabadzības riska slieksnim) </w:t>
            </w:r>
            <w:r w:rsidRPr="00EE3A57">
              <w:rPr>
                <w:rFonts w:ascii="Times New Roman" w:hAnsi="Times New Roman"/>
                <w:sz w:val="24"/>
                <w:szCs w:val="24"/>
              </w:rPr>
              <w:t>statusam, kas pamato atbalsta nepieciešamību.</w:t>
            </w:r>
          </w:p>
          <w:p w14:paraId="52B4875C" w14:textId="77777777" w:rsidR="00F10A1D" w:rsidRPr="00AC4933" w:rsidRDefault="00F10A1D" w:rsidP="00F10A1D">
            <w:pPr>
              <w:pStyle w:val="ListParagraph"/>
              <w:spacing w:after="0"/>
              <w:ind w:left="135"/>
              <w:jc w:val="both"/>
              <w:rPr>
                <w:rFonts w:ascii="Times New Roman" w:hAnsi="Times New Roman"/>
                <w:sz w:val="24"/>
                <w:szCs w:val="24"/>
              </w:rPr>
            </w:pPr>
            <w:r w:rsidRPr="00F10A1D">
              <w:rPr>
                <w:rFonts w:ascii="Times New Roman" w:hAnsi="Times New Roman"/>
                <w:sz w:val="24"/>
                <w:szCs w:val="24"/>
              </w:rPr>
              <w:t>2.</w:t>
            </w:r>
            <w:r>
              <w:t xml:space="preserve"> </w:t>
            </w:r>
            <w:r>
              <w:rPr>
                <w:rFonts w:ascii="Times New Roman" w:hAnsi="Times New Roman"/>
                <w:sz w:val="24"/>
                <w:szCs w:val="24"/>
              </w:rPr>
              <w:t>Noteikumu projekts</w:t>
            </w:r>
            <w:r w:rsidRPr="004B1409">
              <w:rPr>
                <w:rFonts w:ascii="Times New Roman" w:hAnsi="Times New Roman"/>
                <w:sz w:val="24"/>
                <w:szCs w:val="24"/>
              </w:rPr>
              <w:t xml:space="preserve"> paredz </w:t>
            </w:r>
            <w:r>
              <w:rPr>
                <w:rFonts w:ascii="Times New Roman" w:hAnsi="Times New Roman"/>
                <w:sz w:val="24"/>
                <w:szCs w:val="24"/>
              </w:rPr>
              <w:t>noteikt</w:t>
            </w:r>
            <w:r w:rsidRPr="004B1409">
              <w:rPr>
                <w:rFonts w:ascii="Times New Roman" w:hAnsi="Times New Roman"/>
                <w:sz w:val="24"/>
                <w:szCs w:val="24"/>
              </w:rPr>
              <w:t xml:space="preserve"> Fonda atbalsta saņēmēju loku, balstoties uz </w:t>
            </w:r>
            <w:r>
              <w:rPr>
                <w:rFonts w:ascii="Times New Roman" w:hAnsi="Times New Roman"/>
                <w:sz w:val="24"/>
                <w:szCs w:val="24"/>
              </w:rPr>
              <w:t xml:space="preserve">atbilstoši SPSP likuma nosacījumiem izstrādātām </w:t>
            </w:r>
            <w:r w:rsidRPr="004B1409">
              <w:rPr>
                <w:rFonts w:ascii="Times New Roman" w:hAnsi="Times New Roman"/>
                <w:sz w:val="24"/>
                <w:szCs w:val="24"/>
              </w:rPr>
              <w:t xml:space="preserve">sociālā dienesta izziņām par </w:t>
            </w:r>
            <w:r w:rsidRPr="00172CC3">
              <w:rPr>
                <w:rFonts w:ascii="Times New Roman" w:hAnsi="Times New Roman"/>
                <w:sz w:val="24"/>
                <w:szCs w:val="24"/>
              </w:rPr>
              <w:t>mājsaimniecību atbilstību noteiktiem ienākumu sliekšņiem.</w:t>
            </w:r>
            <w:r>
              <w:rPr>
                <w:rFonts w:ascii="Times New Roman" w:hAnsi="Times New Roman"/>
                <w:sz w:val="24"/>
                <w:szCs w:val="24"/>
              </w:rPr>
              <w:t xml:space="preserve"> </w:t>
            </w:r>
          </w:p>
          <w:p w14:paraId="545885D2" w14:textId="5D28C604" w:rsidR="00F10A1D" w:rsidRDefault="00F10A1D" w:rsidP="00F16666">
            <w:pPr>
              <w:spacing w:line="276" w:lineRule="auto"/>
              <w:ind w:left="169" w:right="112"/>
              <w:jc w:val="both"/>
            </w:pPr>
            <w:r>
              <w:t xml:space="preserve">3. </w:t>
            </w:r>
            <w:r w:rsidRPr="004B1409">
              <w:t xml:space="preserve">Sociālais dienests jau patlaban izsniedz izziņu krīzes situācijas risināšanai gadījumos, kad </w:t>
            </w:r>
            <w:r>
              <w:t>mājsaimniecībai</w:t>
            </w:r>
            <w:r w:rsidR="00A60DFD" w:rsidRPr="00F10A1D">
              <w:t xml:space="preserve"> vai atsevišķi dzīvojošai personai nepieciešama tūlītēja palīdzība, kā arī sniedz partnerorganizācijām aktuālu informāciju par iespējamo atbalsta saņēmēju skaitu un informē mājsaimniecības par Fonda atbalsta iespējām.</w:t>
            </w:r>
          </w:p>
          <w:p w14:paraId="1A96F295" w14:textId="4944A572" w:rsidR="00A60DFD" w:rsidRPr="00FE6D6D" w:rsidRDefault="00A60DFD" w:rsidP="00F16666">
            <w:pPr>
              <w:spacing w:line="276" w:lineRule="auto"/>
              <w:ind w:left="169" w:right="112"/>
              <w:jc w:val="both"/>
            </w:pPr>
          </w:p>
        </w:tc>
      </w:tr>
      <w:tr w:rsidR="00FE6D6D" w:rsidRPr="00FE6D6D" w14:paraId="43F35FA5" w14:textId="77777777" w:rsidTr="00F12761">
        <w:tblPrEx>
          <w:shd w:val="clear" w:color="auto" w:fill="auto"/>
          <w:tblCellMar>
            <w:top w:w="30" w:type="dxa"/>
            <w:left w:w="30" w:type="dxa"/>
            <w:bottom w:w="30" w:type="dxa"/>
            <w:right w:w="30" w:type="dxa"/>
          </w:tblCellMar>
        </w:tblPrEx>
        <w:trPr>
          <w:gridAfter w:val="1"/>
          <w:wAfter w:w="14" w:type="dxa"/>
          <w:cantSplit/>
        </w:trPr>
        <w:tc>
          <w:tcPr>
            <w:tcW w:w="567" w:type="dxa"/>
          </w:tcPr>
          <w:p w14:paraId="56301F27" w14:textId="19F65724" w:rsidR="009F4A5C" w:rsidRPr="009403DB" w:rsidRDefault="009F4A5C" w:rsidP="005516D9">
            <w:pPr>
              <w:spacing w:line="276" w:lineRule="auto"/>
              <w:jc w:val="center"/>
            </w:pPr>
          </w:p>
        </w:tc>
        <w:tc>
          <w:tcPr>
            <w:tcW w:w="2552" w:type="dxa"/>
            <w:gridSpan w:val="3"/>
          </w:tcPr>
          <w:p w14:paraId="0F27EF64" w14:textId="30EDEE89" w:rsidR="009F4A5C" w:rsidRPr="009403DB" w:rsidRDefault="009F4A5C" w:rsidP="00F16666">
            <w:pPr>
              <w:spacing w:line="276" w:lineRule="auto"/>
            </w:pPr>
          </w:p>
        </w:tc>
        <w:tc>
          <w:tcPr>
            <w:tcW w:w="5928" w:type="dxa"/>
            <w:gridSpan w:val="2"/>
          </w:tcPr>
          <w:p w14:paraId="408B964D" w14:textId="2DC22B9A" w:rsidR="00F029B7" w:rsidRPr="00F10A1D" w:rsidRDefault="001177F3" w:rsidP="00D94150">
            <w:pPr>
              <w:pStyle w:val="ListParagraph"/>
              <w:numPr>
                <w:ilvl w:val="0"/>
                <w:numId w:val="1"/>
              </w:numPr>
              <w:spacing w:after="0"/>
              <w:ind w:left="253" w:right="112" w:firstLine="0"/>
              <w:jc w:val="both"/>
              <w:rPr>
                <w:rFonts w:ascii="Times New Roman" w:hAnsi="Times New Roman"/>
                <w:sz w:val="24"/>
                <w:szCs w:val="24"/>
              </w:rPr>
            </w:pPr>
            <w:r w:rsidRPr="00F10A1D">
              <w:rPr>
                <w:rFonts w:ascii="Times New Roman" w:hAnsi="Times New Roman"/>
                <w:sz w:val="24"/>
                <w:szCs w:val="24"/>
              </w:rPr>
              <w:t xml:space="preserve">Ieviešot </w:t>
            </w:r>
            <w:r w:rsidR="00F029B7" w:rsidRPr="00F10A1D">
              <w:rPr>
                <w:rFonts w:ascii="Times New Roman" w:hAnsi="Times New Roman"/>
                <w:sz w:val="24"/>
                <w:szCs w:val="24"/>
              </w:rPr>
              <w:t>i</w:t>
            </w:r>
            <w:r w:rsidRPr="00F10A1D">
              <w:rPr>
                <w:rFonts w:ascii="Times New Roman" w:hAnsi="Times New Roman"/>
                <w:sz w:val="24"/>
                <w:szCs w:val="24"/>
              </w:rPr>
              <w:t>zmaiņas sociā</w:t>
            </w:r>
            <w:r w:rsidR="004B1409" w:rsidRPr="00F10A1D">
              <w:rPr>
                <w:rFonts w:ascii="Times New Roman" w:hAnsi="Times New Roman"/>
                <w:sz w:val="24"/>
                <w:szCs w:val="24"/>
              </w:rPr>
              <w:t>lās aizsardzības jomas likumdošanā</w:t>
            </w:r>
            <w:r w:rsidR="00F3540B" w:rsidRPr="00F10A1D">
              <w:rPr>
                <w:rFonts w:ascii="Times New Roman" w:hAnsi="Times New Roman"/>
                <w:sz w:val="24"/>
                <w:szCs w:val="24"/>
              </w:rPr>
              <w:t>,</w:t>
            </w:r>
            <w:r w:rsidR="004B1409" w:rsidRPr="00F10A1D">
              <w:rPr>
                <w:rFonts w:ascii="Times New Roman" w:hAnsi="Times New Roman"/>
                <w:sz w:val="24"/>
                <w:szCs w:val="24"/>
              </w:rPr>
              <w:t xml:space="preserve"> saistībā ar </w:t>
            </w:r>
            <w:r w:rsidR="003F4147" w:rsidRPr="00F10A1D">
              <w:rPr>
                <w:rFonts w:ascii="Times New Roman" w:hAnsi="Times New Roman"/>
                <w:sz w:val="24"/>
                <w:szCs w:val="24"/>
              </w:rPr>
              <w:t>ienākumu sliekšņu noteikšanu</w:t>
            </w:r>
            <w:r w:rsidRPr="00F10A1D">
              <w:rPr>
                <w:rFonts w:ascii="Times New Roman" w:hAnsi="Times New Roman"/>
                <w:sz w:val="24"/>
                <w:szCs w:val="24"/>
              </w:rPr>
              <w:t xml:space="preserve"> pašvaldībām jau nepieciešami grozījumi esošajos saistošajos noteikumos vai jaunu saistošo noteikumu izstrāde, kuros</w:t>
            </w:r>
            <w:r w:rsidR="004B1409" w:rsidRPr="00F10A1D">
              <w:rPr>
                <w:rFonts w:ascii="Times New Roman" w:hAnsi="Times New Roman"/>
                <w:sz w:val="24"/>
                <w:szCs w:val="24"/>
              </w:rPr>
              <w:t xml:space="preserve"> </w:t>
            </w:r>
            <w:r w:rsidR="00360839" w:rsidRPr="00F10A1D">
              <w:rPr>
                <w:rFonts w:ascii="Times New Roman" w:hAnsi="Times New Roman"/>
                <w:sz w:val="24"/>
                <w:szCs w:val="24"/>
              </w:rPr>
              <w:t xml:space="preserve">var paredzēt </w:t>
            </w:r>
            <w:r w:rsidRPr="00F10A1D">
              <w:rPr>
                <w:rFonts w:ascii="Times New Roman" w:hAnsi="Times New Roman"/>
                <w:sz w:val="24"/>
                <w:szCs w:val="24"/>
              </w:rPr>
              <w:t>Fonda atbalsta saņemšanai labvēlīgāk</w:t>
            </w:r>
            <w:r w:rsidR="00360839" w:rsidRPr="00F10A1D">
              <w:rPr>
                <w:rFonts w:ascii="Times New Roman" w:hAnsi="Times New Roman"/>
                <w:sz w:val="24"/>
                <w:szCs w:val="24"/>
              </w:rPr>
              <w:t>us</w:t>
            </w:r>
            <w:r w:rsidRPr="00F10A1D">
              <w:rPr>
                <w:rFonts w:ascii="Times New Roman" w:hAnsi="Times New Roman"/>
                <w:sz w:val="24"/>
                <w:szCs w:val="24"/>
              </w:rPr>
              <w:t xml:space="preserve"> nosacījum</w:t>
            </w:r>
            <w:r w:rsidR="00360839" w:rsidRPr="00F10A1D">
              <w:rPr>
                <w:rFonts w:ascii="Times New Roman" w:hAnsi="Times New Roman"/>
                <w:sz w:val="24"/>
                <w:szCs w:val="24"/>
              </w:rPr>
              <w:t xml:space="preserve">us, ja attiecināms. Citos gadījumos Fonda atbalstu saņems trūcīgu vai maznodrošinātu mājsaimniecību locekļi, pašvaldību saistošajos noteikumos paredzētajā apmērā, tomēr nepārsniedzot </w:t>
            </w:r>
            <w:r w:rsidR="00360839" w:rsidRPr="00F10A1D">
              <w:rPr>
                <w:rFonts w:ascii="Times New Roman" w:hAnsi="Times New Roman"/>
                <w:iCs/>
                <w:sz w:val="24"/>
                <w:szCs w:val="24"/>
              </w:rPr>
              <w:t>327 </w:t>
            </w:r>
            <w:proofErr w:type="spellStart"/>
            <w:r w:rsidR="00360839" w:rsidRPr="00F10A1D">
              <w:rPr>
                <w:rFonts w:ascii="Times New Roman" w:hAnsi="Times New Roman"/>
                <w:i/>
                <w:iCs/>
                <w:sz w:val="24"/>
                <w:szCs w:val="24"/>
              </w:rPr>
              <w:t>euro</w:t>
            </w:r>
            <w:proofErr w:type="spellEnd"/>
            <w:r w:rsidR="00360839" w:rsidRPr="00F10A1D">
              <w:rPr>
                <w:rFonts w:ascii="Times New Roman" w:hAnsi="Times New Roman"/>
                <w:iCs/>
                <w:sz w:val="24"/>
                <w:szCs w:val="24"/>
              </w:rPr>
              <w:t xml:space="preserve"> pirmajai vai vienīgajai personai mājsaimniecībā.</w:t>
            </w:r>
            <w:r w:rsidR="00360839" w:rsidRPr="00F10A1D">
              <w:rPr>
                <w:rFonts w:ascii="Times New Roman" w:hAnsi="Times New Roman"/>
                <w:sz w:val="24"/>
                <w:szCs w:val="24"/>
              </w:rPr>
              <w:t xml:space="preserve"> </w:t>
            </w:r>
          </w:p>
          <w:p w14:paraId="0A17891A" w14:textId="7BB7ED3B" w:rsidR="004B1409" w:rsidRPr="00F10A1D" w:rsidRDefault="00360839">
            <w:pPr>
              <w:pStyle w:val="ListParagraph"/>
              <w:spacing w:after="0"/>
              <w:ind w:left="135"/>
              <w:jc w:val="both"/>
              <w:rPr>
                <w:rFonts w:ascii="Times New Roman" w:hAnsi="Times New Roman"/>
                <w:sz w:val="24"/>
                <w:szCs w:val="24"/>
              </w:rPr>
            </w:pPr>
            <w:r w:rsidRPr="00F10A1D">
              <w:rPr>
                <w:rFonts w:ascii="Times New Roman" w:hAnsi="Times New Roman"/>
                <w:sz w:val="24"/>
                <w:szCs w:val="24"/>
              </w:rPr>
              <w:t>Secināms, ka</w:t>
            </w:r>
            <w:r w:rsidR="00F029B7" w:rsidRPr="00F10A1D">
              <w:rPr>
                <w:rFonts w:ascii="Times New Roman" w:hAnsi="Times New Roman"/>
                <w:sz w:val="24"/>
                <w:szCs w:val="24"/>
              </w:rPr>
              <w:t>,</w:t>
            </w:r>
            <w:r w:rsidR="004B1409" w:rsidRPr="00F10A1D">
              <w:rPr>
                <w:rFonts w:ascii="Times New Roman" w:hAnsi="Times New Roman"/>
                <w:sz w:val="24"/>
                <w:szCs w:val="24"/>
              </w:rPr>
              <w:t xml:space="preserve"> </w:t>
            </w:r>
            <w:r w:rsidR="00F029B7" w:rsidRPr="00F10A1D">
              <w:rPr>
                <w:rFonts w:ascii="Times New Roman" w:hAnsi="Times New Roman"/>
                <w:sz w:val="24"/>
                <w:szCs w:val="24"/>
              </w:rPr>
              <w:t xml:space="preserve">ieviešot Noteikumu projektu, </w:t>
            </w:r>
            <w:r w:rsidR="00F3540B" w:rsidRPr="00F10A1D">
              <w:rPr>
                <w:rFonts w:ascii="Times New Roman" w:hAnsi="Times New Roman"/>
                <w:sz w:val="24"/>
                <w:szCs w:val="24"/>
              </w:rPr>
              <w:t xml:space="preserve">būtiskas </w:t>
            </w:r>
            <w:r w:rsidR="004B1409" w:rsidRPr="00F10A1D">
              <w:rPr>
                <w:rFonts w:ascii="Times New Roman" w:hAnsi="Times New Roman"/>
                <w:sz w:val="24"/>
                <w:szCs w:val="24"/>
              </w:rPr>
              <w:t xml:space="preserve">papildu </w:t>
            </w:r>
            <w:r w:rsidR="00F029B7" w:rsidRPr="00F10A1D">
              <w:rPr>
                <w:rFonts w:ascii="Times New Roman" w:hAnsi="Times New Roman"/>
                <w:sz w:val="24"/>
                <w:szCs w:val="24"/>
              </w:rPr>
              <w:t>administratīvās d</w:t>
            </w:r>
            <w:r w:rsidR="004B1409" w:rsidRPr="00F10A1D">
              <w:rPr>
                <w:rFonts w:ascii="Times New Roman" w:hAnsi="Times New Roman"/>
                <w:sz w:val="24"/>
                <w:szCs w:val="24"/>
              </w:rPr>
              <w:t>arbības sociālajiem dienestiem nav veicamas.</w:t>
            </w:r>
            <w:r w:rsidR="00F029B7" w:rsidRPr="00F10A1D">
              <w:rPr>
                <w:rFonts w:ascii="Times New Roman" w:hAnsi="Times New Roman"/>
                <w:sz w:val="24"/>
                <w:szCs w:val="24"/>
              </w:rPr>
              <w:t xml:space="preserve"> Noteikumu projekts neparedz jaunus pienākumus informācijas vākšanā, biežumā, apstrādē, uzglabāšanā, nepalielina to apjomu.</w:t>
            </w:r>
          </w:p>
        </w:tc>
      </w:tr>
      <w:tr w:rsidR="00FE6D6D" w:rsidRPr="00FE6D6D" w14:paraId="70C149EE" w14:textId="77777777" w:rsidTr="00F12761">
        <w:tblPrEx>
          <w:shd w:val="clear" w:color="auto" w:fill="auto"/>
          <w:tblCellMar>
            <w:top w:w="30" w:type="dxa"/>
            <w:left w:w="30" w:type="dxa"/>
            <w:bottom w:w="30" w:type="dxa"/>
            <w:right w:w="30" w:type="dxa"/>
          </w:tblCellMar>
        </w:tblPrEx>
        <w:trPr>
          <w:gridAfter w:val="1"/>
          <w:wAfter w:w="14" w:type="dxa"/>
          <w:cantSplit/>
        </w:trPr>
        <w:tc>
          <w:tcPr>
            <w:tcW w:w="567" w:type="dxa"/>
            <w:hideMark/>
          </w:tcPr>
          <w:p w14:paraId="6AA9156E" w14:textId="286EA542" w:rsidR="009F4A5C" w:rsidRPr="00FE6D6D" w:rsidRDefault="009F4A5C" w:rsidP="005516D9">
            <w:pPr>
              <w:spacing w:line="276" w:lineRule="auto"/>
              <w:jc w:val="center"/>
            </w:pPr>
            <w:r w:rsidRPr="00FE6D6D">
              <w:t>3.</w:t>
            </w:r>
          </w:p>
        </w:tc>
        <w:tc>
          <w:tcPr>
            <w:tcW w:w="2552" w:type="dxa"/>
            <w:gridSpan w:val="3"/>
            <w:hideMark/>
          </w:tcPr>
          <w:p w14:paraId="73A80AA7" w14:textId="77777777" w:rsidR="009F4A5C" w:rsidRPr="00FE6D6D" w:rsidRDefault="009F4A5C" w:rsidP="00F16666">
            <w:pPr>
              <w:spacing w:line="276" w:lineRule="auto"/>
            </w:pPr>
            <w:r w:rsidRPr="00FE6D6D">
              <w:t>Administratīvo izmaksu monetārs novērtējums</w:t>
            </w:r>
          </w:p>
        </w:tc>
        <w:tc>
          <w:tcPr>
            <w:tcW w:w="5928" w:type="dxa"/>
            <w:gridSpan w:val="2"/>
            <w:hideMark/>
          </w:tcPr>
          <w:p w14:paraId="10ADA5E0" w14:textId="77777777" w:rsidR="009F4A5C" w:rsidRPr="00AC4933" w:rsidRDefault="009F4A5C" w:rsidP="00F16666">
            <w:pPr>
              <w:spacing w:line="276" w:lineRule="auto"/>
            </w:pPr>
            <w:r w:rsidRPr="00AC4933">
              <w:t>Projekts šo jomu neskar.</w:t>
            </w:r>
          </w:p>
        </w:tc>
      </w:tr>
      <w:tr w:rsidR="00F10A1D" w:rsidRPr="00F10A1D" w14:paraId="4FEA4659" w14:textId="77777777" w:rsidTr="00F12761">
        <w:tblPrEx>
          <w:shd w:val="clear" w:color="auto" w:fill="auto"/>
          <w:tblCellMar>
            <w:top w:w="30" w:type="dxa"/>
            <w:left w:w="30" w:type="dxa"/>
            <w:bottom w:w="30" w:type="dxa"/>
            <w:right w:w="30" w:type="dxa"/>
          </w:tblCellMar>
        </w:tblPrEx>
        <w:trPr>
          <w:gridAfter w:val="1"/>
          <w:wAfter w:w="14" w:type="dxa"/>
          <w:cantSplit/>
        </w:trPr>
        <w:tc>
          <w:tcPr>
            <w:tcW w:w="567" w:type="dxa"/>
          </w:tcPr>
          <w:p w14:paraId="423E1B35" w14:textId="77777777" w:rsidR="009F4A5C" w:rsidRPr="00F10A1D" w:rsidRDefault="009F4A5C" w:rsidP="005516D9">
            <w:pPr>
              <w:spacing w:line="276" w:lineRule="auto"/>
              <w:jc w:val="center"/>
            </w:pPr>
            <w:r w:rsidRPr="00F10A1D">
              <w:t>4.</w:t>
            </w:r>
          </w:p>
        </w:tc>
        <w:tc>
          <w:tcPr>
            <w:tcW w:w="2552" w:type="dxa"/>
            <w:gridSpan w:val="3"/>
          </w:tcPr>
          <w:p w14:paraId="63A6A1E2" w14:textId="77777777" w:rsidR="009F4A5C" w:rsidRPr="00F10A1D" w:rsidRDefault="009F4A5C" w:rsidP="00F16666">
            <w:pPr>
              <w:spacing w:line="276" w:lineRule="auto"/>
            </w:pPr>
            <w:r w:rsidRPr="00F10A1D">
              <w:t>Atbilstības izmaksu monetārs novērtējums</w:t>
            </w:r>
          </w:p>
        </w:tc>
        <w:tc>
          <w:tcPr>
            <w:tcW w:w="5928" w:type="dxa"/>
            <w:gridSpan w:val="2"/>
          </w:tcPr>
          <w:p w14:paraId="0A9D4EF2" w14:textId="77777777" w:rsidR="009F4A5C" w:rsidRPr="00F10A1D" w:rsidRDefault="009F4A5C" w:rsidP="00F16666">
            <w:pPr>
              <w:spacing w:line="276" w:lineRule="auto"/>
            </w:pPr>
            <w:r w:rsidRPr="00F10A1D">
              <w:t>Projekts šo jomu neskar.</w:t>
            </w:r>
          </w:p>
        </w:tc>
      </w:tr>
      <w:tr w:rsidR="009F4A5C" w:rsidRPr="00FE6D6D" w14:paraId="7331A4A6" w14:textId="77777777" w:rsidTr="00F12761">
        <w:tblPrEx>
          <w:shd w:val="clear" w:color="auto" w:fill="auto"/>
          <w:tblCellMar>
            <w:top w:w="30" w:type="dxa"/>
            <w:left w:w="30" w:type="dxa"/>
            <w:bottom w:w="30" w:type="dxa"/>
            <w:right w:w="30" w:type="dxa"/>
          </w:tblCellMar>
        </w:tblPrEx>
        <w:trPr>
          <w:gridAfter w:val="1"/>
          <w:wAfter w:w="14" w:type="dxa"/>
          <w:cantSplit/>
        </w:trPr>
        <w:tc>
          <w:tcPr>
            <w:tcW w:w="567" w:type="dxa"/>
            <w:hideMark/>
          </w:tcPr>
          <w:p w14:paraId="69999328" w14:textId="70BDF9C7" w:rsidR="002F7A53" w:rsidRDefault="009F4A5C" w:rsidP="005516D9">
            <w:pPr>
              <w:spacing w:line="276" w:lineRule="auto"/>
              <w:jc w:val="center"/>
            </w:pPr>
            <w:r w:rsidRPr="00FE6D6D">
              <w:t>5.</w:t>
            </w:r>
          </w:p>
          <w:p w14:paraId="30F60020" w14:textId="77777777" w:rsidR="009F4A5C" w:rsidRPr="002F7A53" w:rsidRDefault="009F4A5C" w:rsidP="00F10A1D">
            <w:pPr>
              <w:spacing w:line="276" w:lineRule="auto"/>
            </w:pPr>
          </w:p>
        </w:tc>
        <w:tc>
          <w:tcPr>
            <w:tcW w:w="2552" w:type="dxa"/>
            <w:gridSpan w:val="3"/>
            <w:hideMark/>
          </w:tcPr>
          <w:p w14:paraId="43AF42AB" w14:textId="77777777" w:rsidR="009F4A5C" w:rsidRPr="00FE6D6D" w:rsidRDefault="009F4A5C" w:rsidP="005516D9">
            <w:pPr>
              <w:spacing w:line="276" w:lineRule="auto"/>
            </w:pPr>
            <w:r w:rsidRPr="00FE6D6D">
              <w:t>Cita informācija</w:t>
            </w:r>
          </w:p>
        </w:tc>
        <w:tc>
          <w:tcPr>
            <w:tcW w:w="5928" w:type="dxa"/>
            <w:gridSpan w:val="2"/>
          </w:tcPr>
          <w:p w14:paraId="18A2908D" w14:textId="77777777" w:rsidR="00547B05" w:rsidRPr="00F10A1D" w:rsidRDefault="00547B05" w:rsidP="00F16666">
            <w:pPr>
              <w:pStyle w:val="ListParagraph"/>
              <w:spacing w:after="0"/>
              <w:ind w:left="135" w:right="112"/>
              <w:jc w:val="both"/>
              <w:rPr>
                <w:rFonts w:ascii="Times New Roman" w:hAnsi="Times New Roman"/>
                <w:iCs/>
                <w:sz w:val="24"/>
                <w:szCs w:val="24"/>
              </w:rPr>
            </w:pPr>
            <w:r w:rsidRPr="00F10A1D">
              <w:rPr>
                <w:rFonts w:ascii="Times New Roman" w:hAnsi="Times New Roman"/>
                <w:iCs/>
                <w:sz w:val="24"/>
                <w:szCs w:val="24"/>
              </w:rPr>
              <w:t xml:space="preserve">Lai nodrošinātu Noteikumu projekta ieviešanai nepieciešamos </w:t>
            </w:r>
            <w:r w:rsidRPr="00F10A1D">
              <w:rPr>
                <w:rFonts w:ascii="Times New Roman" w:hAnsi="Times New Roman"/>
                <w:bCs/>
                <w:iCs/>
                <w:sz w:val="24"/>
                <w:szCs w:val="24"/>
              </w:rPr>
              <w:t>sociālās palīdzības administrēšanas lietojumprogrammas SOPA</w:t>
            </w:r>
            <w:r w:rsidRPr="00F10A1D">
              <w:rPr>
                <w:rFonts w:ascii="Times New Roman" w:hAnsi="Times New Roman"/>
                <w:b/>
                <w:iCs/>
                <w:sz w:val="24"/>
                <w:szCs w:val="24"/>
              </w:rPr>
              <w:t xml:space="preserve"> </w:t>
            </w:r>
            <w:r w:rsidRPr="00F10A1D">
              <w:rPr>
                <w:rFonts w:ascii="Times New Roman" w:hAnsi="Times New Roman"/>
                <w:iCs/>
                <w:sz w:val="24"/>
                <w:szCs w:val="24"/>
              </w:rPr>
              <w:t>papildinājumus:</w:t>
            </w:r>
          </w:p>
          <w:p w14:paraId="2F903213" w14:textId="41F2150F" w:rsidR="00547B05" w:rsidRPr="00F10A1D" w:rsidRDefault="00547B05" w:rsidP="00F16666">
            <w:pPr>
              <w:pStyle w:val="ListParagraph"/>
              <w:numPr>
                <w:ilvl w:val="0"/>
                <w:numId w:val="28"/>
              </w:numPr>
              <w:spacing w:after="0"/>
              <w:ind w:left="395" w:right="112" w:hanging="142"/>
              <w:jc w:val="both"/>
              <w:rPr>
                <w:rFonts w:ascii="Times New Roman" w:hAnsi="Times New Roman"/>
                <w:iCs/>
                <w:sz w:val="24"/>
                <w:szCs w:val="24"/>
              </w:rPr>
            </w:pPr>
            <w:r w:rsidRPr="00F10A1D">
              <w:rPr>
                <w:rFonts w:ascii="Times New Roman" w:hAnsi="Times New Roman"/>
                <w:iCs/>
                <w:sz w:val="24"/>
                <w:szCs w:val="24"/>
              </w:rPr>
              <w:t xml:space="preserve">esošajā programmatūrā mainītu patlaban spēkā esošā ienākumu līmeņa slieksni 242 </w:t>
            </w:r>
            <w:proofErr w:type="spellStart"/>
            <w:r w:rsidRPr="00C721C9">
              <w:rPr>
                <w:rFonts w:ascii="Times New Roman" w:hAnsi="Times New Roman"/>
                <w:i/>
                <w:iCs/>
                <w:sz w:val="24"/>
                <w:szCs w:val="24"/>
              </w:rPr>
              <w:t>euro</w:t>
            </w:r>
            <w:proofErr w:type="spellEnd"/>
            <w:r w:rsidRPr="00F10A1D">
              <w:rPr>
                <w:rFonts w:ascii="Times New Roman" w:hAnsi="Times New Roman"/>
                <w:iCs/>
                <w:sz w:val="24"/>
                <w:szCs w:val="24"/>
              </w:rPr>
              <w:t xml:space="preserve"> katrai personai uz 327 </w:t>
            </w:r>
            <w:proofErr w:type="spellStart"/>
            <w:r w:rsidRPr="00C721C9">
              <w:rPr>
                <w:rFonts w:ascii="Times New Roman" w:hAnsi="Times New Roman"/>
                <w:i/>
                <w:iCs/>
                <w:sz w:val="24"/>
                <w:szCs w:val="24"/>
              </w:rPr>
              <w:t>euro</w:t>
            </w:r>
            <w:proofErr w:type="spellEnd"/>
            <w:r w:rsidRPr="00F10A1D">
              <w:rPr>
                <w:rFonts w:ascii="Times New Roman" w:hAnsi="Times New Roman"/>
                <w:iCs/>
                <w:sz w:val="24"/>
                <w:szCs w:val="24"/>
              </w:rPr>
              <w:t xml:space="preserve"> pirmajai vai vienīgajai personai mājsaimniecībā un 229 </w:t>
            </w:r>
            <w:proofErr w:type="spellStart"/>
            <w:r w:rsidRPr="00C721C9">
              <w:rPr>
                <w:rFonts w:ascii="Times New Roman" w:hAnsi="Times New Roman"/>
                <w:i/>
                <w:iCs/>
                <w:sz w:val="24"/>
                <w:szCs w:val="24"/>
              </w:rPr>
              <w:t>euro</w:t>
            </w:r>
            <w:proofErr w:type="spellEnd"/>
            <w:r w:rsidRPr="00F10A1D">
              <w:rPr>
                <w:rFonts w:ascii="Times New Roman" w:hAnsi="Times New Roman"/>
                <w:iCs/>
                <w:sz w:val="24"/>
                <w:szCs w:val="24"/>
              </w:rPr>
              <w:t xml:space="preserve"> pārējām personām mājsaimniecībā;</w:t>
            </w:r>
          </w:p>
          <w:p w14:paraId="65CB9CBD" w14:textId="367FE969" w:rsidR="005516D9" w:rsidRPr="00F10A1D" w:rsidRDefault="00547B05">
            <w:pPr>
              <w:pStyle w:val="ListParagraph"/>
              <w:numPr>
                <w:ilvl w:val="0"/>
                <w:numId w:val="28"/>
              </w:numPr>
              <w:ind w:left="395" w:right="112" w:hanging="142"/>
              <w:jc w:val="both"/>
              <w:rPr>
                <w:rFonts w:ascii="Times New Roman" w:hAnsi="Times New Roman"/>
                <w:iCs/>
                <w:sz w:val="24"/>
                <w:szCs w:val="24"/>
              </w:rPr>
            </w:pPr>
            <w:r w:rsidRPr="00F10A1D">
              <w:rPr>
                <w:rFonts w:ascii="Times New Roman" w:hAnsi="Times New Roman"/>
                <w:iCs/>
                <w:sz w:val="24"/>
                <w:szCs w:val="24"/>
              </w:rPr>
              <w:t>saglabātu iestrādāto iespēju sociālajiem dienestiem, pirms maznodrošinātas mājsaimniecības izziņas izdrukas, veikt atzīmi par tās atbilstību Fonda atbalsta saņemšanai,</w:t>
            </w:r>
          </w:p>
          <w:p w14:paraId="359D6B7F" w14:textId="6F987B40" w:rsidR="009F4A5C" w:rsidRPr="00F10A1D" w:rsidRDefault="00547B05">
            <w:pPr>
              <w:pStyle w:val="ListParagraph"/>
              <w:numPr>
                <w:ilvl w:val="0"/>
                <w:numId w:val="28"/>
              </w:numPr>
              <w:spacing w:after="0"/>
              <w:ind w:left="397" w:hanging="142"/>
              <w:jc w:val="both"/>
              <w:rPr>
                <w:iCs/>
              </w:rPr>
            </w:pPr>
            <w:r w:rsidRPr="00F10A1D">
              <w:rPr>
                <w:rFonts w:ascii="Times New Roman" w:hAnsi="Times New Roman"/>
                <w:iCs/>
                <w:sz w:val="24"/>
                <w:szCs w:val="24"/>
              </w:rPr>
              <w:t>indikatīvs nepieciešamā finansējuma novērtējums saistībā ar izmaiņām minimālo ienākumu sliekšņa aprēķina metodikā un apmērā sniegts I sadaļas 2.punktā minētā SPSP likuma anotācijā un atsevišķi šajā anotācijā netiek izdalīts.</w:t>
            </w:r>
          </w:p>
        </w:tc>
      </w:tr>
      <w:tr w:rsidR="00FE6D6D" w:rsidRPr="00FE6D6D" w14:paraId="60DBB512" w14:textId="77777777" w:rsidTr="00F12761">
        <w:tblPrEx>
          <w:shd w:val="clear" w:color="auto" w:fill="auto"/>
          <w:tblCellMar>
            <w:top w:w="30" w:type="dxa"/>
            <w:left w:w="30" w:type="dxa"/>
            <w:bottom w:w="30" w:type="dxa"/>
            <w:right w:w="30" w:type="dxa"/>
          </w:tblCellMar>
        </w:tblPrEx>
        <w:trPr>
          <w:gridAfter w:val="1"/>
          <w:wAfter w:w="14" w:type="dxa"/>
          <w:cantSplit/>
        </w:trPr>
        <w:tc>
          <w:tcPr>
            <w:tcW w:w="9047" w:type="dxa"/>
            <w:gridSpan w:val="6"/>
            <w:vAlign w:val="center"/>
            <w:hideMark/>
          </w:tcPr>
          <w:p w14:paraId="5EEA62C3" w14:textId="77777777" w:rsidR="00F3231A" w:rsidRPr="00FE6D6D" w:rsidRDefault="00F3231A" w:rsidP="005516D9">
            <w:pPr>
              <w:spacing w:line="276" w:lineRule="auto"/>
              <w:jc w:val="center"/>
              <w:rPr>
                <w:b/>
                <w:bCs/>
              </w:rPr>
            </w:pPr>
            <w:r w:rsidRPr="00FE6D6D">
              <w:rPr>
                <w:b/>
                <w:bCs/>
                <w:iCs/>
              </w:rPr>
              <w:t>III. Tiesību akta projekta ietekme uz valsts budžetu un pašvaldību budžetiem</w:t>
            </w:r>
          </w:p>
        </w:tc>
      </w:tr>
      <w:tr w:rsidR="00F10A1D" w:rsidRPr="00FE6D6D" w14:paraId="4D130606" w14:textId="77777777" w:rsidTr="00F12761">
        <w:tblPrEx>
          <w:shd w:val="clear" w:color="auto" w:fill="auto"/>
          <w:tblCellMar>
            <w:top w:w="30" w:type="dxa"/>
            <w:left w:w="30" w:type="dxa"/>
            <w:bottom w:w="30" w:type="dxa"/>
            <w:right w:w="30" w:type="dxa"/>
          </w:tblCellMar>
        </w:tblPrEx>
        <w:trPr>
          <w:gridAfter w:val="1"/>
          <w:wAfter w:w="14" w:type="dxa"/>
          <w:cantSplit/>
        </w:trPr>
        <w:tc>
          <w:tcPr>
            <w:tcW w:w="9047" w:type="dxa"/>
            <w:gridSpan w:val="6"/>
            <w:vAlign w:val="center"/>
          </w:tcPr>
          <w:p w14:paraId="10D817BA" w14:textId="0268AD50" w:rsidR="00F10A1D" w:rsidRPr="00F10A1D" w:rsidRDefault="00F10A1D" w:rsidP="005516D9">
            <w:pPr>
              <w:spacing w:line="276" w:lineRule="auto"/>
              <w:jc w:val="center"/>
              <w:rPr>
                <w:bCs/>
                <w:iCs/>
              </w:rPr>
            </w:pPr>
            <w:r w:rsidRPr="00F10A1D">
              <w:rPr>
                <w:bCs/>
                <w:iCs/>
              </w:rPr>
              <w:t>Nav</w:t>
            </w:r>
          </w:p>
        </w:tc>
      </w:tr>
      <w:tr w:rsidR="00A60DFD" w:rsidRPr="00A60DFD" w14:paraId="7CEB23E6" w14:textId="77777777" w:rsidTr="00F12761">
        <w:tblPrEx>
          <w:shd w:val="clear" w:color="auto" w:fill="auto"/>
          <w:tblCellMar>
            <w:top w:w="30" w:type="dxa"/>
            <w:left w:w="30" w:type="dxa"/>
            <w:bottom w:w="30" w:type="dxa"/>
            <w:right w:w="30" w:type="dxa"/>
          </w:tblCellMar>
        </w:tblPrEx>
        <w:trPr>
          <w:gridAfter w:val="2"/>
          <w:wAfter w:w="34" w:type="dxa"/>
          <w:cantSplit/>
        </w:trPr>
        <w:tc>
          <w:tcPr>
            <w:tcW w:w="9027" w:type="dxa"/>
            <w:gridSpan w:val="5"/>
            <w:vAlign w:val="center"/>
          </w:tcPr>
          <w:p w14:paraId="0BFCD103" w14:textId="77777777" w:rsidR="00F12761" w:rsidRPr="00A60DFD" w:rsidRDefault="00F12761" w:rsidP="00847E09">
            <w:pPr>
              <w:spacing w:line="276" w:lineRule="auto"/>
              <w:rPr>
                <w:b/>
              </w:rPr>
            </w:pPr>
            <w:r w:rsidRPr="00A60DFD">
              <w:t>6. Detalizēts ieņēmumu un izdevumu aprēķins (ja nepieciešams, detalizētu ieņēmumu un izdevumu aprēķinu var pievienot anotācijas pielikumā):</w:t>
            </w:r>
          </w:p>
        </w:tc>
      </w:tr>
      <w:tr w:rsidR="00A60DFD" w:rsidRPr="00A60DFD" w14:paraId="28B60585" w14:textId="77777777" w:rsidTr="00A60DFD">
        <w:tblPrEx>
          <w:shd w:val="clear" w:color="auto" w:fill="auto"/>
          <w:tblCellMar>
            <w:top w:w="30" w:type="dxa"/>
            <w:left w:w="30" w:type="dxa"/>
            <w:bottom w:w="30" w:type="dxa"/>
            <w:right w:w="30" w:type="dxa"/>
          </w:tblCellMar>
        </w:tblPrEx>
        <w:trPr>
          <w:gridAfter w:val="2"/>
          <w:wAfter w:w="34" w:type="dxa"/>
          <w:cantSplit/>
        </w:trPr>
        <w:tc>
          <w:tcPr>
            <w:tcW w:w="3119" w:type="dxa"/>
            <w:gridSpan w:val="4"/>
          </w:tcPr>
          <w:p w14:paraId="63CD1727" w14:textId="77777777" w:rsidR="00F12761" w:rsidRPr="00A60DFD" w:rsidRDefault="00F12761" w:rsidP="00847E09">
            <w:pPr>
              <w:spacing w:line="276" w:lineRule="auto"/>
            </w:pPr>
            <w:r w:rsidRPr="00A60DFD">
              <w:t>6.1. Detalizēts ieņēmumu aprēķins</w:t>
            </w:r>
          </w:p>
        </w:tc>
        <w:tc>
          <w:tcPr>
            <w:tcW w:w="5908" w:type="dxa"/>
            <w:vAlign w:val="center"/>
          </w:tcPr>
          <w:p w14:paraId="4DFE22E3" w14:textId="77777777" w:rsidR="00F12761" w:rsidRPr="00A60DFD" w:rsidRDefault="00F12761" w:rsidP="00847E09">
            <w:pPr>
              <w:spacing w:line="276" w:lineRule="auto"/>
              <w:ind w:left="65" w:right="112"/>
              <w:jc w:val="both"/>
            </w:pPr>
            <w:r w:rsidRPr="00A60DFD">
              <w:t>Noteikumu projektā paredzētajam nav ietekmes uz izmaiņām valsts budžeta ieņēmumos.</w:t>
            </w:r>
          </w:p>
          <w:p w14:paraId="298D31A3" w14:textId="77777777" w:rsidR="00F12761" w:rsidRPr="00A60DFD" w:rsidRDefault="00F12761" w:rsidP="00847E09">
            <w:pPr>
              <w:spacing w:line="276" w:lineRule="auto"/>
              <w:ind w:left="65" w:right="112"/>
              <w:jc w:val="both"/>
              <w:rPr>
                <w:b/>
              </w:rPr>
            </w:pPr>
          </w:p>
        </w:tc>
      </w:tr>
      <w:tr w:rsidR="00A60DFD" w:rsidRPr="00A60DFD" w14:paraId="71E91A8A" w14:textId="77777777" w:rsidTr="00A60DFD">
        <w:tblPrEx>
          <w:shd w:val="clear" w:color="auto" w:fill="auto"/>
          <w:tblCellMar>
            <w:top w:w="30" w:type="dxa"/>
            <w:left w:w="30" w:type="dxa"/>
            <w:bottom w:w="30" w:type="dxa"/>
            <w:right w:w="30" w:type="dxa"/>
          </w:tblCellMar>
        </w:tblPrEx>
        <w:trPr>
          <w:gridAfter w:val="2"/>
          <w:wAfter w:w="34" w:type="dxa"/>
          <w:cantSplit/>
        </w:trPr>
        <w:tc>
          <w:tcPr>
            <w:tcW w:w="3119" w:type="dxa"/>
            <w:gridSpan w:val="4"/>
          </w:tcPr>
          <w:p w14:paraId="69FE87D8" w14:textId="77777777" w:rsidR="00F12761" w:rsidRPr="00A60DFD" w:rsidRDefault="00F12761" w:rsidP="00847E09">
            <w:pPr>
              <w:spacing w:line="276" w:lineRule="auto"/>
            </w:pPr>
            <w:r w:rsidRPr="00A60DFD">
              <w:t>6.2. Detalizēts izdevumu aprēķins</w:t>
            </w:r>
          </w:p>
        </w:tc>
        <w:tc>
          <w:tcPr>
            <w:tcW w:w="5908" w:type="dxa"/>
          </w:tcPr>
          <w:p w14:paraId="64AE6313" w14:textId="77777777" w:rsidR="00F12761" w:rsidRPr="00A60DFD" w:rsidRDefault="00F12761" w:rsidP="00847E09">
            <w:pPr>
              <w:spacing w:line="276" w:lineRule="auto"/>
              <w:ind w:left="65" w:right="112"/>
              <w:jc w:val="both"/>
            </w:pPr>
            <w:r w:rsidRPr="00A60DFD">
              <w:t>Noteikumu projektā paredzētajam nav ietekmes uz izmaiņām valsts budžeta izdevumos.</w:t>
            </w:r>
          </w:p>
          <w:p w14:paraId="111BC88A" w14:textId="77777777" w:rsidR="00F12761" w:rsidRPr="00A60DFD" w:rsidRDefault="00F12761" w:rsidP="00847E09">
            <w:pPr>
              <w:spacing w:line="276" w:lineRule="auto"/>
              <w:jc w:val="center"/>
              <w:rPr>
                <w:b/>
              </w:rPr>
            </w:pPr>
          </w:p>
        </w:tc>
      </w:tr>
      <w:tr w:rsidR="00A60DFD" w:rsidRPr="00A60DFD" w14:paraId="442F1979" w14:textId="77777777" w:rsidTr="00A60DFD">
        <w:tblPrEx>
          <w:shd w:val="clear" w:color="auto" w:fill="auto"/>
          <w:tblCellMar>
            <w:top w:w="30" w:type="dxa"/>
            <w:left w:w="30" w:type="dxa"/>
            <w:bottom w:w="30" w:type="dxa"/>
            <w:right w:w="30" w:type="dxa"/>
          </w:tblCellMar>
        </w:tblPrEx>
        <w:trPr>
          <w:gridAfter w:val="2"/>
          <w:wAfter w:w="34" w:type="dxa"/>
          <w:cantSplit/>
        </w:trPr>
        <w:tc>
          <w:tcPr>
            <w:tcW w:w="3119" w:type="dxa"/>
            <w:gridSpan w:val="4"/>
          </w:tcPr>
          <w:p w14:paraId="16AC1A1E" w14:textId="77777777" w:rsidR="00F12761" w:rsidRPr="00A60DFD" w:rsidRDefault="00F12761" w:rsidP="00847E09">
            <w:pPr>
              <w:spacing w:line="276" w:lineRule="auto"/>
            </w:pPr>
            <w:r w:rsidRPr="00A60DFD">
              <w:t>7. Amata vietu skaita izmaiņas</w:t>
            </w:r>
          </w:p>
        </w:tc>
        <w:tc>
          <w:tcPr>
            <w:tcW w:w="5908" w:type="dxa"/>
          </w:tcPr>
          <w:p w14:paraId="6372BFA5" w14:textId="77777777" w:rsidR="00F12761" w:rsidRPr="00A60DFD" w:rsidRDefault="00F12761" w:rsidP="00847E09">
            <w:pPr>
              <w:spacing w:line="276" w:lineRule="auto"/>
            </w:pPr>
            <w:r w:rsidRPr="00A60DFD">
              <w:t>Nav</w:t>
            </w:r>
          </w:p>
        </w:tc>
      </w:tr>
      <w:tr w:rsidR="00A60DFD" w:rsidRPr="00F12761" w14:paraId="4F80F32D" w14:textId="77777777" w:rsidTr="00A60DFD">
        <w:tblPrEx>
          <w:shd w:val="clear" w:color="auto" w:fill="auto"/>
          <w:tblCellMar>
            <w:top w:w="30" w:type="dxa"/>
            <w:left w:w="30" w:type="dxa"/>
            <w:bottom w:w="30" w:type="dxa"/>
            <w:right w:w="30" w:type="dxa"/>
          </w:tblCellMar>
        </w:tblPrEx>
        <w:trPr>
          <w:gridAfter w:val="2"/>
          <w:wAfter w:w="34" w:type="dxa"/>
          <w:cantSplit/>
        </w:trPr>
        <w:tc>
          <w:tcPr>
            <w:tcW w:w="3119" w:type="dxa"/>
            <w:gridSpan w:val="4"/>
          </w:tcPr>
          <w:p w14:paraId="43477CC2" w14:textId="44BA0B64" w:rsidR="00A60DFD" w:rsidRPr="00F12761" w:rsidRDefault="00A60DFD" w:rsidP="00847E09">
            <w:pPr>
              <w:spacing w:line="276" w:lineRule="auto"/>
              <w:rPr>
                <w:color w:val="FF0000"/>
              </w:rPr>
            </w:pPr>
            <w:r>
              <w:t xml:space="preserve">8. </w:t>
            </w:r>
            <w:r w:rsidRPr="000907B2">
              <w:t>Cita informācija</w:t>
            </w:r>
          </w:p>
        </w:tc>
        <w:tc>
          <w:tcPr>
            <w:tcW w:w="5908" w:type="dxa"/>
          </w:tcPr>
          <w:p w14:paraId="6683D88E" w14:textId="77777777" w:rsidR="00A60DFD" w:rsidRPr="00A60DFD" w:rsidRDefault="00A60DFD" w:rsidP="00A60DFD">
            <w:pPr>
              <w:spacing w:line="276" w:lineRule="auto"/>
              <w:ind w:left="65" w:right="112"/>
              <w:jc w:val="both"/>
            </w:pPr>
            <w:r w:rsidRPr="00A60DFD">
              <w:t xml:space="preserve">8.1. Nepieciešamais finansējums izmaiņām Fonda atbalsta nosacījumos, kas skar pāreju no atbalsta maznodrošinātām ģimenēm (personām) ar vidējo ienākumu līmeni līdz 242 </w:t>
            </w:r>
            <w:proofErr w:type="spellStart"/>
            <w:r w:rsidRPr="00A60DFD">
              <w:rPr>
                <w:i/>
              </w:rPr>
              <w:t>euro</w:t>
            </w:r>
            <w:proofErr w:type="spellEnd"/>
            <w:r w:rsidRPr="00A60DFD">
              <w:t xml:space="preserve"> uz atbalstu maznodrošinātām (zem nabadzības riska sliekšņa) mājsaimniecībām</w:t>
            </w:r>
            <w:r w:rsidRPr="00A60DFD">
              <w:rPr>
                <w:iCs/>
              </w:rPr>
              <w:t>, kurās ienākumi nepārsniegs 327 </w:t>
            </w:r>
            <w:proofErr w:type="spellStart"/>
            <w:r w:rsidRPr="00A60DFD">
              <w:rPr>
                <w:i/>
                <w:iCs/>
              </w:rPr>
              <w:t>euro</w:t>
            </w:r>
            <w:proofErr w:type="spellEnd"/>
            <w:r w:rsidRPr="00A60DFD">
              <w:rPr>
                <w:iCs/>
              </w:rPr>
              <w:t xml:space="preserve"> pirmajai vai vienīgajai personai mājsaimniecībā, bet katrai nākamai personai mājsaimniecībā 229 </w:t>
            </w:r>
            <w:proofErr w:type="spellStart"/>
            <w:r w:rsidRPr="00A60DFD">
              <w:rPr>
                <w:i/>
                <w:iCs/>
              </w:rPr>
              <w:t>euro</w:t>
            </w:r>
            <w:proofErr w:type="spellEnd"/>
            <w:r w:rsidRPr="00A60DFD">
              <w:rPr>
                <w:iCs/>
              </w:rPr>
              <w:t>,</w:t>
            </w:r>
            <w:r w:rsidRPr="00A60DFD">
              <w:rPr>
                <w:i/>
                <w:iCs/>
              </w:rPr>
              <w:t xml:space="preserve"> </w:t>
            </w:r>
            <w:r w:rsidRPr="00A60DFD">
              <w:t>balstīts uz šādu statistiku un pieņēmumiem :</w:t>
            </w:r>
          </w:p>
          <w:p w14:paraId="6B17A303" w14:textId="77777777" w:rsidR="00A60DFD" w:rsidRPr="00A60DFD" w:rsidRDefault="00A60DFD" w:rsidP="00A60DFD">
            <w:pPr>
              <w:numPr>
                <w:ilvl w:val="2"/>
                <w:numId w:val="30"/>
              </w:numPr>
              <w:spacing w:after="200" w:line="276" w:lineRule="auto"/>
              <w:ind w:right="112"/>
              <w:contextualSpacing/>
              <w:jc w:val="both"/>
              <w:rPr>
                <w:rFonts w:eastAsia="Calibri"/>
                <w:bCs/>
                <w:lang w:eastAsia="en-US"/>
              </w:rPr>
            </w:pPr>
            <w:r w:rsidRPr="00A60DFD">
              <w:rPr>
                <w:rFonts w:eastAsia="Calibri"/>
                <w:lang w:eastAsia="en-US"/>
              </w:rPr>
              <w:t>Latvijā ir viens no visaugstākajiem dziļas materiālās nenodrošinātības rādītājiem ES. Lai gan iedzīvotāju dziļas materiālās nenodrošinātības rādītāja izmaiņas Latvijā liecina par situācijas uzlabošanos (no 16,4 % 2015. gadā uz 7,8 % 2019. gadā</w:t>
            </w:r>
            <w:r w:rsidRPr="00A60DFD">
              <w:rPr>
                <w:rFonts w:eastAsia="Calibri"/>
                <w:vertAlign w:val="superscript"/>
                <w:lang w:eastAsia="en-US"/>
              </w:rPr>
              <w:footnoteReference w:id="6"/>
            </w:r>
            <w:r w:rsidRPr="00A60DFD">
              <w:rPr>
                <w:rFonts w:eastAsia="Calibri"/>
                <w:lang w:eastAsia="en-US"/>
              </w:rPr>
              <w:t>), tas joprojām pārsniedz ES vidējos rādītājus (5,9 %).Turklāt, vērtējot šo rādītāju par mājsaimniecību tipiem, secināts, ka mājsaimniecībā “</w:t>
            </w:r>
            <w:r w:rsidRPr="00A60DFD">
              <w:rPr>
                <w:rFonts w:eastAsia="Calibri"/>
                <w:bCs/>
                <w:lang w:eastAsia="en-US"/>
              </w:rPr>
              <w:t>Viens pieaugušais ar bērniem”</w:t>
            </w:r>
            <w:r w:rsidRPr="00A60DFD">
              <w:rPr>
                <w:rFonts w:eastAsia="Calibri"/>
                <w:lang w:eastAsia="en-US"/>
              </w:rPr>
              <w:t xml:space="preserve"> nenodrošinātības īpatsvars 2019. gadā bija tāds pats kā mājsaimniecība “Viena persona 65+” (abām grupām 15,3 %)</w:t>
            </w:r>
            <w:r w:rsidRPr="00A60DFD">
              <w:rPr>
                <w:rFonts w:eastAsia="Calibri"/>
                <w:vertAlign w:val="superscript"/>
                <w:lang w:eastAsia="en-US"/>
              </w:rPr>
              <w:footnoteReference w:id="7"/>
            </w:r>
            <w:r w:rsidRPr="00A60DFD">
              <w:rPr>
                <w:rFonts w:eastAsia="Calibri"/>
                <w:lang w:eastAsia="en-US"/>
              </w:rPr>
              <w:t>.</w:t>
            </w:r>
          </w:p>
          <w:p w14:paraId="04D5ABB8" w14:textId="77777777" w:rsidR="00A60DFD" w:rsidRPr="00A60DFD" w:rsidRDefault="00A60DFD" w:rsidP="00A60DFD">
            <w:pPr>
              <w:numPr>
                <w:ilvl w:val="2"/>
                <w:numId w:val="30"/>
              </w:numPr>
              <w:spacing w:after="200" w:line="276" w:lineRule="auto"/>
              <w:ind w:right="112"/>
              <w:contextualSpacing/>
              <w:jc w:val="both"/>
              <w:rPr>
                <w:rFonts w:ascii="Calibri" w:eastAsia="Calibri" w:hAnsi="Calibri"/>
                <w:bCs/>
                <w:sz w:val="22"/>
                <w:szCs w:val="22"/>
                <w:lang w:eastAsia="en-US"/>
              </w:rPr>
            </w:pPr>
            <w:r w:rsidRPr="00A60DFD">
              <w:rPr>
                <w:rFonts w:eastAsia="Calibri"/>
                <w:bCs/>
                <w:lang w:eastAsia="en-US"/>
              </w:rPr>
              <w:t>Visvairāk nabadzības riskam ir pakļauti seniori</w:t>
            </w:r>
            <w:r w:rsidRPr="00A60DFD" w:rsidDel="00E90B61">
              <w:rPr>
                <w:rFonts w:eastAsia="Calibri"/>
                <w:bCs/>
                <w:lang w:eastAsia="en-US"/>
              </w:rPr>
              <w:t xml:space="preserve"> </w:t>
            </w:r>
            <w:r w:rsidRPr="00A60DFD">
              <w:rPr>
                <w:rFonts w:eastAsia="Calibri"/>
                <w:iCs/>
                <w:lang w:eastAsia="en-US"/>
              </w:rPr>
              <w:t>vecumā 65+ vienas personas mājsaimniecībā</w:t>
            </w:r>
            <w:r w:rsidRPr="00A60DFD">
              <w:rPr>
                <w:rFonts w:eastAsia="Calibri"/>
                <w:bCs/>
                <w:lang w:eastAsia="en-US"/>
              </w:rPr>
              <w:t xml:space="preserve"> (2018. gadā - 74,9 %, 2017. gadā – 74,0 %)</w:t>
            </w:r>
            <w:r w:rsidRPr="00A60DFD">
              <w:rPr>
                <w:rFonts w:ascii="Calibri" w:eastAsia="Calibri" w:hAnsi="Calibri"/>
                <w:sz w:val="22"/>
                <w:szCs w:val="22"/>
                <w:vertAlign w:val="superscript"/>
                <w:lang w:eastAsia="en-US"/>
              </w:rPr>
              <w:footnoteReference w:id="8"/>
            </w:r>
            <w:r w:rsidRPr="00A60DFD">
              <w:rPr>
                <w:rFonts w:eastAsia="Calibri"/>
                <w:bCs/>
                <w:lang w:eastAsia="en-US"/>
              </w:rPr>
              <w:t>.</w:t>
            </w:r>
          </w:p>
          <w:p w14:paraId="15C29FF0" w14:textId="77777777" w:rsidR="00A60DFD" w:rsidRPr="00A60DFD" w:rsidRDefault="00A60DFD" w:rsidP="00A60DFD">
            <w:pPr>
              <w:numPr>
                <w:ilvl w:val="2"/>
                <w:numId w:val="30"/>
              </w:numPr>
              <w:spacing w:after="200" w:line="276" w:lineRule="auto"/>
              <w:ind w:right="112"/>
              <w:contextualSpacing/>
              <w:jc w:val="both"/>
              <w:rPr>
                <w:color w:val="FF0000"/>
              </w:rPr>
            </w:pPr>
            <w:r w:rsidRPr="00A60DFD">
              <w:rPr>
                <w:rFonts w:eastAsia="Calibri"/>
                <w:lang w:eastAsia="en-US"/>
              </w:rPr>
              <w:t xml:space="preserve">2019. un </w:t>
            </w:r>
            <w:proofErr w:type="gramStart"/>
            <w:r w:rsidRPr="00A60DFD">
              <w:rPr>
                <w:rFonts w:eastAsia="Calibri"/>
                <w:lang w:eastAsia="en-US"/>
              </w:rPr>
              <w:t>2020.gadā</w:t>
            </w:r>
            <w:proofErr w:type="gramEnd"/>
            <w:r w:rsidRPr="00A60DFD">
              <w:rPr>
                <w:rFonts w:eastAsia="Calibri"/>
                <w:lang w:eastAsia="en-US"/>
              </w:rPr>
              <w:t xml:space="preserve"> tiesībām saņemt Fonda atbalstu nemainīgi ir spēkā ģimenes (personas) ienākumu līmenis (242 </w:t>
            </w:r>
            <w:proofErr w:type="spellStart"/>
            <w:r w:rsidRPr="00A60DFD">
              <w:rPr>
                <w:rFonts w:eastAsia="Calibri"/>
                <w:i/>
                <w:lang w:eastAsia="en-US"/>
              </w:rPr>
              <w:t>euro</w:t>
            </w:r>
            <w:proofErr w:type="spellEnd"/>
            <w:r w:rsidRPr="00A60DFD">
              <w:rPr>
                <w:rFonts w:eastAsia="Calibri"/>
                <w:lang w:eastAsia="en-US"/>
              </w:rPr>
              <w:t>).</w:t>
            </w:r>
          </w:p>
          <w:p w14:paraId="2889F4CC" w14:textId="001E6DD0" w:rsidR="00A60DFD" w:rsidRPr="00A60DFD" w:rsidRDefault="00A60DFD" w:rsidP="00A60DFD">
            <w:pPr>
              <w:pStyle w:val="ListParagraph"/>
              <w:numPr>
                <w:ilvl w:val="2"/>
                <w:numId w:val="30"/>
              </w:numPr>
              <w:spacing w:after="0"/>
              <w:ind w:right="112"/>
              <w:jc w:val="both"/>
              <w:rPr>
                <w:bCs/>
              </w:rPr>
            </w:pPr>
            <w:r w:rsidRPr="0028680D">
              <w:rPr>
                <w:rFonts w:ascii="Times New Roman" w:hAnsi="Times New Roman"/>
                <w:sz w:val="24"/>
                <w:szCs w:val="24"/>
              </w:rPr>
              <w:t xml:space="preserve">2019. gadā trūcīgas un maznodrošinātās (līdz 242 </w:t>
            </w:r>
            <w:proofErr w:type="spellStart"/>
            <w:r w:rsidRPr="00C721C9">
              <w:rPr>
                <w:rFonts w:ascii="Times New Roman" w:hAnsi="Times New Roman"/>
                <w:i/>
                <w:sz w:val="24"/>
                <w:szCs w:val="24"/>
              </w:rPr>
              <w:t>euro</w:t>
            </w:r>
            <w:proofErr w:type="spellEnd"/>
            <w:r w:rsidRPr="0028680D">
              <w:rPr>
                <w:rFonts w:ascii="Times New Roman" w:hAnsi="Times New Roman"/>
                <w:sz w:val="24"/>
                <w:szCs w:val="24"/>
              </w:rPr>
              <w:t xml:space="preserve">) personas statuss tika piešķirts 68 398 personām, t.sk. 15 528 bērniem un 2020. gada 11 mēnešos – 64 148 personām, t.sk. 15 785 bērniem. Prognozējams, ka </w:t>
            </w:r>
            <w:proofErr w:type="gramStart"/>
            <w:r w:rsidRPr="0028680D">
              <w:rPr>
                <w:rFonts w:ascii="Times New Roman" w:hAnsi="Times New Roman"/>
                <w:sz w:val="24"/>
                <w:szCs w:val="24"/>
              </w:rPr>
              <w:t>2020.gadā</w:t>
            </w:r>
            <w:proofErr w:type="gramEnd"/>
            <w:r w:rsidRPr="0028680D">
              <w:rPr>
                <w:rFonts w:ascii="Times New Roman" w:hAnsi="Times New Roman"/>
                <w:sz w:val="24"/>
                <w:szCs w:val="24"/>
              </w:rPr>
              <w:t xml:space="preserve"> </w:t>
            </w:r>
            <w:proofErr w:type="spellStart"/>
            <w:r w:rsidRPr="0028680D">
              <w:rPr>
                <w:rFonts w:ascii="Times New Roman" w:hAnsi="Times New Roman"/>
                <w:sz w:val="24"/>
                <w:szCs w:val="24"/>
              </w:rPr>
              <w:t>Covid-19</w:t>
            </w:r>
            <w:proofErr w:type="spellEnd"/>
            <w:r w:rsidRPr="0028680D">
              <w:rPr>
                <w:rFonts w:ascii="Times New Roman" w:hAnsi="Times New Roman"/>
                <w:sz w:val="24"/>
                <w:szCs w:val="24"/>
              </w:rPr>
              <w:t xml:space="preserve"> krīzes ietekmē unikālo atbalstāmo personu skaits pārsniegs 2019.gada rādītāju.</w:t>
            </w:r>
          </w:p>
        </w:tc>
      </w:tr>
      <w:tr w:rsidR="002F7A53" w:rsidRPr="00FE6D6D" w14:paraId="39C1C8C1" w14:textId="77777777" w:rsidTr="00A60DFD">
        <w:tblPrEx>
          <w:shd w:val="clear" w:color="auto" w:fill="auto"/>
          <w:tblCellMar>
            <w:top w:w="30" w:type="dxa"/>
            <w:left w:w="30" w:type="dxa"/>
            <w:bottom w:w="30" w:type="dxa"/>
            <w:right w:w="30" w:type="dxa"/>
          </w:tblCellMar>
        </w:tblPrEx>
        <w:trPr>
          <w:gridAfter w:val="1"/>
          <w:wAfter w:w="14" w:type="dxa"/>
          <w:cantSplit/>
        </w:trPr>
        <w:tc>
          <w:tcPr>
            <w:tcW w:w="3119" w:type="dxa"/>
            <w:gridSpan w:val="4"/>
          </w:tcPr>
          <w:p w14:paraId="3EF60B04" w14:textId="667E7B99" w:rsidR="002F7A53" w:rsidRPr="000907B2" w:rsidRDefault="002F7A53" w:rsidP="005516D9">
            <w:pPr>
              <w:spacing w:line="276" w:lineRule="auto"/>
            </w:pPr>
          </w:p>
        </w:tc>
        <w:tc>
          <w:tcPr>
            <w:tcW w:w="5928" w:type="dxa"/>
            <w:gridSpan w:val="2"/>
          </w:tcPr>
          <w:p w14:paraId="6FB10D90" w14:textId="77777777" w:rsidR="0028680D" w:rsidRPr="0028680D" w:rsidRDefault="003340D9" w:rsidP="00A60DFD">
            <w:pPr>
              <w:pStyle w:val="ListParagraph"/>
              <w:numPr>
                <w:ilvl w:val="2"/>
                <w:numId w:val="30"/>
              </w:numPr>
              <w:spacing w:after="0"/>
              <w:ind w:right="112"/>
              <w:jc w:val="both"/>
              <w:rPr>
                <w:bCs/>
              </w:rPr>
            </w:pPr>
            <w:r w:rsidRPr="0028680D">
              <w:rPr>
                <w:rFonts w:ascii="Times New Roman" w:hAnsi="Times New Roman"/>
                <w:sz w:val="24"/>
                <w:szCs w:val="24"/>
              </w:rPr>
              <w:t xml:space="preserve">Fonda atbalsta saņemšanas </w:t>
            </w:r>
            <w:r w:rsidR="00F47A4E" w:rsidRPr="0028680D">
              <w:rPr>
                <w:rFonts w:ascii="Times New Roman" w:hAnsi="Times New Roman"/>
                <w:sz w:val="24"/>
                <w:szCs w:val="24"/>
              </w:rPr>
              <w:t xml:space="preserve">vidējais </w:t>
            </w:r>
            <w:r w:rsidRPr="0028680D">
              <w:rPr>
                <w:rFonts w:ascii="Times New Roman" w:hAnsi="Times New Roman"/>
                <w:sz w:val="24"/>
                <w:szCs w:val="24"/>
              </w:rPr>
              <w:t xml:space="preserve">ilgums </w:t>
            </w:r>
            <w:r w:rsidR="00F47A4E" w:rsidRPr="0028680D">
              <w:rPr>
                <w:rFonts w:ascii="Times New Roman" w:hAnsi="Times New Roman"/>
                <w:sz w:val="24"/>
                <w:szCs w:val="24"/>
              </w:rPr>
              <w:t xml:space="preserve">2019. gadā </w:t>
            </w:r>
            <w:r w:rsidRPr="0028680D">
              <w:rPr>
                <w:rFonts w:ascii="Times New Roman" w:hAnsi="Times New Roman"/>
                <w:sz w:val="24"/>
                <w:szCs w:val="24"/>
              </w:rPr>
              <w:t>bija 8 mēneši</w:t>
            </w:r>
            <w:r w:rsidR="001B3F1F" w:rsidRPr="0028680D">
              <w:rPr>
                <w:rFonts w:ascii="Times New Roman" w:hAnsi="Times New Roman"/>
                <w:sz w:val="24"/>
                <w:szCs w:val="24"/>
              </w:rPr>
              <w:t xml:space="preserve">. </w:t>
            </w:r>
            <w:r w:rsidRPr="0028680D">
              <w:rPr>
                <w:rFonts w:ascii="Times New Roman" w:hAnsi="Times New Roman"/>
                <w:sz w:val="24"/>
                <w:szCs w:val="24"/>
              </w:rPr>
              <w:t xml:space="preserve"> 2020.</w:t>
            </w:r>
            <w:r w:rsidR="00FC79A1" w:rsidRPr="0028680D">
              <w:rPr>
                <w:rFonts w:ascii="Times New Roman" w:hAnsi="Times New Roman"/>
                <w:sz w:val="24"/>
                <w:szCs w:val="24"/>
              </w:rPr>
              <w:t> </w:t>
            </w:r>
            <w:r w:rsidRPr="0028680D">
              <w:rPr>
                <w:rFonts w:ascii="Times New Roman" w:hAnsi="Times New Roman"/>
                <w:sz w:val="24"/>
                <w:szCs w:val="24"/>
              </w:rPr>
              <w:t xml:space="preserve">gada trīs ceturkšņu dati liecina, ka </w:t>
            </w:r>
            <w:r w:rsidR="006B5A4B" w:rsidRPr="0028680D">
              <w:rPr>
                <w:rFonts w:ascii="Times New Roman" w:hAnsi="Times New Roman"/>
                <w:sz w:val="24"/>
                <w:szCs w:val="24"/>
              </w:rPr>
              <w:t xml:space="preserve">|Fonda </w:t>
            </w:r>
            <w:r w:rsidRPr="0028680D">
              <w:rPr>
                <w:rFonts w:ascii="Times New Roman" w:hAnsi="Times New Roman"/>
                <w:sz w:val="24"/>
                <w:szCs w:val="24"/>
              </w:rPr>
              <w:t xml:space="preserve">atbalsta saņemšanas </w:t>
            </w:r>
            <w:r w:rsidR="006B5A4B" w:rsidRPr="0028680D">
              <w:rPr>
                <w:rFonts w:ascii="Times New Roman" w:hAnsi="Times New Roman"/>
                <w:sz w:val="24"/>
                <w:szCs w:val="24"/>
              </w:rPr>
              <w:t xml:space="preserve">vidējais </w:t>
            </w:r>
            <w:r w:rsidRPr="0028680D">
              <w:rPr>
                <w:rFonts w:ascii="Times New Roman" w:hAnsi="Times New Roman"/>
                <w:sz w:val="24"/>
                <w:szCs w:val="24"/>
              </w:rPr>
              <w:t>ilgums</w:t>
            </w:r>
            <w:r w:rsidR="00EE58B3" w:rsidRPr="0028680D">
              <w:rPr>
                <w:rFonts w:ascii="Times New Roman" w:hAnsi="Times New Roman"/>
                <w:sz w:val="24"/>
                <w:szCs w:val="24"/>
              </w:rPr>
              <w:t>, ņemot vērā SPSP likuma grozījumus attiecībā uz trūcīgas personas vai maznodrošinātas personas statusa pagarināšanu valstī noteiktās ārkārtējās situācijas laikā un vienu mēnesi pēc tās,</w:t>
            </w:r>
            <w:r w:rsidR="001B3F1F" w:rsidRPr="0028680D">
              <w:rPr>
                <w:rFonts w:ascii="Times New Roman" w:hAnsi="Times New Roman"/>
                <w:sz w:val="24"/>
                <w:szCs w:val="24"/>
              </w:rPr>
              <w:t xml:space="preserve"> </w:t>
            </w:r>
            <w:r w:rsidRPr="0028680D">
              <w:rPr>
                <w:rFonts w:ascii="Times New Roman" w:hAnsi="Times New Roman"/>
                <w:sz w:val="24"/>
                <w:szCs w:val="24"/>
              </w:rPr>
              <w:t>sasnie</w:t>
            </w:r>
            <w:r w:rsidR="007501B0" w:rsidRPr="0028680D">
              <w:rPr>
                <w:rFonts w:ascii="Times New Roman" w:hAnsi="Times New Roman"/>
                <w:sz w:val="24"/>
                <w:szCs w:val="24"/>
              </w:rPr>
              <w:t>dz un var pārsniegt</w:t>
            </w:r>
            <w:r w:rsidRPr="0028680D">
              <w:rPr>
                <w:rFonts w:ascii="Times New Roman" w:hAnsi="Times New Roman"/>
                <w:sz w:val="24"/>
                <w:szCs w:val="24"/>
              </w:rPr>
              <w:t xml:space="preserve"> 10 mēnešus</w:t>
            </w:r>
            <w:r w:rsidR="006F52A8" w:rsidRPr="0028680D">
              <w:rPr>
                <w:rFonts w:ascii="Times New Roman" w:hAnsi="Times New Roman"/>
                <w:sz w:val="24"/>
                <w:szCs w:val="24"/>
              </w:rPr>
              <w:t>, kā rezultātā būtiski pieaug izdalīto Fonda atbalsta komplektu skaits.</w:t>
            </w:r>
          </w:p>
          <w:p w14:paraId="50201BDF" w14:textId="77777777" w:rsidR="0028680D" w:rsidRPr="0028680D" w:rsidRDefault="00891077" w:rsidP="00A60DFD">
            <w:pPr>
              <w:pStyle w:val="ListParagraph"/>
              <w:numPr>
                <w:ilvl w:val="2"/>
                <w:numId w:val="30"/>
              </w:numPr>
              <w:spacing w:after="0"/>
              <w:ind w:right="112"/>
              <w:jc w:val="both"/>
              <w:rPr>
                <w:bCs/>
              </w:rPr>
            </w:pPr>
            <w:r w:rsidRPr="0028680D">
              <w:rPr>
                <w:rFonts w:ascii="Times New Roman" w:hAnsi="Times New Roman"/>
                <w:sz w:val="24"/>
                <w:szCs w:val="24"/>
              </w:rPr>
              <w:t>Ņemot vērā</w:t>
            </w:r>
            <w:r w:rsidR="00FC79A1" w:rsidRPr="0028680D">
              <w:rPr>
                <w:rFonts w:ascii="Times New Roman" w:hAnsi="Times New Roman"/>
                <w:sz w:val="24"/>
                <w:szCs w:val="24"/>
              </w:rPr>
              <w:t xml:space="preserve"> </w:t>
            </w:r>
            <w:r w:rsidRPr="0028680D">
              <w:rPr>
                <w:rFonts w:ascii="Times New Roman" w:hAnsi="Times New Roman"/>
                <w:sz w:val="24"/>
                <w:szCs w:val="24"/>
              </w:rPr>
              <w:t>8.</w:t>
            </w:r>
            <w:r w:rsidR="00924268" w:rsidRPr="0028680D">
              <w:rPr>
                <w:rFonts w:ascii="Times New Roman" w:hAnsi="Times New Roman"/>
                <w:sz w:val="24"/>
                <w:szCs w:val="24"/>
              </w:rPr>
              <w:t>4</w:t>
            </w:r>
            <w:r w:rsidRPr="0028680D">
              <w:rPr>
                <w:rFonts w:ascii="Times New Roman" w:hAnsi="Times New Roman"/>
                <w:sz w:val="24"/>
                <w:szCs w:val="24"/>
              </w:rPr>
              <w:t>. un 8.</w:t>
            </w:r>
            <w:r w:rsidR="00924268" w:rsidRPr="0028680D">
              <w:rPr>
                <w:rFonts w:ascii="Times New Roman" w:hAnsi="Times New Roman"/>
                <w:sz w:val="24"/>
                <w:szCs w:val="24"/>
              </w:rPr>
              <w:t>5</w:t>
            </w:r>
            <w:r w:rsidRPr="0028680D">
              <w:rPr>
                <w:rFonts w:ascii="Times New Roman" w:hAnsi="Times New Roman"/>
                <w:sz w:val="24"/>
                <w:szCs w:val="24"/>
              </w:rPr>
              <w:t xml:space="preserve">. apakšpunktā minēto </w:t>
            </w:r>
            <w:proofErr w:type="gramStart"/>
            <w:r w:rsidR="00FC79A1" w:rsidRPr="0028680D">
              <w:rPr>
                <w:rFonts w:ascii="Times New Roman" w:hAnsi="Times New Roman"/>
                <w:sz w:val="24"/>
                <w:szCs w:val="24"/>
              </w:rPr>
              <w:t>2020.gadā</w:t>
            </w:r>
            <w:proofErr w:type="gramEnd"/>
            <w:r w:rsidR="00FC79A1" w:rsidRPr="0028680D">
              <w:rPr>
                <w:rFonts w:ascii="Times New Roman" w:hAnsi="Times New Roman"/>
                <w:sz w:val="24"/>
                <w:szCs w:val="24"/>
              </w:rPr>
              <w:t xml:space="preserve"> salīdzinot ar 2019.gadu finansējums Fonda darbības programmas īstenošanai palielinājies par 1 918 024 </w:t>
            </w:r>
            <w:proofErr w:type="spellStart"/>
            <w:r w:rsidR="00FC79A1" w:rsidRPr="00C721C9">
              <w:rPr>
                <w:rFonts w:ascii="Times New Roman" w:hAnsi="Times New Roman"/>
                <w:i/>
                <w:sz w:val="24"/>
                <w:szCs w:val="24"/>
              </w:rPr>
              <w:t>euro</w:t>
            </w:r>
            <w:proofErr w:type="spellEnd"/>
            <w:r w:rsidR="00FC79A1" w:rsidRPr="0028680D">
              <w:rPr>
                <w:rFonts w:ascii="Times New Roman" w:hAnsi="Times New Roman"/>
                <w:sz w:val="24"/>
                <w:szCs w:val="24"/>
              </w:rPr>
              <w:t xml:space="preserve"> jeb 2</w:t>
            </w:r>
            <w:r w:rsidR="004250A2" w:rsidRPr="0028680D">
              <w:rPr>
                <w:rFonts w:ascii="Times New Roman" w:hAnsi="Times New Roman"/>
                <w:sz w:val="24"/>
                <w:szCs w:val="24"/>
              </w:rPr>
              <w:t>7</w:t>
            </w:r>
            <w:r w:rsidR="00FC79A1" w:rsidRPr="0028680D">
              <w:rPr>
                <w:rFonts w:ascii="Times New Roman" w:hAnsi="Times New Roman"/>
                <w:sz w:val="24"/>
                <w:szCs w:val="24"/>
              </w:rPr>
              <w:t>,</w:t>
            </w:r>
            <w:r w:rsidR="004250A2" w:rsidRPr="0028680D">
              <w:rPr>
                <w:rFonts w:ascii="Times New Roman" w:hAnsi="Times New Roman"/>
                <w:sz w:val="24"/>
                <w:szCs w:val="24"/>
              </w:rPr>
              <w:t>1</w:t>
            </w:r>
            <w:r w:rsidR="00FC79A1" w:rsidRPr="0028680D">
              <w:rPr>
                <w:rFonts w:ascii="Times New Roman" w:hAnsi="Times New Roman"/>
                <w:sz w:val="24"/>
                <w:szCs w:val="24"/>
              </w:rPr>
              <w:t>%.</w:t>
            </w:r>
          </w:p>
          <w:p w14:paraId="65E5E3EF" w14:textId="77777777" w:rsidR="00B93E12" w:rsidRPr="00B93E12" w:rsidRDefault="00B81698" w:rsidP="00A60DFD">
            <w:pPr>
              <w:pStyle w:val="ListParagraph"/>
              <w:numPr>
                <w:ilvl w:val="2"/>
                <w:numId w:val="30"/>
              </w:numPr>
              <w:spacing w:after="0"/>
              <w:ind w:right="112"/>
              <w:jc w:val="both"/>
              <w:rPr>
                <w:bCs/>
              </w:rPr>
            </w:pPr>
            <w:r w:rsidRPr="0028680D">
              <w:rPr>
                <w:rFonts w:ascii="Times New Roman" w:hAnsi="Times New Roman"/>
                <w:bCs/>
                <w:sz w:val="24"/>
                <w:szCs w:val="24"/>
              </w:rPr>
              <w:t>Pamatojoties uz 2019. gada statistiku un 20</w:t>
            </w:r>
            <w:r w:rsidR="008C71C7" w:rsidRPr="0028680D">
              <w:rPr>
                <w:rFonts w:ascii="Times New Roman" w:hAnsi="Times New Roman"/>
                <w:bCs/>
                <w:sz w:val="24"/>
                <w:szCs w:val="24"/>
              </w:rPr>
              <w:t>20</w:t>
            </w:r>
            <w:r w:rsidRPr="0028680D">
              <w:rPr>
                <w:rFonts w:ascii="Times New Roman" w:hAnsi="Times New Roman"/>
                <w:bCs/>
                <w:sz w:val="24"/>
                <w:szCs w:val="24"/>
              </w:rPr>
              <w:t xml:space="preserve">. gada </w:t>
            </w:r>
            <w:r w:rsidR="008C71C7" w:rsidRPr="0028680D">
              <w:rPr>
                <w:rFonts w:ascii="Times New Roman" w:hAnsi="Times New Roman"/>
                <w:bCs/>
                <w:sz w:val="24"/>
                <w:szCs w:val="24"/>
              </w:rPr>
              <w:t>11</w:t>
            </w:r>
            <w:r w:rsidRPr="0028680D">
              <w:rPr>
                <w:rFonts w:ascii="Times New Roman" w:hAnsi="Times New Roman"/>
                <w:bCs/>
                <w:sz w:val="24"/>
                <w:szCs w:val="24"/>
              </w:rPr>
              <w:t xml:space="preserve"> mēnešos iezīmējušos tendenci statistikai par </w:t>
            </w:r>
            <w:r w:rsidR="008D7BE4" w:rsidRPr="0028680D">
              <w:rPr>
                <w:rFonts w:ascii="Times New Roman" w:hAnsi="Times New Roman"/>
                <w:bCs/>
                <w:sz w:val="24"/>
                <w:szCs w:val="24"/>
              </w:rPr>
              <w:t>zemu ienākumu mājsaimniecībām,</w:t>
            </w:r>
            <w:r w:rsidRPr="0028680D">
              <w:rPr>
                <w:rFonts w:ascii="Times New Roman" w:hAnsi="Times New Roman"/>
                <w:bCs/>
                <w:sz w:val="24"/>
                <w:szCs w:val="24"/>
              </w:rPr>
              <w:t xml:space="preserve"> kuru ienākumi nepārsniedz </w:t>
            </w:r>
            <w:r w:rsidR="008C71C7" w:rsidRPr="0028680D">
              <w:rPr>
                <w:rFonts w:ascii="Times New Roman" w:hAnsi="Times New Roman"/>
                <w:bCs/>
                <w:sz w:val="24"/>
                <w:szCs w:val="24"/>
              </w:rPr>
              <w:t>242</w:t>
            </w:r>
            <w:r w:rsidRPr="0028680D">
              <w:rPr>
                <w:rFonts w:ascii="Times New Roman" w:hAnsi="Times New Roman"/>
                <w:bCs/>
                <w:sz w:val="24"/>
                <w:szCs w:val="24"/>
              </w:rPr>
              <w:t xml:space="preserve"> </w:t>
            </w:r>
            <w:proofErr w:type="spellStart"/>
            <w:r w:rsidR="008C71C7" w:rsidRPr="00C721C9">
              <w:rPr>
                <w:rFonts w:ascii="Times New Roman" w:hAnsi="Times New Roman"/>
                <w:bCs/>
                <w:i/>
                <w:sz w:val="24"/>
                <w:szCs w:val="24"/>
              </w:rPr>
              <w:t>euro</w:t>
            </w:r>
            <w:proofErr w:type="spellEnd"/>
            <w:r w:rsidRPr="0028680D">
              <w:rPr>
                <w:rFonts w:ascii="Times New Roman" w:hAnsi="Times New Roman"/>
                <w:bCs/>
                <w:sz w:val="24"/>
                <w:szCs w:val="24"/>
              </w:rPr>
              <w:t>,</w:t>
            </w:r>
            <w:r w:rsidR="008D7BE4" w:rsidRPr="0028680D">
              <w:rPr>
                <w:rFonts w:ascii="Times New Roman" w:hAnsi="Times New Roman"/>
                <w:bCs/>
                <w:sz w:val="24"/>
                <w:szCs w:val="24"/>
              </w:rPr>
              <w:t xml:space="preserve"> un</w:t>
            </w:r>
            <w:r w:rsidR="00CF72D0" w:rsidRPr="0028680D">
              <w:rPr>
                <w:rFonts w:ascii="Times New Roman" w:hAnsi="Times New Roman"/>
                <w:bCs/>
                <w:sz w:val="24"/>
                <w:szCs w:val="24"/>
              </w:rPr>
              <w:t xml:space="preserve">, vērtējot plānoto izmaiņu ietekmi, īpaši uz 8.2. apakšpunktā minētās </w:t>
            </w:r>
            <w:proofErr w:type="spellStart"/>
            <w:r w:rsidR="00CF72D0" w:rsidRPr="0028680D">
              <w:rPr>
                <w:rFonts w:ascii="Times New Roman" w:hAnsi="Times New Roman"/>
                <w:bCs/>
                <w:sz w:val="24"/>
                <w:szCs w:val="24"/>
              </w:rPr>
              <w:t>sociāldemogrāfiskās</w:t>
            </w:r>
            <w:proofErr w:type="spellEnd"/>
            <w:r w:rsidR="00CF72D0" w:rsidRPr="0028680D">
              <w:rPr>
                <w:rFonts w:ascii="Times New Roman" w:hAnsi="Times New Roman"/>
                <w:bCs/>
                <w:sz w:val="24"/>
                <w:szCs w:val="24"/>
              </w:rPr>
              <w:t xml:space="preserve"> grupas ienākumiem, </w:t>
            </w:r>
            <w:r w:rsidR="008C71C7" w:rsidRPr="0028680D">
              <w:rPr>
                <w:rFonts w:ascii="Times New Roman" w:hAnsi="Times New Roman"/>
                <w:bCs/>
                <w:sz w:val="24"/>
                <w:szCs w:val="24"/>
              </w:rPr>
              <w:t xml:space="preserve">Fonda </w:t>
            </w:r>
            <w:r w:rsidRPr="0028680D">
              <w:rPr>
                <w:rFonts w:ascii="Times New Roman" w:hAnsi="Times New Roman"/>
                <w:bCs/>
                <w:sz w:val="24"/>
                <w:szCs w:val="24"/>
              </w:rPr>
              <w:t xml:space="preserve">atbalsta saņēmēju skaits </w:t>
            </w:r>
            <w:r w:rsidR="008D7BE4" w:rsidRPr="0028680D">
              <w:rPr>
                <w:rFonts w:ascii="Times New Roman" w:hAnsi="Times New Roman"/>
                <w:bCs/>
                <w:sz w:val="24"/>
                <w:szCs w:val="24"/>
              </w:rPr>
              <w:t xml:space="preserve">2021. gadā </w:t>
            </w:r>
            <w:r w:rsidRPr="0028680D">
              <w:rPr>
                <w:rFonts w:ascii="Times New Roman" w:hAnsi="Times New Roman"/>
                <w:bCs/>
                <w:sz w:val="24"/>
                <w:szCs w:val="24"/>
              </w:rPr>
              <w:t>indikatīvi var palielināties par 1</w:t>
            </w:r>
            <w:r w:rsidR="008C71C7" w:rsidRPr="0028680D">
              <w:rPr>
                <w:rFonts w:ascii="Times New Roman" w:hAnsi="Times New Roman"/>
                <w:bCs/>
                <w:sz w:val="24"/>
                <w:szCs w:val="24"/>
              </w:rPr>
              <w:t>6,8 tūkst.</w:t>
            </w:r>
            <w:r w:rsidR="00255372" w:rsidRPr="0028680D">
              <w:rPr>
                <w:rFonts w:ascii="Times New Roman" w:hAnsi="Times New Roman"/>
                <w:bCs/>
                <w:sz w:val="24"/>
                <w:szCs w:val="24"/>
              </w:rPr>
              <w:t xml:space="preserve"> personu</w:t>
            </w:r>
            <w:r w:rsidR="009C6885" w:rsidRPr="0028680D">
              <w:rPr>
                <w:rFonts w:ascii="Times New Roman" w:hAnsi="Times New Roman"/>
                <w:bCs/>
                <w:sz w:val="24"/>
                <w:szCs w:val="24"/>
              </w:rPr>
              <w:t xml:space="preserve"> </w:t>
            </w:r>
            <w:r w:rsidRPr="0028680D">
              <w:rPr>
                <w:rFonts w:ascii="Times New Roman" w:hAnsi="Times New Roman"/>
                <w:bCs/>
                <w:sz w:val="24"/>
                <w:szCs w:val="24"/>
              </w:rPr>
              <w:t xml:space="preserve">un sasniegt vidēji </w:t>
            </w:r>
            <w:r w:rsidR="009C2157" w:rsidRPr="0028680D">
              <w:rPr>
                <w:rFonts w:ascii="Times New Roman" w:hAnsi="Times New Roman"/>
                <w:bCs/>
                <w:sz w:val="24"/>
                <w:szCs w:val="24"/>
              </w:rPr>
              <w:t>63,6</w:t>
            </w:r>
            <w:r w:rsidRPr="0028680D">
              <w:rPr>
                <w:rFonts w:ascii="Times New Roman" w:hAnsi="Times New Roman"/>
                <w:bCs/>
                <w:sz w:val="24"/>
                <w:szCs w:val="24"/>
              </w:rPr>
              <w:t xml:space="preserve"> tūkst. personas mēnesī.</w:t>
            </w:r>
            <w:r w:rsidR="00255372" w:rsidRPr="00945FFE">
              <w:t xml:space="preserve"> </w:t>
            </w:r>
            <w:r w:rsidR="007C1D7B">
              <w:t>P</w:t>
            </w:r>
            <w:r w:rsidR="007C1D7B" w:rsidRPr="0028680D">
              <w:rPr>
                <w:rFonts w:ascii="Times New Roman" w:hAnsi="Times New Roman"/>
                <w:sz w:val="24"/>
                <w:szCs w:val="24"/>
              </w:rPr>
              <w:t>rognozēts, ka</w:t>
            </w:r>
            <w:r w:rsidR="009C6885" w:rsidRPr="0028680D">
              <w:rPr>
                <w:rFonts w:ascii="Times New Roman" w:hAnsi="Times New Roman"/>
                <w:sz w:val="24"/>
                <w:szCs w:val="24"/>
              </w:rPr>
              <w:t xml:space="preserve"> </w:t>
            </w:r>
            <w:r w:rsidR="00394C8D" w:rsidRPr="0028680D">
              <w:rPr>
                <w:rFonts w:ascii="Times New Roman" w:hAnsi="Times New Roman"/>
                <w:sz w:val="24"/>
                <w:szCs w:val="24"/>
              </w:rPr>
              <w:t>Fonda atbalsta saņēmēju</w:t>
            </w:r>
            <w:r w:rsidR="007C1D7B" w:rsidRPr="0028680D">
              <w:rPr>
                <w:rFonts w:ascii="Times New Roman" w:hAnsi="Times New Roman"/>
                <w:sz w:val="24"/>
                <w:szCs w:val="24"/>
              </w:rPr>
              <w:t xml:space="preserve"> skaita pieaugumu veido v</w:t>
            </w:r>
            <w:r w:rsidR="007C1D7B" w:rsidRPr="0028680D">
              <w:rPr>
                <w:rFonts w:ascii="Times New Roman" w:hAnsi="Times New Roman"/>
                <w:bCs/>
                <w:sz w:val="24"/>
                <w:szCs w:val="24"/>
              </w:rPr>
              <w:t xml:space="preserve">ienas personas </w:t>
            </w:r>
            <w:r w:rsidR="00394C8D" w:rsidRPr="0028680D">
              <w:rPr>
                <w:rFonts w:ascii="Times New Roman" w:hAnsi="Times New Roman"/>
                <w:bCs/>
                <w:sz w:val="24"/>
                <w:szCs w:val="24"/>
              </w:rPr>
              <w:t xml:space="preserve">vecumā </w:t>
            </w:r>
            <w:r w:rsidR="007C1D7B" w:rsidRPr="0028680D">
              <w:rPr>
                <w:rFonts w:ascii="Times New Roman" w:hAnsi="Times New Roman"/>
                <w:bCs/>
                <w:sz w:val="24"/>
                <w:szCs w:val="24"/>
              </w:rPr>
              <w:t>65+</w:t>
            </w:r>
            <w:r w:rsidR="007C1D7B" w:rsidRPr="0028680D">
              <w:rPr>
                <w:rFonts w:ascii="Times New Roman" w:hAnsi="Times New Roman"/>
                <w:sz w:val="24"/>
                <w:szCs w:val="24"/>
              </w:rPr>
              <w:t xml:space="preserve"> </w:t>
            </w:r>
            <w:r w:rsidR="009C6885" w:rsidRPr="0028680D">
              <w:rPr>
                <w:rFonts w:ascii="Times New Roman" w:hAnsi="Times New Roman"/>
                <w:sz w:val="24"/>
                <w:szCs w:val="24"/>
              </w:rPr>
              <w:t>mā</w:t>
            </w:r>
            <w:r w:rsidR="009C6885" w:rsidRPr="0028680D">
              <w:rPr>
                <w:rFonts w:ascii="Times New Roman" w:hAnsi="Times New Roman"/>
                <w:bCs/>
                <w:sz w:val="24"/>
                <w:szCs w:val="24"/>
              </w:rPr>
              <w:t>jsaimniecīb</w:t>
            </w:r>
            <w:r w:rsidR="00394C8D" w:rsidRPr="0028680D">
              <w:rPr>
                <w:rFonts w:ascii="Times New Roman" w:hAnsi="Times New Roman"/>
                <w:bCs/>
                <w:sz w:val="24"/>
                <w:szCs w:val="24"/>
              </w:rPr>
              <w:t>as.</w:t>
            </w:r>
          </w:p>
          <w:p w14:paraId="63E9D7C6" w14:textId="77777777" w:rsidR="005F2A1C" w:rsidRPr="005F2A1C" w:rsidRDefault="00DF58AD" w:rsidP="00A60DFD">
            <w:pPr>
              <w:pStyle w:val="ListParagraph"/>
              <w:numPr>
                <w:ilvl w:val="2"/>
                <w:numId w:val="30"/>
              </w:numPr>
              <w:spacing w:after="0"/>
              <w:ind w:right="112"/>
              <w:jc w:val="both"/>
              <w:rPr>
                <w:bCs/>
              </w:rPr>
            </w:pPr>
            <w:r w:rsidRPr="00553D35">
              <w:rPr>
                <w:rFonts w:ascii="Times New Roman" w:hAnsi="Times New Roman"/>
                <w:bCs/>
                <w:sz w:val="24"/>
                <w:szCs w:val="24"/>
              </w:rPr>
              <w:t>Tā kā aprēķini veikti</w:t>
            </w:r>
            <w:r w:rsidRPr="00B93E12">
              <w:rPr>
                <w:rFonts w:ascii="Times New Roman" w:hAnsi="Times New Roman"/>
                <w:bCs/>
                <w:sz w:val="24"/>
                <w:szCs w:val="24"/>
              </w:rPr>
              <w:t xml:space="preserve"> indikatīvi un arī atbalsta saņēmēju skaits, ievērojot sociālekonomiskās un epidemioloģiskās situācijas izmaiņas, ir mainīgs, iespējami precizējumi Fonda atbalsta saņēmēju un izdalāmo atbalsta komplektu skaitā.</w:t>
            </w:r>
          </w:p>
          <w:p w14:paraId="2CC99949" w14:textId="449A309A" w:rsidR="005F2A1C" w:rsidRPr="00B12BC6" w:rsidRDefault="00A907D6" w:rsidP="00A60DFD">
            <w:pPr>
              <w:pStyle w:val="ListParagraph"/>
              <w:numPr>
                <w:ilvl w:val="1"/>
                <w:numId w:val="30"/>
              </w:numPr>
              <w:spacing w:after="0"/>
              <w:ind w:right="112"/>
              <w:jc w:val="both"/>
              <w:rPr>
                <w:rFonts w:ascii="Times New Roman" w:hAnsi="Times New Roman"/>
                <w:bCs/>
                <w:sz w:val="24"/>
                <w:szCs w:val="24"/>
              </w:rPr>
            </w:pPr>
            <w:r>
              <w:rPr>
                <w:rFonts w:ascii="Times New Roman" w:hAnsi="Times New Roman"/>
                <w:sz w:val="24"/>
                <w:szCs w:val="24"/>
              </w:rPr>
              <w:t>F</w:t>
            </w:r>
            <w:r w:rsidR="008E61EE" w:rsidRPr="005F2A1C">
              <w:rPr>
                <w:rFonts w:ascii="Times New Roman" w:hAnsi="Times New Roman"/>
                <w:sz w:val="24"/>
                <w:szCs w:val="24"/>
              </w:rPr>
              <w:t>inansējums</w:t>
            </w:r>
            <w:r w:rsidR="00553D35">
              <w:rPr>
                <w:rFonts w:ascii="Times New Roman" w:hAnsi="Times New Roman"/>
                <w:sz w:val="24"/>
                <w:szCs w:val="24"/>
              </w:rPr>
              <w:t xml:space="preserve"> </w:t>
            </w:r>
            <w:r>
              <w:rPr>
                <w:rFonts w:ascii="Times New Roman" w:hAnsi="Times New Roman"/>
                <w:sz w:val="24"/>
                <w:szCs w:val="24"/>
              </w:rPr>
              <w:t xml:space="preserve">saistībā ar iespējamu </w:t>
            </w:r>
            <w:r w:rsidR="006E1A19" w:rsidRPr="00B93E12">
              <w:rPr>
                <w:rFonts w:ascii="Times New Roman" w:hAnsi="Times New Roman"/>
                <w:bCs/>
                <w:sz w:val="24"/>
                <w:szCs w:val="24"/>
              </w:rPr>
              <w:t>Fonda atbalsta saņēmēju un izdalāmo atbalsta komplektu skait</w:t>
            </w:r>
            <w:r w:rsidR="006E1A19">
              <w:rPr>
                <w:rFonts w:ascii="Times New Roman" w:hAnsi="Times New Roman"/>
                <w:bCs/>
                <w:sz w:val="24"/>
                <w:szCs w:val="24"/>
              </w:rPr>
              <w:t>a pieaugumu</w:t>
            </w:r>
            <w:r w:rsidR="006E1A19">
              <w:rPr>
                <w:rFonts w:ascii="Times New Roman" w:hAnsi="Times New Roman"/>
                <w:sz w:val="24"/>
                <w:szCs w:val="24"/>
              </w:rPr>
              <w:t xml:space="preserve"> </w:t>
            </w:r>
            <w:r w:rsidR="008E61EE" w:rsidRPr="005F2A1C">
              <w:rPr>
                <w:rFonts w:ascii="Times New Roman" w:hAnsi="Times New Roman"/>
                <w:sz w:val="24"/>
                <w:szCs w:val="24"/>
              </w:rPr>
              <w:t xml:space="preserve">pārtikas un pamata materiālās palīdzības preču iegādei un izdales </w:t>
            </w:r>
            <w:r w:rsidR="008E61EE" w:rsidRPr="00B12BC6">
              <w:rPr>
                <w:rFonts w:ascii="Times New Roman" w:hAnsi="Times New Roman"/>
                <w:sz w:val="24"/>
                <w:szCs w:val="24"/>
              </w:rPr>
              <w:t xml:space="preserve">nodrošināšanai, kā arī papildpasākumu īstenošanai </w:t>
            </w:r>
            <w:r w:rsidR="006E1A19">
              <w:rPr>
                <w:rFonts w:ascii="Times New Roman" w:hAnsi="Times New Roman"/>
                <w:sz w:val="24"/>
                <w:szCs w:val="24"/>
              </w:rPr>
              <w:t xml:space="preserve">2 0145 261 </w:t>
            </w:r>
            <w:proofErr w:type="spellStart"/>
            <w:r w:rsidR="006E1A19">
              <w:rPr>
                <w:rFonts w:ascii="Times New Roman" w:hAnsi="Times New Roman"/>
                <w:sz w:val="24"/>
                <w:szCs w:val="24"/>
              </w:rPr>
              <w:t>euro</w:t>
            </w:r>
            <w:proofErr w:type="spellEnd"/>
            <w:r w:rsidR="006E1A19" w:rsidRPr="005F2A1C">
              <w:rPr>
                <w:rFonts w:ascii="Times New Roman" w:hAnsi="Times New Roman"/>
                <w:sz w:val="24"/>
                <w:szCs w:val="24"/>
              </w:rPr>
              <w:t xml:space="preserve"> </w:t>
            </w:r>
            <w:r w:rsidR="008E61EE" w:rsidRPr="00B12BC6">
              <w:rPr>
                <w:rFonts w:ascii="Times New Roman" w:hAnsi="Times New Roman"/>
                <w:sz w:val="24"/>
                <w:szCs w:val="24"/>
              </w:rPr>
              <w:t xml:space="preserve">tiks nodrošināts SIF </w:t>
            </w:r>
            <w:r w:rsidR="00394C8D" w:rsidRPr="00B12BC6">
              <w:rPr>
                <w:rFonts w:ascii="Times New Roman" w:hAnsi="Times New Roman"/>
                <w:sz w:val="24"/>
                <w:szCs w:val="24"/>
              </w:rPr>
              <w:t>Fonda</w:t>
            </w:r>
            <w:r w:rsidR="008E61EE" w:rsidRPr="00B12BC6">
              <w:rPr>
                <w:rFonts w:ascii="Times New Roman" w:hAnsi="Times New Roman"/>
                <w:sz w:val="24"/>
                <w:szCs w:val="24"/>
              </w:rPr>
              <w:t xml:space="preserve"> pasākumu īstenošanai plānotā finansējuma ietvaros atbilstoši SIF pamatbudžet</w:t>
            </w:r>
            <w:r w:rsidR="00EA0E67">
              <w:rPr>
                <w:rFonts w:ascii="Times New Roman" w:hAnsi="Times New Roman"/>
                <w:sz w:val="24"/>
                <w:szCs w:val="24"/>
              </w:rPr>
              <w:t>ā</w:t>
            </w:r>
            <w:r w:rsidR="008E61EE" w:rsidRPr="00B12BC6">
              <w:rPr>
                <w:rFonts w:ascii="Times New Roman" w:hAnsi="Times New Roman"/>
                <w:sz w:val="24"/>
                <w:szCs w:val="24"/>
              </w:rPr>
              <w:t xml:space="preserve"> </w:t>
            </w:r>
            <w:r w:rsidR="00394C8D" w:rsidRPr="00B12BC6">
              <w:rPr>
                <w:rFonts w:ascii="Times New Roman" w:hAnsi="Times New Roman"/>
                <w:sz w:val="24"/>
                <w:szCs w:val="24"/>
              </w:rPr>
              <w:t>un darbības programmā paredzētajam.</w:t>
            </w:r>
          </w:p>
          <w:p w14:paraId="625E326C" w14:textId="174168B8" w:rsidR="002F7A53" w:rsidRPr="00B12BC6" w:rsidRDefault="002F7A53" w:rsidP="00A60DFD">
            <w:pPr>
              <w:pStyle w:val="ListParagraph"/>
              <w:numPr>
                <w:ilvl w:val="1"/>
                <w:numId w:val="30"/>
              </w:numPr>
              <w:spacing w:after="0"/>
              <w:ind w:left="357" w:right="113" w:hanging="357"/>
              <w:jc w:val="both"/>
              <w:rPr>
                <w:rFonts w:ascii="Times New Roman" w:hAnsi="Times New Roman"/>
                <w:bCs/>
                <w:sz w:val="24"/>
                <w:szCs w:val="24"/>
              </w:rPr>
            </w:pPr>
            <w:r w:rsidRPr="00B12BC6">
              <w:rPr>
                <w:rFonts w:ascii="Times New Roman" w:hAnsi="Times New Roman"/>
                <w:sz w:val="24"/>
                <w:szCs w:val="24"/>
              </w:rPr>
              <w:t xml:space="preserve">Pavisam kopā pasākumiem pārtikas un pamata materiālās palīdzības nodrošināšanai </w:t>
            </w:r>
            <w:r w:rsidR="008C1FF4" w:rsidRPr="00B12BC6">
              <w:rPr>
                <w:rFonts w:ascii="Times New Roman" w:hAnsi="Times New Roman"/>
                <w:sz w:val="24"/>
                <w:szCs w:val="24"/>
              </w:rPr>
              <w:t>zemu ienākumu mājsaimniecībām</w:t>
            </w:r>
            <w:r w:rsidRPr="00B12BC6">
              <w:rPr>
                <w:rFonts w:ascii="Times New Roman" w:hAnsi="Times New Roman"/>
                <w:sz w:val="24"/>
                <w:szCs w:val="24"/>
              </w:rPr>
              <w:t xml:space="preserve"> </w:t>
            </w:r>
            <w:r w:rsidR="00BE62AD" w:rsidRPr="00B12BC6">
              <w:rPr>
                <w:rFonts w:ascii="Times New Roman" w:hAnsi="Times New Roman"/>
                <w:sz w:val="24"/>
                <w:szCs w:val="24"/>
              </w:rPr>
              <w:t>2020</w:t>
            </w:r>
            <w:r w:rsidRPr="00B12BC6">
              <w:rPr>
                <w:rFonts w:ascii="Times New Roman" w:hAnsi="Times New Roman"/>
                <w:sz w:val="24"/>
                <w:szCs w:val="24"/>
              </w:rPr>
              <w:t xml:space="preserve">. gadam un </w:t>
            </w:r>
            <w:r w:rsidR="00BE62AD" w:rsidRPr="00B12BC6">
              <w:rPr>
                <w:rFonts w:ascii="Times New Roman" w:hAnsi="Times New Roman"/>
                <w:sz w:val="24"/>
                <w:szCs w:val="24"/>
              </w:rPr>
              <w:t>2021.–2022. </w:t>
            </w:r>
            <w:r w:rsidRPr="00B12BC6">
              <w:rPr>
                <w:rFonts w:ascii="Times New Roman" w:hAnsi="Times New Roman"/>
                <w:sz w:val="24"/>
                <w:szCs w:val="24"/>
              </w:rPr>
              <w:t>gadam darbības programmā paredzēts</w:t>
            </w:r>
            <w:r w:rsidRPr="00B12BC6">
              <w:rPr>
                <w:rFonts w:ascii="Times New Roman" w:hAnsi="Times New Roman"/>
                <w:b/>
                <w:sz w:val="24"/>
                <w:szCs w:val="24"/>
              </w:rPr>
              <w:t xml:space="preserve"> </w:t>
            </w:r>
            <w:r w:rsidRPr="00B12BC6">
              <w:rPr>
                <w:rFonts w:ascii="Times New Roman" w:hAnsi="Times New Roman"/>
                <w:sz w:val="24"/>
                <w:szCs w:val="24"/>
              </w:rPr>
              <w:t>un valsts budžeta bāzes izdevumos plānots SIF –</w:t>
            </w:r>
            <w:r w:rsidR="008C1FF4" w:rsidRPr="00B12BC6">
              <w:rPr>
                <w:rFonts w:ascii="Times New Roman" w:hAnsi="Times New Roman"/>
                <w:sz w:val="24"/>
                <w:szCs w:val="24"/>
              </w:rPr>
              <w:t xml:space="preserve"> </w:t>
            </w:r>
            <w:r w:rsidRPr="00B12BC6">
              <w:rPr>
                <w:rFonts w:ascii="Times New Roman" w:hAnsi="Times New Roman"/>
                <w:sz w:val="24"/>
                <w:szCs w:val="24"/>
              </w:rPr>
              <w:t>finansējums precēm un pakalpojumiem 2</w:t>
            </w:r>
            <w:r w:rsidR="00BE62AD" w:rsidRPr="00B12BC6">
              <w:rPr>
                <w:rFonts w:ascii="Times New Roman" w:hAnsi="Times New Roman"/>
                <w:sz w:val="24"/>
                <w:szCs w:val="24"/>
              </w:rPr>
              <w:t>0</w:t>
            </w:r>
            <w:r w:rsidRPr="00B12BC6">
              <w:rPr>
                <w:rFonts w:ascii="Times New Roman" w:hAnsi="Times New Roman"/>
                <w:sz w:val="24"/>
                <w:szCs w:val="24"/>
              </w:rPr>
              <w:t> </w:t>
            </w:r>
            <w:r w:rsidR="00BE62AD" w:rsidRPr="00B12BC6">
              <w:rPr>
                <w:rFonts w:ascii="Times New Roman" w:hAnsi="Times New Roman"/>
                <w:sz w:val="24"/>
                <w:szCs w:val="24"/>
              </w:rPr>
              <w:t>978</w:t>
            </w:r>
            <w:r w:rsidRPr="00B12BC6">
              <w:rPr>
                <w:rFonts w:ascii="Times New Roman" w:hAnsi="Times New Roman"/>
                <w:sz w:val="24"/>
                <w:szCs w:val="24"/>
              </w:rPr>
              <w:t> </w:t>
            </w:r>
            <w:r w:rsidR="00BE62AD" w:rsidRPr="00B12BC6">
              <w:rPr>
                <w:rFonts w:ascii="Times New Roman" w:hAnsi="Times New Roman"/>
                <w:sz w:val="24"/>
                <w:szCs w:val="24"/>
              </w:rPr>
              <w:t>900</w:t>
            </w:r>
            <w:r w:rsidRPr="00B12BC6">
              <w:rPr>
                <w:rFonts w:ascii="Times New Roman" w:hAnsi="Times New Roman"/>
                <w:sz w:val="24"/>
                <w:szCs w:val="24"/>
              </w:rPr>
              <w:t xml:space="preserve"> </w:t>
            </w:r>
            <w:proofErr w:type="spellStart"/>
            <w:r w:rsidR="00553D35" w:rsidRPr="00C721C9">
              <w:rPr>
                <w:rFonts w:ascii="Times New Roman" w:hAnsi="Times New Roman"/>
                <w:i/>
                <w:sz w:val="24"/>
                <w:szCs w:val="24"/>
              </w:rPr>
              <w:t>euro</w:t>
            </w:r>
            <w:proofErr w:type="spellEnd"/>
            <w:r w:rsidRPr="00B12BC6">
              <w:rPr>
                <w:rFonts w:ascii="Times New Roman" w:hAnsi="Times New Roman"/>
                <w:sz w:val="24"/>
                <w:szCs w:val="24"/>
              </w:rPr>
              <w:t xml:space="preserve"> (skatīt </w:t>
            </w:r>
            <w:r w:rsidR="00DF58AD" w:rsidRPr="00B12BC6">
              <w:rPr>
                <w:rFonts w:ascii="Times New Roman" w:hAnsi="Times New Roman"/>
                <w:sz w:val="24"/>
                <w:szCs w:val="24"/>
              </w:rPr>
              <w:t>1</w:t>
            </w:r>
            <w:r w:rsidRPr="00B12BC6">
              <w:rPr>
                <w:rFonts w:ascii="Times New Roman" w:hAnsi="Times New Roman"/>
                <w:sz w:val="24"/>
                <w:szCs w:val="24"/>
              </w:rPr>
              <w:t>. tabulā).</w:t>
            </w:r>
          </w:p>
          <w:p w14:paraId="52C14B0D" w14:textId="72370282" w:rsidR="002F7A53" w:rsidRPr="00945FFE" w:rsidRDefault="00DF58AD" w:rsidP="00A60DFD">
            <w:pPr>
              <w:pStyle w:val="FootnoteText"/>
              <w:spacing w:line="276" w:lineRule="auto"/>
              <w:ind w:left="-113" w:right="34"/>
              <w:jc w:val="right"/>
              <w:rPr>
                <w:sz w:val="24"/>
                <w:szCs w:val="24"/>
              </w:rPr>
            </w:pPr>
            <w:r>
              <w:rPr>
                <w:sz w:val="24"/>
                <w:szCs w:val="24"/>
              </w:rPr>
              <w:t>1</w:t>
            </w:r>
            <w:r w:rsidR="002F7A53" w:rsidRPr="00945FFE">
              <w:rPr>
                <w:sz w:val="24"/>
                <w:szCs w:val="24"/>
              </w:rPr>
              <w:t>. tabula</w:t>
            </w:r>
          </w:p>
          <w:tbl>
            <w:tblPr>
              <w:tblStyle w:val="TableGrid"/>
              <w:tblW w:w="4694" w:type="pct"/>
              <w:jc w:val="center"/>
              <w:tblLook w:val="04A0" w:firstRow="1" w:lastRow="0" w:firstColumn="1" w:lastColumn="0" w:noHBand="0" w:noVBand="1"/>
            </w:tblPr>
            <w:tblGrid>
              <w:gridCol w:w="3314"/>
              <w:gridCol w:w="2185"/>
            </w:tblGrid>
            <w:tr w:rsidR="002F7A53" w:rsidRPr="00945FFE" w14:paraId="7FE753DA" w14:textId="77777777" w:rsidTr="001A4159">
              <w:trPr>
                <w:trHeight w:val="101"/>
                <w:jc w:val="center"/>
              </w:trPr>
              <w:tc>
                <w:tcPr>
                  <w:tcW w:w="3303" w:type="pct"/>
                  <w:shd w:val="clear" w:color="auto" w:fill="auto"/>
                </w:tcPr>
                <w:p w14:paraId="5C690830" w14:textId="77777777" w:rsidR="002F7A53" w:rsidRPr="00945FFE" w:rsidRDefault="002F7A53" w:rsidP="00A60DFD">
                  <w:pPr>
                    <w:pStyle w:val="FootnoteText"/>
                    <w:spacing w:line="276" w:lineRule="auto"/>
                    <w:rPr>
                      <w:sz w:val="24"/>
                      <w:szCs w:val="24"/>
                    </w:rPr>
                  </w:pPr>
                </w:p>
              </w:tc>
              <w:tc>
                <w:tcPr>
                  <w:tcW w:w="1697" w:type="pct"/>
                  <w:shd w:val="clear" w:color="auto" w:fill="auto"/>
                </w:tcPr>
                <w:p w14:paraId="446C0ACE" w14:textId="5C4CD5A2" w:rsidR="002F7A53" w:rsidRPr="00945FFE" w:rsidRDefault="002F7A53" w:rsidP="00A60DFD">
                  <w:pPr>
                    <w:pStyle w:val="FootnoteText"/>
                    <w:spacing w:line="276" w:lineRule="auto"/>
                    <w:ind w:left="-113"/>
                    <w:jc w:val="center"/>
                    <w:rPr>
                      <w:sz w:val="24"/>
                      <w:szCs w:val="24"/>
                    </w:rPr>
                  </w:pPr>
                  <w:r w:rsidRPr="00945FFE">
                    <w:rPr>
                      <w:sz w:val="24"/>
                      <w:szCs w:val="24"/>
                    </w:rPr>
                    <w:t xml:space="preserve">Finansējums, </w:t>
                  </w:r>
                  <w:proofErr w:type="spellStart"/>
                  <w:r w:rsidR="00C721C9" w:rsidRPr="00C721C9">
                    <w:rPr>
                      <w:i/>
                      <w:sz w:val="24"/>
                      <w:szCs w:val="24"/>
                    </w:rPr>
                    <w:t>euro</w:t>
                  </w:r>
                  <w:proofErr w:type="spellEnd"/>
                </w:p>
              </w:tc>
            </w:tr>
            <w:tr w:rsidR="002F7A53" w:rsidRPr="00945FFE" w14:paraId="41028666" w14:textId="77777777" w:rsidTr="001A4159">
              <w:trPr>
                <w:trHeight w:val="101"/>
                <w:jc w:val="center"/>
              </w:trPr>
              <w:tc>
                <w:tcPr>
                  <w:tcW w:w="3303" w:type="pct"/>
                  <w:shd w:val="clear" w:color="auto" w:fill="auto"/>
                </w:tcPr>
                <w:p w14:paraId="6888DC49" w14:textId="77777777" w:rsidR="002F7A53" w:rsidRPr="00945FFE" w:rsidRDefault="002F7A53" w:rsidP="00A60DFD">
                  <w:pPr>
                    <w:pStyle w:val="FootnoteText"/>
                    <w:spacing w:line="276" w:lineRule="auto"/>
                    <w:rPr>
                      <w:sz w:val="24"/>
                      <w:szCs w:val="24"/>
                    </w:rPr>
                  </w:pPr>
                  <w:r w:rsidRPr="00945FFE">
                    <w:rPr>
                      <w:sz w:val="24"/>
                      <w:szCs w:val="24"/>
                    </w:rPr>
                    <w:t>Paredzēts Darbības programmā (DP) kopā</w:t>
                  </w:r>
                </w:p>
              </w:tc>
              <w:tc>
                <w:tcPr>
                  <w:tcW w:w="1697" w:type="pct"/>
                  <w:shd w:val="clear" w:color="auto" w:fill="auto"/>
                </w:tcPr>
                <w:p w14:paraId="6577D3BA" w14:textId="77777777" w:rsidR="002F7A53" w:rsidRPr="00945FFE" w:rsidRDefault="002F7A53" w:rsidP="00A60DFD">
                  <w:pPr>
                    <w:pStyle w:val="FootnoteText"/>
                    <w:tabs>
                      <w:tab w:val="left" w:pos="376"/>
                    </w:tabs>
                    <w:spacing w:line="276" w:lineRule="auto"/>
                    <w:ind w:left="-113" w:right="406"/>
                    <w:jc w:val="right"/>
                    <w:rPr>
                      <w:b/>
                      <w:iCs/>
                      <w:sz w:val="24"/>
                      <w:szCs w:val="24"/>
                    </w:rPr>
                  </w:pPr>
                  <w:r w:rsidRPr="00945FFE">
                    <w:rPr>
                      <w:b/>
                      <w:iCs/>
                      <w:sz w:val="24"/>
                      <w:szCs w:val="24"/>
                    </w:rPr>
                    <w:t xml:space="preserve">45 850 878 </w:t>
                  </w:r>
                </w:p>
              </w:tc>
            </w:tr>
            <w:tr w:rsidR="002F7A53" w:rsidRPr="00945FFE" w14:paraId="6138FC74" w14:textId="77777777" w:rsidTr="001A4159">
              <w:trPr>
                <w:trHeight w:val="165"/>
                <w:jc w:val="center"/>
              </w:trPr>
              <w:tc>
                <w:tcPr>
                  <w:tcW w:w="3303" w:type="pct"/>
                  <w:shd w:val="clear" w:color="auto" w:fill="auto"/>
                </w:tcPr>
                <w:p w14:paraId="18EACC40" w14:textId="3351C710" w:rsidR="002F7A53" w:rsidRPr="00945FFE" w:rsidRDefault="002F7A53" w:rsidP="00A60DFD">
                  <w:pPr>
                    <w:pStyle w:val="FootnoteText"/>
                    <w:spacing w:line="276" w:lineRule="auto"/>
                    <w:rPr>
                      <w:sz w:val="24"/>
                      <w:szCs w:val="24"/>
                    </w:rPr>
                  </w:pPr>
                  <w:r w:rsidRPr="00945FFE">
                    <w:rPr>
                      <w:sz w:val="24"/>
                      <w:szCs w:val="24"/>
                    </w:rPr>
                    <w:t>Valsts budžetā līdz 2020. gadam</w:t>
                  </w:r>
                </w:p>
              </w:tc>
              <w:tc>
                <w:tcPr>
                  <w:tcW w:w="1697" w:type="pct"/>
                  <w:shd w:val="clear" w:color="auto" w:fill="auto"/>
                </w:tcPr>
                <w:p w14:paraId="02AA7AE3" w14:textId="07856A30" w:rsidR="002F7A53" w:rsidRPr="00945FFE" w:rsidRDefault="00466FB3" w:rsidP="00A60DFD">
                  <w:pPr>
                    <w:pStyle w:val="FootnoteText"/>
                    <w:tabs>
                      <w:tab w:val="left" w:pos="376"/>
                    </w:tabs>
                    <w:spacing w:line="276" w:lineRule="auto"/>
                    <w:ind w:left="-113" w:right="406"/>
                    <w:jc w:val="right"/>
                    <w:rPr>
                      <w:sz w:val="24"/>
                      <w:szCs w:val="24"/>
                    </w:rPr>
                  </w:pPr>
                  <w:r w:rsidRPr="00945FFE">
                    <w:rPr>
                      <w:sz w:val="24"/>
                      <w:szCs w:val="24"/>
                    </w:rPr>
                    <w:t>24 871 978</w:t>
                  </w:r>
                </w:p>
              </w:tc>
            </w:tr>
            <w:tr w:rsidR="002F7A53" w:rsidRPr="00945FFE" w14:paraId="7B7BC91A" w14:textId="77777777" w:rsidTr="001A4159">
              <w:trPr>
                <w:trHeight w:val="165"/>
                <w:jc w:val="center"/>
              </w:trPr>
              <w:tc>
                <w:tcPr>
                  <w:tcW w:w="3303" w:type="pct"/>
                  <w:shd w:val="clear" w:color="auto" w:fill="auto"/>
                </w:tcPr>
                <w:p w14:paraId="6239CB80" w14:textId="069DB4A8" w:rsidR="002F7A53" w:rsidRPr="00945FFE" w:rsidRDefault="002F7A53" w:rsidP="00A60DFD">
                  <w:pPr>
                    <w:pStyle w:val="FootnoteText"/>
                    <w:spacing w:line="276" w:lineRule="auto"/>
                    <w:rPr>
                      <w:sz w:val="24"/>
                      <w:szCs w:val="24"/>
                    </w:rPr>
                  </w:pPr>
                  <w:r w:rsidRPr="00945FFE">
                    <w:rPr>
                      <w:sz w:val="24"/>
                      <w:szCs w:val="24"/>
                    </w:rPr>
                    <w:t>2020. gadā</w:t>
                  </w:r>
                </w:p>
              </w:tc>
              <w:tc>
                <w:tcPr>
                  <w:tcW w:w="1697" w:type="pct"/>
                  <w:shd w:val="clear" w:color="auto" w:fill="auto"/>
                </w:tcPr>
                <w:p w14:paraId="5E40EAC7" w14:textId="50DFD23D" w:rsidR="002F7A53" w:rsidRPr="00945FFE" w:rsidRDefault="00466FB3" w:rsidP="00A60DFD">
                  <w:pPr>
                    <w:pStyle w:val="FootnoteText"/>
                    <w:tabs>
                      <w:tab w:val="left" w:pos="376"/>
                    </w:tabs>
                    <w:spacing w:line="276" w:lineRule="auto"/>
                    <w:ind w:left="602" w:right="406"/>
                    <w:jc w:val="right"/>
                    <w:rPr>
                      <w:sz w:val="24"/>
                      <w:szCs w:val="24"/>
                    </w:rPr>
                  </w:pPr>
                  <w:r w:rsidRPr="00945FFE">
                    <w:rPr>
                      <w:sz w:val="24"/>
                      <w:szCs w:val="24"/>
                    </w:rPr>
                    <w:t>8 994 933</w:t>
                  </w:r>
                </w:p>
              </w:tc>
            </w:tr>
            <w:tr w:rsidR="002F7A53" w:rsidRPr="00945FFE" w14:paraId="20FEBB01" w14:textId="77777777" w:rsidTr="001A4159">
              <w:trPr>
                <w:trHeight w:val="211"/>
                <w:jc w:val="center"/>
              </w:trPr>
              <w:tc>
                <w:tcPr>
                  <w:tcW w:w="3303" w:type="pct"/>
                  <w:shd w:val="clear" w:color="auto" w:fill="auto"/>
                </w:tcPr>
                <w:p w14:paraId="56DEF177" w14:textId="605681D3" w:rsidR="002F7A53" w:rsidRPr="00945FFE" w:rsidRDefault="002F7A53" w:rsidP="00A60DFD">
                  <w:pPr>
                    <w:pStyle w:val="FootnoteText"/>
                    <w:spacing w:line="276" w:lineRule="auto"/>
                    <w:rPr>
                      <w:sz w:val="24"/>
                      <w:szCs w:val="24"/>
                    </w:rPr>
                  </w:pPr>
                  <w:r w:rsidRPr="00945FFE">
                    <w:rPr>
                      <w:sz w:val="24"/>
                      <w:szCs w:val="24"/>
                    </w:rPr>
                    <w:t>2021. gadā</w:t>
                  </w:r>
                </w:p>
              </w:tc>
              <w:tc>
                <w:tcPr>
                  <w:tcW w:w="1697" w:type="pct"/>
                  <w:shd w:val="clear" w:color="auto" w:fill="auto"/>
                </w:tcPr>
                <w:p w14:paraId="41E2485C" w14:textId="40BA8651" w:rsidR="002F7A53" w:rsidRPr="00945FFE" w:rsidRDefault="00466FB3" w:rsidP="00A60DFD">
                  <w:pPr>
                    <w:pStyle w:val="FootnoteText"/>
                    <w:tabs>
                      <w:tab w:val="left" w:pos="376"/>
                    </w:tabs>
                    <w:spacing w:line="276" w:lineRule="auto"/>
                    <w:ind w:left="-113" w:right="406"/>
                    <w:jc w:val="right"/>
                    <w:rPr>
                      <w:sz w:val="24"/>
                      <w:szCs w:val="24"/>
                    </w:rPr>
                  </w:pPr>
                  <w:r w:rsidRPr="00945FFE">
                    <w:rPr>
                      <w:iCs/>
                      <w:sz w:val="24"/>
                      <w:szCs w:val="24"/>
                    </w:rPr>
                    <w:t>7</w:t>
                  </w:r>
                  <w:r w:rsidR="002F7A53" w:rsidRPr="00945FFE">
                    <w:rPr>
                      <w:iCs/>
                      <w:sz w:val="24"/>
                      <w:szCs w:val="24"/>
                    </w:rPr>
                    <w:t> </w:t>
                  </w:r>
                  <w:r w:rsidRPr="00945FFE">
                    <w:rPr>
                      <w:iCs/>
                      <w:sz w:val="24"/>
                      <w:szCs w:val="24"/>
                    </w:rPr>
                    <w:t>130</w:t>
                  </w:r>
                  <w:r w:rsidR="002F7A53" w:rsidRPr="00945FFE">
                    <w:rPr>
                      <w:iCs/>
                      <w:sz w:val="24"/>
                      <w:szCs w:val="24"/>
                    </w:rPr>
                    <w:t> </w:t>
                  </w:r>
                  <w:r w:rsidRPr="00945FFE">
                    <w:rPr>
                      <w:iCs/>
                      <w:sz w:val="24"/>
                      <w:szCs w:val="24"/>
                    </w:rPr>
                    <w:t>528</w:t>
                  </w:r>
                </w:p>
              </w:tc>
            </w:tr>
            <w:tr w:rsidR="002F7A53" w:rsidRPr="00945FFE" w14:paraId="47080960" w14:textId="77777777" w:rsidTr="001A4159">
              <w:trPr>
                <w:trHeight w:val="165"/>
                <w:jc w:val="center"/>
              </w:trPr>
              <w:tc>
                <w:tcPr>
                  <w:tcW w:w="3303" w:type="pct"/>
                  <w:shd w:val="clear" w:color="auto" w:fill="auto"/>
                </w:tcPr>
                <w:p w14:paraId="6BC6F296" w14:textId="62FFE244" w:rsidR="002F7A53" w:rsidRPr="00945FFE" w:rsidRDefault="002F7A53" w:rsidP="00A60DFD">
                  <w:pPr>
                    <w:pStyle w:val="FootnoteText"/>
                    <w:spacing w:line="276" w:lineRule="auto"/>
                    <w:rPr>
                      <w:b/>
                      <w:sz w:val="24"/>
                      <w:szCs w:val="24"/>
                    </w:rPr>
                  </w:pPr>
                  <w:r w:rsidRPr="00945FFE">
                    <w:rPr>
                      <w:b/>
                      <w:sz w:val="24"/>
                      <w:szCs w:val="24"/>
                    </w:rPr>
                    <w:t>kopā 2020.-202</w:t>
                  </w:r>
                  <w:r w:rsidR="00466FB3" w:rsidRPr="00945FFE">
                    <w:rPr>
                      <w:b/>
                      <w:sz w:val="24"/>
                      <w:szCs w:val="24"/>
                    </w:rPr>
                    <w:t>1</w:t>
                  </w:r>
                  <w:r w:rsidR="00DF58AD">
                    <w:rPr>
                      <w:b/>
                      <w:sz w:val="24"/>
                      <w:szCs w:val="24"/>
                    </w:rPr>
                    <w:t>.</w:t>
                  </w:r>
                  <w:r w:rsidR="00DF58AD" w:rsidRPr="00945FFE">
                    <w:rPr>
                      <w:b/>
                      <w:sz w:val="24"/>
                      <w:szCs w:val="24"/>
                    </w:rPr>
                    <w:t xml:space="preserve"> </w:t>
                  </w:r>
                  <w:r w:rsidRPr="00945FFE">
                    <w:rPr>
                      <w:b/>
                      <w:sz w:val="24"/>
                      <w:szCs w:val="24"/>
                    </w:rPr>
                    <w:t>gadā</w:t>
                  </w:r>
                </w:p>
              </w:tc>
              <w:tc>
                <w:tcPr>
                  <w:tcW w:w="1697" w:type="pct"/>
                  <w:shd w:val="clear" w:color="auto" w:fill="auto"/>
                </w:tcPr>
                <w:p w14:paraId="4A55576F" w14:textId="27CD6809" w:rsidR="002F7A53" w:rsidRPr="00945FFE" w:rsidRDefault="00466FB3" w:rsidP="00A60DFD">
                  <w:pPr>
                    <w:pStyle w:val="FootnoteText"/>
                    <w:tabs>
                      <w:tab w:val="left" w:pos="376"/>
                    </w:tabs>
                    <w:spacing w:line="276" w:lineRule="auto"/>
                    <w:ind w:left="-113" w:right="406"/>
                    <w:jc w:val="right"/>
                    <w:rPr>
                      <w:b/>
                      <w:iCs/>
                      <w:sz w:val="24"/>
                      <w:szCs w:val="24"/>
                    </w:rPr>
                  </w:pPr>
                  <w:r w:rsidRPr="00945FFE">
                    <w:rPr>
                      <w:b/>
                      <w:sz w:val="24"/>
                      <w:szCs w:val="24"/>
                    </w:rPr>
                    <w:t>16</w:t>
                  </w:r>
                  <w:r w:rsidR="002F7A53" w:rsidRPr="00945FFE">
                    <w:rPr>
                      <w:b/>
                      <w:sz w:val="24"/>
                      <w:szCs w:val="24"/>
                    </w:rPr>
                    <w:t> </w:t>
                  </w:r>
                  <w:r w:rsidRPr="00945FFE">
                    <w:rPr>
                      <w:b/>
                      <w:sz w:val="24"/>
                      <w:szCs w:val="24"/>
                    </w:rPr>
                    <w:t>125</w:t>
                  </w:r>
                  <w:r w:rsidR="002F7A53" w:rsidRPr="00945FFE">
                    <w:rPr>
                      <w:b/>
                      <w:sz w:val="24"/>
                      <w:szCs w:val="24"/>
                    </w:rPr>
                    <w:t> </w:t>
                  </w:r>
                  <w:r w:rsidRPr="00945FFE">
                    <w:rPr>
                      <w:b/>
                      <w:sz w:val="24"/>
                      <w:szCs w:val="24"/>
                    </w:rPr>
                    <w:t>461</w:t>
                  </w:r>
                </w:p>
              </w:tc>
            </w:tr>
            <w:tr w:rsidR="002F7A53" w:rsidRPr="00945FFE" w14:paraId="3C32DA1D" w14:textId="77777777" w:rsidTr="001A4159">
              <w:trPr>
                <w:trHeight w:val="77"/>
                <w:jc w:val="center"/>
              </w:trPr>
              <w:tc>
                <w:tcPr>
                  <w:tcW w:w="3303" w:type="pct"/>
                  <w:shd w:val="clear" w:color="auto" w:fill="auto"/>
                </w:tcPr>
                <w:p w14:paraId="1A5C8FBA" w14:textId="57B243F9" w:rsidR="002F7A53" w:rsidRPr="00945FFE" w:rsidRDefault="00466FB3" w:rsidP="00A60DFD">
                  <w:pPr>
                    <w:pStyle w:val="FootnoteText"/>
                    <w:spacing w:line="276" w:lineRule="auto"/>
                    <w:jc w:val="left"/>
                    <w:rPr>
                      <w:b/>
                      <w:sz w:val="24"/>
                      <w:szCs w:val="24"/>
                    </w:rPr>
                  </w:pPr>
                  <w:r w:rsidRPr="00945FFE">
                    <w:rPr>
                      <w:sz w:val="24"/>
                      <w:szCs w:val="24"/>
                    </w:rPr>
                    <w:t>2022. gadā un l</w:t>
                  </w:r>
                  <w:r w:rsidR="002F7A53" w:rsidRPr="00945FFE">
                    <w:rPr>
                      <w:sz w:val="24"/>
                      <w:szCs w:val="24"/>
                    </w:rPr>
                    <w:t>īdz DP ieviešanas beigām*</w:t>
                  </w:r>
                </w:p>
              </w:tc>
              <w:tc>
                <w:tcPr>
                  <w:tcW w:w="1697" w:type="pct"/>
                  <w:shd w:val="clear" w:color="auto" w:fill="auto"/>
                </w:tcPr>
                <w:p w14:paraId="6C02A2F7" w14:textId="7C0BACCB" w:rsidR="002F7A53" w:rsidRPr="00945FFE" w:rsidRDefault="00466FB3" w:rsidP="00A60DFD">
                  <w:pPr>
                    <w:pStyle w:val="FootnoteText"/>
                    <w:tabs>
                      <w:tab w:val="left" w:pos="376"/>
                    </w:tabs>
                    <w:spacing w:line="276" w:lineRule="auto"/>
                    <w:ind w:left="-113" w:right="406"/>
                    <w:jc w:val="right"/>
                    <w:rPr>
                      <w:sz w:val="24"/>
                      <w:szCs w:val="24"/>
                    </w:rPr>
                  </w:pPr>
                  <w:r w:rsidRPr="00945FFE">
                    <w:rPr>
                      <w:sz w:val="24"/>
                      <w:szCs w:val="24"/>
                    </w:rPr>
                    <w:t>4 </w:t>
                  </w:r>
                  <w:r w:rsidR="002F7A53" w:rsidRPr="00945FFE">
                    <w:rPr>
                      <w:sz w:val="24"/>
                      <w:szCs w:val="24"/>
                    </w:rPr>
                    <w:t>8</w:t>
                  </w:r>
                  <w:r w:rsidRPr="00945FFE">
                    <w:rPr>
                      <w:sz w:val="24"/>
                      <w:szCs w:val="24"/>
                    </w:rPr>
                    <w:t>53 </w:t>
                  </w:r>
                  <w:r w:rsidR="00BE62AD" w:rsidRPr="00945FFE">
                    <w:rPr>
                      <w:sz w:val="24"/>
                      <w:szCs w:val="24"/>
                    </w:rPr>
                    <w:t>439</w:t>
                  </w:r>
                </w:p>
              </w:tc>
            </w:tr>
          </w:tbl>
          <w:p w14:paraId="00117BAA" w14:textId="770C5665" w:rsidR="002F7A53" w:rsidRPr="00E827E0" w:rsidRDefault="002F7A53" w:rsidP="00A60DFD">
            <w:pPr>
              <w:pStyle w:val="ListParagraph"/>
              <w:tabs>
                <w:tab w:val="left" w:pos="519"/>
              </w:tabs>
              <w:spacing w:after="0"/>
              <w:ind w:left="357" w:right="34"/>
              <w:jc w:val="both"/>
              <w:rPr>
                <w:b/>
              </w:rPr>
            </w:pPr>
            <w:r w:rsidRPr="00945FFE">
              <w:rPr>
                <w:rFonts w:ascii="Times New Roman" w:hAnsi="Times New Roman"/>
                <w:sz w:val="20"/>
                <w:szCs w:val="20"/>
              </w:rPr>
              <w:t>*Finansējums līdz darbības programmas ieviešanas beigām norādīts indikatīvi, atbilstoši darbības programmā paredzētajam, nevis valsts budžetā ieplānotajam</w:t>
            </w:r>
          </w:p>
        </w:tc>
      </w:tr>
    </w:tbl>
    <w:p w14:paraId="1F1B61F2" w14:textId="5A115E6D" w:rsidR="00F3231A" w:rsidRPr="00F10A1D" w:rsidRDefault="00F3231A" w:rsidP="001A4159">
      <w:pPr>
        <w:spacing w:line="276" w:lineRule="auto"/>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0"/>
        <w:gridCol w:w="5983"/>
      </w:tblGrid>
      <w:tr w:rsidR="00F10A1D" w:rsidRPr="00F10A1D" w14:paraId="3CE00662" w14:textId="77777777" w:rsidTr="00C721C9">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14:paraId="432D5343" w14:textId="55F396E0" w:rsidR="0058490F" w:rsidRPr="00F10A1D" w:rsidRDefault="0058490F" w:rsidP="005516D9">
            <w:pPr>
              <w:spacing w:line="276" w:lineRule="auto"/>
              <w:jc w:val="center"/>
              <w:rPr>
                <w:b/>
              </w:rPr>
            </w:pPr>
            <w:r w:rsidRPr="00F10A1D">
              <w:rPr>
                <w:b/>
              </w:rPr>
              <w:t>IV. Tiesību akta projekta ietekme uz spēkā esošo tiesību normu sistēmu</w:t>
            </w:r>
          </w:p>
        </w:tc>
      </w:tr>
      <w:tr w:rsidR="00FE6D6D" w:rsidRPr="00FE6D6D" w14:paraId="1B1F5699" w14:textId="77777777" w:rsidTr="00C721C9">
        <w:trPr>
          <w:jc w:val="center"/>
        </w:trPr>
        <w:tc>
          <w:tcPr>
            <w:tcW w:w="396" w:type="dxa"/>
            <w:tcBorders>
              <w:top w:val="single" w:sz="4" w:space="0" w:color="auto"/>
              <w:left w:val="single" w:sz="4" w:space="0" w:color="auto"/>
              <w:bottom w:val="single" w:sz="4" w:space="0" w:color="auto"/>
              <w:right w:val="single" w:sz="4" w:space="0" w:color="auto"/>
            </w:tcBorders>
          </w:tcPr>
          <w:p w14:paraId="51B632B2" w14:textId="24929B4F" w:rsidR="006F5141" w:rsidRPr="00FE6D6D" w:rsidRDefault="006F5141" w:rsidP="005516D9">
            <w:pPr>
              <w:spacing w:line="276" w:lineRule="auto"/>
              <w:jc w:val="center"/>
            </w:pPr>
            <w:r w:rsidRPr="00FE6D6D">
              <w:t>1.</w:t>
            </w:r>
          </w:p>
        </w:tc>
        <w:tc>
          <w:tcPr>
            <w:tcW w:w="2830" w:type="dxa"/>
            <w:tcBorders>
              <w:top w:val="single" w:sz="4" w:space="0" w:color="auto"/>
              <w:left w:val="single" w:sz="4" w:space="0" w:color="auto"/>
              <w:bottom w:val="single" w:sz="4" w:space="0" w:color="auto"/>
              <w:right w:val="single" w:sz="4" w:space="0" w:color="auto"/>
            </w:tcBorders>
          </w:tcPr>
          <w:p w14:paraId="7961BDA8" w14:textId="6AA617CE" w:rsidR="006F5141" w:rsidRPr="00FE6D6D" w:rsidRDefault="006F5141" w:rsidP="001A4159">
            <w:pPr>
              <w:spacing w:line="276" w:lineRule="auto"/>
            </w:pPr>
            <w:r w:rsidRPr="00FE6D6D">
              <w:t>Saistītie tiesību aktu projekti</w:t>
            </w:r>
          </w:p>
        </w:tc>
        <w:tc>
          <w:tcPr>
            <w:tcW w:w="5983" w:type="dxa"/>
            <w:tcBorders>
              <w:top w:val="single" w:sz="4" w:space="0" w:color="auto"/>
              <w:left w:val="single" w:sz="4" w:space="0" w:color="auto"/>
              <w:bottom w:val="single" w:sz="4" w:space="0" w:color="auto"/>
              <w:right w:val="single" w:sz="4" w:space="0" w:color="auto"/>
            </w:tcBorders>
          </w:tcPr>
          <w:p w14:paraId="35B5D0FD" w14:textId="7A9878C2" w:rsidR="006F5141" w:rsidRPr="001A4159" w:rsidRDefault="007710E4" w:rsidP="008C1FF4">
            <w:pPr>
              <w:spacing w:after="120" w:line="276" w:lineRule="auto"/>
            </w:pPr>
            <w:r>
              <w:rPr>
                <w:color w:val="0070C0"/>
              </w:rPr>
              <w:t xml:space="preserve"> </w:t>
            </w:r>
            <w:r w:rsidRPr="00255372">
              <w:t>Noteikumu projekts</w:t>
            </w:r>
            <w:r>
              <w:t xml:space="preserve"> </w:t>
            </w:r>
            <w:r w:rsidRPr="00255372">
              <w:t xml:space="preserve">izstrādāts </w:t>
            </w:r>
            <w:r>
              <w:t>sasaistē ar</w:t>
            </w:r>
            <w:r w:rsidRPr="00255372">
              <w:t xml:space="preserve"> MK</w:t>
            </w:r>
            <w:r w:rsidR="00F9343F" w:rsidRPr="00255372">
              <w:t xml:space="preserve"> noteikumu projekta “Noteikumi par mājsaimniecības materiālās situācijas izvērtēšanu un sociālās palīdzības saņemšanu” </w:t>
            </w:r>
            <w:r w:rsidRPr="008C1FF4">
              <w:t>izstrādi</w:t>
            </w:r>
            <w:r w:rsidR="00B52887" w:rsidRPr="008C1FF4">
              <w:t>.</w:t>
            </w:r>
            <w:r>
              <w:t xml:space="preserve"> </w:t>
            </w:r>
          </w:p>
        </w:tc>
      </w:tr>
      <w:tr w:rsidR="00FE6D6D" w:rsidRPr="00FE6D6D" w14:paraId="5BCBC60E" w14:textId="77777777" w:rsidTr="00C721C9">
        <w:trPr>
          <w:jc w:val="center"/>
        </w:trPr>
        <w:tc>
          <w:tcPr>
            <w:tcW w:w="396" w:type="dxa"/>
            <w:tcBorders>
              <w:top w:val="single" w:sz="4" w:space="0" w:color="auto"/>
              <w:left w:val="single" w:sz="4" w:space="0" w:color="auto"/>
              <w:bottom w:val="single" w:sz="4" w:space="0" w:color="auto"/>
              <w:right w:val="single" w:sz="4" w:space="0" w:color="auto"/>
            </w:tcBorders>
          </w:tcPr>
          <w:p w14:paraId="7FB8292F" w14:textId="275CED42" w:rsidR="006F5141" w:rsidRPr="00FE6D6D" w:rsidRDefault="006F5141" w:rsidP="005516D9">
            <w:pPr>
              <w:spacing w:line="276" w:lineRule="auto"/>
              <w:jc w:val="center"/>
            </w:pPr>
            <w:r w:rsidRPr="00FE6D6D">
              <w:t>2.</w:t>
            </w:r>
          </w:p>
        </w:tc>
        <w:tc>
          <w:tcPr>
            <w:tcW w:w="2830" w:type="dxa"/>
            <w:tcBorders>
              <w:top w:val="single" w:sz="4" w:space="0" w:color="auto"/>
              <w:left w:val="single" w:sz="4" w:space="0" w:color="auto"/>
              <w:bottom w:val="single" w:sz="4" w:space="0" w:color="auto"/>
              <w:right w:val="single" w:sz="4" w:space="0" w:color="auto"/>
            </w:tcBorders>
          </w:tcPr>
          <w:p w14:paraId="1C49F983" w14:textId="63E4351B" w:rsidR="006F5141" w:rsidRPr="00FE6D6D" w:rsidRDefault="006F5141" w:rsidP="001A4159">
            <w:pPr>
              <w:spacing w:line="276" w:lineRule="auto"/>
            </w:pPr>
            <w:r w:rsidRPr="00FE6D6D">
              <w:t>Atbildīgā institūcija</w:t>
            </w:r>
          </w:p>
        </w:tc>
        <w:tc>
          <w:tcPr>
            <w:tcW w:w="5983" w:type="dxa"/>
            <w:tcBorders>
              <w:top w:val="single" w:sz="4" w:space="0" w:color="auto"/>
              <w:left w:val="single" w:sz="4" w:space="0" w:color="auto"/>
              <w:bottom w:val="single" w:sz="4" w:space="0" w:color="auto"/>
              <w:right w:val="single" w:sz="4" w:space="0" w:color="auto"/>
            </w:tcBorders>
          </w:tcPr>
          <w:p w14:paraId="5CF5C678" w14:textId="3E3A57D1" w:rsidR="006F5141" w:rsidRPr="001A4159" w:rsidRDefault="007710E4" w:rsidP="001A4159">
            <w:pPr>
              <w:spacing w:line="276" w:lineRule="auto"/>
              <w:ind w:left="227" w:hanging="227"/>
            </w:pPr>
            <w:r w:rsidRPr="001A4159">
              <w:t>LM</w:t>
            </w:r>
          </w:p>
        </w:tc>
      </w:tr>
      <w:tr w:rsidR="006F5141" w:rsidRPr="00FE6D6D" w14:paraId="0DC2BBDE" w14:textId="77777777" w:rsidTr="00C721C9">
        <w:trPr>
          <w:jc w:val="center"/>
        </w:trPr>
        <w:tc>
          <w:tcPr>
            <w:tcW w:w="396" w:type="dxa"/>
            <w:tcBorders>
              <w:top w:val="single" w:sz="4" w:space="0" w:color="auto"/>
              <w:left w:val="single" w:sz="4" w:space="0" w:color="auto"/>
              <w:bottom w:val="single" w:sz="4" w:space="0" w:color="auto"/>
              <w:right w:val="single" w:sz="4" w:space="0" w:color="auto"/>
            </w:tcBorders>
            <w:hideMark/>
          </w:tcPr>
          <w:p w14:paraId="1F4F485F" w14:textId="3306C25C" w:rsidR="006F5141" w:rsidRPr="00FE6D6D" w:rsidRDefault="006F5141" w:rsidP="005516D9">
            <w:pPr>
              <w:spacing w:line="276" w:lineRule="auto"/>
              <w:jc w:val="center"/>
            </w:pPr>
            <w:r w:rsidRPr="00FE6D6D">
              <w:t>3.</w:t>
            </w:r>
          </w:p>
        </w:tc>
        <w:tc>
          <w:tcPr>
            <w:tcW w:w="2830" w:type="dxa"/>
            <w:tcBorders>
              <w:top w:val="single" w:sz="4" w:space="0" w:color="auto"/>
              <w:left w:val="single" w:sz="4" w:space="0" w:color="auto"/>
              <w:bottom w:val="single" w:sz="4" w:space="0" w:color="auto"/>
              <w:right w:val="single" w:sz="4" w:space="0" w:color="auto"/>
            </w:tcBorders>
          </w:tcPr>
          <w:p w14:paraId="3379E679" w14:textId="31F4C1A9" w:rsidR="006F5141" w:rsidRPr="00FE6D6D" w:rsidRDefault="006F5141" w:rsidP="001A4159">
            <w:pPr>
              <w:spacing w:line="276" w:lineRule="auto"/>
            </w:pPr>
            <w:r w:rsidRPr="00FE6D6D">
              <w:t>Cita informācija</w:t>
            </w:r>
          </w:p>
        </w:tc>
        <w:tc>
          <w:tcPr>
            <w:tcW w:w="5983" w:type="dxa"/>
            <w:tcBorders>
              <w:top w:val="single" w:sz="4" w:space="0" w:color="auto"/>
              <w:left w:val="single" w:sz="4" w:space="0" w:color="auto"/>
              <w:bottom w:val="single" w:sz="4" w:space="0" w:color="auto"/>
              <w:right w:val="single" w:sz="4" w:space="0" w:color="auto"/>
            </w:tcBorders>
          </w:tcPr>
          <w:p w14:paraId="668B6C33" w14:textId="35B13232" w:rsidR="006F5141" w:rsidRPr="001A4159" w:rsidRDefault="006F5141" w:rsidP="001A4159">
            <w:pPr>
              <w:spacing w:line="276" w:lineRule="auto"/>
            </w:pPr>
            <w:r w:rsidRPr="001A4159">
              <w:t>Nav</w:t>
            </w:r>
          </w:p>
        </w:tc>
      </w:tr>
    </w:tbl>
    <w:p w14:paraId="462CA1B5" w14:textId="77777777" w:rsidR="00F3231A" w:rsidRPr="00F10A1D" w:rsidRDefault="00F3231A" w:rsidP="001A4159">
      <w:pPr>
        <w:spacing w:line="276" w:lineRule="auto"/>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259"/>
      </w:tblGrid>
      <w:tr w:rsidR="00FE6D6D" w:rsidRPr="00FE6D6D" w14:paraId="09C20DC0" w14:textId="77777777" w:rsidTr="00DC2782">
        <w:trPr>
          <w:jc w:val="center"/>
        </w:trPr>
        <w:tc>
          <w:tcPr>
            <w:tcW w:w="9229" w:type="dxa"/>
            <w:gridSpan w:val="2"/>
            <w:tcBorders>
              <w:top w:val="single" w:sz="4" w:space="0" w:color="auto"/>
              <w:left w:val="single" w:sz="4" w:space="0" w:color="auto"/>
              <w:bottom w:val="single" w:sz="4" w:space="0" w:color="auto"/>
              <w:right w:val="single" w:sz="4" w:space="0" w:color="auto"/>
            </w:tcBorders>
            <w:hideMark/>
          </w:tcPr>
          <w:p w14:paraId="356BF5D0" w14:textId="77777777" w:rsidR="00F3231A" w:rsidRPr="00FE6D6D" w:rsidRDefault="00F3231A" w:rsidP="005516D9">
            <w:pPr>
              <w:spacing w:line="276" w:lineRule="auto"/>
              <w:jc w:val="center"/>
              <w:rPr>
                <w:b/>
              </w:rPr>
            </w:pPr>
            <w:r w:rsidRPr="00FE6D6D">
              <w:rPr>
                <w:b/>
              </w:rPr>
              <w:t>V. Tiesību akta projekta atbilstība Latvijas Republikas starptautiskajām saistībām</w:t>
            </w:r>
          </w:p>
        </w:tc>
      </w:tr>
      <w:tr w:rsidR="00172CC3" w:rsidRPr="00172CC3" w14:paraId="7A13878E" w14:textId="77777777" w:rsidTr="00DC2782">
        <w:trPr>
          <w:jc w:val="center"/>
        </w:trPr>
        <w:tc>
          <w:tcPr>
            <w:tcW w:w="3970" w:type="dxa"/>
            <w:tcBorders>
              <w:top w:val="single" w:sz="4" w:space="0" w:color="auto"/>
              <w:left w:val="single" w:sz="4" w:space="0" w:color="auto"/>
              <w:bottom w:val="single" w:sz="4" w:space="0" w:color="auto"/>
              <w:right w:val="single" w:sz="4" w:space="0" w:color="auto"/>
            </w:tcBorders>
            <w:hideMark/>
          </w:tcPr>
          <w:p w14:paraId="7496226A" w14:textId="77777777" w:rsidR="00F3231A" w:rsidRPr="00CA6F47" w:rsidRDefault="00F3231A" w:rsidP="005516D9">
            <w:pPr>
              <w:spacing w:line="276" w:lineRule="auto"/>
            </w:pPr>
            <w:r w:rsidRPr="00CA6F47">
              <w:t>Saistības pret Eiropas Savienību</w:t>
            </w:r>
          </w:p>
        </w:tc>
        <w:tc>
          <w:tcPr>
            <w:tcW w:w="5259" w:type="dxa"/>
            <w:tcBorders>
              <w:top w:val="single" w:sz="4" w:space="0" w:color="auto"/>
              <w:left w:val="single" w:sz="4" w:space="0" w:color="auto"/>
              <w:bottom w:val="single" w:sz="4" w:space="0" w:color="auto"/>
              <w:right w:val="single" w:sz="4" w:space="0" w:color="auto"/>
            </w:tcBorders>
            <w:hideMark/>
          </w:tcPr>
          <w:p w14:paraId="3EB32808" w14:textId="069D8750" w:rsidR="00F3231A" w:rsidRPr="001A4159" w:rsidRDefault="00C246F6" w:rsidP="005516D9">
            <w:pPr>
              <w:spacing w:line="276" w:lineRule="auto"/>
            </w:pPr>
            <w:r w:rsidRPr="001A4159">
              <w:t>N</w:t>
            </w:r>
            <w:r w:rsidR="00F3231A" w:rsidRPr="001A4159">
              <w:t>av</w:t>
            </w:r>
          </w:p>
        </w:tc>
      </w:tr>
      <w:tr w:rsidR="00172CC3" w:rsidRPr="00172CC3" w14:paraId="4DBFF762" w14:textId="77777777" w:rsidTr="00DC2782">
        <w:trPr>
          <w:jc w:val="center"/>
        </w:trPr>
        <w:tc>
          <w:tcPr>
            <w:tcW w:w="3970" w:type="dxa"/>
            <w:tcBorders>
              <w:top w:val="single" w:sz="4" w:space="0" w:color="auto"/>
              <w:left w:val="single" w:sz="4" w:space="0" w:color="auto"/>
              <w:bottom w:val="single" w:sz="4" w:space="0" w:color="auto"/>
              <w:right w:val="single" w:sz="4" w:space="0" w:color="auto"/>
            </w:tcBorders>
            <w:hideMark/>
          </w:tcPr>
          <w:p w14:paraId="5A444BD2" w14:textId="77777777" w:rsidR="00F3231A" w:rsidRPr="00172CC3" w:rsidRDefault="00F3231A" w:rsidP="005516D9">
            <w:pPr>
              <w:spacing w:line="276" w:lineRule="auto"/>
            </w:pPr>
            <w:r w:rsidRPr="00172CC3">
              <w:t>Citas starptautiskās saistības</w:t>
            </w:r>
          </w:p>
        </w:tc>
        <w:tc>
          <w:tcPr>
            <w:tcW w:w="5259" w:type="dxa"/>
            <w:tcBorders>
              <w:top w:val="single" w:sz="4" w:space="0" w:color="auto"/>
              <w:left w:val="single" w:sz="4" w:space="0" w:color="auto"/>
              <w:bottom w:val="single" w:sz="4" w:space="0" w:color="auto"/>
              <w:right w:val="single" w:sz="4" w:space="0" w:color="auto"/>
            </w:tcBorders>
            <w:hideMark/>
          </w:tcPr>
          <w:p w14:paraId="091D8D3C" w14:textId="55A1A2A6" w:rsidR="00F3231A" w:rsidRPr="001A4159" w:rsidRDefault="00C246F6" w:rsidP="005516D9">
            <w:pPr>
              <w:spacing w:line="276" w:lineRule="auto"/>
            </w:pPr>
            <w:r w:rsidRPr="001A4159">
              <w:t>N</w:t>
            </w:r>
            <w:r w:rsidR="00F3231A" w:rsidRPr="001A4159">
              <w:t>av</w:t>
            </w:r>
          </w:p>
        </w:tc>
      </w:tr>
      <w:tr w:rsidR="00172CC3" w:rsidRPr="00172CC3" w14:paraId="6AD05273" w14:textId="77777777" w:rsidTr="00DC2782">
        <w:trPr>
          <w:jc w:val="center"/>
        </w:trPr>
        <w:tc>
          <w:tcPr>
            <w:tcW w:w="3970" w:type="dxa"/>
            <w:tcBorders>
              <w:top w:val="single" w:sz="4" w:space="0" w:color="auto"/>
              <w:left w:val="single" w:sz="4" w:space="0" w:color="auto"/>
              <w:bottom w:val="single" w:sz="4" w:space="0" w:color="auto"/>
              <w:right w:val="single" w:sz="4" w:space="0" w:color="auto"/>
            </w:tcBorders>
            <w:hideMark/>
          </w:tcPr>
          <w:p w14:paraId="58825A78" w14:textId="77777777" w:rsidR="00F3231A" w:rsidRPr="00172CC3" w:rsidRDefault="00F3231A" w:rsidP="005516D9">
            <w:pPr>
              <w:spacing w:line="276" w:lineRule="auto"/>
            </w:pPr>
            <w:r w:rsidRPr="00172CC3">
              <w:t>Cita informācija</w:t>
            </w:r>
          </w:p>
        </w:tc>
        <w:tc>
          <w:tcPr>
            <w:tcW w:w="5259" w:type="dxa"/>
            <w:tcBorders>
              <w:top w:val="single" w:sz="4" w:space="0" w:color="auto"/>
              <w:left w:val="single" w:sz="4" w:space="0" w:color="auto"/>
              <w:bottom w:val="single" w:sz="4" w:space="0" w:color="auto"/>
              <w:right w:val="single" w:sz="4" w:space="0" w:color="auto"/>
            </w:tcBorders>
            <w:hideMark/>
          </w:tcPr>
          <w:p w14:paraId="1BD58EB4" w14:textId="7F44285A" w:rsidR="00F3231A" w:rsidRPr="001A4159" w:rsidRDefault="00C246F6" w:rsidP="005516D9">
            <w:pPr>
              <w:spacing w:line="276" w:lineRule="auto"/>
            </w:pPr>
            <w:r w:rsidRPr="001A4159">
              <w:t>N</w:t>
            </w:r>
            <w:r w:rsidR="00F3231A" w:rsidRPr="001A4159">
              <w:t>av</w:t>
            </w:r>
          </w:p>
        </w:tc>
      </w:tr>
    </w:tbl>
    <w:p w14:paraId="2B8B322D" w14:textId="77777777" w:rsidR="00F3231A" w:rsidRPr="00F10A1D" w:rsidRDefault="00F3231A" w:rsidP="001A4159">
      <w:pPr>
        <w:spacing w:line="276" w:lineRule="auto"/>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0"/>
        <w:gridCol w:w="2296"/>
        <w:gridCol w:w="2693"/>
      </w:tblGrid>
      <w:tr w:rsidR="00DC2782" w:rsidRPr="00DC2782" w14:paraId="08141399" w14:textId="77777777" w:rsidTr="00DC2782">
        <w:tc>
          <w:tcPr>
            <w:tcW w:w="9356" w:type="dxa"/>
            <w:gridSpan w:val="4"/>
            <w:tcBorders>
              <w:top w:val="single" w:sz="4" w:space="0" w:color="auto"/>
              <w:left w:val="single" w:sz="4" w:space="0" w:color="auto"/>
              <w:bottom w:val="single" w:sz="4" w:space="0" w:color="auto"/>
              <w:right w:val="single" w:sz="4" w:space="0" w:color="auto"/>
            </w:tcBorders>
            <w:hideMark/>
          </w:tcPr>
          <w:p w14:paraId="24DA4706" w14:textId="77777777" w:rsidR="00DC2782" w:rsidRPr="00DC2782" w:rsidRDefault="00DC2782" w:rsidP="00DC2782">
            <w:pPr>
              <w:spacing w:line="276" w:lineRule="auto"/>
              <w:jc w:val="center"/>
              <w:rPr>
                <w:b/>
                <w:bCs/>
              </w:rPr>
            </w:pPr>
            <w:r w:rsidRPr="00DC2782">
              <w:rPr>
                <w:b/>
                <w:bCs/>
              </w:rPr>
              <w:t xml:space="preserve">1.tabula </w:t>
            </w:r>
          </w:p>
          <w:p w14:paraId="64E38938" w14:textId="77777777" w:rsidR="00DC2782" w:rsidRPr="00DC2782" w:rsidRDefault="00DC2782" w:rsidP="00DC2782">
            <w:pPr>
              <w:spacing w:line="276" w:lineRule="auto"/>
              <w:jc w:val="center"/>
              <w:rPr>
                <w:b/>
              </w:rPr>
            </w:pPr>
            <w:r w:rsidRPr="00DC2782">
              <w:rPr>
                <w:b/>
              </w:rPr>
              <w:t>Tiesību akta projekta atbilstība ES tiesību aktiem</w:t>
            </w:r>
          </w:p>
        </w:tc>
      </w:tr>
      <w:tr w:rsidR="00DC2782" w:rsidRPr="00DC2782" w14:paraId="2C14B6BE" w14:textId="77777777" w:rsidTr="00DC2782">
        <w:tc>
          <w:tcPr>
            <w:tcW w:w="2127" w:type="dxa"/>
            <w:tcBorders>
              <w:top w:val="single" w:sz="4" w:space="0" w:color="auto"/>
              <w:left w:val="single" w:sz="4" w:space="0" w:color="auto"/>
              <w:bottom w:val="single" w:sz="4" w:space="0" w:color="auto"/>
              <w:right w:val="single" w:sz="4" w:space="0" w:color="auto"/>
            </w:tcBorders>
            <w:hideMark/>
          </w:tcPr>
          <w:p w14:paraId="0540776D" w14:textId="77777777" w:rsidR="00DC2782" w:rsidRPr="00DC2782" w:rsidRDefault="00DC2782" w:rsidP="00DC2782">
            <w:pPr>
              <w:spacing w:line="276" w:lineRule="auto"/>
            </w:pPr>
            <w:r w:rsidRPr="00DC2782">
              <w:t>Attiecīgā ES tiesību akta datums, numurs un nosaukums</w:t>
            </w:r>
          </w:p>
        </w:tc>
        <w:tc>
          <w:tcPr>
            <w:tcW w:w="7229" w:type="dxa"/>
            <w:gridSpan w:val="3"/>
            <w:tcBorders>
              <w:top w:val="single" w:sz="4" w:space="0" w:color="auto"/>
              <w:left w:val="single" w:sz="4" w:space="0" w:color="auto"/>
              <w:bottom w:val="single" w:sz="4" w:space="0" w:color="auto"/>
              <w:right w:val="single" w:sz="4" w:space="0" w:color="auto"/>
            </w:tcBorders>
            <w:hideMark/>
          </w:tcPr>
          <w:p w14:paraId="153255D6" w14:textId="77777777" w:rsidR="00DC2782" w:rsidRPr="00DC2782" w:rsidRDefault="00DC2782" w:rsidP="00DC2782">
            <w:pPr>
              <w:numPr>
                <w:ilvl w:val="0"/>
                <w:numId w:val="34"/>
              </w:numPr>
              <w:spacing w:line="276" w:lineRule="auto"/>
              <w:contextualSpacing/>
              <w:jc w:val="both"/>
            </w:pPr>
            <w:r w:rsidRPr="00DC2782">
              <w:t>Eiropas Komisijas 2006. gada 19. decembra Regula (EK) Nr. 1881/2006, ar ko nosaka konkrētu piesārņotāju maksimāli pieļaujamo koncentrāciju pārtikas produktos (turpmāk – regula 1881/2006).</w:t>
            </w:r>
            <w:r w:rsidRPr="00DC2782">
              <w:rPr>
                <w:i/>
              </w:rPr>
              <w:t xml:space="preserve"> </w:t>
            </w:r>
          </w:p>
          <w:p w14:paraId="47139FED" w14:textId="77777777" w:rsidR="00DC2782" w:rsidRPr="00DC2782" w:rsidRDefault="00DC2782" w:rsidP="00DC2782">
            <w:pPr>
              <w:numPr>
                <w:ilvl w:val="0"/>
                <w:numId w:val="34"/>
              </w:numPr>
              <w:spacing w:line="276" w:lineRule="auto"/>
              <w:contextualSpacing/>
              <w:jc w:val="both"/>
            </w:pPr>
            <w:r w:rsidRPr="00DC2782">
              <w:t>Eiropas Parlamenta un Padomes 2008. gada 16. decembra Regula (EK) Nr. 1333/2008 par pārtikas piedevām (turpmāk – regula 1333/2008).</w:t>
            </w:r>
          </w:p>
          <w:p w14:paraId="56EB0EE1" w14:textId="77777777" w:rsidR="00DC2782" w:rsidRPr="00DC2782" w:rsidRDefault="00DC2782" w:rsidP="00DC2782">
            <w:pPr>
              <w:numPr>
                <w:ilvl w:val="0"/>
                <w:numId w:val="34"/>
              </w:numPr>
              <w:spacing w:line="276" w:lineRule="auto"/>
              <w:contextualSpacing/>
              <w:jc w:val="both"/>
            </w:pPr>
            <w:r w:rsidRPr="00DC2782">
              <w:t>Eiropas Parlamenta un Padomes 2004. gada 29. aprīļa Regula (EK) Nr.852/2004 par pārtikas produktu higiēnu (turpmāk – regula 852/2004).</w:t>
            </w:r>
          </w:p>
          <w:p w14:paraId="12A6A808" w14:textId="77777777" w:rsidR="00DC2782" w:rsidRPr="00DC2782" w:rsidRDefault="00DC2782" w:rsidP="00DC2782">
            <w:pPr>
              <w:numPr>
                <w:ilvl w:val="0"/>
                <w:numId w:val="34"/>
              </w:numPr>
              <w:spacing w:line="276" w:lineRule="auto"/>
              <w:contextualSpacing/>
              <w:jc w:val="both"/>
            </w:pPr>
            <w:r w:rsidRPr="00DC2782">
              <w:t>Eiropas Parlamenta un Padomes 2011. gada 25. oktobra Regula (ES) Nr. 1169/2011par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 (turpmāk – regula 1169/2006).</w:t>
            </w:r>
          </w:p>
          <w:p w14:paraId="1E88E9AA" w14:textId="77777777" w:rsidR="00DC2782" w:rsidRPr="00DC2782" w:rsidRDefault="00DC2782" w:rsidP="00DC2782">
            <w:pPr>
              <w:numPr>
                <w:ilvl w:val="0"/>
                <w:numId w:val="34"/>
              </w:numPr>
              <w:spacing w:line="276" w:lineRule="auto"/>
              <w:contextualSpacing/>
              <w:jc w:val="both"/>
            </w:pPr>
            <w:r w:rsidRPr="00DC2782">
              <w:t>Eiropas Komisijas 2005. gada 15. novembra Regula (EK) Nr.2073/2005 par pārtikas produktu mikrobioloģiskajiem kritērijiem (turpmāk – regula 2073/2005).</w:t>
            </w:r>
          </w:p>
          <w:p w14:paraId="0578DF6D" w14:textId="77777777" w:rsidR="00DC2782" w:rsidRPr="00DC2782" w:rsidRDefault="00DC2782" w:rsidP="00DC2782">
            <w:pPr>
              <w:numPr>
                <w:ilvl w:val="0"/>
                <w:numId w:val="34"/>
              </w:numPr>
              <w:spacing w:line="276" w:lineRule="auto"/>
              <w:contextualSpacing/>
              <w:jc w:val="both"/>
            </w:pPr>
            <w:r w:rsidRPr="00DC2782">
              <w:t>Eiropas Parlamenta un Padomes 2004. gada 29. aprīļa Regula (EK) Nr. 853/2004, ar ko nosaka īpašus higiēnas noteikumus attiecībā uz dzīvnieku izcelsmes pārtiku (turpmāk – regula 853/2004).</w:t>
            </w:r>
          </w:p>
          <w:p w14:paraId="092002B6" w14:textId="77777777" w:rsidR="00DC2782" w:rsidRPr="00DC2782" w:rsidRDefault="00DC2782" w:rsidP="00DC2782">
            <w:pPr>
              <w:numPr>
                <w:ilvl w:val="0"/>
                <w:numId w:val="34"/>
              </w:numPr>
              <w:spacing w:line="276" w:lineRule="auto"/>
              <w:contextualSpacing/>
              <w:jc w:val="both"/>
            </w:pPr>
            <w:r w:rsidRPr="00DC2782">
              <w:t>Eiropas Parlamenta un Padomes 2009. gada 30. novembra Regula (EK) Nr. 1223/2009 par kosmētikas līdzekļiem (turpmāk – regula 1223/2009).</w:t>
            </w:r>
          </w:p>
        </w:tc>
      </w:tr>
      <w:tr w:rsidR="00DC2782" w:rsidRPr="00DC2782" w14:paraId="6A80D2CB" w14:textId="77777777" w:rsidTr="00DC2782">
        <w:tc>
          <w:tcPr>
            <w:tcW w:w="2127" w:type="dxa"/>
            <w:tcBorders>
              <w:top w:val="single" w:sz="4" w:space="0" w:color="auto"/>
              <w:left w:val="single" w:sz="4" w:space="0" w:color="auto"/>
              <w:bottom w:val="single" w:sz="4" w:space="0" w:color="auto"/>
              <w:right w:val="single" w:sz="4" w:space="0" w:color="auto"/>
            </w:tcBorders>
            <w:hideMark/>
          </w:tcPr>
          <w:p w14:paraId="31B35A76" w14:textId="77777777" w:rsidR="00DC2782" w:rsidRPr="00DC2782" w:rsidRDefault="00DC2782" w:rsidP="00DC2782">
            <w:pPr>
              <w:spacing w:line="276" w:lineRule="auto"/>
              <w:jc w:val="center"/>
              <w:rPr>
                <w:b/>
              </w:rPr>
            </w:pPr>
            <w:r w:rsidRPr="00DC2782">
              <w:rPr>
                <w:b/>
              </w:rPr>
              <w:t>A</w:t>
            </w:r>
          </w:p>
        </w:tc>
        <w:tc>
          <w:tcPr>
            <w:tcW w:w="2240" w:type="dxa"/>
            <w:tcBorders>
              <w:top w:val="single" w:sz="4" w:space="0" w:color="auto"/>
              <w:left w:val="single" w:sz="4" w:space="0" w:color="auto"/>
              <w:bottom w:val="single" w:sz="4" w:space="0" w:color="auto"/>
              <w:right w:val="single" w:sz="4" w:space="0" w:color="auto"/>
            </w:tcBorders>
            <w:hideMark/>
          </w:tcPr>
          <w:p w14:paraId="48A226A0" w14:textId="77777777" w:rsidR="00DC2782" w:rsidRPr="00DC2782" w:rsidRDefault="00DC2782" w:rsidP="00DC2782">
            <w:pPr>
              <w:spacing w:line="276" w:lineRule="auto"/>
              <w:jc w:val="center"/>
              <w:rPr>
                <w:b/>
              </w:rPr>
            </w:pPr>
            <w:r w:rsidRPr="00DC2782">
              <w:rPr>
                <w:b/>
              </w:rPr>
              <w:t>B</w:t>
            </w:r>
          </w:p>
        </w:tc>
        <w:tc>
          <w:tcPr>
            <w:tcW w:w="2296" w:type="dxa"/>
            <w:tcBorders>
              <w:top w:val="single" w:sz="4" w:space="0" w:color="auto"/>
              <w:left w:val="single" w:sz="4" w:space="0" w:color="auto"/>
              <w:bottom w:val="single" w:sz="4" w:space="0" w:color="auto"/>
              <w:right w:val="single" w:sz="4" w:space="0" w:color="auto"/>
            </w:tcBorders>
            <w:hideMark/>
          </w:tcPr>
          <w:p w14:paraId="0FB0A617" w14:textId="77777777" w:rsidR="00DC2782" w:rsidRPr="00DC2782" w:rsidRDefault="00DC2782" w:rsidP="00DC2782">
            <w:pPr>
              <w:spacing w:line="276" w:lineRule="auto"/>
              <w:jc w:val="center"/>
              <w:rPr>
                <w:b/>
              </w:rPr>
            </w:pPr>
            <w:r w:rsidRPr="00DC2782">
              <w:rPr>
                <w:b/>
              </w:rPr>
              <w:t>C</w:t>
            </w:r>
          </w:p>
        </w:tc>
        <w:tc>
          <w:tcPr>
            <w:tcW w:w="2693" w:type="dxa"/>
            <w:tcBorders>
              <w:top w:val="single" w:sz="4" w:space="0" w:color="auto"/>
              <w:left w:val="single" w:sz="4" w:space="0" w:color="auto"/>
              <w:bottom w:val="single" w:sz="4" w:space="0" w:color="auto"/>
              <w:right w:val="single" w:sz="4" w:space="0" w:color="auto"/>
            </w:tcBorders>
            <w:hideMark/>
          </w:tcPr>
          <w:p w14:paraId="06E06B4B" w14:textId="77777777" w:rsidR="00DC2782" w:rsidRPr="00DC2782" w:rsidRDefault="00DC2782" w:rsidP="00DC2782">
            <w:pPr>
              <w:spacing w:line="276" w:lineRule="auto"/>
              <w:jc w:val="center"/>
              <w:rPr>
                <w:b/>
              </w:rPr>
            </w:pPr>
            <w:r w:rsidRPr="00DC2782">
              <w:rPr>
                <w:b/>
              </w:rPr>
              <w:t>D</w:t>
            </w:r>
          </w:p>
        </w:tc>
      </w:tr>
      <w:tr w:rsidR="00DC2782" w:rsidRPr="00DC2782" w14:paraId="54AB888C" w14:textId="77777777" w:rsidTr="00DC2782">
        <w:tc>
          <w:tcPr>
            <w:tcW w:w="2127" w:type="dxa"/>
            <w:tcBorders>
              <w:top w:val="single" w:sz="4" w:space="0" w:color="auto"/>
              <w:left w:val="single" w:sz="4" w:space="0" w:color="auto"/>
              <w:bottom w:val="single" w:sz="4" w:space="0" w:color="auto"/>
              <w:right w:val="single" w:sz="4" w:space="0" w:color="auto"/>
            </w:tcBorders>
            <w:hideMark/>
          </w:tcPr>
          <w:p w14:paraId="6B239893" w14:textId="77777777" w:rsidR="00DC2782" w:rsidRPr="00DC2782" w:rsidRDefault="00DC2782" w:rsidP="00DC2782">
            <w:r w:rsidRPr="00DC2782">
              <w:t xml:space="preserve">Attiecīgā ES tiesību akta panta numurs (uzskaitot katru tiesību akta </w:t>
            </w:r>
            <w:r w:rsidRPr="00DC2782">
              <w:br/>
              <w:t>vienību – pantu, daļu, punktu, apakšpunktu)</w:t>
            </w:r>
          </w:p>
        </w:tc>
        <w:tc>
          <w:tcPr>
            <w:tcW w:w="2240" w:type="dxa"/>
            <w:tcBorders>
              <w:top w:val="single" w:sz="4" w:space="0" w:color="auto"/>
              <w:left w:val="single" w:sz="4" w:space="0" w:color="auto"/>
              <w:bottom w:val="single" w:sz="4" w:space="0" w:color="auto"/>
              <w:right w:val="single" w:sz="4" w:space="0" w:color="auto"/>
            </w:tcBorders>
            <w:hideMark/>
          </w:tcPr>
          <w:p w14:paraId="4FA12FA5" w14:textId="77777777" w:rsidR="00DC2782" w:rsidRPr="00DC2782" w:rsidRDefault="00DC2782" w:rsidP="00DC2782">
            <w:r w:rsidRPr="00DC2782">
              <w:t>Projekta vienība, kas pārņem vai ievieš katru šīs tabulas A ailē minēto ES tiesību akta vienību, vai tiesību akts, kur attiecīgā ES tiesību akta vienība pārņemta vai ieviesta</w:t>
            </w:r>
          </w:p>
        </w:tc>
        <w:tc>
          <w:tcPr>
            <w:tcW w:w="2296" w:type="dxa"/>
            <w:tcBorders>
              <w:top w:val="single" w:sz="4" w:space="0" w:color="auto"/>
              <w:left w:val="single" w:sz="4" w:space="0" w:color="auto"/>
              <w:bottom w:val="single" w:sz="4" w:space="0" w:color="auto"/>
              <w:right w:val="single" w:sz="4" w:space="0" w:color="auto"/>
            </w:tcBorders>
            <w:hideMark/>
          </w:tcPr>
          <w:p w14:paraId="75ADAAAC" w14:textId="77777777" w:rsidR="00DC2782" w:rsidRPr="00DC2782" w:rsidRDefault="00DC2782" w:rsidP="00DC2782">
            <w:r w:rsidRPr="00DC2782">
              <w:t>Informācija par to, vai šīs tabulas A ailē minētās ES tiesību akta vienības tiek pārņemtas vai ieviestas pilnībā vai daļēji.</w:t>
            </w:r>
          </w:p>
          <w:p w14:paraId="2279919B" w14:textId="77777777" w:rsidR="00DC2782" w:rsidRPr="00DC2782" w:rsidRDefault="00DC2782" w:rsidP="00DC2782">
            <w:r w:rsidRPr="00DC2782">
              <w:t>Ja attiecīgā ES tiesību akta vienība tiek pārņemta vai ieviesta daļēji, – sniedz attiecīgu skaidrojumu, kā arī precīzi norāda, kad un kādā veidā ES tiesību akta vienība tiks pārņemta vai ieviesta pilnībā.</w:t>
            </w:r>
          </w:p>
          <w:p w14:paraId="2CD3AA5F" w14:textId="77777777" w:rsidR="00DC2782" w:rsidRPr="00DC2782" w:rsidRDefault="00DC2782" w:rsidP="00DC2782">
            <w:r w:rsidRPr="00DC2782">
              <w:t>Norāda institūciju, kas ir atbildīga par šo saistību izpildi pilnībā</w:t>
            </w:r>
          </w:p>
        </w:tc>
        <w:tc>
          <w:tcPr>
            <w:tcW w:w="2693" w:type="dxa"/>
            <w:tcBorders>
              <w:top w:val="single" w:sz="4" w:space="0" w:color="auto"/>
              <w:left w:val="single" w:sz="4" w:space="0" w:color="auto"/>
              <w:bottom w:val="single" w:sz="4" w:space="0" w:color="auto"/>
              <w:right w:val="single" w:sz="4" w:space="0" w:color="auto"/>
            </w:tcBorders>
            <w:hideMark/>
          </w:tcPr>
          <w:p w14:paraId="4F3BC7CA" w14:textId="77777777" w:rsidR="00DC2782" w:rsidRPr="00DC2782" w:rsidRDefault="00DC2782" w:rsidP="00DC2782">
            <w:pPr>
              <w:ind w:firstLine="34"/>
            </w:pPr>
            <w:r w:rsidRPr="00DC2782">
              <w:t>Informācija par to, vai šīs tabulas B ailē minētās projekta vienības paredz stingrākas prasības nekā šīs tabulas A ailē minētās ES tiesību akta vienības.</w:t>
            </w:r>
          </w:p>
          <w:p w14:paraId="436C82F3" w14:textId="77777777" w:rsidR="00DC2782" w:rsidRPr="00DC2782" w:rsidRDefault="00DC2782" w:rsidP="00DC2782">
            <w:pPr>
              <w:ind w:left="34"/>
            </w:pPr>
            <w:r w:rsidRPr="00DC2782">
              <w:t>Ja projekts satur stingrākas prasības nekā attiecīgais ES tiesību akts, – norāda pamatojumu un samērīgumu.</w:t>
            </w:r>
          </w:p>
          <w:p w14:paraId="34E873B4" w14:textId="77777777" w:rsidR="00DC2782" w:rsidRPr="00DC2782" w:rsidRDefault="00DC2782" w:rsidP="00DC2782">
            <w:pPr>
              <w:ind w:firstLine="34"/>
            </w:pPr>
            <w:r w:rsidRPr="00DC2782">
              <w:t>Norāda iespējamās alternatīvas (t.sk. alternatīvas, kas neparedz tiesiskā regulējuma izstrādi) – kādos gadījumos būtu iespējams izvairīties no stingrāku prasību noteikšanas, nekā paredzēts attiecīgajos ES tiesību aktos</w:t>
            </w:r>
          </w:p>
        </w:tc>
      </w:tr>
      <w:tr w:rsidR="00DC2782" w:rsidRPr="00DC2782" w14:paraId="0B6AE38F" w14:textId="77777777" w:rsidTr="00DC2782">
        <w:tc>
          <w:tcPr>
            <w:tcW w:w="2127" w:type="dxa"/>
            <w:tcBorders>
              <w:top w:val="single" w:sz="4" w:space="0" w:color="auto"/>
              <w:left w:val="single" w:sz="4" w:space="0" w:color="auto"/>
              <w:bottom w:val="single" w:sz="4" w:space="0" w:color="auto"/>
              <w:right w:val="single" w:sz="4" w:space="0" w:color="auto"/>
            </w:tcBorders>
          </w:tcPr>
          <w:p w14:paraId="53A239A0" w14:textId="77777777" w:rsidR="00DC2782" w:rsidRPr="00DC2782" w:rsidRDefault="00DC2782" w:rsidP="00DC2782">
            <w:pPr>
              <w:spacing w:line="276" w:lineRule="auto"/>
            </w:pPr>
            <w:r w:rsidRPr="00DC2782">
              <w:t>Regulas 1881/2006 pielikuma 3. sadaļa</w:t>
            </w:r>
          </w:p>
        </w:tc>
        <w:tc>
          <w:tcPr>
            <w:tcW w:w="2240" w:type="dxa"/>
            <w:tcBorders>
              <w:top w:val="single" w:sz="4" w:space="0" w:color="auto"/>
              <w:left w:val="single" w:sz="4" w:space="0" w:color="auto"/>
              <w:bottom w:val="single" w:sz="4" w:space="0" w:color="auto"/>
              <w:right w:val="single" w:sz="4" w:space="0" w:color="auto"/>
            </w:tcBorders>
          </w:tcPr>
          <w:p w14:paraId="11899601" w14:textId="77777777" w:rsidR="00DC2782" w:rsidRPr="00DC2782" w:rsidRDefault="00DC2782" w:rsidP="00DC2782">
            <w:r w:rsidRPr="00DC2782">
              <w:t>1.11. un 1.12. apakšpunkts</w:t>
            </w:r>
          </w:p>
        </w:tc>
        <w:tc>
          <w:tcPr>
            <w:tcW w:w="2296" w:type="dxa"/>
            <w:tcBorders>
              <w:top w:val="single" w:sz="4" w:space="0" w:color="auto"/>
              <w:left w:val="single" w:sz="4" w:space="0" w:color="auto"/>
              <w:bottom w:val="single" w:sz="4" w:space="0" w:color="auto"/>
              <w:right w:val="single" w:sz="4" w:space="0" w:color="auto"/>
            </w:tcBorders>
          </w:tcPr>
          <w:p w14:paraId="664C66E6" w14:textId="77777777" w:rsidR="00DC2782" w:rsidRPr="00DC2782" w:rsidRDefault="00DC2782" w:rsidP="00DC2782">
            <w:r w:rsidRPr="00DC2782">
              <w:t>Ieviests pilnībā</w:t>
            </w:r>
          </w:p>
          <w:p w14:paraId="1C146AC9"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565163B4" w14:textId="77777777" w:rsidR="00DC2782" w:rsidRPr="00DC2782" w:rsidRDefault="00DC2782" w:rsidP="00DC2782">
            <w:r w:rsidRPr="00DC2782">
              <w:t>MK noteikumu projekts neparedz stingrākas prasības</w:t>
            </w:r>
          </w:p>
        </w:tc>
      </w:tr>
      <w:tr w:rsidR="00DC2782" w:rsidRPr="00DC2782" w14:paraId="239D6C37" w14:textId="77777777" w:rsidTr="00DC2782">
        <w:tc>
          <w:tcPr>
            <w:tcW w:w="2127" w:type="dxa"/>
            <w:tcBorders>
              <w:top w:val="single" w:sz="4" w:space="0" w:color="auto"/>
              <w:left w:val="single" w:sz="4" w:space="0" w:color="auto"/>
              <w:bottom w:val="single" w:sz="4" w:space="0" w:color="auto"/>
              <w:right w:val="single" w:sz="4" w:space="0" w:color="auto"/>
            </w:tcBorders>
          </w:tcPr>
          <w:p w14:paraId="1EA89F65" w14:textId="77777777" w:rsidR="00DC2782" w:rsidRPr="00DC2782" w:rsidRDefault="00DC2782" w:rsidP="00DC2782">
            <w:pPr>
              <w:spacing w:line="276" w:lineRule="auto"/>
            </w:pPr>
            <w:r w:rsidRPr="00DC2782">
              <w:t>Regulas 1881/2006 pielikuma 5. sadaļa</w:t>
            </w:r>
          </w:p>
        </w:tc>
        <w:tc>
          <w:tcPr>
            <w:tcW w:w="2240" w:type="dxa"/>
            <w:tcBorders>
              <w:top w:val="single" w:sz="4" w:space="0" w:color="auto"/>
              <w:left w:val="single" w:sz="4" w:space="0" w:color="auto"/>
              <w:bottom w:val="single" w:sz="4" w:space="0" w:color="auto"/>
              <w:right w:val="single" w:sz="4" w:space="0" w:color="auto"/>
            </w:tcBorders>
          </w:tcPr>
          <w:p w14:paraId="45F7B33E" w14:textId="77777777" w:rsidR="00DC2782" w:rsidRPr="00DC2782" w:rsidRDefault="00DC2782" w:rsidP="00DC2782">
            <w:r w:rsidRPr="00DC2782">
              <w:t>1.11. un 1.12. apakšpunkts</w:t>
            </w:r>
          </w:p>
        </w:tc>
        <w:tc>
          <w:tcPr>
            <w:tcW w:w="2296" w:type="dxa"/>
            <w:tcBorders>
              <w:top w:val="single" w:sz="4" w:space="0" w:color="auto"/>
              <w:left w:val="single" w:sz="4" w:space="0" w:color="auto"/>
              <w:bottom w:val="single" w:sz="4" w:space="0" w:color="auto"/>
              <w:right w:val="single" w:sz="4" w:space="0" w:color="auto"/>
            </w:tcBorders>
          </w:tcPr>
          <w:p w14:paraId="4AA42B4A" w14:textId="77777777" w:rsidR="00DC2782" w:rsidRPr="00DC2782" w:rsidRDefault="00DC2782" w:rsidP="00DC2782">
            <w:r w:rsidRPr="00DC2782">
              <w:t>Ieviests pilnībā</w:t>
            </w:r>
          </w:p>
          <w:p w14:paraId="171D8097"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61DAD800" w14:textId="77777777" w:rsidR="00DC2782" w:rsidRPr="00DC2782" w:rsidRDefault="00DC2782" w:rsidP="00DC2782">
            <w:r w:rsidRPr="00DC2782">
              <w:t>MK noteikumu projekts neparedz stingrākas prasības</w:t>
            </w:r>
          </w:p>
        </w:tc>
      </w:tr>
      <w:tr w:rsidR="00DC2782" w:rsidRPr="00DC2782" w14:paraId="0DE9F827" w14:textId="77777777" w:rsidTr="00DC2782">
        <w:tc>
          <w:tcPr>
            <w:tcW w:w="2127" w:type="dxa"/>
            <w:tcBorders>
              <w:top w:val="single" w:sz="4" w:space="0" w:color="auto"/>
              <w:left w:val="single" w:sz="4" w:space="0" w:color="auto"/>
              <w:bottom w:val="single" w:sz="4" w:space="0" w:color="auto"/>
              <w:right w:val="single" w:sz="4" w:space="0" w:color="auto"/>
            </w:tcBorders>
          </w:tcPr>
          <w:p w14:paraId="694D4941" w14:textId="77777777" w:rsidR="00DC2782" w:rsidRPr="00DC2782" w:rsidRDefault="00DC2782" w:rsidP="00DC2782">
            <w:pPr>
              <w:spacing w:line="276" w:lineRule="auto"/>
            </w:pPr>
            <w:r w:rsidRPr="00DC2782">
              <w:t>Vispārēja atsauce uz Regulu 1333/2008</w:t>
            </w:r>
          </w:p>
        </w:tc>
        <w:tc>
          <w:tcPr>
            <w:tcW w:w="2240" w:type="dxa"/>
            <w:tcBorders>
              <w:top w:val="single" w:sz="4" w:space="0" w:color="auto"/>
              <w:left w:val="single" w:sz="4" w:space="0" w:color="auto"/>
              <w:bottom w:val="single" w:sz="4" w:space="0" w:color="auto"/>
              <w:right w:val="single" w:sz="4" w:space="0" w:color="auto"/>
            </w:tcBorders>
          </w:tcPr>
          <w:p w14:paraId="55002332" w14:textId="77777777" w:rsidR="00DC2782" w:rsidRPr="00DC2782" w:rsidRDefault="00DC2782" w:rsidP="00DC2782">
            <w:r w:rsidRPr="00DC2782">
              <w:t>1.11. un 1.12. apakšpunkts</w:t>
            </w:r>
          </w:p>
        </w:tc>
        <w:tc>
          <w:tcPr>
            <w:tcW w:w="2296" w:type="dxa"/>
            <w:tcBorders>
              <w:top w:val="single" w:sz="4" w:space="0" w:color="auto"/>
              <w:left w:val="single" w:sz="4" w:space="0" w:color="auto"/>
              <w:bottom w:val="single" w:sz="4" w:space="0" w:color="auto"/>
              <w:right w:val="single" w:sz="4" w:space="0" w:color="auto"/>
            </w:tcBorders>
          </w:tcPr>
          <w:p w14:paraId="0153142D" w14:textId="77777777" w:rsidR="00DC2782" w:rsidRPr="00DC2782" w:rsidRDefault="00DC2782" w:rsidP="00DC2782">
            <w:r w:rsidRPr="00DC2782">
              <w:t>Ieviests pilnībā</w:t>
            </w:r>
          </w:p>
          <w:p w14:paraId="6B39C21C"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21D89C1E" w14:textId="77777777" w:rsidR="00DC2782" w:rsidRPr="00DC2782" w:rsidRDefault="00DC2782" w:rsidP="00DC2782">
            <w:r w:rsidRPr="00DC2782">
              <w:t>MK noteikumu projekts neparedz stingrākas prasības</w:t>
            </w:r>
          </w:p>
        </w:tc>
      </w:tr>
      <w:tr w:rsidR="00DC2782" w:rsidRPr="00DC2782" w14:paraId="16D52893" w14:textId="77777777" w:rsidTr="00DC2782">
        <w:tc>
          <w:tcPr>
            <w:tcW w:w="2127" w:type="dxa"/>
            <w:tcBorders>
              <w:top w:val="single" w:sz="4" w:space="0" w:color="auto"/>
              <w:left w:val="single" w:sz="4" w:space="0" w:color="auto"/>
              <w:bottom w:val="single" w:sz="4" w:space="0" w:color="auto"/>
              <w:right w:val="single" w:sz="4" w:space="0" w:color="auto"/>
            </w:tcBorders>
          </w:tcPr>
          <w:p w14:paraId="63E1AE0F" w14:textId="77777777" w:rsidR="00DC2782" w:rsidRPr="00DC2782" w:rsidRDefault="00DC2782" w:rsidP="00DC2782">
            <w:pPr>
              <w:spacing w:line="276" w:lineRule="auto"/>
            </w:pPr>
            <w:r w:rsidRPr="00DC2782">
              <w:t xml:space="preserve">Regulas 852/2004 </w:t>
            </w:r>
          </w:p>
          <w:p w14:paraId="63DF50A3" w14:textId="77777777" w:rsidR="00DC2782" w:rsidRPr="00DC2782" w:rsidRDefault="00DC2782" w:rsidP="00DC2782">
            <w:pPr>
              <w:spacing w:line="276" w:lineRule="auto"/>
            </w:pPr>
            <w:r w:rsidRPr="00DC2782">
              <w:t xml:space="preserve">IX nodaļa </w:t>
            </w:r>
          </w:p>
        </w:tc>
        <w:tc>
          <w:tcPr>
            <w:tcW w:w="2240" w:type="dxa"/>
            <w:tcBorders>
              <w:top w:val="single" w:sz="4" w:space="0" w:color="auto"/>
              <w:left w:val="single" w:sz="4" w:space="0" w:color="auto"/>
              <w:bottom w:val="single" w:sz="4" w:space="0" w:color="auto"/>
              <w:right w:val="single" w:sz="4" w:space="0" w:color="auto"/>
            </w:tcBorders>
          </w:tcPr>
          <w:p w14:paraId="0925593B" w14:textId="77777777" w:rsidR="00DC2782" w:rsidRPr="00DC2782" w:rsidRDefault="00DC2782" w:rsidP="00DC2782">
            <w:r w:rsidRPr="00DC2782">
              <w:t>1.12. apakšpunkts</w:t>
            </w:r>
          </w:p>
        </w:tc>
        <w:tc>
          <w:tcPr>
            <w:tcW w:w="2296" w:type="dxa"/>
            <w:tcBorders>
              <w:top w:val="single" w:sz="4" w:space="0" w:color="auto"/>
              <w:left w:val="single" w:sz="4" w:space="0" w:color="auto"/>
              <w:bottom w:val="single" w:sz="4" w:space="0" w:color="auto"/>
              <w:right w:val="single" w:sz="4" w:space="0" w:color="auto"/>
            </w:tcBorders>
          </w:tcPr>
          <w:p w14:paraId="78DCE201" w14:textId="77777777" w:rsidR="00DC2782" w:rsidRPr="00DC2782" w:rsidRDefault="00DC2782" w:rsidP="00DC2782">
            <w:r w:rsidRPr="00DC2782">
              <w:t>Ieviests pilnībā</w:t>
            </w:r>
          </w:p>
          <w:p w14:paraId="4CD73BB2"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7819F4E7" w14:textId="77777777" w:rsidR="00DC2782" w:rsidRPr="00DC2782" w:rsidRDefault="00DC2782" w:rsidP="00DC2782">
            <w:r w:rsidRPr="00DC2782">
              <w:t>MK noteikumu projekts neparedz stingrākas prasības</w:t>
            </w:r>
          </w:p>
        </w:tc>
      </w:tr>
      <w:tr w:rsidR="00DC2782" w:rsidRPr="00DC2782" w14:paraId="09A1345B" w14:textId="77777777" w:rsidTr="00DC2782">
        <w:tc>
          <w:tcPr>
            <w:tcW w:w="2127" w:type="dxa"/>
            <w:tcBorders>
              <w:top w:val="single" w:sz="4" w:space="0" w:color="auto"/>
              <w:left w:val="single" w:sz="4" w:space="0" w:color="auto"/>
              <w:bottom w:val="single" w:sz="4" w:space="0" w:color="auto"/>
              <w:right w:val="single" w:sz="4" w:space="0" w:color="auto"/>
            </w:tcBorders>
          </w:tcPr>
          <w:p w14:paraId="0A823D30" w14:textId="77777777" w:rsidR="00DC2782" w:rsidRPr="00DC2782" w:rsidRDefault="00DC2782" w:rsidP="00DC2782">
            <w:pPr>
              <w:spacing w:line="276" w:lineRule="auto"/>
            </w:pPr>
            <w:r w:rsidRPr="00DC2782">
              <w:t xml:space="preserve">Regula 852/2004 </w:t>
            </w:r>
          </w:p>
          <w:p w14:paraId="41720D3D" w14:textId="77777777" w:rsidR="00DC2782" w:rsidRPr="00DC2782" w:rsidRDefault="00DC2782" w:rsidP="00DC2782">
            <w:pPr>
              <w:spacing w:line="276" w:lineRule="auto"/>
            </w:pPr>
            <w:r w:rsidRPr="00DC2782">
              <w:t xml:space="preserve">X nodaļa </w:t>
            </w:r>
          </w:p>
        </w:tc>
        <w:tc>
          <w:tcPr>
            <w:tcW w:w="2240" w:type="dxa"/>
            <w:tcBorders>
              <w:top w:val="single" w:sz="4" w:space="0" w:color="auto"/>
              <w:left w:val="single" w:sz="4" w:space="0" w:color="auto"/>
              <w:bottom w:val="single" w:sz="4" w:space="0" w:color="auto"/>
              <w:right w:val="single" w:sz="4" w:space="0" w:color="auto"/>
            </w:tcBorders>
          </w:tcPr>
          <w:p w14:paraId="4F72BCD8" w14:textId="77777777" w:rsidR="00DC2782" w:rsidRPr="00DC2782" w:rsidRDefault="00DC2782" w:rsidP="00DC2782">
            <w:r w:rsidRPr="00DC2782">
              <w:t>1.12. apakšpunkts</w:t>
            </w:r>
          </w:p>
        </w:tc>
        <w:tc>
          <w:tcPr>
            <w:tcW w:w="2296" w:type="dxa"/>
            <w:tcBorders>
              <w:top w:val="single" w:sz="4" w:space="0" w:color="auto"/>
              <w:left w:val="single" w:sz="4" w:space="0" w:color="auto"/>
              <w:bottom w:val="single" w:sz="4" w:space="0" w:color="auto"/>
              <w:right w:val="single" w:sz="4" w:space="0" w:color="auto"/>
            </w:tcBorders>
          </w:tcPr>
          <w:p w14:paraId="7FC38295" w14:textId="77777777" w:rsidR="00DC2782" w:rsidRPr="00DC2782" w:rsidRDefault="00DC2782" w:rsidP="00DC2782">
            <w:r w:rsidRPr="00DC2782">
              <w:t>Ieviests pilnībā</w:t>
            </w:r>
          </w:p>
          <w:p w14:paraId="0A757F59"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58A33E7D" w14:textId="77777777" w:rsidR="00DC2782" w:rsidRPr="00DC2782" w:rsidRDefault="00DC2782" w:rsidP="00DC2782">
            <w:r w:rsidRPr="00DC2782">
              <w:t>MK noteikumu projekts neparedz stingrākas prasības</w:t>
            </w:r>
          </w:p>
        </w:tc>
      </w:tr>
      <w:tr w:rsidR="00DC2782" w:rsidRPr="00DC2782" w14:paraId="751389E5" w14:textId="77777777" w:rsidTr="00DC2782">
        <w:tc>
          <w:tcPr>
            <w:tcW w:w="2127" w:type="dxa"/>
            <w:tcBorders>
              <w:top w:val="single" w:sz="4" w:space="0" w:color="auto"/>
              <w:left w:val="single" w:sz="4" w:space="0" w:color="auto"/>
              <w:bottom w:val="single" w:sz="4" w:space="0" w:color="auto"/>
              <w:right w:val="single" w:sz="4" w:space="0" w:color="auto"/>
            </w:tcBorders>
          </w:tcPr>
          <w:p w14:paraId="08622C9A" w14:textId="77777777" w:rsidR="00DC2782" w:rsidRPr="00DC2782" w:rsidRDefault="00DC2782" w:rsidP="00DC2782">
            <w:pPr>
              <w:spacing w:line="276" w:lineRule="auto"/>
            </w:pPr>
            <w:r w:rsidRPr="00DC2782">
              <w:t xml:space="preserve">Regulas 852/2004 </w:t>
            </w:r>
          </w:p>
          <w:p w14:paraId="3955C37F" w14:textId="77777777" w:rsidR="00DC2782" w:rsidRPr="00DC2782" w:rsidRDefault="00DC2782" w:rsidP="00DC2782">
            <w:pPr>
              <w:spacing w:line="276" w:lineRule="auto"/>
            </w:pPr>
            <w:r w:rsidRPr="00DC2782">
              <w:t xml:space="preserve">XI nodaļa </w:t>
            </w:r>
          </w:p>
        </w:tc>
        <w:tc>
          <w:tcPr>
            <w:tcW w:w="2240" w:type="dxa"/>
            <w:tcBorders>
              <w:top w:val="single" w:sz="4" w:space="0" w:color="auto"/>
              <w:left w:val="single" w:sz="4" w:space="0" w:color="auto"/>
              <w:bottom w:val="single" w:sz="4" w:space="0" w:color="auto"/>
              <w:right w:val="single" w:sz="4" w:space="0" w:color="auto"/>
            </w:tcBorders>
          </w:tcPr>
          <w:p w14:paraId="2A39B7C7" w14:textId="77777777" w:rsidR="00DC2782" w:rsidRPr="00DC2782" w:rsidRDefault="00DC2782" w:rsidP="00DC2782">
            <w:r w:rsidRPr="00DC2782">
              <w:t>1.11. un 1.12. apakšpunkts</w:t>
            </w:r>
          </w:p>
        </w:tc>
        <w:tc>
          <w:tcPr>
            <w:tcW w:w="2296" w:type="dxa"/>
            <w:tcBorders>
              <w:top w:val="single" w:sz="4" w:space="0" w:color="auto"/>
              <w:left w:val="single" w:sz="4" w:space="0" w:color="auto"/>
              <w:bottom w:val="single" w:sz="4" w:space="0" w:color="auto"/>
              <w:right w:val="single" w:sz="4" w:space="0" w:color="auto"/>
            </w:tcBorders>
          </w:tcPr>
          <w:p w14:paraId="034C2291" w14:textId="77777777" w:rsidR="00DC2782" w:rsidRPr="00DC2782" w:rsidRDefault="00DC2782" w:rsidP="00DC2782">
            <w:r w:rsidRPr="00DC2782">
              <w:t>Ieviests pilnībā</w:t>
            </w:r>
          </w:p>
          <w:p w14:paraId="1AD6BCEA"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3B1A253E" w14:textId="77777777" w:rsidR="00DC2782" w:rsidRPr="00DC2782" w:rsidRDefault="00DC2782" w:rsidP="00DC2782">
            <w:r w:rsidRPr="00DC2782">
              <w:t>MK noteikumu projekts neparedz stingrākas prasības</w:t>
            </w:r>
          </w:p>
        </w:tc>
      </w:tr>
      <w:tr w:rsidR="00DC2782" w:rsidRPr="00DC2782" w14:paraId="6D717499" w14:textId="77777777" w:rsidTr="00DC2782">
        <w:tc>
          <w:tcPr>
            <w:tcW w:w="2127" w:type="dxa"/>
            <w:tcBorders>
              <w:top w:val="single" w:sz="4" w:space="0" w:color="auto"/>
              <w:left w:val="single" w:sz="4" w:space="0" w:color="auto"/>
              <w:bottom w:val="single" w:sz="4" w:space="0" w:color="auto"/>
              <w:right w:val="single" w:sz="4" w:space="0" w:color="auto"/>
            </w:tcBorders>
          </w:tcPr>
          <w:p w14:paraId="099E163F" w14:textId="77777777" w:rsidR="00DC2782" w:rsidRPr="00DC2782" w:rsidRDefault="00DC2782" w:rsidP="00DC2782">
            <w:pPr>
              <w:spacing w:line="276" w:lineRule="auto"/>
            </w:pPr>
            <w:r w:rsidRPr="00DC2782">
              <w:t>Regulas 1169/2006</w:t>
            </w:r>
          </w:p>
          <w:p w14:paraId="10C832B3" w14:textId="77777777" w:rsidR="00DC2782" w:rsidRPr="00DC2782" w:rsidRDefault="00DC2782" w:rsidP="00DC2782">
            <w:pPr>
              <w:spacing w:line="276" w:lineRule="auto"/>
            </w:pPr>
            <w:r w:rsidRPr="00DC2782">
              <w:t>VII pielikuma B daļas 17.punkts</w:t>
            </w:r>
          </w:p>
        </w:tc>
        <w:tc>
          <w:tcPr>
            <w:tcW w:w="2240" w:type="dxa"/>
            <w:tcBorders>
              <w:top w:val="single" w:sz="4" w:space="0" w:color="auto"/>
              <w:left w:val="single" w:sz="4" w:space="0" w:color="auto"/>
              <w:bottom w:val="single" w:sz="4" w:space="0" w:color="auto"/>
              <w:right w:val="single" w:sz="4" w:space="0" w:color="auto"/>
            </w:tcBorders>
          </w:tcPr>
          <w:p w14:paraId="6B4DBF43" w14:textId="77777777" w:rsidR="00DC2782" w:rsidRPr="00DC2782" w:rsidRDefault="00DC2782" w:rsidP="00DC2782">
            <w:r w:rsidRPr="00DC2782">
              <w:t>1.11. apakšpunkts</w:t>
            </w:r>
          </w:p>
        </w:tc>
        <w:tc>
          <w:tcPr>
            <w:tcW w:w="2296" w:type="dxa"/>
            <w:tcBorders>
              <w:top w:val="single" w:sz="4" w:space="0" w:color="auto"/>
              <w:left w:val="single" w:sz="4" w:space="0" w:color="auto"/>
              <w:bottom w:val="single" w:sz="4" w:space="0" w:color="auto"/>
              <w:right w:val="single" w:sz="4" w:space="0" w:color="auto"/>
            </w:tcBorders>
          </w:tcPr>
          <w:p w14:paraId="20AF5D0F" w14:textId="77777777" w:rsidR="00DC2782" w:rsidRPr="00DC2782" w:rsidRDefault="00DC2782" w:rsidP="00DC2782">
            <w:r w:rsidRPr="00DC2782">
              <w:t>Ieviests pilnībā</w:t>
            </w:r>
          </w:p>
          <w:p w14:paraId="0291DBB3"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30A60DF0" w14:textId="77777777" w:rsidR="00DC2782" w:rsidRPr="00DC2782" w:rsidRDefault="00DC2782" w:rsidP="00DC2782">
            <w:r w:rsidRPr="00DC2782">
              <w:t>MK noteikumu projekts neparedz stingrākas prasības</w:t>
            </w:r>
          </w:p>
        </w:tc>
      </w:tr>
      <w:tr w:rsidR="00DC2782" w:rsidRPr="00DC2782" w14:paraId="3DC69A67" w14:textId="77777777" w:rsidTr="00DC2782">
        <w:tc>
          <w:tcPr>
            <w:tcW w:w="2127" w:type="dxa"/>
            <w:tcBorders>
              <w:top w:val="single" w:sz="4" w:space="0" w:color="auto"/>
              <w:left w:val="single" w:sz="4" w:space="0" w:color="auto"/>
              <w:bottom w:val="single" w:sz="4" w:space="0" w:color="auto"/>
              <w:right w:val="single" w:sz="4" w:space="0" w:color="auto"/>
            </w:tcBorders>
          </w:tcPr>
          <w:p w14:paraId="3492FC35" w14:textId="77777777" w:rsidR="00DC2782" w:rsidRPr="00DC2782" w:rsidRDefault="00DC2782" w:rsidP="00DC2782">
            <w:pPr>
              <w:spacing w:line="276" w:lineRule="auto"/>
            </w:pPr>
            <w:r w:rsidRPr="00DC2782">
              <w:t>Regulas 2073/20051. pielikuma 1. nodaļas 1.26. sadaļa</w:t>
            </w:r>
          </w:p>
        </w:tc>
        <w:tc>
          <w:tcPr>
            <w:tcW w:w="2240" w:type="dxa"/>
            <w:tcBorders>
              <w:top w:val="single" w:sz="4" w:space="0" w:color="auto"/>
              <w:left w:val="single" w:sz="4" w:space="0" w:color="auto"/>
              <w:bottom w:val="single" w:sz="4" w:space="0" w:color="auto"/>
              <w:right w:val="single" w:sz="4" w:space="0" w:color="auto"/>
            </w:tcBorders>
          </w:tcPr>
          <w:p w14:paraId="05E24304" w14:textId="77777777" w:rsidR="00DC2782" w:rsidRPr="00DC2782" w:rsidRDefault="00DC2782" w:rsidP="00DC2782">
            <w:r w:rsidRPr="00DC2782">
              <w:t>1.12. apakšpunkts</w:t>
            </w:r>
          </w:p>
        </w:tc>
        <w:tc>
          <w:tcPr>
            <w:tcW w:w="2296" w:type="dxa"/>
            <w:tcBorders>
              <w:top w:val="single" w:sz="4" w:space="0" w:color="auto"/>
              <w:left w:val="single" w:sz="4" w:space="0" w:color="auto"/>
              <w:bottom w:val="single" w:sz="4" w:space="0" w:color="auto"/>
              <w:right w:val="single" w:sz="4" w:space="0" w:color="auto"/>
            </w:tcBorders>
          </w:tcPr>
          <w:p w14:paraId="5431A80D" w14:textId="77777777" w:rsidR="00DC2782" w:rsidRPr="00DC2782" w:rsidRDefault="00DC2782" w:rsidP="00DC2782">
            <w:r w:rsidRPr="00DC2782">
              <w:t>Ieviests pilnībā</w:t>
            </w:r>
          </w:p>
          <w:p w14:paraId="1008CC06"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3C87B8BA" w14:textId="77777777" w:rsidR="00DC2782" w:rsidRPr="00DC2782" w:rsidRDefault="00DC2782" w:rsidP="00DC2782">
            <w:r w:rsidRPr="00DC2782">
              <w:t>MK noteikumu projekts neparedz stingrākas prasības</w:t>
            </w:r>
          </w:p>
        </w:tc>
      </w:tr>
      <w:tr w:rsidR="00DC2782" w:rsidRPr="00DC2782" w14:paraId="73A67DE7" w14:textId="77777777" w:rsidTr="00DC2782">
        <w:tc>
          <w:tcPr>
            <w:tcW w:w="2127" w:type="dxa"/>
            <w:tcBorders>
              <w:top w:val="single" w:sz="4" w:space="0" w:color="auto"/>
              <w:left w:val="single" w:sz="4" w:space="0" w:color="auto"/>
              <w:bottom w:val="single" w:sz="4" w:space="0" w:color="auto"/>
              <w:right w:val="single" w:sz="4" w:space="0" w:color="auto"/>
            </w:tcBorders>
          </w:tcPr>
          <w:p w14:paraId="071E2B4D" w14:textId="77777777" w:rsidR="00DC2782" w:rsidRPr="00DC2782" w:rsidRDefault="00DC2782" w:rsidP="00DC2782">
            <w:pPr>
              <w:spacing w:line="276" w:lineRule="auto"/>
            </w:pPr>
            <w:r w:rsidRPr="00DC2782">
              <w:t>Regulas 853/2004 III pielikuma VIII sadaļas V nodaļa</w:t>
            </w:r>
          </w:p>
        </w:tc>
        <w:tc>
          <w:tcPr>
            <w:tcW w:w="2240" w:type="dxa"/>
            <w:tcBorders>
              <w:top w:val="single" w:sz="4" w:space="0" w:color="auto"/>
              <w:left w:val="single" w:sz="4" w:space="0" w:color="auto"/>
              <w:bottom w:val="single" w:sz="4" w:space="0" w:color="auto"/>
              <w:right w:val="single" w:sz="4" w:space="0" w:color="auto"/>
            </w:tcBorders>
          </w:tcPr>
          <w:p w14:paraId="2B6FE032" w14:textId="77777777" w:rsidR="00DC2782" w:rsidRPr="00DC2782" w:rsidRDefault="00DC2782" w:rsidP="00DC2782">
            <w:r w:rsidRPr="00DC2782">
              <w:t>1.12. apakšpunkts</w:t>
            </w:r>
          </w:p>
        </w:tc>
        <w:tc>
          <w:tcPr>
            <w:tcW w:w="2296" w:type="dxa"/>
            <w:tcBorders>
              <w:top w:val="single" w:sz="4" w:space="0" w:color="auto"/>
              <w:left w:val="single" w:sz="4" w:space="0" w:color="auto"/>
              <w:bottom w:val="single" w:sz="4" w:space="0" w:color="auto"/>
              <w:right w:val="single" w:sz="4" w:space="0" w:color="auto"/>
            </w:tcBorders>
          </w:tcPr>
          <w:p w14:paraId="7DF8B2FB" w14:textId="77777777" w:rsidR="00DC2782" w:rsidRPr="00DC2782" w:rsidRDefault="00DC2782" w:rsidP="00DC2782">
            <w:r w:rsidRPr="00DC2782">
              <w:t>Ieviests pilnībā</w:t>
            </w:r>
          </w:p>
          <w:p w14:paraId="48F738B3"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4F470C0F" w14:textId="77777777" w:rsidR="00DC2782" w:rsidRPr="00DC2782" w:rsidRDefault="00DC2782" w:rsidP="00DC2782">
            <w:r w:rsidRPr="00DC2782">
              <w:t>MK noteikumu projekts neparedz stingrākas prasības</w:t>
            </w:r>
          </w:p>
        </w:tc>
      </w:tr>
      <w:tr w:rsidR="00DC2782" w:rsidRPr="00DC2782" w14:paraId="6EC5C59A" w14:textId="77777777" w:rsidTr="00DC2782">
        <w:tc>
          <w:tcPr>
            <w:tcW w:w="2127" w:type="dxa"/>
            <w:tcBorders>
              <w:top w:val="single" w:sz="4" w:space="0" w:color="auto"/>
              <w:left w:val="single" w:sz="4" w:space="0" w:color="auto"/>
              <w:bottom w:val="single" w:sz="4" w:space="0" w:color="auto"/>
              <w:right w:val="single" w:sz="4" w:space="0" w:color="auto"/>
            </w:tcBorders>
          </w:tcPr>
          <w:p w14:paraId="5538FAAE" w14:textId="77777777" w:rsidR="00DC2782" w:rsidRPr="00DC2782" w:rsidRDefault="00DC2782" w:rsidP="00DC2782">
            <w:pPr>
              <w:spacing w:line="276" w:lineRule="auto"/>
            </w:pPr>
            <w:r w:rsidRPr="00DC2782">
              <w:t>Vispārēja atsauce uz Regulu 1223/2009</w:t>
            </w:r>
          </w:p>
        </w:tc>
        <w:tc>
          <w:tcPr>
            <w:tcW w:w="2240" w:type="dxa"/>
            <w:tcBorders>
              <w:top w:val="single" w:sz="4" w:space="0" w:color="auto"/>
              <w:left w:val="single" w:sz="4" w:space="0" w:color="auto"/>
              <w:bottom w:val="single" w:sz="4" w:space="0" w:color="auto"/>
              <w:right w:val="single" w:sz="4" w:space="0" w:color="auto"/>
            </w:tcBorders>
          </w:tcPr>
          <w:p w14:paraId="05F5D77B" w14:textId="77777777" w:rsidR="00DC2782" w:rsidRPr="00DC2782" w:rsidRDefault="00DC2782" w:rsidP="00DC2782">
            <w:r w:rsidRPr="00DC2782">
              <w:t>1.15. apakšpunkts</w:t>
            </w:r>
          </w:p>
        </w:tc>
        <w:tc>
          <w:tcPr>
            <w:tcW w:w="2296" w:type="dxa"/>
            <w:tcBorders>
              <w:top w:val="single" w:sz="4" w:space="0" w:color="auto"/>
              <w:left w:val="single" w:sz="4" w:space="0" w:color="auto"/>
              <w:bottom w:val="single" w:sz="4" w:space="0" w:color="auto"/>
              <w:right w:val="single" w:sz="4" w:space="0" w:color="auto"/>
            </w:tcBorders>
          </w:tcPr>
          <w:p w14:paraId="43583D3C" w14:textId="77777777" w:rsidR="00DC2782" w:rsidRPr="00DC2782" w:rsidRDefault="00DC2782" w:rsidP="00DC2782">
            <w:r w:rsidRPr="00DC2782">
              <w:t>Ieviests pilnībā</w:t>
            </w:r>
          </w:p>
          <w:p w14:paraId="2B31FF70" w14:textId="77777777" w:rsidR="00DC2782" w:rsidRPr="00DC2782" w:rsidRDefault="00DC2782" w:rsidP="00DC2782"/>
        </w:tc>
        <w:tc>
          <w:tcPr>
            <w:tcW w:w="2693" w:type="dxa"/>
            <w:tcBorders>
              <w:top w:val="single" w:sz="4" w:space="0" w:color="auto"/>
              <w:left w:val="single" w:sz="4" w:space="0" w:color="auto"/>
              <w:bottom w:val="single" w:sz="4" w:space="0" w:color="auto"/>
              <w:right w:val="single" w:sz="4" w:space="0" w:color="auto"/>
            </w:tcBorders>
          </w:tcPr>
          <w:p w14:paraId="382140F5" w14:textId="77777777" w:rsidR="00DC2782" w:rsidRPr="00DC2782" w:rsidRDefault="00DC2782" w:rsidP="00DC2782">
            <w:r w:rsidRPr="00DC2782">
              <w:t>MK noteikumu projekts neparedz stingrākas prasības</w:t>
            </w:r>
          </w:p>
        </w:tc>
      </w:tr>
      <w:tr w:rsidR="00DC2782" w:rsidRPr="00DC2782" w14:paraId="5E841167" w14:textId="77777777" w:rsidTr="00DC2782">
        <w:tc>
          <w:tcPr>
            <w:tcW w:w="4367" w:type="dxa"/>
            <w:gridSpan w:val="2"/>
            <w:tcBorders>
              <w:top w:val="single" w:sz="4" w:space="0" w:color="auto"/>
              <w:left w:val="single" w:sz="4" w:space="0" w:color="auto"/>
              <w:bottom w:val="single" w:sz="4" w:space="0" w:color="auto"/>
              <w:right w:val="single" w:sz="4" w:space="0" w:color="auto"/>
            </w:tcBorders>
            <w:hideMark/>
          </w:tcPr>
          <w:p w14:paraId="343A938A" w14:textId="77777777" w:rsidR="00DC2782" w:rsidRPr="00DC2782" w:rsidRDefault="00DC2782" w:rsidP="00DC2782">
            <w:pPr>
              <w:spacing w:line="276" w:lineRule="auto"/>
            </w:pPr>
            <w:proofErr w:type="gramStart"/>
            <w:r w:rsidRPr="00DC2782">
              <w:t>Kā ir izmantota ES tiesību aktā paredzētā rīcības brīvība dalībvalstij pārņemt vai ieviest</w:t>
            </w:r>
            <w:proofErr w:type="gramEnd"/>
            <w:r w:rsidRPr="00DC2782">
              <w:t xml:space="preserve"> noteiktas ES tiesību akta normas? Kādēļ?</w:t>
            </w:r>
          </w:p>
        </w:tc>
        <w:tc>
          <w:tcPr>
            <w:tcW w:w="4989" w:type="dxa"/>
            <w:gridSpan w:val="2"/>
            <w:tcBorders>
              <w:top w:val="single" w:sz="4" w:space="0" w:color="auto"/>
              <w:left w:val="single" w:sz="4" w:space="0" w:color="auto"/>
              <w:bottom w:val="single" w:sz="4" w:space="0" w:color="auto"/>
              <w:right w:val="single" w:sz="4" w:space="0" w:color="auto"/>
            </w:tcBorders>
            <w:hideMark/>
          </w:tcPr>
          <w:p w14:paraId="463AF2DE" w14:textId="77777777" w:rsidR="00DC2782" w:rsidRPr="00DC2782" w:rsidRDefault="00DC2782" w:rsidP="00DC2782">
            <w:pPr>
              <w:spacing w:line="276" w:lineRule="auto"/>
              <w:jc w:val="center"/>
            </w:pPr>
            <w:r w:rsidRPr="00DC2782">
              <w:t>Projekts šo jomu neskar</w:t>
            </w:r>
          </w:p>
        </w:tc>
      </w:tr>
      <w:tr w:rsidR="00DC2782" w:rsidRPr="00DC2782" w14:paraId="38E3562C" w14:textId="77777777" w:rsidTr="00DC2782">
        <w:tc>
          <w:tcPr>
            <w:tcW w:w="4367" w:type="dxa"/>
            <w:gridSpan w:val="2"/>
            <w:tcBorders>
              <w:top w:val="single" w:sz="4" w:space="0" w:color="auto"/>
              <w:left w:val="single" w:sz="4" w:space="0" w:color="auto"/>
              <w:bottom w:val="single" w:sz="4" w:space="0" w:color="auto"/>
              <w:right w:val="single" w:sz="4" w:space="0" w:color="auto"/>
            </w:tcBorders>
            <w:hideMark/>
          </w:tcPr>
          <w:p w14:paraId="0B9C85B2" w14:textId="77777777" w:rsidR="00DC2782" w:rsidRPr="00DC2782" w:rsidRDefault="00DC2782" w:rsidP="00DC2782">
            <w:pPr>
              <w:spacing w:line="276" w:lineRule="auto"/>
              <w:rPr>
                <w:i/>
              </w:rPr>
            </w:pPr>
            <w:r w:rsidRPr="00DC278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89" w:type="dxa"/>
            <w:gridSpan w:val="2"/>
            <w:tcBorders>
              <w:top w:val="single" w:sz="4" w:space="0" w:color="auto"/>
              <w:left w:val="single" w:sz="4" w:space="0" w:color="auto"/>
              <w:bottom w:val="single" w:sz="4" w:space="0" w:color="auto"/>
              <w:right w:val="single" w:sz="4" w:space="0" w:color="auto"/>
            </w:tcBorders>
            <w:hideMark/>
          </w:tcPr>
          <w:p w14:paraId="0EC1B903" w14:textId="77777777" w:rsidR="00DC2782" w:rsidRPr="00DC2782" w:rsidRDefault="00DC2782" w:rsidP="00DC2782">
            <w:pPr>
              <w:spacing w:line="276" w:lineRule="auto"/>
              <w:jc w:val="center"/>
            </w:pPr>
            <w:r w:rsidRPr="00DC2782">
              <w:t>Projekts šo jomu neskar</w:t>
            </w:r>
          </w:p>
        </w:tc>
      </w:tr>
      <w:tr w:rsidR="00DC2782" w:rsidRPr="00DC2782" w14:paraId="6933BED5" w14:textId="77777777" w:rsidTr="00DC2782">
        <w:tc>
          <w:tcPr>
            <w:tcW w:w="4367" w:type="dxa"/>
            <w:gridSpan w:val="2"/>
            <w:tcBorders>
              <w:top w:val="single" w:sz="4" w:space="0" w:color="auto"/>
              <w:left w:val="single" w:sz="4" w:space="0" w:color="auto"/>
              <w:bottom w:val="single" w:sz="4" w:space="0" w:color="auto"/>
              <w:right w:val="single" w:sz="4" w:space="0" w:color="auto"/>
            </w:tcBorders>
            <w:hideMark/>
          </w:tcPr>
          <w:p w14:paraId="046DA4AA" w14:textId="77777777" w:rsidR="00DC2782" w:rsidRPr="00DC2782" w:rsidRDefault="00DC2782" w:rsidP="00DC2782">
            <w:pPr>
              <w:spacing w:line="276" w:lineRule="auto"/>
              <w:rPr>
                <w:i/>
              </w:rPr>
            </w:pPr>
            <w:r w:rsidRPr="00DC2782">
              <w:t>Cita informācija</w:t>
            </w:r>
          </w:p>
        </w:tc>
        <w:tc>
          <w:tcPr>
            <w:tcW w:w="4989" w:type="dxa"/>
            <w:gridSpan w:val="2"/>
            <w:tcBorders>
              <w:top w:val="single" w:sz="4" w:space="0" w:color="auto"/>
              <w:left w:val="single" w:sz="4" w:space="0" w:color="auto"/>
              <w:bottom w:val="single" w:sz="4" w:space="0" w:color="auto"/>
              <w:right w:val="single" w:sz="4" w:space="0" w:color="auto"/>
            </w:tcBorders>
            <w:hideMark/>
          </w:tcPr>
          <w:p w14:paraId="7D52B697" w14:textId="77777777" w:rsidR="00DC2782" w:rsidRPr="00DC2782" w:rsidRDefault="00DC2782" w:rsidP="00DC2782">
            <w:pPr>
              <w:jc w:val="both"/>
              <w:rPr>
                <w:color w:val="FF0000"/>
              </w:rPr>
            </w:pPr>
          </w:p>
        </w:tc>
      </w:tr>
    </w:tbl>
    <w:p w14:paraId="1B6AC469" w14:textId="77777777" w:rsidR="00DC2782" w:rsidRPr="00F10A1D" w:rsidRDefault="00DC2782" w:rsidP="001A4159">
      <w:pPr>
        <w:spacing w:line="276" w:lineRule="auto"/>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119"/>
        <w:gridCol w:w="5386"/>
      </w:tblGrid>
      <w:tr w:rsidR="00F10A1D" w:rsidRPr="00F10A1D" w14:paraId="1C2FE745" w14:textId="77777777" w:rsidTr="009F4A5C">
        <w:trPr>
          <w:cantSplit/>
        </w:trPr>
        <w:tc>
          <w:tcPr>
            <w:tcW w:w="9072" w:type="dxa"/>
            <w:gridSpan w:val="3"/>
            <w:vAlign w:val="center"/>
            <w:hideMark/>
          </w:tcPr>
          <w:p w14:paraId="461805CD" w14:textId="7C78A4C1" w:rsidR="00487B6F" w:rsidRPr="00F10A1D" w:rsidRDefault="00487B6F" w:rsidP="005516D9">
            <w:pPr>
              <w:spacing w:line="276" w:lineRule="auto"/>
              <w:jc w:val="center"/>
              <w:rPr>
                <w:b/>
                <w:bCs/>
              </w:rPr>
            </w:pPr>
            <w:r w:rsidRPr="00F10A1D">
              <w:rPr>
                <w:b/>
                <w:bCs/>
              </w:rPr>
              <w:t>VI. Sabiedrības līdzdalība un komunikācijas aktivitātes</w:t>
            </w:r>
          </w:p>
        </w:tc>
      </w:tr>
      <w:tr w:rsidR="00F10A1D" w:rsidRPr="00F10A1D" w14:paraId="5E5948EF" w14:textId="77777777" w:rsidTr="009F4A5C">
        <w:trPr>
          <w:cantSplit/>
        </w:trPr>
        <w:tc>
          <w:tcPr>
            <w:tcW w:w="567" w:type="dxa"/>
            <w:tcBorders>
              <w:top w:val="outset" w:sz="6" w:space="0" w:color="auto"/>
              <w:left w:val="outset" w:sz="6" w:space="0" w:color="auto"/>
              <w:bottom w:val="outset" w:sz="6" w:space="0" w:color="auto"/>
              <w:right w:val="outset" w:sz="6" w:space="0" w:color="auto"/>
            </w:tcBorders>
          </w:tcPr>
          <w:p w14:paraId="74C7FF0E" w14:textId="0746BF63" w:rsidR="00BA32AA" w:rsidRPr="00F10A1D" w:rsidRDefault="00BA32AA" w:rsidP="005516D9">
            <w:pPr>
              <w:spacing w:line="276" w:lineRule="auto"/>
              <w:jc w:val="center"/>
            </w:pPr>
            <w:r w:rsidRPr="00F10A1D">
              <w:rPr>
                <w:iCs/>
                <w:lang w:val="en-US"/>
              </w:rPr>
              <w:t>1.</w:t>
            </w:r>
          </w:p>
        </w:tc>
        <w:tc>
          <w:tcPr>
            <w:tcW w:w="3119" w:type="dxa"/>
            <w:tcBorders>
              <w:top w:val="outset" w:sz="6" w:space="0" w:color="auto"/>
              <w:left w:val="outset" w:sz="6" w:space="0" w:color="auto"/>
              <w:bottom w:val="outset" w:sz="6" w:space="0" w:color="auto"/>
              <w:right w:val="outset" w:sz="6" w:space="0" w:color="auto"/>
            </w:tcBorders>
          </w:tcPr>
          <w:p w14:paraId="3790B6BF" w14:textId="4028E360" w:rsidR="00BA32AA" w:rsidRPr="00F10A1D" w:rsidRDefault="00BA32AA" w:rsidP="00F16666">
            <w:pPr>
              <w:spacing w:line="276" w:lineRule="auto"/>
            </w:pPr>
            <w:r w:rsidRPr="00F10A1D">
              <w:rPr>
                <w:iCs/>
              </w:rPr>
              <w:t>Plānotās sabiedrības līdzdalības un komunikācijas aktivitātes saistībā ar projektu</w:t>
            </w:r>
          </w:p>
        </w:tc>
        <w:tc>
          <w:tcPr>
            <w:tcW w:w="5386" w:type="dxa"/>
            <w:shd w:val="clear" w:color="auto" w:fill="auto"/>
          </w:tcPr>
          <w:p w14:paraId="5BC7DD84" w14:textId="77777777" w:rsidR="008C1FF4" w:rsidRPr="00F10A1D" w:rsidRDefault="008C1FF4" w:rsidP="00255372">
            <w:pPr>
              <w:spacing w:line="276" w:lineRule="auto"/>
              <w:ind w:right="252"/>
              <w:jc w:val="both"/>
              <w:rPr>
                <w:iCs/>
              </w:rPr>
            </w:pPr>
            <w:r w:rsidRPr="00F10A1D">
              <w:rPr>
                <w:iCs/>
              </w:rPr>
              <w:t>Nav</w:t>
            </w:r>
          </w:p>
          <w:p w14:paraId="42A24285" w14:textId="08F6C654" w:rsidR="00BA32AA" w:rsidRPr="00F10A1D" w:rsidRDefault="00BA32AA" w:rsidP="008C1FF4">
            <w:pPr>
              <w:spacing w:line="276" w:lineRule="auto"/>
              <w:ind w:right="252"/>
              <w:jc w:val="both"/>
              <w:rPr>
                <w:iCs/>
              </w:rPr>
            </w:pPr>
          </w:p>
        </w:tc>
      </w:tr>
      <w:tr w:rsidR="00A60DFD" w:rsidRPr="00F10A1D" w14:paraId="1FF7D176" w14:textId="77777777" w:rsidTr="009F4A5C">
        <w:trPr>
          <w:cantSplit/>
        </w:trPr>
        <w:tc>
          <w:tcPr>
            <w:tcW w:w="567" w:type="dxa"/>
            <w:tcBorders>
              <w:top w:val="outset" w:sz="6" w:space="0" w:color="auto"/>
              <w:left w:val="outset" w:sz="6" w:space="0" w:color="auto"/>
              <w:bottom w:val="outset" w:sz="6" w:space="0" w:color="auto"/>
              <w:right w:val="outset" w:sz="6" w:space="0" w:color="auto"/>
            </w:tcBorders>
          </w:tcPr>
          <w:p w14:paraId="038D5692" w14:textId="0D8AB4CA" w:rsidR="00A60DFD" w:rsidRPr="00F10A1D" w:rsidRDefault="00A60DFD" w:rsidP="005516D9">
            <w:pPr>
              <w:spacing w:line="276" w:lineRule="auto"/>
              <w:jc w:val="center"/>
              <w:rPr>
                <w:iCs/>
                <w:lang w:val="en-US"/>
              </w:rPr>
            </w:pPr>
            <w:r>
              <w:rPr>
                <w:iCs/>
                <w:lang w:val="en-US"/>
              </w:rPr>
              <w:t>2.</w:t>
            </w:r>
          </w:p>
        </w:tc>
        <w:tc>
          <w:tcPr>
            <w:tcW w:w="3119" w:type="dxa"/>
            <w:tcBorders>
              <w:top w:val="outset" w:sz="6" w:space="0" w:color="auto"/>
              <w:left w:val="outset" w:sz="6" w:space="0" w:color="auto"/>
              <w:bottom w:val="outset" w:sz="6" w:space="0" w:color="auto"/>
              <w:right w:val="outset" w:sz="6" w:space="0" w:color="auto"/>
            </w:tcBorders>
          </w:tcPr>
          <w:p w14:paraId="603EDE34" w14:textId="512FA5E9" w:rsidR="00A60DFD" w:rsidRPr="00F10A1D" w:rsidRDefault="00A60DFD" w:rsidP="00F16666">
            <w:pPr>
              <w:spacing w:line="276" w:lineRule="auto"/>
              <w:rPr>
                <w:iCs/>
              </w:rPr>
            </w:pPr>
            <w:r w:rsidRPr="00FE6D6D">
              <w:rPr>
                <w:iCs/>
              </w:rPr>
              <w:t>Sabiedrības līdzdalība projekta izstrādē</w:t>
            </w:r>
          </w:p>
        </w:tc>
        <w:tc>
          <w:tcPr>
            <w:tcW w:w="5386" w:type="dxa"/>
            <w:shd w:val="clear" w:color="auto" w:fill="auto"/>
          </w:tcPr>
          <w:p w14:paraId="66DF4F73" w14:textId="7245DFD3" w:rsidR="00A60DFD" w:rsidRPr="00A300F6" w:rsidRDefault="00A300F6" w:rsidP="00A300F6">
            <w:pPr>
              <w:spacing w:line="276" w:lineRule="auto"/>
              <w:ind w:left="112" w:right="111"/>
              <w:jc w:val="both"/>
            </w:pPr>
            <w:r w:rsidRPr="00A300F6">
              <w:t>Ikgadējā Fonda darbības programmas novērtēšanas sanāksmē (27.11.2020.), piedaloties EK pārstāvjiem, Fonda vadībā un uzraudzībā iesaistīto institūciju pārstāvjiem, Fonda Konsultatīvās darba grupas pārstāvjiem, tostarp partnerorganizāciju, atbalsta saņēmēju interešu pārstāvošo organizāciju, valsts un pašvaldību institūciju pārstāvjiem sniegta informācija par plānotām izmaiņām normatīvajā regulējumā</w:t>
            </w:r>
          </w:p>
        </w:tc>
      </w:tr>
      <w:tr w:rsidR="00F10A1D" w:rsidRPr="00F10A1D" w14:paraId="4A541DF7" w14:textId="77777777" w:rsidTr="009F4A5C">
        <w:trPr>
          <w:cantSplit/>
        </w:trPr>
        <w:tc>
          <w:tcPr>
            <w:tcW w:w="567" w:type="dxa"/>
            <w:tcBorders>
              <w:top w:val="outset" w:sz="6" w:space="0" w:color="auto"/>
              <w:left w:val="outset" w:sz="6" w:space="0" w:color="auto"/>
              <w:bottom w:val="outset" w:sz="6" w:space="0" w:color="auto"/>
              <w:right w:val="outset" w:sz="6" w:space="0" w:color="auto"/>
            </w:tcBorders>
          </w:tcPr>
          <w:p w14:paraId="27D9DB20" w14:textId="6D0FADC8" w:rsidR="00F10A1D" w:rsidRPr="00A300F6" w:rsidRDefault="00F10A1D" w:rsidP="005516D9">
            <w:pPr>
              <w:spacing w:line="276" w:lineRule="auto"/>
              <w:jc w:val="center"/>
              <w:rPr>
                <w:iCs/>
              </w:rPr>
            </w:pPr>
          </w:p>
        </w:tc>
        <w:tc>
          <w:tcPr>
            <w:tcW w:w="3119" w:type="dxa"/>
            <w:tcBorders>
              <w:top w:val="outset" w:sz="6" w:space="0" w:color="auto"/>
              <w:left w:val="outset" w:sz="6" w:space="0" w:color="auto"/>
              <w:bottom w:val="outset" w:sz="6" w:space="0" w:color="auto"/>
              <w:right w:val="outset" w:sz="6" w:space="0" w:color="auto"/>
            </w:tcBorders>
          </w:tcPr>
          <w:p w14:paraId="6BB83403" w14:textId="0F5BD60F" w:rsidR="00F10A1D" w:rsidRPr="00F10A1D" w:rsidRDefault="00F10A1D" w:rsidP="00F16666">
            <w:pPr>
              <w:spacing w:line="276" w:lineRule="auto"/>
              <w:rPr>
                <w:iCs/>
              </w:rPr>
            </w:pPr>
          </w:p>
        </w:tc>
        <w:tc>
          <w:tcPr>
            <w:tcW w:w="5386" w:type="dxa"/>
            <w:shd w:val="clear" w:color="auto" w:fill="auto"/>
          </w:tcPr>
          <w:p w14:paraId="1C396CF2" w14:textId="49907B16" w:rsidR="00A300F6" w:rsidRPr="00A300F6" w:rsidRDefault="00F10A1D" w:rsidP="00A300F6">
            <w:pPr>
              <w:spacing w:line="276" w:lineRule="auto"/>
              <w:ind w:left="112" w:right="111"/>
              <w:jc w:val="both"/>
            </w:pPr>
            <w:r w:rsidRPr="00A300F6">
              <w:t xml:space="preserve">sociālās aizsardzības jomā saistībā ar iespēju zemu ienākumu mājsaimniecībām izmantot savas sociālās tiesības saņemt atbalstu, </w:t>
            </w:r>
            <w:r w:rsidR="000C16B9" w:rsidRPr="00A300F6">
              <w:t xml:space="preserve">kā arī </w:t>
            </w:r>
            <w:r w:rsidRPr="00A300F6">
              <w:t>ar to saistītām izmaiņām Fonda normatīvajā regulējumā. Vienlaikus iepriekš minētās sanāksmes dalībnieki informēti par plānoto iespējamo atbalsta pielāgošanu epidemioloģiskajai situācijai, piemēram, papildinot atbalsta komplektus ar sejas higiēniskajām maskām. Sanāksmē iesaistītie atbalstīja piedāvātās izmaiņas</w:t>
            </w:r>
            <w:r w:rsidR="001B25F3" w:rsidRPr="00A300F6">
              <w:t>,</w:t>
            </w:r>
            <w:r w:rsidRPr="00A300F6">
              <w:t xml:space="preserve"> </w:t>
            </w:r>
            <w:r w:rsidR="001B25F3" w:rsidRPr="00A300F6">
              <w:t xml:space="preserve">tās </w:t>
            </w:r>
            <w:r w:rsidRPr="00A300F6">
              <w:t>atzinīgi</w:t>
            </w:r>
            <w:r w:rsidR="001B25F3" w:rsidRPr="00A300F6">
              <w:t xml:space="preserve"> vērtējot.</w:t>
            </w:r>
          </w:p>
          <w:p w14:paraId="62E9E60C" w14:textId="2E8D9D32" w:rsidR="001B25F3" w:rsidRPr="00A300F6" w:rsidRDefault="001B25F3" w:rsidP="009E4F74">
            <w:pPr>
              <w:spacing w:line="276" w:lineRule="auto"/>
              <w:ind w:left="112" w:right="111"/>
              <w:jc w:val="both"/>
            </w:pPr>
            <w:r w:rsidRPr="00A300F6">
              <w:t>Noteikumu projektā plānotās izmaiņas apspriestas darbības programmas darbību īstenošanas uzraudzības sanāksmē, piedaloties Fonda sadarbības iestādei (SIF).</w:t>
            </w:r>
          </w:p>
          <w:p w14:paraId="14B04BAE" w14:textId="12E48C92" w:rsidR="001B25F3" w:rsidRPr="00A300F6" w:rsidRDefault="001B25F3" w:rsidP="009E4F74">
            <w:pPr>
              <w:spacing w:line="276" w:lineRule="auto"/>
              <w:ind w:left="112" w:right="111"/>
              <w:jc w:val="both"/>
            </w:pPr>
            <w:r w:rsidRPr="00A300F6">
              <w:t>Noteikumu projekts apspriests, un viedoklis saskaņots sarakstē ar Latvijas Pašvaldību savienību (LPS).</w:t>
            </w:r>
          </w:p>
        </w:tc>
      </w:tr>
      <w:tr w:rsidR="00FE6D6D" w:rsidRPr="00FE6D6D" w14:paraId="2FACC7D4" w14:textId="77777777" w:rsidTr="009F4A5C">
        <w:trPr>
          <w:cantSplit/>
        </w:trPr>
        <w:tc>
          <w:tcPr>
            <w:tcW w:w="567" w:type="dxa"/>
            <w:tcBorders>
              <w:top w:val="outset" w:sz="6" w:space="0" w:color="auto"/>
              <w:left w:val="outset" w:sz="6" w:space="0" w:color="auto"/>
              <w:bottom w:val="outset" w:sz="6" w:space="0" w:color="auto"/>
              <w:right w:val="outset" w:sz="6" w:space="0" w:color="auto"/>
            </w:tcBorders>
          </w:tcPr>
          <w:p w14:paraId="34AAB985" w14:textId="6DF50DDD" w:rsidR="00BA32AA" w:rsidRPr="00FE6D6D" w:rsidRDefault="00BA32AA" w:rsidP="005516D9">
            <w:pPr>
              <w:spacing w:line="276" w:lineRule="auto"/>
              <w:jc w:val="center"/>
            </w:pPr>
            <w:r w:rsidRPr="00FE6D6D">
              <w:rPr>
                <w:iCs/>
                <w:lang w:val="en-US"/>
              </w:rPr>
              <w:t>3.</w:t>
            </w:r>
          </w:p>
        </w:tc>
        <w:tc>
          <w:tcPr>
            <w:tcW w:w="3119" w:type="dxa"/>
            <w:tcBorders>
              <w:top w:val="outset" w:sz="6" w:space="0" w:color="auto"/>
              <w:left w:val="outset" w:sz="6" w:space="0" w:color="auto"/>
              <w:bottom w:val="outset" w:sz="6" w:space="0" w:color="auto"/>
              <w:right w:val="outset" w:sz="6" w:space="0" w:color="auto"/>
            </w:tcBorders>
          </w:tcPr>
          <w:p w14:paraId="149BFCC9" w14:textId="3579024E" w:rsidR="00BA32AA" w:rsidRPr="00FE6D6D" w:rsidRDefault="00BA32AA" w:rsidP="00F16666">
            <w:pPr>
              <w:spacing w:line="276" w:lineRule="auto"/>
            </w:pPr>
            <w:r w:rsidRPr="00FE6D6D">
              <w:rPr>
                <w:iCs/>
              </w:rPr>
              <w:t>Sabiedrības līdzdalības rezultāti</w:t>
            </w:r>
          </w:p>
        </w:tc>
        <w:tc>
          <w:tcPr>
            <w:tcW w:w="5386" w:type="dxa"/>
            <w:shd w:val="clear" w:color="auto" w:fill="auto"/>
          </w:tcPr>
          <w:p w14:paraId="3F3D59DA" w14:textId="6D2EA549" w:rsidR="00BA32AA" w:rsidRPr="00C12E84" w:rsidRDefault="00C12E84" w:rsidP="005E16E7">
            <w:pPr>
              <w:spacing w:line="276" w:lineRule="auto"/>
              <w:jc w:val="both"/>
            </w:pPr>
            <w:r w:rsidRPr="00C12E84">
              <w:t xml:space="preserve">Nav </w:t>
            </w:r>
            <w:r>
              <w:t>attiecināms.</w:t>
            </w:r>
          </w:p>
        </w:tc>
      </w:tr>
      <w:tr w:rsidR="00FE6D6D" w:rsidRPr="00BF5115" w14:paraId="6B1F8061" w14:textId="77777777" w:rsidTr="009F4A5C">
        <w:trPr>
          <w:cantSplit/>
        </w:trPr>
        <w:tc>
          <w:tcPr>
            <w:tcW w:w="567" w:type="dxa"/>
            <w:tcBorders>
              <w:top w:val="outset" w:sz="6" w:space="0" w:color="auto"/>
              <w:left w:val="outset" w:sz="6" w:space="0" w:color="auto"/>
              <w:bottom w:val="outset" w:sz="6" w:space="0" w:color="auto"/>
              <w:right w:val="outset" w:sz="6" w:space="0" w:color="auto"/>
            </w:tcBorders>
          </w:tcPr>
          <w:p w14:paraId="127ADC5F" w14:textId="7E5A35EF" w:rsidR="00BA32AA" w:rsidRPr="00CA6F47" w:rsidRDefault="00BA32AA" w:rsidP="005516D9">
            <w:pPr>
              <w:spacing w:line="276" w:lineRule="auto"/>
              <w:jc w:val="center"/>
            </w:pPr>
            <w:r w:rsidRPr="00CA6F47">
              <w:rPr>
                <w:iCs/>
                <w:lang w:val="en-US"/>
              </w:rPr>
              <w:t>4.</w:t>
            </w:r>
          </w:p>
        </w:tc>
        <w:tc>
          <w:tcPr>
            <w:tcW w:w="3119" w:type="dxa"/>
            <w:tcBorders>
              <w:top w:val="outset" w:sz="6" w:space="0" w:color="auto"/>
              <w:left w:val="outset" w:sz="6" w:space="0" w:color="auto"/>
              <w:bottom w:val="outset" w:sz="6" w:space="0" w:color="auto"/>
              <w:right w:val="outset" w:sz="6" w:space="0" w:color="auto"/>
            </w:tcBorders>
          </w:tcPr>
          <w:p w14:paraId="0E64DF83" w14:textId="65D41C97" w:rsidR="00BA32AA" w:rsidRPr="00BF5115" w:rsidRDefault="00BA32AA" w:rsidP="00F16666">
            <w:pPr>
              <w:spacing w:line="276" w:lineRule="auto"/>
            </w:pPr>
            <w:r w:rsidRPr="00BF5115">
              <w:rPr>
                <w:iCs/>
              </w:rPr>
              <w:t>Cita informācija</w:t>
            </w:r>
          </w:p>
        </w:tc>
        <w:tc>
          <w:tcPr>
            <w:tcW w:w="5386" w:type="dxa"/>
            <w:shd w:val="clear" w:color="auto" w:fill="auto"/>
          </w:tcPr>
          <w:p w14:paraId="4EDF6481" w14:textId="03814EFE" w:rsidR="00BA32AA" w:rsidRPr="00255372" w:rsidRDefault="00BA32AA" w:rsidP="00F16666">
            <w:pPr>
              <w:spacing w:line="276" w:lineRule="auto"/>
            </w:pPr>
            <w:r w:rsidRPr="00255372">
              <w:t>Nav</w:t>
            </w:r>
          </w:p>
        </w:tc>
      </w:tr>
    </w:tbl>
    <w:p w14:paraId="6193CFDD" w14:textId="77777777" w:rsidR="009B3141" w:rsidRPr="00C32118" w:rsidRDefault="009B3141" w:rsidP="005516D9">
      <w:pPr>
        <w:spacing w:line="276" w:lineRule="auto"/>
        <w:ind w:firstLine="72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2977"/>
        <w:gridCol w:w="5386"/>
      </w:tblGrid>
      <w:tr w:rsidR="00FE6D6D" w:rsidRPr="00FE6D6D" w14:paraId="50B7E6B4" w14:textId="77777777" w:rsidTr="009F4A5C">
        <w:trPr>
          <w:cantSplit/>
        </w:trPr>
        <w:tc>
          <w:tcPr>
            <w:tcW w:w="9072" w:type="dxa"/>
            <w:gridSpan w:val="3"/>
            <w:vAlign w:val="center"/>
            <w:hideMark/>
          </w:tcPr>
          <w:p w14:paraId="6DD99F0F" w14:textId="77777777" w:rsidR="0058490F" w:rsidRPr="00FE6D6D" w:rsidRDefault="0058490F" w:rsidP="00F16666">
            <w:pPr>
              <w:spacing w:line="276" w:lineRule="auto"/>
              <w:jc w:val="center"/>
              <w:rPr>
                <w:b/>
                <w:bCs/>
              </w:rPr>
            </w:pPr>
            <w:r w:rsidRPr="00FE6D6D">
              <w:rPr>
                <w:b/>
                <w:bCs/>
              </w:rPr>
              <w:t>VII. Tiesību akta projekta izpildes nodrošināšana un tās ietekme uz institūcijām</w:t>
            </w:r>
          </w:p>
        </w:tc>
      </w:tr>
      <w:tr w:rsidR="00A907D6" w:rsidRPr="00A907D6" w14:paraId="7E6D403E" w14:textId="77777777" w:rsidTr="009F4A5C">
        <w:trPr>
          <w:cantSplit/>
        </w:trPr>
        <w:tc>
          <w:tcPr>
            <w:tcW w:w="709" w:type="dxa"/>
            <w:hideMark/>
          </w:tcPr>
          <w:p w14:paraId="3A1A62BB" w14:textId="77777777" w:rsidR="0058490F" w:rsidRPr="00A907D6" w:rsidRDefault="0058490F" w:rsidP="005516D9">
            <w:pPr>
              <w:spacing w:line="276" w:lineRule="auto"/>
              <w:jc w:val="center"/>
            </w:pPr>
            <w:r w:rsidRPr="00A907D6">
              <w:t>1.</w:t>
            </w:r>
          </w:p>
        </w:tc>
        <w:tc>
          <w:tcPr>
            <w:tcW w:w="2977" w:type="dxa"/>
            <w:hideMark/>
          </w:tcPr>
          <w:p w14:paraId="214A6385" w14:textId="77777777" w:rsidR="0058490F" w:rsidRPr="00A907D6" w:rsidRDefault="0058490F" w:rsidP="00F16666">
            <w:pPr>
              <w:spacing w:line="276" w:lineRule="auto"/>
            </w:pPr>
            <w:r w:rsidRPr="00A907D6">
              <w:t>Projekta izpildē iesaistītās institūcijas</w:t>
            </w:r>
          </w:p>
        </w:tc>
        <w:tc>
          <w:tcPr>
            <w:tcW w:w="5386" w:type="dxa"/>
            <w:hideMark/>
          </w:tcPr>
          <w:p w14:paraId="3E3E7DCF" w14:textId="5CCE2BF2" w:rsidR="0058490F" w:rsidRPr="00A907D6" w:rsidRDefault="00B12BC6" w:rsidP="00B12BC6">
            <w:pPr>
              <w:spacing w:line="276" w:lineRule="auto"/>
              <w:jc w:val="both"/>
            </w:pPr>
            <w:r w:rsidRPr="00A907D6">
              <w:t>LM</w:t>
            </w:r>
            <w:r w:rsidR="0061177B" w:rsidRPr="00A907D6">
              <w:t xml:space="preserve">, </w:t>
            </w:r>
            <w:r w:rsidRPr="00A907D6">
              <w:t>SIF</w:t>
            </w:r>
          </w:p>
        </w:tc>
      </w:tr>
      <w:tr w:rsidR="00A907D6" w:rsidRPr="00A907D6" w14:paraId="70FD7A6A" w14:textId="77777777" w:rsidTr="009F4A5C">
        <w:trPr>
          <w:cantSplit/>
        </w:trPr>
        <w:tc>
          <w:tcPr>
            <w:tcW w:w="709" w:type="dxa"/>
            <w:hideMark/>
          </w:tcPr>
          <w:p w14:paraId="404686C1" w14:textId="77777777" w:rsidR="0058490F" w:rsidRPr="00A907D6" w:rsidRDefault="0058490F" w:rsidP="005516D9">
            <w:pPr>
              <w:spacing w:line="276" w:lineRule="auto"/>
              <w:jc w:val="center"/>
            </w:pPr>
            <w:r w:rsidRPr="00A907D6">
              <w:t>2.</w:t>
            </w:r>
          </w:p>
        </w:tc>
        <w:tc>
          <w:tcPr>
            <w:tcW w:w="2977" w:type="dxa"/>
            <w:hideMark/>
          </w:tcPr>
          <w:p w14:paraId="6CAC7A3E" w14:textId="77777777" w:rsidR="0058490F" w:rsidRPr="00A907D6" w:rsidRDefault="0058490F" w:rsidP="00F16666">
            <w:pPr>
              <w:spacing w:line="276" w:lineRule="auto"/>
            </w:pPr>
            <w:r w:rsidRPr="00A907D6">
              <w:t>Projekta izpildes ietekme uz pārvaldes funkcijām un institucionālo struktūru.</w:t>
            </w:r>
            <w:r w:rsidRPr="00A907D6">
              <w:br/>
              <w:t>Jaunu institūciju izveide, esošu institūciju likvidācija vai reorganizācija, to ietekme uz institūcijas cilvēkresursiem</w:t>
            </w:r>
          </w:p>
        </w:tc>
        <w:tc>
          <w:tcPr>
            <w:tcW w:w="5386" w:type="dxa"/>
            <w:hideMark/>
          </w:tcPr>
          <w:p w14:paraId="2FDA9E73" w14:textId="77777777" w:rsidR="0058490F" w:rsidRPr="00A907D6" w:rsidRDefault="0058490F" w:rsidP="00C721C9">
            <w:pPr>
              <w:pStyle w:val="ListParagraph"/>
              <w:shd w:val="clear" w:color="auto" w:fill="FFFFFF"/>
              <w:spacing w:after="0"/>
              <w:ind w:left="0" w:right="111"/>
              <w:contextualSpacing w:val="0"/>
              <w:jc w:val="both"/>
              <w:rPr>
                <w:rFonts w:ascii="Times New Roman" w:hAnsi="Times New Roman"/>
                <w:sz w:val="24"/>
                <w:szCs w:val="24"/>
              </w:rPr>
            </w:pPr>
            <w:r w:rsidRPr="00A907D6">
              <w:rPr>
                <w:rFonts w:ascii="Times New Roman" w:hAnsi="Times New Roman"/>
                <w:sz w:val="24"/>
                <w:szCs w:val="24"/>
              </w:rPr>
              <w:t>Noteikumu projekts neparedz funkciju paplašināšanu vai sašaurināšanu, kā arī neietekmē pieejamos cilvēkresursus, neparedz veidot jaunas institūcijas vai reorganizēt esošās.</w:t>
            </w:r>
          </w:p>
        </w:tc>
      </w:tr>
      <w:tr w:rsidR="00172CC3" w:rsidRPr="00172CC3" w14:paraId="61422A91" w14:textId="77777777" w:rsidTr="009F4A5C">
        <w:trPr>
          <w:cantSplit/>
        </w:trPr>
        <w:tc>
          <w:tcPr>
            <w:tcW w:w="709" w:type="dxa"/>
            <w:hideMark/>
          </w:tcPr>
          <w:p w14:paraId="474E3024" w14:textId="77777777" w:rsidR="0058490F" w:rsidRPr="00CA6F47" w:rsidRDefault="0058490F" w:rsidP="005516D9">
            <w:pPr>
              <w:spacing w:line="276" w:lineRule="auto"/>
              <w:jc w:val="center"/>
            </w:pPr>
            <w:r w:rsidRPr="00CA6F47">
              <w:t>3.</w:t>
            </w:r>
          </w:p>
        </w:tc>
        <w:tc>
          <w:tcPr>
            <w:tcW w:w="2977" w:type="dxa"/>
            <w:hideMark/>
          </w:tcPr>
          <w:p w14:paraId="1D99A3D5" w14:textId="77777777" w:rsidR="0058490F" w:rsidRPr="00CA6F47" w:rsidRDefault="0058490F" w:rsidP="001A4159">
            <w:pPr>
              <w:spacing w:line="276" w:lineRule="auto"/>
            </w:pPr>
            <w:r w:rsidRPr="00CA6F47">
              <w:t>Cita informācija</w:t>
            </w:r>
          </w:p>
        </w:tc>
        <w:tc>
          <w:tcPr>
            <w:tcW w:w="5386" w:type="dxa"/>
            <w:hideMark/>
          </w:tcPr>
          <w:p w14:paraId="2A2ED22F" w14:textId="12EAAA0B" w:rsidR="0058490F" w:rsidRPr="001A4159" w:rsidRDefault="00606A11" w:rsidP="00C721C9">
            <w:pPr>
              <w:spacing w:line="276" w:lineRule="auto"/>
              <w:ind w:right="111"/>
              <w:jc w:val="both"/>
            </w:pPr>
            <w:r w:rsidRPr="001A4159">
              <w:t xml:space="preserve">Noteikumu projekts tiks īstenots </w:t>
            </w:r>
            <w:r w:rsidR="00B12BC6">
              <w:t>SIF</w:t>
            </w:r>
            <w:r w:rsidRPr="001A4159">
              <w:t xml:space="preserve"> esošo </w:t>
            </w:r>
            <w:r w:rsidR="00CC7561" w:rsidRPr="001A4159">
              <w:t xml:space="preserve">valsts budžeta </w:t>
            </w:r>
            <w:r w:rsidRPr="001A4159">
              <w:t>līdzekļu ietvaros</w:t>
            </w:r>
          </w:p>
        </w:tc>
      </w:tr>
    </w:tbl>
    <w:p w14:paraId="13137E1B" w14:textId="77777777" w:rsidR="0058490F" w:rsidRPr="00A907D6" w:rsidRDefault="0058490F" w:rsidP="005516D9">
      <w:pPr>
        <w:spacing w:line="276" w:lineRule="auto"/>
        <w:ind w:firstLine="720"/>
      </w:pPr>
    </w:p>
    <w:p w14:paraId="2BE5BA2F" w14:textId="77777777" w:rsidR="00EA37CB" w:rsidRPr="00A907D6" w:rsidRDefault="00EA37CB" w:rsidP="00F16666">
      <w:pPr>
        <w:spacing w:line="276" w:lineRule="auto"/>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6758E" w:rsidRPr="00A907D6" w14:paraId="7CABB940" w14:textId="77777777" w:rsidTr="0026758E">
        <w:tc>
          <w:tcPr>
            <w:tcW w:w="4530" w:type="dxa"/>
          </w:tcPr>
          <w:p w14:paraId="2D93DF3B" w14:textId="2F66DA5C" w:rsidR="0026758E" w:rsidRPr="00A907D6" w:rsidRDefault="0026758E">
            <w:pPr>
              <w:spacing w:line="276" w:lineRule="auto"/>
            </w:pPr>
            <w:r w:rsidRPr="00A907D6">
              <w:t>Labklājības ministr</w:t>
            </w:r>
            <w:r w:rsidR="00206A21" w:rsidRPr="00A907D6">
              <w:t>e</w:t>
            </w:r>
          </w:p>
        </w:tc>
        <w:tc>
          <w:tcPr>
            <w:tcW w:w="4531" w:type="dxa"/>
          </w:tcPr>
          <w:p w14:paraId="1CE79E2C" w14:textId="1CF932F3" w:rsidR="0026758E" w:rsidRPr="00A907D6" w:rsidRDefault="00206A21">
            <w:pPr>
              <w:spacing w:line="276" w:lineRule="auto"/>
              <w:jc w:val="right"/>
            </w:pPr>
            <w:proofErr w:type="spellStart"/>
            <w:r w:rsidRPr="00A907D6">
              <w:t>R.Petraviča</w:t>
            </w:r>
            <w:proofErr w:type="spellEnd"/>
          </w:p>
        </w:tc>
      </w:tr>
    </w:tbl>
    <w:p w14:paraId="218EE059" w14:textId="77777777" w:rsidR="00E26FD9" w:rsidRPr="00A907D6" w:rsidRDefault="00E26FD9" w:rsidP="005516D9">
      <w:pPr>
        <w:spacing w:line="276" w:lineRule="auto"/>
        <w:ind w:firstLine="720"/>
        <w:rPr>
          <w:sz w:val="20"/>
          <w:szCs w:val="20"/>
        </w:rPr>
      </w:pPr>
    </w:p>
    <w:p w14:paraId="0EF1F0CA" w14:textId="77777777" w:rsidR="0061177B" w:rsidRPr="00A907D6" w:rsidRDefault="0061177B" w:rsidP="00F16666">
      <w:pPr>
        <w:spacing w:line="276" w:lineRule="auto"/>
        <w:ind w:firstLine="720"/>
        <w:rPr>
          <w:sz w:val="20"/>
          <w:szCs w:val="20"/>
        </w:rPr>
      </w:pPr>
    </w:p>
    <w:p w14:paraId="74C90FB1" w14:textId="77777777" w:rsidR="008B3221" w:rsidRPr="00A907D6" w:rsidRDefault="008B3221" w:rsidP="00F16666">
      <w:pPr>
        <w:spacing w:line="276" w:lineRule="auto"/>
        <w:ind w:firstLine="720"/>
        <w:rPr>
          <w:sz w:val="20"/>
          <w:szCs w:val="20"/>
        </w:rPr>
      </w:pPr>
    </w:p>
    <w:p w14:paraId="606BDE01" w14:textId="77777777" w:rsidR="008B3221" w:rsidRPr="00A907D6" w:rsidRDefault="008B3221">
      <w:pPr>
        <w:spacing w:line="276" w:lineRule="auto"/>
        <w:ind w:firstLine="720"/>
        <w:rPr>
          <w:sz w:val="20"/>
          <w:szCs w:val="20"/>
        </w:rPr>
      </w:pPr>
      <w:bookmarkStart w:id="1" w:name="_GoBack"/>
      <w:bookmarkEnd w:id="1"/>
    </w:p>
    <w:p w14:paraId="23853416" w14:textId="77777777" w:rsidR="00E64C9B" w:rsidRPr="00A907D6" w:rsidRDefault="00E64C9B">
      <w:pPr>
        <w:spacing w:line="276" w:lineRule="auto"/>
        <w:ind w:firstLine="720"/>
        <w:rPr>
          <w:sz w:val="20"/>
          <w:szCs w:val="20"/>
        </w:rPr>
      </w:pPr>
    </w:p>
    <w:p w14:paraId="4E5CDA95" w14:textId="64433D71" w:rsidR="003B7D11" w:rsidRPr="00A907D6" w:rsidRDefault="003B7D11">
      <w:pPr>
        <w:spacing w:line="276" w:lineRule="auto"/>
        <w:rPr>
          <w:sz w:val="20"/>
          <w:szCs w:val="20"/>
        </w:rPr>
      </w:pPr>
      <w:r w:rsidRPr="00A907D6">
        <w:rPr>
          <w:sz w:val="20"/>
          <w:szCs w:val="20"/>
        </w:rPr>
        <w:fldChar w:fldCharType="begin"/>
      </w:r>
      <w:r w:rsidRPr="00A907D6">
        <w:rPr>
          <w:sz w:val="20"/>
          <w:szCs w:val="20"/>
        </w:rPr>
        <w:instrText xml:space="preserve"> TIME \@ "dd.MM.yyyy H:mm" </w:instrText>
      </w:r>
      <w:r w:rsidRPr="00A907D6">
        <w:rPr>
          <w:sz w:val="20"/>
          <w:szCs w:val="20"/>
        </w:rPr>
        <w:fldChar w:fldCharType="separate"/>
      </w:r>
      <w:r w:rsidR="00C248F4">
        <w:rPr>
          <w:noProof/>
          <w:sz w:val="20"/>
          <w:szCs w:val="20"/>
        </w:rPr>
        <w:t>10.12.2020 8:04</w:t>
      </w:r>
      <w:r w:rsidRPr="00A907D6">
        <w:rPr>
          <w:sz w:val="20"/>
          <w:szCs w:val="20"/>
        </w:rPr>
        <w:fldChar w:fldCharType="end"/>
      </w:r>
      <w:r w:rsidR="006A609A" w:rsidRPr="00A907D6">
        <w:rPr>
          <w:sz w:val="20"/>
          <w:szCs w:val="20"/>
        </w:rPr>
        <w:t>.</w:t>
      </w:r>
    </w:p>
    <w:p w14:paraId="5B3A5F11" w14:textId="0DCFC050" w:rsidR="00134B13" w:rsidRPr="00A907D6" w:rsidRDefault="00DC2782">
      <w:pPr>
        <w:spacing w:line="276" w:lineRule="auto"/>
        <w:jc w:val="both"/>
        <w:rPr>
          <w:sz w:val="20"/>
          <w:szCs w:val="20"/>
        </w:rPr>
      </w:pPr>
      <w:r w:rsidRPr="00C248F4">
        <w:rPr>
          <w:sz w:val="20"/>
          <w:szCs w:val="20"/>
        </w:rPr>
        <w:t>3176</w:t>
      </w:r>
    </w:p>
    <w:p w14:paraId="1E19C17E" w14:textId="3A857D4A" w:rsidR="009F5A5E" w:rsidRPr="00A907D6" w:rsidRDefault="00CA2A46">
      <w:pPr>
        <w:spacing w:line="276" w:lineRule="auto"/>
        <w:rPr>
          <w:sz w:val="20"/>
          <w:szCs w:val="20"/>
        </w:rPr>
      </w:pPr>
      <w:r w:rsidRPr="00A907D6">
        <w:rPr>
          <w:sz w:val="20"/>
          <w:szCs w:val="20"/>
        </w:rPr>
        <w:t>I.Latviete</w:t>
      </w:r>
      <w:r w:rsidR="0061177B" w:rsidRPr="00A907D6">
        <w:rPr>
          <w:sz w:val="20"/>
          <w:szCs w:val="20"/>
        </w:rPr>
        <w:t xml:space="preserve"> </w:t>
      </w:r>
      <w:r w:rsidR="009F5A5E" w:rsidRPr="00A907D6">
        <w:rPr>
          <w:sz w:val="20"/>
          <w:szCs w:val="20"/>
        </w:rPr>
        <w:t>Tāl.</w:t>
      </w:r>
      <w:r w:rsidR="009B3141" w:rsidRPr="00A907D6">
        <w:rPr>
          <w:sz w:val="20"/>
          <w:szCs w:val="20"/>
        </w:rPr>
        <w:t>67201653</w:t>
      </w:r>
      <w:r w:rsidR="00E477C2" w:rsidRPr="00A907D6">
        <w:rPr>
          <w:sz w:val="20"/>
          <w:szCs w:val="20"/>
        </w:rPr>
        <w:t xml:space="preserve">, </w:t>
      </w:r>
      <w:hyperlink r:id="rId9" w:history="1">
        <w:r w:rsidRPr="00A907D6">
          <w:rPr>
            <w:rStyle w:val="Hyperlink"/>
            <w:color w:val="auto"/>
            <w:sz w:val="20"/>
            <w:szCs w:val="20"/>
          </w:rPr>
          <w:t>Ilze.Latviete@lm.gov.lv</w:t>
        </w:r>
      </w:hyperlink>
    </w:p>
    <w:p w14:paraId="7C364285" w14:textId="13E580A4" w:rsidR="007F5AA0" w:rsidRPr="00A907D6" w:rsidRDefault="007F5AA0">
      <w:pPr>
        <w:spacing w:line="276" w:lineRule="auto"/>
        <w:rPr>
          <w:sz w:val="20"/>
          <w:szCs w:val="20"/>
        </w:rPr>
      </w:pPr>
      <w:r w:rsidRPr="00A907D6">
        <w:rPr>
          <w:sz w:val="20"/>
          <w:szCs w:val="20"/>
        </w:rPr>
        <w:t>L.Grafa</w:t>
      </w:r>
      <w:r w:rsidR="0061177B" w:rsidRPr="00A907D6">
        <w:rPr>
          <w:sz w:val="20"/>
          <w:szCs w:val="20"/>
        </w:rPr>
        <w:t xml:space="preserve"> </w:t>
      </w:r>
      <w:r w:rsidRPr="00A907D6">
        <w:rPr>
          <w:sz w:val="20"/>
          <w:szCs w:val="20"/>
        </w:rPr>
        <w:t>Tāl.67021679</w:t>
      </w:r>
      <w:r w:rsidR="00E477C2" w:rsidRPr="00A907D6">
        <w:rPr>
          <w:sz w:val="20"/>
          <w:szCs w:val="20"/>
        </w:rPr>
        <w:t xml:space="preserve">, </w:t>
      </w:r>
      <w:hyperlink r:id="rId10" w:history="1">
        <w:r w:rsidR="00CA2A46" w:rsidRPr="00A907D6">
          <w:rPr>
            <w:rStyle w:val="Hyperlink"/>
            <w:color w:val="auto"/>
            <w:sz w:val="20"/>
            <w:szCs w:val="20"/>
          </w:rPr>
          <w:t>Lauma.Grafa@lm.gov.lv</w:t>
        </w:r>
      </w:hyperlink>
      <w:r w:rsidRPr="00A907D6">
        <w:rPr>
          <w:sz w:val="20"/>
          <w:szCs w:val="20"/>
        </w:rPr>
        <w:t xml:space="preserve"> </w:t>
      </w:r>
    </w:p>
    <w:sectPr w:rsidR="007F5AA0" w:rsidRPr="00A907D6" w:rsidSect="006E392E">
      <w:headerReference w:type="even" r:id="rId11"/>
      <w:headerReference w:type="default" r:id="rId12"/>
      <w:footerReference w:type="default" r:id="rId13"/>
      <w:footerReference w:type="first" r:id="rId14"/>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54B20" w14:textId="77777777" w:rsidR="00F87805" w:rsidRDefault="00F87805">
      <w:r>
        <w:separator/>
      </w:r>
    </w:p>
  </w:endnote>
  <w:endnote w:type="continuationSeparator" w:id="0">
    <w:p w14:paraId="3F86FD60" w14:textId="77777777" w:rsidR="00F87805" w:rsidRDefault="00F8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5B67" w14:textId="77777777" w:rsidR="00F87805" w:rsidRDefault="00F87805" w:rsidP="00B370AB">
    <w:pPr>
      <w:pStyle w:val="Footer"/>
      <w:jc w:val="both"/>
      <w:rPr>
        <w:sz w:val="20"/>
        <w:szCs w:val="20"/>
      </w:rPr>
    </w:pPr>
  </w:p>
  <w:p w14:paraId="68C697CE" w14:textId="029903F4" w:rsidR="00F87805" w:rsidRPr="00F96165" w:rsidRDefault="00F87805" w:rsidP="0041616F">
    <w:pPr>
      <w:pStyle w:val="Footer"/>
      <w:jc w:val="center"/>
    </w:pPr>
    <w:r>
      <w:rPr>
        <w:bCs/>
        <w:sz w:val="20"/>
        <w:szCs w:val="20"/>
        <w:lang w:eastAsia="ar-SA"/>
      </w:rPr>
      <w:fldChar w:fldCharType="begin"/>
    </w:r>
    <w:r>
      <w:rPr>
        <w:bCs/>
        <w:sz w:val="20"/>
        <w:szCs w:val="20"/>
        <w:lang w:eastAsia="ar-SA"/>
      </w:rPr>
      <w:instrText xml:space="preserve"> FILENAME \* MERGEFORMAT </w:instrText>
    </w:r>
    <w:r>
      <w:rPr>
        <w:bCs/>
        <w:sz w:val="20"/>
        <w:szCs w:val="20"/>
        <w:lang w:eastAsia="ar-SA"/>
      </w:rPr>
      <w:fldChar w:fldCharType="separate"/>
    </w:r>
    <w:r w:rsidR="00931B00">
      <w:rPr>
        <w:bCs/>
        <w:noProof/>
        <w:sz w:val="20"/>
        <w:szCs w:val="20"/>
        <w:lang w:eastAsia="ar-SA"/>
      </w:rPr>
      <w:t>LMAnot_04122020_MKN727groz</w:t>
    </w:r>
    <w:r>
      <w:rPr>
        <w:bCs/>
        <w:sz w:val="20"/>
        <w:szCs w:val="20"/>
        <w:lang w:eastAsia="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62CB" w14:textId="43394A55" w:rsidR="00F87805" w:rsidRPr="0041616F" w:rsidRDefault="00F87805" w:rsidP="0041616F">
    <w:pPr>
      <w:pStyle w:val="Footer"/>
      <w:jc w:val="center"/>
    </w:pPr>
    <w:r>
      <w:rPr>
        <w:bCs/>
        <w:sz w:val="20"/>
        <w:szCs w:val="20"/>
        <w:lang w:eastAsia="ar-SA"/>
      </w:rPr>
      <w:fldChar w:fldCharType="begin"/>
    </w:r>
    <w:r>
      <w:rPr>
        <w:bCs/>
        <w:sz w:val="20"/>
        <w:szCs w:val="20"/>
        <w:lang w:eastAsia="ar-SA"/>
      </w:rPr>
      <w:instrText xml:space="preserve"> FILENAME \* MERGEFORMAT </w:instrText>
    </w:r>
    <w:r>
      <w:rPr>
        <w:bCs/>
        <w:sz w:val="20"/>
        <w:szCs w:val="20"/>
        <w:lang w:eastAsia="ar-SA"/>
      </w:rPr>
      <w:fldChar w:fldCharType="separate"/>
    </w:r>
    <w:r w:rsidR="00931B00">
      <w:rPr>
        <w:bCs/>
        <w:noProof/>
        <w:sz w:val="20"/>
        <w:szCs w:val="20"/>
        <w:lang w:eastAsia="ar-SA"/>
      </w:rPr>
      <w:t>LMAnot_04122020_MKN727groz</w:t>
    </w:r>
    <w:r>
      <w:rPr>
        <w:bCs/>
        <w:sz w:val="20"/>
        <w:szCs w:val="20"/>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3618" w14:textId="77777777" w:rsidR="00F87805" w:rsidRDefault="00F87805">
      <w:r>
        <w:separator/>
      </w:r>
    </w:p>
  </w:footnote>
  <w:footnote w:type="continuationSeparator" w:id="0">
    <w:p w14:paraId="1FADFDFB" w14:textId="77777777" w:rsidR="00F87805" w:rsidRDefault="00F87805">
      <w:r>
        <w:continuationSeparator/>
      </w:r>
    </w:p>
  </w:footnote>
  <w:footnote w:id="1">
    <w:p w14:paraId="19366ED6" w14:textId="33A22183" w:rsidR="00F87805" w:rsidRDefault="00F87805">
      <w:pPr>
        <w:pStyle w:val="FootnoteText"/>
      </w:pPr>
      <w:r>
        <w:rPr>
          <w:rStyle w:val="FootnoteReference"/>
        </w:rPr>
        <w:footnoteRef/>
      </w:r>
      <w:r>
        <w:t xml:space="preserve"> </w:t>
      </w:r>
      <w:r w:rsidRPr="00D14614">
        <w:rPr>
          <w:bCs/>
        </w:rPr>
        <w:t>Ministru kabineta 2014. gada 25. novembra noteikum</w:t>
      </w:r>
      <w:r>
        <w:rPr>
          <w:bCs/>
        </w:rPr>
        <w:t>i</w:t>
      </w:r>
      <w:r w:rsidRPr="00D14614">
        <w:rPr>
          <w:bCs/>
        </w:rPr>
        <w:t xml:space="preserve"> Nr. 727 „Darbības programmas ”Pārtikas un pamata materiālās palīdzības sniegšana vistrūcīgākajām personām 2014.-2020. gada plānošanas periodā” </w:t>
      </w:r>
      <w:r>
        <w:rPr>
          <w:bCs/>
        </w:rPr>
        <w:t>īstenošanas noteikumi”</w:t>
      </w:r>
    </w:p>
  </w:footnote>
  <w:footnote w:id="2">
    <w:p w14:paraId="102B9D07" w14:textId="033E3129" w:rsidR="00F87805" w:rsidRDefault="00F87805">
      <w:pPr>
        <w:pStyle w:val="FootnoteText"/>
      </w:pPr>
      <w:r>
        <w:rPr>
          <w:rStyle w:val="FootnoteReference"/>
        </w:rPr>
        <w:footnoteRef/>
      </w:r>
      <w:r>
        <w:t xml:space="preserve"> Latvijas skala – Latvijā piemērojams </w:t>
      </w:r>
      <w:r w:rsidRPr="00202DD6">
        <w:t xml:space="preserve">ienākumu aprēķins, </w:t>
      </w:r>
      <w:bookmarkStart w:id="0" w:name="_Hlk49959749"/>
      <w:r w:rsidRPr="00202DD6">
        <w:t>kurā pirmajam pieaugušajam mājsaimniecībā ekvivalentais svars ir 1, katram nākamajam mājsaimniecības loceklim, tostarp bērnam, ekvivalences svars ir 0.7</w:t>
      </w:r>
      <w:bookmarkEnd w:id="0"/>
    </w:p>
  </w:footnote>
  <w:footnote w:id="3">
    <w:p w14:paraId="45CA1496" w14:textId="49BD6E53" w:rsidR="00F87805" w:rsidRDefault="00F87805">
      <w:pPr>
        <w:pStyle w:val="FootnoteText"/>
      </w:pPr>
      <w:r>
        <w:rPr>
          <w:rStyle w:val="FootnoteReference"/>
        </w:rPr>
        <w:footnoteRef/>
      </w:r>
      <w:r>
        <w:t xml:space="preserve"> Ienākumu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w:t>
      </w:r>
    </w:p>
  </w:footnote>
  <w:footnote w:id="4">
    <w:p w14:paraId="76989BBA" w14:textId="52F225BC" w:rsidR="00F87805" w:rsidRDefault="00F87805">
      <w:pPr>
        <w:pStyle w:val="FootnoteText"/>
      </w:pPr>
      <w:r>
        <w:rPr>
          <w:rStyle w:val="FootnoteReference"/>
        </w:rPr>
        <w:footnoteRef/>
      </w:r>
      <w:r>
        <w:t xml:space="preserve"> Eiropas Atbalsta fonda vistrūcīgākajām personām ieviešanas novērtēšanas ziņojums par periodu no 01.01.2019. līdz 31.12.2019.</w:t>
      </w:r>
    </w:p>
  </w:footnote>
  <w:footnote w:id="5">
    <w:p w14:paraId="2C45FDD5" w14:textId="77777777" w:rsidR="00F10A1D" w:rsidRPr="00A826BF" w:rsidRDefault="00F10A1D" w:rsidP="00F10A1D">
      <w:pPr>
        <w:pStyle w:val="FootnoteText"/>
      </w:pPr>
      <w:r w:rsidRPr="00A826BF">
        <w:rPr>
          <w:rStyle w:val="FootnoteReference"/>
        </w:rPr>
        <w:footnoteRef/>
      </w:r>
      <w:r w:rsidRPr="00A826BF">
        <w:t xml:space="preserve"> 1994. gada 19. maija likums “Par pašvaldībām” 15. panta 7) punkts</w:t>
      </w:r>
    </w:p>
  </w:footnote>
  <w:footnote w:id="6">
    <w:p w14:paraId="14853C6D" w14:textId="77777777" w:rsidR="00A60DFD" w:rsidRPr="00C721C9" w:rsidRDefault="00A60DFD" w:rsidP="00A60DFD">
      <w:pPr>
        <w:pStyle w:val="FootnoteText"/>
        <w:jc w:val="left"/>
      </w:pPr>
      <w:r w:rsidRPr="00C721C9">
        <w:rPr>
          <w:rStyle w:val="FootnoteReference"/>
        </w:rPr>
        <w:footnoteRef/>
      </w:r>
      <w:r w:rsidRPr="00C721C9">
        <w:t xml:space="preserve"> CSP, Materiālā nenodrošinātība Latvijā </w:t>
      </w:r>
      <w:proofErr w:type="gramStart"/>
      <w:r w:rsidRPr="00C721C9">
        <w:t>2019.gadā</w:t>
      </w:r>
      <w:proofErr w:type="gramEnd"/>
      <w:r w:rsidRPr="00C721C9">
        <w:t xml:space="preserve">, pieejams: </w:t>
      </w:r>
      <w:hyperlink r:id="rId1" w:history="1">
        <w:r w:rsidRPr="00C721C9">
          <w:rPr>
            <w:rStyle w:val="Hyperlink"/>
            <w:color w:val="auto"/>
          </w:rPr>
          <w:t>https://www.csb.gov.lv/lv/statistika/statistikas-temas/socialie-procesi/nabadziba/meklet-tema/415-materiala-nenodrosinatiba-latvija-2019-gada</w:t>
        </w:r>
      </w:hyperlink>
      <w:r w:rsidRPr="00C721C9">
        <w:t>, skatīts 16.07.2020.</w:t>
      </w:r>
    </w:p>
  </w:footnote>
  <w:footnote w:id="7">
    <w:p w14:paraId="566BEEB3" w14:textId="77777777" w:rsidR="00A60DFD" w:rsidRPr="00C721C9" w:rsidRDefault="00A60DFD" w:rsidP="00A60DFD">
      <w:pPr>
        <w:pStyle w:val="FootnoteText"/>
        <w:jc w:val="left"/>
      </w:pPr>
      <w:r w:rsidRPr="00C721C9">
        <w:rPr>
          <w:rStyle w:val="FootnoteReference"/>
        </w:rPr>
        <w:footnoteRef/>
      </w:r>
      <w:r w:rsidRPr="00C721C9">
        <w:t xml:space="preserve"> CSP, MNG140 Iedzīvotāju dziļa materiālā nenodrošinātība (%) </w:t>
      </w:r>
      <w:proofErr w:type="gramStart"/>
      <w:r w:rsidRPr="00C721C9">
        <w:t>2019.gadā</w:t>
      </w:r>
      <w:proofErr w:type="gramEnd"/>
      <w:r w:rsidRPr="00C721C9">
        <w:t xml:space="preserve">, pieejams: </w:t>
      </w:r>
      <w:hyperlink r:id="rId2" w:history="1">
        <w:r w:rsidRPr="00C721C9">
          <w:rPr>
            <w:rStyle w:val="Hyperlink"/>
            <w:color w:val="auto"/>
          </w:rPr>
          <w:t>http://data1.csb.gov.lv/pxweb/lv/sociala/sociala__nabadz_nevienl__matnenodr/MNG140.px/table/tableViewLayout1/</w:t>
        </w:r>
      </w:hyperlink>
      <w:r w:rsidRPr="00C721C9">
        <w:t>, skatīts 29.09.2020.</w:t>
      </w:r>
    </w:p>
  </w:footnote>
  <w:footnote w:id="8">
    <w:p w14:paraId="05B11F59" w14:textId="77777777" w:rsidR="00A60DFD" w:rsidRPr="00C721C9" w:rsidRDefault="00A60DFD" w:rsidP="00A60DFD">
      <w:pPr>
        <w:pStyle w:val="FootnoteText"/>
        <w:jc w:val="left"/>
      </w:pPr>
      <w:r w:rsidRPr="00C721C9">
        <w:rPr>
          <w:rStyle w:val="FootnoteReference"/>
        </w:rPr>
        <w:footnoteRef/>
      </w:r>
      <w:r w:rsidRPr="00C721C9">
        <w:t xml:space="preserve"> CSP, nabadzība un nevienlīdzība NIG150 pieejams: </w:t>
      </w:r>
      <w:hyperlink r:id="rId3" w:history="1">
        <w:r w:rsidRPr="00C721C9">
          <w:rPr>
            <w:rStyle w:val="Hyperlink"/>
            <w:color w:val="auto"/>
          </w:rPr>
          <w:t>https://data1.csb.gov.lv/pxweb/lv/sociala/sociala__nabadz_nevienl__monetara_nab/NIG150.px</w:t>
        </w:r>
      </w:hyperlink>
      <w:r w:rsidRPr="00C721C9">
        <w:t>, skatīts 16.07.2020.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2AC7" w14:textId="77777777" w:rsidR="00F87805" w:rsidRDefault="00F8780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EF7F4" w14:textId="77777777" w:rsidR="00F87805" w:rsidRDefault="00F87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CF3F" w14:textId="77777777" w:rsidR="00F87805" w:rsidRDefault="00F8780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8F4">
      <w:rPr>
        <w:rStyle w:val="PageNumber"/>
        <w:noProof/>
      </w:rPr>
      <w:t>13</w:t>
    </w:r>
    <w:r>
      <w:rPr>
        <w:rStyle w:val="PageNumber"/>
      </w:rPr>
      <w:fldChar w:fldCharType="end"/>
    </w:r>
  </w:p>
  <w:p w14:paraId="193593D5" w14:textId="77777777" w:rsidR="00F87805" w:rsidRDefault="00F87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402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428"/>
    <w:multiLevelType w:val="hybridMultilevel"/>
    <w:tmpl w:val="A36E304A"/>
    <w:lvl w:ilvl="0" w:tplc="027EF08C">
      <w:start w:val="1"/>
      <w:numFmt w:val="decimal"/>
      <w:lvlText w:val="%1."/>
      <w:lvlJc w:val="left"/>
      <w:pPr>
        <w:ind w:left="644"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95F9C"/>
    <w:multiLevelType w:val="multilevel"/>
    <w:tmpl w:val="CD8888CA"/>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27ED4"/>
    <w:multiLevelType w:val="hybridMultilevel"/>
    <w:tmpl w:val="C2303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DB7AA0"/>
    <w:multiLevelType w:val="hybridMultilevel"/>
    <w:tmpl w:val="3ECA2776"/>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977CEB"/>
    <w:multiLevelType w:val="hybridMultilevel"/>
    <w:tmpl w:val="962CB4F6"/>
    <w:lvl w:ilvl="0" w:tplc="C7F2436A">
      <w:start w:val="4"/>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15:restartNumberingAfterBreak="0">
    <w:nsid w:val="214D3F58"/>
    <w:multiLevelType w:val="hybridMultilevel"/>
    <w:tmpl w:val="8A1A811C"/>
    <w:lvl w:ilvl="0" w:tplc="473C59F4">
      <w:start w:val="28"/>
      <w:numFmt w:val="bullet"/>
      <w:lvlText w:val="-"/>
      <w:lvlJc w:val="left"/>
      <w:pPr>
        <w:ind w:left="895"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34567C6F"/>
    <w:multiLevelType w:val="hybridMultilevel"/>
    <w:tmpl w:val="38047F82"/>
    <w:lvl w:ilvl="0" w:tplc="444477F8">
      <w:start w:val="1"/>
      <w:numFmt w:val="decimal"/>
      <w:lvlText w:val="%1."/>
      <w:lvlJc w:val="left"/>
      <w:pPr>
        <w:ind w:left="364" w:hanging="360"/>
      </w:pPr>
      <w:rPr>
        <w:rFonts w:hint="default"/>
        <w:i w:val="0"/>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8" w15:restartNumberingAfterBreak="0">
    <w:nsid w:val="384C07CF"/>
    <w:multiLevelType w:val="multilevel"/>
    <w:tmpl w:val="6EBA7692"/>
    <w:lvl w:ilvl="0">
      <w:start w:val="1"/>
      <w:numFmt w:val="decimal"/>
      <w:lvlText w:val="%1."/>
      <w:lvlJc w:val="left"/>
      <w:pPr>
        <w:ind w:left="502" w:hanging="360"/>
      </w:pPr>
      <w:rPr>
        <w:b w:val="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A187CD0"/>
    <w:multiLevelType w:val="hybridMultilevel"/>
    <w:tmpl w:val="0C708DE2"/>
    <w:lvl w:ilvl="0" w:tplc="04260001">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0" w15:restartNumberingAfterBreak="0">
    <w:nsid w:val="45562C3E"/>
    <w:multiLevelType w:val="hybridMultilevel"/>
    <w:tmpl w:val="F38AB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2D2867"/>
    <w:multiLevelType w:val="hybridMultilevel"/>
    <w:tmpl w:val="68C238C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2" w15:restartNumberingAfterBreak="0">
    <w:nsid w:val="4ABF3D20"/>
    <w:multiLevelType w:val="hybridMultilevel"/>
    <w:tmpl w:val="DA36DFBC"/>
    <w:lvl w:ilvl="0" w:tplc="0426000B">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28219A"/>
    <w:multiLevelType w:val="hybridMultilevel"/>
    <w:tmpl w:val="8F5436CC"/>
    <w:lvl w:ilvl="0" w:tplc="23A261FC">
      <w:start w:val="1"/>
      <w:numFmt w:val="decimal"/>
      <w:lvlText w:val="%1."/>
      <w:lvlJc w:val="left"/>
      <w:pPr>
        <w:ind w:left="454" w:hanging="360"/>
      </w:pPr>
      <w:rPr>
        <w:rFonts w:eastAsia="Times New Roman" w:hint="default"/>
      </w:rPr>
    </w:lvl>
    <w:lvl w:ilvl="1" w:tplc="04260019" w:tentative="1">
      <w:start w:val="1"/>
      <w:numFmt w:val="lowerLetter"/>
      <w:lvlText w:val="%2."/>
      <w:lvlJc w:val="left"/>
      <w:pPr>
        <w:ind w:left="1174" w:hanging="360"/>
      </w:pPr>
    </w:lvl>
    <w:lvl w:ilvl="2" w:tplc="0426001B" w:tentative="1">
      <w:start w:val="1"/>
      <w:numFmt w:val="lowerRoman"/>
      <w:lvlText w:val="%3."/>
      <w:lvlJc w:val="right"/>
      <w:pPr>
        <w:ind w:left="1894" w:hanging="180"/>
      </w:pPr>
    </w:lvl>
    <w:lvl w:ilvl="3" w:tplc="0426000F" w:tentative="1">
      <w:start w:val="1"/>
      <w:numFmt w:val="decimal"/>
      <w:lvlText w:val="%4."/>
      <w:lvlJc w:val="left"/>
      <w:pPr>
        <w:ind w:left="2614" w:hanging="360"/>
      </w:pPr>
    </w:lvl>
    <w:lvl w:ilvl="4" w:tplc="04260019" w:tentative="1">
      <w:start w:val="1"/>
      <w:numFmt w:val="lowerLetter"/>
      <w:lvlText w:val="%5."/>
      <w:lvlJc w:val="left"/>
      <w:pPr>
        <w:ind w:left="3334" w:hanging="360"/>
      </w:pPr>
    </w:lvl>
    <w:lvl w:ilvl="5" w:tplc="0426001B" w:tentative="1">
      <w:start w:val="1"/>
      <w:numFmt w:val="lowerRoman"/>
      <w:lvlText w:val="%6."/>
      <w:lvlJc w:val="right"/>
      <w:pPr>
        <w:ind w:left="4054" w:hanging="180"/>
      </w:pPr>
    </w:lvl>
    <w:lvl w:ilvl="6" w:tplc="0426000F" w:tentative="1">
      <w:start w:val="1"/>
      <w:numFmt w:val="decimal"/>
      <w:lvlText w:val="%7."/>
      <w:lvlJc w:val="left"/>
      <w:pPr>
        <w:ind w:left="4774" w:hanging="360"/>
      </w:pPr>
    </w:lvl>
    <w:lvl w:ilvl="7" w:tplc="04260019" w:tentative="1">
      <w:start w:val="1"/>
      <w:numFmt w:val="lowerLetter"/>
      <w:lvlText w:val="%8."/>
      <w:lvlJc w:val="left"/>
      <w:pPr>
        <w:ind w:left="5494" w:hanging="360"/>
      </w:pPr>
    </w:lvl>
    <w:lvl w:ilvl="8" w:tplc="0426001B" w:tentative="1">
      <w:start w:val="1"/>
      <w:numFmt w:val="lowerRoman"/>
      <w:lvlText w:val="%9."/>
      <w:lvlJc w:val="right"/>
      <w:pPr>
        <w:ind w:left="6214" w:hanging="180"/>
      </w:pPr>
    </w:lvl>
  </w:abstractNum>
  <w:abstractNum w:abstractNumId="14" w15:restartNumberingAfterBreak="0">
    <w:nsid w:val="54C67A8E"/>
    <w:multiLevelType w:val="hybridMultilevel"/>
    <w:tmpl w:val="4372E8A6"/>
    <w:lvl w:ilvl="0" w:tplc="05B091CE">
      <w:start w:val="1"/>
      <w:numFmt w:val="decimal"/>
      <w:lvlText w:val="(%1)"/>
      <w:lvlJc w:val="left"/>
      <w:pPr>
        <w:ind w:left="36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6EF46C9"/>
    <w:multiLevelType w:val="hybridMultilevel"/>
    <w:tmpl w:val="A1585B7E"/>
    <w:lvl w:ilvl="0" w:tplc="473C59F4">
      <w:start w:val="28"/>
      <w:numFmt w:val="bullet"/>
      <w:lvlText w:val="-"/>
      <w:lvlJc w:val="left"/>
      <w:pPr>
        <w:ind w:left="895"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15:restartNumberingAfterBreak="0">
    <w:nsid w:val="59293756"/>
    <w:multiLevelType w:val="hybridMultilevel"/>
    <w:tmpl w:val="17E8A0FC"/>
    <w:lvl w:ilvl="0" w:tplc="473C59F4">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E9187F"/>
    <w:multiLevelType w:val="hybridMultilevel"/>
    <w:tmpl w:val="116219E4"/>
    <w:lvl w:ilvl="0" w:tplc="473C59F4">
      <w:start w:val="28"/>
      <w:numFmt w:val="bullet"/>
      <w:lvlText w:val="-"/>
      <w:lvlJc w:val="left"/>
      <w:pPr>
        <w:ind w:left="895"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8" w15:restartNumberingAfterBreak="0">
    <w:nsid w:val="5AC462A1"/>
    <w:multiLevelType w:val="hybridMultilevel"/>
    <w:tmpl w:val="14DED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9F6E6E"/>
    <w:multiLevelType w:val="hybridMultilevel"/>
    <w:tmpl w:val="A6128AB6"/>
    <w:lvl w:ilvl="0" w:tplc="473C59F4">
      <w:start w:val="28"/>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0" w15:restartNumberingAfterBreak="0">
    <w:nsid w:val="5DA00941"/>
    <w:multiLevelType w:val="hybridMultilevel"/>
    <w:tmpl w:val="452E77BE"/>
    <w:lvl w:ilvl="0" w:tplc="32B80916">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21" w15:restartNumberingAfterBreak="0">
    <w:nsid w:val="5EDE31A3"/>
    <w:multiLevelType w:val="multilevel"/>
    <w:tmpl w:val="0000450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365" w:hanging="1080"/>
      </w:pPr>
    </w:lvl>
    <w:lvl w:ilvl="6">
      <w:start w:val="1"/>
      <w:numFmt w:val="decimal"/>
      <w:lvlText w:val="%1.%2.%3.%4.%5.%6.%7."/>
      <w:lvlJc w:val="left"/>
      <w:pPr>
        <w:ind w:left="1782" w:hanging="1440"/>
      </w:pPr>
    </w:lvl>
    <w:lvl w:ilvl="7">
      <w:start w:val="1"/>
      <w:numFmt w:val="decimal"/>
      <w:lvlText w:val="%1.%2.%3.%4.%5.%6.%7.%8."/>
      <w:lvlJc w:val="left"/>
      <w:pPr>
        <w:ind w:left="1839" w:hanging="1440"/>
      </w:pPr>
    </w:lvl>
    <w:lvl w:ilvl="8">
      <w:start w:val="1"/>
      <w:numFmt w:val="decimal"/>
      <w:lvlText w:val="%1.%2.%3.%4.%5.%6.%7.%8.%9."/>
      <w:lvlJc w:val="left"/>
      <w:pPr>
        <w:ind w:left="2256" w:hanging="1800"/>
      </w:pPr>
    </w:lvl>
  </w:abstractNum>
  <w:abstractNum w:abstractNumId="22" w15:restartNumberingAfterBreak="0">
    <w:nsid w:val="5FFD4AA9"/>
    <w:multiLevelType w:val="hybridMultilevel"/>
    <w:tmpl w:val="D054AD36"/>
    <w:lvl w:ilvl="0" w:tplc="473C59F4">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8B1A07"/>
    <w:multiLevelType w:val="hybridMultilevel"/>
    <w:tmpl w:val="7C6EF39A"/>
    <w:lvl w:ilvl="0" w:tplc="0426000B">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64B11D66"/>
    <w:multiLevelType w:val="multilevel"/>
    <w:tmpl w:val="6496449E"/>
    <w:lvl w:ilvl="0">
      <w:start w:val="1"/>
      <w:numFmt w:val="decimal"/>
      <w:lvlText w:val="%1."/>
      <w:lvlJc w:val="left"/>
      <w:pPr>
        <w:ind w:left="36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A8540E0"/>
    <w:multiLevelType w:val="multilevel"/>
    <w:tmpl w:val="43184F2C"/>
    <w:lvl w:ilvl="0">
      <w:start w:val="8"/>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6" w15:restartNumberingAfterBreak="0">
    <w:nsid w:val="6B765A91"/>
    <w:multiLevelType w:val="hybridMultilevel"/>
    <w:tmpl w:val="854053D2"/>
    <w:lvl w:ilvl="0" w:tplc="BFF00A5A">
      <w:start w:val="28"/>
      <w:numFmt w:val="bullet"/>
      <w:lvlText w:val="-"/>
      <w:lvlJc w:val="left"/>
      <w:pPr>
        <w:ind w:left="551" w:hanging="360"/>
      </w:pPr>
      <w:rPr>
        <w:rFonts w:ascii="Times New Roman" w:eastAsia="Times New Roman" w:hAnsi="Times New Roman" w:cs="Times New Roman" w:hint="default"/>
      </w:rPr>
    </w:lvl>
    <w:lvl w:ilvl="1" w:tplc="04260003" w:tentative="1">
      <w:start w:val="1"/>
      <w:numFmt w:val="bullet"/>
      <w:lvlText w:val="o"/>
      <w:lvlJc w:val="left"/>
      <w:pPr>
        <w:ind w:left="1271" w:hanging="360"/>
      </w:pPr>
      <w:rPr>
        <w:rFonts w:ascii="Courier New" w:hAnsi="Courier New" w:cs="Courier New" w:hint="default"/>
      </w:rPr>
    </w:lvl>
    <w:lvl w:ilvl="2" w:tplc="04260005" w:tentative="1">
      <w:start w:val="1"/>
      <w:numFmt w:val="bullet"/>
      <w:lvlText w:val=""/>
      <w:lvlJc w:val="left"/>
      <w:pPr>
        <w:ind w:left="1991" w:hanging="360"/>
      </w:pPr>
      <w:rPr>
        <w:rFonts w:ascii="Wingdings" w:hAnsi="Wingdings" w:hint="default"/>
      </w:rPr>
    </w:lvl>
    <w:lvl w:ilvl="3" w:tplc="04260001" w:tentative="1">
      <w:start w:val="1"/>
      <w:numFmt w:val="bullet"/>
      <w:lvlText w:val=""/>
      <w:lvlJc w:val="left"/>
      <w:pPr>
        <w:ind w:left="2711" w:hanging="360"/>
      </w:pPr>
      <w:rPr>
        <w:rFonts w:ascii="Symbol" w:hAnsi="Symbol" w:hint="default"/>
      </w:rPr>
    </w:lvl>
    <w:lvl w:ilvl="4" w:tplc="04260003" w:tentative="1">
      <w:start w:val="1"/>
      <w:numFmt w:val="bullet"/>
      <w:lvlText w:val="o"/>
      <w:lvlJc w:val="left"/>
      <w:pPr>
        <w:ind w:left="3431" w:hanging="360"/>
      </w:pPr>
      <w:rPr>
        <w:rFonts w:ascii="Courier New" w:hAnsi="Courier New" w:cs="Courier New" w:hint="default"/>
      </w:rPr>
    </w:lvl>
    <w:lvl w:ilvl="5" w:tplc="04260005" w:tentative="1">
      <w:start w:val="1"/>
      <w:numFmt w:val="bullet"/>
      <w:lvlText w:val=""/>
      <w:lvlJc w:val="left"/>
      <w:pPr>
        <w:ind w:left="4151" w:hanging="360"/>
      </w:pPr>
      <w:rPr>
        <w:rFonts w:ascii="Wingdings" w:hAnsi="Wingdings" w:hint="default"/>
      </w:rPr>
    </w:lvl>
    <w:lvl w:ilvl="6" w:tplc="04260001" w:tentative="1">
      <w:start w:val="1"/>
      <w:numFmt w:val="bullet"/>
      <w:lvlText w:val=""/>
      <w:lvlJc w:val="left"/>
      <w:pPr>
        <w:ind w:left="4871" w:hanging="360"/>
      </w:pPr>
      <w:rPr>
        <w:rFonts w:ascii="Symbol" w:hAnsi="Symbol" w:hint="default"/>
      </w:rPr>
    </w:lvl>
    <w:lvl w:ilvl="7" w:tplc="04260003" w:tentative="1">
      <w:start w:val="1"/>
      <w:numFmt w:val="bullet"/>
      <w:lvlText w:val="o"/>
      <w:lvlJc w:val="left"/>
      <w:pPr>
        <w:ind w:left="5591" w:hanging="360"/>
      </w:pPr>
      <w:rPr>
        <w:rFonts w:ascii="Courier New" w:hAnsi="Courier New" w:cs="Courier New" w:hint="default"/>
      </w:rPr>
    </w:lvl>
    <w:lvl w:ilvl="8" w:tplc="04260005" w:tentative="1">
      <w:start w:val="1"/>
      <w:numFmt w:val="bullet"/>
      <w:lvlText w:val=""/>
      <w:lvlJc w:val="left"/>
      <w:pPr>
        <w:ind w:left="6311" w:hanging="360"/>
      </w:pPr>
      <w:rPr>
        <w:rFonts w:ascii="Wingdings" w:hAnsi="Wingdings" w:hint="default"/>
      </w:rPr>
    </w:lvl>
  </w:abstractNum>
  <w:abstractNum w:abstractNumId="27" w15:restartNumberingAfterBreak="0">
    <w:nsid w:val="6D6622C5"/>
    <w:multiLevelType w:val="hybridMultilevel"/>
    <w:tmpl w:val="EE060BDE"/>
    <w:lvl w:ilvl="0" w:tplc="309661D6">
      <w:numFmt w:val="bullet"/>
      <w:lvlText w:val="-"/>
      <w:lvlJc w:val="left"/>
      <w:pPr>
        <w:ind w:left="474"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28" w15:restartNumberingAfterBreak="0">
    <w:nsid w:val="6DB216AB"/>
    <w:multiLevelType w:val="hybridMultilevel"/>
    <w:tmpl w:val="6FC42838"/>
    <w:lvl w:ilvl="0" w:tplc="615ED27C">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08771F"/>
    <w:multiLevelType w:val="hybridMultilevel"/>
    <w:tmpl w:val="4D761C86"/>
    <w:lvl w:ilvl="0" w:tplc="32B80916">
      <w:start w:val="1"/>
      <w:numFmt w:val="bullet"/>
      <w:lvlText w:val=""/>
      <w:lvlJc w:val="left"/>
      <w:pPr>
        <w:ind w:left="1104" w:hanging="360"/>
      </w:pPr>
      <w:rPr>
        <w:rFonts w:ascii="Symbol" w:hAnsi="Symbol"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0" w15:restartNumberingAfterBreak="0">
    <w:nsid w:val="74621813"/>
    <w:multiLevelType w:val="hybridMultilevel"/>
    <w:tmpl w:val="9D646D9A"/>
    <w:lvl w:ilvl="0" w:tplc="0D84CF42">
      <w:start w:val="1"/>
      <w:numFmt w:val="decimal"/>
      <w:lvlText w:val="%1."/>
      <w:lvlJc w:val="left"/>
      <w:pPr>
        <w:ind w:left="2345" w:hanging="360"/>
      </w:pPr>
      <w:rPr>
        <w:rFonts w:ascii="Times New Roman" w:eastAsia="Calibri" w:hAnsi="Times New Roman" w:cs="Times New Roman"/>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31" w15:restartNumberingAfterBreak="0">
    <w:nsid w:val="7770667F"/>
    <w:multiLevelType w:val="hybridMultilevel"/>
    <w:tmpl w:val="DDCC61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AB37642"/>
    <w:multiLevelType w:val="hybridMultilevel"/>
    <w:tmpl w:val="3538349A"/>
    <w:lvl w:ilvl="0" w:tplc="473C59F4">
      <w:start w:val="2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num w:numId="1">
    <w:abstractNumId w:val="1"/>
  </w:num>
  <w:num w:numId="2">
    <w:abstractNumId w:val="29"/>
  </w:num>
  <w:num w:numId="3">
    <w:abstractNumId w:val="6"/>
  </w:num>
  <w:num w:numId="4">
    <w:abstractNumId w:val="15"/>
  </w:num>
  <w:num w:numId="5">
    <w:abstractNumId w:val="17"/>
  </w:num>
  <w:num w:numId="6">
    <w:abstractNumId w:val="16"/>
  </w:num>
  <w:num w:numId="7">
    <w:abstractNumId w:val="26"/>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7"/>
  </w:num>
  <w:num w:numId="13">
    <w:abstractNumId w:val="32"/>
  </w:num>
  <w:num w:numId="14">
    <w:abstractNumId w:val="11"/>
  </w:num>
  <w:num w:numId="15">
    <w:abstractNumId w:val="18"/>
  </w:num>
  <w:num w:numId="16">
    <w:abstractNumId w:val="20"/>
  </w:num>
  <w:num w:numId="17">
    <w:abstractNumId w:val="31"/>
  </w:num>
  <w:num w:numId="18">
    <w:abstractNumId w:val="12"/>
  </w:num>
  <w:num w:numId="19">
    <w:abstractNumId w:val="23"/>
  </w:num>
  <w:num w:numId="20">
    <w:abstractNumId w:val="14"/>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5"/>
  </w:num>
  <w:num w:numId="26">
    <w:abstractNumId w:val="3"/>
  </w:num>
  <w:num w:numId="27">
    <w:abstractNumId w:val="12"/>
  </w:num>
  <w:num w:numId="28">
    <w:abstractNumId w:val="22"/>
  </w:num>
  <w:num w:numId="29">
    <w:abstractNumId w:val="30"/>
  </w:num>
  <w:num w:numId="30">
    <w:abstractNumId w:val="2"/>
  </w:num>
  <w:num w:numId="31">
    <w:abstractNumId w:val="25"/>
  </w:num>
  <w:num w:numId="32">
    <w:abstractNumId w:val="28"/>
  </w:num>
  <w:num w:numId="33">
    <w:abstractNumId w:val="13"/>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00186"/>
    <w:rsid w:val="000003CB"/>
    <w:rsid w:val="00000A7B"/>
    <w:rsid w:val="000010EF"/>
    <w:rsid w:val="000016C4"/>
    <w:rsid w:val="00003724"/>
    <w:rsid w:val="00004277"/>
    <w:rsid w:val="000046B2"/>
    <w:rsid w:val="000049FD"/>
    <w:rsid w:val="00004BE3"/>
    <w:rsid w:val="0001050E"/>
    <w:rsid w:val="00010840"/>
    <w:rsid w:val="00010C24"/>
    <w:rsid w:val="00011607"/>
    <w:rsid w:val="0001203B"/>
    <w:rsid w:val="00012BCF"/>
    <w:rsid w:val="00014889"/>
    <w:rsid w:val="0001555F"/>
    <w:rsid w:val="00015C39"/>
    <w:rsid w:val="000162FD"/>
    <w:rsid w:val="000179FA"/>
    <w:rsid w:val="00017E5D"/>
    <w:rsid w:val="00020B4F"/>
    <w:rsid w:val="0002117E"/>
    <w:rsid w:val="00022EAC"/>
    <w:rsid w:val="000232EB"/>
    <w:rsid w:val="000251D9"/>
    <w:rsid w:val="00025310"/>
    <w:rsid w:val="000260C1"/>
    <w:rsid w:val="000264C9"/>
    <w:rsid w:val="000272D7"/>
    <w:rsid w:val="00027414"/>
    <w:rsid w:val="000279CC"/>
    <w:rsid w:val="0003124C"/>
    <w:rsid w:val="00031FE4"/>
    <w:rsid w:val="000320B2"/>
    <w:rsid w:val="00032166"/>
    <w:rsid w:val="00032FCA"/>
    <w:rsid w:val="000335A4"/>
    <w:rsid w:val="000344C0"/>
    <w:rsid w:val="00034962"/>
    <w:rsid w:val="00034970"/>
    <w:rsid w:val="00035116"/>
    <w:rsid w:val="000359EC"/>
    <w:rsid w:val="00036081"/>
    <w:rsid w:val="00036245"/>
    <w:rsid w:val="00036804"/>
    <w:rsid w:val="000368D3"/>
    <w:rsid w:val="000371BA"/>
    <w:rsid w:val="0003757E"/>
    <w:rsid w:val="00037BB3"/>
    <w:rsid w:val="00042D67"/>
    <w:rsid w:val="00043389"/>
    <w:rsid w:val="0004460D"/>
    <w:rsid w:val="000448A6"/>
    <w:rsid w:val="00044D68"/>
    <w:rsid w:val="000450B6"/>
    <w:rsid w:val="00046760"/>
    <w:rsid w:val="00046EAC"/>
    <w:rsid w:val="000476FC"/>
    <w:rsid w:val="000479B0"/>
    <w:rsid w:val="00047A2F"/>
    <w:rsid w:val="0005009C"/>
    <w:rsid w:val="000500F7"/>
    <w:rsid w:val="000509A8"/>
    <w:rsid w:val="00051DFE"/>
    <w:rsid w:val="00052CEB"/>
    <w:rsid w:val="000541CB"/>
    <w:rsid w:val="00054675"/>
    <w:rsid w:val="000551A6"/>
    <w:rsid w:val="00056345"/>
    <w:rsid w:val="000569A9"/>
    <w:rsid w:val="00056C34"/>
    <w:rsid w:val="00056E04"/>
    <w:rsid w:val="00057176"/>
    <w:rsid w:val="0006002A"/>
    <w:rsid w:val="000601A9"/>
    <w:rsid w:val="0006076A"/>
    <w:rsid w:val="00060968"/>
    <w:rsid w:val="00061004"/>
    <w:rsid w:val="00062FB2"/>
    <w:rsid w:val="00063187"/>
    <w:rsid w:val="000652F4"/>
    <w:rsid w:val="00065FDF"/>
    <w:rsid w:val="00067067"/>
    <w:rsid w:val="0007050B"/>
    <w:rsid w:val="000713E1"/>
    <w:rsid w:val="00072ADC"/>
    <w:rsid w:val="000736E1"/>
    <w:rsid w:val="00073EED"/>
    <w:rsid w:val="00076D11"/>
    <w:rsid w:val="00076F4B"/>
    <w:rsid w:val="00076FAA"/>
    <w:rsid w:val="000779FE"/>
    <w:rsid w:val="00080296"/>
    <w:rsid w:val="00082557"/>
    <w:rsid w:val="000827F3"/>
    <w:rsid w:val="000829C1"/>
    <w:rsid w:val="00082DB1"/>
    <w:rsid w:val="0008362C"/>
    <w:rsid w:val="00084CB0"/>
    <w:rsid w:val="000902BF"/>
    <w:rsid w:val="000904CC"/>
    <w:rsid w:val="000907B2"/>
    <w:rsid w:val="0009279B"/>
    <w:rsid w:val="00092A3D"/>
    <w:rsid w:val="000935E3"/>
    <w:rsid w:val="00093744"/>
    <w:rsid w:val="000937D2"/>
    <w:rsid w:val="000940A3"/>
    <w:rsid w:val="0009450F"/>
    <w:rsid w:val="000951F3"/>
    <w:rsid w:val="00095D94"/>
    <w:rsid w:val="0009784B"/>
    <w:rsid w:val="000A1073"/>
    <w:rsid w:val="000A1D01"/>
    <w:rsid w:val="000A1D1F"/>
    <w:rsid w:val="000A35D2"/>
    <w:rsid w:val="000A38B2"/>
    <w:rsid w:val="000A4343"/>
    <w:rsid w:val="000A4827"/>
    <w:rsid w:val="000A4A8D"/>
    <w:rsid w:val="000A5509"/>
    <w:rsid w:val="000A7827"/>
    <w:rsid w:val="000B1633"/>
    <w:rsid w:val="000B1B30"/>
    <w:rsid w:val="000B2B50"/>
    <w:rsid w:val="000B39CE"/>
    <w:rsid w:val="000B67FC"/>
    <w:rsid w:val="000B6A7F"/>
    <w:rsid w:val="000B72AF"/>
    <w:rsid w:val="000B78EC"/>
    <w:rsid w:val="000C1623"/>
    <w:rsid w:val="000C16B9"/>
    <w:rsid w:val="000C1D63"/>
    <w:rsid w:val="000C23D3"/>
    <w:rsid w:val="000C29B0"/>
    <w:rsid w:val="000C2B2C"/>
    <w:rsid w:val="000C4D05"/>
    <w:rsid w:val="000C4DFE"/>
    <w:rsid w:val="000C608E"/>
    <w:rsid w:val="000C70AC"/>
    <w:rsid w:val="000D0683"/>
    <w:rsid w:val="000D0DA0"/>
    <w:rsid w:val="000D0EC0"/>
    <w:rsid w:val="000D1449"/>
    <w:rsid w:val="000D53DD"/>
    <w:rsid w:val="000D62DD"/>
    <w:rsid w:val="000D6FC7"/>
    <w:rsid w:val="000D709C"/>
    <w:rsid w:val="000D740B"/>
    <w:rsid w:val="000D7680"/>
    <w:rsid w:val="000D7C1A"/>
    <w:rsid w:val="000E0762"/>
    <w:rsid w:val="000E0C7D"/>
    <w:rsid w:val="000E1F9F"/>
    <w:rsid w:val="000E384F"/>
    <w:rsid w:val="000E3F26"/>
    <w:rsid w:val="000E421B"/>
    <w:rsid w:val="000E4E15"/>
    <w:rsid w:val="000E678C"/>
    <w:rsid w:val="000F1FFD"/>
    <w:rsid w:val="000F2ADA"/>
    <w:rsid w:val="000F2B9E"/>
    <w:rsid w:val="000F2C0D"/>
    <w:rsid w:val="000F305C"/>
    <w:rsid w:val="000F3801"/>
    <w:rsid w:val="000F3932"/>
    <w:rsid w:val="000F40BD"/>
    <w:rsid w:val="000F4E87"/>
    <w:rsid w:val="000F5F6B"/>
    <w:rsid w:val="000F5FAE"/>
    <w:rsid w:val="000F632C"/>
    <w:rsid w:val="0010003E"/>
    <w:rsid w:val="001000FA"/>
    <w:rsid w:val="00101C7E"/>
    <w:rsid w:val="00102682"/>
    <w:rsid w:val="00104C47"/>
    <w:rsid w:val="0010559C"/>
    <w:rsid w:val="00105FC6"/>
    <w:rsid w:val="0010720E"/>
    <w:rsid w:val="00107E38"/>
    <w:rsid w:val="00111051"/>
    <w:rsid w:val="00111137"/>
    <w:rsid w:val="00111778"/>
    <w:rsid w:val="001121F2"/>
    <w:rsid w:val="00112DEA"/>
    <w:rsid w:val="001137ED"/>
    <w:rsid w:val="001141FC"/>
    <w:rsid w:val="001149F8"/>
    <w:rsid w:val="00115437"/>
    <w:rsid w:val="00116098"/>
    <w:rsid w:val="001177F3"/>
    <w:rsid w:val="0012151E"/>
    <w:rsid w:val="00121682"/>
    <w:rsid w:val="0012268B"/>
    <w:rsid w:val="00122F3D"/>
    <w:rsid w:val="00124853"/>
    <w:rsid w:val="00125907"/>
    <w:rsid w:val="00125B86"/>
    <w:rsid w:val="00126C64"/>
    <w:rsid w:val="00126F3E"/>
    <w:rsid w:val="001272CE"/>
    <w:rsid w:val="00130C31"/>
    <w:rsid w:val="00131478"/>
    <w:rsid w:val="0013206C"/>
    <w:rsid w:val="00133BF5"/>
    <w:rsid w:val="001349F4"/>
    <w:rsid w:val="00134A43"/>
    <w:rsid w:val="00134B13"/>
    <w:rsid w:val="00134B34"/>
    <w:rsid w:val="001350F4"/>
    <w:rsid w:val="00136093"/>
    <w:rsid w:val="001377FA"/>
    <w:rsid w:val="00137A6B"/>
    <w:rsid w:val="001401BD"/>
    <w:rsid w:val="00140FCC"/>
    <w:rsid w:val="00140FE6"/>
    <w:rsid w:val="00141C78"/>
    <w:rsid w:val="00142012"/>
    <w:rsid w:val="00143584"/>
    <w:rsid w:val="001435A8"/>
    <w:rsid w:val="00143B5C"/>
    <w:rsid w:val="001443DF"/>
    <w:rsid w:val="00144759"/>
    <w:rsid w:val="00144C2C"/>
    <w:rsid w:val="0014680B"/>
    <w:rsid w:val="00147461"/>
    <w:rsid w:val="00147E93"/>
    <w:rsid w:val="00151984"/>
    <w:rsid w:val="00152425"/>
    <w:rsid w:val="00152E95"/>
    <w:rsid w:val="00154C09"/>
    <w:rsid w:val="0015554F"/>
    <w:rsid w:val="001559A5"/>
    <w:rsid w:val="00156285"/>
    <w:rsid w:val="00160723"/>
    <w:rsid w:val="00160901"/>
    <w:rsid w:val="00160D17"/>
    <w:rsid w:val="00167021"/>
    <w:rsid w:val="0016704D"/>
    <w:rsid w:val="00167401"/>
    <w:rsid w:val="00170E63"/>
    <w:rsid w:val="00171437"/>
    <w:rsid w:val="001724C8"/>
    <w:rsid w:val="00172CC3"/>
    <w:rsid w:val="001730D2"/>
    <w:rsid w:val="0017347A"/>
    <w:rsid w:val="0017416D"/>
    <w:rsid w:val="001745E7"/>
    <w:rsid w:val="00174A87"/>
    <w:rsid w:val="00175BDF"/>
    <w:rsid w:val="00176664"/>
    <w:rsid w:val="00180EE4"/>
    <w:rsid w:val="00181FF1"/>
    <w:rsid w:val="0018200B"/>
    <w:rsid w:val="0018309A"/>
    <w:rsid w:val="00183CF3"/>
    <w:rsid w:val="00184012"/>
    <w:rsid w:val="00184125"/>
    <w:rsid w:val="00184B14"/>
    <w:rsid w:val="00184EB5"/>
    <w:rsid w:val="00185E65"/>
    <w:rsid w:val="001869A8"/>
    <w:rsid w:val="0018705E"/>
    <w:rsid w:val="0018742F"/>
    <w:rsid w:val="00187C77"/>
    <w:rsid w:val="00191899"/>
    <w:rsid w:val="00191E0E"/>
    <w:rsid w:val="00192694"/>
    <w:rsid w:val="00194614"/>
    <w:rsid w:val="00194B05"/>
    <w:rsid w:val="00196738"/>
    <w:rsid w:val="00196E2C"/>
    <w:rsid w:val="00196EC4"/>
    <w:rsid w:val="00196EF2"/>
    <w:rsid w:val="00197727"/>
    <w:rsid w:val="001978E1"/>
    <w:rsid w:val="00197FE2"/>
    <w:rsid w:val="001A0496"/>
    <w:rsid w:val="001A262E"/>
    <w:rsid w:val="001A354E"/>
    <w:rsid w:val="001A360B"/>
    <w:rsid w:val="001A3673"/>
    <w:rsid w:val="001A4159"/>
    <w:rsid w:val="001A4E2D"/>
    <w:rsid w:val="001A51E6"/>
    <w:rsid w:val="001B25F3"/>
    <w:rsid w:val="001B3809"/>
    <w:rsid w:val="001B3F1F"/>
    <w:rsid w:val="001B3F36"/>
    <w:rsid w:val="001B42A2"/>
    <w:rsid w:val="001B6A2D"/>
    <w:rsid w:val="001B7328"/>
    <w:rsid w:val="001B7922"/>
    <w:rsid w:val="001C0089"/>
    <w:rsid w:val="001C0D90"/>
    <w:rsid w:val="001C0E6E"/>
    <w:rsid w:val="001C13D7"/>
    <w:rsid w:val="001C2D55"/>
    <w:rsid w:val="001C4A67"/>
    <w:rsid w:val="001C4D41"/>
    <w:rsid w:val="001C509E"/>
    <w:rsid w:val="001C5FEB"/>
    <w:rsid w:val="001C67A0"/>
    <w:rsid w:val="001C67A6"/>
    <w:rsid w:val="001C7301"/>
    <w:rsid w:val="001D0050"/>
    <w:rsid w:val="001D0A8F"/>
    <w:rsid w:val="001D0AEA"/>
    <w:rsid w:val="001D0B42"/>
    <w:rsid w:val="001D1950"/>
    <w:rsid w:val="001D1952"/>
    <w:rsid w:val="001D1C3C"/>
    <w:rsid w:val="001D2167"/>
    <w:rsid w:val="001D2351"/>
    <w:rsid w:val="001D27FC"/>
    <w:rsid w:val="001D3BDF"/>
    <w:rsid w:val="001D42CD"/>
    <w:rsid w:val="001D5567"/>
    <w:rsid w:val="001D76B1"/>
    <w:rsid w:val="001D7800"/>
    <w:rsid w:val="001D7806"/>
    <w:rsid w:val="001D7AD1"/>
    <w:rsid w:val="001E1307"/>
    <w:rsid w:val="001E184A"/>
    <w:rsid w:val="001E19A9"/>
    <w:rsid w:val="001E2D7E"/>
    <w:rsid w:val="001E32B4"/>
    <w:rsid w:val="001E50B0"/>
    <w:rsid w:val="001E5828"/>
    <w:rsid w:val="001E5C57"/>
    <w:rsid w:val="001E6602"/>
    <w:rsid w:val="001F1EE8"/>
    <w:rsid w:val="001F2420"/>
    <w:rsid w:val="001F25D9"/>
    <w:rsid w:val="001F3077"/>
    <w:rsid w:val="001F40FF"/>
    <w:rsid w:val="001F59DB"/>
    <w:rsid w:val="001F5D7D"/>
    <w:rsid w:val="001F6885"/>
    <w:rsid w:val="001F6C96"/>
    <w:rsid w:val="001F773A"/>
    <w:rsid w:val="00200652"/>
    <w:rsid w:val="00201973"/>
    <w:rsid w:val="00201AFF"/>
    <w:rsid w:val="002026FA"/>
    <w:rsid w:val="0020489F"/>
    <w:rsid w:val="00205A93"/>
    <w:rsid w:val="00205DBE"/>
    <w:rsid w:val="0020691C"/>
    <w:rsid w:val="00206A21"/>
    <w:rsid w:val="00206FB6"/>
    <w:rsid w:val="002075C5"/>
    <w:rsid w:val="00210BB1"/>
    <w:rsid w:val="00211ACF"/>
    <w:rsid w:val="00212D19"/>
    <w:rsid w:val="00213694"/>
    <w:rsid w:val="002142DC"/>
    <w:rsid w:val="00214B96"/>
    <w:rsid w:val="002157A8"/>
    <w:rsid w:val="00215A6B"/>
    <w:rsid w:val="0021616E"/>
    <w:rsid w:val="00216591"/>
    <w:rsid w:val="002175D9"/>
    <w:rsid w:val="0021789A"/>
    <w:rsid w:val="00217B31"/>
    <w:rsid w:val="00221232"/>
    <w:rsid w:val="00221298"/>
    <w:rsid w:val="00223647"/>
    <w:rsid w:val="00223A63"/>
    <w:rsid w:val="00224061"/>
    <w:rsid w:val="002242CB"/>
    <w:rsid w:val="0022698A"/>
    <w:rsid w:val="00226F75"/>
    <w:rsid w:val="002270AB"/>
    <w:rsid w:val="00227DEA"/>
    <w:rsid w:val="00227FDF"/>
    <w:rsid w:val="00230358"/>
    <w:rsid w:val="00230730"/>
    <w:rsid w:val="00230EAC"/>
    <w:rsid w:val="00231FB8"/>
    <w:rsid w:val="002321EE"/>
    <w:rsid w:val="0023232C"/>
    <w:rsid w:val="00232C33"/>
    <w:rsid w:val="00232C58"/>
    <w:rsid w:val="00232DCB"/>
    <w:rsid w:val="00234048"/>
    <w:rsid w:val="0023478C"/>
    <w:rsid w:val="00234C48"/>
    <w:rsid w:val="002354DF"/>
    <w:rsid w:val="00235A69"/>
    <w:rsid w:val="00236797"/>
    <w:rsid w:val="00237649"/>
    <w:rsid w:val="002378ED"/>
    <w:rsid w:val="00237DD1"/>
    <w:rsid w:val="00242D7D"/>
    <w:rsid w:val="002432E7"/>
    <w:rsid w:val="002439B7"/>
    <w:rsid w:val="002445F8"/>
    <w:rsid w:val="002448FD"/>
    <w:rsid w:val="00246A7C"/>
    <w:rsid w:val="00247247"/>
    <w:rsid w:val="00247529"/>
    <w:rsid w:val="00247DF0"/>
    <w:rsid w:val="002500CB"/>
    <w:rsid w:val="00250408"/>
    <w:rsid w:val="0025171C"/>
    <w:rsid w:val="00252213"/>
    <w:rsid w:val="0025257E"/>
    <w:rsid w:val="00252F69"/>
    <w:rsid w:val="00255372"/>
    <w:rsid w:val="00257250"/>
    <w:rsid w:val="00257DD4"/>
    <w:rsid w:val="002607A6"/>
    <w:rsid w:val="00261071"/>
    <w:rsid w:val="00261EF0"/>
    <w:rsid w:val="00261F5F"/>
    <w:rsid w:val="00262054"/>
    <w:rsid w:val="00262EBA"/>
    <w:rsid w:val="00263CEB"/>
    <w:rsid w:val="002640D9"/>
    <w:rsid w:val="00264BF9"/>
    <w:rsid w:val="002650BA"/>
    <w:rsid w:val="002654CD"/>
    <w:rsid w:val="002662E3"/>
    <w:rsid w:val="0026758E"/>
    <w:rsid w:val="002700EF"/>
    <w:rsid w:val="00270E4A"/>
    <w:rsid w:val="00271F7F"/>
    <w:rsid w:val="0027270D"/>
    <w:rsid w:val="00273F99"/>
    <w:rsid w:val="002747BA"/>
    <w:rsid w:val="0027527C"/>
    <w:rsid w:val="00275E90"/>
    <w:rsid w:val="00276E78"/>
    <w:rsid w:val="00277E18"/>
    <w:rsid w:val="00280120"/>
    <w:rsid w:val="0028162B"/>
    <w:rsid w:val="0028285B"/>
    <w:rsid w:val="00284191"/>
    <w:rsid w:val="0028680D"/>
    <w:rsid w:val="00286F60"/>
    <w:rsid w:val="00287190"/>
    <w:rsid w:val="00290EEF"/>
    <w:rsid w:val="002914FF"/>
    <w:rsid w:val="00291783"/>
    <w:rsid w:val="00291AC6"/>
    <w:rsid w:val="00292D80"/>
    <w:rsid w:val="00293013"/>
    <w:rsid w:val="002930C8"/>
    <w:rsid w:val="002937C6"/>
    <w:rsid w:val="00294074"/>
    <w:rsid w:val="0029408F"/>
    <w:rsid w:val="00294671"/>
    <w:rsid w:val="00294E7C"/>
    <w:rsid w:val="0029565E"/>
    <w:rsid w:val="00295C52"/>
    <w:rsid w:val="00296A90"/>
    <w:rsid w:val="002A1B5B"/>
    <w:rsid w:val="002A2700"/>
    <w:rsid w:val="002A30EF"/>
    <w:rsid w:val="002A4530"/>
    <w:rsid w:val="002A583E"/>
    <w:rsid w:val="002A62F4"/>
    <w:rsid w:val="002A6FD7"/>
    <w:rsid w:val="002B0A9D"/>
    <w:rsid w:val="002B167B"/>
    <w:rsid w:val="002B1867"/>
    <w:rsid w:val="002B264A"/>
    <w:rsid w:val="002B333B"/>
    <w:rsid w:val="002B3707"/>
    <w:rsid w:val="002B4317"/>
    <w:rsid w:val="002B457B"/>
    <w:rsid w:val="002B4ECF"/>
    <w:rsid w:val="002B615F"/>
    <w:rsid w:val="002B6A76"/>
    <w:rsid w:val="002B6ABC"/>
    <w:rsid w:val="002C0E1D"/>
    <w:rsid w:val="002C1139"/>
    <w:rsid w:val="002C234A"/>
    <w:rsid w:val="002C3104"/>
    <w:rsid w:val="002C4116"/>
    <w:rsid w:val="002C5F4C"/>
    <w:rsid w:val="002C6ABF"/>
    <w:rsid w:val="002C7C67"/>
    <w:rsid w:val="002C7EAA"/>
    <w:rsid w:val="002D175B"/>
    <w:rsid w:val="002D1A84"/>
    <w:rsid w:val="002D2124"/>
    <w:rsid w:val="002D35DB"/>
    <w:rsid w:val="002D37AB"/>
    <w:rsid w:val="002D529C"/>
    <w:rsid w:val="002D5363"/>
    <w:rsid w:val="002D78E9"/>
    <w:rsid w:val="002E11C5"/>
    <w:rsid w:val="002E1265"/>
    <w:rsid w:val="002E1514"/>
    <w:rsid w:val="002E21AC"/>
    <w:rsid w:val="002E224D"/>
    <w:rsid w:val="002E2A52"/>
    <w:rsid w:val="002E2ABC"/>
    <w:rsid w:val="002E348D"/>
    <w:rsid w:val="002E3B40"/>
    <w:rsid w:val="002E4F37"/>
    <w:rsid w:val="002E50C4"/>
    <w:rsid w:val="002E5400"/>
    <w:rsid w:val="002E605C"/>
    <w:rsid w:val="002E6C28"/>
    <w:rsid w:val="002E721A"/>
    <w:rsid w:val="002F062E"/>
    <w:rsid w:val="002F06AC"/>
    <w:rsid w:val="002F1F3D"/>
    <w:rsid w:val="002F2FD3"/>
    <w:rsid w:val="002F42A2"/>
    <w:rsid w:val="002F482A"/>
    <w:rsid w:val="002F7A53"/>
    <w:rsid w:val="00301FF8"/>
    <w:rsid w:val="00302138"/>
    <w:rsid w:val="003023A0"/>
    <w:rsid w:val="003027C8"/>
    <w:rsid w:val="00302CB3"/>
    <w:rsid w:val="003042AF"/>
    <w:rsid w:val="00304562"/>
    <w:rsid w:val="0030494C"/>
    <w:rsid w:val="00304D08"/>
    <w:rsid w:val="00305008"/>
    <w:rsid w:val="003053F0"/>
    <w:rsid w:val="003068BD"/>
    <w:rsid w:val="00307F36"/>
    <w:rsid w:val="0031035D"/>
    <w:rsid w:val="003116BA"/>
    <w:rsid w:val="0031238C"/>
    <w:rsid w:val="003125A1"/>
    <w:rsid w:val="00312FF5"/>
    <w:rsid w:val="0031341B"/>
    <w:rsid w:val="00314565"/>
    <w:rsid w:val="00314F84"/>
    <w:rsid w:val="0031524C"/>
    <w:rsid w:val="00316BC4"/>
    <w:rsid w:val="003175E6"/>
    <w:rsid w:val="003201D7"/>
    <w:rsid w:val="00322167"/>
    <w:rsid w:val="00323B18"/>
    <w:rsid w:val="00323B2B"/>
    <w:rsid w:val="00324BB1"/>
    <w:rsid w:val="003251E6"/>
    <w:rsid w:val="00326AAD"/>
    <w:rsid w:val="00327684"/>
    <w:rsid w:val="00330830"/>
    <w:rsid w:val="00330A50"/>
    <w:rsid w:val="00330B59"/>
    <w:rsid w:val="00330E6E"/>
    <w:rsid w:val="00331033"/>
    <w:rsid w:val="00333086"/>
    <w:rsid w:val="003340D9"/>
    <w:rsid w:val="0033427C"/>
    <w:rsid w:val="003344FB"/>
    <w:rsid w:val="00334F02"/>
    <w:rsid w:val="0033776D"/>
    <w:rsid w:val="00337E07"/>
    <w:rsid w:val="003408CE"/>
    <w:rsid w:val="00340DB2"/>
    <w:rsid w:val="003412D7"/>
    <w:rsid w:val="0034331F"/>
    <w:rsid w:val="00343C6D"/>
    <w:rsid w:val="0034599B"/>
    <w:rsid w:val="00345AC3"/>
    <w:rsid w:val="00346A87"/>
    <w:rsid w:val="00346E56"/>
    <w:rsid w:val="00346EC7"/>
    <w:rsid w:val="00350D64"/>
    <w:rsid w:val="00350F7B"/>
    <w:rsid w:val="003521F3"/>
    <w:rsid w:val="003524CD"/>
    <w:rsid w:val="0035261B"/>
    <w:rsid w:val="003529E8"/>
    <w:rsid w:val="003532CC"/>
    <w:rsid w:val="003536D1"/>
    <w:rsid w:val="003539DA"/>
    <w:rsid w:val="003539EE"/>
    <w:rsid w:val="00354249"/>
    <w:rsid w:val="00354D6D"/>
    <w:rsid w:val="00355782"/>
    <w:rsid w:val="00355C20"/>
    <w:rsid w:val="00356D5B"/>
    <w:rsid w:val="00357C5A"/>
    <w:rsid w:val="00357E36"/>
    <w:rsid w:val="0036009B"/>
    <w:rsid w:val="00360839"/>
    <w:rsid w:val="003624B0"/>
    <w:rsid w:val="003626E2"/>
    <w:rsid w:val="003630B8"/>
    <w:rsid w:val="003634D3"/>
    <w:rsid w:val="00363534"/>
    <w:rsid w:val="00363857"/>
    <w:rsid w:val="0036402F"/>
    <w:rsid w:val="00364178"/>
    <w:rsid w:val="00364388"/>
    <w:rsid w:val="003658BA"/>
    <w:rsid w:val="00365CAA"/>
    <w:rsid w:val="003668DA"/>
    <w:rsid w:val="003670FB"/>
    <w:rsid w:val="003675BC"/>
    <w:rsid w:val="003675F1"/>
    <w:rsid w:val="003679AE"/>
    <w:rsid w:val="00367DFB"/>
    <w:rsid w:val="00370150"/>
    <w:rsid w:val="003706C0"/>
    <w:rsid w:val="00370933"/>
    <w:rsid w:val="00372BBA"/>
    <w:rsid w:val="0037326D"/>
    <w:rsid w:val="00373934"/>
    <w:rsid w:val="00374332"/>
    <w:rsid w:val="00375296"/>
    <w:rsid w:val="0037630A"/>
    <w:rsid w:val="00376F8D"/>
    <w:rsid w:val="003803BC"/>
    <w:rsid w:val="003804C1"/>
    <w:rsid w:val="00380F5C"/>
    <w:rsid w:val="003819E0"/>
    <w:rsid w:val="00383D22"/>
    <w:rsid w:val="0038455F"/>
    <w:rsid w:val="003857EF"/>
    <w:rsid w:val="00385EC9"/>
    <w:rsid w:val="0038652B"/>
    <w:rsid w:val="00386C06"/>
    <w:rsid w:val="00386CC2"/>
    <w:rsid w:val="00391C74"/>
    <w:rsid w:val="003924F5"/>
    <w:rsid w:val="00392C31"/>
    <w:rsid w:val="0039354F"/>
    <w:rsid w:val="00393F8F"/>
    <w:rsid w:val="003942D5"/>
    <w:rsid w:val="0039443B"/>
    <w:rsid w:val="003948D6"/>
    <w:rsid w:val="00394A97"/>
    <w:rsid w:val="00394C8D"/>
    <w:rsid w:val="003962C4"/>
    <w:rsid w:val="00396DA2"/>
    <w:rsid w:val="00397F93"/>
    <w:rsid w:val="003A2C83"/>
    <w:rsid w:val="003A30C7"/>
    <w:rsid w:val="003A3822"/>
    <w:rsid w:val="003A5ADD"/>
    <w:rsid w:val="003A6E33"/>
    <w:rsid w:val="003A774C"/>
    <w:rsid w:val="003A77CA"/>
    <w:rsid w:val="003A7CD2"/>
    <w:rsid w:val="003B212C"/>
    <w:rsid w:val="003B306A"/>
    <w:rsid w:val="003B32A7"/>
    <w:rsid w:val="003B36C0"/>
    <w:rsid w:val="003B4106"/>
    <w:rsid w:val="003B5452"/>
    <w:rsid w:val="003B59A0"/>
    <w:rsid w:val="003B5ADB"/>
    <w:rsid w:val="003B5D70"/>
    <w:rsid w:val="003B629D"/>
    <w:rsid w:val="003B6467"/>
    <w:rsid w:val="003B7589"/>
    <w:rsid w:val="003B7898"/>
    <w:rsid w:val="003B7D11"/>
    <w:rsid w:val="003C0FC2"/>
    <w:rsid w:val="003C16D5"/>
    <w:rsid w:val="003C361A"/>
    <w:rsid w:val="003C4869"/>
    <w:rsid w:val="003C650F"/>
    <w:rsid w:val="003C66CE"/>
    <w:rsid w:val="003C6948"/>
    <w:rsid w:val="003C6985"/>
    <w:rsid w:val="003D0A12"/>
    <w:rsid w:val="003D164C"/>
    <w:rsid w:val="003D2E74"/>
    <w:rsid w:val="003D329B"/>
    <w:rsid w:val="003D367E"/>
    <w:rsid w:val="003D44D0"/>
    <w:rsid w:val="003D528D"/>
    <w:rsid w:val="003D536E"/>
    <w:rsid w:val="003D55D0"/>
    <w:rsid w:val="003D5E86"/>
    <w:rsid w:val="003D6AB9"/>
    <w:rsid w:val="003D723F"/>
    <w:rsid w:val="003D7396"/>
    <w:rsid w:val="003E07C8"/>
    <w:rsid w:val="003E1947"/>
    <w:rsid w:val="003E1F98"/>
    <w:rsid w:val="003E289E"/>
    <w:rsid w:val="003E412C"/>
    <w:rsid w:val="003E5101"/>
    <w:rsid w:val="003E619B"/>
    <w:rsid w:val="003E63A1"/>
    <w:rsid w:val="003E63ED"/>
    <w:rsid w:val="003E6618"/>
    <w:rsid w:val="003F1078"/>
    <w:rsid w:val="003F1E2F"/>
    <w:rsid w:val="003F27FC"/>
    <w:rsid w:val="003F2A68"/>
    <w:rsid w:val="003F2D05"/>
    <w:rsid w:val="003F31D2"/>
    <w:rsid w:val="003F4147"/>
    <w:rsid w:val="003F489F"/>
    <w:rsid w:val="003F49D7"/>
    <w:rsid w:val="003F4BB4"/>
    <w:rsid w:val="003F5050"/>
    <w:rsid w:val="003F7EB1"/>
    <w:rsid w:val="00400423"/>
    <w:rsid w:val="00401AD1"/>
    <w:rsid w:val="00401BFE"/>
    <w:rsid w:val="0040279F"/>
    <w:rsid w:val="00402D13"/>
    <w:rsid w:val="004041F2"/>
    <w:rsid w:val="00404BBC"/>
    <w:rsid w:val="00405DF5"/>
    <w:rsid w:val="0040663A"/>
    <w:rsid w:val="0040739D"/>
    <w:rsid w:val="00410E77"/>
    <w:rsid w:val="004111D3"/>
    <w:rsid w:val="004111DD"/>
    <w:rsid w:val="0041151B"/>
    <w:rsid w:val="00412A83"/>
    <w:rsid w:val="00413919"/>
    <w:rsid w:val="00413C5F"/>
    <w:rsid w:val="00413DA5"/>
    <w:rsid w:val="0041616F"/>
    <w:rsid w:val="0041662A"/>
    <w:rsid w:val="00417F39"/>
    <w:rsid w:val="00420520"/>
    <w:rsid w:val="00421529"/>
    <w:rsid w:val="00422841"/>
    <w:rsid w:val="00424246"/>
    <w:rsid w:val="004250A2"/>
    <w:rsid w:val="00425A9D"/>
    <w:rsid w:val="00425DFD"/>
    <w:rsid w:val="00426662"/>
    <w:rsid w:val="004302F9"/>
    <w:rsid w:val="00430A23"/>
    <w:rsid w:val="00430C11"/>
    <w:rsid w:val="00431076"/>
    <w:rsid w:val="0043259A"/>
    <w:rsid w:val="00433352"/>
    <w:rsid w:val="004365EC"/>
    <w:rsid w:val="004373E9"/>
    <w:rsid w:val="004374DE"/>
    <w:rsid w:val="00437D93"/>
    <w:rsid w:val="00440A1F"/>
    <w:rsid w:val="00441361"/>
    <w:rsid w:val="00441E67"/>
    <w:rsid w:val="0044216A"/>
    <w:rsid w:val="004429DA"/>
    <w:rsid w:val="00443853"/>
    <w:rsid w:val="00443E52"/>
    <w:rsid w:val="00445B9D"/>
    <w:rsid w:val="00446C72"/>
    <w:rsid w:val="00447838"/>
    <w:rsid w:val="00447FA7"/>
    <w:rsid w:val="004506E8"/>
    <w:rsid w:val="004513E4"/>
    <w:rsid w:val="00452C2B"/>
    <w:rsid w:val="00452E08"/>
    <w:rsid w:val="00453716"/>
    <w:rsid w:val="00454F86"/>
    <w:rsid w:val="004551D6"/>
    <w:rsid w:val="004552C4"/>
    <w:rsid w:val="00455BED"/>
    <w:rsid w:val="00455E21"/>
    <w:rsid w:val="00456442"/>
    <w:rsid w:val="0045648D"/>
    <w:rsid w:val="00456AAA"/>
    <w:rsid w:val="004570AE"/>
    <w:rsid w:val="004615A2"/>
    <w:rsid w:val="00461821"/>
    <w:rsid w:val="00461B31"/>
    <w:rsid w:val="004638EB"/>
    <w:rsid w:val="00463FE3"/>
    <w:rsid w:val="004644D0"/>
    <w:rsid w:val="004650B0"/>
    <w:rsid w:val="00465A9E"/>
    <w:rsid w:val="00466487"/>
    <w:rsid w:val="00466776"/>
    <w:rsid w:val="00466FB3"/>
    <w:rsid w:val="00467E20"/>
    <w:rsid w:val="0047038B"/>
    <w:rsid w:val="0047076F"/>
    <w:rsid w:val="004707DB"/>
    <w:rsid w:val="0047179E"/>
    <w:rsid w:val="00473F06"/>
    <w:rsid w:val="00475C23"/>
    <w:rsid w:val="0047603C"/>
    <w:rsid w:val="004768FB"/>
    <w:rsid w:val="00476E57"/>
    <w:rsid w:val="00477097"/>
    <w:rsid w:val="0048071D"/>
    <w:rsid w:val="00481101"/>
    <w:rsid w:val="004811B1"/>
    <w:rsid w:val="00484660"/>
    <w:rsid w:val="00484F0F"/>
    <w:rsid w:val="00484F8D"/>
    <w:rsid w:val="00485069"/>
    <w:rsid w:val="0048523A"/>
    <w:rsid w:val="00485B50"/>
    <w:rsid w:val="0048663C"/>
    <w:rsid w:val="00486B0B"/>
    <w:rsid w:val="00487B6F"/>
    <w:rsid w:val="00490CF9"/>
    <w:rsid w:val="00490EB6"/>
    <w:rsid w:val="00491216"/>
    <w:rsid w:val="00491392"/>
    <w:rsid w:val="00492E35"/>
    <w:rsid w:val="00493119"/>
    <w:rsid w:val="00494320"/>
    <w:rsid w:val="00494652"/>
    <w:rsid w:val="00494D7F"/>
    <w:rsid w:val="00496FDE"/>
    <w:rsid w:val="00497F4E"/>
    <w:rsid w:val="004A0240"/>
    <w:rsid w:val="004A1651"/>
    <w:rsid w:val="004A4A5B"/>
    <w:rsid w:val="004A5A24"/>
    <w:rsid w:val="004A69BB"/>
    <w:rsid w:val="004A7568"/>
    <w:rsid w:val="004B0C0C"/>
    <w:rsid w:val="004B1409"/>
    <w:rsid w:val="004B1AE5"/>
    <w:rsid w:val="004B27DC"/>
    <w:rsid w:val="004B2C33"/>
    <w:rsid w:val="004B2F3F"/>
    <w:rsid w:val="004B4C1B"/>
    <w:rsid w:val="004B6518"/>
    <w:rsid w:val="004B6541"/>
    <w:rsid w:val="004B7274"/>
    <w:rsid w:val="004C07EB"/>
    <w:rsid w:val="004C129A"/>
    <w:rsid w:val="004C22FE"/>
    <w:rsid w:val="004C289C"/>
    <w:rsid w:val="004C3D0C"/>
    <w:rsid w:val="004C4FE3"/>
    <w:rsid w:val="004C5574"/>
    <w:rsid w:val="004D044A"/>
    <w:rsid w:val="004D050D"/>
    <w:rsid w:val="004D2D92"/>
    <w:rsid w:val="004D39AB"/>
    <w:rsid w:val="004D40B3"/>
    <w:rsid w:val="004D4815"/>
    <w:rsid w:val="004D51B8"/>
    <w:rsid w:val="004D6A07"/>
    <w:rsid w:val="004D71C0"/>
    <w:rsid w:val="004E0F80"/>
    <w:rsid w:val="004E0FE8"/>
    <w:rsid w:val="004E1B32"/>
    <w:rsid w:val="004E1C7C"/>
    <w:rsid w:val="004E24B8"/>
    <w:rsid w:val="004E27CE"/>
    <w:rsid w:val="004E3377"/>
    <w:rsid w:val="004E34D2"/>
    <w:rsid w:val="004E3D80"/>
    <w:rsid w:val="004E3EF8"/>
    <w:rsid w:val="004E408E"/>
    <w:rsid w:val="004E65EB"/>
    <w:rsid w:val="004E772A"/>
    <w:rsid w:val="004F0953"/>
    <w:rsid w:val="004F1BEB"/>
    <w:rsid w:val="004F1D5A"/>
    <w:rsid w:val="004F1DE6"/>
    <w:rsid w:val="004F2C3E"/>
    <w:rsid w:val="004F42E2"/>
    <w:rsid w:val="004F4524"/>
    <w:rsid w:val="004F4F50"/>
    <w:rsid w:val="004F6A87"/>
    <w:rsid w:val="0050039B"/>
    <w:rsid w:val="00500860"/>
    <w:rsid w:val="00500D0B"/>
    <w:rsid w:val="00501815"/>
    <w:rsid w:val="00502F62"/>
    <w:rsid w:val="00502FAE"/>
    <w:rsid w:val="00503DD7"/>
    <w:rsid w:val="00504640"/>
    <w:rsid w:val="00505FAE"/>
    <w:rsid w:val="0050641F"/>
    <w:rsid w:val="00507B5B"/>
    <w:rsid w:val="00510A21"/>
    <w:rsid w:val="00510F83"/>
    <w:rsid w:val="0051235A"/>
    <w:rsid w:val="005123AF"/>
    <w:rsid w:val="005131D9"/>
    <w:rsid w:val="0051421C"/>
    <w:rsid w:val="0051686C"/>
    <w:rsid w:val="00516A1D"/>
    <w:rsid w:val="00520165"/>
    <w:rsid w:val="0052064B"/>
    <w:rsid w:val="00521F6C"/>
    <w:rsid w:val="0052272B"/>
    <w:rsid w:val="00524303"/>
    <w:rsid w:val="00524443"/>
    <w:rsid w:val="00524C52"/>
    <w:rsid w:val="0052554F"/>
    <w:rsid w:val="00525590"/>
    <w:rsid w:val="0052683A"/>
    <w:rsid w:val="005269A3"/>
    <w:rsid w:val="00526AAF"/>
    <w:rsid w:val="00526DD0"/>
    <w:rsid w:val="00527714"/>
    <w:rsid w:val="005279CC"/>
    <w:rsid w:val="00530882"/>
    <w:rsid w:val="00530CD1"/>
    <w:rsid w:val="005324DA"/>
    <w:rsid w:val="0053295A"/>
    <w:rsid w:val="0053299C"/>
    <w:rsid w:val="00537213"/>
    <w:rsid w:val="00537432"/>
    <w:rsid w:val="0054074A"/>
    <w:rsid w:val="00542C64"/>
    <w:rsid w:val="005438FE"/>
    <w:rsid w:val="005439E6"/>
    <w:rsid w:val="00544EC7"/>
    <w:rsid w:val="00544FF7"/>
    <w:rsid w:val="00546228"/>
    <w:rsid w:val="00546425"/>
    <w:rsid w:val="0054664E"/>
    <w:rsid w:val="00547B05"/>
    <w:rsid w:val="00551014"/>
    <w:rsid w:val="005516D9"/>
    <w:rsid w:val="00551EF6"/>
    <w:rsid w:val="00552B24"/>
    <w:rsid w:val="00552F6F"/>
    <w:rsid w:val="00552FC1"/>
    <w:rsid w:val="00553169"/>
    <w:rsid w:val="00553D35"/>
    <w:rsid w:val="00555E7F"/>
    <w:rsid w:val="00555F29"/>
    <w:rsid w:val="00556139"/>
    <w:rsid w:val="00556E5C"/>
    <w:rsid w:val="0055736D"/>
    <w:rsid w:val="00557E38"/>
    <w:rsid w:val="00560E21"/>
    <w:rsid w:val="00561FA5"/>
    <w:rsid w:val="00562A32"/>
    <w:rsid w:val="00564191"/>
    <w:rsid w:val="00565220"/>
    <w:rsid w:val="0056713F"/>
    <w:rsid w:val="005674DC"/>
    <w:rsid w:val="0057031B"/>
    <w:rsid w:val="0057037E"/>
    <w:rsid w:val="00571268"/>
    <w:rsid w:val="005720CD"/>
    <w:rsid w:val="00572343"/>
    <w:rsid w:val="005727D7"/>
    <w:rsid w:val="00572F13"/>
    <w:rsid w:val="00573CCB"/>
    <w:rsid w:val="00575052"/>
    <w:rsid w:val="00575812"/>
    <w:rsid w:val="00575B20"/>
    <w:rsid w:val="00577450"/>
    <w:rsid w:val="005774A7"/>
    <w:rsid w:val="00577DC2"/>
    <w:rsid w:val="005805BC"/>
    <w:rsid w:val="00580EB5"/>
    <w:rsid w:val="005816D7"/>
    <w:rsid w:val="00582B65"/>
    <w:rsid w:val="0058386D"/>
    <w:rsid w:val="0058490F"/>
    <w:rsid w:val="00586179"/>
    <w:rsid w:val="00587020"/>
    <w:rsid w:val="005871EA"/>
    <w:rsid w:val="005919CE"/>
    <w:rsid w:val="00591B70"/>
    <w:rsid w:val="0059313D"/>
    <w:rsid w:val="005949CB"/>
    <w:rsid w:val="005955D0"/>
    <w:rsid w:val="00596130"/>
    <w:rsid w:val="00596450"/>
    <w:rsid w:val="0059781B"/>
    <w:rsid w:val="00597923"/>
    <w:rsid w:val="00597C63"/>
    <w:rsid w:val="005A06ED"/>
    <w:rsid w:val="005A193A"/>
    <w:rsid w:val="005A2892"/>
    <w:rsid w:val="005A28B6"/>
    <w:rsid w:val="005A4C43"/>
    <w:rsid w:val="005A5741"/>
    <w:rsid w:val="005A78CC"/>
    <w:rsid w:val="005A7AA2"/>
    <w:rsid w:val="005A7D98"/>
    <w:rsid w:val="005B3D35"/>
    <w:rsid w:val="005B4397"/>
    <w:rsid w:val="005B50C2"/>
    <w:rsid w:val="005B75EF"/>
    <w:rsid w:val="005B7B1E"/>
    <w:rsid w:val="005B7E07"/>
    <w:rsid w:val="005B7FE4"/>
    <w:rsid w:val="005C01A9"/>
    <w:rsid w:val="005C0B7B"/>
    <w:rsid w:val="005C10A9"/>
    <w:rsid w:val="005C12AD"/>
    <w:rsid w:val="005C1AD8"/>
    <w:rsid w:val="005C1C3F"/>
    <w:rsid w:val="005C20E5"/>
    <w:rsid w:val="005C23CC"/>
    <w:rsid w:val="005C2725"/>
    <w:rsid w:val="005C3A67"/>
    <w:rsid w:val="005C56C0"/>
    <w:rsid w:val="005C7308"/>
    <w:rsid w:val="005C796B"/>
    <w:rsid w:val="005C7D74"/>
    <w:rsid w:val="005D0147"/>
    <w:rsid w:val="005D0365"/>
    <w:rsid w:val="005D1A6A"/>
    <w:rsid w:val="005D585F"/>
    <w:rsid w:val="005D6371"/>
    <w:rsid w:val="005D6D0B"/>
    <w:rsid w:val="005D721F"/>
    <w:rsid w:val="005E03A8"/>
    <w:rsid w:val="005E1597"/>
    <w:rsid w:val="005E16E7"/>
    <w:rsid w:val="005E344B"/>
    <w:rsid w:val="005E56BA"/>
    <w:rsid w:val="005F128A"/>
    <w:rsid w:val="005F1649"/>
    <w:rsid w:val="005F1668"/>
    <w:rsid w:val="005F1E99"/>
    <w:rsid w:val="005F21C7"/>
    <w:rsid w:val="005F23F9"/>
    <w:rsid w:val="005F2445"/>
    <w:rsid w:val="005F2A1C"/>
    <w:rsid w:val="005F36A1"/>
    <w:rsid w:val="005F3ABB"/>
    <w:rsid w:val="005F3B10"/>
    <w:rsid w:val="005F3CF6"/>
    <w:rsid w:val="005F5484"/>
    <w:rsid w:val="005F5FAC"/>
    <w:rsid w:val="005F6E36"/>
    <w:rsid w:val="005F703D"/>
    <w:rsid w:val="005F7552"/>
    <w:rsid w:val="006013A1"/>
    <w:rsid w:val="00603936"/>
    <w:rsid w:val="00603A97"/>
    <w:rsid w:val="00605089"/>
    <w:rsid w:val="00606886"/>
    <w:rsid w:val="00606A11"/>
    <w:rsid w:val="00606F3D"/>
    <w:rsid w:val="006072C8"/>
    <w:rsid w:val="00610130"/>
    <w:rsid w:val="00610790"/>
    <w:rsid w:val="0061177B"/>
    <w:rsid w:val="00611828"/>
    <w:rsid w:val="0061186A"/>
    <w:rsid w:val="00611A3B"/>
    <w:rsid w:val="00611B34"/>
    <w:rsid w:val="00612A97"/>
    <w:rsid w:val="006135A0"/>
    <w:rsid w:val="0061393B"/>
    <w:rsid w:val="0061475F"/>
    <w:rsid w:val="00614AAD"/>
    <w:rsid w:val="00614F38"/>
    <w:rsid w:val="00617341"/>
    <w:rsid w:val="00620CE1"/>
    <w:rsid w:val="00621B75"/>
    <w:rsid w:val="00622B16"/>
    <w:rsid w:val="00623392"/>
    <w:rsid w:val="00624C24"/>
    <w:rsid w:val="0062529F"/>
    <w:rsid w:val="00626053"/>
    <w:rsid w:val="00626D1A"/>
    <w:rsid w:val="00627371"/>
    <w:rsid w:val="0062749E"/>
    <w:rsid w:val="00627593"/>
    <w:rsid w:val="006300EE"/>
    <w:rsid w:val="006309E9"/>
    <w:rsid w:val="00630B60"/>
    <w:rsid w:val="006310AA"/>
    <w:rsid w:val="00631C59"/>
    <w:rsid w:val="00631C8A"/>
    <w:rsid w:val="00632558"/>
    <w:rsid w:val="0063336A"/>
    <w:rsid w:val="00633DEB"/>
    <w:rsid w:val="006346B4"/>
    <w:rsid w:val="00634A1B"/>
    <w:rsid w:val="00634DB9"/>
    <w:rsid w:val="0063566C"/>
    <w:rsid w:val="0063621D"/>
    <w:rsid w:val="006364F3"/>
    <w:rsid w:val="00641621"/>
    <w:rsid w:val="0064295C"/>
    <w:rsid w:val="006437E9"/>
    <w:rsid w:val="00643C2F"/>
    <w:rsid w:val="006462CD"/>
    <w:rsid w:val="00646EEF"/>
    <w:rsid w:val="00647BF7"/>
    <w:rsid w:val="00652EBD"/>
    <w:rsid w:val="006539B1"/>
    <w:rsid w:val="00653B3B"/>
    <w:rsid w:val="00653D7B"/>
    <w:rsid w:val="00654295"/>
    <w:rsid w:val="00655A75"/>
    <w:rsid w:val="006577ED"/>
    <w:rsid w:val="00665040"/>
    <w:rsid w:val="00665429"/>
    <w:rsid w:val="00665574"/>
    <w:rsid w:val="00665E6D"/>
    <w:rsid w:val="00666E50"/>
    <w:rsid w:val="00667051"/>
    <w:rsid w:val="00667716"/>
    <w:rsid w:val="0067045B"/>
    <w:rsid w:val="006716F6"/>
    <w:rsid w:val="00671D6A"/>
    <w:rsid w:val="00672129"/>
    <w:rsid w:val="00672319"/>
    <w:rsid w:val="0067300A"/>
    <w:rsid w:val="006745B7"/>
    <w:rsid w:val="00680E17"/>
    <w:rsid w:val="006814CC"/>
    <w:rsid w:val="00681C17"/>
    <w:rsid w:val="00681D55"/>
    <w:rsid w:val="00681EF1"/>
    <w:rsid w:val="006826A6"/>
    <w:rsid w:val="006843B4"/>
    <w:rsid w:val="00684571"/>
    <w:rsid w:val="0068598D"/>
    <w:rsid w:val="0068651F"/>
    <w:rsid w:val="006870B0"/>
    <w:rsid w:val="0069030A"/>
    <w:rsid w:val="00690E07"/>
    <w:rsid w:val="0069167E"/>
    <w:rsid w:val="00691B65"/>
    <w:rsid w:val="00691F33"/>
    <w:rsid w:val="0069252C"/>
    <w:rsid w:val="00692939"/>
    <w:rsid w:val="0069371F"/>
    <w:rsid w:val="00693AFA"/>
    <w:rsid w:val="00693F47"/>
    <w:rsid w:val="00694A74"/>
    <w:rsid w:val="00694DC1"/>
    <w:rsid w:val="00695209"/>
    <w:rsid w:val="00695242"/>
    <w:rsid w:val="00695D0B"/>
    <w:rsid w:val="006964DD"/>
    <w:rsid w:val="00696B5D"/>
    <w:rsid w:val="006978FC"/>
    <w:rsid w:val="006A0299"/>
    <w:rsid w:val="006A0595"/>
    <w:rsid w:val="006A0C6E"/>
    <w:rsid w:val="006A1718"/>
    <w:rsid w:val="006A2099"/>
    <w:rsid w:val="006A261A"/>
    <w:rsid w:val="006A2786"/>
    <w:rsid w:val="006A27E7"/>
    <w:rsid w:val="006A3479"/>
    <w:rsid w:val="006A43A6"/>
    <w:rsid w:val="006A4903"/>
    <w:rsid w:val="006A609A"/>
    <w:rsid w:val="006A694C"/>
    <w:rsid w:val="006A6AD8"/>
    <w:rsid w:val="006A725E"/>
    <w:rsid w:val="006A7824"/>
    <w:rsid w:val="006A7826"/>
    <w:rsid w:val="006A7D0B"/>
    <w:rsid w:val="006B0187"/>
    <w:rsid w:val="006B05E5"/>
    <w:rsid w:val="006B1842"/>
    <w:rsid w:val="006B1EA1"/>
    <w:rsid w:val="006B44C7"/>
    <w:rsid w:val="006B5A4B"/>
    <w:rsid w:val="006B5C11"/>
    <w:rsid w:val="006B62FE"/>
    <w:rsid w:val="006B6496"/>
    <w:rsid w:val="006B70AB"/>
    <w:rsid w:val="006B73F1"/>
    <w:rsid w:val="006B7AAD"/>
    <w:rsid w:val="006C0077"/>
    <w:rsid w:val="006C0CCD"/>
    <w:rsid w:val="006C1A1F"/>
    <w:rsid w:val="006C1DF6"/>
    <w:rsid w:val="006C215F"/>
    <w:rsid w:val="006C2F16"/>
    <w:rsid w:val="006C4A58"/>
    <w:rsid w:val="006C5768"/>
    <w:rsid w:val="006C6A57"/>
    <w:rsid w:val="006C7264"/>
    <w:rsid w:val="006D0230"/>
    <w:rsid w:val="006D03FF"/>
    <w:rsid w:val="006D07BF"/>
    <w:rsid w:val="006D1046"/>
    <w:rsid w:val="006D2C67"/>
    <w:rsid w:val="006D3874"/>
    <w:rsid w:val="006D3A0C"/>
    <w:rsid w:val="006D51DB"/>
    <w:rsid w:val="006D58CF"/>
    <w:rsid w:val="006D6455"/>
    <w:rsid w:val="006D7ACC"/>
    <w:rsid w:val="006E0923"/>
    <w:rsid w:val="006E0BBE"/>
    <w:rsid w:val="006E1A19"/>
    <w:rsid w:val="006E23BC"/>
    <w:rsid w:val="006E258A"/>
    <w:rsid w:val="006E3120"/>
    <w:rsid w:val="006E3312"/>
    <w:rsid w:val="006E3369"/>
    <w:rsid w:val="006E392E"/>
    <w:rsid w:val="006E4567"/>
    <w:rsid w:val="006E4BC8"/>
    <w:rsid w:val="006E51FE"/>
    <w:rsid w:val="006E668F"/>
    <w:rsid w:val="006E6724"/>
    <w:rsid w:val="006F120D"/>
    <w:rsid w:val="006F147F"/>
    <w:rsid w:val="006F1D11"/>
    <w:rsid w:val="006F1F21"/>
    <w:rsid w:val="006F2C2C"/>
    <w:rsid w:val="006F40D5"/>
    <w:rsid w:val="006F4B62"/>
    <w:rsid w:val="006F5141"/>
    <w:rsid w:val="006F52A8"/>
    <w:rsid w:val="006F76E1"/>
    <w:rsid w:val="00700EAF"/>
    <w:rsid w:val="0070315C"/>
    <w:rsid w:val="00703FD6"/>
    <w:rsid w:val="00704851"/>
    <w:rsid w:val="00704A2E"/>
    <w:rsid w:val="00704C57"/>
    <w:rsid w:val="00705263"/>
    <w:rsid w:val="00707863"/>
    <w:rsid w:val="0071113B"/>
    <w:rsid w:val="0071151B"/>
    <w:rsid w:val="0071162E"/>
    <w:rsid w:val="0071178B"/>
    <w:rsid w:val="00711C5D"/>
    <w:rsid w:val="00712FBD"/>
    <w:rsid w:val="00713059"/>
    <w:rsid w:val="00714465"/>
    <w:rsid w:val="007146A2"/>
    <w:rsid w:val="0071557F"/>
    <w:rsid w:val="00715FE2"/>
    <w:rsid w:val="00716DE7"/>
    <w:rsid w:val="00716EB4"/>
    <w:rsid w:val="00717395"/>
    <w:rsid w:val="007204CA"/>
    <w:rsid w:val="0072078B"/>
    <w:rsid w:val="0072181A"/>
    <w:rsid w:val="007218D4"/>
    <w:rsid w:val="00722AE8"/>
    <w:rsid w:val="00723557"/>
    <w:rsid w:val="00724239"/>
    <w:rsid w:val="00724BC7"/>
    <w:rsid w:val="00724CCD"/>
    <w:rsid w:val="007259D5"/>
    <w:rsid w:val="00726826"/>
    <w:rsid w:val="00726958"/>
    <w:rsid w:val="00730409"/>
    <w:rsid w:val="00732734"/>
    <w:rsid w:val="007337A1"/>
    <w:rsid w:val="0073415E"/>
    <w:rsid w:val="00734A90"/>
    <w:rsid w:val="00734D90"/>
    <w:rsid w:val="00735B9C"/>
    <w:rsid w:val="0073684E"/>
    <w:rsid w:val="00737143"/>
    <w:rsid w:val="00737EBB"/>
    <w:rsid w:val="0074072C"/>
    <w:rsid w:val="0074118D"/>
    <w:rsid w:val="00741AC9"/>
    <w:rsid w:val="00742310"/>
    <w:rsid w:val="0074308C"/>
    <w:rsid w:val="00743C4D"/>
    <w:rsid w:val="007450F9"/>
    <w:rsid w:val="00745845"/>
    <w:rsid w:val="00746479"/>
    <w:rsid w:val="00746A9C"/>
    <w:rsid w:val="0074722B"/>
    <w:rsid w:val="007474B9"/>
    <w:rsid w:val="007500F0"/>
    <w:rsid w:val="007501B0"/>
    <w:rsid w:val="00750273"/>
    <w:rsid w:val="007513BD"/>
    <w:rsid w:val="00751744"/>
    <w:rsid w:val="007522E3"/>
    <w:rsid w:val="007529BA"/>
    <w:rsid w:val="00753269"/>
    <w:rsid w:val="00753F26"/>
    <w:rsid w:val="0075441A"/>
    <w:rsid w:val="00755242"/>
    <w:rsid w:val="00755E7B"/>
    <w:rsid w:val="0076033E"/>
    <w:rsid w:val="0076105D"/>
    <w:rsid w:val="00762A81"/>
    <w:rsid w:val="00763419"/>
    <w:rsid w:val="007648F5"/>
    <w:rsid w:val="007663EE"/>
    <w:rsid w:val="00766D37"/>
    <w:rsid w:val="007676EF"/>
    <w:rsid w:val="00767873"/>
    <w:rsid w:val="007710E4"/>
    <w:rsid w:val="0077138A"/>
    <w:rsid w:val="00773110"/>
    <w:rsid w:val="00773336"/>
    <w:rsid w:val="007747A5"/>
    <w:rsid w:val="00774C0D"/>
    <w:rsid w:val="00775172"/>
    <w:rsid w:val="00775436"/>
    <w:rsid w:val="0077652F"/>
    <w:rsid w:val="0077751C"/>
    <w:rsid w:val="0078039C"/>
    <w:rsid w:val="00780539"/>
    <w:rsid w:val="00781BA3"/>
    <w:rsid w:val="007821D3"/>
    <w:rsid w:val="007827C4"/>
    <w:rsid w:val="00783E57"/>
    <w:rsid w:val="00784868"/>
    <w:rsid w:val="00784FA2"/>
    <w:rsid w:val="00785955"/>
    <w:rsid w:val="00785DED"/>
    <w:rsid w:val="007873B6"/>
    <w:rsid w:val="00787771"/>
    <w:rsid w:val="00787CD7"/>
    <w:rsid w:val="00790C04"/>
    <w:rsid w:val="00790EFB"/>
    <w:rsid w:val="00792B1A"/>
    <w:rsid w:val="00794B21"/>
    <w:rsid w:val="00794DC7"/>
    <w:rsid w:val="00795FAC"/>
    <w:rsid w:val="0079749B"/>
    <w:rsid w:val="007974A9"/>
    <w:rsid w:val="007979E7"/>
    <w:rsid w:val="00797B5D"/>
    <w:rsid w:val="007A05BF"/>
    <w:rsid w:val="007A0939"/>
    <w:rsid w:val="007A138C"/>
    <w:rsid w:val="007A2C82"/>
    <w:rsid w:val="007A322F"/>
    <w:rsid w:val="007A54D2"/>
    <w:rsid w:val="007A5D16"/>
    <w:rsid w:val="007A6706"/>
    <w:rsid w:val="007A684D"/>
    <w:rsid w:val="007A6A56"/>
    <w:rsid w:val="007A6F6F"/>
    <w:rsid w:val="007A6FEA"/>
    <w:rsid w:val="007A7792"/>
    <w:rsid w:val="007B0E2A"/>
    <w:rsid w:val="007B1A69"/>
    <w:rsid w:val="007B37AB"/>
    <w:rsid w:val="007B4CF9"/>
    <w:rsid w:val="007B614D"/>
    <w:rsid w:val="007B6589"/>
    <w:rsid w:val="007B76F6"/>
    <w:rsid w:val="007C02BE"/>
    <w:rsid w:val="007C0433"/>
    <w:rsid w:val="007C0E0C"/>
    <w:rsid w:val="007C1D7B"/>
    <w:rsid w:val="007C26E2"/>
    <w:rsid w:val="007C2CC8"/>
    <w:rsid w:val="007C3224"/>
    <w:rsid w:val="007C37CD"/>
    <w:rsid w:val="007C3D03"/>
    <w:rsid w:val="007C4B9C"/>
    <w:rsid w:val="007C5497"/>
    <w:rsid w:val="007C59AD"/>
    <w:rsid w:val="007C5EAB"/>
    <w:rsid w:val="007C60DF"/>
    <w:rsid w:val="007C6887"/>
    <w:rsid w:val="007C6CD2"/>
    <w:rsid w:val="007C74B4"/>
    <w:rsid w:val="007C7628"/>
    <w:rsid w:val="007D1033"/>
    <w:rsid w:val="007D3181"/>
    <w:rsid w:val="007D59CD"/>
    <w:rsid w:val="007D5CD5"/>
    <w:rsid w:val="007D691A"/>
    <w:rsid w:val="007D6967"/>
    <w:rsid w:val="007D69C2"/>
    <w:rsid w:val="007E6348"/>
    <w:rsid w:val="007E6E22"/>
    <w:rsid w:val="007E7678"/>
    <w:rsid w:val="007E7854"/>
    <w:rsid w:val="007F0699"/>
    <w:rsid w:val="007F09E1"/>
    <w:rsid w:val="007F0CF6"/>
    <w:rsid w:val="007F1528"/>
    <w:rsid w:val="007F1969"/>
    <w:rsid w:val="007F1E46"/>
    <w:rsid w:val="007F2251"/>
    <w:rsid w:val="007F2580"/>
    <w:rsid w:val="007F25C7"/>
    <w:rsid w:val="007F2C7D"/>
    <w:rsid w:val="007F3FE7"/>
    <w:rsid w:val="007F4850"/>
    <w:rsid w:val="007F4F96"/>
    <w:rsid w:val="007F5AA0"/>
    <w:rsid w:val="007F5EE5"/>
    <w:rsid w:val="007F679B"/>
    <w:rsid w:val="007F777B"/>
    <w:rsid w:val="007F7A08"/>
    <w:rsid w:val="007F7AD1"/>
    <w:rsid w:val="008000B6"/>
    <w:rsid w:val="008000D8"/>
    <w:rsid w:val="00800BD6"/>
    <w:rsid w:val="00800E35"/>
    <w:rsid w:val="00800E5F"/>
    <w:rsid w:val="00800F76"/>
    <w:rsid w:val="008010AE"/>
    <w:rsid w:val="00801123"/>
    <w:rsid w:val="008011D6"/>
    <w:rsid w:val="008013C7"/>
    <w:rsid w:val="008028B0"/>
    <w:rsid w:val="00803015"/>
    <w:rsid w:val="00803D85"/>
    <w:rsid w:val="0080412D"/>
    <w:rsid w:val="008048D9"/>
    <w:rsid w:val="00804BFE"/>
    <w:rsid w:val="00804D95"/>
    <w:rsid w:val="00805592"/>
    <w:rsid w:val="0080651B"/>
    <w:rsid w:val="00807340"/>
    <w:rsid w:val="0080774E"/>
    <w:rsid w:val="00810837"/>
    <w:rsid w:val="00811C7B"/>
    <w:rsid w:val="00811F61"/>
    <w:rsid w:val="008126EA"/>
    <w:rsid w:val="008136F5"/>
    <w:rsid w:val="00814C54"/>
    <w:rsid w:val="008152F0"/>
    <w:rsid w:val="008163BB"/>
    <w:rsid w:val="008168A8"/>
    <w:rsid w:val="00820049"/>
    <w:rsid w:val="00821348"/>
    <w:rsid w:val="00821AAF"/>
    <w:rsid w:val="008236F1"/>
    <w:rsid w:val="008237F8"/>
    <w:rsid w:val="00824647"/>
    <w:rsid w:val="00825330"/>
    <w:rsid w:val="00825D03"/>
    <w:rsid w:val="008275B7"/>
    <w:rsid w:val="008277D6"/>
    <w:rsid w:val="00827930"/>
    <w:rsid w:val="008304C2"/>
    <w:rsid w:val="00832AD8"/>
    <w:rsid w:val="00835A2D"/>
    <w:rsid w:val="0083612B"/>
    <w:rsid w:val="00836821"/>
    <w:rsid w:val="00840102"/>
    <w:rsid w:val="0084016F"/>
    <w:rsid w:val="00840698"/>
    <w:rsid w:val="008413E0"/>
    <w:rsid w:val="00845145"/>
    <w:rsid w:val="0084516D"/>
    <w:rsid w:val="00846301"/>
    <w:rsid w:val="0084656D"/>
    <w:rsid w:val="008468D4"/>
    <w:rsid w:val="008506BD"/>
    <w:rsid w:val="00850EA8"/>
    <w:rsid w:val="00852D2F"/>
    <w:rsid w:val="00852F2B"/>
    <w:rsid w:val="0085321D"/>
    <w:rsid w:val="008548A1"/>
    <w:rsid w:val="008548FC"/>
    <w:rsid w:val="00854A02"/>
    <w:rsid w:val="00855004"/>
    <w:rsid w:val="00855356"/>
    <w:rsid w:val="0085599A"/>
    <w:rsid w:val="00856CD4"/>
    <w:rsid w:val="008571C0"/>
    <w:rsid w:val="00857C43"/>
    <w:rsid w:val="00860BCE"/>
    <w:rsid w:val="00861302"/>
    <w:rsid w:val="0086232E"/>
    <w:rsid w:val="0086268F"/>
    <w:rsid w:val="0086288F"/>
    <w:rsid w:val="0086295C"/>
    <w:rsid w:val="00862B01"/>
    <w:rsid w:val="0086347A"/>
    <w:rsid w:val="0086409C"/>
    <w:rsid w:val="008643E8"/>
    <w:rsid w:val="008649C0"/>
    <w:rsid w:val="00864B05"/>
    <w:rsid w:val="00865A0F"/>
    <w:rsid w:val="008660C5"/>
    <w:rsid w:val="008667F9"/>
    <w:rsid w:val="00866E80"/>
    <w:rsid w:val="00866EEB"/>
    <w:rsid w:val="00866F51"/>
    <w:rsid w:val="00867326"/>
    <w:rsid w:val="00870749"/>
    <w:rsid w:val="00870C13"/>
    <w:rsid w:val="008710FF"/>
    <w:rsid w:val="0087214F"/>
    <w:rsid w:val="0087221F"/>
    <w:rsid w:val="008722AA"/>
    <w:rsid w:val="00873BDD"/>
    <w:rsid w:val="00874B41"/>
    <w:rsid w:val="00874F46"/>
    <w:rsid w:val="008755A2"/>
    <w:rsid w:val="00881E55"/>
    <w:rsid w:val="00882F96"/>
    <w:rsid w:val="00883A3C"/>
    <w:rsid w:val="00884674"/>
    <w:rsid w:val="0088548C"/>
    <w:rsid w:val="0088548E"/>
    <w:rsid w:val="00885D44"/>
    <w:rsid w:val="00886632"/>
    <w:rsid w:val="008877FE"/>
    <w:rsid w:val="00887BC2"/>
    <w:rsid w:val="00890003"/>
    <w:rsid w:val="00891077"/>
    <w:rsid w:val="00891775"/>
    <w:rsid w:val="00891CDB"/>
    <w:rsid w:val="00892E0D"/>
    <w:rsid w:val="00893319"/>
    <w:rsid w:val="00893A09"/>
    <w:rsid w:val="00894AA4"/>
    <w:rsid w:val="00895B62"/>
    <w:rsid w:val="00895D89"/>
    <w:rsid w:val="00896464"/>
    <w:rsid w:val="00896551"/>
    <w:rsid w:val="008971DD"/>
    <w:rsid w:val="00897327"/>
    <w:rsid w:val="0089775A"/>
    <w:rsid w:val="00897AEF"/>
    <w:rsid w:val="008A1531"/>
    <w:rsid w:val="008A1556"/>
    <w:rsid w:val="008A1E2A"/>
    <w:rsid w:val="008A2BD9"/>
    <w:rsid w:val="008A33AD"/>
    <w:rsid w:val="008A3C0C"/>
    <w:rsid w:val="008A4FA0"/>
    <w:rsid w:val="008A56CB"/>
    <w:rsid w:val="008A59D2"/>
    <w:rsid w:val="008A60B5"/>
    <w:rsid w:val="008A6A60"/>
    <w:rsid w:val="008B0302"/>
    <w:rsid w:val="008B0AD5"/>
    <w:rsid w:val="008B0CB5"/>
    <w:rsid w:val="008B13D8"/>
    <w:rsid w:val="008B3221"/>
    <w:rsid w:val="008B41C2"/>
    <w:rsid w:val="008B4D55"/>
    <w:rsid w:val="008B4EB0"/>
    <w:rsid w:val="008B5F72"/>
    <w:rsid w:val="008B7535"/>
    <w:rsid w:val="008B78E5"/>
    <w:rsid w:val="008B79E4"/>
    <w:rsid w:val="008C0B62"/>
    <w:rsid w:val="008C1A5B"/>
    <w:rsid w:val="008C1B9D"/>
    <w:rsid w:val="008C1FF4"/>
    <w:rsid w:val="008C2922"/>
    <w:rsid w:val="008C38F1"/>
    <w:rsid w:val="008C46D9"/>
    <w:rsid w:val="008C58E1"/>
    <w:rsid w:val="008C5FDF"/>
    <w:rsid w:val="008C71C7"/>
    <w:rsid w:val="008C7291"/>
    <w:rsid w:val="008D17BA"/>
    <w:rsid w:val="008D3A8A"/>
    <w:rsid w:val="008D5565"/>
    <w:rsid w:val="008D5B54"/>
    <w:rsid w:val="008D6436"/>
    <w:rsid w:val="008D6A1C"/>
    <w:rsid w:val="008D73C7"/>
    <w:rsid w:val="008D7BE4"/>
    <w:rsid w:val="008E0618"/>
    <w:rsid w:val="008E0E87"/>
    <w:rsid w:val="008E1C68"/>
    <w:rsid w:val="008E336C"/>
    <w:rsid w:val="008E4709"/>
    <w:rsid w:val="008E4C40"/>
    <w:rsid w:val="008E61EE"/>
    <w:rsid w:val="008E69EF"/>
    <w:rsid w:val="008E6F07"/>
    <w:rsid w:val="008E753A"/>
    <w:rsid w:val="008E7889"/>
    <w:rsid w:val="008E797B"/>
    <w:rsid w:val="008F039A"/>
    <w:rsid w:val="008F1097"/>
    <w:rsid w:val="008F10A1"/>
    <w:rsid w:val="008F126F"/>
    <w:rsid w:val="008F1691"/>
    <w:rsid w:val="008F1CB6"/>
    <w:rsid w:val="008F1F84"/>
    <w:rsid w:val="008F2FD0"/>
    <w:rsid w:val="008F33D9"/>
    <w:rsid w:val="008F3555"/>
    <w:rsid w:val="008F37E2"/>
    <w:rsid w:val="008F444B"/>
    <w:rsid w:val="008F4588"/>
    <w:rsid w:val="008F4FA3"/>
    <w:rsid w:val="008F594F"/>
    <w:rsid w:val="008F5995"/>
    <w:rsid w:val="008F61D5"/>
    <w:rsid w:val="008F69BB"/>
    <w:rsid w:val="008F6B05"/>
    <w:rsid w:val="008F7BA3"/>
    <w:rsid w:val="009019EB"/>
    <w:rsid w:val="009021B9"/>
    <w:rsid w:val="00902789"/>
    <w:rsid w:val="0090292B"/>
    <w:rsid w:val="009030B0"/>
    <w:rsid w:val="00904BF8"/>
    <w:rsid w:val="00905103"/>
    <w:rsid w:val="00906126"/>
    <w:rsid w:val="00906323"/>
    <w:rsid w:val="00906632"/>
    <w:rsid w:val="00907D80"/>
    <w:rsid w:val="00911344"/>
    <w:rsid w:val="00912915"/>
    <w:rsid w:val="00912EBD"/>
    <w:rsid w:val="00912FC6"/>
    <w:rsid w:val="00913C41"/>
    <w:rsid w:val="0091403B"/>
    <w:rsid w:val="00914CC5"/>
    <w:rsid w:val="00915838"/>
    <w:rsid w:val="009159E6"/>
    <w:rsid w:val="00916CDB"/>
    <w:rsid w:val="009175FF"/>
    <w:rsid w:val="00917B30"/>
    <w:rsid w:val="00917BD7"/>
    <w:rsid w:val="00917CF6"/>
    <w:rsid w:val="00917DC9"/>
    <w:rsid w:val="009212A0"/>
    <w:rsid w:val="00923C70"/>
    <w:rsid w:val="00924268"/>
    <w:rsid w:val="009250EC"/>
    <w:rsid w:val="00926193"/>
    <w:rsid w:val="009275D4"/>
    <w:rsid w:val="00930176"/>
    <w:rsid w:val="00931B00"/>
    <w:rsid w:val="009321E1"/>
    <w:rsid w:val="00932D58"/>
    <w:rsid w:val="009333B3"/>
    <w:rsid w:val="00934DCB"/>
    <w:rsid w:val="00935337"/>
    <w:rsid w:val="00935AFC"/>
    <w:rsid w:val="00936769"/>
    <w:rsid w:val="009367D8"/>
    <w:rsid w:val="009368EA"/>
    <w:rsid w:val="00936AC0"/>
    <w:rsid w:val="00937D60"/>
    <w:rsid w:val="009403DB"/>
    <w:rsid w:val="00941188"/>
    <w:rsid w:val="009417C4"/>
    <w:rsid w:val="00941E90"/>
    <w:rsid w:val="009431A2"/>
    <w:rsid w:val="00943896"/>
    <w:rsid w:val="00943EA9"/>
    <w:rsid w:val="00944630"/>
    <w:rsid w:val="00945D81"/>
    <w:rsid w:val="00945FFA"/>
    <w:rsid w:val="00945FFE"/>
    <w:rsid w:val="009460FC"/>
    <w:rsid w:val="00946311"/>
    <w:rsid w:val="00946A86"/>
    <w:rsid w:val="00947FCE"/>
    <w:rsid w:val="00950533"/>
    <w:rsid w:val="00950568"/>
    <w:rsid w:val="00951E0F"/>
    <w:rsid w:val="009521F4"/>
    <w:rsid w:val="009524BB"/>
    <w:rsid w:val="00952814"/>
    <w:rsid w:val="00952E2D"/>
    <w:rsid w:val="00953258"/>
    <w:rsid w:val="00953A9E"/>
    <w:rsid w:val="00953C07"/>
    <w:rsid w:val="00955669"/>
    <w:rsid w:val="0095588D"/>
    <w:rsid w:val="00956B8A"/>
    <w:rsid w:val="0095728B"/>
    <w:rsid w:val="00961F2C"/>
    <w:rsid w:val="0096372A"/>
    <w:rsid w:val="00964074"/>
    <w:rsid w:val="009659CF"/>
    <w:rsid w:val="00966185"/>
    <w:rsid w:val="00966480"/>
    <w:rsid w:val="009676E2"/>
    <w:rsid w:val="00967917"/>
    <w:rsid w:val="00970AB6"/>
    <w:rsid w:val="00970AFC"/>
    <w:rsid w:val="00970B8C"/>
    <w:rsid w:val="009711AB"/>
    <w:rsid w:val="00972F05"/>
    <w:rsid w:val="00973C10"/>
    <w:rsid w:val="009758D3"/>
    <w:rsid w:val="00977757"/>
    <w:rsid w:val="00977B46"/>
    <w:rsid w:val="00980EF1"/>
    <w:rsid w:val="0098113F"/>
    <w:rsid w:val="009816D9"/>
    <w:rsid w:val="009819B8"/>
    <w:rsid w:val="009823A4"/>
    <w:rsid w:val="009834BB"/>
    <w:rsid w:val="00985112"/>
    <w:rsid w:val="009870CA"/>
    <w:rsid w:val="00990CE7"/>
    <w:rsid w:val="009919DC"/>
    <w:rsid w:val="00995BEB"/>
    <w:rsid w:val="00996798"/>
    <w:rsid w:val="00997A62"/>
    <w:rsid w:val="009A0980"/>
    <w:rsid w:val="009A186A"/>
    <w:rsid w:val="009A1AB5"/>
    <w:rsid w:val="009A2119"/>
    <w:rsid w:val="009A28B9"/>
    <w:rsid w:val="009A28DE"/>
    <w:rsid w:val="009A3081"/>
    <w:rsid w:val="009A33BF"/>
    <w:rsid w:val="009A3E8A"/>
    <w:rsid w:val="009A47DE"/>
    <w:rsid w:val="009A518E"/>
    <w:rsid w:val="009A5385"/>
    <w:rsid w:val="009A5ECB"/>
    <w:rsid w:val="009A65F3"/>
    <w:rsid w:val="009A69D2"/>
    <w:rsid w:val="009B01C4"/>
    <w:rsid w:val="009B0739"/>
    <w:rsid w:val="009B13BA"/>
    <w:rsid w:val="009B20CD"/>
    <w:rsid w:val="009B3141"/>
    <w:rsid w:val="009B38D5"/>
    <w:rsid w:val="009B39BF"/>
    <w:rsid w:val="009B60AC"/>
    <w:rsid w:val="009B64D4"/>
    <w:rsid w:val="009B68F3"/>
    <w:rsid w:val="009B7085"/>
    <w:rsid w:val="009B76F8"/>
    <w:rsid w:val="009C1E46"/>
    <w:rsid w:val="009C2157"/>
    <w:rsid w:val="009C49BF"/>
    <w:rsid w:val="009C51EA"/>
    <w:rsid w:val="009C5DA7"/>
    <w:rsid w:val="009C6885"/>
    <w:rsid w:val="009C68C2"/>
    <w:rsid w:val="009C6B42"/>
    <w:rsid w:val="009D024D"/>
    <w:rsid w:val="009D0B26"/>
    <w:rsid w:val="009D101D"/>
    <w:rsid w:val="009D1BDE"/>
    <w:rsid w:val="009D206A"/>
    <w:rsid w:val="009D2D52"/>
    <w:rsid w:val="009D375C"/>
    <w:rsid w:val="009D39BD"/>
    <w:rsid w:val="009D4901"/>
    <w:rsid w:val="009D5B91"/>
    <w:rsid w:val="009D6253"/>
    <w:rsid w:val="009D641C"/>
    <w:rsid w:val="009D691A"/>
    <w:rsid w:val="009D72F8"/>
    <w:rsid w:val="009D7FE8"/>
    <w:rsid w:val="009E19E9"/>
    <w:rsid w:val="009E1A17"/>
    <w:rsid w:val="009E2A09"/>
    <w:rsid w:val="009E2B68"/>
    <w:rsid w:val="009E2C0B"/>
    <w:rsid w:val="009E3F2D"/>
    <w:rsid w:val="009E4F74"/>
    <w:rsid w:val="009E514D"/>
    <w:rsid w:val="009E6A42"/>
    <w:rsid w:val="009F0464"/>
    <w:rsid w:val="009F15AA"/>
    <w:rsid w:val="009F2298"/>
    <w:rsid w:val="009F23D6"/>
    <w:rsid w:val="009F3688"/>
    <w:rsid w:val="009F3B6F"/>
    <w:rsid w:val="009F475A"/>
    <w:rsid w:val="009F4884"/>
    <w:rsid w:val="009F4A5C"/>
    <w:rsid w:val="009F5A5E"/>
    <w:rsid w:val="009F5B90"/>
    <w:rsid w:val="009F5F90"/>
    <w:rsid w:val="009F7D0E"/>
    <w:rsid w:val="009F7DF6"/>
    <w:rsid w:val="00A00DBC"/>
    <w:rsid w:val="00A01E6F"/>
    <w:rsid w:val="00A03B22"/>
    <w:rsid w:val="00A05C39"/>
    <w:rsid w:val="00A05F80"/>
    <w:rsid w:val="00A06ACD"/>
    <w:rsid w:val="00A07DA0"/>
    <w:rsid w:val="00A1029B"/>
    <w:rsid w:val="00A108E8"/>
    <w:rsid w:val="00A11FE2"/>
    <w:rsid w:val="00A148CC"/>
    <w:rsid w:val="00A14BF4"/>
    <w:rsid w:val="00A14F15"/>
    <w:rsid w:val="00A15280"/>
    <w:rsid w:val="00A17115"/>
    <w:rsid w:val="00A171B8"/>
    <w:rsid w:val="00A20925"/>
    <w:rsid w:val="00A2201A"/>
    <w:rsid w:val="00A22A57"/>
    <w:rsid w:val="00A2409F"/>
    <w:rsid w:val="00A24503"/>
    <w:rsid w:val="00A24845"/>
    <w:rsid w:val="00A26BDE"/>
    <w:rsid w:val="00A26D8B"/>
    <w:rsid w:val="00A279E3"/>
    <w:rsid w:val="00A300F6"/>
    <w:rsid w:val="00A3154F"/>
    <w:rsid w:val="00A31739"/>
    <w:rsid w:val="00A32E82"/>
    <w:rsid w:val="00A338F3"/>
    <w:rsid w:val="00A36882"/>
    <w:rsid w:val="00A36979"/>
    <w:rsid w:val="00A36C2F"/>
    <w:rsid w:val="00A37061"/>
    <w:rsid w:val="00A37589"/>
    <w:rsid w:val="00A40632"/>
    <w:rsid w:val="00A40DB6"/>
    <w:rsid w:val="00A426BD"/>
    <w:rsid w:val="00A42B4E"/>
    <w:rsid w:val="00A4307F"/>
    <w:rsid w:val="00A43384"/>
    <w:rsid w:val="00A4382A"/>
    <w:rsid w:val="00A4498A"/>
    <w:rsid w:val="00A453A9"/>
    <w:rsid w:val="00A45A20"/>
    <w:rsid w:val="00A46967"/>
    <w:rsid w:val="00A46FD8"/>
    <w:rsid w:val="00A4726E"/>
    <w:rsid w:val="00A5283D"/>
    <w:rsid w:val="00A54C38"/>
    <w:rsid w:val="00A550C3"/>
    <w:rsid w:val="00A5510A"/>
    <w:rsid w:val="00A5537E"/>
    <w:rsid w:val="00A55A48"/>
    <w:rsid w:val="00A565FF"/>
    <w:rsid w:val="00A5688E"/>
    <w:rsid w:val="00A568E7"/>
    <w:rsid w:val="00A56E2C"/>
    <w:rsid w:val="00A60DFD"/>
    <w:rsid w:val="00A61913"/>
    <w:rsid w:val="00A6276C"/>
    <w:rsid w:val="00A62B86"/>
    <w:rsid w:val="00A63470"/>
    <w:rsid w:val="00A63A89"/>
    <w:rsid w:val="00A63D50"/>
    <w:rsid w:val="00A6407A"/>
    <w:rsid w:val="00A6445C"/>
    <w:rsid w:val="00A66C76"/>
    <w:rsid w:val="00A66DC2"/>
    <w:rsid w:val="00A72976"/>
    <w:rsid w:val="00A7497F"/>
    <w:rsid w:val="00A74ABE"/>
    <w:rsid w:val="00A75348"/>
    <w:rsid w:val="00A75A87"/>
    <w:rsid w:val="00A7666F"/>
    <w:rsid w:val="00A77011"/>
    <w:rsid w:val="00A77540"/>
    <w:rsid w:val="00A77F94"/>
    <w:rsid w:val="00A80097"/>
    <w:rsid w:val="00A813DC"/>
    <w:rsid w:val="00A81499"/>
    <w:rsid w:val="00A826BF"/>
    <w:rsid w:val="00A84460"/>
    <w:rsid w:val="00A84932"/>
    <w:rsid w:val="00A8517D"/>
    <w:rsid w:val="00A85778"/>
    <w:rsid w:val="00A862E3"/>
    <w:rsid w:val="00A86740"/>
    <w:rsid w:val="00A86889"/>
    <w:rsid w:val="00A8697F"/>
    <w:rsid w:val="00A86F57"/>
    <w:rsid w:val="00A87C96"/>
    <w:rsid w:val="00A907D6"/>
    <w:rsid w:val="00A9222C"/>
    <w:rsid w:val="00A9277B"/>
    <w:rsid w:val="00A92CBD"/>
    <w:rsid w:val="00A93F3E"/>
    <w:rsid w:val="00A93F85"/>
    <w:rsid w:val="00A94F56"/>
    <w:rsid w:val="00A96D6E"/>
    <w:rsid w:val="00A9761D"/>
    <w:rsid w:val="00AA0475"/>
    <w:rsid w:val="00AA1C53"/>
    <w:rsid w:val="00AA393B"/>
    <w:rsid w:val="00AA63A5"/>
    <w:rsid w:val="00AA6B1E"/>
    <w:rsid w:val="00AA7165"/>
    <w:rsid w:val="00AA759D"/>
    <w:rsid w:val="00AA7D96"/>
    <w:rsid w:val="00AA7FBA"/>
    <w:rsid w:val="00AB0FF7"/>
    <w:rsid w:val="00AB10F2"/>
    <w:rsid w:val="00AB1E26"/>
    <w:rsid w:val="00AB2740"/>
    <w:rsid w:val="00AB3AB1"/>
    <w:rsid w:val="00AB478F"/>
    <w:rsid w:val="00AB4F5B"/>
    <w:rsid w:val="00AB63BF"/>
    <w:rsid w:val="00AB75C7"/>
    <w:rsid w:val="00AB780A"/>
    <w:rsid w:val="00AB7A33"/>
    <w:rsid w:val="00AB7A8F"/>
    <w:rsid w:val="00AB7E26"/>
    <w:rsid w:val="00AC106C"/>
    <w:rsid w:val="00AC2862"/>
    <w:rsid w:val="00AC2C8A"/>
    <w:rsid w:val="00AC2DE8"/>
    <w:rsid w:val="00AC31ED"/>
    <w:rsid w:val="00AC36BF"/>
    <w:rsid w:val="00AC3944"/>
    <w:rsid w:val="00AC3B03"/>
    <w:rsid w:val="00AC404C"/>
    <w:rsid w:val="00AC4933"/>
    <w:rsid w:val="00AC5455"/>
    <w:rsid w:val="00AC54E9"/>
    <w:rsid w:val="00AC61C3"/>
    <w:rsid w:val="00AC6E0E"/>
    <w:rsid w:val="00AC7362"/>
    <w:rsid w:val="00AC73A4"/>
    <w:rsid w:val="00AC7C22"/>
    <w:rsid w:val="00AD19EC"/>
    <w:rsid w:val="00AD25DA"/>
    <w:rsid w:val="00AD2999"/>
    <w:rsid w:val="00AD31D2"/>
    <w:rsid w:val="00AD3F01"/>
    <w:rsid w:val="00AD49BA"/>
    <w:rsid w:val="00AD4C91"/>
    <w:rsid w:val="00AD553A"/>
    <w:rsid w:val="00AD5603"/>
    <w:rsid w:val="00AD6D31"/>
    <w:rsid w:val="00AD7547"/>
    <w:rsid w:val="00AD7A63"/>
    <w:rsid w:val="00AD7DE4"/>
    <w:rsid w:val="00AE0B2E"/>
    <w:rsid w:val="00AE0BBB"/>
    <w:rsid w:val="00AE0D64"/>
    <w:rsid w:val="00AE22C5"/>
    <w:rsid w:val="00AE626D"/>
    <w:rsid w:val="00AE657E"/>
    <w:rsid w:val="00AE75CD"/>
    <w:rsid w:val="00AE768A"/>
    <w:rsid w:val="00AF2AA3"/>
    <w:rsid w:val="00AF3BAC"/>
    <w:rsid w:val="00AF4AB2"/>
    <w:rsid w:val="00AF4E96"/>
    <w:rsid w:val="00AF5644"/>
    <w:rsid w:val="00AF706B"/>
    <w:rsid w:val="00AF7FB9"/>
    <w:rsid w:val="00B00442"/>
    <w:rsid w:val="00B006A4"/>
    <w:rsid w:val="00B007D7"/>
    <w:rsid w:val="00B00D42"/>
    <w:rsid w:val="00B00EB5"/>
    <w:rsid w:val="00B037D5"/>
    <w:rsid w:val="00B05608"/>
    <w:rsid w:val="00B06472"/>
    <w:rsid w:val="00B064BD"/>
    <w:rsid w:val="00B06831"/>
    <w:rsid w:val="00B10007"/>
    <w:rsid w:val="00B100D6"/>
    <w:rsid w:val="00B10115"/>
    <w:rsid w:val="00B10B5D"/>
    <w:rsid w:val="00B10EDB"/>
    <w:rsid w:val="00B10F64"/>
    <w:rsid w:val="00B11963"/>
    <w:rsid w:val="00B11BC4"/>
    <w:rsid w:val="00B12065"/>
    <w:rsid w:val="00B12838"/>
    <w:rsid w:val="00B12BC6"/>
    <w:rsid w:val="00B14D1D"/>
    <w:rsid w:val="00B1518D"/>
    <w:rsid w:val="00B16DF2"/>
    <w:rsid w:val="00B21287"/>
    <w:rsid w:val="00B23557"/>
    <w:rsid w:val="00B26604"/>
    <w:rsid w:val="00B266E4"/>
    <w:rsid w:val="00B268A9"/>
    <w:rsid w:val="00B303BD"/>
    <w:rsid w:val="00B3081B"/>
    <w:rsid w:val="00B31DF8"/>
    <w:rsid w:val="00B320F5"/>
    <w:rsid w:val="00B32F74"/>
    <w:rsid w:val="00B34947"/>
    <w:rsid w:val="00B35796"/>
    <w:rsid w:val="00B36E83"/>
    <w:rsid w:val="00B370AB"/>
    <w:rsid w:val="00B3741F"/>
    <w:rsid w:val="00B37B95"/>
    <w:rsid w:val="00B37E01"/>
    <w:rsid w:val="00B40E80"/>
    <w:rsid w:val="00B434CA"/>
    <w:rsid w:val="00B445F0"/>
    <w:rsid w:val="00B44E4F"/>
    <w:rsid w:val="00B46A91"/>
    <w:rsid w:val="00B47384"/>
    <w:rsid w:val="00B502EE"/>
    <w:rsid w:val="00B511AA"/>
    <w:rsid w:val="00B51229"/>
    <w:rsid w:val="00B515B6"/>
    <w:rsid w:val="00B52687"/>
    <w:rsid w:val="00B52887"/>
    <w:rsid w:val="00B53295"/>
    <w:rsid w:val="00B53D7D"/>
    <w:rsid w:val="00B5405A"/>
    <w:rsid w:val="00B54170"/>
    <w:rsid w:val="00B54D14"/>
    <w:rsid w:val="00B56469"/>
    <w:rsid w:val="00B61470"/>
    <w:rsid w:val="00B61D11"/>
    <w:rsid w:val="00B63AA4"/>
    <w:rsid w:val="00B63B03"/>
    <w:rsid w:val="00B6462C"/>
    <w:rsid w:val="00B64F44"/>
    <w:rsid w:val="00B66232"/>
    <w:rsid w:val="00B66863"/>
    <w:rsid w:val="00B6734D"/>
    <w:rsid w:val="00B67995"/>
    <w:rsid w:val="00B702A6"/>
    <w:rsid w:val="00B70D19"/>
    <w:rsid w:val="00B726DA"/>
    <w:rsid w:val="00B72985"/>
    <w:rsid w:val="00B75B3B"/>
    <w:rsid w:val="00B76392"/>
    <w:rsid w:val="00B7658C"/>
    <w:rsid w:val="00B76D85"/>
    <w:rsid w:val="00B76EBD"/>
    <w:rsid w:val="00B7785F"/>
    <w:rsid w:val="00B77883"/>
    <w:rsid w:val="00B80A27"/>
    <w:rsid w:val="00B81629"/>
    <w:rsid w:val="00B81698"/>
    <w:rsid w:val="00B81B48"/>
    <w:rsid w:val="00B820A9"/>
    <w:rsid w:val="00B8295E"/>
    <w:rsid w:val="00B835FF"/>
    <w:rsid w:val="00B84A64"/>
    <w:rsid w:val="00B8560D"/>
    <w:rsid w:val="00B86491"/>
    <w:rsid w:val="00B867C0"/>
    <w:rsid w:val="00B86F9E"/>
    <w:rsid w:val="00B87C96"/>
    <w:rsid w:val="00B9114A"/>
    <w:rsid w:val="00B93731"/>
    <w:rsid w:val="00B93E12"/>
    <w:rsid w:val="00B96328"/>
    <w:rsid w:val="00B97923"/>
    <w:rsid w:val="00B97C72"/>
    <w:rsid w:val="00BA32AA"/>
    <w:rsid w:val="00BA32DF"/>
    <w:rsid w:val="00BA371A"/>
    <w:rsid w:val="00BA4523"/>
    <w:rsid w:val="00BA4F1A"/>
    <w:rsid w:val="00BA575E"/>
    <w:rsid w:val="00BA5DCD"/>
    <w:rsid w:val="00BA64DE"/>
    <w:rsid w:val="00BA772B"/>
    <w:rsid w:val="00BA7BC8"/>
    <w:rsid w:val="00BB0113"/>
    <w:rsid w:val="00BB074C"/>
    <w:rsid w:val="00BB0E5B"/>
    <w:rsid w:val="00BB0FDF"/>
    <w:rsid w:val="00BB10C3"/>
    <w:rsid w:val="00BB1316"/>
    <w:rsid w:val="00BB1B3B"/>
    <w:rsid w:val="00BB50B2"/>
    <w:rsid w:val="00BB5482"/>
    <w:rsid w:val="00BB6C1D"/>
    <w:rsid w:val="00BC06A0"/>
    <w:rsid w:val="00BC252C"/>
    <w:rsid w:val="00BC2B61"/>
    <w:rsid w:val="00BC2F06"/>
    <w:rsid w:val="00BC34DF"/>
    <w:rsid w:val="00BC4041"/>
    <w:rsid w:val="00BC55A2"/>
    <w:rsid w:val="00BC6902"/>
    <w:rsid w:val="00BC6A08"/>
    <w:rsid w:val="00BC7920"/>
    <w:rsid w:val="00BD02C4"/>
    <w:rsid w:val="00BD0940"/>
    <w:rsid w:val="00BD10BC"/>
    <w:rsid w:val="00BD2D06"/>
    <w:rsid w:val="00BD2E0D"/>
    <w:rsid w:val="00BD2EB6"/>
    <w:rsid w:val="00BD392F"/>
    <w:rsid w:val="00BD3C65"/>
    <w:rsid w:val="00BD3D08"/>
    <w:rsid w:val="00BD43D3"/>
    <w:rsid w:val="00BD4895"/>
    <w:rsid w:val="00BD4AB8"/>
    <w:rsid w:val="00BD4AE4"/>
    <w:rsid w:val="00BD75C4"/>
    <w:rsid w:val="00BE2B07"/>
    <w:rsid w:val="00BE368A"/>
    <w:rsid w:val="00BE4E1E"/>
    <w:rsid w:val="00BE5117"/>
    <w:rsid w:val="00BE52B1"/>
    <w:rsid w:val="00BE56AC"/>
    <w:rsid w:val="00BE62AD"/>
    <w:rsid w:val="00BE6621"/>
    <w:rsid w:val="00BE6746"/>
    <w:rsid w:val="00BE68C6"/>
    <w:rsid w:val="00BE6E0F"/>
    <w:rsid w:val="00BE710B"/>
    <w:rsid w:val="00BE7750"/>
    <w:rsid w:val="00BF0154"/>
    <w:rsid w:val="00BF1A20"/>
    <w:rsid w:val="00BF2092"/>
    <w:rsid w:val="00BF22D0"/>
    <w:rsid w:val="00BF43E1"/>
    <w:rsid w:val="00BF50AE"/>
    <w:rsid w:val="00BF5115"/>
    <w:rsid w:val="00BF5335"/>
    <w:rsid w:val="00BF5EA2"/>
    <w:rsid w:val="00C0083B"/>
    <w:rsid w:val="00C01716"/>
    <w:rsid w:val="00C03426"/>
    <w:rsid w:val="00C0516F"/>
    <w:rsid w:val="00C057D3"/>
    <w:rsid w:val="00C07711"/>
    <w:rsid w:val="00C11CD2"/>
    <w:rsid w:val="00C12E84"/>
    <w:rsid w:val="00C12ED3"/>
    <w:rsid w:val="00C147C0"/>
    <w:rsid w:val="00C16FDD"/>
    <w:rsid w:val="00C17418"/>
    <w:rsid w:val="00C179F8"/>
    <w:rsid w:val="00C17B93"/>
    <w:rsid w:val="00C17EFB"/>
    <w:rsid w:val="00C20C46"/>
    <w:rsid w:val="00C219E4"/>
    <w:rsid w:val="00C22008"/>
    <w:rsid w:val="00C246F6"/>
    <w:rsid w:val="00C248F4"/>
    <w:rsid w:val="00C31DAD"/>
    <w:rsid w:val="00C32118"/>
    <w:rsid w:val="00C322DC"/>
    <w:rsid w:val="00C324C0"/>
    <w:rsid w:val="00C33718"/>
    <w:rsid w:val="00C339F2"/>
    <w:rsid w:val="00C342B2"/>
    <w:rsid w:val="00C352C8"/>
    <w:rsid w:val="00C356CB"/>
    <w:rsid w:val="00C36749"/>
    <w:rsid w:val="00C40442"/>
    <w:rsid w:val="00C40B5B"/>
    <w:rsid w:val="00C40EB6"/>
    <w:rsid w:val="00C41EC6"/>
    <w:rsid w:val="00C421FF"/>
    <w:rsid w:val="00C42596"/>
    <w:rsid w:val="00C453FD"/>
    <w:rsid w:val="00C46D1C"/>
    <w:rsid w:val="00C50FE2"/>
    <w:rsid w:val="00C51021"/>
    <w:rsid w:val="00C52552"/>
    <w:rsid w:val="00C52A6E"/>
    <w:rsid w:val="00C53B4A"/>
    <w:rsid w:val="00C54AF2"/>
    <w:rsid w:val="00C54AF4"/>
    <w:rsid w:val="00C5638B"/>
    <w:rsid w:val="00C56422"/>
    <w:rsid w:val="00C57923"/>
    <w:rsid w:val="00C57BA2"/>
    <w:rsid w:val="00C57FF1"/>
    <w:rsid w:val="00C60642"/>
    <w:rsid w:val="00C60704"/>
    <w:rsid w:val="00C608F8"/>
    <w:rsid w:val="00C61919"/>
    <w:rsid w:val="00C647D0"/>
    <w:rsid w:val="00C64838"/>
    <w:rsid w:val="00C657FB"/>
    <w:rsid w:val="00C658C9"/>
    <w:rsid w:val="00C668A8"/>
    <w:rsid w:val="00C66BD4"/>
    <w:rsid w:val="00C70B2D"/>
    <w:rsid w:val="00C71966"/>
    <w:rsid w:val="00C721C9"/>
    <w:rsid w:val="00C7462C"/>
    <w:rsid w:val="00C75B7E"/>
    <w:rsid w:val="00C76661"/>
    <w:rsid w:val="00C7680B"/>
    <w:rsid w:val="00C76E86"/>
    <w:rsid w:val="00C775B7"/>
    <w:rsid w:val="00C775F1"/>
    <w:rsid w:val="00C77ECB"/>
    <w:rsid w:val="00C80934"/>
    <w:rsid w:val="00C809D2"/>
    <w:rsid w:val="00C80E3B"/>
    <w:rsid w:val="00C8186E"/>
    <w:rsid w:val="00C81D43"/>
    <w:rsid w:val="00C858CD"/>
    <w:rsid w:val="00C858EC"/>
    <w:rsid w:val="00C879CA"/>
    <w:rsid w:val="00C90476"/>
    <w:rsid w:val="00C90E96"/>
    <w:rsid w:val="00C91305"/>
    <w:rsid w:val="00C91328"/>
    <w:rsid w:val="00C92DB5"/>
    <w:rsid w:val="00C9578E"/>
    <w:rsid w:val="00C957EF"/>
    <w:rsid w:val="00C966B8"/>
    <w:rsid w:val="00C97816"/>
    <w:rsid w:val="00CA06E6"/>
    <w:rsid w:val="00CA07F1"/>
    <w:rsid w:val="00CA2A46"/>
    <w:rsid w:val="00CA2DD6"/>
    <w:rsid w:val="00CA3A4A"/>
    <w:rsid w:val="00CA4318"/>
    <w:rsid w:val="00CA44B1"/>
    <w:rsid w:val="00CA4D7F"/>
    <w:rsid w:val="00CA5031"/>
    <w:rsid w:val="00CA6F47"/>
    <w:rsid w:val="00CB0BD2"/>
    <w:rsid w:val="00CB44F2"/>
    <w:rsid w:val="00CB5019"/>
    <w:rsid w:val="00CB5109"/>
    <w:rsid w:val="00CB5378"/>
    <w:rsid w:val="00CB6FD6"/>
    <w:rsid w:val="00CB70EB"/>
    <w:rsid w:val="00CB7609"/>
    <w:rsid w:val="00CC006B"/>
    <w:rsid w:val="00CC0D04"/>
    <w:rsid w:val="00CC0F98"/>
    <w:rsid w:val="00CC11E3"/>
    <w:rsid w:val="00CC225C"/>
    <w:rsid w:val="00CC27DD"/>
    <w:rsid w:val="00CC35E5"/>
    <w:rsid w:val="00CC48CF"/>
    <w:rsid w:val="00CC4C23"/>
    <w:rsid w:val="00CC4CFE"/>
    <w:rsid w:val="00CC580C"/>
    <w:rsid w:val="00CC5EA2"/>
    <w:rsid w:val="00CC60B0"/>
    <w:rsid w:val="00CC7253"/>
    <w:rsid w:val="00CC7515"/>
    <w:rsid w:val="00CC7561"/>
    <w:rsid w:val="00CC7A5D"/>
    <w:rsid w:val="00CD0DEC"/>
    <w:rsid w:val="00CD1DE4"/>
    <w:rsid w:val="00CD33C7"/>
    <w:rsid w:val="00CD45F5"/>
    <w:rsid w:val="00CD4CD8"/>
    <w:rsid w:val="00CD5210"/>
    <w:rsid w:val="00CD526F"/>
    <w:rsid w:val="00CD6908"/>
    <w:rsid w:val="00CD74BA"/>
    <w:rsid w:val="00CD7874"/>
    <w:rsid w:val="00CE05A6"/>
    <w:rsid w:val="00CE2C32"/>
    <w:rsid w:val="00CE2D64"/>
    <w:rsid w:val="00CE3E52"/>
    <w:rsid w:val="00CE48D0"/>
    <w:rsid w:val="00CE5963"/>
    <w:rsid w:val="00CE5B20"/>
    <w:rsid w:val="00CE7B31"/>
    <w:rsid w:val="00CF1C0C"/>
    <w:rsid w:val="00CF4EB2"/>
    <w:rsid w:val="00CF4F20"/>
    <w:rsid w:val="00CF5FB7"/>
    <w:rsid w:val="00CF62A8"/>
    <w:rsid w:val="00CF72D0"/>
    <w:rsid w:val="00D0203A"/>
    <w:rsid w:val="00D0280C"/>
    <w:rsid w:val="00D0309C"/>
    <w:rsid w:val="00D03785"/>
    <w:rsid w:val="00D03B4A"/>
    <w:rsid w:val="00D049EB"/>
    <w:rsid w:val="00D057C9"/>
    <w:rsid w:val="00D05E91"/>
    <w:rsid w:val="00D06247"/>
    <w:rsid w:val="00D0665B"/>
    <w:rsid w:val="00D0766C"/>
    <w:rsid w:val="00D077A1"/>
    <w:rsid w:val="00D10773"/>
    <w:rsid w:val="00D1113A"/>
    <w:rsid w:val="00D11F1B"/>
    <w:rsid w:val="00D12C2E"/>
    <w:rsid w:val="00D14614"/>
    <w:rsid w:val="00D15BB9"/>
    <w:rsid w:val="00D15D97"/>
    <w:rsid w:val="00D16060"/>
    <w:rsid w:val="00D161E1"/>
    <w:rsid w:val="00D174AE"/>
    <w:rsid w:val="00D17C39"/>
    <w:rsid w:val="00D20127"/>
    <w:rsid w:val="00D20198"/>
    <w:rsid w:val="00D2119B"/>
    <w:rsid w:val="00D21A7B"/>
    <w:rsid w:val="00D220BA"/>
    <w:rsid w:val="00D227A8"/>
    <w:rsid w:val="00D22CD3"/>
    <w:rsid w:val="00D23542"/>
    <w:rsid w:val="00D24663"/>
    <w:rsid w:val="00D24B0F"/>
    <w:rsid w:val="00D24F66"/>
    <w:rsid w:val="00D259C0"/>
    <w:rsid w:val="00D259EF"/>
    <w:rsid w:val="00D25CD8"/>
    <w:rsid w:val="00D25D1F"/>
    <w:rsid w:val="00D266F6"/>
    <w:rsid w:val="00D26856"/>
    <w:rsid w:val="00D26916"/>
    <w:rsid w:val="00D30998"/>
    <w:rsid w:val="00D30B48"/>
    <w:rsid w:val="00D30EA3"/>
    <w:rsid w:val="00D31630"/>
    <w:rsid w:val="00D323E0"/>
    <w:rsid w:val="00D32C64"/>
    <w:rsid w:val="00D33414"/>
    <w:rsid w:val="00D335CE"/>
    <w:rsid w:val="00D338F6"/>
    <w:rsid w:val="00D33DA4"/>
    <w:rsid w:val="00D340F2"/>
    <w:rsid w:val="00D35A01"/>
    <w:rsid w:val="00D42001"/>
    <w:rsid w:val="00D422CD"/>
    <w:rsid w:val="00D42481"/>
    <w:rsid w:val="00D43B25"/>
    <w:rsid w:val="00D4440C"/>
    <w:rsid w:val="00D46945"/>
    <w:rsid w:val="00D46A70"/>
    <w:rsid w:val="00D50697"/>
    <w:rsid w:val="00D508CB"/>
    <w:rsid w:val="00D51C49"/>
    <w:rsid w:val="00D52B89"/>
    <w:rsid w:val="00D5358F"/>
    <w:rsid w:val="00D541B6"/>
    <w:rsid w:val="00D5430A"/>
    <w:rsid w:val="00D54B5C"/>
    <w:rsid w:val="00D55346"/>
    <w:rsid w:val="00D55C5F"/>
    <w:rsid w:val="00D56ADF"/>
    <w:rsid w:val="00D57874"/>
    <w:rsid w:val="00D6053F"/>
    <w:rsid w:val="00D60F44"/>
    <w:rsid w:val="00D612C4"/>
    <w:rsid w:val="00D61739"/>
    <w:rsid w:val="00D61BAE"/>
    <w:rsid w:val="00D61F34"/>
    <w:rsid w:val="00D62A34"/>
    <w:rsid w:val="00D6361A"/>
    <w:rsid w:val="00D6613B"/>
    <w:rsid w:val="00D67089"/>
    <w:rsid w:val="00D67D4C"/>
    <w:rsid w:val="00D67EE5"/>
    <w:rsid w:val="00D71454"/>
    <w:rsid w:val="00D72028"/>
    <w:rsid w:val="00D720B1"/>
    <w:rsid w:val="00D743A6"/>
    <w:rsid w:val="00D7481C"/>
    <w:rsid w:val="00D7538F"/>
    <w:rsid w:val="00D755CF"/>
    <w:rsid w:val="00D75712"/>
    <w:rsid w:val="00D76399"/>
    <w:rsid w:val="00D77D3E"/>
    <w:rsid w:val="00D80BE5"/>
    <w:rsid w:val="00D80CE6"/>
    <w:rsid w:val="00D80CFB"/>
    <w:rsid w:val="00D8265D"/>
    <w:rsid w:val="00D827E3"/>
    <w:rsid w:val="00D82864"/>
    <w:rsid w:val="00D832C0"/>
    <w:rsid w:val="00D84463"/>
    <w:rsid w:val="00D847C7"/>
    <w:rsid w:val="00D848E1"/>
    <w:rsid w:val="00D85C44"/>
    <w:rsid w:val="00D860E1"/>
    <w:rsid w:val="00D87023"/>
    <w:rsid w:val="00D90238"/>
    <w:rsid w:val="00D92A52"/>
    <w:rsid w:val="00D92A9E"/>
    <w:rsid w:val="00D92F24"/>
    <w:rsid w:val="00D9322F"/>
    <w:rsid w:val="00D94150"/>
    <w:rsid w:val="00D94595"/>
    <w:rsid w:val="00D9485A"/>
    <w:rsid w:val="00D94C88"/>
    <w:rsid w:val="00D95119"/>
    <w:rsid w:val="00D96FB3"/>
    <w:rsid w:val="00D9718E"/>
    <w:rsid w:val="00D97305"/>
    <w:rsid w:val="00DA14E4"/>
    <w:rsid w:val="00DA1EA0"/>
    <w:rsid w:val="00DA270D"/>
    <w:rsid w:val="00DA33F7"/>
    <w:rsid w:val="00DA6C41"/>
    <w:rsid w:val="00DA6C76"/>
    <w:rsid w:val="00DA7AAE"/>
    <w:rsid w:val="00DA7F82"/>
    <w:rsid w:val="00DB10A6"/>
    <w:rsid w:val="00DB11D9"/>
    <w:rsid w:val="00DB13DB"/>
    <w:rsid w:val="00DB13F0"/>
    <w:rsid w:val="00DB2E33"/>
    <w:rsid w:val="00DB3435"/>
    <w:rsid w:val="00DB3C44"/>
    <w:rsid w:val="00DB4297"/>
    <w:rsid w:val="00DB4365"/>
    <w:rsid w:val="00DB4594"/>
    <w:rsid w:val="00DB4D0A"/>
    <w:rsid w:val="00DB4DD4"/>
    <w:rsid w:val="00DB59AB"/>
    <w:rsid w:val="00DB64DD"/>
    <w:rsid w:val="00DB65A1"/>
    <w:rsid w:val="00DB67EF"/>
    <w:rsid w:val="00DC0D21"/>
    <w:rsid w:val="00DC17E4"/>
    <w:rsid w:val="00DC1B24"/>
    <w:rsid w:val="00DC1D36"/>
    <w:rsid w:val="00DC1E75"/>
    <w:rsid w:val="00DC254B"/>
    <w:rsid w:val="00DC2782"/>
    <w:rsid w:val="00DC2FF4"/>
    <w:rsid w:val="00DC36A7"/>
    <w:rsid w:val="00DC37D9"/>
    <w:rsid w:val="00DC38A9"/>
    <w:rsid w:val="00DC40B0"/>
    <w:rsid w:val="00DC4381"/>
    <w:rsid w:val="00DC4660"/>
    <w:rsid w:val="00DC50F1"/>
    <w:rsid w:val="00DC7A27"/>
    <w:rsid w:val="00DD0296"/>
    <w:rsid w:val="00DD0AD2"/>
    <w:rsid w:val="00DD0B19"/>
    <w:rsid w:val="00DD37F8"/>
    <w:rsid w:val="00DD3DAC"/>
    <w:rsid w:val="00DD45DE"/>
    <w:rsid w:val="00DD461A"/>
    <w:rsid w:val="00DD566B"/>
    <w:rsid w:val="00DD6176"/>
    <w:rsid w:val="00DD6719"/>
    <w:rsid w:val="00DD6FE1"/>
    <w:rsid w:val="00DD7539"/>
    <w:rsid w:val="00DE1A69"/>
    <w:rsid w:val="00DE1E7E"/>
    <w:rsid w:val="00DE3194"/>
    <w:rsid w:val="00DE3983"/>
    <w:rsid w:val="00DE3BE9"/>
    <w:rsid w:val="00DE3EC5"/>
    <w:rsid w:val="00DE41C7"/>
    <w:rsid w:val="00DE42E3"/>
    <w:rsid w:val="00DE4DDC"/>
    <w:rsid w:val="00DE50BB"/>
    <w:rsid w:val="00DE59D6"/>
    <w:rsid w:val="00DE5F03"/>
    <w:rsid w:val="00DE672D"/>
    <w:rsid w:val="00DE6797"/>
    <w:rsid w:val="00DE6C6B"/>
    <w:rsid w:val="00DE7C61"/>
    <w:rsid w:val="00DF08EC"/>
    <w:rsid w:val="00DF13EE"/>
    <w:rsid w:val="00DF2A52"/>
    <w:rsid w:val="00DF476E"/>
    <w:rsid w:val="00DF4A3E"/>
    <w:rsid w:val="00DF4D5C"/>
    <w:rsid w:val="00DF58AD"/>
    <w:rsid w:val="00DF6A0A"/>
    <w:rsid w:val="00DF6BE2"/>
    <w:rsid w:val="00E0093D"/>
    <w:rsid w:val="00E00992"/>
    <w:rsid w:val="00E00B04"/>
    <w:rsid w:val="00E02446"/>
    <w:rsid w:val="00E034E4"/>
    <w:rsid w:val="00E0446C"/>
    <w:rsid w:val="00E05AC3"/>
    <w:rsid w:val="00E061E8"/>
    <w:rsid w:val="00E0677F"/>
    <w:rsid w:val="00E100EE"/>
    <w:rsid w:val="00E1013D"/>
    <w:rsid w:val="00E1061E"/>
    <w:rsid w:val="00E10F98"/>
    <w:rsid w:val="00E1162E"/>
    <w:rsid w:val="00E1252B"/>
    <w:rsid w:val="00E13C97"/>
    <w:rsid w:val="00E16155"/>
    <w:rsid w:val="00E16C3D"/>
    <w:rsid w:val="00E16D82"/>
    <w:rsid w:val="00E16E8F"/>
    <w:rsid w:val="00E17963"/>
    <w:rsid w:val="00E2008A"/>
    <w:rsid w:val="00E20CC2"/>
    <w:rsid w:val="00E21237"/>
    <w:rsid w:val="00E2157B"/>
    <w:rsid w:val="00E21679"/>
    <w:rsid w:val="00E21DFF"/>
    <w:rsid w:val="00E223C9"/>
    <w:rsid w:val="00E2415E"/>
    <w:rsid w:val="00E24720"/>
    <w:rsid w:val="00E2524F"/>
    <w:rsid w:val="00E26FD9"/>
    <w:rsid w:val="00E27F62"/>
    <w:rsid w:val="00E30A6D"/>
    <w:rsid w:val="00E31481"/>
    <w:rsid w:val="00E320BA"/>
    <w:rsid w:val="00E32CC8"/>
    <w:rsid w:val="00E335C8"/>
    <w:rsid w:val="00E33A04"/>
    <w:rsid w:val="00E342B1"/>
    <w:rsid w:val="00E37DB0"/>
    <w:rsid w:val="00E40160"/>
    <w:rsid w:val="00E4018E"/>
    <w:rsid w:val="00E41328"/>
    <w:rsid w:val="00E414D8"/>
    <w:rsid w:val="00E41753"/>
    <w:rsid w:val="00E41DC1"/>
    <w:rsid w:val="00E42388"/>
    <w:rsid w:val="00E428EB"/>
    <w:rsid w:val="00E431E4"/>
    <w:rsid w:val="00E448E3"/>
    <w:rsid w:val="00E4509D"/>
    <w:rsid w:val="00E468B8"/>
    <w:rsid w:val="00E46C80"/>
    <w:rsid w:val="00E477C2"/>
    <w:rsid w:val="00E47945"/>
    <w:rsid w:val="00E47AD9"/>
    <w:rsid w:val="00E5108E"/>
    <w:rsid w:val="00E52083"/>
    <w:rsid w:val="00E520D6"/>
    <w:rsid w:val="00E532BA"/>
    <w:rsid w:val="00E53E4A"/>
    <w:rsid w:val="00E54341"/>
    <w:rsid w:val="00E560F4"/>
    <w:rsid w:val="00E57173"/>
    <w:rsid w:val="00E57849"/>
    <w:rsid w:val="00E57C15"/>
    <w:rsid w:val="00E601F3"/>
    <w:rsid w:val="00E60ED9"/>
    <w:rsid w:val="00E61EFE"/>
    <w:rsid w:val="00E63231"/>
    <w:rsid w:val="00E63920"/>
    <w:rsid w:val="00E64801"/>
    <w:rsid w:val="00E64C9B"/>
    <w:rsid w:val="00E65863"/>
    <w:rsid w:val="00E665D9"/>
    <w:rsid w:val="00E67F36"/>
    <w:rsid w:val="00E72FAB"/>
    <w:rsid w:val="00E75635"/>
    <w:rsid w:val="00E80579"/>
    <w:rsid w:val="00E80D1B"/>
    <w:rsid w:val="00E827C0"/>
    <w:rsid w:val="00E827E0"/>
    <w:rsid w:val="00E8291C"/>
    <w:rsid w:val="00E8315F"/>
    <w:rsid w:val="00E83C51"/>
    <w:rsid w:val="00E83E73"/>
    <w:rsid w:val="00E842A4"/>
    <w:rsid w:val="00E842AB"/>
    <w:rsid w:val="00E8499D"/>
    <w:rsid w:val="00E85268"/>
    <w:rsid w:val="00E85415"/>
    <w:rsid w:val="00E85C09"/>
    <w:rsid w:val="00E85E02"/>
    <w:rsid w:val="00E8666B"/>
    <w:rsid w:val="00E87385"/>
    <w:rsid w:val="00E87C4A"/>
    <w:rsid w:val="00E9047A"/>
    <w:rsid w:val="00E9049E"/>
    <w:rsid w:val="00E908AD"/>
    <w:rsid w:val="00E91398"/>
    <w:rsid w:val="00E9447B"/>
    <w:rsid w:val="00E94864"/>
    <w:rsid w:val="00E960EB"/>
    <w:rsid w:val="00E97DE6"/>
    <w:rsid w:val="00EA0AA5"/>
    <w:rsid w:val="00EA0E67"/>
    <w:rsid w:val="00EA109D"/>
    <w:rsid w:val="00EA16B5"/>
    <w:rsid w:val="00EA20A6"/>
    <w:rsid w:val="00EA2A84"/>
    <w:rsid w:val="00EA2BDC"/>
    <w:rsid w:val="00EA2D19"/>
    <w:rsid w:val="00EA316B"/>
    <w:rsid w:val="00EA3172"/>
    <w:rsid w:val="00EA37CB"/>
    <w:rsid w:val="00EA42F6"/>
    <w:rsid w:val="00EB03B7"/>
    <w:rsid w:val="00EB0F03"/>
    <w:rsid w:val="00EB11D4"/>
    <w:rsid w:val="00EB13FB"/>
    <w:rsid w:val="00EB17CB"/>
    <w:rsid w:val="00EB2C5D"/>
    <w:rsid w:val="00EB2C79"/>
    <w:rsid w:val="00EB33D7"/>
    <w:rsid w:val="00EB3892"/>
    <w:rsid w:val="00EB3DD2"/>
    <w:rsid w:val="00EB7FDB"/>
    <w:rsid w:val="00EC01E4"/>
    <w:rsid w:val="00EC0548"/>
    <w:rsid w:val="00EC0A32"/>
    <w:rsid w:val="00EC1F80"/>
    <w:rsid w:val="00EC24A6"/>
    <w:rsid w:val="00EC263A"/>
    <w:rsid w:val="00EC3FF5"/>
    <w:rsid w:val="00EC40F7"/>
    <w:rsid w:val="00EC474E"/>
    <w:rsid w:val="00EC6491"/>
    <w:rsid w:val="00EC6C6C"/>
    <w:rsid w:val="00EC70F1"/>
    <w:rsid w:val="00EC7B70"/>
    <w:rsid w:val="00ED550E"/>
    <w:rsid w:val="00ED5D34"/>
    <w:rsid w:val="00ED6284"/>
    <w:rsid w:val="00ED62ED"/>
    <w:rsid w:val="00ED63BD"/>
    <w:rsid w:val="00ED6EDF"/>
    <w:rsid w:val="00ED7ABB"/>
    <w:rsid w:val="00ED7E0C"/>
    <w:rsid w:val="00EE0272"/>
    <w:rsid w:val="00EE02E6"/>
    <w:rsid w:val="00EE0B21"/>
    <w:rsid w:val="00EE1377"/>
    <w:rsid w:val="00EE1E2D"/>
    <w:rsid w:val="00EE28C5"/>
    <w:rsid w:val="00EE3A57"/>
    <w:rsid w:val="00EE4087"/>
    <w:rsid w:val="00EE42ED"/>
    <w:rsid w:val="00EE51C2"/>
    <w:rsid w:val="00EE58B3"/>
    <w:rsid w:val="00EE592D"/>
    <w:rsid w:val="00EE64A9"/>
    <w:rsid w:val="00EE67FE"/>
    <w:rsid w:val="00EE6861"/>
    <w:rsid w:val="00EE6B1B"/>
    <w:rsid w:val="00EE6F8F"/>
    <w:rsid w:val="00EE7953"/>
    <w:rsid w:val="00EF0617"/>
    <w:rsid w:val="00EF1873"/>
    <w:rsid w:val="00EF2A35"/>
    <w:rsid w:val="00EF418E"/>
    <w:rsid w:val="00EF4771"/>
    <w:rsid w:val="00EF4D0A"/>
    <w:rsid w:val="00EF5285"/>
    <w:rsid w:val="00EF5D0C"/>
    <w:rsid w:val="00EF5D9D"/>
    <w:rsid w:val="00EF68D0"/>
    <w:rsid w:val="00EF7ED3"/>
    <w:rsid w:val="00F00096"/>
    <w:rsid w:val="00F0025D"/>
    <w:rsid w:val="00F01847"/>
    <w:rsid w:val="00F01D4B"/>
    <w:rsid w:val="00F02645"/>
    <w:rsid w:val="00F029B7"/>
    <w:rsid w:val="00F02EB3"/>
    <w:rsid w:val="00F03087"/>
    <w:rsid w:val="00F034F8"/>
    <w:rsid w:val="00F03772"/>
    <w:rsid w:val="00F04A78"/>
    <w:rsid w:val="00F04BE4"/>
    <w:rsid w:val="00F0742D"/>
    <w:rsid w:val="00F075AD"/>
    <w:rsid w:val="00F075CC"/>
    <w:rsid w:val="00F07853"/>
    <w:rsid w:val="00F07D2A"/>
    <w:rsid w:val="00F10255"/>
    <w:rsid w:val="00F10A1D"/>
    <w:rsid w:val="00F111F3"/>
    <w:rsid w:val="00F12761"/>
    <w:rsid w:val="00F13195"/>
    <w:rsid w:val="00F1340D"/>
    <w:rsid w:val="00F13AE7"/>
    <w:rsid w:val="00F14670"/>
    <w:rsid w:val="00F15334"/>
    <w:rsid w:val="00F157B8"/>
    <w:rsid w:val="00F16666"/>
    <w:rsid w:val="00F169FA"/>
    <w:rsid w:val="00F17210"/>
    <w:rsid w:val="00F2143F"/>
    <w:rsid w:val="00F21DDE"/>
    <w:rsid w:val="00F21F04"/>
    <w:rsid w:val="00F2273E"/>
    <w:rsid w:val="00F23E23"/>
    <w:rsid w:val="00F242A2"/>
    <w:rsid w:val="00F24B50"/>
    <w:rsid w:val="00F25FC2"/>
    <w:rsid w:val="00F2767A"/>
    <w:rsid w:val="00F27C1E"/>
    <w:rsid w:val="00F27CB4"/>
    <w:rsid w:val="00F27FA0"/>
    <w:rsid w:val="00F31547"/>
    <w:rsid w:val="00F31A97"/>
    <w:rsid w:val="00F3231A"/>
    <w:rsid w:val="00F32D78"/>
    <w:rsid w:val="00F3308B"/>
    <w:rsid w:val="00F33A51"/>
    <w:rsid w:val="00F33D16"/>
    <w:rsid w:val="00F33D35"/>
    <w:rsid w:val="00F34B0F"/>
    <w:rsid w:val="00F34F15"/>
    <w:rsid w:val="00F3540B"/>
    <w:rsid w:val="00F3556B"/>
    <w:rsid w:val="00F370CB"/>
    <w:rsid w:val="00F37220"/>
    <w:rsid w:val="00F3743E"/>
    <w:rsid w:val="00F37904"/>
    <w:rsid w:val="00F37C33"/>
    <w:rsid w:val="00F40E5A"/>
    <w:rsid w:val="00F40F2D"/>
    <w:rsid w:val="00F41AAE"/>
    <w:rsid w:val="00F423F6"/>
    <w:rsid w:val="00F427BF"/>
    <w:rsid w:val="00F4446B"/>
    <w:rsid w:val="00F44E64"/>
    <w:rsid w:val="00F45647"/>
    <w:rsid w:val="00F47A4E"/>
    <w:rsid w:val="00F47DD9"/>
    <w:rsid w:val="00F501C1"/>
    <w:rsid w:val="00F51676"/>
    <w:rsid w:val="00F55EC2"/>
    <w:rsid w:val="00F56140"/>
    <w:rsid w:val="00F5672D"/>
    <w:rsid w:val="00F570E6"/>
    <w:rsid w:val="00F576C7"/>
    <w:rsid w:val="00F60E13"/>
    <w:rsid w:val="00F62431"/>
    <w:rsid w:val="00F62637"/>
    <w:rsid w:val="00F62DAB"/>
    <w:rsid w:val="00F6344A"/>
    <w:rsid w:val="00F642E4"/>
    <w:rsid w:val="00F6452E"/>
    <w:rsid w:val="00F65647"/>
    <w:rsid w:val="00F6628F"/>
    <w:rsid w:val="00F66B8A"/>
    <w:rsid w:val="00F6713B"/>
    <w:rsid w:val="00F6739E"/>
    <w:rsid w:val="00F67A88"/>
    <w:rsid w:val="00F67BA9"/>
    <w:rsid w:val="00F709E5"/>
    <w:rsid w:val="00F71B4A"/>
    <w:rsid w:val="00F76110"/>
    <w:rsid w:val="00F761DD"/>
    <w:rsid w:val="00F76439"/>
    <w:rsid w:val="00F808F1"/>
    <w:rsid w:val="00F80AB4"/>
    <w:rsid w:val="00F80B4B"/>
    <w:rsid w:val="00F81547"/>
    <w:rsid w:val="00F82791"/>
    <w:rsid w:val="00F82E8F"/>
    <w:rsid w:val="00F833A7"/>
    <w:rsid w:val="00F8389D"/>
    <w:rsid w:val="00F847CB"/>
    <w:rsid w:val="00F84DB2"/>
    <w:rsid w:val="00F852BD"/>
    <w:rsid w:val="00F85304"/>
    <w:rsid w:val="00F85D98"/>
    <w:rsid w:val="00F86DB7"/>
    <w:rsid w:val="00F86F71"/>
    <w:rsid w:val="00F87231"/>
    <w:rsid w:val="00F87805"/>
    <w:rsid w:val="00F921EE"/>
    <w:rsid w:val="00F9252F"/>
    <w:rsid w:val="00F926D7"/>
    <w:rsid w:val="00F93389"/>
    <w:rsid w:val="00F9343F"/>
    <w:rsid w:val="00F94A0F"/>
    <w:rsid w:val="00F95E08"/>
    <w:rsid w:val="00F96154"/>
    <w:rsid w:val="00F96165"/>
    <w:rsid w:val="00F97FC2"/>
    <w:rsid w:val="00FA0228"/>
    <w:rsid w:val="00FA02E4"/>
    <w:rsid w:val="00FA0679"/>
    <w:rsid w:val="00FA19D1"/>
    <w:rsid w:val="00FA24F1"/>
    <w:rsid w:val="00FA3FB3"/>
    <w:rsid w:val="00FA589C"/>
    <w:rsid w:val="00FB112E"/>
    <w:rsid w:val="00FB1391"/>
    <w:rsid w:val="00FB14BA"/>
    <w:rsid w:val="00FB2419"/>
    <w:rsid w:val="00FB27BF"/>
    <w:rsid w:val="00FB3250"/>
    <w:rsid w:val="00FB39D9"/>
    <w:rsid w:val="00FB3CE8"/>
    <w:rsid w:val="00FB407D"/>
    <w:rsid w:val="00FB4A7C"/>
    <w:rsid w:val="00FB5A0F"/>
    <w:rsid w:val="00FB62D5"/>
    <w:rsid w:val="00FB79EC"/>
    <w:rsid w:val="00FB7F6D"/>
    <w:rsid w:val="00FC1153"/>
    <w:rsid w:val="00FC26F6"/>
    <w:rsid w:val="00FC2A44"/>
    <w:rsid w:val="00FC4119"/>
    <w:rsid w:val="00FC4A8F"/>
    <w:rsid w:val="00FC797D"/>
    <w:rsid w:val="00FC79A1"/>
    <w:rsid w:val="00FD16A3"/>
    <w:rsid w:val="00FD2204"/>
    <w:rsid w:val="00FD2A2C"/>
    <w:rsid w:val="00FD34AB"/>
    <w:rsid w:val="00FD3531"/>
    <w:rsid w:val="00FD3B25"/>
    <w:rsid w:val="00FD3DAB"/>
    <w:rsid w:val="00FD40E3"/>
    <w:rsid w:val="00FD4453"/>
    <w:rsid w:val="00FD4626"/>
    <w:rsid w:val="00FD5400"/>
    <w:rsid w:val="00FD754B"/>
    <w:rsid w:val="00FD7714"/>
    <w:rsid w:val="00FE087A"/>
    <w:rsid w:val="00FE1CB8"/>
    <w:rsid w:val="00FE33B7"/>
    <w:rsid w:val="00FE4096"/>
    <w:rsid w:val="00FE5D00"/>
    <w:rsid w:val="00FE5FD7"/>
    <w:rsid w:val="00FE60F5"/>
    <w:rsid w:val="00FE65DB"/>
    <w:rsid w:val="00FE6832"/>
    <w:rsid w:val="00FE6D6D"/>
    <w:rsid w:val="00FE6F51"/>
    <w:rsid w:val="00FF0471"/>
    <w:rsid w:val="00FF06AF"/>
    <w:rsid w:val="00FF1422"/>
    <w:rsid w:val="00FF50CB"/>
    <w:rsid w:val="00FF573B"/>
    <w:rsid w:val="00FF5B0A"/>
    <w:rsid w:val="00FF6114"/>
    <w:rsid w:val="00FF6771"/>
    <w:rsid w:val="00FF7224"/>
    <w:rsid w:val="00FF7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39265"/>
    <o:shapelayout v:ext="edit">
      <o:idmap v:ext="edit" data="1"/>
    </o:shapelayout>
  </w:shapeDefaults>
  <w:decimalSymbol w:val="."/>
  <w:listSeparator w:val=";"/>
  <w14:docId w14:val="7AB05FB1"/>
  <w15:docId w15:val="{DB3F9B8F-A798-4BBF-9B79-EF60D664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EE"/>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link w:val="CommentText"/>
    <w:uiPriority w:val="99"/>
    <w:semiHidden/>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uiPriority w:val="99"/>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aliases w:val="2"/>
    <w:basedOn w:val="Normal"/>
    <w:link w:val="ListParagraphChar"/>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qFormat/>
    <w:rsid w:val="00762A81"/>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E,E FNZ"/>
    <w:link w:val="CharCharCharChar"/>
    <w:uiPriority w:val="99"/>
    <w:qFormat/>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styleId="Emphasis">
    <w:name w:val="Emphasis"/>
    <w:basedOn w:val="DefaultParagraphFont"/>
    <w:qFormat/>
    <w:rsid w:val="008000B6"/>
    <w:rPr>
      <w:i/>
      <w:iCs/>
    </w:rPr>
  </w:style>
  <w:style w:type="paragraph" w:styleId="Revision">
    <w:name w:val="Revision"/>
    <w:hidden/>
    <w:uiPriority w:val="99"/>
    <w:semiHidden/>
    <w:rsid w:val="00D42481"/>
    <w:rPr>
      <w:sz w:val="24"/>
      <w:szCs w:val="24"/>
    </w:rPr>
  </w:style>
  <w:style w:type="paragraph" w:styleId="EndnoteText">
    <w:name w:val="endnote text"/>
    <w:basedOn w:val="Normal"/>
    <w:link w:val="EndnoteTextChar"/>
    <w:semiHidden/>
    <w:unhideWhenUsed/>
    <w:rsid w:val="00E61EFE"/>
    <w:rPr>
      <w:sz w:val="20"/>
      <w:szCs w:val="20"/>
    </w:rPr>
  </w:style>
  <w:style w:type="character" w:customStyle="1" w:styleId="EndnoteTextChar">
    <w:name w:val="Endnote Text Char"/>
    <w:basedOn w:val="DefaultParagraphFont"/>
    <w:link w:val="EndnoteText"/>
    <w:semiHidden/>
    <w:rsid w:val="00E61EFE"/>
  </w:style>
  <w:style w:type="character" w:styleId="EndnoteReference">
    <w:name w:val="endnote reference"/>
    <w:basedOn w:val="DefaultParagraphFont"/>
    <w:semiHidden/>
    <w:unhideWhenUsed/>
    <w:rsid w:val="00E61EFE"/>
    <w:rPr>
      <w:vertAlign w:val="superscript"/>
    </w:rPr>
  </w:style>
  <w:style w:type="paragraph" w:styleId="Title">
    <w:name w:val="Title"/>
    <w:basedOn w:val="Normal"/>
    <w:link w:val="TitleChar"/>
    <w:qFormat/>
    <w:rsid w:val="00487B6F"/>
    <w:pPr>
      <w:jc w:val="center"/>
    </w:pPr>
    <w:rPr>
      <w:sz w:val="28"/>
      <w:szCs w:val="20"/>
      <w:lang w:eastAsia="en-US"/>
    </w:rPr>
  </w:style>
  <w:style w:type="character" w:customStyle="1" w:styleId="TitleChar">
    <w:name w:val="Title Char"/>
    <w:basedOn w:val="DefaultParagraphFont"/>
    <w:link w:val="Title"/>
    <w:rsid w:val="00487B6F"/>
    <w:rPr>
      <w:sz w:val="28"/>
      <w:lang w:eastAsia="en-US"/>
    </w:rPr>
  </w:style>
  <w:style w:type="character" w:customStyle="1" w:styleId="ListParagraphChar">
    <w:name w:val="List Paragraph Char"/>
    <w:aliases w:val="2 Char"/>
    <w:link w:val="ListParagraph"/>
    <w:uiPriority w:val="34"/>
    <w:locked/>
    <w:rsid w:val="00487B6F"/>
    <w:rPr>
      <w:rFonts w:ascii="Calibri" w:eastAsia="Calibri" w:hAnsi="Calibri"/>
      <w:sz w:val="22"/>
      <w:szCs w:val="22"/>
      <w:lang w:eastAsia="en-US"/>
    </w:rPr>
  </w:style>
  <w:style w:type="paragraph" w:customStyle="1" w:styleId="CharCharCharChar">
    <w:name w:val="Char Char Char Char"/>
    <w:aliases w:val="Char2"/>
    <w:basedOn w:val="Normal"/>
    <w:next w:val="Normal"/>
    <w:link w:val="FootnoteReference"/>
    <w:uiPriority w:val="99"/>
    <w:rsid w:val="00487B6F"/>
    <w:pPr>
      <w:spacing w:after="160" w:line="240" w:lineRule="exact"/>
      <w:jc w:val="both"/>
      <w:textAlignment w:val="baseline"/>
    </w:pPr>
    <w:rPr>
      <w:sz w:val="20"/>
      <w:szCs w:val="20"/>
      <w:vertAlign w:val="superscript"/>
    </w:rPr>
  </w:style>
  <w:style w:type="paragraph" w:styleId="ListBullet">
    <w:name w:val="List Bullet"/>
    <w:basedOn w:val="Normal"/>
    <w:semiHidden/>
    <w:unhideWhenUsed/>
    <w:rsid w:val="001C0E6E"/>
    <w:pPr>
      <w:numPr>
        <w:numId w:val="10"/>
      </w:numPr>
      <w:contextualSpacing/>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F16666"/>
    <w:pPr>
      <w:spacing w:after="160" w:line="240" w:lineRule="exact"/>
      <w:jc w:val="both"/>
    </w:pPr>
    <w:rPr>
      <w:rFonts w:asciiTheme="minorHAnsi" w:eastAsiaTheme="minorHAnsi" w:hAnsiTheme="minorHAnsi" w:cstheme="minorBidi"/>
      <w:sz w:val="22"/>
      <w:szCs w:val="22"/>
      <w:vertAlign w:val="superscript"/>
      <w:lang w:bidi="lv-LV"/>
    </w:rPr>
  </w:style>
  <w:style w:type="character" w:styleId="FollowedHyperlink">
    <w:name w:val="FollowedHyperlink"/>
    <w:basedOn w:val="DefaultParagraphFont"/>
    <w:semiHidden/>
    <w:unhideWhenUsed/>
    <w:rsid w:val="00262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980">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198662835">
      <w:bodyDiv w:val="1"/>
      <w:marLeft w:val="0"/>
      <w:marRight w:val="0"/>
      <w:marTop w:val="0"/>
      <w:marBottom w:val="0"/>
      <w:divBdr>
        <w:top w:val="none" w:sz="0" w:space="0" w:color="auto"/>
        <w:left w:val="none" w:sz="0" w:space="0" w:color="auto"/>
        <w:bottom w:val="none" w:sz="0" w:space="0" w:color="auto"/>
        <w:right w:val="none" w:sz="0" w:space="0" w:color="auto"/>
      </w:divBdr>
    </w:div>
    <w:div w:id="350451132">
      <w:bodyDiv w:val="1"/>
      <w:marLeft w:val="0"/>
      <w:marRight w:val="0"/>
      <w:marTop w:val="0"/>
      <w:marBottom w:val="0"/>
      <w:divBdr>
        <w:top w:val="none" w:sz="0" w:space="0" w:color="auto"/>
        <w:left w:val="none" w:sz="0" w:space="0" w:color="auto"/>
        <w:bottom w:val="none" w:sz="0" w:space="0" w:color="auto"/>
        <w:right w:val="none" w:sz="0" w:space="0" w:color="auto"/>
      </w:divBdr>
    </w:div>
    <w:div w:id="415323209">
      <w:bodyDiv w:val="1"/>
      <w:marLeft w:val="0"/>
      <w:marRight w:val="0"/>
      <w:marTop w:val="0"/>
      <w:marBottom w:val="0"/>
      <w:divBdr>
        <w:top w:val="none" w:sz="0" w:space="0" w:color="auto"/>
        <w:left w:val="none" w:sz="0" w:space="0" w:color="auto"/>
        <w:bottom w:val="none" w:sz="0" w:space="0" w:color="auto"/>
        <w:right w:val="none" w:sz="0" w:space="0" w:color="auto"/>
      </w:divBdr>
    </w:div>
    <w:div w:id="561525063">
      <w:bodyDiv w:val="1"/>
      <w:marLeft w:val="0"/>
      <w:marRight w:val="0"/>
      <w:marTop w:val="0"/>
      <w:marBottom w:val="0"/>
      <w:divBdr>
        <w:top w:val="none" w:sz="0" w:space="0" w:color="auto"/>
        <w:left w:val="none" w:sz="0" w:space="0" w:color="auto"/>
        <w:bottom w:val="none" w:sz="0" w:space="0" w:color="auto"/>
        <w:right w:val="none" w:sz="0" w:space="0" w:color="auto"/>
      </w:divBdr>
      <w:divsChild>
        <w:div w:id="102657926">
          <w:marLeft w:val="547"/>
          <w:marRight w:val="0"/>
          <w:marTop w:val="96"/>
          <w:marBottom w:val="0"/>
          <w:divBdr>
            <w:top w:val="none" w:sz="0" w:space="0" w:color="auto"/>
            <w:left w:val="none" w:sz="0" w:space="0" w:color="auto"/>
            <w:bottom w:val="none" w:sz="0" w:space="0" w:color="auto"/>
            <w:right w:val="none" w:sz="0" w:space="0" w:color="auto"/>
          </w:divBdr>
        </w:div>
        <w:div w:id="333186894">
          <w:marLeft w:val="1123"/>
          <w:marRight w:val="0"/>
          <w:marTop w:val="96"/>
          <w:marBottom w:val="0"/>
          <w:divBdr>
            <w:top w:val="none" w:sz="0" w:space="0" w:color="auto"/>
            <w:left w:val="none" w:sz="0" w:space="0" w:color="auto"/>
            <w:bottom w:val="none" w:sz="0" w:space="0" w:color="auto"/>
            <w:right w:val="none" w:sz="0" w:space="0" w:color="auto"/>
          </w:divBdr>
        </w:div>
        <w:div w:id="749692483">
          <w:marLeft w:val="547"/>
          <w:marRight w:val="0"/>
          <w:marTop w:val="96"/>
          <w:marBottom w:val="0"/>
          <w:divBdr>
            <w:top w:val="none" w:sz="0" w:space="0" w:color="auto"/>
            <w:left w:val="none" w:sz="0" w:space="0" w:color="auto"/>
            <w:bottom w:val="none" w:sz="0" w:space="0" w:color="auto"/>
            <w:right w:val="none" w:sz="0" w:space="0" w:color="auto"/>
          </w:divBdr>
        </w:div>
        <w:div w:id="1218974282">
          <w:marLeft w:val="1123"/>
          <w:marRight w:val="0"/>
          <w:marTop w:val="96"/>
          <w:marBottom w:val="0"/>
          <w:divBdr>
            <w:top w:val="none" w:sz="0" w:space="0" w:color="auto"/>
            <w:left w:val="none" w:sz="0" w:space="0" w:color="auto"/>
            <w:bottom w:val="none" w:sz="0" w:space="0" w:color="auto"/>
            <w:right w:val="none" w:sz="0" w:space="0" w:color="auto"/>
          </w:divBdr>
        </w:div>
        <w:div w:id="1726834429">
          <w:marLeft w:val="547"/>
          <w:marRight w:val="0"/>
          <w:marTop w:val="96"/>
          <w:marBottom w:val="0"/>
          <w:divBdr>
            <w:top w:val="none" w:sz="0" w:space="0" w:color="auto"/>
            <w:left w:val="none" w:sz="0" w:space="0" w:color="auto"/>
            <w:bottom w:val="none" w:sz="0" w:space="0" w:color="auto"/>
            <w:right w:val="none" w:sz="0" w:space="0" w:color="auto"/>
          </w:divBdr>
        </w:div>
      </w:divsChild>
    </w:div>
    <w:div w:id="612515773">
      <w:bodyDiv w:val="1"/>
      <w:marLeft w:val="0"/>
      <w:marRight w:val="0"/>
      <w:marTop w:val="0"/>
      <w:marBottom w:val="0"/>
      <w:divBdr>
        <w:top w:val="none" w:sz="0" w:space="0" w:color="auto"/>
        <w:left w:val="none" w:sz="0" w:space="0" w:color="auto"/>
        <w:bottom w:val="none" w:sz="0" w:space="0" w:color="auto"/>
        <w:right w:val="none" w:sz="0" w:space="0" w:color="auto"/>
      </w:divBdr>
    </w:div>
    <w:div w:id="815225944">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1017268073">
      <w:bodyDiv w:val="1"/>
      <w:marLeft w:val="0"/>
      <w:marRight w:val="0"/>
      <w:marTop w:val="0"/>
      <w:marBottom w:val="0"/>
      <w:divBdr>
        <w:top w:val="none" w:sz="0" w:space="0" w:color="auto"/>
        <w:left w:val="none" w:sz="0" w:space="0" w:color="auto"/>
        <w:bottom w:val="none" w:sz="0" w:space="0" w:color="auto"/>
        <w:right w:val="none" w:sz="0" w:space="0" w:color="auto"/>
      </w:divBdr>
    </w:div>
    <w:div w:id="1073746443">
      <w:bodyDiv w:val="1"/>
      <w:marLeft w:val="0"/>
      <w:marRight w:val="0"/>
      <w:marTop w:val="0"/>
      <w:marBottom w:val="0"/>
      <w:divBdr>
        <w:top w:val="none" w:sz="0" w:space="0" w:color="auto"/>
        <w:left w:val="none" w:sz="0" w:space="0" w:color="auto"/>
        <w:bottom w:val="none" w:sz="0" w:space="0" w:color="auto"/>
        <w:right w:val="none" w:sz="0" w:space="0" w:color="auto"/>
      </w:divBdr>
    </w:div>
    <w:div w:id="1129275530">
      <w:bodyDiv w:val="1"/>
      <w:marLeft w:val="0"/>
      <w:marRight w:val="0"/>
      <w:marTop w:val="0"/>
      <w:marBottom w:val="0"/>
      <w:divBdr>
        <w:top w:val="none" w:sz="0" w:space="0" w:color="auto"/>
        <w:left w:val="none" w:sz="0" w:space="0" w:color="auto"/>
        <w:bottom w:val="none" w:sz="0" w:space="0" w:color="auto"/>
        <w:right w:val="none" w:sz="0" w:space="0" w:color="auto"/>
      </w:divBdr>
    </w:div>
    <w:div w:id="1168399321">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3076">
      <w:bodyDiv w:val="1"/>
      <w:marLeft w:val="0"/>
      <w:marRight w:val="0"/>
      <w:marTop w:val="0"/>
      <w:marBottom w:val="0"/>
      <w:divBdr>
        <w:top w:val="none" w:sz="0" w:space="0" w:color="auto"/>
        <w:left w:val="none" w:sz="0" w:space="0" w:color="auto"/>
        <w:bottom w:val="none" w:sz="0" w:space="0" w:color="auto"/>
        <w:right w:val="none" w:sz="0" w:space="0" w:color="auto"/>
      </w:divBdr>
    </w:div>
    <w:div w:id="1424841310">
      <w:bodyDiv w:val="1"/>
      <w:marLeft w:val="0"/>
      <w:marRight w:val="0"/>
      <w:marTop w:val="0"/>
      <w:marBottom w:val="0"/>
      <w:divBdr>
        <w:top w:val="none" w:sz="0" w:space="0" w:color="auto"/>
        <w:left w:val="none" w:sz="0" w:space="0" w:color="auto"/>
        <w:bottom w:val="none" w:sz="0" w:space="0" w:color="auto"/>
        <w:right w:val="none" w:sz="0" w:space="0" w:color="auto"/>
      </w:divBdr>
    </w:div>
    <w:div w:id="1516729958">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715616144">
      <w:bodyDiv w:val="1"/>
      <w:marLeft w:val="0"/>
      <w:marRight w:val="0"/>
      <w:marTop w:val="0"/>
      <w:marBottom w:val="0"/>
      <w:divBdr>
        <w:top w:val="none" w:sz="0" w:space="0" w:color="auto"/>
        <w:left w:val="none" w:sz="0" w:space="0" w:color="auto"/>
        <w:bottom w:val="none" w:sz="0" w:space="0" w:color="auto"/>
        <w:right w:val="none" w:sz="0" w:space="0" w:color="auto"/>
      </w:divBdr>
    </w:div>
    <w:div w:id="1731034061">
      <w:bodyDiv w:val="1"/>
      <w:marLeft w:val="0"/>
      <w:marRight w:val="0"/>
      <w:marTop w:val="0"/>
      <w:marBottom w:val="0"/>
      <w:divBdr>
        <w:top w:val="none" w:sz="0" w:space="0" w:color="auto"/>
        <w:left w:val="none" w:sz="0" w:space="0" w:color="auto"/>
        <w:bottom w:val="none" w:sz="0" w:space="0" w:color="auto"/>
        <w:right w:val="none" w:sz="0" w:space="0" w:color="auto"/>
      </w:divBdr>
    </w:div>
    <w:div w:id="1732344882">
      <w:bodyDiv w:val="1"/>
      <w:marLeft w:val="0"/>
      <w:marRight w:val="0"/>
      <w:marTop w:val="0"/>
      <w:marBottom w:val="0"/>
      <w:divBdr>
        <w:top w:val="none" w:sz="0" w:space="0" w:color="auto"/>
        <w:left w:val="none" w:sz="0" w:space="0" w:color="auto"/>
        <w:bottom w:val="none" w:sz="0" w:space="0" w:color="auto"/>
        <w:right w:val="none" w:sz="0" w:space="0" w:color="auto"/>
      </w:divBdr>
    </w:div>
    <w:div w:id="1790973180">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ma.Grafa@lm.gov.lv" TargetMode="External"/><Relationship Id="rId4" Type="http://schemas.openxmlformats.org/officeDocument/2006/relationships/settings" Target="settings.xml"/><Relationship Id="rId9" Type="http://schemas.openxmlformats.org/officeDocument/2006/relationships/hyperlink" Target="mailto:Ilze.Latviete@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pxweb/lv/sociala/sociala__nabadz_nevienl__monetara_nab/NIG150.px" TargetMode="External"/><Relationship Id="rId2" Type="http://schemas.openxmlformats.org/officeDocument/2006/relationships/hyperlink" Target="http://data1.csb.gov.lv/pxweb/lv/sociala/sociala__nabadz_nevienl__matnenodr/MNG140.px/table/tableViewLayout1/" TargetMode="External"/><Relationship Id="rId1" Type="http://schemas.openxmlformats.org/officeDocument/2006/relationships/hyperlink" Target="https://www.csb.gov.lv/lv/statistika/statistikas-temas/socialie-procesi/nabadziba/meklet-tema/415-materiala-nenodrosinatiba-latvija-2019-g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7EB6-BF5D-4A7B-BD42-020E2A50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13</Pages>
  <Words>3176</Words>
  <Characters>22738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vector>
  </TitlesOfParts>
  <Company>LM</Company>
  <LinksUpToDate>false</LinksUpToDate>
  <CharactersWithSpaces>25863</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Lauma Grafa</dc:creator>
  <cp:keywords>Anotācija</cp:keywords>
  <cp:lastModifiedBy>Ilze Latviete</cp:lastModifiedBy>
  <cp:revision>249</cp:revision>
  <cp:lastPrinted>2020-12-01T12:51:00Z</cp:lastPrinted>
  <dcterms:created xsi:type="dcterms:W3CDTF">2020-11-10T08:22:00Z</dcterms:created>
  <dcterms:modified xsi:type="dcterms:W3CDTF">2020-12-10T06:05:00Z</dcterms:modified>
</cp:coreProperties>
</file>