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CF8" w:rsidRPr="00763326" w:rsidRDefault="00984CF8" w:rsidP="00984CF8">
      <w:pPr>
        <w:pStyle w:val="NormalWeb"/>
        <w:shd w:val="clear" w:color="auto" w:fill="FFFFFF"/>
        <w:spacing w:before="0" w:beforeAutospacing="0" w:after="0" w:afterAutospacing="0"/>
        <w:jc w:val="center"/>
        <w:rPr>
          <w:b/>
          <w:bCs/>
          <w:sz w:val="28"/>
          <w:szCs w:val="28"/>
        </w:rPr>
      </w:pPr>
      <w:r w:rsidRPr="00763326">
        <w:rPr>
          <w:b/>
          <w:sz w:val="28"/>
          <w:szCs w:val="28"/>
        </w:rPr>
        <w:t>Ministru kabineta noteikumu projekta “</w:t>
      </w:r>
      <w:r w:rsidRPr="009D47E1">
        <w:rPr>
          <w:b/>
          <w:bCs/>
          <w:sz w:val="28"/>
          <w:szCs w:val="28"/>
        </w:rPr>
        <w:t>Grozījum</w:t>
      </w:r>
      <w:r>
        <w:rPr>
          <w:b/>
          <w:bCs/>
          <w:sz w:val="28"/>
          <w:szCs w:val="28"/>
        </w:rPr>
        <w:t>i</w:t>
      </w:r>
      <w:r w:rsidRPr="009D47E1">
        <w:rPr>
          <w:b/>
          <w:bCs/>
          <w:sz w:val="28"/>
          <w:szCs w:val="28"/>
        </w:rPr>
        <w:t xml:space="preserve"> Ministru kabineta </w:t>
      </w:r>
      <w:r>
        <w:rPr>
          <w:b/>
          <w:bCs/>
          <w:sz w:val="28"/>
          <w:szCs w:val="28"/>
        </w:rPr>
        <w:t>2001</w:t>
      </w:r>
      <w:r w:rsidRPr="009D47E1">
        <w:rPr>
          <w:b/>
          <w:bCs/>
          <w:sz w:val="28"/>
          <w:szCs w:val="28"/>
        </w:rPr>
        <w:t xml:space="preserve">. gada </w:t>
      </w:r>
      <w:r>
        <w:rPr>
          <w:b/>
          <w:bCs/>
          <w:sz w:val="28"/>
          <w:szCs w:val="28"/>
        </w:rPr>
        <w:t>23.augusta</w:t>
      </w:r>
      <w:r w:rsidRPr="009D47E1">
        <w:rPr>
          <w:b/>
          <w:bCs/>
          <w:sz w:val="28"/>
          <w:szCs w:val="28"/>
        </w:rPr>
        <w:t xml:space="preserve"> noteikumos Nr. </w:t>
      </w:r>
      <w:r>
        <w:rPr>
          <w:b/>
          <w:bCs/>
          <w:sz w:val="28"/>
          <w:szCs w:val="28"/>
        </w:rPr>
        <w:t>378</w:t>
      </w:r>
      <w:r w:rsidRPr="009D47E1">
        <w:rPr>
          <w:b/>
          <w:bCs/>
          <w:sz w:val="28"/>
          <w:szCs w:val="28"/>
        </w:rPr>
        <w:t xml:space="preserve"> "</w:t>
      </w:r>
      <w:r>
        <w:rPr>
          <w:b/>
          <w:bCs/>
          <w:sz w:val="28"/>
          <w:szCs w:val="28"/>
        </w:rPr>
        <w:t>Darbā nodarītā kaitējuma atlīdzības aprēķināšanas, finansēšanas un izmaksas kārtība</w:t>
      </w:r>
      <w:r w:rsidRPr="009D47E1">
        <w:rPr>
          <w:b/>
          <w:bCs/>
          <w:sz w:val="28"/>
          <w:szCs w:val="28"/>
        </w:rPr>
        <w:t>"</w:t>
      </w:r>
      <w:r w:rsidRPr="00763326">
        <w:rPr>
          <w:b/>
          <w:sz w:val="28"/>
          <w:szCs w:val="28"/>
        </w:rPr>
        <w:t>”</w:t>
      </w:r>
      <w:r>
        <w:rPr>
          <w:b/>
          <w:sz w:val="28"/>
          <w:szCs w:val="28"/>
        </w:rPr>
        <w:t xml:space="preserve"> </w:t>
      </w:r>
      <w:r w:rsidRPr="00763326">
        <w:rPr>
          <w:b/>
          <w:bCs/>
          <w:sz w:val="28"/>
          <w:szCs w:val="28"/>
        </w:rPr>
        <w:t>sākotnējās ietekmes novērtējuma ziņojums (anotācija)</w:t>
      </w:r>
    </w:p>
    <w:p w:rsidR="00984CF8" w:rsidRDefault="00984CF8" w:rsidP="00984CF8">
      <w:pPr>
        <w:shd w:val="clear" w:color="auto" w:fill="FFFFFF"/>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84CF8" w:rsidTr="002F473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84CF8" w:rsidRDefault="00984CF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984CF8" w:rsidTr="002F47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rsidR="00EF14D9" w:rsidRDefault="00984CF8" w:rsidP="002F4737">
            <w:pPr>
              <w:pStyle w:val="NormalWeb"/>
              <w:shd w:val="clear" w:color="auto" w:fill="FFFFFF"/>
              <w:spacing w:before="0" w:beforeAutospacing="0" w:after="0" w:afterAutospacing="0"/>
              <w:jc w:val="both"/>
            </w:pPr>
            <w:r>
              <w:t xml:space="preserve">Ministru kabineta noteikumu projekta </w:t>
            </w:r>
            <w:r w:rsidRPr="00984CF8">
              <w:t>“</w:t>
            </w:r>
            <w:r w:rsidRPr="00984CF8">
              <w:rPr>
                <w:bCs/>
              </w:rPr>
              <w:t>Grozījumi Ministru kabineta 2001. gada 23.</w:t>
            </w:r>
            <w:r w:rsidR="0045193B">
              <w:rPr>
                <w:bCs/>
              </w:rPr>
              <w:t xml:space="preserve"> </w:t>
            </w:r>
            <w:r w:rsidRPr="00984CF8">
              <w:rPr>
                <w:bCs/>
              </w:rPr>
              <w:t>augusta noteikumos Nr. 378 "Darbā nodarītā kaitējuma atlīdzības aprēķināšanas, finansēšanas un izmaksas kārtība"</w:t>
            </w:r>
            <w:r>
              <w:t xml:space="preserve">” (turpmāk – noteikumu projekts) mērķis ir precizēt valsts sociālā nodrošinājuma pabalsta apmēru, no kura atkarīgs </w:t>
            </w:r>
            <w:r w:rsidR="00EF14D9">
              <w:t>kaitējuma atlīdzības apmērs, ja darbiniekam noteikts darbspēju zaudējums bez invaliditātes grupas piešķiršanas.</w:t>
            </w:r>
          </w:p>
          <w:p w:rsidR="00EF14D9" w:rsidRDefault="00EF14D9" w:rsidP="002F4737">
            <w:pPr>
              <w:spacing w:after="0" w:line="240" w:lineRule="auto"/>
              <w:jc w:val="both"/>
              <w:rPr>
                <w:rFonts w:ascii="Times New Roman" w:eastAsia="Times New Roman" w:hAnsi="Times New Roman" w:cs="Times New Roman"/>
                <w:sz w:val="24"/>
                <w:szCs w:val="24"/>
                <w:lang w:eastAsia="lv-LV"/>
              </w:rPr>
            </w:pPr>
          </w:p>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 stāsies spēkā 2021.</w:t>
            </w:r>
            <w:r w:rsidR="00451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1.</w:t>
            </w:r>
            <w:r w:rsidR="00451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janvārī.</w:t>
            </w:r>
          </w:p>
        </w:tc>
      </w:tr>
    </w:tbl>
    <w:p w:rsidR="00984CF8" w:rsidRDefault="00984CF8" w:rsidP="00984C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84CF8" w:rsidTr="002F47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4CF8" w:rsidRDefault="00984CF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984CF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84CF8" w:rsidRPr="00A20A36" w:rsidRDefault="00984CF8" w:rsidP="00EF14D9">
            <w:pPr>
              <w:pStyle w:val="ListParagraph"/>
              <w:numPr>
                <w:ilvl w:val="0"/>
                <w:numId w:val="1"/>
              </w:numPr>
              <w:spacing w:after="0" w:line="240" w:lineRule="auto"/>
              <w:ind w:left="108" w:firstLine="0"/>
              <w:jc w:val="both"/>
              <w:rPr>
                <w:rFonts w:ascii="Times New Roman" w:eastAsia="Times New Roman" w:hAnsi="Times New Roman" w:cs="Times New Roman"/>
                <w:sz w:val="24"/>
                <w:szCs w:val="24"/>
                <w:lang w:eastAsia="lv-LV"/>
              </w:rPr>
            </w:pPr>
            <w:r w:rsidRPr="00A20A36">
              <w:rPr>
                <w:rFonts w:ascii="Times New Roman" w:eastAsia="Times New Roman" w:hAnsi="Times New Roman" w:cs="Times New Roman"/>
                <w:sz w:val="24"/>
                <w:szCs w:val="24"/>
                <w:lang w:eastAsia="lv-LV"/>
              </w:rPr>
              <w:t>Ministru kabineta 2020.</w:t>
            </w:r>
            <w:r w:rsidR="0045193B">
              <w:rPr>
                <w:rFonts w:ascii="Times New Roman" w:eastAsia="Times New Roman" w:hAnsi="Times New Roman" w:cs="Times New Roman"/>
                <w:sz w:val="24"/>
                <w:szCs w:val="24"/>
                <w:lang w:eastAsia="lv-LV"/>
              </w:rPr>
              <w:t xml:space="preserve"> </w:t>
            </w:r>
            <w:r w:rsidRPr="00A20A36">
              <w:rPr>
                <w:rFonts w:ascii="Times New Roman" w:eastAsia="Times New Roman" w:hAnsi="Times New Roman" w:cs="Times New Roman"/>
                <w:sz w:val="24"/>
                <w:szCs w:val="24"/>
                <w:lang w:eastAsia="lv-LV"/>
              </w:rPr>
              <w:t>gada 22.</w:t>
            </w:r>
            <w:r w:rsidR="0045193B">
              <w:rPr>
                <w:rFonts w:ascii="Times New Roman" w:eastAsia="Times New Roman" w:hAnsi="Times New Roman" w:cs="Times New Roman"/>
                <w:sz w:val="24"/>
                <w:szCs w:val="24"/>
                <w:lang w:eastAsia="lv-LV"/>
              </w:rPr>
              <w:t xml:space="preserve"> </w:t>
            </w:r>
            <w:r w:rsidRPr="00A20A36">
              <w:rPr>
                <w:rFonts w:ascii="Times New Roman" w:eastAsia="Times New Roman" w:hAnsi="Times New Roman" w:cs="Times New Roman"/>
                <w:sz w:val="24"/>
                <w:szCs w:val="24"/>
                <w:lang w:eastAsia="lv-LV"/>
              </w:rPr>
              <w:t>septembra  protokola  Nr. 55 38.§ 31.</w:t>
            </w:r>
            <w:r w:rsidR="0045193B">
              <w:rPr>
                <w:rFonts w:ascii="Times New Roman" w:eastAsia="Times New Roman" w:hAnsi="Times New Roman" w:cs="Times New Roman"/>
                <w:sz w:val="24"/>
                <w:szCs w:val="24"/>
                <w:lang w:eastAsia="lv-LV"/>
              </w:rPr>
              <w:t xml:space="preserve"> </w:t>
            </w:r>
            <w:r w:rsidRPr="00A20A36">
              <w:rPr>
                <w:rFonts w:ascii="Times New Roman" w:eastAsia="Times New Roman" w:hAnsi="Times New Roman" w:cs="Times New Roman"/>
                <w:sz w:val="24"/>
                <w:szCs w:val="24"/>
                <w:lang w:eastAsia="lv-LV"/>
              </w:rPr>
              <w:t>punkts, kas nosaka,  “L</w:t>
            </w:r>
            <w:r w:rsidRPr="00A20A36">
              <w:rPr>
                <w:rFonts w:ascii="Times New Roman" w:hAnsi="Times New Roman" w:cs="Times New Roman"/>
                <w:sz w:val="24"/>
                <w:szCs w:val="24"/>
                <w:shd w:val="clear" w:color="auto" w:fill="FFFFFF"/>
              </w:rPr>
              <w:t xml:space="preserve">abklājības ministrijai mēneša laikā pēc šī </w:t>
            </w:r>
            <w:proofErr w:type="spellStart"/>
            <w:r w:rsidRPr="00A20A36">
              <w:rPr>
                <w:rFonts w:ascii="Times New Roman" w:hAnsi="Times New Roman" w:cs="Times New Roman"/>
                <w:sz w:val="24"/>
                <w:szCs w:val="24"/>
                <w:shd w:val="clear" w:color="auto" w:fill="FFFFFF"/>
              </w:rPr>
              <w:t>protokollēmuma</w:t>
            </w:r>
            <w:proofErr w:type="spellEnd"/>
            <w:r w:rsidRPr="00A20A36">
              <w:rPr>
                <w:rFonts w:ascii="Times New Roman" w:hAnsi="Times New Roman" w:cs="Times New Roman"/>
                <w:sz w:val="24"/>
                <w:szCs w:val="24"/>
                <w:shd w:val="clear" w:color="auto" w:fill="FFFFFF"/>
              </w:rPr>
              <w:t xml:space="preserve"> 30.</w:t>
            </w:r>
            <w:r w:rsidR="0045193B">
              <w:rPr>
                <w:rFonts w:ascii="Times New Roman" w:hAnsi="Times New Roman" w:cs="Times New Roman"/>
                <w:sz w:val="24"/>
                <w:szCs w:val="24"/>
                <w:shd w:val="clear" w:color="auto" w:fill="FFFFFF"/>
              </w:rPr>
              <w:t xml:space="preserve"> </w:t>
            </w:r>
            <w:r w:rsidRPr="00A20A36">
              <w:rPr>
                <w:rFonts w:ascii="Times New Roman" w:hAnsi="Times New Roman" w:cs="Times New Roman"/>
                <w:sz w:val="24"/>
                <w:szCs w:val="24"/>
                <w:shd w:val="clear" w:color="auto" w:fill="FFFFFF"/>
              </w:rPr>
              <w:t xml:space="preserve">punktā minēto likumu pieņemšanas Saeimā sagatavot grozījumus ar šī </w:t>
            </w:r>
            <w:proofErr w:type="spellStart"/>
            <w:r w:rsidRPr="00A20A36">
              <w:rPr>
                <w:rFonts w:ascii="Times New Roman" w:hAnsi="Times New Roman" w:cs="Times New Roman"/>
                <w:sz w:val="24"/>
                <w:szCs w:val="24"/>
                <w:shd w:val="clear" w:color="auto" w:fill="FFFFFF"/>
              </w:rPr>
              <w:t>protokollēmuma</w:t>
            </w:r>
            <w:proofErr w:type="spellEnd"/>
            <w:r w:rsidRPr="00A20A36">
              <w:rPr>
                <w:rFonts w:ascii="Times New Roman" w:hAnsi="Times New Roman" w:cs="Times New Roman"/>
                <w:sz w:val="24"/>
                <w:szCs w:val="24"/>
                <w:shd w:val="clear" w:color="auto" w:fill="FFFFFF"/>
              </w:rPr>
              <w:t xml:space="preserve"> 30.</w:t>
            </w:r>
            <w:r w:rsidR="0045193B">
              <w:rPr>
                <w:rFonts w:ascii="Times New Roman" w:hAnsi="Times New Roman" w:cs="Times New Roman"/>
                <w:sz w:val="24"/>
                <w:szCs w:val="24"/>
                <w:shd w:val="clear" w:color="auto" w:fill="FFFFFF"/>
              </w:rPr>
              <w:t xml:space="preserve"> </w:t>
            </w:r>
            <w:r w:rsidRPr="00A20A36">
              <w:rPr>
                <w:rFonts w:ascii="Times New Roman" w:hAnsi="Times New Roman" w:cs="Times New Roman"/>
                <w:sz w:val="24"/>
                <w:szCs w:val="24"/>
                <w:shd w:val="clear" w:color="auto" w:fill="FFFFFF"/>
              </w:rPr>
              <w:t>punktā minēto likumu saistītajos normatīvajos aktos un iesniegt izskatīšanai Ministru kabinetā kā Ministru kabineta lietu</w:t>
            </w:r>
            <w:r w:rsidRPr="00A20A36">
              <w:rPr>
                <w:rFonts w:ascii="Times New Roman" w:eastAsia="Times New Roman" w:hAnsi="Times New Roman" w:cs="Times New Roman"/>
                <w:sz w:val="24"/>
                <w:szCs w:val="24"/>
                <w:lang w:eastAsia="lv-LV"/>
              </w:rPr>
              <w:t xml:space="preserve">”. </w:t>
            </w:r>
          </w:p>
          <w:p w:rsidR="00984CF8" w:rsidRPr="002F3052" w:rsidRDefault="00984CF8" w:rsidP="00EF14D9">
            <w:pPr>
              <w:pStyle w:val="ListParagraph"/>
              <w:numPr>
                <w:ilvl w:val="0"/>
                <w:numId w:val="1"/>
              </w:numPr>
              <w:spacing w:after="0" w:line="240" w:lineRule="auto"/>
              <w:ind w:left="108" w:firstLine="0"/>
              <w:jc w:val="both"/>
              <w:rPr>
                <w:rFonts w:ascii="Times New Roman" w:eastAsia="Times New Roman" w:hAnsi="Times New Roman" w:cs="Times New Roman"/>
                <w:sz w:val="24"/>
                <w:szCs w:val="24"/>
                <w:lang w:eastAsia="lv-LV"/>
              </w:rPr>
            </w:pPr>
            <w:r w:rsidRPr="00A20A36">
              <w:rPr>
                <w:rFonts w:ascii="Times New Roman" w:eastAsia="Times New Roman" w:hAnsi="Times New Roman" w:cs="Times New Roman"/>
                <w:sz w:val="24"/>
                <w:szCs w:val="24"/>
                <w:lang w:eastAsia="lv-LV"/>
              </w:rPr>
              <w:t>Likum</w:t>
            </w:r>
            <w:r w:rsidR="0045193B">
              <w:rPr>
                <w:rFonts w:ascii="Times New Roman" w:eastAsia="Times New Roman" w:hAnsi="Times New Roman" w:cs="Times New Roman"/>
                <w:sz w:val="24"/>
                <w:szCs w:val="24"/>
                <w:lang w:eastAsia="lv-LV"/>
              </w:rPr>
              <w:t>s</w:t>
            </w:r>
            <w:r w:rsidRPr="00A20A36">
              <w:rPr>
                <w:rFonts w:ascii="Times New Roman" w:eastAsia="Times New Roman" w:hAnsi="Times New Roman" w:cs="Times New Roman"/>
                <w:sz w:val="24"/>
                <w:szCs w:val="24"/>
                <w:lang w:eastAsia="lv-LV"/>
              </w:rPr>
              <w:t xml:space="preserve"> “Grozījumi likumā “Par obligāto sociālo apdrošināšanu pret nelaimes gadījumiem darbā un arodslimībām”, kas pieņemt</w:t>
            </w:r>
            <w:r w:rsidR="0045193B">
              <w:rPr>
                <w:rFonts w:ascii="Times New Roman" w:eastAsia="Times New Roman" w:hAnsi="Times New Roman" w:cs="Times New Roman"/>
                <w:sz w:val="24"/>
                <w:szCs w:val="24"/>
                <w:lang w:eastAsia="lv-LV"/>
              </w:rPr>
              <w:t>s</w:t>
            </w:r>
            <w:r w:rsidRPr="00A20A36">
              <w:rPr>
                <w:rFonts w:ascii="Times New Roman" w:eastAsia="Times New Roman" w:hAnsi="Times New Roman" w:cs="Times New Roman"/>
                <w:sz w:val="24"/>
                <w:szCs w:val="24"/>
                <w:lang w:eastAsia="lv-LV"/>
              </w:rPr>
              <w:t xml:space="preserve"> Saeimā </w:t>
            </w:r>
            <w:r w:rsidR="00BC772F">
              <w:rPr>
                <w:rFonts w:ascii="Times New Roman" w:eastAsia="Times New Roman" w:hAnsi="Times New Roman" w:cs="Times New Roman"/>
                <w:sz w:val="24"/>
                <w:szCs w:val="24"/>
                <w:lang w:eastAsia="lv-LV"/>
              </w:rPr>
              <w:t>otrajā, galīgajā</w:t>
            </w:r>
            <w:r w:rsidRPr="00A20A36">
              <w:rPr>
                <w:rFonts w:ascii="Times New Roman" w:eastAsia="Times New Roman" w:hAnsi="Times New Roman" w:cs="Times New Roman"/>
                <w:sz w:val="24"/>
                <w:szCs w:val="24"/>
                <w:lang w:eastAsia="lv-LV"/>
              </w:rPr>
              <w:t xml:space="preserve"> </w:t>
            </w:r>
            <w:r w:rsidRPr="002F3052">
              <w:rPr>
                <w:rFonts w:ascii="Times New Roman" w:eastAsia="Times New Roman" w:hAnsi="Times New Roman" w:cs="Times New Roman"/>
                <w:sz w:val="24"/>
                <w:szCs w:val="24"/>
                <w:lang w:eastAsia="lv-LV"/>
              </w:rPr>
              <w:t xml:space="preserve">lasījumā 2020. gada </w:t>
            </w:r>
            <w:r w:rsidR="002F3052" w:rsidRPr="002F3052">
              <w:rPr>
                <w:rFonts w:ascii="Times New Roman" w:eastAsia="Times New Roman" w:hAnsi="Times New Roman" w:cs="Times New Roman"/>
                <w:sz w:val="24"/>
                <w:szCs w:val="24"/>
                <w:lang w:eastAsia="lv-LV"/>
              </w:rPr>
              <w:t>2.decembrī</w:t>
            </w:r>
            <w:r w:rsidRPr="002F3052">
              <w:rPr>
                <w:rFonts w:ascii="Times New Roman" w:eastAsia="Times New Roman" w:hAnsi="Times New Roman" w:cs="Times New Roman"/>
                <w:sz w:val="24"/>
                <w:szCs w:val="24"/>
                <w:lang w:eastAsia="lv-LV"/>
              </w:rPr>
              <w:t>.</w:t>
            </w:r>
          </w:p>
          <w:p w:rsidR="00984CF8" w:rsidRDefault="00984CF8" w:rsidP="00EF14D9">
            <w:pPr>
              <w:pStyle w:val="ListParagraph"/>
              <w:numPr>
                <w:ilvl w:val="0"/>
                <w:numId w:val="1"/>
              </w:numPr>
              <w:spacing w:after="0" w:line="240" w:lineRule="auto"/>
              <w:ind w:left="108" w:firstLine="0"/>
              <w:jc w:val="both"/>
              <w:rPr>
                <w:rFonts w:ascii="Times New Roman" w:eastAsia="Times New Roman" w:hAnsi="Times New Roman" w:cs="Times New Roman"/>
                <w:iCs/>
                <w:sz w:val="24"/>
                <w:szCs w:val="24"/>
                <w:lang w:eastAsia="lv-LV"/>
              </w:rPr>
            </w:pPr>
            <w:r w:rsidRPr="00604D57">
              <w:rPr>
                <w:rFonts w:ascii="Times New Roman" w:eastAsia="Times New Roman" w:hAnsi="Times New Roman" w:cs="Times New Roman"/>
                <w:sz w:val="24"/>
                <w:szCs w:val="24"/>
                <w:lang w:eastAsia="lv-LV"/>
              </w:rPr>
              <w:t>2020. gada 9. jūlija Latvijas Republikas Satversmes tiesas (turpmāk – Satversmes tiesa) spriedum</w:t>
            </w:r>
            <w:r w:rsidR="0045193B">
              <w:rPr>
                <w:rFonts w:ascii="Times New Roman" w:eastAsia="Times New Roman" w:hAnsi="Times New Roman" w:cs="Times New Roman"/>
                <w:sz w:val="24"/>
                <w:szCs w:val="24"/>
                <w:lang w:eastAsia="lv-LV"/>
              </w:rPr>
              <w:t>s</w:t>
            </w:r>
            <w:r w:rsidRPr="00604D57">
              <w:rPr>
                <w:rFonts w:ascii="Times New Roman" w:eastAsia="Times New Roman" w:hAnsi="Times New Roman" w:cs="Times New Roman"/>
                <w:sz w:val="24"/>
                <w:szCs w:val="24"/>
                <w:lang w:eastAsia="lv-LV"/>
              </w:rPr>
              <w:t xml:space="preserve"> lietā Nr. 2019-27-03 “Par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 (turpmāk – lieta Nr. 2019-27-03)</w:t>
            </w:r>
            <w:r w:rsidRPr="00604D57">
              <w:rPr>
                <w:rStyle w:val="FootnoteReference"/>
                <w:rFonts w:ascii="Times New Roman" w:eastAsia="Times New Roman" w:hAnsi="Times New Roman" w:cs="Times New Roman"/>
                <w:sz w:val="24"/>
                <w:szCs w:val="24"/>
                <w:lang w:eastAsia="lv-LV"/>
              </w:rPr>
              <w:footnoteReference w:id="1"/>
            </w:r>
            <w:r w:rsidRPr="00604D57">
              <w:rPr>
                <w:rFonts w:ascii="Times New Roman" w:eastAsia="Times New Roman" w:hAnsi="Times New Roman" w:cs="Times New Roman"/>
                <w:sz w:val="24"/>
                <w:szCs w:val="24"/>
                <w:lang w:eastAsia="lv-LV"/>
              </w:rPr>
              <w:t>.</w:t>
            </w:r>
          </w:p>
        </w:tc>
      </w:tr>
      <w:tr w:rsidR="00984CF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Pašreizējā situācija un problēmas, kuru risināšanai tiesību akta projekts izstrādāts, </w:t>
            </w:r>
            <w:r>
              <w:rPr>
                <w:rFonts w:ascii="Times New Roman" w:eastAsia="Times New Roman" w:hAnsi="Times New Roman" w:cs="Times New Roman"/>
                <w:iCs/>
                <w:sz w:val="24"/>
                <w:szCs w:val="24"/>
                <w:lang w:eastAsia="lv-LV"/>
              </w:rPr>
              <w:lastRenderedPageBreak/>
              <w:t>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CA6FF4" w:rsidRPr="00AF2DAE" w:rsidRDefault="00CA6FF4" w:rsidP="00CA6FF4">
            <w:pPr>
              <w:spacing w:after="120" w:line="240" w:lineRule="auto"/>
              <w:jc w:val="both"/>
              <w:rPr>
                <w:rFonts w:ascii="Times New Roman" w:hAnsi="Times New Roman" w:cs="Times New Roman"/>
                <w:sz w:val="24"/>
                <w:szCs w:val="24"/>
                <w:shd w:val="clear" w:color="auto" w:fill="FFFFFF"/>
              </w:rPr>
            </w:pPr>
            <w:r w:rsidRPr="00AF2DAE">
              <w:rPr>
                <w:rFonts w:ascii="Times New Roman" w:hAnsi="Times New Roman" w:cs="Times New Roman"/>
                <w:sz w:val="24"/>
                <w:szCs w:val="24"/>
                <w:shd w:val="clear" w:color="auto" w:fill="FFFFFF"/>
              </w:rPr>
              <w:lastRenderedPageBreak/>
              <w:t xml:space="preserve">Likuma </w:t>
            </w:r>
            <w:r w:rsidR="000178F9" w:rsidRPr="00A20A36">
              <w:rPr>
                <w:rFonts w:ascii="Times New Roman" w:eastAsia="Times New Roman" w:hAnsi="Times New Roman" w:cs="Times New Roman"/>
                <w:sz w:val="24"/>
                <w:szCs w:val="24"/>
                <w:lang w:eastAsia="lv-LV"/>
              </w:rPr>
              <w:t>“Par obligāto sociālo apdrošināšanu pret nelaimes gadījumiem darbā un arodslimībām”</w:t>
            </w:r>
            <w:r w:rsidR="000178F9">
              <w:rPr>
                <w:rFonts w:ascii="Times New Roman" w:eastAsia="Times New Roman" w:hAnsi="Times New Roman" w:cs="Times New Roman"/>
                <w:sz w:val="24"/>
                <w:szCs w:val="24"/>
                <w:lang w:eastAsia="lv-LV"/>
              </w:rPr>
              <w:t xml:space="preserve"> </w:t>
            </w:r>
            <w:r w:rsidRPr="00AF2DAE">
              <w:rPr>
                <w:rFonts w:ascii="Times New Roman" w:hAnsi="Times New Roman" w:cs="Times New Roman"/>
                <w:sz w:val="24"/>
                <w:szCs w:val="24"/>
                <w:shd w:val="clear" w:color="auto" w:fill="FFFFFF"/>
              </w:rPr>
              <w:t>pārejas noteikumu 4.</w:t>
            </w:r>
            <w:r w:rsidR="0045193B">
              <w:rPr>
                <w:rFonts w:ascii="Times New Roman" w:hAnsi="Times New Roman" w:cs="Times New Roman"/>
                <w:sz w:val="24"/>
                <w:szCs w:val="24"/>
                <w:shd w:val="clear" w:color="auto" w:fill="FFFFFF"/>
              </w:rPr>
              <w:t xml:space="preserve"> </w:t>
            </w:r>
            <w:r w:rsidRPr="00AF2DAE">
              <w:rPr>
                <w:rFonts w:ascii="Times New Roman" w:hAnsi="Times New Roman" w:cs="Times New Roman"/>
                <w:sz w:val="24"/>
                <w:szCs w:val="24"/>
                <w:shd w:val="clear" w:color="auto" w:fill="FFFFFF"/>
              </w:rPr>
              <w:t xml:space="preserve">punktā noteikts, ka personām, kuras cietušas nelaimes gadījumā darbā vai kurām konstatēta </w:t>
            </w:r>
            <w:r w:rsidRPr="00AF2DAE">
              <w:rPr>
                <w:rFonts w:ascii="Times New Roman" w:hAnsi="Times New Roman" w:cs="Times New Roman"/>
                <w:sz w:val="24"/>
                <w:szCs w:val="24"/>
                <w:shd w:val="clear" w:color="auto" w:fill="FFFFFF"/>
              </w:rPr>
              <w:lastRenderedPageBreak/>
              <w:t>arodslimība līdz 1997.</w:t>
            </w:r>
            <w:r w:rsidR="0045193B">
              <w:rPr>
                <w:rFonts w:ascii="Times New Roman" w:hAnsi="Times New Roman" w:cs="Times New Roman"/>
                <w:sz w:val="24"/>
                <w:szCs w:val="24"/>
                <w:shd w:val="clear" w:color="auto" w:fill="FFFFFF"/>
              </w:rPr>
              <w:t xml:space="preserve"> </w:t>
            </w:r>
            <w:r w:rsidRPr="00AF2DAE">
              <w:rPr>
                <w:rFonts w:ascii="Times New Roman" w:hAnsi="Times New Roman" w:cs="Times New Roman"/>
                <w:sz w:val="24"/>
                <w:szCs w:val="24"/>
                <w:shd w:val="clear" w:color="auto" w:fill="FFFFFF"/>
              </w:rPr>
              <w:t>gada 1.</w:t>
            </w:r>
            <w:r w:rsidR="0045193B">
              <w:rPr>
                <w:rFonts w:ascii="Times New Roman" w:hAnsi="Times New Roman" w:cs="Times New Roman"/>
                <w:sz w:val="24"/>
                <w:szCs w:val="24"/>
                <w:shd w:val="clear" w:color="auto" w:fill="FFFFFF"/>
              </w:rPr>
              <w:t xml:space="preserve"> </w:t>
            </w:r>
            <w:r w:rsidRPr="00AF2DAE">
              <w:rPr>
                <w:rFonts w:ascii="Times New Roman" w:hAnsi="Times New Roman" w:cs="Times New Roman"/>
                <w:sz w:val="24"/>
                <w:szCs w:val="24"/>
                <w:shd w:val="clear" w:color="auto" w:fill="FFFFFF"/>
              </w:rPr>
              <w:t>janvārim, un personām, kam arodslimība, kuras cēlonis ir līdz 1997.</w:t>
            </w:r>
            <w:r w:rsidR="0045193B">
              <w:rPr>
                <w:rFonts w:ascii="Times New Roman" w:hAnsi="Times New Roman" w:cs="Times New Roman"/>
                <w:sz w:val="24"/>
                <w:szCs w:val="24"/>
                <w:shd w:val="clear" w:color="auto" w:fill="FFFFFF"/>
              </w:rPr>
              <w:t xml:space="preserve"> </w:t>
            </w:r>
            <w:r w:rsidRPr="00AF2DAE">
              <w:rPr>
                <w:rFonts w:ascii="Times New Roman" w:hAnsi="Times New Roman" w:cs="Times New Roman"/>
                <w:sz w:val="24"/>
                <w:szCs w:val="24"/>
                <w:shd w:val="clear" w:color="auto" w:fill="FFFFFF"/>
              </w:rPr>
              <w:t>gada 1.</w:t>
            </w:r>
            <w:r w:rsidR="0045193B">
              <w:rPr>
                <w:rFonts w:ascii="Times New Roman" w:hAnsi="Times New Roman" w:cs="Times New Roman"/>
                <w:sz w:val="24"/>
                <w:szCs w:val="24"/>
                <w:shd w:val="clear" w:color="auto" w:fill="FFFFFF"/>
              </w:rPr>
              <w:t xml:space="preserve"> </w:t>
            </w:r>
            <w:r w:rsidRPr="00AF2DAE">
              <w:rPr>
                <w:rFonts w:ascii="Times New Roman" w:hAnsi="Times New Roman" w:cs="Times New Roman"/>
                <w:sz w:val="24"/>
                <w:szCs w:val="24"/>
                <w:shd w:val="clear" w:color="auto" w:fill="FFFFFF"/>
              </w:rPr>
              <w:t>janvārim veiktais darbs, konstatēta pēc minētā termiņa, bet tās nav uzskatāmas par apdrošinātajām personām saskaņā ar šo likumu, kā arī personām, kurām līdz minētajam termiņam bija tiesības uz kaitējuma atlīdzību par apgādnieka zaudējumu, ja apgādnieka nāves cēlonis bija nelaimes gadījums darbā vai arodslimība, kaitējuma atlīdzību izmaksā darba devējs vai viņa tiesību un saistību pārņēmējs. Ja konstatēts juridisks fakts, ka darba devējs vai viņa tiesību un saistību pārņēmējs, kurš ir atbildīgs par darbā nodarīto kaitējumu, nav nosakāms, kaitējuma atlīdzības izmaksu nodrošina Valsts sociālās apdrošināšanas aģentūra (turp</w:t>
            </w:r>
            <w:r>
              <w:rPr>
                <w:rFonts w:ascii="Times New Roman" w:hAnsi="Times New Roman" w:cs="Times New Roman"/>
                <w:sz w:val="24"/>
                <w:szCs w:val="24"/>
                <w:shd w:val="clear" w:color="auto" w:fill="FFFFFF"/>
              </w:rPr>
              <w:t>māk</w:t>
            </w:r>
            <w:r w:rsidRPr="00AF2DAE">
              <w:rPr>
                <w:rFonts w:ascii="Times New Roman" w:hAnsi="Times New Roman" w:cs="Times New Roman"/>
                <w:sz w:val="24"/>
                <w:szCs w:val="24"/>
                <w:shd w:val="clear" w:color="auto" w:fill="FFFFFF"/>
              </w:rPr>
              <w:t xml:space="preserve"> – VSAA). Kaitējuma atlīdzības aprēķināšanas, finansēšanas un izmaksas kārtību nosaka Ministru kabinets.</w:t>
            </w:r>
          </w:p>
          <w:p w:rsidR="00EF14D9" w:rsidRDefault="00CA6FF4" w:rsidP="00CA6FF4">
            <w:pPr>
              <w:spacing w:after="0" w:line="240" w:lineRule="auto"/>
              <w:ind w:right="59" w:firstLine="283"/>
              <w:jc w:val="both"/>
              <w:rPr>
                <w:rFonts w:ascii="Times New Roman" w:eastAsia="Calibri" w:hAnsi="Times New Roman" w:cs="Times New Roman"/>
                <w:sz w:val="24"/>
                <w:szCs w:val="24"/>
              </w:rPr>
            </w:pPr>
            <w:r w:rsidRPr="00AF2DAE">
              <w:rPr>
                <w:rFonts w:ascii="Times New Roman" w:eastAsia="Calibri" w:hAnsi="Times New Roman" w:cs="Times New Roman"/>
                <w:sz w:val="24"/>
                <w:szCs w:val="24"/>
              </w:rPr>
              <w:t>Saskaņā ar Ministru kabineta 2001.</w:t>
            </w:r>
            <w:r w:rsidR="0045193B">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gada 23.</w:t>
            </w:r>
            <w:r w:rsidR="0045193B">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augusta noteikumu Nr.</w:t>
            </w:r>
            <w:r w:rsidR="0045193B">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 xml:space="preserve">378 „Darbā nodarītā kaitējuma atlīdzības aprēķināšanas, finansēšanas un izmaksas kārtība” </w:t>
            </w:r>
            <w:r w:rsidR="00865B67">
              <w:rPr>
                <w:rFonts w:ascii="Times New Roman" w:eastAsia="Calibri" w:hAnsi="Times New Roman" w:cs="Times New Roman"/>
                <w:sz w:val="24"/>
                <w:szCs w:val="24"/>
              </w:rPr>
              <w:t>(turpmāk – MK noteikumi Nr.</w:t>
            </w:r>
            <w:r w:rsidR="0045193B">
              <w:rPr>
                <w:rFonts w:ascii="Times New Roman" w:eastAsia="Calibri" w:hAnsi="Times New Roman" w:cs="Times New Roman"/>
                <w:sz w:val="24"/>
                <w:szCs w:val="24"/>
              </w:rPr>
              <w:t xml:space="preserve"> </w:t>
            </w:r>
            <w:r w:rsidR="00865B67">
              <w:rPr>
                <w:rFonts w:ascii="Times New Roman" w:eastAsia="Calibri" w:hAnsi="Times New Roman" w:cs="Times New Roman"/>
                <w:sz w:val="24"/>
                <w:szCs w:val="24"/>
              </w:rPr>
              <w:t xml:space="preserve">378) </w:t>
            </w:r>
            <w:r w:rsidRPr="00AF2DAE">
              <w:rPr>
                <w:rFonts w:ascii="Times New Roman" w:eastAsia="Calibri" w:hAnsi="Times New Roman" w:cs="Times New Roman"/>
                <w:sz w:val="24"/>
                <w:szCs w:val="24"/>
              </w:rPr>
              <w:t>25.2.</w:t>
            </w:r>
            <w:r w:rsidR="0045193B">
              <w:rPr>
                <w:rFonts w:ascii="Times New Roman" w:eastAsia="Calibri" w:hAnsi="Times New Roman" w:cs="Times New Roman"/>
                <w:sz w:val="24"/>
                <w:szCs w:val="24"/>
              </w:rPr>
              <w:t xml:space="preserve"> </w:t>
            </w:r>
            <w:r w:rsidR="00865B67">
              <w:rPr>
                <w:rFonts w:ascii="Times New Roman" w:eastAsia="Calibri" w:hAnsi="Times New Roman" w:cs="Times New Roman"/>
                <w:sz w:val="24"/>
                <w:szCs w:val="24"/>
              </w:rPr>
              <w:t>apakš</w:t>
            </w:r>
            <w:r w:rsidRPr="00AF2DAE">
              <w:rPr>
                <w:rFonts w:ascii="Times New Roman" w:eastAsia="Calibri" w:hAnsi="Times New Roman" w:cs="Times New Roman"/>
                <w:sz w:val="24"/>
                <w:szCs w:val="24"/>
              </w:rPr>
              <w:t xml:space="preserve">punktu kaitējuma atlīdzību darbiniekam, ja </w:t>
            </w:r>
            <w:r w:rsidRPr="00AF2DAE">
              <w:rPr>
                <w:rFonts w:ascii="Times New Roman" w:hAnsi="Times New Roman" w:cs="Times New Roman"/>
                <w:sz w:val="24"/>
                <w:szCs w:val="24"/>
                <w:shd w:val="clear" w:color="auto" w:fill="FFFFFF"/>
              </w:rPr>
              <w:t>Veselības un darbspēju ekspertīzes ārstu valsts komisija</w:t>
            </w:r>
            <w:r w:rsidRPr="00AF2DAE">
              <w:rPr>
                <w:rFonts w:ascii="Arial" w:hAnsi="Arial" w:cs="Arial"/>
                <w:sz w:val="36"/>
                <w:szCs w:val="36"/>
                <w:shd w:val="clear" w:color="auto" w:fill="FFFFFF"/>
              </w:rPr>
              <w:t xml:space="preserve"> </w:t>
            </w:r>
            <w:r w:rsidRPr="00AF2DAE">
              <w:rPr>
                <w:rFonts w:ascii="Times New Roman" w:eastAsia="Calibri" w:hAnsi="Times New Roman" w:cs="Times New Roman"/>
                <w:sz w:val="24"/>
                <w:szCs w:val="24"/>
              </w:rPr>
              <w:t>noteikusi darbspēju zaudējumu bez invaliditātes grupas piešķiršanas, kā arī, ja darbiniekam piešķirta citas valsts pensija vai izdienas pensija pēc speciālajiem likumiem</w:t>
            </w:r>
            <w:r>
              <w:rPr>
                <w:rFonts w:ascii="Times New Roman" w:eastAsia="Calibri" w:hAnsi="Times New Roman" w:cs="Times New Roman"/>
                <w:sz w:val="24"/>
                <w:szCs w:val="24"/>
              </w:rPr>
              <w:t xml:space="preserve"> (27.</w:t>
            </w:r>
            <w:r w:rsidRPr="00CA6FF4">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punkts)</w:t>
            </w:r>
            <w:r w:rsidRPr="00AF2DAE">
              <w:rPr>
                <w:rFonts w:ascii="Times New Roman" w:eastAsia="Calibri" w:hAnsi="Times New Roman" w:cs="Times New Roman"/>
                <w:sz w:val="24"/>
                <w:szCs w:val="24"/>
              </w:rPr>
              <w:t xml:space="preserve">, aprēķina, ņemot vērā valsts sociālā nodrošinājuma pabalstu, kuram atkarībā no darbspēju zaudējuma pakāpes piemērots noteikts koeficients (1,0-ja darbinieka darbspēju zaudējums ir 20 un vairāk procentu; 0,7-ja darbinieka darbspēju zaudējums ir 10-19 procentu). </w:t>
            </w:r>
          </w:p>
          <w:p w:rsidR="00984CF8" w:rsidRDefault="00984CF8" w:rsidP="002F4737">
            <w:pPr>
              <w:spacing w:after="0" w:line="240" w:lineRule="auto"/>
              <w:ind w:right="59" w:firstLine="283"/>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 xml:space="preserve">Līdz šim, nosakot </w:t>
            </w:r>
            <w:r w:rsidR="00865B67">
              <w:rPr>
                <w:rFonts w:ascii="Times New Roman" w:eastAsia="Times New Roman" w:hAnsi="Times New Roman" w:cs="Times New Roman"/>
                <w:sz w:val="24"/>
                <w:szCs w:val="24"/>
                <w:lang w:eastAsia="lv-LV"/>
              </w:rPr>
              <w:t>kaitējuma</w:t>
            </w:r>
            <w:r>
              <w:rPr>
                <w:rFonts w:ascii="Times New Roman" w:eastAsia="Times New Roman" w:hAnsi="Times New Roman" w:cs="Times New Roman"/>
                <w:sz w:val="24"/>
                <w:szCs w:val="24"/>
                <w:lang w:eastAsia="lv-LV"/>
              </w:rPr>
              <w:t xml:space="preserve"> atlīdzības apmēru</w:t>
            </w:r>
            <w:r w:rsidR="0045193B">
              <w:rPr>
                <w:rFonts w:ascii="Times New Roman" w:eastAsia="Times New Roman" w:hAnsi="Times New Roman" w:cs="Times New Roman"/>
                <w:sz w:val="24"/>
                <w:szCs w:val="24"/>
                <w:lang w:eastAsia="lv-LV"/>
              </w:rPr>
              <w:t>,</w:t>
            </w:r>
            <w:r w:rsidRPr="00066FFE">
              <w:rPr>
                <w:rFonts w:ascii="Times New Roman" w:eastAsia="Times New Roman" w:hAnsi="Times New Roman" w:cs="Times New Roman"/>
                <w:iCs/>
                <w:color w:val="000000" w:themeColor="text1"/>
                <w:sz w:val="24"/>
                <w:szCs w:val="24"/>
                <w:lang w:eastAsia="lv-LV"/>
              </w:rPr>
              <w:t xml:space="preserve"> tiek izmantots tas </w:t>
            </w:r>
            <w:r w:rsidRPr="00066FFE">
              <w:rPr>
                <w:rFonts w:ascii="Times New Roman" w:eastAsia="Times New Roman" w:hAnsi="Times New Roman" w:cs="Times New Roman"/>
                <w:iCs/>
                <w:noProof/>
                <w:sz w:val="24"/>
                <w:szCs w:val="24"/>
                <w:lang w:eastAsia="lv-LV"/>
              </w:rPr>
              <w:t xml:space="preserve">valsts sociālā nodrošinājuma pabalsta apmērs, ko </w:t>
            </w:r>
            <w:r>
              <w:rPr>
                <w:rFonts w:ascii="Times New Roman" w:eastAsia="Times New Roman" w:hAnsi="Times New Roman" w:cs="Times New Roman"/>
                <w:iCs/>
                <w:noProof/>
                <w:sz w:val="24"/>
                <w:szCs w:val="24"/>
                <w:lang w:eastAsia="lv-LV"/>
              </w:rPr>
              <w:t xml:space="preserve">saskaņā ar Valsts sociālo pabalstu likuma 13.panta pirmās daļas 1.punktu </w:t>
            </w:r>
            <w:r w:rsidRPr="00066FFE">
              <w:rPr>
                <w:rFonts w:ascii="Times New Roman" w:eastAsia="Times New Roman" w:hAnsi="Times New Roman" w:cs="Times New Roman"/>
                <w:iCs/>
                <w:noProof/>
                <w:sz w:val="24"/>
                <w:szCs w:val="24"/>
                <w:lang w:eastAsia="lv-LV"/>
              </w:rPr>
              <w:t>saņem personas, kuras sasniegušas vecuma pensijas piešķiršanai nepieciešamo vecumu un kurām nav tiesību uz valsts pensiju,</w:t>
            </w:r>
            <w:r>
              <w:rPr>
                <w:rFonts w:ascii="Times New Roman" w:eastAsia="Times New Roman" w:hAnsi="Times New Roman" w:cs="Times New Roman"/>
                <w:iCs/>
                <w:noProof/>
                <w:sz w:val="24"/>
                <w:szCs w:val="24"/>
                <w:lang w:eastAsia="lv-LV"/>
              </w:rPr>
              <w:t xml:space="preserve"> t.i.</w:t>
            </w:r>
            <w:r w:rsidR="0045193B">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64,03 </w:t>
            </w:r>
            <w:r w:rsidRPr="00795921">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
                <w:iCs/>
                <w:noProof/>
                <w:sz w:val="24"/>
                <w:szCs w:val="24"/>
                <w:lang w:eastAsia="lv-LV"/>
              </w:rPr>
              <w:t xml:space="preserve"> </w:t>
            </w:r>
            <w:r w:rsidRPr="003B01A3">
              <w:rPr>
                <w:rFonts w:ascii="Times New Roman" w:eastAsia="Times New Roman" w:hAnsi="Times New Roman" w:cs="Times New Roman"/>
                <w:iCs/>
                <w:noProof/>
                <w:sz w:val="24"/>
                <w:szCs w:val="24"/>
                <w:lang w:eastAsia="lv-LV"/>
              </w:rPr>
              <w:t>(</w:t>
            </w:r>
            <w:r>
              <w:rPr>
                <w:rFonts w:ascii="Times New Roman" w:eastAsia="Times New Roman" w:hAnsi="Times New Roman" w:cs="Times New Roman"/>
                <w:sz w:val="24"/>
                <w:szCs w:val="24"/>
                <w:lang w:eastAsia="lv-LV"/>
              </w:rPr>
              <w:t>Ministru kabineta 2009. gada 22. decembra noteikumu Nr. 1605 “Noteikumi par valsts sociālā nodrošinājuma pabalsta un apbedīšanas pabalsta apmēru, tā pārskatīšanas kārtību un pabalstu piešķiršanas un izmaksas kārtību” 2.1.</w:t>
            </w:r>
            <w:r w:rsidR="00451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apakšpunkts)</w:t>
            </w:r>
            <w:r>
              <w:rPr>
                <w:rFonts w:ascii="Times New Roman" w:eastAsia="Times New Roman" w:hAnsi="Times New Roman" w:cs="Times New Roman"/>
                <w:iCs/>
                <w:noProof/>
                <w:sz w:val="24"/>
                <w:szCs w:val="24"/>
                <w:lang w:eastAsia="lv-LV"/>
              </w:rPr>
              <w:t>.</w:t>
            </w:r>
          </w:p>
          <w:p w:rsidR="00984CF8" w:rsidRDefault="00984CF8" w:rsidP="002F4737">
            <w:pPr>
              <w:spacing w:after="0" w:line="240" w:lineRule="auto"/>
              <w:ind w:right="59"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Satversmes tiesa 2020.</w:t>
            </w:r>
            <w:r w:rsidR="00451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9.</w:t>
            </w:r>
            <w:r w:rsidR="00451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jūlijā spriedumā lietā Nr.</w:t>
            </w:r>
            <w:r w:rsidR="00451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2019-27-03  nolēma “atzīt Ministru kabineta 2009. gada 22. decembra noteikumu Nr. 1605 “Noteikumi par valsts sociālā nodrošinājuma pabalsta un apbedīšanas pabalsta apmēru, tā pārskatīšanas kārtību un pabalstu piešķiršanas un izmaksas kārtību” 2. </w:t>
            </w:r>
            <w:r>
              <w:rPr>
                <w:rFonts w:ascii="Times New Roman" w:eastAsia="Times New Roman" w:hAnsi="Times New Roman" w:cs="Times New Roman"/>
                <w:sz w:val="24"/>
                <w:szCs w:val="24"/>
                <w:lang w:eastAsia="lv-LV"/>
              </w:rPr>
              <w:lastRenderedPageBreak/>
              <w:t>punktu, ciktāl tas nosaka valsts sociālā nodrošinājuma pabalsta apmēru nenodarbinātām personām ar invaliditāti un senioriem, par neatbilstošu Latvijas Republikas Satversmes 1., 91. un 109.</w:t>
            </w:r>
            <w:r w:rsidR="0045193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pantam un spēkā neesošu no 2021. gada 1. janvāra.” Tādējādi, lai nodrošinātu Satversmes tiesas sprieduma izpildi, valstij ir jānodrošina, ka valsts sociālā nodrošinājuma pabalsta apmērs ar 2021.gada 1.janvāri tiek noteikts balstoties uz konstitucionāli pamatotiem apsvērumiem un pierādījumos balstītu metodoloģiju, lai noteiktais valsts sociālā nodrošinājuma pabalsta apmērs kalpotu cilvēka cieņas aizsardzībai, nevienlīdzības mazināšanai un valsts ilgtspējīgai attīstībai (Satversmes tiesas spriedums lietā Nr. 20190-27-03, 26.3. punkts). </w:t>
            </w:r>
          </w:p>
          <w:p w:rsidR="00984CF8" w:rsidRPr="00A73C42" w:rsidRDefault="00984CF8" w:rsidP="002F4737">
            <w:pPr>
              <w:spacing w:after="0" w:line="240" w:lineRule="auto"/>
              <w:ind w:right="59"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tika veikti grozījumi Valsts sociālo pabalstu likumā, kuri</w:t>
            </w:r>
            <w:r w:rsidR="0045193B">
              <w:rPr>
                <w:rFonts w:ascii="Times New Roman" w:eastAsia="Times New Roman" w:hAnsi="Times New Roman" w:cs="Times New Roman"/>
                <w:sz w:val="24"/>
                <w:szCs w:val="24"/>
                <w:lang w:eastAsia="lv-LV"/>
              </w:rPr>
              <w:t>,</w:t>
            </w:r>
            <w:r w:rsidR="0045193B" w:rsidRPr="00E6786A">
              <w:rPr>
                <w:rFonts w:ascii="Times New Roman" w:hAnsi="Times New Roman" w:cs="Times New Roman"/>
                <w:sz w:val="24"/>
                <w:szCs w:val="24"/>
              </w:rPr>
              <w:t xml:space="preserve"> </w:t>
            </w:r>
            <w:r w:rsidR="0045193B">
              <w:rPr>
                <w:rFonts w:ascii="Times New Roman" w:hAnsi="Times New Roman" w:cs="Times New Roman"/>
                <w:sz w:val="24"/>
                <w:szCs w:val="24"/>
              </w:rPr>
              <w:t xml:space="preserve">izmantojot </w:t>
            </w:r>
            <w:r w:rsidR="0045193B" w:rsidRPr="00E6786A">
              <w:rPr>
                <w:rFonts w:ascii="Times New Roman" w:hAnsi="Times New Roman" w:cs="Times New Roman"/>
                <w:sz w:val="24"/>
                <w:szCs w:val="24"/>
              </w:rPr>
              <w:t>likumā “Par sociālo drošību” noteikt</w:t>
            </w:r>
            <w:r w:rsidR="0045193B">
              <w:rPr>
                <w:rFonts w:ascii="Times New Roman" w:hAnsi="Times New Roman" w:cs="Times New Roman"/>
                <w:sz w:val="24"/>
                <w:szCs w:val="24"/>
              </w:rPr>
              <w:t>o</w:t>
            </w:r>
            <w:r w:rsidR="0045193B" w:rsidRPr="00E6786A">
              <w:rPr>
                <w:rFonts w:ascii="Times New Roman" w:hAnsi="Times New Roman" w:cs="Times New Roman"/>
                <w:sz w:val="24"/>
                <w:szCs w:val="24"/>
              </w:rPr>
              <w:t xml:space="preserve"> vienot</w:t>
            </w:r>
            <w:r w:rsidR="0045193B">
              <w:rPr>
                <w:rFonts w:ascii="Times New Roman" w:hAnsi="Times New Roman" w:cs="Times New Roman"/>
                <w:sz w:val="24"/>
                <w:szCs w:val="24"/>
              </w:rPr>
              <w:t>o</w:t>
            </w:r>
            <w:r w:rsidR="0045193B" w:rsidRPr="00E6786A">
              <w:rPr>
                <w:rFonts w:ascii="Times New Roman" w:hAnsi="Times New Roman" w:cs="Times New Roman"/>
                <w:sz w:val="24"/>
                <w:szCs w:val="24"/>
              </w:rPr>
              <w:t xml:space="preserve"> metodoloģisko</w:t>
            </w:r>
            <w:r w:rsidR="0045193B">
              <w:rPr>
                <w:rFonts w:ascii="Times New Roman" w:hAnsi="Times New Roman" w:cs="Times New Roman"/>
                <w:sz w:val="24"/>
                <w:szCs w:val="24"/>
              </w:rPr>
              <w:t xml:space="preserve"> </w:t>
            </w:r>
            <w:r w:rsidR="0045193B" w:rsidRPr="00E6786A">
              <w:rPr>
                <w:rFonts w:ascii="Times New Roman" w:hAnsi="Times New Roman" w:cs="Times New Roman"/>
                <w:sz w:val="24"/>
                <w:szCs w:val="24"/>
              </w:rPr>
              <w:t>ietvaru minimālo ienākumu sliekšņu noteikšanā sociālās drošības sistēmas ietvaros,</w:t>
            </w:r>
            <w:r>
              <w:rPr>
                <w:rFonts w:ascii="Times New Roman" w:eastAsia="Times New Roman" w:hAnsi="Times New Roman" w:cs="Times New Roman"/>
                <w:sz w:val="24"/>
                <w:szCs w:val="24"/>
                <w:lang w:eastAsia="lv-LV"/>
              </w:rPr>
              <w:t xml:space="preserve"> nosaka </w:t>
            </w:r>
            <w:r w:rsidR="0045193B">
              <w:rPr>
                <w:rFonts w:ascii="Times New Roman" w:eastAsia="Times New Roman" w:hAnsi="Times New Roman" w:cs="Times New Roman"/>
                <w:sz w:val="24"/>
                <w:szCs w:val="24"/>
                <w:lang w:eastAsia="lv-LV"/>
              </w:rPr>
              <w:t>jaunu paaugstinātu</w:t>
            </w:r>
            <w:r w:rsidR="0045193B" w:rsidRPr="00493E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valsts sociālā nodrošinājuma pabalsta apmēru katrai no mērķa g</w:t>
            </w:r>
            <w:r w:rsidRPr="00A73C42">
              <w:rPr>
                <w:rFonts w:ascii="Times New Roman" w:eastAsia="Times New Roman" w:hAnsi="Times New Roman" w:cs="Times New Roman"/>
                <w:sz w:val="24"/>
                <w:szCs w:val="24"/>
                <w:lang w:eastAsia="lv-LV"/>
              </w:rPr>
              <w:t>rupām</w:t>
            </w:r>
            <w:r w:rsidR="0045193B">
              <w:rPr>
                <w:rFonts w:ascii="Times New Roman" w:eastAsia="Times New Roman" w:hAnsi="Times New Roman" w:cs="Times New Roman"/>
                <w:sz w:val="24"/>
                <w:szCs w:val="24"/>
                <w:lang w:eastAsia="lv-LV"/>
              </w:rPr>
              <w:t>, t.i., vecuma, invaliditātes un apgādnieka zaudējuma gadījumā</w:t>
            </w:r>
            <w:r w:rsidRPr="00A73C42">
              <w:rPr>
                <w:rFonts w:ascii="Times New Roman" w:eastAsia="Times New Roman" w:hAnsi="Times New Roman" w:cs="Times New Roman"/>
                <w:sz w:val="24"/>
                <w:szCs w:val="24"/>
                <w:lang w:eastAsia="lv-LV"/>
              </w:rPr>
              <w:t xml:space="preserve"> (13.panta 1.</w:t>
            </w:r>
            <w:r w:rsidRPr="00A73C42">
              <w:rPr>
                <w:rFonts w:ascii="Times New Roman" w:eastAsia="Times New Roman" w:hAnsi="Times New Roman" w:cs="Times New Roman"/>
                <w:sz w:val="24"/>
                <w:szCs w:val="24"/>
                <w:vertAlign w:val="superscript"/>
                <w:lang w:eastAsia="lv-LV"/>
              </w:rPr>
              <w:t>1</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2</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3</w:t>
            </w:r>
            <w:r w:rsidRPr="00A73C42">
              <w:rPr>
                <w:rFonts w:ascii="Times New Roman" w:eastAsia="Times New Roman" w:hAnsi="Times New Roman" w:cs="Times New Roman"/>
                <w:sz w:val="24"/>
                <w:szCs w:val="24"/>
                <w:lang w:eastAsia="lv-LV"/>
              </w:rPr>
              <w:t>, 1.</w:t>
            </w:r>
            <w:r w:rsidRPr="00A73C42">
              <w:rPr>
                <w:rFonts w:ascii="Times New Roman" w:eastAsia="Times New Roman" w:hAnsi="Times New Roman" w:cs="Times New Roman"/>
                <w:sz w:val="24"/>
                <w:szCs w:val="24"/>
                <w:vertAlign w:val="superscript"/>
                <w:lang w:eastAsia="lv-LV"/>
              </w:rPr>
              <w:t>4</w:t>
            </w:r>
            <w:r w:rsidRPr="00A73C42">
              <w:rPr>
                <w:rFonts w:ascii="Times New Roman" w:eastAsia="Times New Roman" w:hAnsi="Times New Roman" w:cs="Times New Roman"/>
                <w:sz w:val="24"/>
                <w:szCs w:val="24"/>
                <w:lang w:eastAsia="lv-LV"/>
              </w:rPr>
              <w:t xml:space="preserve"> un 1.</w:t>
            </w:r>
            <w:r w:rsidRPr="00A73C42">
              <w:rPr>
                <w:rFonts w:ascii="Times New Roman" w:eastAsia="Times New Roman" w:hAnsi="Times New Roman" w:cs="Times New Roman"/>
                <w:sz w:val="24"/>
                <w:szCs w:val="24"/>
                <w:vertAlign w:val="superscript"/>
                <w:lang w:eastAsia="lv-LV"/>
              </w:rPr>
              <w:t xml:space="preserve">5 </w:t>
            </w:r>
            <w:r w:rsidRPr="00A73C42">
              <w:rPr>
                <w:rFonts w:ascii="Times New Roman" w:eastAsia="Times New Roman" w:hAnsi="Times New Roman" w:cs="Times New Roman"/>
                <w:sz w:val="24"/>
                <w:szCs w:val="24"/>
                <w:lang w:eastAsia="lv-LV"/>
              </w:rPr>
              <w:t>daļas).</w:t>
            </w:r>
          </w:p>
          <w:p w:rsidR="00984CF8" w:rsidRDefault="00984CF8" w:rsidP="002F4737">
            <w:pPr>
              <w:spacing w:after="0" w:line="240" w:lineRule="auto"/>
              <w:ind w:right="59" w:firstLine="283"/>
              <w:jc w:val="both"/>
              <w:rPr>
                <w:rFonts w:ascii="Times New Roman" w:eastAsia="Times New Roman" w:hAnsi="Times New Roman" w:cs="Times New Roman"/>
                <w:iCs/>
                <w:color w:val="000000" w:themeColor="text1"/>
                <w:sz w:val="24"/>
                <w:szCs w:val="24"/>
                <w:lang w:eastAsia="lv-LV"/>
              </w:rPr>
            </w:pPr>
            <w:r w:rsidRPr="00066FFE">
              <w:rPr>
                <w:rFonts w:ascii="Times New Roman" w:eastAsia="Times New Roman" w:hAnsi="Times New Roman" w:cs="Times New Roman"/>
                <w:iCs/>
                <w:color w:val="000000" w:themeColor="text1"/>
                <w:sz w:val="24"/>
                <w:szCs w:val="24"/>
                <w:lang w:eastAsia="lv-LV"/>
              </w:rPr>
              <w:t>Ņemot vērā, ka valsts sociālā nodrošinājuma pabalsta apmērs no 2021.</w:t>
            </w:r>
            <w:r w:rsidR="001C04E6">
              <w:rPr>
                <w:rFonts w:ascii="Times New Roman" w:eastAsia="Times New Roman" w:hAnsi="Times New Roman" w:cs="Times New Roman"/>
                <w:iCs/>
                <w:color w:val="000000" w:themeColor="text1"/>
                <w:sz w:val="24"/>
                <w:szCs w:val="24"/>
                <w:lang w:eastAsia="lv-LV"/>
              </w:rPr>
              <w:t xml:space="preserve"> </w:t>
            </w:r>
            <w:r w:rsidRPr="00066FFE">
              <w:rPr>
                <w:rFonts w:ascii="Times New Roman" w:eastAsia="Times New Roman" w:hAnsi="Times New Roman" w:cs="Times New Roman"/>
                <w:iCs/>
                <w:color w:val="000000" w:themeColor="text1"/>
                <w:sz w:val="24"/>
                <w:szCs w:val="24"/>
                <w:lang w:eastAsia="lv-LV"/>
              </w:rPr>
              <w:t>gada būs atšķirīgs dažādām mērķa grupām,</w:t>
            </w:r>
            <w:r>
              <w:rPr>
                <w:rFonts w:ascii="Times New Roman" w:eastAsia="Times New Roman" w:hAnsi="Times New Roman" w:cs="Times New Roman"/>
                <w:iCs/>
                <w:color w:val="000000" w:themeColor="text1"/>
                <w:sz w:val="24"/>
                <w:szCs w:val="24"/>
                <w:lang w:eastAsia="lv-LV"/>
              </w:rPr>
              <w:t xml:space="preserve"> un</w:t>
            </w:r>
            <w:r w:rsidRPr="00066FFE">
              <w:rPr>
                <w:rFonts w:ascii="Times New Roman" w:eastAsia="Times New Roman" w:hAnsi="Times New Roman" w:cs="Times New Roman"/>
                <w:iCs/>
                <w:color w:val="000000" w:themeColor="text1"/>
                <w:sz w:val="24"/>
                <w:szCs w:val="24"/>
                <w:lang w:eastAsia="lv-LV"/>
              </w:rPr>
              <w:t xml:space="preserve"> lai skaidri noteiktu </w:t>
            </w:r>
            <w:r>
              <w:rPr>
                <w:rFonts w:ascii="Times New Roman" w:eastAsia="Times New Roman" w:hAnsi="Times New Roman" w:cs="Times New Roman"/>
                <w:iCs/>
                <w:color w:val="000000" w:themeColor="text1"/>
                <w:sz w:val="24"/>
                <w:szCs w:val="24"/>
                <w:lang w:eastAsia="lv-LV"/>
              </w:rPr>
              <w:t xml:space="preserve">tieši kuru </w:t>
            </w:r>
            <w:r w:rsidRPr="00066FFE">
              <w:rPr>
                <w:rFonts w:ascii="Times New Roman" w:eastAsia="Times New Roman" w:hAnsi="Times New Roman" w:cs="Times New Roman"/>
                <w:iCs/>
                <w:color w:val="000000" w:themeColor="text1"/>
                <w:sz w:val="24"/>
                <w:szCs w:val="24"/>
                <w:lang w:eastAsia="lv-LV"/>
              </w:rPr>
              <w:t xml:space="preserve">valsts sociālā nodrošinājuma pabalsta apmēru ņem vērā, </w:t>
            </w:r>
            <w:r>
              <w:rPr>
                <w:rFonts w:ascii="Times New Roman" w:eastAsia="Times New Roman" w:hAnsi="Times New Roman" w:cs="Times New Roman"/>
                <w:iCs/>
                <w:color w:val="000000" w:themeColor="text1"/>
                <w:sz w:val="24"/>
                <w:szCs w:val="24"/>
                <w:lang w:eastAsia="lv-LV"/>
              </w:rPr>
              <w:t xml:space="preserve">nosakot </w:t>
            </w:r>
            <w:r w:rsidR="00865B67">
              <w:rPr>
                <w:rFonts w:ascii="Times New Roman" w:eastAsia="Times New Roman" w:hAnsi="Times New Roman" w:cs="Times New Roman"/>
                <w:iCs/>
                <w:color w:val="000000" w:themeColor="text1"/>
                <w:sz w:val="24"/>
                <w:szCs w:val="24"/>
                <w:lang w:eastAsia="lv-LV"/>
              </w:rPr>
              <w:t>kaitējuma</w:t>
            </w:r>
            <w:r>
              <w:rPr>
                <w:rFonts w:ascii="Times New Roman" w:eastAsia="Times New Roman" w:hAnsi="Times New Roman" w:cs="Times New Roman"/>
                <w:iCs/>
                <w:color w:val="000000" w:themeColor="text1"/>
                <w:sz w:val="24"/>
                <w:szCs w:val="24"/>
                <w:lang w:eastAsia="lv-LV"/>
              </w:rPr>
              <w:t xml:space="preserve"> atlīdzīb</w:t>
            </w:r>
            <w:r w:rsidR="00865B67">
              <w:rPr>
                <w:rFonts w:ascii="Times New Roman" w:eastAsia="Times New Roman" w:hAnsi="Times New Roman" w:cs="Times New Roman"/>
                <w:iCs/>
                <w:color w:val="000000" w:themeColor="text1"/>
                <w:sz w:val="24"/>
                <w:szCs w:val="24"/>
                <w:lang w:eastAsia="lv-LV"/>
              </w:rPr>
              <w:t>as apmēru</w:t>
            </w:r>
            <w:r>
              <w:rPr>
                <w:rFonts w:ascii="Times New Roman" w:eastAsia="Times New Roman" w:hAnsi="Times New Roman" w:cs="Times New Roman"/>
                <w:iCs/>
                <w:color w:val="000000" w:themeColor="text1"/>
                <w:sz w:val="24"/>
                <w:szCs w:val="24"/>
                <w:lang w:eastAsia="lv-LV"/>
              </w:rPr>
              <w:t>, nepieciešami grozījumi MK noteikumu Nr.</w:t>
            </w:r>
            <w:r w:rsidR="001C04E6">
              <w:rPr>
                <w:rFonts w:ascii="Times New Roman" w:eastAsia="Times New Roman" w:hAnsi="Times New Roman" w:cs="Times New Roman"/>
                <w:iCs/>
                <w:color w:val="000000" w:themeColor="text1"/>
                <w:sz w:val="24"/>
                <w:szCs w:val="24"/>
                <w:lang w:eastAsia="lv-LV"/>
              </w:rPr>
              <w:t xml:space="preserve"> </w:t>
            </w:r>
            <w:r w:rsidR="00865B67">
              <w:rPr>
                <w:rFonts w:ascii="Times New Roman" w:eastAsia="Times New Roman" w:hAnsi="Times New Roman" w:cs="Times New Roman"/>
                <w:iCs/>
                <w:color w:val="000000" w:themeColor="text1"/>
                <w:sz w:val="24"/>
                <w:szCs w:val="24"/>
                <w:lang w:eastAsia="lv-LV"/>
              </w:rPr>
              <w:t>378 25.2</w:t>
            </w:r>
            <w:r>
              <w:rPr>
                <w:rFonts w:ascii="Times New Roman" w:eastAsia="Times New Roman" w:hAnsi="Times New Roman" w:cs="Times New Roman"/>
                <w:iCs/>
                <w:color w:val="000000" w:themeColor="text1"/>
                <w:sz w:val="24"/>
                <w:szCs w:val="24"/>
                <w:lang w:eastAsia="lv-LV"/>
              </w:rPr>
              <w:t>.</w:t>
            </w:r>
            <w:r w:rsidR="00865B67">
              <w:rPr>
                <w:rFonts w:ascii="Times New Roman" w:eastAsia="Times New Roman" w:hAnsi="Times New Roman" w:cs="Times New Roman"/>
                <w:iCs/>
                <w:color w:val="000000" w:themeColor="text1"/>
                <w:sz w:val="24"/>
                <w:szCs w:val="24"/>
                <w:lang w:eastAsia="lv-LV"/>
              </w:rPr>
              <w:t>apakš</w:t>
            </w:r>
            <w:r>
              <w:rPr>
                <w:rFonts w:ascii="Times New Roman" w:eastAsia="Times New Roman" w:hAnsi="Times New Roman" w:cs="Times New Roman"/>
                <w:iCs/>
                <w:color w:val="000000" w:themeColor="text1"/>
                <w:sz w:val="24"/>
                <w:szCs w:val="24"/>
                <w:lang w:eastAsia="lv-LV"/>
              </w:rPr>
              <w:t>punktā.</w:t>
            </w:r>
          </w:p>
          <w:p w:rsidR="00865B67" w:rsidRDefault="00865B67" w:rsidP="00865B67">
            <w:pPr>
              <w:spacing w:after="0" w:line="240" w:lineRule="auto"/>
              <w:ind w:right="59" w:firstLine="283"/>
              <w:jc w:val="both"/>
              <w:rPr>
                <w:rFonts w:ascii="Times New Roman" w:eastAsia="Times New Roman" w:hAnsi="Times New Roman" w:cs="Times New Roman"/>
                <w:sz w:val="24"/>
                <w:szCs w:val="24"/>
                <w:lang w:eastAsia="lv-LV"/>
              </w:rPr>
            </w:pPr>
            <w:r w:rsidRPr="00066FFE">
              <w:rPr>
                <w:rFonts w:ascii="Times New Roman" w:hAnsi="Times New Roman" w:cs="Times New Roman"/>
                <w:bCs/>
                <w:iCs/>
                <w:sz w:val="24"/>
                <w:szCs w:val="24"/>
              </w:rPr>
              <w:t xml:space="preserve">Tā kā līdz šim, </w:t>
            </w:r>
            <w:r>
              <w:rPr>
                <w:rFonts w:ascii="Times New Roman" w:eastAsia="Times New Roman" w:hAnsi="Times New Roman" w:cs="Times New Roman"/>
                <w:sz w:val="24"/>
                <w:szCs w:val="24"/>
                <w:lang w:eastAsia="lv-LV"/>
              </w:rPr>
              <w:t>nosakot kaitējuma atlīdzības apmēru</w:t>
            </w:r>
            <w:r w:rsidR="00E3466E">
              <w:rPr>
                <w:rFonts w:ascii="Times New Roman" w:eastAsia="Times New Roman" w:hAnsi="Times New Roman" w:cs="Times New Roman"/>
                <w:sz w:val="24"/>
                <w:szCs w:val="24"/>
                <w:lang w:eastAsia="lv-LV"/>
              </w:rPr>
              <w:t>,</w:t>
            </w:r>
            <w:r w:rsidRPr="00066FFE">
              <w:rPr>
                <w:rFonts w:ascii="Times New Roman" w:eastAsia="Times New Roman" w:hAnsi="Times New Roman" w:cs="Times New Roman"/>
                <w:iCs/>
                <w:color w:val="000000" w:themeColor="text1"/>
                <w:sz w:val="24"/>
                <w:szCs w:val="24"/>
                <w:lang w:eastAsia="lv-LV"/>
              </w:rPr>
              <w:t xml:space="preserve"> tiek izmantots tas </w:t>
            </w:r>
            <w:r w:rsidRPr="00066FFE">
              <w:rPr>
                <w:rFonts w:ascii="Times New Roman" w:eastAsia="Times New Roman" w:hAnsi="Times New Roman" w:cs="Times New Roman"/>
                <w:iCs/>
                <w:noProof/>
                <w:sz w:val="24"/>
                <w:szCs w:val="24"/>
                <w:lang w:eastAsia="lv-LV"/>
              </w:rPr>
              <w:t>valsts sociālā nodrošinājuma pabalsta apmērs</w:t>
            </w:r>
            <w:r w:rsidRPr="00066FFE">
              <w:rPr>
                <w:rFonts w:ascii="Times New Roman" w:eastAsia="Times New Roman" w:hAnsi="Times New Roman" w:cs="Times New Roman"/>
                <w:iCs/>
                <w:color w:val="000000" w:themeColor="text1"/>
                <w:sz w:val="24"/>
                <w:szCs w:val="24"/>
                <w:lang w:eastAsia="lv-LV"/>
              </w:rPr>
              <w:t xml:space="preserve">, </w:t>
            </w:r>
            <w:r w:rsidRPr="00066FFE">
              <w:rPr>
                <w:rFonts w:ascii="Times New Roman" w:eastAsia="Times New Roman" w:hAnsi="Times New Roman" w:cs="Times New Roman"/>
                <w:iCs/>
                <w:noProof/>
                <w:sz w:val="24"/>
                <w:szCs w:val="24"/>
                <w:lang w:eastAsia="lv-LV"/>
              </w:rPr>
              <w:t>ko saņem personas, kuras sasniegušas vecuma pensijas piešķiršanai nepieciešamo vecumu un kurām nav tiesību uz valsts pensiju, tad arī turpmāk plānots piemērot apmēru, ko saņem šīs personas.</w:t>
            </w:r>
            <w:r w:rsidR="005B4BCF">
              <w:rPr>
                <w:rFonts w:ascii="Times New Roman" w:eastAsia="Times New Roman" w:hAnsi="Times New Roman" w:cs="Times New Roman"/>
                <w:iCs/>
                <w:noProof/>
                <w:sz w:val="24"/>
                <w:szCs w:val="24"/>
                <w:lang w:eastAsia="lv-LV"/>
              </w:rPr>
              <w:t xml:space="preserve"> Līdz ar to n</w:t>
            </w:r>
            <w:r>
              <w:rPr>
                <w:rFonts w:ascii="Times New Roman" w:eastAsia="Times New Roman" w:hAnsi="Times New Roman" w:cs="Times New Roman"/>
                <w:iCs/>
                <w:noProof/>
                <w:sz w:val="24"/>
                <w:szCs w:val="24"/>
                <w:lang w:eastAsia="lv-LV"/>
              </w:rPr>
              <w:t>oteikumu projekts</w:t>
            </w:r>
            <w:r w:rsidRPr="00066FFE">
              <w:rPr>
                <w:rFonts w:ascii="Times New Roman" w:eastAsia="Times New Roman" w:hAnsi="Times New Roman" w:cs="Times New Roman"/>
                <w:iCs/>
                <w:noProof/>
                <w:sz w:val="24"/>
                <w:szCs w:val="24"/>
                <w:lang w:eastAsia="lv-LV"/>
              </w:rPr>
              <w:t xml:space="preserve"> paredz</w:t>
            </w:r>
            <w:r w:rsidRPr="00AF2DAE">
              <w:rPr>
                <w:rFonts w:ascii="Times New Roman" w:hAnsi="Times New Roman" w:cs="Times New Roman"/>
                <w:spacing w:val="-4"/>
                <w:sz w:val="24"/>
                <w:szCs w:val="24"/>
              </w:rPr>
              <w:t xml:space="preserve"> kaitējuma atlīdzības apmēru, piesaist</w:t>
            </w:r>
            <w:r>
              <w:rPr>
                <w:rFonts w:ascii="Times New Roman" w:hAnsi="Times New Roman" w:cs="Times New Roman"/>
                <w:spacing w:val="-4"/>
                <w:sz w:val="24"/>
                <w:szCs w:val="24"/>
              </w:rPr>
              <w:t>ī</w:t>
            </w:r>
            <w:r w:rsidRPr="00AF2DAE">
              <w:rPr>
                <w:rFonts w:ascii="Times New Roman" w:hAnsi="Times New Roman" w:cs="Times New Roman"/>
                <w:spacing w:val="-4"/>
                <w:sz w:val="24"/>
                <w:szCs w:val="24"/>
              </w:rPr>
              <w:t>t tam valsts sociālā nodrošinājuma pabalsta apmēram</w:t>
            </w:r>
            <w:r w:rsidRPr="00AF2DAE">
              <w:rPr>
                <w:rFonts w:ascii="Times New Roman" w:eastAsia="Calibri" w:hAnsi="Times New Roman" w:cs="Times New Roman"/>
                <w:sz w:val="24"/>
                <w:szCs w:val="24"/>
              </w:rPr>
              <w:t>, kāds noteikts Valsts sociālo pabalstu likuma 13.</w:t>
            </w:r>
            <w:r w:rsidR="001C04E6">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panta pirmās daļas 1.punktā minētajām personām</w:t>
            </w:r>
            <w:r>
              <w:rPr>
                <w:rFonts w:ascii="Times New Roman" w:eastAsia="Calibri" w:hAnsi="Times New Roman" w:cs="Times New Roman"/>
                <w:sz w:val="24"/>
                <w:szCs w:val="24"/>
              </w:rPr>
              <w:t xml:space="preserve"> </w:t>
            </w:r>
            <w:r w:rsidRPr="00AF2DAE">
              <w:rPr>
                <w:rFonts w:ascii="Times New Roman" w:eastAsia="Calibri" w:hAnsi="Times New Roman" w:cs="Times New Roman"/>
                <w:sz w:val="24"/>
                <w:szCs w:val="24"/>
              </w:rPr>
              <w:t xml:space="preserve">(109 </w:t>
            </w:r>
            <w:proofErr w:type="spellStart"/>
            <w:r w:rsidRPr="00AF2DAE">
              <w:rPr>
                <w:rFonts w:ascii="Times New Roman" w:eastAsia="Calibri" w:hAnsi="Times New Roman" w:cs="Times New Roman"/>
                <w:i/>
                <w:sz w:val="24"/>
                <w:szCs w:val="24"/>
              </w:rPr>
              <w:t>euro</w:t>
            </w:r>
            <w:proofErr w:type="spellEnd"/>
            <w:r w:rsidRPr="00AF2DAE">
              <w:rPr>
                <w:rFonts w:ascii="Times New Roman" w:eastAsia="Calibri" w:hAnsi="Times New Roman" w:cs="Times New Roman"/>
                <w:sz w:val="24"/>
                <w:szCs w:val="24"/>
              </w:rPr>
              <w:t>).</w:t>
            </w:r>
          </w:p>
          <w:p w:rsidR="00865B67" w:rsidRDefault="00865B67" w:rsidP="00865B67">
            <w:pPr>
              <w:spacing w:after="0" w:line="240" w:lineRule="auto"/>
              <w:ind w:right="59" w:firstLine="283"/>
              <w:jc w:val="both"/>
              <w:rPr>
                <w:rFonts w:ascii="Times New Roman" w:eastAsia="Times New Roman" w:hAnsi="Times New Roman" w:cs="Times New Roman"/>
                <w:sz w:val="24"/>
                <w:szCs w:val="24"/>
                <w:lang w:eastAsia="lv-LV"/>
              </w:rPr>
            </w:pPr>
          </w:p>
          <w:p w:rsidR="00865B67" w:rsidRDefault="00865B67" w:rsidP="00865B6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Apvienoto Nāciju Organizācijas Konvenciju par personu ar invaliditāti tiesībām un Invaliditātes likumu attiecībā uz personu, kurai ir noteikta invaliditāte, lietojams jēdziens “persona ar invaliditāti”, aizstājot iepriekš lietoto jēdzienu “invalīds”</w:t>
            </w:r>
            <w:r w:rsidR="000B56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Lai neradītu lieku administratīvo slogu , šī jaunā terminoloģija normatīvajos aktos tiek mainīta pakāpeniski, tikai kopā ar citiem būtiskiem grozījumiem attiecīgajā normatīvajā aktā. Līdz ar to </w:t>
            </w:r>
            <w:r w:rsidR="000B56A2">
              <w:rPr>
                <w:rFonts w:ascii="Times New Roman" w:eastAsia="Times New Roman" w:hAnsi="Times New Roman" w:cs="Times New Roman"/>
                <w:sz w:val="24"/>
                <w:szCs w:val="24"/>
                <w:lang w:eastAsia="lv-LV"/>
              </w:rPr>
              <w:lastRenderedPageBreak/>
              <w:t>noteikumu projekts paredz mainīt MK noteikumu Nr.378 25.1 apakšpunktā lietoto jēdzienu “invalīds”,</w:t>
            </w:r>
            <w:r>
              <w:rPr>
                <w:rFonts w:ascii="Times New Roman" w:eastAsia="Times New Roman" w:hAnsi="Times New Roman" w:cs="Times New Roman"/>
                <w:sz w:val="24"/>
                <w:szCs w:val="24"/>
                <w:lang w:eastAsia="lv-LV"/>
              </w:rPr>
              <w:t xml:space="preserve"> lietojot jēdzienu „persona ar invaliditāti” attiecīgā locījumā.</w:t>
            </w:r>
          </w:p>
          <w:p w:rsidR="00984CF8" w:rsidRDefault="00984CF8" w:rsidP="00865B67">
            <w:pPr>
              <w:spacing w:after="0" w:line="240" w:lineRule="auto"/>
              <w:ind w:right="59" w:firstLine="283"/>
              <w:jc w:val="both"/>
              <w:rPr>
                <w:rFonts w:ascii="Times New Roman" w:eastAsia="Times New Roman" w:hAnsi="Times New Roman" w:cs="Times New Roman"/>
                <w:sz w:val="24"/>
                <w:szCs w:val="24"/>
                <w:lang w:eastAsia="lv-LV"/>
              </w:rPr>
            </w:pPr>
          </w:p>
        </w:tc>
      </w:tr>
      <w:tr w:rsidR="00984CF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Noteikumu projekts izstrādāts sadarbībā ar </w:t>
            </w:r>
            <w:r>
              <w:rPr>
                <w:rFonts w:ascii="Times New Roman" w:hAnsi="Times New Roman" w:cs="Times New Roman"/>
                <w:sz w:val="24"/>
                <w:szCs w:val="24"/>
                <w:shd w:val="clear" w:color="auto" w:fill="FFFFFF"/>
              </w:rPr>
              <w:t>VSAA.</w:t>
            </w:r>
          </w:p>
        </w:tc>
      </w:tr>
      <w:tr w:rsidR="00984CF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984CF8" w:rsidRDefault="00984CF8" w:rsidP="00984C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84CF8" w:rsidTr="002F47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4CF8" w:rsidRDefault="00984CF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984CF8" w:rsidRPr="00073C09" w:rsidRDefault="00984CF8" w:rsidP="000178F9">
            <w:pPr>
              <w:pStyle w:val="NormalWeb"/>
              <w:shd w:val="clear" w:color="auto" w:fill="FFFFFF"/>
              <w:spacing w:before="0" w:beforeAutospacing="0" w:after="0" w:afterAutospacing="0"/>
              <w:jc w:val="both"/>
            </w:pPr>
            <w:r w:rsidRPr="00073C09">
              <w:t xml:space="preserve">Personas, kuras saņem </w:t>
            </w:r>
            <w:r w:rsidR="00633800" w:rsidRPr="00073C09">
              <w:t>kaitējuma</w:t>
            </w:r>
            <w:r w:rsidRPr="00073C09">
              <w:t xml:space="preserve"> atlīdzību sakarā ar nelaimes gadījumu darbā vai konstatēto arodslimību</w:t>
            </w:r>
            <w:r w:rsidR="00633800" w:rsidRPr="00073C09">
              <w:t xml:space="preserve"> un kurām darbspēju zaudējums noteikts bez invaliditātes grupas piešķiršanas.</w:t>
            </w:r>
            <w:r w:rsidR="00FF6490" w:rsidRPr="00073C09">
              <w:t xml:space="preserve"> </w:t>
            </w:r>
          </w:p>
          <w:p w:rsidR="00073C09" w:rsidRPr="00073C09" w:rsidRDefault="00073C09" w:rsidP="000178F9">
            <w:pPr>
              <w:pStyle w:val="NormalWeb"/>
              <w:shd w:val="clear" w:color="auto" w:fill="FFFFFF"/>
              <w:spacing w:before="0" w:beforeAutospacing="0" w:after="0" w:afterAutospacing="0"/>
              <w:jc w:val="both"/>
            </w:pPr>
            <w:r w:rsidRPr="00073C09">
              <w:t xml:space="preserve">Pēc VSAA datiem par 2020.gada I pusgadu kaitējuma atlīdzības, kuras izmaksā VSAA, saņem 915 personas, tajā skaitā 547 personas sakarā ar nelaimes gadījumu darbā un 368 personas sakarā ar konstatēto arodslimību. Kaitējuma atlīdzības vidējais piešķirtais apmērs ir 111,03 </w:t>
            </w:r>
            <w:proofErr w:type="spellStart"/>
            <w:r w:rsidRPr="00073C09">
              <w:rPr>
                <w:i/>
              </w:rPr>
              <w:t>euro</w:t>
            </w:r>
            <w:proofErr w:type="spellEnd"/>
            <w:r w:rsidRPr="00073C09">
              <w:t>.</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nerada administratīvo slogu un neatstāj negatīvu ietekmi uz tautsaimniecību. </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nerada papildu ietekmi uz administratīvajām izmaksām.</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380814" w:rsidRDefault="00984CF8" w:rsidP="00984C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pPr w:leftFromText="180" w:rightFromText="180" w:vertAnchor="text" w:tblpXSpec="righ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64"/>
        <w:gridCol w:w="1290"/>
        <w:gridCol w:w="1270"/>
        <w:gridCol w:w="1133"/>
        <w:gridCol w:w="1134"/>
        <w:gridCol w:w="951"/>
        <w:gridCol w:w="964"/>
        <w:gridCol w:w="1055"/>
      </w:tblGrid>
      <w:tr w:rsidR="00380814" w:rsidRPr="00A23AAE" w:rsidTr="005C482F">
        <w:trPr>
          <w:trHeight w:val="227"/>
        </w:trPr>
        <w:tc>
          <w:tcPr>
            <w:tcW w:w="5000" w:type="pct"/>
            <w:gridSpan w:val="8"/>
            <w:vAlign w:val="center"/>
          </w:tcPr>
          <w:p w:rsidR="00380814" w:rsidRPr="00A23AAE" w:rsidRDefault="00380814" w:rsidP="005C482F">
            <w:pPr>
              <w:spacing w:after="0" w:line="240" w:lineRule="auto"/>
              <w:ind w:right="71"/>
              <w:jc w:val="center"/>
              <w:rPr>
                <w:rFonts w:ascii="Times New Roman" w:eastAsia="Times New Roman" w:hAnsi="Times New Roman" w:cs="Times New Roman"/>
                <w:b/>
                <w:bCs/>
                <w:iCs/>
                <w:sz w:val="24"/>
                <w:szCs w:val="24"/>
                <w:lang w:eastAsia="lv-LV"/>
              </w:rPr>
            </w:pPr>
            <w:r w:rsidRPr="00A23AAE">
              <w:rPr>
                <w:rFonts w:ascii="Times New Roman" w:eastAsia="Times New Roman" w:hAnsi="Times New Roman" w:cs="Times New Roman"/>
                <w:b/>
                <w:bCs/>
                <w:iCs/>
                <w:sz w:val="24"/>
                <w:szCs w:val="24"/>
                <w:lang w:eastAsia="lv-LV"/>
              </w:rPr>
              <w:t>III. Tiesību akta projekta ietekme uz valsts budžetu un pašvaldību budžetiem</w:t>
            </w:r>
          </w:p>
          <w:p w:rsidR="00380814" w:rsidRPr="00A23AAE" w:rsidRDefault="00380814" w:rsidP="005C482F">
            <w:pPr>
              <w:spacing w:after="0" w:line="240" w:lineRule="auto"/>
              <w:ind w:right="71"/>
              <w:jc w:val="center"/>
              <w:rPr>
                <w:rFonts w:ascii="Times New Roman" w:eastAsia="Calibri" w:hAnsi="Times New Roman" w:cs="Times New Roman"/>
                <w:sz w:val="24"/>
                <w:szCs w:val="24"/>
                <w:lang w:eastAsia="lv-LV"/>
              </w:rPr>
            </w:pPr>
          </w:p>
        </w:tc>
      </w:tr>
      <w:tr w:rsidR="00380814" w:rsidRPr="00A23AAE" w:rsidTr="005C482F">
        <w:trPr>
          <w:trHeight w:val="227"/>
        </w:trPr>
        <w:tc>
          <w:tcPr>
            <w:tcW w:w="697" w:type="pct"/>
            <w:vMerge w:val="restart"/>
            <w:vAlign w:val="center"/>
          </w:tcPr>
          <w:p w:rsidR="00380814" w:rsidRPr="00A23AAE" w:rsidRDefault="00380814" w:rsidP="005C482F">
            <w:pPr>
              <w:spacing w:after="0" w:line="240" w:lineRule="auto"/>
              <w:ind w:right="71"/>
              <w:jc w:val="center"/>
              <w:rPr>
                <w:rFonts w:ascii="Times New Roman" w:eastAsia="Calibri" w:hAnsi="Times New Roman" w:cs="Times New Roman"/>
                <w:b/>
                <w:sz w:val="18"/>
                <w:szCs w:val="18"/>
                <w:lang w:eastAsia="lv-LV"/>
              </w:rPr>
            </w:pPr>
            <w:r w:rsidRPr="00A23AAE">
              <w:rPr>
                <w:rFonts w:ascii="Times New Roman" w:eastAsia="Calibri" w:hAnsi="Times New Roman" w:cs="Times New Roman"/>
                <w:b/>
                <w:sz w:val="18"/>
                <w:szCs w:val="18"/>
                <w:lang w:eastAsia="lv-LV"/>
              </w:rPr>
              <w:t>Rādītāji</w:t>
            </w:r>
          </w:p>
        </w:tc>
        <w:tc>
          <w:tcPr>
            <w:tcW w:w="1413" w:type="pct"/>
            <w:gridSpan w:val="2"/>
            <w:vMerge w:val="restart"/>
            <w:vAlign w:val="center"/>
          </w:tcPr>
          <w:p w:rsidR="00380814" w:rsidRPr="00A23AAE" w:rsidRDefault="00380814" w:rsidP="005C482F">
            <w:pPr>
              <w:spacing w:after="0" w:line="240" w:lineRule="auto"/>
              <w:ind w:right="71"/>
              <w:jc w:val="center"/>
              <w:rPr>
                <w:rFonts w:ascii="Times New Roman" w:eastAsia="Calibri" w:hAnsi="Times New Roman" w:cs="Times New Roman"/>
                <w:b/>
                <w:sz w:val="18"/>
                <w:szCs w:val="18"/>
                <w:lang w:eastAsia="lv-LV"/>
              </w:rPr>
            </w:pPr>
            <w:r w:rsidRPr="00A23AAE">
              <w:rPr>
                <w:rFonts w:ascii="Times New Roman" w:eastAsia="Calibri" w:hAnsi="Times New Roman" w:cs="Times New Roman"/>
                <w:b/>
                <w:sz w:val="18"/>
                <w:szCs w:val="18"/>
                <w:lang w:eastAsia="lv-LV"/>
              </w:rPr>
              <w:t>2020.gads</w:t>
            </w:r>
          </w:p>
        </w:tc>
        <w:tc>
          <w:tcPr>
            <w:tcW w:w="2890" w:type="pct"/>
            <w:gridSpan w:val="5"/>
          </w:tcPr>
          <w:p w:rsidR="00380814" w:rsidRPr="00A23AAE" w:rsidRDefault="00380814" w:rsidP="005C482F">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Turpmākie trīs gadi (</w:t>
            </w:r>
            <w:proofErr w:type="spellStart"/>
            <w:r w:rsidRPr="00A23AAE">
              <w:rPr>
                <w:rFonts w:ascii="Times New Roman" w:eastAsia="Calibri" w:hAnsi="Times New Roman" w:cs="Times New Roman"/>
                <w:i/>
                <w:sz w:val="18"/>
                <w:szCs w:val="18"/>
                <w:lang w:eastAsia="lv-LV"/>
              </w:rPr>
              <w:t>euro</w:t>
            </w:r>
            <w:proofErr w:type="spellEnd"/>
            <w:r w:rsidRPr="00A23AAE">
              <w:rPr>
                <w:rFonts w:ascii="Times New Roman" w:eastAsia="Calibri" w:hAnsi="Times New Roman" w:cs="Times New Roman"/>
                <w:sz w:val="18"/>
                <w:szCs w:val="18"/>
                <w:lang w:eastAsia="lv-LV"/>
              </w:rPr>
              <w:t>)</w:t>
            </w:r>
          </w:p>
        </w:tc>
      </w:tr>
      <w:tr w:rsidR="00380814" w:rsidRPr="00A23AAE" w:rsidTr="005C482F">
        <w:trPr>
          <w:trHeight w:val="227"/>
        </w:trPr>
        <w:tc>
          <w:tcPr>
            <w:tcW w:w="697"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p>
        </w:tc>
        <w:tc>
          <w:tcPr>
            <w:tcW w:w="1413" w:type="pct"/>
            <w:gridSpan w:val="2"/>
            <w:vMerge/>
            <w:vAlign w:val="center"/>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p>
        </w:tc>
        <w:tc>
          <w:tcPr>
            <w:tcW w:w="1251" w:type="pct"/>
            <w:gridSpan w:val="2"/>
            <w:vAlign w:val="center"/>
          </w:tcPr>
          <w:p w:rsidR="00380814" w:rsidRPr="00A23AAE" w:rsidRDefault="00380814" w:rsidP="005C482F">
            <w:pPr>
              <w:spacing w:after="0" w:line="240" w:lineRule="auto"/>
              <w:ind w:right="71"/>
              <w:jc w:val="center"/>
              <w:rPr>
                <w:rFonts w:ascii="Times New Roman" w:eastAsia="Calibri" w:hAnsi="Times New Roman" w:cs="Times New Roman"/>
                <w:b/>
                <w:bCs/>
                <w:sz w:val="18"/>
                <w:szCs w:val="18"/>
                <w:lang w:eastAsia="lv-LV"/>
              </w:rPr>
            </w:pPr>
            <w:r w:rsidRPr="00A23AAE">
              <w:rPr>
                <w:rFonts w:ascii="Times New Roman" w:eastAsia="Calibri" w:hAnsi="Times New Roman" w:cs="Times New Roman"/>
                <w:b/>
                <w:bCs/>
                <w:sz w:val="18"/>
                <w:szCs w:val="18"/>
                <w:lang w:eastAsia="lv-LV"/>
              </w:rPr>
              <w:t>2021</w:t>
            </w:r>
          </w:p>
        </w:tc>
        <w:tc>
          <w:tcPr>
            <w:tcW w:w="1057" w:type="pct"/>
            <w:gridSpan w:val="2"/>
            <w:vAlign w:val="center"/>
          </w:tcPr>
          <w:p w:rsidR="00380814" w:rsidRPr="00A23AAE" w:rsidRDefault="00380814" w:rsidP="005C482F">
            <w:pPr>
              <w:spacing w:after="0" w:line="240" w:lineRule="auto"/>
              <w:ind w:right="71"/>
              <w:jc w:val="center"/>
              <w:rPr>
                <w:rFonts w:ascii="Times New Roman" w:eastAsia="Calibri" w:hAnsi="Times New Roman" w:cs="Times New Roman"/>
                <w:b/>
                <w:bCs/>
                <w:sz w:val="18"/>
                <w:szCs w:val="18"/>
                <w:lang w:eastAsia="lv-LV"/>
              </w:rPr>
            </w:pPr>
            <w:r w:rsidRPr="00A23AAE">
              <w:rPr>
                <w:rFonts w:ascii="Times New Roman" w:eastAsia="Calibri" w:hAnsi="Times New Roman" w:cs="Times New Roman"/>
                <w:b/>
                <w:bCs/>
                <w:sz w:val="18"/>
                <w:szCs w:val="18"/>
                <w:lang w:eastAsia="lv-LV"/>
              </w:rPr>
              <w:t>2022</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b/>
                <w:bCs/>
                <w:sz w:val="18"/>
                <w:szCs w:val="18"/>
                <w:lang w:eastAsia="lv-LV"/>
              </w:rPr>
              <w:t>2023</w:t>
            </w:r>
          </w:p>
        </w:tc>
      </w:tr>
      <w:tr w:rsidR="00380814" w:rsidRPr="00A23AAE" w:rsidTr="005C482F">
        <w:trPr>
          <w:trHeight w:val="227"/>
        </w:trPr>
        <w:tc>
          <w:tcPr>
            <w:tcW w:w="697"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p>
        </w:tc>
        <w:tc>
          <w:tcPr>
            <w:tcW w:w="712" w:type="pct"/>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valsts budžetu kārtējam gadam</w:t>
            </w:r>
          </w:p>
        </w:tc>
        <w:tc>
          <w:tcPr>
            <w:tcW w:w="701" w:type="pct"/>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izmaiņas kārtējā gadā, salīdzinot ar valsts budžetu kārtējam gadam</w:t>
            </w:r>
          </w:p>
        </w:tc>
        <w:tc>
          <w:tcPr>
            <w:tcW w:w="625" w:type="pct"/>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vidēja termiņa budžeta ietvaru</w:t>
            </w:r>
          </w:p>
        </w:tc>
        <w:tc>
          <w:tcPr>
            <w:tcW w:w="626" w:type="pct"/>
          </w:tcPr>
          <w:p w:rsidR="00380814" w:rsidRPr="00A23AAE" w:rsidRDefault="00380814" w:rsidP="005C482F">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rPr>
              <w:t>izmaiņas, salīdzinot ar vidēja termiņa budžeta ietvaru 2021. gadam</w:t>
            </w:r>
          </w:p>
        </w:tc>
        <w:tc>
          <w:tcPr>
            <w:tcW w:w="525" w:type="pct"/>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vidēja termiņa budžeta ietvaru</w:t>
            </w:r>
          </w:p>
        </w:tc>
        <w:tc>
          <w:tcPr>
            <w:tcW w:w="532" w:type="pct"/>
          </w:tcPr>
          <w:p w:rsidR="00380814" w:rsidRPr="00A23AAE" w:rsidRDefault="00380814" w:rsidP="005C482F">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rPr>
              <w:t>izmaiņas, salīdzinot ar vidēja termiņa budžeta ietvaru 2022. gadam</w:t>
            </w:r>
          </w:p>
        </w:tc>
        <w:tc>
          <w:tcPr>
            <w:tcW w:w="582" w:type="pct"/>
          </w:tcPr>
          <w:p w:rsidR="00380814" w:rsidRPr="00A23AAE" w:rsidRDefault="00380814" w:rsidP="005C482F">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izmaiņas, salīdzinot ar vidēja termiņa budžeta ietvaru 2022.gadam</w:t>
            </w:r>
          </w:p>
        </w:tc>
      </w:tr>
      <w:tr w:rsidR="00380814" w:rsidRPr="00A23AAE" w:rsidTr="005C482F">
        <w:trPr>
          <w:trHeight w:val="227"/>
        </w:trPr>
        <w:tc>
          <w:tcPr>
            <w:tcW w:w="697" w:type="pct"/>
            <w:vAlign w:val="center"/>
          </w:tcPr>
          <w:p w:rsidR="00380814" w:rsidRPr="00A23AAE" w:rsidRDefault="00380814" w:rsidP="005C482F">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1</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2</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3</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4</w:t>
            </w:r>
          </w:p>
        </w:tc>
        <w:tc>
          <w:tcPr>
            <w:tcW w:w="626" w:type="pct"/>
          </w:tcPr>
          <w:p w:rsidR="00380814" w:rsidRPr="00A23AAE" w:rsidRDefault="00380814" w:rsidP="005C482F">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5</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6</w:t>
            </w:r>
          </w:p>
        </w:tc>
        <w:tc>
          <w:tcPr>
            <w:tcW w:w="532" w:type="pct"/>
          </w:tcPr>
          <w:p w:rsidR="00380814" w:rsidRPr="00A23AAE" w:rsidRDefault="00380814" w:rsidP="005C482F">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7</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8</w:t>
            </w:r>
          </w:p>
        </w:tc>
      </w:tr>
      <w:tr w:rsidR="00380814" w:rsidRPr="00A23AAE" w:rsidTr="005C482F">
        <w:trPr>
          <w:trHeight w:val="456"/>
        </w:trPr>
        <w:tc>
          <w:tcPr>
            <w:tcW w:w="697" w:type="pct"/>
            <w:shd w:val="clear" w:color="auto" w:fill="BFBFBF" w:themeFill="background1" w:themeFillShade="BF"/>
          </w:tcPr>
          <w:p w:rsidR="00380814" w:rsidRPr="00A23AAE" w:rsidRDefault="00380814" w:rsidP="005C482F">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 Budžeta ieņēmumi:</w:t>
            </w:r>
          </w:p>
        </w:tc>
        <w:tc>
          <w:tcPr>
            <w:tcW w:w="712"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rsidR="00380814" w:rsidRPr="00A23AAE" w:rsidDel="009136B7"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rsidR="00380814" w:rsidRPr="00A23AAE" w:rsidDel="009136B7"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1437"/>
        </w:trPr>
        <w:tc>
          <w:tcPr>
            <w:tcW w:w="697" w:type="pct"/>
          </w:tcPr>
          <w:p w:rsidR="00380814" w:rsidRPr="00A23AAE" w:rsidRDefault="00380814" w:rsidP="005C482F">
            <w:pPr>
              <w:spacing w:after="0" w:line="240" w:lineRule="auto"/>
              <w:ind w:right="74"/>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lastRenderedPageBreak/>
              <w:t>1.1. valsts pamatbudžet, tai skaitā ieņēmumi no maksas pakalpojumiem un citi pašu ieņēmumi</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rsidR="00380814" w:rsidRPr="00A23AAE" w:rsidDel="009136B7"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rsidR="00380814" w:rsidRPr="00A23AAE" w:rsidDel="009136B7"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683"/>
        </w:trPr>
        <w:tc>
          <w:tcPr>
            <w:tcW w:w="697" w:type="pct"/>
          </w:tcPr>
          <w:p w:rsidR="00380814" w:rsidRPr="00A23AAE" w:rsidRDefault="00380814" w:rsidP="005C482F">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1.2. valsts speciālais budžets</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1.3. pašvaldību budžets</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44"/>
        </w:trPr>
        <w:tc>
          <w:tcPr>
            <w:tcW w:w="697" w:type="pct"/>
            <w:shd w:val="clear" w:color="auto" w:fill="BFBFBF" w:themeFill="background1" w:themeFillShade="BF"/>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 Budžeta izdevumi:</w:t>
            </w:r>
          </w:p>
        </w:tc>
        <w:tc>
          <w:tcPr>
            <w:tcW w:w="712"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2.1. valsts pamatbudžets</w:t>
            </w:r>
          </w:p>
          <w:p w:rsidR="00380814" w:rsidRPr="00A23AAE" w:rsidRDefault="00380814" w:rsidP="005C482F">
            <w:pPr>
              <w:spacing w:after="0" w:line="240" w:lineRule="auto"/>
              <w:ind w:right="71"/>
              <w:rPr>
                <w:rFonts w:ascii="Times New Roman" w:eastAsia="Calibri" w:hAnsi="Times New Roman" w:cs="Times New Roman"/>
                <w:sz w:val="18"/>
                <w:szCs w:val="18"/>
              </w:rPr>
            </w:pP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683"/>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2.2. valsts speciālais budžets</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2.3. pašvaldību budžets </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44"/>
        </w:trPr>
        <w:tc>
          <w:tcPr>
            <w:tcW w:w="697" w:type="pct"/>
            <w:shd w:val="clear" w:color="auto" w:fill="BFBFBF" w:themeFill="background1" w:themeFillShade="BF"/>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 Finansiālā ietekme:</w:t>
            </w:r>
          </w:p>
        </w:tc>
        <w:tc>
          <w:tcPr>
            <w:tcW w:w="712"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1"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6"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32"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shd w:val="clear" w:color="auto" w:fill="BFBFBF" w:themeFill="background1" w:themeFillShade="BF"/>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3.1. valsts pamatbudžets</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iCs/>
                <w:sz w:val="16"/>
                <w:szCs w:val="16"/>
              </w:rPr>
              <w:t>0</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iCs/>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3.2. speciālais budžets</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3.3. pašvaldību budžets </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6"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32"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1224"/>
        </w:trPr>
        <w:tc>
          <w:tcPr>
            <w:tcW w:w="697" w:type="pct"/>
          </w:tcPr>
          <w:p w:rsidR="00380814" w:rsidRPr="00A23AAE" w:rsidRDefault="00380814" w:rsidP="005C482F">
            <w:pPr>
              <w:spacing w:after="0" w:line="240" w:lineRule="auto"/>
              <w:ind w:right="74"/>
              <w:rPr>
                <w:rFonts w:ascii="Times New Roman" w:eastAsia="Calibri" w:hAnsi="Times New Roman" w:cs="Times New Roman"/>
                <w:sz w:val="18"/>
                <w:szCs w:val="18"/>
              </w:rPr>
            </w:pPr>
            <w:r w:rsidRPr="00A23AAE">
              <w:rPr>
                <w:rFonts w:ascii="Times New Roman" w:eastAsia="Calibri" w:hAnsi="Times New Roman" w:cs="Times New Roman"/>
                <w:sz w:val="18"/>
                <w:szCs w:val="18"/>
              </w:rPr>
              <w:t>4. Finanšu līdzekļi papildu izde</w:t>
            </w:r>
            <w:r w:rsidRPr="00A23AAE">
              <w:rPr>
                <w:rFonts w:ascii="Times New Roman" w:eastAsia="Calibri" w:hAnsi="Times New Roman" w:cs="Times New Roman"/>
                <w:sz w:val="18"/>
                <w:szCs w:val="18"/>
              </w:rPr>
              <w:softHyphen/>
              <w:t>vumu finansēšanai (kompensējošu izdevumu samazinājumu norāda ar "+" zīmi)</w:t>
            </w:r>
          </w:p>
        </w:tc>
        <w:tc>
          <w:tcPr>
            <w:tcW w:w="71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p w:rsidR="00380814" w:rsidRPr="00A23AAE" w:rsidRDefault="00380814" w:rsidP="005C482F">
            <w:pPr>
              <w:spacing w:after="0" w:line="240" w:lineRule="auto"/>
              <w:ind w:right="71"/>
              <w:jc w:val="center"/>
              <w:rPr>
                <w:rFonts w:ascii="Times New Roman" w:eastAsia="Calibri" w:hAnsi="Times New Roman" w:cs="Times New Roman"/>
                <w:sz w:val="16"/>
                <w:szCs w:val="16"/>
              </w:rPr>
            </w:pPr>
          </w:p>
        </w:tc>
        <w:tc>
          <w:tcPr>
            <w:tcW w:w="701" w:type="pct"/>
            <w:vAlign w:val="center"/>
          </w:tcPr>
          <w:p w:rsidR="00380814" w:rsidRPr="00A23AAE" w:rsidRDefault="00380814" w:rsidP="005C482F">
            <w:pPr>
              <w:spacing w:after="0" w:line="240" w:lineRule="auto"/>
              <w:ind w:right="74"/>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683"/>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 Precizēta finansiālā ietekme:</w:t>
            </w:r>
          </w:p>
        </w:tc>
        <w:tc>
          <w:tcPr>
            <w:tcW w:w="712" w:type="pct"/>
            <w:vMerge w:val="restar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restar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restar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5.1. valsts pamatbudžets</w:t>
            </w:r>
          </w:p>
        </w:tc>
        <w:tc>
          <w:tcPr>
            <w:tcW w:w="712"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5.2. speciālais budžets</w:t>
            </w:r>
          </w:p>
        </w:tc>
        <w:tc>
          <w:tcPr>
            <w:tcW w:w="712"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380814" w:rsidRPr="00A23AAE" w:rsidTr="005C482F">
        <w:trPr>
          <w:trHeight w:val="456"/>
        </w:trPr>
        <w:tc>
          <w:tcPr>
            <w:tcW w:w="697" w:type="pct"/>
          </w:tcPr>
          <w:p w:rsidR="00380814" w:rsidRPr="00A23AAE" w:rsidRDefault="00380814" w:rsidP="005C482F">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5.3. pašvaldību budžets </w:t>
            </w:r>
          </w:p>
        </w:tc>
        <w:tc>
          <w:tcPr>
            <w:tcW w:w="712"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lang w:eastAsia="lv-LV"/>
              </w:rPr>
            </w:pPr>
          </w:p>
        </w:tc>
        <w:tc>
          <w:tcPr>
            <w:tcW w:w="701"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5"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p>
        </w:tc>
        <w:tc>
          <w:tcPr>
            <w:tcW w:w="626"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25" w:type="pct"/>
            <w:vMerge/>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p>
        </w:tc>
        <w:tc>
          <w:tcPr>
            <w:tcW w:w="53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82" w:type="pct"/>
            <w:vAlign w:val="center"/>
          </w:tcPr>
          <w:p w:rsidR="00380814" w:rsidRPr="00A23AAE" w:rsidRDefault="00380814" w:rsidP="005C482F">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BC772F" w:rsidRPr="00BC772F" w:rsidTr="005C482F">
        <w:trPr>
          <w:trHeight w:val="70"/>
        </w:trPr>
        <w:tc>
          <w:tcPr>
            <w:tcW w:w="697" w:type="pct"/>
          </w:tcPr>
          <w:p w:rsidR="00380814" w:rsidRPr="00BC772F" w:rsidRDefault="00380814" w:rsidP="005C482F">
            <w:pPr>
              <w:spacing w:after="0" w:line="240" w:lineRule="auto"/>
              <w:ind w:right="71"/>
              <w:jc w:val="both"/>
              <w:rPr>
                <w:rFonts w:ascii="Times New Roman" w:eastAsia="Calibri" w:hAnsi="Times New Roman" w:cs="Times New Roman"/>
                <w:i/>
                <w:sz w:val="18"/>
                <w:szCs w:val="18"/>
              </w:rPr>
            </w:pPr>
            <w:r w:rsidRPr="00BC772F">
              <w:rPr>
                <w:rFonts w:ascii="Times New Roman" w:eastAsia="Calibri" w:hAnsi="Times New Roman" w:cs="Times New Roman"/>
                <w:sz w:val="18"/>
                <w:szCs w:val="18"/>
              </w:rPr>
              <w:t>6. Detalizēts ieņēmumu un izdevu</w:t>
            </w:r>
            <w:r w:rsidRPr="00BC772F">
              <w:rPr>
                <w:rFonts w:ascii="Times New Roman" w:eastAsia="Calibri" w:hAnsi="Times New Roman" w:cs="Times New Roman"/>
                <w:sz w:val="18"/>
                <w:szCs w:val="18"/>
              </w:rPr>
              <w:softHyphen/>
              <w:t xml:space="preserve">mu aprēķins (ja nepieciešams, detalizētu </w:t>
            </w:r>
            <w:r w:rsidRPr="00BC772F">
              <w:rPr>
                <w:rFonts w:ascii="Times New Roman" w:eastAsia="Calibri" w:hAnsi="Times New Roman" w:cs="Times New Roman"/>
                <w:sz w:val="18"/>
                <w:szCs w:val="18"/>
              </w:rPr>
              <w:lastRenderedPageBreak/>
              <w:t>ieņēmumu un izdevumu aprēķinu var pievienot anotācijas pielikumā):</w:t>
            </w:r>
          </w:p>
        </w:tc>
        <w:tc>
          <w:tcPr>
            <w:tcW w:w="4303" w:type="pct"/>
            <w:gridSpan w:val="7"/>
            <w:vMerge w:val="restart"/>
          </w:tcPr>
          <w:p w:rsidR="00380814" w:rsidRPr="00BC772F" w:rsidRDefault="00380814" w:rsidP="005C482F">
            <w:pPr>
              <w:tabs>
                <w:tab w:val="left" w:pos="4644"/>
              </w:tabs>
              <w:spacing w:after="0" w:line="240" w:lineRule="auto"/>
              <w:ind w:right="71"/>
              <w:jc w:val="both"/>
              <w:rPr>
                <w:rFonts w:ascii="Times New Roman" w:eastAsia="Calibri" w:hAnsi="Times New Roman" w:cs="Times New Roman"/>
                <w:iCs/>
                <w:sz w:val="18"/>
                <w:szCs w:val="18"/>
              </w:rPr>
            </w:pPr>
          </w:p>
          <w:p w:rsidR="00380814" w:rsidRPr="00BC772F" w:rsidRDefault="00380814" w:rsidP="00380814">
            <w:pPr>
              <w:spacing w:after="0" w:line="240" w:lineRule="auto"/>
              <w:jc w:val="both"/>
              <w:rPr>
                <w:rFonts w:ascii="Times New Roman" w:eastAsia="Times New Roman" w:hAnsi="Times New Roman" w:cs="Times New Roman"/>
                <w:iCs/>
                <w:sz w:val="20"/>
                <w:szCs w:val="16"/>
                <w:lang w:eastAsia="lv-LV"/>
              </w:rPr>
            </w:pPr>
            <w:r w:rsidRPr="00BC772F">
              <w:rPr>
                <w:rFonts w:ascii="Times New Roman" w:eastAsia="Times New Roman" w:hAnsi="Times New Roman" w:cs="Times New Roman"/>
                <w:b/>
                <w:iCs/>
                <w:sz w:val="20"/>
                <w:szCs w:val="16"/>
                <w:lang w:eastAsia="lv-LV"/>
              </w:rPr>
              <w:t>Izdevumu palielinājums</w:t>
            </w:r>
            <w:r w:rsidRPr="00BC772F">
              <w:rPr>
                <w:rFonts w:ascii="Times New Roman" w:eastAsia="Times New Roman" w:hAnsi="Times New Roman" w:cs="Times New Roman"/>
                <w:iCs/>
                <w:sz w:val="20"/>
                <w:szCs w:val="16"/>
                <w:lang w:eastAsia="lv-LV"/>
              </w:rPr>
              <w:t xml:space="preserve"> valsts sociālās apdrošināšanas speciālajā budžetā, lai nodrošinātu </w:t>
            </w:r>
            <w:r w:rsidR="00B03B77" w:rsidRPr="00BC772F">
              <w:rPr>
                <w:rFonts w:ascii="Times New Roman" w:eastAsia="Times New Roman" w:hAnsi="Times New Roman" w:cs="Times New Roman"/>
                <w:iCs/>
                <w:sz w:val="20"/>
                <w:szCs w:val="16"/>
                <w:lang w:eastAsia="lv-LV"/>
              </w:rPr>
              <w:t>kaitējuma atlīdzību sakarā ar nelaimes gadījumu darbā vai konstatēto arodslimību un kurām darbspēju zaudējums noteikts bez invaliditātes grupas piešķiršanas, paaugstināšanu</w:t>
            </w:r>
            <w:r w:rsidRPr="00BC772F">
              <w:rPr>
                <w:rFonts w:ascii="Times New Roman" w:eastAsia="Times New Roman" w:hAnsi="Times New Roman" w:cs="Times New Roman"/>
                <w:iCs/>
                <w:sz w:val="20"/>
                <w:szCs w:val="16"/>
                <w:lang w:eastAsia="lv-LV"/>
              </w:rPr>
              <w:t>:</w:t>
            </w:r>
          </w:p>
          <w:p w:rsidR="00380814" w:rsidRPr="00BC772F" w:rsidRDefault="00380814" w:rsidP="00380814">
            <w:pPr>
              <w:spacing w:after="0" w:line="240" w:lineRule="auto"/>
              <w:jc w:val="both"/>
              <w:rPr>
                <w:rFonts w:ascii="Times New Roman" w:eastAsia="Times New Roman" w:hAnsi="Times New Roman" w:cs="Times New Roman"/>
                <w:iCs/>
                <w:sz w:val="20"/>
                <w:szCs w:val="16"/>
                <w:lang w:eastAsia="lv-LV"/>
              </w:rPr>
            </w:pPr>
          </w:p>
          <w:tbl>
            <w:tblPr>
              <w:tblW w:w="807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66"/>
              <w:gridCol w:w="705"/>
              <w:gridCol w:w="763"/>
              <w:gridCol w:w="656"/>
              <w:gridCol w:w="794"/>
              <w:gridCol w:w="794"/>
              <w:gridCol w:w="14"/>
              <w:gridCol w:w="662"/>
              <w:gridCol w:w="713"/>
              <w:gridCol w:w="850"/>
            </w:tblGrid>
            <w:tr w:rsidR="00BC772F" w:rsidRPr="00BC772F" w:rsidTr="005C482F">
              <w:trPr>
                <w:trHeight w:val="20"/>
              </w:trPr>
              <w:tc>
                <w:tcPr>
                  <w:tcW w:w="1553" w:type="dxa"/>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p>
              </w:tc>
              <w:tc>
                <w:tcPr>
                  <w:tcW w:w="2034" w:type="dxa"/>
                  <w:gridSpan w:val="3"/>
                  <w:vAlign w:val="center"/>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r w:rsidRPr="00BC772F">
                    <w:rPr>
                      <w:rFonts w:eastAsia="Times New Roman" w:cstheme="minorHAnsi"/>
                      <w:sz w:val="12"/>
                      <w:szCs w:val="16"/>
                      <w:lang w:eastAsia="lv-LV"/>
                    </w:rPr>
                    <w:t>2021.gads</w:t>
                  </w:r>
                </w:p>
              </w:tc>
              <w:tc>
                <w:tcPr>
                  <w:tcW w:w="2258" w:type="dxa"/>
                  <w:gridSpan w:val="4"/>
                  <w:shd w:val="clear" w:color="auto" w:fill="auto"/>
                  <w:vAlign w:val="center"/>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r w:rsidRPr="00BC772F">
                    <w:rPr>
                      <w:rFonts w:eastAsia="Times New Roman" w:cstheme="minorHAnsi"/>
                      <w:sz w:val="12"/>
                      <w:szCs w:val="16"/>
                      <w:lang w:eastAsia="lv-LV"/>
                    </w:rPr>
                    <w:t>2022.gads</w:t>
                  </w:r>
                </w:p>
              </w:tc>
              <w:tc>
                <w:tcPr>
                  <w:tcW w:w="2225" w:type="dxa"/>
                  <w:gridSpan w:val="3"/>
                  <w:shd w:val="clear" w:color="auto" w:fill="auto"/>
                  <w:vAlign w:val="center"/>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r w:rsidRPr="00BC772F">
                    <w:rPr>
                      <w:rFonts w:eastAsia="Times New Roman" w:cstheme="minorHAnsi"/>
                      <w:sz w:val="12"/>
                      <w:szCs w:val="16"/>
                      <w:lang w:eastAsia="lv-LV"/>
                    </w:rPr>
                    <w:t>2023.gads</w:t>
                  </w:r>
                </w:p>
              </w:tc>
            </w:tr>
            <w:tr w:rsidR="00BC772F" w:rsidRPr="00BC772F" w:rsidTr="005C482F">
              <w:trPr>
                <w:trHeight w:val="20"/>
              </w:trPr>
              <w:tc>
                <w:tcPr>
                  <w:tcW w:w="1553" w:type="dxa"/>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2"/>
                      <w:szCs w:val="16"/>
                      <w:lang w:eastAsia="lv-LV"/>
                    </w:rPr>
                  </w:pPr>
                </w:p>
              </w:tc>
              <w:tc>
                <w:tcPr>
                  <w:tcW w:w="566" w:type="dxa"/>
                  <w:vAlign w:val="center"/>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Skaits*, vidēji mēnesī</w:t>
                  </w:r>
                </w:p>
              </w:tc>
              <w:tc>
                <w:tcPr>
                  <w:tcW w:w="705" w:type="dxa"/>
                  <w:shd w:val="clear" w:color="auto" w:fill="auto"/>
                  <w:vAlign w:val="center"/>
                  <w:hideMark/>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 xml:space="preserve">Vidējais apmēra palielinājums*, </w:t>
                  </w:r>
                  <w:proofErr w:type="spellStart"/>
                  <w:r w:rsidRPr="00BC772F">
                    <w:rPr>
                      <w:rFonts w:eastAsia="Times New Roman" w:cstheme="minorHAnsi"/>
                      <w:i/>
                      <w:sz w:val="10"/>
                      <w:szCs w:val="16"/>
                      <w:lang w:eastAsia="lv-LV"/>
                    </w:rPr>
                    <w:t>euro</w:t>
                  </w:r>
                  <w:proofErr w:type="spellEnd"/>
                </w:p>
              </w:tc>
              <w:tc>
                <w:tcPr>
                  <w:tcW w:w="763" w:type="dxa"/>
                  <w:shd w:val="clear" w:color="000000" w:fill="D9D9D9"/>
                  <w:vAlign w:val="center"/>
                  <w:hideMark/>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 xml:space="preserve">Izdevumu palielinājums gadā, </w:t>
                  </w:r>
                  <w:proofErr w:type="spellStart"/>
                  <w:r w:rsidRPr="00BC772F">
                    <w:rPr>
                      <w:rFonts w:eastAsia="Times New Roman" w:cstheme="minorHAnsi"/>
                      <w:i/>
                      <w:sz w:val="10"/>
                      <w:szCs w:val="16"/>
                      <w:lang w:eastAsia="lv-LV"/>
                    </w:rPr>
                    <w:t>euro</w:t>
                  </w:r>
                  <w:proofErr w:type="spellEnd"/>
                </w:p>
              </w:tc>
              <w:tc>
                <w:tcPr>
                  <w:tcW w:w="656" w:type="dxa"/>
                  <w:shd w:val="clear" w:color="auto" w:fill="auto"/>
                  <w:vAlign w:val="center"/>
                  <w:hideMark/>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Skaits*, vidēji mēnesī</w:t>
                  </w:r>
                </w:p>
              </w:tc>
              <w:tc>
                <w:tcPr>
                  <w:tcW w:w="794" w:type="dxa"/>
                  <w:shd w:val="clear" w:color="auto" w:fill="auto"/>
                  <w:vAlign w:val="center"/>
                  <w:hideMark/>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Vidējais apmēra palielinājums, *</w:t>
                  </w:r>
                  <w:proofErr w:type="spellStart"/>
                  <w:r w:rsidRPr="00BC772F">
                    <w:rPr>
                      <w:rFonts w:eastAsia="Times New Roman" w:cstheme="minorHAnsi"/>
                      <w:i/>
                      <w:sz w:val="10"/>
                      <w:szCs w:val="16"/>
                      <w:lang w:eastAsia="lv-LV"/>
                    </w:rPr>
                    <w:t>euro</w:t>
                  </w:r>
                  <w:proofErr w:type="spellEnd"/>
                </w:p>
              </w:tc>
              <w:tc>
                <w:tcPr>
                  <w:tcW w:w="794" w:type="dxa"/>
                  <w:shd w:val="clear" w:color="000000" w:fill="D9D9D9"/>
                  <w:vAlign w:val="center"/>
                  <w:hideMark/>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 xml:space="preserve">Izdevumu palielinājums gadā, </w:t>
                  </w:r>
                  <w:proofErr w:type="spellStart"/>
                  <w:r w:rsidRPr="00BC772F">
                    <w:rPr>
                      <w:rFonts w:eastAsia="Times New Roman" w:cstheme="minorHAnsi"/>
                      <w:i/>
                      <w:sz w:val="10"/>
                      <w:szCs w:val="16"/>
                      <w:lang w:eastAsia="lv-LV"/>
                    </w:rPr>
                    <w:t>euro</w:t>
                  </w:r>
                  <w:proofErr w:type="spellEnd"/>
                </w:p>
              </w:tc>
              <w:tc>
                <w:tcPr>
                  <w:tcW w:w="676" w:type="dxa"/>
                  <w:gridSpan w:val="2"/>
                  <w:shd w:val="clear" w:color="auto" w:fill="auto"/>
                  <w:vAlign w:val="center"/>
                  <w:hideMark/>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Skaits*, vidēji mēnesī</w:t>
                  </w:r>
                </w:p>
              </w:tc>
              <w:tc>
                <w:tcPr>
                  <w:tcW w:w="713" w:type="dxa"/>
                  <w:shd w:val="clear" w:color="auto" w:fill="auto"/>
                  <w:vAlign w:val="center"/>
                  <w:hideMark/>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Vidējais apmēra palielinājums, *</w:t>
                  </w:r>
                  <w:proofErr w:type="spellStart"/>
                  <w:r w:rsidRPr="00BC772F">
                    <w:rPr>
                      <w:rFonts w:eastAsia="Times New Roman" w:cstheme="minorHAnsi"/>
                      <w:i/>
                      <w:sz w:val="10"/>
                      <w:szCs w:val="16"/>
                      <w:lang w:eastAsia="lv-LV"/>
                    </w:rPr>
                    <w:t>euro</w:t>
                  </w:r>
                  <w:proofErr w:type="spellEnd"/>
                </w:p>
              </w:tc>
              <w:tc>
                <w:tcPr>
                  <w:tcW w:w="850" w:type="dxa"/>
                  <w:shd w:val="clear" w:color="000000" w:fill="D9D9D9"/>
                  <w:vAlign w:val="center"/>
                  <w:hideMark/>
                </w:tcPr>
                <w:p w:rsidR="00380814" w:rsidRPr="00BC772F" w:rsidRDefault="00380814" w:rsidP="006F02B8">
                  <w:pPr>
                    <w:framePr w:hSpace="180" w:wrap="around" w:vAnchor="text" w:hAnchor="text" w:xAlign="right" w:y="1"/>
                    <w:spacing w:after="0" w:line="240" w:lineRule="auto"/>
                    <w:ind w:left="-110"/>
                    <w:suppressOverlap/>
                    <w:jc w:val="center"/>
                    <w:rPr>
                      <w:rFonts w:eastAsia="Times New Roman" w:cstheme="minorHAnsi"/>
                      <w:sz w:val="10"/>
                      <w:szCs w:val="16"/>
                      <w:lang w:eastAsia="lv-LV"/>
                    </w:rPr>
                  </w:pPr>
                  <w:r w:rsidRPr="00BC772F">
                    <w:rPr>
                      <w:rFonts w:eastAsia="Times New Roman" w:cstheme="minorHAnsi"/>
                      <w:sz w:val="10"/>
                      <w:szCs w:val="16"/>
                      <w:lang w:eastAsia="lv-LV"/>
                    </w:rPr>
                    <w:t xml:space="preserve">Izdevumu palielinājums gadā, </w:t>
                  </w:r>
                  <w:proofErr w:type="spellStart"/>
                  <w:r w:rsidRPr="00BC772F">
                    <w:rPr>
                      <w:rFonts w:eastAsia="Times New Roman" w:cstheme="minorHAnsi"/>
                      <w:i/>
                      <w:sz w:val="10"/>
                      <w:szCs w:val="16"/>
                      <w:lang w:eastAsia="lv-LV"/>
                    </w:rPr>
                    <w:t>euro</w:t>
                  </w:r>
                  <w:proofErr w:type="spellEnd"/>
                </w:p>
              </w:tc>
            </w:tr>
            <w:tr w:rsidR="00BC772F" w:rsidRPr="00BC772F" w:rsidTr="005C482F">
              <w:trPr>
                <w:trHeight w:val="20"/>
              </w:trPr>
              <w:tc>
                <w:tcPr>
                  <w:tcW w:w="8070" w:type="dxa"/>
                  <w:gridSpan w:val="11"/>
                  <w:tcBorders>
                    <w:right w:val="single" w:sz="4" w:space="0" w:color="auto"/>
                  </w:tcBorders>
                  <w:vAlign w:val="center"/>
                </w:tcPr>
                <w:p w:rsidR="00380814" w:rsidRPr="00BC772F" w:rsidRDefault="00380814" w:rsidP="006F02B8">
                  <w:pPr>
                    <w:framePr w:hSpace="180" w:wrap="around" w:vAnchor="text" w:hAnchor="text" w:xAlign="right" w:y="1"/>
                    <w:spacing w:before="100" w:beforeAutospacing="1" w:after="100" w:afterAutospacing="1"/>
                    <w:suppressOverlap/>
                    <w:rPr>
                      <w:rFonts w:asciiTheme="majorHAnsi" w:hAnsiTheme="majorHAnsi" w:cstheme="majorHAnsi"/>
                      <w:sz w:val="12"/>
                    </w:rPr>
                  </w:pPr>
                  <w:r w:rsidRPr="00BC772F">
                    <w:rPr>
                      <w:rFonts w:eastAsia="Times New Roman" w:cstheme="minorHAnsi"/>
                      <w:sz w:val="12"/>
                      <w:szCs w:val="16"/>
                      <w:lang w:eastAsia="lv-LV"/>
                    </w:rPr>
                    <w:t>apakšprogrammai 04.04.00 “Invaliditātes, maternitātes un slimības speciālais budžets”:</w:t>
                  </w:r>
                </w:p>
              </w:tc>
            </w:tr>
            <w:tr w:rsidR="00BC772F" w:rsidRPr="00BC772F" w:rsidTr="005C482F">
              <w:trPr>
                <w:trHeight w:val="20"/>
              </w:trPr>
              <w:tc>
                <w:tcPr>
                  <w:tcW w:w="1553" w:type="dxa"/>
                  <w:vAlign w:val="center"/>
                </w:tcPr>
                <w:p w:rsidR="00380814" w:rsidRPr="00BC772F" w:rsidRDefault="00380814" w:rsidP="006F02B8">
                  <w:pPr>
                    <w:framePr w:hSpace="180" w:wrap="around" w:vAnchor="text" w:hAnchor="text" w:xAlign="right" w:y="1"/>
                    <w:spacing w:after="0" w:line="240" w:lineRule="auto"/>
                    <w:suppressOverlap/>
                    <w:rPr>
                      <w:rFonts w:eastAsia="Times New Roman" w:cstheme="minorHAnsi"/>
                      <w:sz w:val="12"/>
                      <w:szCs w:val="16"/>
                      <w:lang w:eastAsia="lv-LV"/>
                    </w:rPr>
                  </w:pPr>
                  <w:r w:rsidRPr="00BC772F">
                    <w:rPr>
                      <w:rFonts w:eastAsia="Times New Roman" w:cstheme="minorHAnsi"/>
                      <w:sz w:val="12"/>
                      <w:szCs w:val="16"/>
                      <w:lang w:eastAsia="lv-LV"/>
                    </w:rPr>
                    <w:t>Darbā nodarītā kaitējuma atlīdzība</w:t>
                  </w:r>
                </w:p>
              </w:tc>
              <w:tc>
                <w:tcPr>
                  <w:tcW w:w="566" w:type="dxa"/>
                  <w:tcBorders>
                    <w:top w:val="single" w:sz="4" w:space="0" w:color="auto"/>
                    <w:left w:val="single" w:sz="4" w:space="0" w:color="auto"/>
                    <w:bottom w:val="single" w:sz="4" w:space="0" w:color="auto"/>
                    <w:right w:val="nil"/>
                  </w:tcBorders>
                  <w:shd w:val="clear" w:color="auto" w:fill="auto"/>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666</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51.87</w:t>
                  </w:r>
                </w:p>
              </w:tc>
              <w:tc>
                <w:tcPr>
                  <w:tcW w:w="763" w:type="dxa"/>
                  <w:tcBorders>
                    <w:top w:val="single" w:sz="4" w:space="0" w:color="auto"/>
                    <w:left w:val="nil"/>
                    <w:bottom w:val="single" w:sz="4" w:space="0" w:color="auto"/>
                    <w:right w:val="single" w:sz="4" w:space="0" w:color="auto"/>
                  </w:tcBorders>
                  <w:shd w:val="clear" w:color="000000" w:fill="D9D9D9"/>
                  <w:noWrap/>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414 525</w:t>
                  </w:r>
                </w:p>
              </w:tc>
              <w:tc>
                <w:tcPr>
                  <w:tcW w:w="656" w:type="dxa"/>
                  <w:tcBorders>
                    <w:top w:val="single" w:sz="4" w:space="0" w:color="auto"/>
                    <w:left w:val="nil"/>
                    <w:bottom w:val="single" w:sz="4" w:space="0" w:color="auto"/>
                    <w:right w:val="nil"/>
                  </w:tcBorders>
                  <w:shd w:val="clear" w:color="auto" w:fill="auto"/>
                  <w:noWrap/>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666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51.87</w:t>
                  </w:r>
                </w:p>
              </w:tc>
              <w:tc>
                <w:tcPr>
                  <w:tcW w:w="794" w:type="dxa"/>
                  <w:tcBorders>
                    <w:top w:val="single" w:sz="4" w:space="0" w:color="auto"/>
                    <w:left w:val="nil"/>
                    <w:bottom w:val="single" w:sz="4" w:space="0" w:color="auto"/>
                    <w:right w:val="single" w:sz="4" w:space="0" w:color="auto"/>
                  </w:tcBorders>
                  <w:shd w:val="clear" w:color="000000" w:fill="D9D9D9"/>
                  <w:noWrap/>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414 525</w:t>
                  </w:r>
                </w:p>
              </w:tc>
              <w:tc>
                <w:tcPr>
                  <w:tcW w:w="676" w:type="dxa"/>
                  <w:gridSpan w:val="2"/>
                  <w:tcBorders>
                    <w:top w:val="single" w:sz="4" w:space="0" w:color="auto"/>
                    <w:left w:val="nil"/>
                    <w:bottom w:val="single" w:sz="4" w:space="0" w:color="auto"/>
                    <w:right w:val="nil"/>
                  </w:tcBorders>
                  <w:shd w:val="clear" w:color="auto" w:fill="auto"/>
                  <w:noWrap/>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666</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51.87</w:t>
                  </w:r>
                </w:p>
              </w:tc>
              <w:tc>
                <w:tcPr>
                  <w:tcW w:w="850" w:type="dxa"/>
                  <w:tcBorders>
                    <w:top w:val="single" w:sz="4" w:space="0" w:color="auto"/>
                    <w:left w:val="nil"/>
                    <w:bottom w:val="single" w:sz="4" w:space="0" w:color="auto"/>
                    <w:right w:val="single" w:sz="4" w:space="0" w:color="auto"/>
                  </w:tcBorders>
                  <w:shd w:val="clear" w:color="000000" w:fill="D9D9D9"/>
                  <w:noWrap/>
                  <w:vAlign w:val="center"/>
                </w:tcPr>
                <w:p w:rsidR="00380814" w:rsidRPr="00BC772F" w:rsidRDefault="00380814" w:rsidP="006F02B8">
                  <w:pPr>
                    <w:framePr w:hSpace="180" w:wrap="around" w:vAnchor="text" w:hAnchor="text" w:xAlign="right" w:y="1"/>
                    <w:spacing w:before="100" w:beforeAutospacing="1" w:after="100" w:afterAutospacing="1"/>
                    <w:suppressOverlap/>
                    <w:jc w:val="center"/>
                    <w:rPr>
                      <w:rFonts w:asciiTheme="majorHAnsi" w:hAnsiTheme="majorHAnsi" w:cstheme="majorHAnsi"/>
                      <w:sz w:val="12"/>
                    </w:rPr>
                  </w:pPr>
                  <w:r w:rsidRPr="00BC772F">
                    <w:rPr>
                      <w:rFonts w:asciiTheme="majorHAnsi" w:hAnsiTheme="majorHAnsi" w:cstheme="majorHAnsi"/>
                      <w:sz w:val="12"/>
                    </w:rPr>
                    <w:t>414 525</w:t>
                  </w:r>
                </w:p>
              </w:tc>
            </w:tr>
          </w:tbl>
          <w:p w:rsidR="00380814" w:rsidRPr="00BC772F" w:rsidRDefault="00380814" w:rsidP="00380814">
            <w:pPr>
              <w:spacing w:after="0" w:line="240" w:lineRule="auto"/>
              <w:jc w:val="both"/>
              <w:rPr>
                <w:rFonts w:ascii="Times New Roman" w:eastAsia="Times New Roman" w:hAnsi="Times New Roman" w:cs="Times New Roman"/>
                <w:i/>
                <w:iCs/>
                <w:sz w:val="14"/>
                <w:szCs w:val="16"/>
                <w:lang w:eastAsia="lv-LV"/>
              </w:rPr>
            </w:pPr>
            <w:r w:rsidRPr="00BC772F">
              <w:rPr>
                <w:rFonts w:ascii="Times New Roman" w:eastAsia="Times New Roman" w:hAnsi="Times New Roman" w:cs="Times New Roman"/>
                <w:i/>
                <w:iCs/>
                <w:sz w:val="14"/>
                <w:szCs w:val="16"/>
                <w:lang w:eastAsia="lv-LV"/>
              </w:rPr>
              <w:t xml:space="preserve">*ņemta vērā VSAA statistika par pakalpojumu saņēmējiem, kuru apmērs ir līdz jaunajam minimumam, to vidējiem apmēriem, īpatsvars pielīdzināts budžeta bāzes kontingentam; ņemta vērā esošā statistika par pakalpojumu saņēmējiem, kuru apmērs pārsniedz esošo </w:t>
            </w:r>
            <w:proofErr w:type="spellStart"/>
            <w:r w:rsidRPr="00BC772F">
              <w:rPr>
                <w:rFonts w:ascii="Times New Roman" w:eastAsia="Times New Roman" w:hAnsi="Times New Roman" w:cs="Times New Roman"/>
                <w:i/>
                <w:iCs/>
                <w:sz w:val="14"/>
                <w:szCs w:val="16"/>
                <w:lang w:eastAsia="lv-LV"/>
              </w:rPr>
              <w:t>divdesmitpieckāršu</w:t>
            </w:r>
            <w:proofErr w:type="spellEnd"/>
            <w:r w:rsidRPr="00BC772F">
              <w:rPr>
                <w:rFonts w:ascii="Times New Roman" w:eastAsia="Times New Roman" w:hAnsi="Times New Roman" w:cs="Times New Roman"/>
                <w:i/>
                <w:iCs/>
                <w:sz w:val="14"/>
                <w:szCs w:val="16"/>
                <w:lang w:eastAsia="lv-LV"/>
              </w:rPr>
              <w:t xml:space="preserve"> valsts sociālā nodrošinājuma pabalstu, un to vidējiem apmēriem; kā arī izmantoti dati par apgādājamo skaitu, kuriem pakalpojuma apmērs ir līdz jaunajam minimumam, un to vidējiem apmēriem.</w:t>
            </w:r>
          </w:p>
          <w:p w:rsidR="00380814" w:rsidRPr="00BC772F" w:rsidRDefault="00380814" w:rsidP="00380814">
            <w:pPr>
              <w:spacing w:after="0" w:line="240" w:lineRule="auto"/>
              <w:jc w:val="both"/>
              <w:rPr>
                <w:rFonts w:ascii="Times New Roman" w:eastAsia="Times New Roman" w:hAnsi="Times New Roman" w:cs="Times New Roman"/>
                <w:i/>
                <w:iCs/>
                <w:sz w:val="14"/>
                <w:szCs w:val="16"/>
                <w:lang w:eastAsia="lv-LV"/>
              </w:rPr>
            </w:pPr>
          </w:p>
          <w:p w:rsidR="00380814" w:rsidRPr="00BC772F" w:rsidRDefault="00160C8B" w:rsidP="005C482F">
            <w:pPr>
              <w:spacing w:after="0" w:line="240" w:lineRule="auto"/>
              <w:jc w:val="both"/>
              <w:rPr>
                <w:rFonts w:ascii="Times New Roman" w:eastAsia="Times New Roman" w:hAnsi="Times New Roman" w:cs="Times New Roman"/>
                <w:iCs/>
                <w:sz w:val="20"/>
                <w:szCs w:val="16"/>
                <w:lang w:eastAsia="lv-LV"/>
              </w:rPr>
            </w:pPr>
            <w:r w:rsidRPr="00BC772F">
              <w:rPr>
                <w:rFonts w:ascii="Times New Roman" w:eastAsia="Times New Roman" w:hAnsi="Times New Roman" w:cs="Times New Roman"/>
                <w:iCs/>
                <w:sz w:val="20"/>
                <w:szCs w:val="16"/>
                <w:lang w:eastAsia="lv-LV"/>
              </w:rPr>
              <w:t>L</w:t>
            </w:r>
            <w:r w:rsidR="00B03B77" w:rsidRPr="00BC772F">
              <w:rPr>
                <w:rFonts w:ascii="Times New Roman" w:eastAsia="Times New Roman" w:hAnsi="Times New Roman" w:cs="Times New Roman"/>
                <w:iCs/>
                <w:sz w:val="20"/>
                <w:szCs w:val="16"/>
                <w:lang w:eastAsia="lv-LV"/>
              </w:rPr>
              <w:t xml:space="preserve">ai nodrošinātu pakalpojuma izmaksu minimālā apmērā, </w:t>
            </w:r>
            <w:r w:rsidRPr="00BC772F">
              <w:rPr>
                <w:rFonts w:ascii="Times New Roman" w:eastAsia="Times New Roman" w:hAnsi="Times New Roman" w:cs="Times New Roman"/>
                <w:iCs/>
                <w:sz w:val="20"/>
                <w:szCs w:val="16"/>
                <w:lang w:eastAsia="lv-LV"/>
              </w:rPr>
              <w:t xml:space="preserve">kas nav uz sociālās apdrošināšanas speciālo budžetu attiecināmie izdevumi, </w:t>
            </w:r>
            <w:r w:rsidR="00B03B77" w:rsidRPr="00BC772F">
              <w:rPr>
                <w:rFonts w:ascii="Times New Roman" w:eastAsia="Times New Roman" w:hAnsi="Times New Roman" w:cs="Times New Roman"/>
                <w:iCs/>
                <w:sz w:val="20"/>
                <w:szCs w:val="16"/>
                <w:lang w:eastAsia="lv-LV"/>
              </w:rPr>
              <w:t>iztrūkstoš</w:t>
            </w:r>
            <w:r w:rsidRPr="00BC772F">
              <w:rPr>
                <w:rFonts w:ascii="Times New Roman" w:eastAsia="Times New Roman" w:hAnsi="Times New Roman" w:cs="Times New Roman"/>
                <w:iCs/>
                <w:sz w:val="20"/>
                <w:szCs w:val="16"/>
                <w:lang w:eastAsia="lv-LV"/>
              </w:rPr>
              <w:t>ā</w:t>
            </w:r>
            <w:r w:rsidR="00B03B77" w:rsidRPr="00BC772F">
              <w:rPr>
                <w:rFonts w:ascii="Times New Roman" w:eastAsia="Times New Roman" w:hAnsi="Times New Roman" w:cs="Times New Roman"/>
                <w:iCs/>
                <w:sz w:val="20"/>
                <w:szCs w:val="16"/>
                <w:lang w:eastAsia="lv-LV"/>
              </w:rPr>
              <w:t xml:space="preserve"> starpīb</w:t>
            </w:r>
            <w:r w:rsidRPr="00BC772F">
              <w:rPr>
                <w:rFonts w:ascii="Times New Roman" w:eastAsia="Times New Roman" w:hAnsi="Times New Roman" w:cs="Times New Roman"/>
                <w:iCs/>
                <w:sz w:val="20"/>
                <w:szCs w:val="16"/>
                <w:lang w:eastAsia="lv-LV"/>
              </w:rPr>
              <w:t>a</w:t>
            </w:r>
            <w:r w:rsidR="00B03B77" w:rsidRPr="00BC772F">
              <w:rPr>
                <w:rFonts w:ascii="Times New Roman" w:eastAsia="Times New Roman" w:hAnsi="Times New Roman" w:cs="Times New Roman"/>
                <w:iCs/>
                <w:sz w:val="20"/>
                <w:szCs w:val="16"/>
                <w:lang w:eastAsia="lv-LV"/>
              </w:rPr>
              <w:t xml:space="preserve"> līdz jaunajam minimumam </w:t>
            </w:r>
            <w:r w:rsidRPr="00BC772F">
              <w:rPr>
                <w:rFonts w:ascii="Times New Roman" w:eastAsia="Times New Roman" w:hAnsi="Times New Roman" w:cs="Times New Roman"/>
                <w:iCs/>
                <w:sz w:val="20"/>
                <w:szCs w:val="16"/>
                <w:lang w:eastAsia="lv-LV"/>
              </w:rPr>
              <w:t>tiks izmaksāta</w:t>
            </w:r>
            <w:r w:rsidR="00B03B77" w:rsidRPr="00BC772F">
              <w:rPr>
                <w:rFonts w:ascii="Times New Roman" w:eastAsia="Times New Roman" w:hAnsi="Times New Roman" w:cs="Times New Roman"/>
                <w:iCs/>
                <w:sz w:val="20"/>
                <w:szCs w:val="16"/>
                <w:lang w:eastAsia="lv-LV"/>
              </w:rPr>
              <w:t xml:space="preserve"> no LM pamatbudžeta programmas 04.00.00 “Valsts atbalsts sociālajai apdrošināšanai”.</w:t>
            </w:r>
          </w:p>
          <w:p w:rsidR="00B03B77" w:rsidRPr="00BC772F" w:rsidRDefault="00B03B77" w:rsidP="005C482F">
            <w:pPr>
              <w:spacing w:after="0" w:line="240" w:lineRule="auto"/>
              <w:jc w:val="both"/>
              <w:rPr>
                <w:rFonts w:ascii="Times New Roman" w:eastAsia="Times New Roman" w:hAnsi="Times New Roman" w:cs="Times New Roman"/>
                <w:iCs/>
                <w:sz w:val="20"/>
                <w:szCs w:val="16"/>
                <w:lang w:eastAsia="lv-LV"/>
              </w:rPr>
            </w:pPr>
          </w:p>
          <w:p w:rsidR="00380814" w:rsidRPr="00BC772F" w:rsidRDefault="00380814" w:rsidP="005C482F">
            <w:pPr>
              <w:spacing w:after="0" w:line="240" w:lineRule="auto"/>
              <w:jc w:val="both"/>
              <w:rPr>
                <w:rFonts w:ascii="Times New Roman" w:eastAsia="Times New Roman" w:hAnsi="Times New Roman" w:cs="Times New Roman"/>
                <w:iCs/>
                <w:sz w:val="20"/>
                <w:szCs w:val="16"/>
                <w:lang w:eastAsia="lv-LV"/>
              </w:rPr>
            </w:pPr>
            <w:r w:rsidRPr="00BC772F">
              <w:rPr>
                <w:rFonts w:ascii="Times New Roman" w:eastAsia="Times New Roman" w:hAnsi="Times New Roman" w:cs="Times New Roman"/>
                <w:iCs/>
                <w:sz w:val="20"/>
                <w:szCs w:val="16"/>
                <w:lang w:eastAsia="lv-LV"/>
              </w:rPr>
              <w:t xml:space="preserve">Ministru kabineta 2020.gada 22.septembra </w:t>
            </w:r>
            <w:r w:rsidRPr="00BC772F">
              <w:rPr>
                <w:rFonts w:ascii="Times New Roman" w:eastAsia="Times New Roman" w:hAnsi="Times New Roman" w:cs="Times New Roman"/>
                <w:iCs/>
                <w:sz w:val="20"/>
                <w:szCs w:val="20"/>
                <w:lang w:eastAsia="lv-LV"/>
              </w:rPr>
              <w:t xml:space="preserve">sēdē </w:t>
            </w:r>
            <w:r w:rsidRPr="00BC772F">
              <w:rPr>
                <w:rFonts w:ascii="Times New Roman" w:hAnsi="Times New Roman" w:cs="Times New Roman"/>
                <w:sz w:val="20"/>
                <w:szCs w:val="20"/>
              </w:rPr>
              <w:t>(protokols Nr.</w:t>
            </w:r>
            <w:r w:rsidRPr="00BC772F">
              <w:rPr>
                <w:rFonts w:ascii="Times New Roman" w:eastAsia="Times New Roman" w:hAnsi="Times New Roman" w:cs="Times New Roman"/>
                <w:iCs/>
                <w:sz w:val="20"/>
                <w:szCs w:val="20"/>
                <w:lang w:eastAsia="lv-LV"/>
              </w:rPr>
              <w:t>Nr.55 38.§ 3.punkts)</w:t>
            </w:r>
            <w:r w:rsidRPr="00BC772F">
              <w:rPr>
                <w:rFonts w:ascii="Times New Roman" w:eastAsia="Times New Roman" w:hAnsi="Times New Roman" w:cs="Times New Roman"/>
                <w:iCs/>
                <w:sz w:val="18"/>
                <w:szCs w:val="18"/>
                <w:lang w:eastAsia="lv-LV"/>
              </w:rPr>
              <w:t xml:space="preserve"> </w:t>
            </w:r>
            <w:r w:rsidRPr="00BC772F">
              <w:rPr>
                <w:rFonts w:ascii="Times New Roman" w:eastAsia="Times New Roman" w:hAnsi="Times New Roman" w:cs="Times New Roman"/>
                <w:iCs/>
                <w:sz w:val="20"/>
                <w:szCs w:val="16"/>
                <w:lang w:eastAsia="lv-LV"/>
              </w:rPr>
              <w:t xml:space="preserve">tika atbalstīts LM priekšlikums par papildu finansējuma piešķiršanu LM prioritārā pasākuma “Atbalsts minimālo ienākumu palielināšanai” īstenošanai. Pasākuma nodrošināšanai ir atbalstīts kopējais papildu finansējums 2021.gadā 70 662 394 </w:t>
            </w:r>
            <w:proofErr w:type="spellStart"/>
            <w:r w:rsidRPr="00BC772F">
              <w:rPr>
                <w:rFonts w:ascii="Times New Roman" w:eastAsia="Times New Roman" w:hAnsi="Times New Roman" w:cs="Times New Roman"/>
                <w:i/>
                <w:iCs/>
                <w:sz w:val="20"/>
                <w:szCs w:val="16"/>
                <w:lang w:eastAsia="lv-LV"/>
              </w:rPr>
              <w:t>euro</w:t>
            </w:r>
            <w:proofErr w:type="spellEnd"/>
            <w:r w:rsidRPr="00BC772F">
              <w:rPr>
                <w:rFonts w:ascii="Times New Roman" w:eastAsia="Times New Roman" w:hAnsi="Times New Roman" w:cs="Times New Roman"/>
                <w:iCs/>
                <w:sz w:val="20"/>
                <w:szCs w:val="16"/>
                <w:lang w:eastAsia="lv-LV"/>
              </w:rPr>
              <w:t xml:space="preserve"> apmērā, 2022.gadā 70 998 851 </w:t>
            </w:r>
            <w:proofErr w:type="spellStart"/>
            <w:r w:rsidRPr="00BC772F">
              <w:rPr>
                <w:rFonts w:ascii="Times New Roman" w:eastAsia="Times New Roman" w:hAnsi="Times New Roman" w:cs="Times New Roman"/>
                <w:i/>
                <w:iCs/>
                <w:sz w:val="20"/>
                <w:szCs w:val="16"/>
                <w:lang w:eastAsia="lv-LV"/>
              </w:rPr>
              <w:t>euro</w:t>
            </w:r>
            <w:proofErr w:type="spellEnd"/>
            <w:r w:rsidRPr="00BC772F">
              <w:rPr>
                <w:rFonts w:ascii="Times New Roman" w:eastAsia="Times New Roman" w:hAnsi="Times New Roman" w:cs="Times New Roman"/>
                <w:iCs/>
                <w:sz w:val="20"/>
                <w:szCs w:val="16"/>
                <w:lang w:eastAsia="lv-LV"/>
              </w:rPr>
              <w:t xml:space="preserve"> apmērā un 2023.gadā 71 014 751 </w:t>
            </w:r>
            <w:proofErr w:type="spellStart"/>
            <w:r w:rsidRPr="00BC772F">
              <w:rPr>
                <w:rFonts w:ascii="Times New Roman" w:eastAsia="Times New Roman" w:hAnsi="Times New Roman" w:cs="Times New Roman"/>
                <w:i/>
                <w:iCs/>
                <w:sz w:val="20"/>
                <w:szCs w:val="16"/>
                <w:lang w:eastAsia="lv-LV"/>
              </w:rPr>
              <w:t>euro</w:t>
            </w:r>
            <w:proofErr w:type="spellEnd"/>
            <w:r w:rsidRPr="00BC772F">
              <w:rPr>
                <w:rFonts w:ascii="Times New Roman" w:eastAsia="Times New Roman" w:hAnsi="Times New Roman" w:cs="Times New Roman"/>
                <w:iCs/>
                <w:sz w:val="20"/>
                <w:szCs w:val="16"/>
                <w:lang w:eastAsia="lv-LV"/>
              </w:rPr>
              <w:t xml:space="preserve"> apmērā, t.sk. </w:t>
            </w:r>
            <w:r w:rsidR="008D57A6" w:rsidRPr="00BC772F">
              <w:t xml:space="preserve"> </w:t>
            </w:r>
            <w:proofErr w:type="spellStart"/>
            <w:r w:rsidR="008D57A6" w:rsidRPr="00BC772F">
              <w:rPr>
                <w:rFonts w:ascii="Times New Roman" w:eastAsia="Times New Roman" w:hAnsi="Times New Roman" w:cs="Times New Roman"/>
                <w:iCs/>
                <w:sz w:val="20"/>
                <w:szCs w:val="16"/>
                <w:lang w:eastAsia="lv-LV"/>
              </w:rPr>
              <w:t>apakšpasākuma</w:t>
            </w:r>
            <w:proofErr w:type="spellEnd"/>
            <w:r w:rsidR="008D57A6" w:rsidRPr="00BC772F">
              <w:rPr>
                <w:rFonts w:ascii="Times New Roman" w:eastAsia="Times New Roman" w:hAnsi="Times New Roman" w:cs="Times New Roman"/>
                <w:iCs/>
                <w:sz w:val="20"/>
                <w:szCs w:val="16"/>
                <w:lang w:eastAsia="lv-LV"/>
              </w:rPr>
              <w:t xml:space="preserve"> “Ar valsts sociālā nodrošinājuma pabalsta un pensiju apmēru pārskatīšanu saistītie pakalpojumi” īstenošanai 2021.gadā 1 305 755 </w:t>
            </w:r>
            <w:proofErr w:type="spellStart"/>
            <w:r w:rsidR="008D57A6" w:rsidRPr="00BC772F">
              <w:rPr>
                <w:rFonts w:ascii="Times New Roman" w:eastAsia="Times New Roman" w:hAnsi="Times New Roman" w:cs="Times New Roman"/>
                <w:iCs/>
                <w:sz w:val="20"/>
                <w:szCs w:val="16"/>
                <w:lang w:eastAsia="lv-LV"/>
              </w:rPr>
              <w:t>euro</w:t>
            </w:r>
            <w:proofErr w:type="spellEnd"/>
            <w:r w:rsidR="008D57A6" w:rsidRPr="00BC772F">
              <w:rPr>
                <w:rFonts w:ascii="Times New Roman" w:eastAsia="Times New Roman" w:hAnsi="Times New Roman" w:cs="Times New Roman"/>
                <w:iCs/>
                <w:sz w:val="20"/>
                <w:szCs w:val="16"/>
                <w:lang w:eastAsia="lv-LV"/>
              </w:rPr>
              <w:t xml:space="preserve">, 2022.gadā 1 332 506 </w:t>
            </w:r>
            <w:proofErr w:type="spellStart"/>
            <w:r w:rsidR="008D57A6" w:rsidRPr="00BC772F">
              <w:rPr>
                <w:rFonts w:ascii="Times New Roman" w:eastAsia="Times New Roman" w:hAnsi="Times New Roman" w:cs="Times New Roman"/>
                <w:iCs/>
                <w:sz w:val="20"/>
                <w:szCs w:val="16"/>
                <w:lang w:eastAsia="lv-LV"/>
              </w:rPr>
              <w:t>euro</w:t>
            </w:r>
            <w:proofErr w:type="spellEnd"/>
            <w:r w:rsidR="008D57A6" w:rsidRPr="00BC772F">
              <w:rPr>
                <w:rFonts w:ascii="Times New Roman" w:eastAsia="Times New Roman" w:hAnsi="Times New Roman" w:cs="Times New Roman"/>
                <w:iCs/>
                <w:sz w:val="20"/>
                <w:szCs w:val="16"/>
                <w:lang w:eastAsia="lv-LV"/>
              </w:rPr>
              <w:t xml:space="preserve"> un 2023.gadā 1 360 829 </w:t>
            </w:r>
            <w:proofErr w:type="spellStart"/>
            <w:r w:rsidR="008D57A6" w:rsidRPr="00BC772F">
              <w:rPr>
                <w:rFonts w:ascii="Times New Roman" w:eastAsia="Times New Roman" w:hAnsi="Times New Roman" w:cs="Times New Roman"/>
                <w:iCs/>
                <w:sz w:val="20"/>
                <w:szCs w:val="16"/>
                <w:lang w:eastAsia="lv-LV"/>
              </w:rPr>
              <w:t>euro</w:t>
            </w:r>
            <w:proofErr w:type="spellEnd"/>
            <w:r w:rsidR="008D57A6" w:rsidRPr="00BC772F">
              <w:rPr>
                <w:rFonts w:ascii="Times New Roman" w:eastAsia="Times New Roman" w:hAnsi="Times New Roman" w:cs="Times New Roman"/>
                <w:iCs/>
                <w:sz w:val="20"/>
                <w:szCs w:val="16"/>
                <w:lang w:eastAsia="lv-LV"/>
              </w:rPr>
              <w:t>;</w:t>
            </w:r>
            <w:bookmarkStart w:id="0" w:name="_Hlk56694214"/>
            <w:r w:rsidRPr="00BC772F">
              <w:rPr>
                <w:rFonts w:ascii="Times New Roman" w:eastAsia="Times New Roman" w:hAnsi="Times New Roman" w:cs="Times New Roman"/>
                <w:iCs/>
                <w:sz w:val="20"/>
                <w:szCs w:val="16"/>
                <w:lang w:eastAsia="lv-LV"/>
              </w:rPr>
              <w:t xml:space="preserve"> </w:t>
            </w:r>
          </w:p>
          <w:p w:rsidR="00380814" w:rsidRPr="00BC772F" w:rsidRDefault="00380814" w:rsidP="005C482F">
            <w:pPr>
              <w:spacing w:after="0" w:line="240" w:lineRule="auto"/>
              <w:jc w:val="both"/>
              <w:rPr>
                <w:rFonts w:ascii="Times New Roman" w:eastAsia="Times New Roman" w:hAnsi="Times New Roman" w:cs="Times New Roman"/>
                <w:iCs/>
                <w:sz w:val="20"/>
                <w:szCs w:val="16"/>
                <w:lang w:eastAsia="lv-LV"/>
              </w:rPr>
            </w:pPr>
            <w:r w:rsidRPr="00BC772F">
              <w:rPr>
                <w:rFonts w:ascii="Times New Roman" w:eastAsia="Times New Roman" w:hAnsi="Times New Roman" w:cs="Times New Roman"/>
                <w:iCs/>
                <w:sz w:val="20"/>
                <w:szCs w:val="16"/>
                <w:lang w:eastAsia="lv-LV"/>
              </w:rPr>
              <w:t xml:space="preserve">Ietekme uz valsts budžetu norādīta likumprojekta </w:t>
            </w:r>
            <w:r w:rsidR="008D57A6" w:rsidRPr="00BC772F">
              <w:rPr>
                <w:rFonts w:ascii="Times New Roman" w:eastAsia="Times New Roman" w:hAnsi="Times New Roman" w:cs="Times New Roman"/>
                <w:iCs/>
                <w:sz w:val="20"/>
                <w:szCs w:val="16"/>
                <w:lang w:eastAsia="lv-LV"/>
              </w:rPr>
              <w:t xml:space="preserve">“Grozījumi likumā “Par obligāto sociālo apdrošināšanu pret nelaimes gadījumiem darbā un arodslimībām” </w:t>
            </w:r>
            <w:r w:rsidRPr="00BC772F">
              <w:rPr>
                <w:rFonts w:ascii="Times New Roman" w:eastAsia="Times New Roman" w:hAnsi="Times New Roman" w:cs="Times New Roman"/>
                <w:iCs/>
                <w:sz w:val="20"/>
                <w:szCs w:val="16"/>
                <w:lang w:eastAsia="lv-LV"/>
              </w:rPr>
              <w:t>sākotnējās ietekmes novērtējuma ziņojumā (anotācijā).</w:t>
            </w:r>
          </w:p>
          <w:bookmarkEnd w:id="0"/>
          <w:p w:rsidR="00380814" w:rsidRPr="00BC772F" w:rsidRDefault="00380814" w:rsidP="005C482F">
            <w:pPr>
              <w:spacing w:after="0" w:line="240" w:lineRule="auto"/>
              <w:jc w:val="both"/>
              <w:rPr>
                <w:rFonts w:ascii="Times New Roman" w:eastAsia="Times New Roman" w:hAnsi="Times New Roman" w:cs="Times New Roman"/>
                <w:iCs/>
                <w:sz w:val="20"/>
                <w:szCs w:val="16"/>
                <w:lang w:eastAsia="lv-LV"/>
              </w:rPr>
            </w:pPr>
          </w:p>
          <w:p w:rsidR="00380814" w:rsidRPr="00BC772F" w:rsidRDefault="00380814" w:rsidP="005C482F">
            <w:pPr>
              <w:tabs>
                <w:tab w:val="left" w:pos="4644"/>
              </w:tabs>
              <w:spacing w:after="0" w:line="240" w:lineRule="auto"/>
              <w:ind w:right="71"/>
              <w:jc w:val="both"/>
              <w:rPr>
                <w:rFonts w:ascii="Times New Roman" w:eastAsia="Calibri" w:hAnsi="Times New Roman" w:cs="Times New Roman"/>
                <w:iCs/>
                <w:sz w:val="18"/>
                <w:szCs w:val="18"/>
              </w:rPr>
            </w:pPr>
            <w:r w:rsidRPr="00BC772F">
              <w:rPr>
                <w:rFonts w:ascii="Times New Roman" w:eastAsia="Calibri" w:hAnsi="Times New Roman" w:cs="Times New Roman"/>
                <w:iCs/>
                <w:sz w:val="20"/>
                <w:szCs w:val="20"/>
              </w:rPr>
              <w:t>Finansējums iekļauts likumprojektā “Par valsts budžetu 2021.gadam” un likumprojektā “Par vidēja termiņa budžeta ietvaru 2021., 2022. un 2023.gadam”.</w:t>
            </w:r>
          </w:p>
        </w:tc>
      </w:tr>
      <w:tr w:rsidR="00BC772F" w:rsidRPr="00BC772F" w:rsidTr="005C482F">
        <w:trPr>
          <w:trHeight w:val="69"/>
        </w:trPr>
        <w:tc>
          <w:tcPr>
            <w:tcW w:w="697" w:type="pct"/>
          </w:tcPr>
          <w:p w:rsidR="00380814" w:rsidRPr="00BC772F" w:rsidRDefault="00380814" w:rsidP="005C482F">
            <w:pPr>
              <w:spacing w:after="0" w:line="240" w:lineRule="auto"/>
              <w:ind w:right="71"/>
              <w:jc w:val="both"/>
              <w:rPr>
                <w:rFonts w:ascii="Times New Roman" w:eastAsia="Calibri" w:hAnsi="Times New Roman" w:cs="Times New Roman"/>
                <w:i/>
                <w:sz w:val="18"/>
                <w:szCs w:val="18"/>
              </w:rPr>
            </w:pPr>
            <w:r w:rsidRPr="00BC772F">
              <w:rPr>
                <w:rFonts w:ascii="Times New Roman" w:eastAsia="Calibri" w:hAnsi="Times New Roman" w:cs="Times New Roman"/>
                <w:sz w:val="18"/>
                <w:szCs w:val="18"/>
              </w:rPr>
              <w:lastRenderedPageBreak/>
              <w:t>6.1. detalizēts ieņēmumu aprēķins</w:t>
            </w:r>
          </w:p>
        </w:tc>
        <w:tc>
          <w:tcPr>
            <w:tcW w:w="4303" w:type="pct"/>
            <w:gridSpan w:val="7"/>
            <w:vMerge/>
          </w:tcPr>
          <w:p w:rsidR="00380814" w:rsidRPr="00BC772F" w:rsidRDefault="00380814" w:rsidP="005C482F">
            <w:pPr>
              <w:spacing w:after="0" w:line="240" w:lineRule="auto"/>
              <w:ind w:right="71"/>
              <w:jc w:val="both"/>
              <w:rPr>
                <w:rFonts w:ascii="Times New Roman" w:eastAsia="Calibri" w:hAnsi="Times New Roman" w:cs="Times New Roman"/>
                <w:i/>
                <w:sz w:val="18"/>
                <w:szCs w:val="18"/>
              </w:rPr>
            </w:pPr>
          </w:p>
        </w:tc>
      </w:tr>
      <w:tr w:rsidR="00BC772F" w:rsidRPr="00BC772F" w:rsidTr="005C482F">
        <w:trPr>
          <w:trHeight w:val="69"/>
        </w:trPr>
        <w:tc>
          <w:tcPr>
            <w:tcW w:w="697" w:type="pct"/>
          </w:tcPr>
          <w:p w:rsidR="00380814" w:rsidRPr="00BC772F" w:rsidRDefault="00380814" w:rsidP="005C482F">
            <w:pPr>
              <w:spacing w:after="0" w:line="240" w:lineRule="auto"/>
              <w:ind w:right="71"/>
              <w:jc w:val="both"/>
              <w:rPr>
                <w:rFonts w:ascii="Times New Roman" w:eastAsia="Calibri" w:hAnsi="Times New Roman" w:cs="Times New Roman"/>
                <w:i/>
                <w:sz w:val="18"/>
                <w:szCs w:val="18"/>
              </w:rPr>
            </w:pPr>
            <w:r w:rsidRPr="00BC772F">
              <w:rPr>
                <w:rFonts w:ascii="Times New Roman" w:eastAsia="Calibri" w:hAnsi="Times New Roman" w:cs="Times New Roman"/>
                <w:sz w:val="18"/>
                <w:szCs w:val="18"/>
              </w:rPr>
              <w:t>6.2. detalizēts izdevumu aprēķins</w:t>
            </w:r>
          </w:p>
        </w:tc>
        <w:tc>
          <w:tcPr>
            <w:tcW w:w="4303" w:type="pct"/>
            <w:gridSpan w:val="7"/>
            <w:vMerge/>
          </w:tcPr>
          <w:p w:rsidR="00380814" w:rsidRPr="00BC772F" w:rsidRDefault="00380814" w:rsidP="005C482F">
            <w:pPr>
              <w:spacing w:after="0" w:line="240" w:lineRule="auto"/>
              <w:ind w:right="71"/>
              <w:jc w:val="both"/>
              <w:rPr>
                <w:rFonts w:ascii="Times New Roman" w:eastAsia="Calibri" w:hAnsi="Times New Roman" w:cs="Times New Roman"/>
                <w:i/>
                <w:sz w:val="18"/>
                <w:szCs w:val="18"/>
              </w:rPr>
            </w:pPr>
          </w:p>
        </w:tc>
      </w:tr>
      <w:tr w:rsidR="00BC772F" w:rsidRPr="00BC772F" w:rsidTr="005C482F">
        <w:trPr>
          <w:trHeight w:val="69"/>
        </w:trPr>
        <w:tc>
          <w:tcPr>
            <w:tcW w:w="697" w:type="pct"/>
          </w:tcPr>
          <w:p w:rsidR="00380814" w:rsidRPr="00BC772F" w:rsidRDefault="00380814" w:rsidP="005C482F">
            <w:pPr>
              <w:spacing w:after="0" w:line="240" w:lineRule="auto"/>
              <w:ind w:right="71"/>
              <w:jc w:val="both"/>
              <w:rPr>
                <w:rFonts w:ascii="Times New Roman" w:eastAsia="Calibri" w:hAnsi="Times New Roman" w:cs="Times New Roman"/>
                <w:i/>
                <w:sz w:val="18"/>
                <w:szCs w:val="18"/>
              </w:rPr>
            </w:pPr>
            <w:r w:rsidRPr="00BC772F">
              <w:rPr>
                <w:rFonts w:ascii="Times New Roman" w:eastAsia="Calibri" w:hAnsi="Times New Roman" w:cs="Times New Roman"/>
                <w:sz w:val="18"/>
                <w:szCs w:val="18"/>
              </w:rPr>
              <w:t>7. Amata vietu skaita izmaiņas</w:t>
            </w:r>
          </w:p>
        </w:tc>
        <w:tc>
          <w:tcPr>
            <w:tcW w:w="4303" w:type="pct"/>
            <w:gridSpan w:val="7"/>
          </w:tcPr>
          <w:p w:rsidR="00380814" w:rsidRPr="00BC772F" w:rsidRDefault="00380814" w:rsidP="005C482F">
            <w:pPr>
              <w:tabs>
                <w:tab w:val="left" w:pos="4644"/>
              </w:tabs>
              <w:spacing w:after="0" w:line="240" w:lineRule="auto"/>
              <w:ind w:right="71"/>
              <w:jc w:val="both"/>
              <w:rPr>
                <w:rFonts w:ascii="Times New Roman" w:eastAsia="Calibri" w:hAnsi="Times New Roman" w:cs="Times New Roman"/>
                <w:sz w:val="18"/>
                <w:szCs w:val="18"/>
                <w:lang w:eastAsia="lv-LV"/>
              </w:rPr>
            </w:pPr>
            <w:r w:rsidRPr="00BC772F">
              <w:rPr>
                <w:rFonts w:ascii="Times New Roman" w:eastAsia="Calibri" w:hAnsi="Times New Roman" w:cs="Times New Roman"/>
                <w:sz w:val="18"/>
                <w:szCs w:val="18"/>
                <w:lang w:eastAsia="lv-LV"/>
              </w:rPr>
              <w:t>Nav</w:t>
            </w:r>
          </w:p>
          <w:p w:rsidR="00380814" w:rsidRPr="00BC772F" w:rsidRDefault="00380814" w:rsidP="005C482F">
            <w:pPr>
              <w:spacing w:after="0" w:line="240" w:lineRule="auto"/>
              <w:ind w:right="71"/>
              <w:jc w:val="both"/>
              <w:rPr>
                <w:rFonts w:ascii="Times New Roman" w:eastAsia="Calibri" w:hAnsi="Times New Roman" w:cs="Times New Roman"/>
                <w:i/>
                <w:sz w:val="18"/>
                <w:szCs w:val="18"/>
              </w:rPr>
            </w:pPr>
          </w:p>
        </w:tc>
      </w:tr>
      <w:tr w:rsidR="00380814" w:rsidRPr="00A23AAE" w:rsidTr="005C482F">
        <w:trPr>
          <w:trHeight w:val="70"/>
        </w:trPr>
        <w:tc>
          <w:tcPr>
            <w:tcW w:w="697" w:type="pct"/>
          </w:tcPr>
          <w:p w:rsidR="00380814" w:rsidRPr="00A23AAE" w:rsidRDefault="00380814" w:rsidP="005C482F">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8. Cita informācija</w:t>
            </w:r>
          </w:p>
        </w:tc>
        <w:tc>
          <w:tcPr>
            <w:tcW w:w="4303" w:type="pct"/>
            <w:gridSpan w:val="7"/>
          </w:tcPr>
          <w:p w:rsidR="00380814" w:rsidRPr="00A23AAE" w:rsidRDefault="00380814" w:rsidP="005C482F">
            <w:pPr>
              <w:tabs>
                <w:tab w:val="left" w:pos="4644"/>
              </w:tabs>
              <w:spacing w:after="0" w:line="240" w:lineRule="auto"/>
              <w:ind w:right="71"/>
              <w:jc w:val="both"/>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Nav</w:t>
            </w:r>
          </w:p>
          <w:p w:rsidR="00380814" w:rsidRPr="00C2208A" w:rsidRDefault="00380814" w:rsidP="005C482F">
            <w:pPr>
              <w:spacing w:after="0" w:line="240" w:lineRule="auto"/>
              <w:ind w:right="71"/>
              <w:jc w:val="both"/>
              <w:rPr>
                <w:rFonts w:ascii="Times New Roman" w:hAnsi="Times New Roman" w:cs="Times New Roman"/>
                <w:color w:val="FF0000"/>
                <w:sz w:val="20"/>
                <w:szCs w:val="20"/>
              </w:rPr>
            </w:pPr>
          </w:p>
        </w:tc>
      </w:tr>
    </w:tbl>
    <w:p w:rsidR="00984CF8" w:rsidRDefault="00984CF8" w:rsidP="00984CF8">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84CF8"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F8" w:rsidRDefault="00984CF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IV. Tiesību akta projekta ietekme uz spēkā esošo tiesību normu sistēmu</w:t>
            </w:r>
          </w:p>
        </w:tc>
      </w:tr>
      <w:tr w:rsidR="00984CF8"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84CF8" w:rsidRDefault="00984CF8" w:rsidP="002F473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Noteikumu projekts šo jomu neskar</w:t>
            </w:r>
          </w:p>
        </w:tc>
      </w:tr>
    </w:tbl>
    <w:p w:rsidR="00984CF8" w:rsidRDefault="00984CF8" w:rsidP="00984C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84CF8"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CF8" w:rsidRDefault="00984CF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C772F" w:rsidTr="002F4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772F" w:rsidRDefault="00BC772F" w:rsidP="00BC772F">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Noteikumu projekts šo jomu neskar</w:t>
            </w:r>
          </w:p>
        </w:tc>
      </w:tr>
    </w:tbl>
    <w:p w:rsidR="00984CF8" w:rsidRDefault="00984CF8" w:rsidP="00984C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84CF8" w:rsidTr="002F47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4CF8" w:rsidRDefault="00984CF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shd w:val="clear" w:color="auto" w:fill="FFFFFF"/>
              </w:rPr>
              <w:t>Atsevišķa sabiedrības līdzdalība un komunikācija par noteikumu projektu nav paredzēta. Stājoties spēkā noteikumu projekta grozījumiem, sabiedrība kompleksi tiks informēta par izmaiņām normatīvajos regulējumos un to ietekmi uz tās ikdienu, gan izmantojot valsts iestāžu tīmekļa vietnes, gan medijus, gan uzrunājot nevalstiskās organizācijas.</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984CF8" w:rsidTr="002F47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984CF8" w:rsidRDefault="00984CF8" w:rsidP="00984C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84CF8" w:rsidTr="002F47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4CF8" w:rsidRDefault="00984CF8" w:rsidP="002F473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984CF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p>
        </w:tc>
      </w:tr>
      <w:tr w:rsidR="00984CF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sidRPr="00AF2DAE">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noteikumu</w:t>
            </w:r>
            <w:r w:rsidRPr="00AF2DAE">
              <w:rPr>
                <w:rFonts w:ascii="Times New Roman" w:eastAsia="Times New Roman" w:hAnsi="Times New Roman" w:cs="Times New Roman"/>
                <w:iCs/>
                <w:noProof/>
                <w:sz w:val="24"/>
                <w:szCs w:val="24"/>
                <w:lang w:eastAsia="lv-LV"/>
              </w:rPr>
              <w:t xml:space="preserve"> spēkā stāšanās tā īstenošana notiks, izmantojot esošos cilvēkresursus.</w:t>
            </w:r>
          </w:p>
        </w:tc>
      </w:tr>
      <w:tr w:rsidR="00984CF8" w:rsidTr="002F47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84CF8" w:rsidRDefault="00984CF8" w:rsidP="002F4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984CF8" w:rsidRDefault="00984CF8" w:rsidP="00984CF8">
      <w:pPr>
        <w:spacing w:after="0" w:line="240" w:lineRule="auto"/>
        <w:jc w:val="both"/>
        <w:rPr>
          <w:rFonts w:ascii="Times New Roman" w:hAnsi="Times New Roman" w:cs="Times New Roman"/>
          <w:sz w:val="24"/>
          <w:szCs w:val="24"/>
        </w:rPr>
      </w:pPr>
    </w:p>
    <w:p w:rsidR="00984CF8" w:rsidRPr="006F02B8" w:rsidRDefault="00984CF8" w:rsidP="00984CF8">
      <w:pPr>
        <w:spacing w:after="0" w:line="240" w:lineRule="auto"/>
        <w:jc w:val="both"/>
        <w:rPr>
          <w:rFonts w:ascii="Times New Roman" w:hAnsi="Times New Roman" w:cs="Times New Roman"/>
          <w:sz w:val="28"/>
          <w:szCs w:val="28"/>
        </w:rPr>
      </w:pPr>
    </w:p>
    <w:p w:rsidR="00984CF8" w:rsidRPr="006F02B8" w:rsidRDefault="00984CF8" w:rsidP="00984CF8">
      <w:pPr>
        <w:tabs>
          <w:tab w:val="left" w:pos="6237"/>
        </w:tabs>
        <w:spacing w:after="0" w:line="240" w:lineRule="auto"/>
        <w:jc w:val="both"/>
        <w:rPr>
          <w:rFonts w:ascii="Times New Roman" w:hAnsi="Times New Roman" w:cs="Times New Roman"/>
          <w:sz w:val="28"/>
          <w:szCs w:val="28"/>
        </w:rPr>
      </w:pPr>
      <w:r w:rsidRPr="006F02B8">
        <w:rPr>
          <w:rFonts w:ascii="Times New Roman" w:hAnsi="Times New Roman" w:cs="Times New Roman"/>
          <w:sz w:val="28"/>
          <w:szCs w:val="28"/>
        </w:rPr>
        <w:t>Labklājības ministre</w:t>
      </w:r>
      <w:r w:rsidRPr="006F02B8">
        <w:rPr>
          <w:rFonts w:ascii="Times New Roman" w:hAnsi="Times New Roman" w:cs="Times New Roman"/>
          <w:sz w:val="28"/>
          <w:szCs w:val="28"/>
        </w:rPr>
        <w:tab/>
        <w:t xml:space="preserve">R. </w:t>
      </w:r>
      <w:proofErr w:type="spellStart"/>
      <w:r w:rsidRPr="006F02B8">
        <w:rPr>
          <w:rFonts w:ascii="Times New Roman" w:hAnsi="Times New Roman" w:cs="Times New Roman"/>
          <w:sz w:val="28"/>
          <w:szCs w:val="28"/>
        </w:rPr>
        <w:t>Petraviča</w:t>
      </w:r>
      <w:proofErr w:type="spellEnd"/>
    </w:p>
    <w:p w:rsidR="00984CF8" w:rsidRPr="006F02B8" w:rsidRDefault="00984CF8" w:rsidP="00984CF8">
      <w:pPr>
        <w:spacing w:after="0" w:line="240" w:lineRule="auto"/>
        <w:ind w:firstLine="720"/>
        <w:jc w:val="both"/>
        <w:rPr>
          <w:rFonts w:ascii="Times New Roman" w:hAnsi="Times New Roman" w:cs="Times New Roman"/>
          <w:sz w:val="28"/>
          <w:szCs w:val="28"/>
        </w:rPr>
      </w:pPr>
    </w:p>
    <w:p w:rsidR="00BC772F" w:rsidRPr="006F02B8" w:rsidRDefault="00BC772F" w:rsidP="00984CF8">
      <w:pPr>
        <w:spacing w:after="0" w:line="240" w:lineRule="auto"/>
        <w:ind w:firstLine="720"/>
        <w:jc w:val="both"/>
        <w:rPr>
          <w:rFonts w:ascii="Times New Roman" w:hAnsi="Times New Roman" w:cs="Times New Roman"/>
          <w:sz w:val="28"/>
          <w:szCs w:val="28"/>
        </w:rPr>
      </w:pPr>
    </w:p>
    <w:p w:rsidR="00984CF8" w:rsidRPr="006F02B8" w:rsidRDefault="00984CF8" w:rsidP="00984CF8">
      <w:pPr>
        <w:tabs>
          <w:tab w:val="left" w:pos="6237"/>
        </w:tabs>
        <w:spacing w:after="0" w:line="240" w:lineRule="auto"/>
        <w:rPr>
          <w:rFonts w:ascii="Times New Roman" w:hAnsi="Times New Roman" w:cs="Times New Roman"/>
          <w:sz w:val="28"/>
          <w:szCs w:val="28"/>
        </w:rPr>
      </w:pPr>
      <w:r w:rsidRPr="006F02B8">
        <w:rPr>
          <w:rFonts w:ascii="Times New Roman" w:hAnsi="Times New Roman" w:cs="Times New Roman"/>
          <w:sz w:val="28"/>
          <w:szCs w:val="28"/>
        </w:rPr>
        <w:t>Valsts sekretārs</w:t>
      </w:r>
      <w:r w:rsidRPr="006F02B8">
        <w:rPr>
          <w:rFonts w:ascii="Times New Roman" w:hAnsi="Times New Roman" w:cs="Times New Roman"/>
          <w:sz w:val="28"/>
          <w:szCs w:val="28"/>
        </w:rPr>
        <w:tab/>
      </w:r>
      <w:proofErr w:type="spellStart"/>
      <w:r w:rsidRPr="006F02B8">
        <w:rPr>
          <w:rFonts w:ascii="Times New Roman" w:hAnsi="Times New Roman" w:cs="Times New Roman"/>
          <w:sz w:val="28"/>
          <w:szCs w:val="28"/>
        </w:rPr>
        <w:t>I.Alliks</w:t>
      </w:r>
      <w:proofErr w:type="spellEnd"/>
      <w:r w:rsidRPr="006F02B8">
        <w:rPr>
          <w:rFonts w:ascii="Times New Roman" w:hAnsi="Times New Roman" w:cs="Times New Roman"/>
          <w:sz w:val="28"/>
          <w:szCs w:val="28"/>
        </w:rPr>
        <w:tab/>
      </w:r>
      <w:r w:rsidRPr="006F02B8">
        <w:rPr>
          <w:rFonts w:ascii="Times New Roman" w:hAnsi="Times New Roman" w:cs="Times New Roman"/>
          <w:sz w:val="28"/>
          <w:szCs w:val="28"/>
        </w:rPr>
        <w:tab/>
      </w:r>
    </w:p>
    <w:p w:rsidR="00984CF8" w:rsidRDefault="00984CF8" w:rsidP="00984CF8">
      <w:pPr>
        <w:tabs>
          <w:tab w:val="left" w:pos="6237"/>
        </w:tabs>
        <w:spacing w:after="0" w:line="240" w:lineRule="auto"/>
        <w:ind w:firstLine="720"/>
        <w:jc w:val="both"/>
        <w:rPr>
          <w:rFonts w:ascii="Times New Roman" w:hAnsi="Times New Roman" w:cs="Times New Roman"/>
          <w:sz w:val="24"/>
          <w:szCs w:val="24"/>
        </w:rPr>
      </w:pPr>
    </w:p>
    <w:p w:rsidR="00984CF8" w:rsidRDefault="00984CF8" w:rsidP="00984CF8">
      <w:pPr>
        <w:tabs>
          <w:tab w:val="left" w:pos="6237"/>
        </w:tabs>
        <w:spacing w:after="0" w:line="240" w:lineRule="auto"/>
        <w:ind w:firstLine="720"/>
        <w:jc w:val="both"/>
        <w:rPr>
          <w:rFonts w:ascii="Times New Roman" w:hAnsi="Times New Roman" w:cs="Times New Roman"/>
          <w:sz w:val="24"/>
          <w:szCs w:val="24"/>
        </w:rPr>
      </w:pPr>
      <w:bookmarkStart w:id="1" w:name="_GoBack"/>
      <w:bookmarkEnd w:id="1"/>
    </w:p>
    <w:p w:rsidR="00984CF8" w:rsidRDefault="00984CF8" w:rsidP="00984CF8">
      <w:pPr>
        <w:tabs>
          <w:tab w:val="left" w:pos="6237"/>
        </w:tabs>
        <w:spacing w:after="0" w:line="240" w:lineRule="auto"/>
        <w:ind w:firstLine="720"/>
        <w:jc w:val="both"/>
        <w:rPr>
          <w:rFonts w:ascii="Times New Roman" w:hAnsi="Times New Roman" w:cs="Times New Roman"/>
          <w:sz w:val="24"/>
          <w:szCs w:val="24"/>
        </w:rPr>
      </w:pPr>
    </w:p>
    <w:p w:rsidR="00984CF8" w:rsidRDefault="00984CF8" w:rsidP="00984CF8">
      <w:pPr>
        <w:tabs>
          <w:tab w:val="left" w:pos="6237"/>
        </w:tabs>
        <w:spacing w:after="0" w:line="240" w:lineRule="auto"/>
        <w:ind w:firstLine="720"/>
        <w:jc w:val="both"/>
        <w:rPr>
          <w:rFonts w:ascii="Times New Roman" w:hAnsi="Times New Roman" w:cs="Times New Roman"/>
          <w:sz w:val="24"/>
          <w:szCs w:val="24"/>
        </w:rPr>
      </w:pPr>
    </w:p>
    <w:p w:rsidR="00984CF8" w:rsidRDefault="00984CF8" w:rsidP="00984CF8">
      <w:pPr>
        <w:tabs>
          <w:tab w:val="left" w:pos="6237"/>
        </w:tabs>
        <w:spacing w:after="0" w:line="240" w:lineRule="auto"/>
        <w:ind w:firstLine="720"/>
        <w:jc w:val="both"/>
        <w:rPr>
          <w:rFonts w:ascii="Times New Roman" w:hAnsi="Times New Roman" w:cs="Times New Roman"/>
          <w:sz w:val="24"/>
          <w:szCs w:val="24"/>
        </w:rPr>
      </w:pPr>
    </w:p>
    <w:p w:rsidR="00984CF8" w:rsidRDefault="00984CF8" w:rsidP="00984CF8">
      <w:pPr>
        <w:tabs>
          <w:tab w:val="left" w:pos="6237"/>
        </w:tabs>
        <w:spacing w:after="0" w:line="240" w:lineRule="auto"/>
        <w:ind w:firstLine="720"/>
        <w:jc w:val="both"/>
        <w:rPr>
          <w:rFonts w:ascii="Times New Roman" w:hAnsi="Times New Roman" w:cs="Times New Roman"/>
          <w:sz w:val="24"/>
          <w:szCs w:val="24"/>
        </w:rPr>
      </w:pPr>
    </w:p>
    <w:p w:rsidR="00984CF8" w:rsidRDefault="00984CF8" w:rsidP="00984CF8">
      <w:pPr>
        <w:tabs>
          <w:tab w:val="left" w:pos="6237"/>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D.Trušinska</w:t>
      </w:r>
      <w:proofErr w:type="spellEnd"/>
      <w:r>
        <w:rPr>
          <w:rFonts w:ascii="Times New Roman" w:hAnsi="Times New Roman" w:cs="Times New Roman"/>
          <w:sz w:val="24"/>
          <w:szCs w:val="24"/>
        </w:rPr>
        <w:t>, 67021553</w:t>
      </w:r>
    </w:p>
    <w:p w:rsidR="00984CF8" w:rsidRDefault="00935172" w:rsidP="00984CF8">
      <w:pPr>
        <w:tabs>
          <w:tab w:val="left" w:pos="6237"/>
        </w:tabs>
        <w:spacing w:after="0" w:line="240" w:lineRule="auto"/>
        <w:jc w:val="both"/>
        <w:rPr>
          <w:rFonts w:ascii="Times New Roman" w:hAnsi="Times New Roman" w:cs="Times New Roman"/>
          <w:sz w:val="24"/>
          <w:szCs w:val="24"/>
        </w:rPr>
      </w:pPr>
      <w:hyperlink r:id="rId7" w:history="1">
        <w:r w:rsidR="00B56E7E" w:rsidRPr="00630FD6">
          <w:rPr>
            <w:rStyle w:val="Hyperlink"/>
            <w:rFonts w:ascii="Times New Roman" w:hAnsi="Times New Roman" w:cs="Times New Roman"/>
            <w:sz w:val="24"/>
            <w:szCs w:val="24"/>
          </w:rPr>
          <w:t>Dace.Trusinska@lm.gov.lv</w:t>
        </w:r>
      </w:hyperlink>
      <w:r w:rsidR="00B56E7E">
        <w:rPr>
          <w:rFonts w:ascii="Times New Roman" w:hAnsi="Times New Roman" w:cs="Times New Roman"/>
          <w:sz w:val="24"/>
          <w:szCs w:val="24"/>
        </w:rPr>
        <w:t xml:space="preserve"> </w:t>
      </w:r>
    </w:p>
    <w:p w:rsidR="00984CF8" w:rsidRDefault="00984CF8" w:rsidP="00984CF8"/>
    <w:p w:rsidR="00F7306B" w:rsidRDefault="00F7306B"/>
    <w:sectPr w:rsidR="00F7306B" w:rsidSect="007A5CC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172" w:rsidRDefault="00935172" w:rsidP="00984CF8">
      <w:pPr>
        <w:spacing w:after="0" w:line="240" w:lineRule="auto"/>
      </w:pPr>
      <w:r>
        <w:separator/>
      </w:r>
    </w:p>
  </w:endnote>
  <w:endnote w:type="continuationSeparator" w:id="0">
    <w:p w:rsidR="00935172" w:rsidRDefault="00935172" w:rsidP="0098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2F" w:rsidRPr="00BC772F" w:rsidRDefault="00BC772F">
    <w:pPr>
      <w:pStyle w:val="Footer"/>
      <w:rPr>
        <w:rFonts w:ascii="Times New Roman" w:hAnsi="Times New Roman" w:cs="Times New Roman"/>
        <w:sz w:val="24"/>
        <w:szCs w:val="24"/>
      </w:rPr>
    </w:pPr>
    <w:r w:rsidRPr="00BC772F">
      <w:rPr>
        <w:rFonts w:ascii="Times New Roman" w:hAnsi="Times New Roman" w:cs="Times New Roman"/>
        <w:sz w:val="24"/>
        <w:szCs w:val="24"/>
      </w:rPr>
      <w:t>LManot_</w:t>
    </w:r>
    <w:r w:rsidR="002F3052">
      <w:rPr>
        <w:rFonts w:ascii="Times New Roman" w:hAnsi="Times New Roman" w:cs="Times New Roman"/>
        <w:sz w:val="24"/>
        <w:szCs w:val="24"/>
      </w:rPr>
      <w:t>0412</w:t>
    </w:r>
    <w:r w:rsidRPr="00BC772F">
      <w:rPr>
        <w:rFonts w:ascii="Times New Roman" w:hAnsi="Times New Roman" w:cs="Times New Roman"/>
        <w:sz w:val="24"/>
        <w:szCs w:val="24"/>
      </w:rPr>
      <w:t>20_KA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2F" w:rsidRPr="00BC772F" w:rsidRDefault="00BC772F">
    <w:pPr>
      <w:pStyle w:val="Footer"/>
      <w:rPr>
        <w:rFonts w:ascii="Times New Roman" w:hAnsi="Times New Roman" w:cs="Times New Roman"/>
        <w:sz w:val="24"/>
        <w:szCs w:val="24"/>
      </w:rPr>
    </w:pPr>
    <w:r w:rsidRPr="00BC772F">
      <w:rPr>
        <w:rFonts w:ascii="Times New Roman" w:hAnsi="Times New Roman" w:cs="Times New Roman"/>
        <w:sz w:val="24"/>
        <w:szCs w:val="24"/>
      </w:rPr>
      <w:t>LManot_</w:t>
    </w:r>
    <w:r w:rsidR="002F3052">
      <w:rPr>
        <w:rFonts w:ascii="Times New Roman" w:hAnsi="Times New Roman" w:cs="Times New Roman"/>
        <w:sz w:val="24"/>
        <w:szCs w:val="24"/>
      </w:rPr>
      <w:t>0412</w:t>
    </w:r>
    <w:r w:rsidRPr="00BC772F">
      <w:rPr>
        <w:rFonts w:ascii="Times New Roman" w:hAnsi="Times New Roman" w:cs="Times New Roman"/>
        <w:sz w:val="24"/>
        <w:szCs w:val="24"/>
      </w:rPr>
      <w:t>20_KA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172" w:rsidRDefault="00935172" w:rsidP="00984CF8">
      <w:pPr>
        <w:spacing w:after="0" w:line="240" w:lineRule="auto"/>
      </w:pPr>
      <w:r>
        <w:separator/>
      </w:r>
    </w:p>
  </w:footnote>
  <w:footnote w:type="continuationSeparator" w:id="0">
    <w:p w:rsidR="00935172" w:rsidRDefault="00935172" w:rsidP="00984CF8">
      <w:pPr>
        <w:spacing w:after="0" w:line="240" w:lineRule="auto"/>
      </w:pPr>
      <w:r>
        <w:continuationSeparator/>
      </w:r>
    </w:p>
  </w:footnote>
  <w:footnote w:id="1">
    <w:p w:rsidR="00984CF8" w:rsidRDefault="00984CF8" w:rsidP="00984CF8">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Spriedums lietā Nr. 2019-27-03 pieejams šeit: </w:t>
      </w:r>
      <w:hyperlink r:id="rId1" w:history="1">
        <w:r>
          <w:rPr>
            <w:rStyle w:val="Hyperlink"/>
            <w:rFonts w:ascii="Times New Roman" w:hAnsi="Times New Roman" w:cs="Times New Roman"/>
          </w:rPr>
          <w:t>https://www.satv.tiesa.gov.lv/cases/?case-filter-years=&amp;case-filter-status=&amp;case-filter-types=&amp;case-filter-result=&amp;searchtext=2019-27-03</w:t>
        </w:r>
      </w:hyperlink>
      <w:r>
        <w:rPr>
          <w:rStyle w:val="Hyperlink"/>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9757"/>
      <w:docPartObj>
        <w:docPartGallery w:val="Page Numbers (Top of Page)"/>
        <w:docPartUnique/>
      </w:docPartObj>
    </w:sdtPr>
    <w:sdtEndPr>
      <w:rPr>
        <w:noProof/>
      </w:rPr>
    </w:sdtEndPr>
    <w:sdtContent>
      <w:p w:rsidR="007A5CC7" w:rsidRDefault="002E3F5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A5CC7" w:rsidRDefault="0093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3B03"/>
    <w:multiLevelType w:val="hybridMultilevel"/>
    <w:tmpl w:val="A7A4BD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F8"/>
    <w:rsid w:val="000178F9"/>
    <w:rsid w:val="00073C09"/>
    <w:rsid w:val="000B56A2"/>
    <w:rsid w:val="000C4C02"/>
    <w:rsid w:val="00160C8B"/>
    <w:rsid w:val="001C04E6"/>
    <w:rsid w:val="001D378A"/>
    <w:rsid w:val="002864CF"/>
    <w:rsid w:val="002E3F5F"/>
    <w:rsid w:val="002F3052"/>
    <w:rsid w:val="00325311"/>
    <w:rsid w:val="00374B95"/>
    <w:rsid w:val="00380814"/>
    <w:rsid w:val="004133DC"/>
    <w:rsid w:val="00443A33"/>
    <w:rsid w:val="0045193B"/>
    <w:rsid w:val="005B4BCF"/>
    <w:rsid w:val="00633800"/>
    <w:rsid w:val="0065199B"/>
    <w:rsid w:val="006B4853"/>
    <w:rsid w:val="006F02B8"/>
    <w:rsid w:val="00845519"/>
    <w:rsid w:val="00865B67"/>
    <w:rsid w:val="008A5047"/>
    <w:rsid w:val="008D57A6"/>
    <w:rsid w:val="00935172"/>
    <w:rsid w:val="00984CF8"/>
    <w:rsid w:val="009B1271"/>
    <w:rsid w:val="009D40A5"/>
    <w:rsid w:val="009D6197"/>
    <w:rsid w:val="00B030EE"/>
    <w:rsid w:val="00B03B77"/>
    <w:rsid w:val="00B56E7E"/>
    <w:rsid w:val="00BC772F"/>
    <w:rsid w:val="00CA6FF4"/>
    <w:rsid w:val="00D2091E"/>
    <w:rsid w:val="00DB76DC"/>
    <w:rsid w:val="00E3466E"/>
    <w:rsid w:val="00E55489"/>
    <w:rsid w:val="00EF14D9"/>
    <w:rsid w:val="00F349E5"/>
    <w:rsid w:val="00F7306B"/>
    <w:rsid w:val="00FA4B2B"/>
    <w:rsid w:val="00FF6490"/>
    <w:rsid w:val="00FF68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9B730-EDBA-45C1-A66C-D27306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F8"/>
    <w:rPr>
      <w:color w:val="0000FF"/>
      <w:u w:val="single"/>
    </w:rPr>
  </w:style>
  <w:style w:type="paragraph" w:styleId="NormalWeb">
    <w:name w:val="Normal (Web)"/>
    <w:basedOn w:val="Normal"/>
    <w:uiPriority w:val="99"/>
    <w:unhideWhenUsed/>
    <w:rsid w:val="00984C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semiHidden/>
    <w:locked/>
    <w:rsid w:val="00984CF8"/>
    <w:rPr>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semiHidden/>
    <w:unhideWhenUsed/>
    <w:qFormat/>
    <w:rsid w:val="00984CF8"/>
    <w:pPr>
      <w:spacing w:after="0" w:line="240" w:lineRule="auto"/>
    </w:pPr>
    <w:rPr>
      <w:sz w:val="20"/>
      <w:szCs w:val="20"/>
    </w:rPr>
  </w:style>
  <w:style w:type="character" w:customStyle="1" w:styleId="FootnoteTextChar1">
    <w:name w:val="Footnote Text Char1"/>
    <w:basedOn w:val="DefaultParagraphFont"/>
    <w:uiPriority w:val="99"/>
    <w:semiHidden/>
    <w:rsid w:val="00984CF8"/>
    <w:rPr>
      <w:sz w:val="20"/>
      <w:szCs w:val="20"/>
    </w:rPr>
  </w:style>
  <w:style w:type="paragraph" w:styleId="ListParagraph">
    <w:name w:val="List Paragraph"/>
    <w:aliases w:val="2,Akapit z listą BS,H&amp;P List Paragraph,Strip"/>
    <w:basedOn w:val="Normal"/>
    <w:link w:val="ListParagraphChar"/>
    <w:uiPriority w:val="34"/>
    <w:qFormat/>
    <w:rsid w:val="00984CF8"/>
    <w:pPr>
      <w:ind w:left="720"/>
      <w:contextualSpacing/>
    </w:p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unhideWhenUsed/>
    <w:qFormat/>
    <w:rsid w:val="00984CF8"/>
    <w:rPr>
      <w:vertAlign w:val="superscript"/>
    </w:rPr>
  </w:style>
  <w:style w:type="paragraph" w:customStyle="1" w:styleId="CharCharCharChar">
    <w:name w:val="Char Char Char Char"/>
    <w:aliases w:val="Char2"/>
    <w:basedOn w:val="Normal"/>
    <w:next w:val="Normal"/>
    <w:link w:val="FootnoteReference"/>
    <w:uiPriority w:val="99"/>
    <w:rsid w:val="00984CF8"/>
    <w:pPr>
      <w:spacing w:line="240" w:lineRule="exact"/>
      <w:jc w:val="both"/>
    </w:pPr>
    <w:rPr>
      <w:vertAlign w:val="superscript"/>
    </w:rPr>
  </w:style>
  <w:style w:type="character" w:customStyle="1" w:styleId="ListParagraphChar">
    <w:name w:val="List Paragraph Char"/>
    <w:aliases w:val="2 Char,Akapit z listą BS Char,H&amp;P List Paragraph Char,Strip Char"/>
    <w:link w:val="ListParagraph"/>
    <w:uiPriority w:val="34"/>
    <w:locked/>
    <w:rsid w:val="00984CF8"/>
  </w:style>
  <w:style w:type="paragraph" w:styleId="Header">
    <w:name w:val="header"/>
    <w:basedOn w:val="Normal"/>
    <w:link w:val="HeaderChar"/>
    <w:uiPriority w:val="99"/>
    <w:unhideWhenUsed/>
    <w:rsid w:val="00984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4CF8"/>
  </w:style>
  <w:style w:type="character" w:styleId="UnresolvedMention">
    <w:name w:val="Unresolved Mention"/>
    <w:basedOn w:val="DefaultParagraphFont"/>
    <w:uiPriority w:val="99"/>
    <w:semiHidden/>
    <w:unhideWhenUsed/>
    <w:rsid w:val="00B56E7E"/>
    <w:rPr>
      <w:color w:val="605E5C"/>
      <w:shd w:val="clear" w:color="auto" w:fill="E1DFDD"/>
    </w:rPr>
  </w:style>
  <w:style w:type="paragraph" w:styleId="Footer">
    <w:name w:val="footer"/>
    <w:basedOn w:val="Normal"/>
    <w:link w:val="FooterChar"/>
    <w:uiPriority w:val="99"/>
    <w:unhideWhenUsed/>
    <w:rsid w:val="00BC77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tv.tiesa.gov.lv/cases/?case-filter-years=&amp;case-filter-status=&amp;case-filter-types=&amp;case-filter-result=&amp;searchtext=2019-2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9040</Words>
  <Characters>5153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Ministru kabineta 2001. gada 23. augusta noteikumos Nr. 378 "Darbā nodarītā kaitējuma atlīdzības aprēķināšanas, finansēšanas un izmaksas kārtība"</vt:lpstr>
    </vt:vector>
  </TitlesOfParts>
  <Company>LM</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23. augusta noteikumos Nr. 378 "Darbā nodarītā kaitējuma atlīdzības aprēķināšanas, finansēšanas un izmaksas kārtība"</dc:title>
  <dc:subject>anotācija</dc:subject>
  <dc:creator>Dace Trusinska</dc:creator>
  <cp:keywords/>
  <dc:description>D.Trušisnka, 67021553
Dace.Trusinska@lm.gov.lv</dc:description>
  <cp:lastModifiedBy>Dace Trusinska</cp:lastModifiedBy>
  <cp:revision>9</cp:revision>
  <dcterms:created xsi:type="dcterms:W3CDTF">2020-11-30T06:42:00Z</dcterms:created>
  <dcterms:modified xsi:type="dcterms:W3CDTF">2020-12-04T13:30:00Z</dcterms:modified>
</cp:coreProperties>
</file>